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drawings/drawing2.xml" ContentType="application/vnd.openxmlformats-officedocument.drawingml.chartshapes+xml"/>
  <Override PartName="/word/charts/chart3.xml" ContentType="application/vnd.openxmlformats-officedocument.drawingml.chart+xml"/>
  <Override PartName="/word/theme/themeOverride3.xml" ContentType="application/vnd.openxmlformats-officedocument.themeOverride+xml"/>
  <Override PartName="/word/drawings/drawing3.xml" ContentType="application/vnd.openxmlformats-officedocument.drawingml.chartshapes+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charts/chart6.xml" ContentType="application/vnd.openxmlformats-officedocument.drawingml.chart+xml"/>
  <Override PartName="/word/theme/themeOverride4.xml" ContentType="application/vnd.openxmlformats-officedocument.themeOverride+xml"/>
  <Override PartName="/word/drawings/drawing6.xml" ContentType="application/vnd.openxmlformats-officedocument.drawingml.chartshapes+xml"/>
  <Override PartName="/word/charts/chart7.xml" ContentType="application/vnd.openxmlformats-officedocument.drawingml.chart+xml"/>
  <Override PartName="/word/theme/themeOverride5.xml" ContentType="application/vnd.openxmlformats-officedocument.themeOverride+xml"/>
  <Override PartName="/word/drawings/drawing7.xml" ContentType="application/vnd.openxmlformats-officedocument.drawingml.chartshapes+xml"/>
  <Override PartName="/word/charts/chart8.xml" ContentType="application/vnd.openxmlformats-officedocument.drawingml.chart+xml"/>
  <Override PartName="/word/drawings/drawing8.xml" ContentType="application/vnd.openxmlformats-officedocument.drawingml.chartshapes+xml"/>
  <Override PartName="/word/charts/chart9.xml" ContentType="application/vnd.openxmlformats-officedocument.drawingml.chart+xml"/>
  <Override PartName="/word/theme/themeOverride6.xml" ContentType="application/vnd.openxmlformats-officedocument.themeOverride+xml"/>
  <Override PartName="/word/drawings/drawing9.xml" ContentType="application/vnd.openxmlformats-officedocument.drawingml.chartshapes+xml"/>
  <Override PartName="/word/charts/chart10.xml" ContentType="application/vnd.openxmlformats-officedocument.drawingml.chart+xml"/>
  <Override PartName="/word/drawings/drawing10.xml" ContentType="application/vnd.openxmlformats-officedocument.drawingml.chartshapes+xml"/>
  <Override PartName="/word/charts/chart11.xml" ContentType="application/vnd.openxmlformats-officedocument.drawingml.chart+xml"/>
  <Override PartName="/word/theme/themeOverride7.xml" ContentType="application/vnd.openxmlformats-officedocument.themeOverride+xml"/>
  <Override PartName="/word/drawings/drawing11.xml" ContentType="application/vnd.openxmlformats-officedocument.drawingml.chartshapes+xml"/>
  <Override PartName="/word/charts/chart12.xml" ContentType="application/vnd.openxmlformats-officedocument.drawingml.chart+xml"/>
  <Override PartName="/word/theme/themeOverride8.xml" ContentType="application/vnd.openxmlformats-officedocument.themeOverride+xml"/>
  <Override PartName="/word/drawings/drawing12.xml" ContentType="application/vnd.openxmlformats-officedocument.drawingml.chartshapes+xml"/>
  <Override PartName="/word/charts/chart13.xml" ContentType="application/vnd.openxmlformats-officedocument.drawingml.chart+xml"/>
  <Override PartName="/word/drawings/drawing13.xml" ContentType="application/vnd.openxmlformats-officedocument.drawingml.chartshap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51B5E1" w14:textId="4BF3817A" w:rsidR="00344635" w:rsidRDefault="00344635" w:rsidP="00520583"/>
    <w:p w14:paraId="57BAFAE3" w14:textId="3B37C0F0" w:rsidR="001E4BFF" w:rsidRDefault="001E4BFF" w:rsidP="00520583"/>
    <w:p w14:paraId="64F1954C" w14:textId="77777777" w:rsidR="001E4BFF" w:rsidRPr="004F5EC9" w:rsidRDefault="001E4BFF" w:rsidP="00520583"/>
    <w:p w14:paraId="66BB59B2" w14:textId="22E7D180" w:rsidR="00344635" w:rsidRPr="00C11174" w:rsidRDefault="001E4BFF" w:rsidP="00C11174">
      <w:pPr>
        <w:jc w:val="center"/>
        <w:rPr>
          <w:sz w:val="48"/>
          <w:szCs w:val="48"/>
        </w:rPr>
      </w:pPr>
      <w:r w:rsidRPr="00C11174">
        <w:rPr>
          <w:sz w:val="48"/>
          <w:szCs w:val="48"/>
        </w:rPr>
        <w:t xml:space="preserve">Latvijas </w:t>
      </w:r>
      <w:r w:rsidR="002A16B8">
        <w:rPr>
          <w:sz w:val="48"/>
          <w:szCs w:val="48"/>
        </w:rPr>
        <w:t>b</w:t>
      </w:r>
      <w:r w:rsidRPr="00C11174">
        <w:rPr>
          <w:sz w:val="48"/>
          <w:szCs w:val="48"/>
        </w:rPr>
        <w:t>ūvniecības nozares kvalitātes indeksa noteikšana, veicot būvniecības procesā iesaistīto procesa dalībnieku aptauju</w:t>
      </w:r>
    </w:p>
    <w:p w14:paraId="5BE4F222" w14:textId="77777777" w:rsidR="008A1A52" w:rsidRDefault="008A1A52" w:rsidP="00520583"/>
    <w:p w14:paraId="11ED5FC6" w14:textId="38AADBE6" w:rsidR="008A1A52" w:rsidRPr="00C11174" w:rsidRDefault="00F11FB4" w:rsidP="00C11174">
      <w:pPr>
        <w:jc w:val="center"/>
        <w:rPr>
          <w:sz w:val="36"/>
          <w:szCs w:val="36"/>
        </w:rPr>
      </w:pPr>
      <w:r w:rsidRPr="00C11174">
        <w:rPr>
          <w:sz w:val="36"/>
          <w:szCs w:val="36"/>
        </w:rPr>
        <w:t>Galvenie rezultāti</w:t>
      </w:r>
    </w:p>
    <w:p w14:paraId="7F471391" w14:textId="4F4A7D01" w:rsidR="00344635" w:rsidRPr="004F5EC9" w:rsidRDefault="00344635" w:rsidP="00520583"/>
    <w:p w14:paraId="3C6CDD4D" w14:textId="6A70C156" w:rsidR="00344635" w:rsidRPr="00C11174" w:rsidRDefault="00344635" w:rsidP="00C11174">
      <w:pPr>
        <w:jc w:val="center"/>
        <w:rPr>
          <w:sz w:val="24"/>
          <w:szCs w:val="24"/>
        </w:rPr>
      </w:pPr>
      <w:r w:rsidRPr="00C11174">
        <w:rPr>
          <w:sz w:val="24"/>
          <w:szCs w:val="24"/>
        </w:rPr>
        <w:t>Iepirkuma identifikācijas Nr.</w:t>
      </w:r>
      <w:r w:rsidR="001E4BFF" w:rsidRPr="00C11174">
        <w:rPr>
          <w:sz w:val="24"/>
          <w:szCs w:val="24"/>
        </w:rPr>
        <w:t xml:space="preserve"> EM 2019/31</w:t>
      </w:r>
    </w:p>
    <w:p w14:paraId="3772B26F" w14:textId="77777777" w:rsidR="00344635" w:rsidRPr="001E4BFF" w:rsidRDefault="00344635" w:rsidP="00520583"/>
    <w:p w14:paraId="46340F89" w14:textId="77777777" w:rsidR="00344635" w:rsidRPr="004F5EC9" w:rsidRDefault="00344635" w:rsidP="00520583"/>
    <w:p w14:paraId="1D3964FD" w14:textId="1F15945B" w:rsidR="00344635" w:rsidRPr="004F5EC9" w:rsidRDefault="00344635" w:rsidP="00520583"/>
    <w:p w14:paraId="19E92567" w14:textId="204C98B1" w:rsidR="00235574" w:rsidRPr="004F5EC9" w:rsidRDefault="00235574" w:rsidP="00520583"/>
    <w:p w14:paraId="358A8196" w14:textId="1D9A35AE" w:rsidR="00235574" w:rsidRPr="004F5EC9" w:rsidRDefault="00235574" w:rsidP="00520583"/>
    <w:p w14:paraId="400A140D" w14:textId="5DB00745" w:rsidR="00235574" w:rsidRPr="004F5EC9" w:rsidRDefault="00235574" w:rsidP="00520583"/>
    <w:p w14:paraId="4513C605" w14:textId="22A0937F" w:rsidR="00235574" w:rsidRPr="004F5EC9" w:rsidRDefault="00235574" w:rsidP="00520583"/>
    <w:p w14:paraId="05473546" w14:textId="17D37282" w:rsidR="00235574" w:rsidRPr="004F5EC9" w:rsidRDefault="00235574" w:rsidP="00520583"/>
    <w:p w14:paraId="25DCA1EC" w14:textId="1C3C9328" w:rsidR="00235574" w:rsidRPr="004F5EC9" w:rsidRDefault="00235574" w:rsidP="00520583"/>
    <w:p w14:paraId="5AE636C1" w14:textId="4CCF600E" w:rsidR="00235574" w:rsidRPr="004F5EC9" w:rsidRDefault="00235574" w:rsidP="00520583"/>
    <w:p w14:paraId="4AA4E009" w14:textId="7311B373" w:rsidR="00240A4F" w:rsidRDefault="00240A4F" w:rsidP="00520583">
      <w:r>
        <w:br w:type="page"/>
      </w:r>
    </w:p>
    <w:p w14:paraId="2C233984" w14:textId="03C6D999" w:rsidR="001E4BFF" w:rsidRPr="00706068" w:rsidRDefault="001E4BFF" w:rsidP="00520583">
      <w:pPr>
        <w:rPr>
          <w:sz w:val="32"/>
          <w:szCs w:val="32"/>
        </w:rPr>
      </w:pPr>
      <w:r w:rsidRPr="00706068">
        <w:rPr>
          <w:sz w:val="32"/>
          <w:szCs w:val="32"/>
        </w:rPr>
        <w:lastRenderedPageBreak/>
        <w:t>Satur</w:t>
      </w:r>
      <w:r w:rsidR="0055642A" w:rsidRPr="00706068">
        <w:rPr>
          <w:sz w:val="32"/>
          <w:szCs w:val="32"/>
        </w:rPr>
        <w:t>a rādītājs</w:t>
      </w:r>
    </w:p>
    <w:p w14:paraId="2DF98D0B" w14:textId="59A4AFFE" w:rsidR="001E4BFF" w:rsidRDefault="001E4BFF" w:rsidP="00520583"/>
    <w:sdt>
      <w:sdtPr>
        <w:rPr>
          <w:rFonts w:asciiTheme="minorHAnsi" w:eastAsiaTheme="minorEastAsia" w:hAnsiTheme="minorHAnsi" w:cstheme="minorBidi"/>
          <w:caps w:val="0"/>
          <w:sz w:val="22"/>
          <w:szCs w:val="22"/>
        </w:rPr>
        <w:id w:val="1642845734"/>
        <w:docPartObj>
          <w:docPartGallery w:val="Table of Contents"/>
          <w:docPartUnique/>
        </w:docPartObj>
      </w:sdtPr>
      <w:sdtEndPr>
        <w:rPr>
          <w:b/>
          <w:bCs/>
          <w:noProof/>
        </w:rPr>
      </w:sdtEndPr>
      <w:sdtContent>
        <w:p w14:paraId="5985AB77" w14:textId="48137715" w:rsidR="00863FC7" w:rsidRDefault="00863FC7">
          <w:pPr>
            <w:pStyle w:val="TOCHeading"/>
          </w:pPr>
        </w:p>
        <w:p w14:paraId="28087D7D" w14:textId="0B0D9C3E" w:rsidR="00863FC7" w:rsidRDefault="00863FC7">
          <w:pPr>
            <w:pStyle w:val="TOC1"/>
            <w:rPr>
              <w:noProof/>
              <w:lang w:eastAsia="lv-LV"/>
            </w:rPr>
          </w:pPr>
          <w:r>
            <w:fldChar w:fldCharType="begin"/>
          </w:r>
          <w:r>
            <w:instrText xml:space="preserve"> TOC \o "1-3" \h \z \u </w:instrText>
          </w:r>
          <w:r>
            <w:fldChar w:fldCharType="separate"/>
          </w:r>
          <w:hyperlink w:anchor="_Toc20744775" w:history="1">
            <w:r w:rsidRPr="00FC689A">
              <w:rPr>
                <w:rStyle w:val="Hyperlink"/>
                <w:noProof/>
              </w:rPr>
              <w:t>1.</w:t>
            </w:r>
            <w:r>
              <w:rPr>
                <w:noProof/>
                <w:lang w:eastAsia="lv-LV"/>
              </w:rPr>
              <w:tab/>
            </w:r>
            <w:r w:rsidRPr="00FC689A">
              <w:rPr>
                <w:rStyle w:val="Hyperlink"/>
                <w:noProof/>
              </w:rPr>
              <w:t>Ievads</w:t>
            </w:r>
            <w:r>
              <w:rPr>
                <w:noProof/>
                <w:webHidden/>
              </w:rPr>
              <w:tab/>
            </w:r>
            <w:r>
              <w:rPr>
                <w:noProof/>
                <w:webHidden/>
              </w:rPr>
              <w:fldChar w:fldCharType="begin"/>
            </w:r>
            <w:r>
              <w:rPr>
                <w:noProof/>
                <w:webHidden/>
              </w:rPr>
              <w:instrText xml:space="preserve"> PAGEREF _Toc20744775 \h </w:instrText>
            </w:r>
            <w:r>
              <w:rPr>
                <w:noProof/>
                <w:webHidden/>
              </w:rPr>
            </w:r>
            <w:r>
              <w:rPr>
                <w:noProof/>
                <w:webHidden/>
              </w:rPr>
              <w:fldChar w:fldCharType="separate"/>
            </w:r>
            <w:r>
              <w:rPr>
                <w:noProof/>
                <w:webHidden/>
              </w:rPr>
              <w:t>3</w:t>
            </w:r>
            <w:r>
              <w:rPr>
                <w:noProof/>
                <w:webHidden/>
              </w:rPr>
              <w:fldChar w:fldCharType="end"/>
            </w:r>
          </w:hyperlink>
        </w:p>
        <w:p w14:paraId="68C2DE2D" w14:textId="04C192AB" w:rsidR="00863FC7" w:rsidRDefault="006A31CF">
          <w:pPr>
            <w:pStyle w:val="TOC2"/>
            <w:tabs>
              <w:tab w:val="right" w:leader="dot" w:pos="9346"/>
            </w:tabs>
            <w:rPr>
              <w:noProof/>
              <w:lang w:eastAsia="lv-LV"/>
            </w:rPr>
          </w:pPr>
          <w:hyperlink w:anchor="_Toc20744776" w:history="1">
            <w:r w:rsidR="00863FC7" w:rsidRPr="00FC689A">
              <w:rPr>
                <w:rStyle w:val="Hyperlink"/>
                <w:noProof/>
              </w:rPr>
              <w:t>1.1. Terminu un saīsinājumu skaidrojums</w:t>
            </w:r>
            <w:r w:rsidR="00863FC7">
              <w:rPr>
                <w:noProof/>
                <w:webHidden/>
              </w:rPr>
              <w:tab/>
            </w:r>
            <w:r w:rsidR="00863FC7">
              <w:rPr>
                <w:noProof/>
                <w:webHidden/>
              </w:rPr>
              <w:fldChar w:fldCharType="begin"/>
            </w:r>
            <w:r w:rsidR="00863FC7">
              <w:rPr>
                <w:noProof/>
                <w:webHidden/>
              </w:rPr>
              <w:instrText xml:space="preserve"> PAGEREF _Toc20744776 \h </w:instrText>
            </w:r>
            <w:r w:rsidR="00863FC7">
              <w:rPr>
                <w:noProof/>
                <w:webHidden/>
              </w:rPr>
            </w:r>
            <w:r w:rsidR="00863FC7">
              <w:rPr>
                <w:noProof/>
                <w:webHidden/>
              </w:rPr>
              <w:fldChar w:fldCharType="separate"/>
            </w:r>
            <w:r w:rsidR="00863FC7">
              <w:rPr>
                <w:noProof/>
                <w:webHidden/>
              </w:rPr>
              <w:t>3</w:t>
            </w:r>
            <w:r w:rsidR="00863FC7">
              <w:rPr>
                <w:noProof/>
                <w:webHidden/>
              </w:rPr>
              <w:fldChar w:fldCharType="end"/>
            </w:r>
          </w:hyperlink>
        </w:p>
        <w:p w14:paraId="16D26647" w14:textId="51273428" w:rsidR="00863FC7" w:rsidRDefault="006A31CF">
          <w:pPr>
            <w:pStyle w:val="TOC2"/>
            <w:tabs>
              <w:tab w:val="right" w:leader="dot" w:pos="9346"/>
            </w:tabs>
            <w:rPr>
              <w:noProof/>
              <w:lang w:eastAsia="lv-LV"/>
            </w:rPr>
          </w:pPr>
          <w:hyperlink w:anchor="_Toc20744777" w:history="1">
            <w:r w:rsidR="00863FC7" w:rsidRPr="00FC689A">
              <w:rPr>
                <w:rStyle w:val="Hyperlink"/>
                <w:noProof/>
              </w:rPr>
              <w:t>1.2. Pētījuma nolūks un tvērums</w:t>
            </w:r>
            <w:r w:rsidR="00863FC7">
              <w:rPr>
                <w:noProof/>
                <w:webHidden/>
              </w:rPr>
              <w:tab/>
            </w:r>
            <w:r w:rsidR="00863FC7">
              <w:rPr>
                <w:noProof/>
                <w:webHidden/>
              </w:rPr>
              <w:fldChar w:fldCharType="begin"/>
            </w:r>
            <w:r w:rsidR="00863FC7">
              <w:rPr>
                <w:noProof/>
                <w:webHidden/>
              </w:rPr>
              <w:instrText xml:space="preserve"> PAGEREF _Toc20744777 \h </w:instrText>
            </w:r>
            <w:r w:rsidR="00863FC7">
              <w:rPr>
                <w:noProof/>
                <w:webHidden/>
              </w:rPr>
            </w:r>
            <w:r w:rsidR="00863FC7">
              <w:rPr>
                <w:noProof/>
                <w:webHidden/>
              </w:rPr>
              <w:fldChar w:fldCharType="separate"/>
            </w:r>
            <w:r w:rsidR="00863FC7">
              <w:rPr>
                <w:noProof/>
                <w:webHidden/>
              </w:rPr>
              <w:t>3</w:t>
            </w:r>
            <w:r w:rsidR="00863FC7">
              <w:rPr>
                <w:noProof/>
                <w:webHidden/>
              </w:rPr>
              <w:fldChar w:fldCharType="end"/>
            </w:r>
          </w:hyperlink>
        </w:p>
        <w:p w14:paraId="20AA63EC" w14:textId="62856572" w:rsidR="00863FC7" w:rsidRDefault="006A31CF">
          <w:pPr>
            <w:pStyle w:val="TOC1"/>
            <w:rPr>
              <w:noProof/>
              <w:lang w:eastAsia="lv-LV"/>
            </w:rPr>
          </w:pPr>
          <w:hyperlink w:anchor="_Toc20744778" w:history="1">
            <w:r w:rsidR="00863FC7" w:rsidRPr="00FC689A">
              <w:rPr>
                <w:rStyle w:val="Hyperlink"/>
                <w:noProof/>
              </w:rPr>
              <w:t>2.</w:t>
            </w:r>
            <w:r w:rsidR="00863FC7">
              <w:rPr>
                <w:noProof/>
                <w:lang w:eastAsia="lv-LV"/>
              </w:rPr>
              <w:tab/>
            </w:r>
            <w:r w:rsidR="00863FC7" w:rsidRPr="00FC689A">
              <w:rPr>
                <w:rStyle w:val="Hyperlink"/>
                <w:noProof/>
              </w:rPr>
              <w:t>Kopsavilkums</w:t>
            </w:r>
            <w:r w:rsidR="00863FC7">
              <w:rPr>
                <w:noProof/>
                <w:webHidden/>
              </w:rPr>
              <w:tab/>
            </w:r>
            <w:r w:rsidR="00863FC7">
              <w:rPr>
                <w:noProof/>
                <w:webHidden/>
              </w:rPr>
              <w:fldChar w:fldCharType="begin"/>
            </w:r>
            <w:r w:rsidR="00863FC7">
              <w:rPr>
                <w:noProof/>
                <w:webHidden/>
              </w:rPr>
              <w:instrText xml:space="preserve"> PAGEREF _Toc20744778 \h </w:instrText>
            </w:r>
            <w:r w:rsidR="00863FC7">
              <w:rPr>
                <w:noProof/>
                <w:webHidden/>
              </w:rPr>
            </w:r>
            <w:r w:rsidR="00863FC7">
              <w:rPr>
                <w:noProof/>
                <w:webHidden/>
              </w:rPr>
              <w:fldChar w:fldCharType="separate"/>
            </w:r>
            <w:r w:rsidR="00863FC7">
              <w:rPr>
                <w:noProof/>
                <w:webHidden/>
              </w:rPr>
              <w:t>5</w:t>
            </w:r>
            <w:r w:rsidR="00863FC7">
              <w:rPr>
                <w:noProof/>
                <w:webHidden/>
              </w:rPr>
              <w:fldChar w:fldCharType="end"/>
            </w:r>
          </w:hyperlink>
        </w:p>
        <w:p w14:paraId="43C81C11" w14:textId="3BB6FF38" w:rsidR="00863FC7" w:rsidRDefault="006A31CF">
          <w:pPr>
            <w:pStyle w:val="TOC1"/>
            <w:rPr>
              <w:noProof/>
              <w:lang w:eastAsia="lv-LV"/>
            </w:rPr>
          </w:pPr>
          <w:hyperlink w:anchor="_Toc20744779" w:history="1">
            <w:r w:rsidR="00863FC7" w:rsidRPr="00FC689A">
              <w:rPr>
                <w:rStyle w:val="Hyperlink"/>
                <w:noProof/>
              </w:rPr>
              <w:t>3.</w:t>
            </w:r>
            <w:r w:rsidR="00863FC7">
              <w:rPr>
                <w:noProof/>
                <w:lang w:eastAsia="lv-LV"/>
              </w:rPr>
              <w:tab/>
            </w:r>
            <w:r w:rsidR="00863FC7" w:rsidRPr="00FC689A">
              <w:rPr>
                <w:rStyle w:val="Hyperlink"/>
                <w:noProof/>
              </w:rPr>
              <w:t>Summary</w:t>
            </w:r>
            <w:r w:rsidR="00863FC7">
              <w:rPr>
                <w:noProof/>
                <w:webHidden/>
              </w:rPr>
              <w:tab/>
            </w:r>
            <w:r w:rsidR="00863FC7">
              <w:rPr>
                <w:noProof/>
                <w:webHidden/>
              </w:rPr>
              <w:fldChar w:fldCharType="begin"/>
            </w:r>
            <w:r w:rsidR="00863FC7">
              <w:rPr>
                <w:noProof/>
                <w:webHidden/>
              </w:rPr>
              <w:instrText xml:space="preserve"> PAGEREF _Toc20744779 \h </w:instrText>
            </w:r>
            <w:r w:rsidR="00863FC7">
              <w:rPr>
                <w:noProof/>
                <w:webHidden/>
              </w:rPr>
            </w:r>
            <w:r w:rsidR="00863FC7">
              <w:rPr>
                <w:noProof/>
                <w:webHidden/>
              </w:rPr>
              <w:fldChar w:fldCharType="separate"/>
            </w:r>
            <w:r w:rsidR="00863FC7">
              <w:rPr>
                <w:noProof/>
                <w:webHidden/>
              </w:rPr>
              <w:t>7</w:t>
            </w:r>
            <w:r w:rsidR="00863FC7">
              <w:rPr>
                <w:noProof/>
                <w:webHidden/>
              </w:rPr>
              <w:fldChar w:fldCharType="end"/>
            </w:r>
          </w:hyperlink>
        </w:p>
        <w:p w14:paraId="6EE98F04" w14:textId="353C3FE1" w:rsidR="00863FC7" w:rsidRDefault="006A31CF">
          <w:pPr>
            <w:pStyle w:val="TOC1"/>
            <w:rPr>
              <w:noProof/>
              <w:lang w:eastAsia="lv-LV"/>
            </w:rPr>
          </w:pPr>
          <w:hyperlink w:anchor="_Toc20744780" w:history="1">
            <w:r w:rsidR="00863FC7" w:rsidRPr="00FC689A">
              <w:rPr>
                <w:rStyle w:val="Hyperlink"/>
                <w:noProof/>
              </w:rPr>
              <w:t>4.</w:t>
            </w:r>
            <w:r w:rsidR="00863FC7">
              <w:rPr>
                <w:noProof/>
                <w:lang w:eastAsia="lv-LV"/>
              </w:rPr>
              <w:tab/>
            </w:r>
            <w:r w:rsidR="00863FC7" w:rsidRPr="00FC689A">
              <w:rPr>
                <w:rStyle w:val="Hyperlink"/>
                <w:noProof/>
              </w:rPr>
              <w:t>Būvniecības nozares kvalitātes indekss</w:t>
            </w:r>
            <w:r w:rsidR="00863FC7">
              <w:rPr>
                <w:noProof/>
                <w:webHidden/>
              </w:rPr>
              <w:tab/>
            </w:r>
            <w:r w:rsidR="00863FC7">
              <w:rPr>
                <w:noProof/>
                <w:webHidden/>
              </w:rPr>
              <w:fldChar w:fldCharType="begin"/>
            </w:r>
            <w:r w:rsidR="00863FC7">
              <w:rPr>
                <w:noProof/>
                <w:webHidden/>
              </w:rPr>
              <w:instrText xml:space="preserve"> PAGEREF _Toc20744780 \h </w:instrText>
            </w:r>
            <w:r w:rsidR="00863FC7">
              <w:rPr>
                <w:noProof/>
                <w:webHidden/>
              </w:rPr>
            </w:r>
            <w:r w:rsidR="00863FC7">
              <w:rPr>
                <w:noProof/>
                <w:webHidden/>
              </w:rPr>
              <w:fldChar w:fldCharType="separate"/>
            </w:r>
            <w:r w:rsidR="00863FC7">
              <w:rPr>
                <w:noProof/>
                <w:webHidden/>
              </w:rPr>
              <w:t>9</w:t>
            </w:r>
            <w:r w:rsidR="00863FC7">
              <w:rPr>
                <w:noProof/>
                <w:webHidden/>
              </w:rPr>
              <w:fldChar w:fldCharType="end"/>
            </w:r>
          </w:hyperlink>
        </w:p>
        <w:p w14:paraId="11207A4D" w14:textId="52C7BA41" w:rsidR="00863FC7" w:rsidRDefault="006A31CF">
          <w:pPr>
            <w:pStyle w:val="TOC2"/>
            <w:tabs>
              <w:tab w:val="right" w:leader="dot" w:pos="9346"/>
            </w:tabs>
            <w:rPr>
              <w:noProof/>
              <w:lang w:eastAsia="lv-LV"/>
            </w:rPr>
          </w:pPr>
          <w:hyperlink w:anchor="_Toc20744781" w:history="1">
            <w:r w:rsidR="00863FC7" w:rsidRPr="00FC689A">
              <w:rPr>
                <w:rStyle w:val="Hyperlink"/>
                <w:noProof/>
              </w:rPr>
              <w:t>4.1. Pētījuma apraksts</w:t>
            </w:r>
            <w:r w:rsidR="00863FC7">
              <w:rPr>
                <w:noProof/>
                <w:webHidden/>
              </w:rPr>
              <w:tab/>
            </w:r>
            <w:r w:rsidR="00863FC7">
              <w:rPr>
                <w:noProof/>
                <w:webHidden/>
              </w:rPr>
              <w:fldChar w:fldCharType="begin"/>
            </w:r>
            <w:r w:rsidR="00863FC7">
              <w:rPr>
                <w:noProof/>
                <w:webHidden/>
              </w:rPr>
              <w:instrText xml:space="preserve"> PAGEREF _Toc20744781 \h </w:instrText>
            </w:r>
            <w:r w:rsidR="00863FC7">
              <w:rPr>
                <w:noProof/>
                <w:webHidden/>
              </w:rPr>
            </w:r>
            <w:r w:rsidR="00863FC7">
              <w:rPr>
                <w:noProof/>
                <w:webHidden/>
              </w:rPr>
              <w:fldChar w:fldCharType="separate"/>
            </w:r>
            <w:r w:rsidR="00863FC7">
              <w:rPr>
                <w:noProof/>
                <w:webHidden/>
              </w:rPr>
              <w:t>9</w:t>
            </w:r>
            <w:r w:rsidR="00863FC7">
              <w:rPr>
                <w:noProof/>
                <w:webHidden/>
              </w:rPr>
              <w:fldChar w:fldCharType="end"/>
            </w:r>
          </w:hyperlink>
        </w:p>
        <w:p w14:paraId="26009A8A" w14:textId="0A918CDD" w:rsidR="00863FC7" w:rsidRDefault="006A31CF">
          <w:pPr>
            <w:pStyle w:val="TOC2"/>
            <w:tabs>
              <w:tab w:val="right" w:leader="dot" w:pos="9346"/>
            </w:tabs>
            <w:rPr>
              <w:noProof/>
              <w:lang w:eastAsia="lv-LV"/>
            </w:rPr>
          </w:pPr>
          <w:hyperlink w:anchor="_Toc20744782" w:history="1">
            <w:r w:rsidR="00863FC7" w:rsidRPr="00FC689A">
              <w:rPr>
                <w:rStyle w:val="Hyperlink"/>
                <w:noProof/>
              </w:rPr>
              <w:t>4.2. Būvniecības kvalitātes indeksa galvenie rezultāti</w:t>
            </w:r>
            <w:r w:rsidR="00863FC7">
              <w:rPr>
                <w:noProof/>
                <w:webHidden/>
              </w:rPr>
              <w:tab/>
            </w:r>
            <w:r w:rsidR="00863FC7">
              <w:rPr>
                <w:noProof/>
                <w:webHidden/>
              </w:rPr>
              <w:fldChar w:fldCharType="begin"/>
            </w:r>
            <w:r w:rsidR="00863FC7">
              <w:rPr>
                <w:noProof/>
                <w:webHidden/>
              </w:rPr>
              <w:instrText xml:space="preserve"> PAGEREF _Toc20744782 \h </w:instrText>
            </w:r>
            <w:r w:rsidR="00863FC7">
              <w:rPr>
                <w:noProof/>
                <w:webHidden/>
              </w:rPr>
            </w:r>
            <w:r w:rsidR="00863FC7">
              <w:rPr>
                <w:noProof/>
                <w:webHidden/>
              </w:rPr>
              <w:fldChar w:fldCharType="separate"/>
            </w:r>
            <w:r w:rsidR="00863FC7">
              <w:rPr>
                <w:noProof/>
                <w:webHidden/>
              </w:rPr>
              <w:t>14</w:t>
            </w:r>
            <w:r w:rsidR="00863FC7">
              <w:rPr>
                <w:noProof/>
                <w:webHidden/>
              </w:rPr>
              <w:fldChar w:fldCharType="end"/>
            </w:r>
          </w:hyperlink>
        </w:p>
        <w:p w14:paraId="00356D50" w14:textId="37DBE989" w:rsidR="00863FC7" w:rsidRDefault="006A31CF">
          <w:pPr>
            <w:pStyle w:val="TOC3"/>
            <w:tabs>
              <w:tab w:val="right" w:leader="dot" w:pos="9346"/>
            </w:tabs>
            <w:rPr>
              <w:noProof/>
              <w:lang w:eastAsia="lv-LV"/>
            </w:rPr>
          </w:pPr>
          <w:hyperlink w:anchor="_Toc20744783" w:history="1">
            <w:r w:rsidR="00863FC7" w:rsidRPr="00FC689A">
              <w:rPr>
                <w:rStyle w:val="Hyperlink"/>
                <w:b/>
                <w:noProof/>
              </w:rPr>
              <w:t>4.2.1. Būvniecības kvalitātes indekss</w:t>
            </w:r>
            <w:r w:rsidR="00863FC7">
              <w:rPr>
                <w:noProof/>
                <w:webHidden/>
              </w:rPr>
              <w:tab/>
            </w:r>
            <w:r w:rsidR="00863FC7">
              <w:rPr>
                <w:noProof/>
                <w:webHidden/>
              </w:rPr>
              <w:fldChar w:fldCharType="begin"/>
            </w:r>
            <w:r w:rsidR="00863FC7">
              <w:rPr>
                <w:noProof/>
                <w:webHidden/>
              </w:rPr>
              <w:instrText xml:space="preserve"> PAGEREF _Toc20744783 \h </w:instrText>
            </w:r>
            <w:r w:rsidR="00863FC7">
              <w:rPr>
                <w:noProof/>
                <w:webHidden/>
              </w:rPr>
            </w:r>
            <w:r w:rsidR="00863FC7">
              <w:rPr>
                <w:noProof/>
                <w:webHidden/>
              </w:rPr>
              <w:fldChar w:fldCharType="separate"/>
            </w:r>
            <w:r w:rsidR="00863FC7">
              <w:rPr>
                <w:noProof/>
                <w:webHidden/>
              </w:rPr>
              <w:t>14</w:t>
            </w:r>
            <w:r w:rsidR="00863FC7">
              <w:rPr>
                <w:noProof/>
                <w:webHidden/>
              </w:rPr>
              <w:fldChar w:fldCharType="end"/>
            </w:r>
          </w:hyperlink>
        </w:p>
        <w:p w14:paraId="1CAF4CFD" w14:textId="24D902E7" w:rsidR="00863FC7" w:rsidRDefault="006A31CF">
          <w:pPr>
            <w:pStyle w:val="TOC3"/>
            <w:tabs>
              <w:tab w:val="right" w:leader="dot" w:pos="9346"/>
            </w:tabs>
            <w:rPr>
              <w:noProof/>
              <w:lang w:eastAsia="lv-LV"/>
            </w:rPr>
          </w:pPr>
          <w:hyperlink w:anchor="_Toc20744784" w:history="1">
            <w:r w:rsidR="00863FC7" w:rsidRPr="00FC689A">
              <w:rPr>
                <w:rStyle w:val="Hyperlink"/>
                <w:b/>
                <w:noProof/>
              </w:rPr>
              <w:t>4.2.2. Būvniecības posmi un apakšprocesi</w:t>
            </w:r>
            <w:r w:rsidR="00863FC7">
              <w:rPr>
                <w:noProof/>
                <w:webHidden/>
              </w:rPr>
              <w:tab/>
            </w:r>
            <w:r w:rsidR="00863FC7">
              <w:rPr>
                <w:noProof/>
                <w:webHidden/>
              </w:rPr>
              <w:fldChar w:fldCharType="begin"/>
            </w:r>
            <w:r w:rsidR="00863FC7">
              <w:rPr>
                <w:noProof/>
                <w:webHidden/>
              </w:rPr>
              <w:instrText xml:space="preserve"> PAGEREF _Toc20744784 \h </w:instrText>
            </w:r>
            <w:r w:rsidR="00863FC7">
              <w:rPr>
                <w:noProof/>
                <w:webHidden/>
              </w:rPr>
            </w:r>
            <w:r w:rsidR="00863FC7">
              <w:rPr>
                <w:noProof/>
                <w:webHidden/>
              </w:rPr>
              <w:fldChar w:fldCharType="separate"/>
            </w:r>
            <w:r w:rsidR="00863FC7">
              <w:rPr>
                <w:noProof/>
                <w:webHidden/>
              </w:rPr>
              <w:t>14</w:t>
            </w:r>
            <w:r w:rsidR="00863FC7">
              <w:rPr>
                <w:noProof/>
                <w:webHidden/>
              </w:rPr>
              <w:fldChar w:fldCharType="end"/>
            </w:r>
          </w:hyperlink>
        </w:p>
        <w:p w14:paraId="0C293EDC" w14:textId="27FB99A1" w:rsidR="00863FC7" w:rsidRDefault="006A31CF">
          <w:pPr>
            <w:pStyle w:val="TOC3"/>
            <w:tabs>
              <w:tab w:val="right" w:leader="dot" w:pos="9346"/>
            </w:tabs>
            <w:rPr>
              <w:noProof/>
              <w:lang w:eastAsia="lv-LV"/>
            </w:rPr>
          </w:pPr>
          <w:hyperlink w:anchor="_Toc20744785" w:history="1">
            <w:r w:rsidR="00863FC7" w:rsidRPr="00FC689A">
              <w:rPr>
                <w:rStyle w:val="Hyperlink"/>
                <w:b/>
                <w:noProof/>
              </w:rPr>
              <w:t>4.2.3. Būvniecības kvalitātes rādītāji</w:t>
            </w:r>
            <w:r w:rsidR="00863FC7">
              <w:rPr>
                <w:noProof/>
                <w:webHidden/>
              </w:rPr>
              <w:tab/>
            </w:r>
            <w:r w:rsidR="00863FC7">
              <w:rPr>
                <w:noProof/>
                <w:webHidden/>
              </w:rPr>
              <w:fldChar w:fldCharType="begin"/>
            </w:r>
            <w:r w:rsidR="00863FC7">
              <w:rPr>
                <w:noProof/>
                <w:webHidden/>
              </w:rPr>
              <w:instrText xml:space="preserve"> PAGEREF _Toc20744785 \h </w:instrText>
            </w:r>
            <w:r w:rsidR="00863FC7">
              <w:rPr>
                <w:noProof/>
                <w:webHidden/>
              </w:rPr>
            </w:r>
            <w:r w:rsidR="00863FC7">
              <w:rPr>
                <w:noProof/>
                <w:webHidden/>
              </w:rPr>
              <w:fldChar w:fldCharType="separate"/>
            </w:r>
            <w:r w:rsidR="00863FC7">
              <w:rPr>
                <w:noProof/>
                <w:webHidden/>
              </w:rPr>
              <w:t>22</w:t>
            </w:r>
            <w:r w:rsidR="00863FC7">
              <w:rPr>
                <w:noProof/>
                <w:webHidden/>
              </w:rPr>
              <w:fldChar w:fldCharType="end"/>
            </w:r>
          </w:hyperlink>
        </w:p>
        <w:p w14:paraId="255D4196" w14:textId="63A883BA" w:rsidR="00863FC7" w:rsidRDefault="006A31CF">
          <w:pPr>
            <w:pStyle w:val="TOC3"/>
            <w:tabs>
              <w:tab w:val="right" w:leader="dot" w:pos="9346"/>
            </w:tabs>
            <w:rPr>
              <w:noProof/>
              <w:lang w:eastAsia="lv-LV"/>
            </w:rPr>
          </w:pPr>
          <w:hyperlink w:anchor="_Toc20744786" w:history="1">
            <w:r w:rsidR="00863FC7" w:rsidRPr="00FC689A">
              <w:rPr>
                <w:rStyle w:val="Hyperlink"/>
                <w:b/>
                <w:noProof/>
              </w:rPr>
              <w:t>4.2.4. Papildu jautājumi par bis izmantošanu un sadarbību ar būvvaldēm</w:t>
            </w:r>
            <w:r w:rsidR="00863FC7">
              <w:rPr>
                <w:noProof/>
                <w:webHidden/>
              </w:rPr>
              <w:tab/>
            </w:r>
            <w:r w:rsidR="00863FC7">
              <w:rPr>
                <w:noProof/>
                <w:webHidden/>
              </w:rPr>
              <w:fldChar w:fldCharType="begin"/>
            </w:r>
            <w:r w:rsidR="00863FC7">
              <w:rPr>
                <w:noProof/>
                <w:webHidden/>
              </w:rPr>
              <w:instrText xml:space="preserve"> PAGEREF _Toc20744786 \h </w:instrText>
            </w:r>
            <w:r w:rsidR="00863FC7">
              <w:rPr>
                <w:noProof/>
                <w:webHidden/>
              </w:rPr>
            </w:r>
            <w:r w:rsidR="00863FC7">
              <w:rPr>
                <w:noProof/>
                <w:webHidden/>
              </w:rPr>
              <w:fldChar w:fldCharType="separate"/>
            </w:r>
            <w:r w:rsidR="00863FC7">
              <w:rPr>
                <w:noProof/>
                <w:webHidden/>
              </w:rPr>
              <w:t>24</w:t>
            </w:r>
            <w:r w:rsidR="00863FC7">
              <w:rPr>
                <w:noProof/>
                <w:webHidden/>
              </w:rPr>
              <w:fldChar w:fldCharType="end"/>
            </w:r>
          </w:hyperlink>
        </w:p>
        <w:p w14:paraId="05A9CBCC" w14:textId="65ABC844" w:rsidR="00863FC7" w:rsidRDefault="006A31CF">
          <w:pPr>
            <w:pStyle w:val="TOC3"/>
            <w:tabs>
              <w:tab w:val="right" w:leader="dot" w:pos="9346"/>
            </w:tabs>
            <w:rPr>
              <w:noProof/>
              <w:lang w:eastAsia="lv-LV"/>
            </w:rPr>
          </w:pPr>
          <w:hyperlink w:anchor="_Toc20744787" w:history="1">
            <w:r w:rsidR="00863FC7" w:rsidRPr="00FC689A">
              <w:rPr>
                <w:rStyle w:val="Hyperlink"/>
                <w:b/>
                <w:noProof/>
              </w:rPr>
              <w:t>4.2.5. Uzņēmumu ieteikumi būvniecības nozares kvalitātes uzlabošanai</w:t>
            </w:r>
            <w:r w:rsidR="00863FC7">
              <w:rPr>
                <w:noProof/>
                <w:webHidden/>
              </w:rPr>
              <w:tab/>
            </w:r>
            <w:r w:rsidR="00863FC7">
              <w:rPr>
                <w:noProof/>
                <w:webHidden/>
              </w:rPr>
              <w:fldChar w:fldCharType="begin"/>
            </w:r>
            <w:r w:rsidR="00863FC7">
              <w:rPr>
                <w:noProof/>
                <w:webHidden/>
              </w:rPr>
              <w:instrText xml:space="preserve"> PAGEREF _Toc20744787 \h </w:instrText>
            </w:r>
            <w:r w:rsidR="00863FC7">
              <w:rPr>
                <w:noProof/>
                <w:webHidden/>
              </w:rPr>
            </w:r>
            <w:r w:rsidR="00863FC7">
              <w:rPr>
                <w:noProof/>
                <w:webHidden/>
              </w:rPr>
              <w:fldChar w:fldCharType="separate"/>
            </w:r>
            <w:r w:rsidR="00863FC7">
              <w:rPr>
                <w:noProof/>
                <w:webHidden/>
              </w:rPr>
              <w:t>25</w:t>
            </w:r>
            <w:r w:rsidR="00863FC7">
              <w:rPr>
                <w:noProof/>
                <w:webHidden/>
              </w:rPr>
              <w:fldChar w:fldCharType="end"/>
            </w:r>
          </w:hyperlink>
        </w:p>
        <w:p w14:paraId="5DFBFC57" w14:textId="2BC9A76C" w:rsidR="00863FC7" w:rsidRDefault="006A31CF">
          <w:pPr>
            <w:pStyle w:val="TOC1"/>
            <w:rPr>
              <w:noProof/>
              <w:lang w:eastAsia="lv-LV"/>
            </w:rPr>
          </w:pPr>
          <w:hyperlink w:anchor="_Toc20744788" w:history="1">
            <w:r w:rsidR="00863FC7" w:rsidRPr="00FC689A">
              <w:rPr>
                <w:rStyle w:val="Hyperlink"/>
                <w:noProof/>
              </w:rPr>
              <w:t>5.</w:t>
            </w:r>
            <w:r w:rsidR="00863FC7">
              <w:rPr>
                <w:noProof/>
                <w:lang w:eastAsia="lv-LV"/>
              </w:rPr>
              <w:tab/>
            </w:r>
            <w:r w:rsidR="00863FC7" w:rsidRPr="00FC689A">
              <w:rPr>
                <w:rStyle w:val="Hyperlink"/>
                <w:noProof/>
              </w:rPr>
              <w:t>Secinājumi un rekomendācijas</w:t>
            </w:r>
            <w:r w:rsidR="00863FC7">
              <w:rPr>
                <w:noProof/>
                <w:webHidden/>
              </w:rPr>
              <w:tab/>
            </w:r>
            <w:r w:rsidR="00863FC7">
              <w:rPr>
                <w:noProof/>
                <w:webHidden/>
              </w:rPr>
              <w:fldChar w:fldCharType="begin"/>
            </w:r>
            <w:r w:rsidR="00863FC7">
              <w:rPr>
                <w:noProof/>
                <w:webHidden/>
              </w:rPr>
              <w:instrText xml:space="preserve"> PAGEREF _Toc20744788 \h </w:instrText>
            </w:r>
            <w:r w:rsidR="00863FC7">
              <w:rPr>
                <w:noProof/>
                <w:webHidden/>
              </w:rPr>
            </w:r>
            <w:r w:rsidR="00863FC7">
              <w:rPr>
                <w:noProof/>
                <w:webHidden/>
              </w:rPr>
              <w:fldChar w:fldCharType="separate"/>
            </w:r>
            <w:r w:rsidR="00863FC7">
              <w:rPr>
                <w:noProof/>
                <w:webHidden/>
              </w:rPr>
              <w:t>27</w:t>
            </w:r>
            <w:r w:rsidR="00863FC7">
              <w:rPr>
                <w:noProof/>
                <w:webHidden/>
              </w:rPr>
              <w:fldChar w:fldCharType="end"/>
            </w:r>
          </w:hyperlink>
        </w:p>
        <w:p w14:paraId="780FCF7D" w14:textId="72289294" w:rsidR="00863FC7" w:rsidRDefault="00863FC7">
          <w:r>
            <w:rPr>
              <w:b/>
              <w:bCs/>
              <w:noProof/>
            </w:rPr>
            <w:fldChar w:fldCharType="end"/>
          </w:r>
        </w:p>
      </w:sdtContent>
    </w:sdt>
    <w:p w14:paraId="1E008AAD" w14:textId="3C2E86BD" w:rsidR="001E4BFF" w:rsidRDefault="001E4BFF" w:rsidP="00520583">
      <w:r>
        <w:br w:type="page"/>
      </w:r>
    </w:p>
    <w:p w14:paraId="5FF3CEF5" w14:textId="6CA03DDD" w:rsidR="001E4BFF" w:rsidRPr="00BA53A4" w:rsidRDefault="00F22CE7" w:rsidP="002824E6">
      <w:pPr>
        <w:pStyle w:val="Heading1"/>
        <w:numPr>
          <w:ilvl w:val="0"/>
          <w:numId w:val="32"/>
        </w:numPr>
      </w:pPr>
      <w:bookmarkStart w:id="0" w:name="_Toc19603245"/>
      <w:bookmarkStart w:id="1" w:name="_Toc20744775"/>
      <w:r w:rsidRPr="00BA53A4">
        <w:lastRenderedPageBreak/>
        <w:t>Ievads</w:t>
      </w:r>
      <w:bookmarkEnd w:id="0"/>
      <w:bookmarkEnd w:id="1"/>
    </w:p>
    <w:p w14:paraId="7EC5B805" w14:textId="7033E77D" w:rsidR="00F22CE7" w:rsidRPr="00490ACD" w:rsidRDefault="00F22CE7" w:rsidP="00490ACD">
      <w:pPr>
        <w:pStyle w:val="Heading2"/>
      </w:pPr>
      <w:bookmarkStart w:id="2" w:name="_Toc19603246"/>
      <w:bookmarkStart w:id="3" w:name="_Toc20744776"/>
      <w:r w:rsidRPr="00490ACD">
        <w:t>1.1. Terminu un saīsinājumu skaidrojums</w:t>
      </w:r>
      <w:bookmarkEnd w:id="2"/>
      <w:bookmarkEnd w:id="3"/>
    </w:p>
    <w:tbl>
      <w:tblPr>
        <w:tblStyle w:val="GridTable1Light"/>
        <w:tblW w:w="0" w:type="auto"/>
        <w:tblLook w:val="04A0" w:firstRow="1" w:lastRow="0" w:firstColumn="1" w:lastColumn="0" w:noHBand="0" w:noVBand="1"/>
      </w:tblPr>
      <w:tblGrid>
        <w:gridCol w:w="4673"/>
        <w:gridCol w:w="4673"/>
      </w:tblGrid>
      <w:tr w:rsidR="00493778" w14:paraId="258C23E6" w14:textId="77777777" w:rsidTr="0049377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3" w:type="dxa"/>
          </w:tcPr>
          <w:p w14:paraId="5B1BFE5D" w14:textId="526AA442" w:rsidR="00493778" w:rsidRDefault="00493778" w:rsidP="002644DF">
            <w:r>
              <w:t>Termins / saīsinājums</w:t>
            </w:r>
          </w:p>
        </w:tc>
        <w:tc>
          <w:tcPr>
            <w:tcW w:w="4673" w:type="dxa"/>
          </w:tcPr>
          <w:p w14:paraId="5BFA1F35" w14:textId="17C0C17F" w:rsidR="00493778" w:rsidRDefault="00493778" w:rsidP="002644DF">
            <w:pPr>
              <w:cnfStyle w:val="100000000000" w:firstRow="1" w:lastRow="0" w:firstColumn="0" w:lastColumn="0" w:oddVBand="0" w:evenVBand="0" w:oddHBand="0" w:evenHBand="0" w:firstRowFirstColumn="0" w:firstRowLastColumn="0" w:lastRowFirstColumn="0" w:lastRowLastColumn="0"/>
            </w:pPr>
            <w:r>
              <w:t>Skaidrojums</w:t>
            </w:r>
          </w:p>
        </w:tc>
      </w:tr>
      <w:tr w:rsidR="00493778" w14:paraId="7A736D12"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0C49FAC3" w14:textId="11DA5D10" w:rsidR="00493778" w:rsidRDefault="00493778" w:rsidP="00493778">
            <w:r>
              <w:t>BIS</w:t>
            </w:r>
          </w:p>
        </w:tc>
        <w:tc>
          <w:tcPr>
            <w:tcW w:w="4673" w:type="dxa"/>
            <w:vAlign w:val="center"/>
          </w:tcPr>
          <w:p w14:paraId="0D25B3E7" w14:textId="0130ED9B" w:rsidR="00493778" w:rsidRDefault="00493778" w:rsidP="00493778">
            <w:pPr>
              <w:cnfStyle w:val="000000000000" w:firstRow="0" w:lastRow="0" w:firstColumn="0" w:lastColumn="0" w:oddVBand="0" w:evenVBand="0" w:oddHBand="0" w:evenHBand="0" w:firstRowFirstColumn="0" w:firstRowLastColumn="0" w:lastRowFirstColumn="0" w:lastRowLastColumn="0"/>
            </w:pPr>
            <w:r>
              <w:t>Būvniecības informācijas sistēma</w:t>
            </w:r>
          </w:p>
        </w:tc>
      </w:tr>
      <w:tr w:rsidR="00493778" w14:paraId="7D081546"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392C48AC" w14:textId="4D180F07" w:rsidR="00493778" w:rsidRDefault="00493778" w:rsidP="00493778">
            <w:r>
              <w:t>BVKB</w:t>
            </w:r>
          </w:p>
        </w:tc>
        <w:tc>
          <w:tcPr>
            <w:tcW w:w="4673" w:type="dxa"/>
            <w:vAlign w:val="center"/>
          </w:tcPr>
          <w:p w14:paraId="72ECAF25" w14:textId="2F055078" w:rsidR="00493778" w:rsidRDefault="00493778" w:rsidP="00493778">
            <w:pPr>
              <w:cnfStyle w:val="000000000000" w:firstRow="0" w:lastRow="0" w:firstColumn="0" w:lastColumn="0" w:oddVBand="0" w:evenVBand="0" w:oddHBand="0" w:evenHBand="0" w:firstRowFirstColumn="0" w:firstRowLastColumn="0" w:lastRowFirstColumn="0" w:lastRowLastColumn="0"/>
            </w:pPr>
            <w:r>
              <w:t>Būvniecības valsts kontroles birojs</w:t>
            </w:r>
          </w:p>
        </w:tc>
      </w:tr>
      <w:tr w:rsidR="00493778" w14:paraId="5D924721"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3A2521EE" w14:textId="79ECD120" w:rsidR="00493778" w:rsidRDefault="00493778" w:rsidP="00493778">
            <w:r>
              <w:t>CAPI</w:t>
            </w:r>
          </w:p>
        </w:tc>
        <w:tc>
          <w:tcPr>
            <w:tcW w:w="4673" w:type="dxa"/>
            <w:vAlign w:val="center"/>
          </w:tcPr>
          <w:p w14:paraId="3D9378E9" w14:textId="3EF70901" w:rsidR="00493778" w:rsidRDefault="00493778" w:rsidP="00493778">
            <w:pPr>
              <w:cnfStyle w:val="000000000000" w:firstRow="0" w:lastRow="0" w:firstColumn="0" w:lastColumn="0" w:oddVBand="0" w:evenVBand="0" w:oddHBand="0" w:evenHBand="0" w:firstRowFirstColumn="0" w:firstRowLastColumn="0" w:lastRowFirstColumn="0" w:lastRowLastColumn="0"/>
            </w:pPr>
            <w:proofErr w:type="spellStart"/>
            <w:r w:rsidRPr="008E5C76">
              <w:rPr>
                <w:i/>
              </w:rPr>
              <w:t>Computer</w:t>
            </w:r>
            <w:proofErr w:type="spellEnd"/>
            <w:r w:rsidRPr="008E5C76">
              <w:rPr>
                <w:i/>
              </w:rPr>
              <w:t xml:space="preserve"> </w:t>
            </w:r>
            <w:proofErr w:type="spellStart"/>
            <w:r w:rsidRPr="008E5C76">
              <w:rPr>
                <w:i/>
              </w:rPr>
              <w:t>assisted</w:t>
            </w:r>
            <w:proofErr w:type="spellEnd"/>
            <w:r w:rsidRPr="008E5C76">
              <w:rPr>
                <w:i/>
              </w:rPr>
              <w:t xml:space="preserve"> </w:t>
            </w:r>
            <w:proofErr w:type="spellStart"/>
            <w:r w:rsidRPr="008E5C76">
              <w:rPr>
                <w:i/>
              </w:rPr>
              <w:t>personal</w:t>
            </w:r>
            <w:proofErr w:type="spellEnd"/>
            <w:r w:rsidRPr="008E5C76">
              <w:rPr>
                <w:i/>
              </w:rPr>
              <w:t xml:space="preserve"> </w:t>
            </w:r>
            <w:proofErr w:type="spellStart"/>
            <w:r w:rsidRPr="008E5C76">
              <w:rPr>
                <w:i/>
              </w:rPr>
              <w:t>interview</w:t>
            </w:r>
            <w:proofErr w:type="spellEnd"/>
            <w:r w:rsidRPr="008E5C76">
              <w:rPr>
                <w:i/>
              </w:rPr>
              <w:t xml:space="preserve"> </w:t>
            </w:r>
            <w:r w:rsidRPr="008E5C76">
              <w:t>(Datorizēta tiešā intervija)</w:t>
            </w:r>
          </w:p>
        </w:tc>
      </w:tr>
      <w:tr w:rsidR="00493778" w14:paraId="6088A03B"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4FBF9793" w14:textId="3CD1B296" w:rsidR="00493778" w:rsidRDefault="00493778" w:rsidP="00493778">
            <w:r>
              <w:t>CATI</w:t>
            </w:r>
          </w:p>
        </w:tc>
        <w:tc>
          <w:tcPr>
            <w:tcW w:w="4673" w:type="dxa"/>
            <w:vAlign w:val="center"/>
          </w:tcPr>
          <w:p w14:paraId="0426D366" w14:textId="53BD030D" w:rsidR="00493778" w:rsidRDefault="00493778" w:rsidP="00493778">
            <w:pPr>
              <w:cnfStyle w:val="000000000000" w:firstRow="0" w:lastRow="0" w:firstColumn="0" w:lastColumn="0" w:oddVBand="0" w:evenVBand="0" w:oddHBand="0" w:evenHBand="0" w:firstRowFirstColumn="0" w:firstRowLastColumn="0" w:lastRowFirstColumn="0" w:lastRowLastColumn="0"/>
            </w:pPr>
            <w:proofErr w:type="spellStart"/>
            <w:r w:rsidRPr="008E5C76">
              <w:rPr>
                <w:i/>
              </w:rPr>
              <w:t>Computer</w:t>
            </w:r>
            <w:proofErr w:type="spellEnd"/>
            <w:r w:rsidRPr="008E5C76">
              <w:rPr>
                <w:i/>
              </w:rPr>
              <w:t xml:space="preserve"> </w:t>
            </w:r>
            <w:proofErr w:type="spellStart"/>
            <w:r w:rsidRPr="008E5C76">
              <w:rPr>
                <w:i/>
              </w:rPr>
              <w:t>assisted</w:t>
            </w:r>
            <w:proofErr w:type="spellEnd"/>
            <w:r w:rsidRPr="008E5C76">
              <w:rPr>
                <w:i/>
              </w:rPr>
              <w:t xml:space="preserve"> </w:t>
            </w:r>
            <w:proofErr w:type="spellStart"/>
            <w:r w:rsidRPr="008E5C76">
              <w:rPr>
                <w:i/>
              </w:rPr>
              <w:t>telephone</w:t>
            </w:r>
            <w:proofErr w:type="spellEnd"/>
            <w:r w:rsidRPr="008E5C76">
              <w:rPr>
                <w:i/>
              </w:rPr>
              <w:t xml:space="preserve"> </w:t>
            </w:r>
            <w:proofErr w:type="spellStart"/>
            <w:r w:rsidRPr="008E5C76">
              <w:rPr>
                <w:i/>
              </w:rPr>
              <w:t>interview</w:t>
            </w:r>
            <w:proofErr w:type="spellEnd"/>
            <w:r w:rsidRPr="008E5C76">
              <w:rPr>
                <w:i/>
              </w:rPr>
              <w:t xml:space="preserve"> </w:t>
            </w:r>
            <w:r w:rsidRPr="008E5C76">
              <w:t>(Datorizēta telefona intervija)</w:t>
            </w:r>
          </w:p>
        </w:tc>
      </w:tr>
      <w:tr w:rsidR="00493778" w14:paraId="1094E46A"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7477EFC4" w14:textId="526880BE" w:rsidR="00493778" w:rsidRPr="004B1E27" w:rsidRDefault="00493778" w:rsidP="00493778">
            <w:r w:rsidRPr="004B1E27">
              <w:t>CSP</w:t>
            </w:r>
          </w:p>
        </w:tc>
        <w:tc>
          <w:tcPr>
            <w:tcW w:w="4673" w:type="dxa"/>
            <w:vAlign w:val="center"/>
          </w:tcPr>
          <w:p w14:paraId="38362777" w14:textId="0E1FC7ED" w:rsidR="00493778" w:rsidRPr="004B1E27" w:rsidRDefault="00493778" w:rsidP="00493778">
            <w:pPr>
              <w:cnfStyle w:val="000000000000" w:firstRow="0" w:lastRow="0" w:firstColumn="0" w:lastColumn="0" w:oddVBand="0" w:evenVBand="0" w:oddHBand="0" w:evenHBand="0" w:firstRowFirstColumn="0" w:firstRowLastColumn="0" w:lastRowFirstColumn="0" w:lastRowLastColumn="0"/>
            </w:pPr>
            <w:r w:rsidRPr="004B1E27">
              <w:t>Centrālā statistikas pārvalde</w:t>
            </w:r>
          </w:p>
        </w:tc>
      </w:tr>
      <w:tr w:rsidR="00493778" w14:paraId="4F6CC9EF"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3B0B645D" w14:textId="308E6C1F" w:rsidR="00493778" w:rsidRDefault="00493778" w:rsidP="00493778">
            <w:r>
              <w:t>EM, Pasūtītājs</w:t>
            </w:r>
          </w:p>
        </w:tc>
        <w:tc>
          <w:tcPr>
            <w:tcW w:w="4673" w:type="dxa"/>
            <w:vAlign w:val="center"/>
          </w:tcPr>
          <w:p w14:paraId="3F1623EB" w14:textId="2B38E15C" w:rsidR="00493778" w:rsidRDefault="00493778" w:rsidP="00493778">
            <w:pPr>
              <w:cnfStyle w:val="000000000000" w:firstRow="0" w:lastRow="0" w:firstColumn="0" w:lastColumn="0" w:oddVBand="0" w:evenVBand="0" w:oddHBand="0" w:evenHBand="0" w:firstRowFirstColumn="0" w:firstRowLastColumn="0" w:lastRowFirstColumn="0" w:lastRowLastColumn="0"/>
            </w:pPr>
            <w:r w:rsidRPr="008E5C76">
              <w:t>Ekonomikas ministrija</w:t>
            </w:r>
          </w:p>
        </w:tc>
      </w:tr>
      <w:tr w:rsidR="00493778" w14:paraId="38148952"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1B8BAE51" w14:textId="75BEA4E7" w:rsidR="00493778" w:rsidRDefault="00493778" w:rsidP="00493778">
            <w:r>
              <w:t>Iepirkums, Projekts</w:t>
            </w:r>
          </w:p>
        </w:tc>
        <w:tc>
          <w:tcPr>
            <w:tcW w:w="4673" w:type="dxa"/>
            <w:vAlign w:val="center"/>
          </w:tcPr>
          <w:p w14:paraId="58AB20C2" w14:textId="2DCABB00" w:rsidR="00493778" w:rsidRDefault="00493778" w:rsidP="00493778">
            <w:pPr>
              <w:cnfStyle w:val="000000000000" w:firstRow="0" w:lastRow="0" w:firstColumn="0" w:lastColumn="0" w:oddVBand="0" w:evenVBand="0" w:oddHBand="0" w:evenHBand="0" w:firstRowFirstColumn="0" w:firstRowLastColumn="0" w:lastRowFirstColumn="0" w:lastRowLastColumn="0"/>
            </w:pPr>
            <w:r>
              <w:t>„</w:t>
            </w:r>
            <w:r w:rsidRPr="00265DBD">
              <w:t xml:space="preserve">Latvijas </w:t>
            </w:r>
            <w:r w:rsidR="002A16B8">
              <w:t>b</w:t>
            </w:r>
            <w:r w:rsidRPr="00265DBD">
              <w:t>ūvniecības nozares kvalitātes indeksa noteikšana, veicot būvniecības procesā iesaistīto procesa dalībnieku aptauju</w:t>
            </w:r>
            <w:r>
              <w:t>” (ID Nr. EM 2019/31)</w:t>
            </w:r>
          </w:p>
        </w:tc>
      </w:tr>
      <w:tr w:rsidR="00493778" w14:paraId="70B40D98" w14:textId="77777777" w:rsidTr="00EC4807">
        <w:tc>
          <w:tcPr>
            <w:cnfStyle w:val="001000000000" w:firstRow="0" w:lastRow="0" w:firstColumn="1" w:lastColumn="0" w:oddVBand="0" w:evenVBand="0" w:oddHBand="0" w:evenHBand="0" w:firstRowFirstColumn="0" w:firstRowLastColumn="0" w:lastRowFirstColumn="0" w:lastRowLastColumn="0"/>
            <w:tcW w:w="4673" w:type="dxa"/>
            <w:vAlign w:val="center"/>
          </w:tcPr>
          <w:p w14:paraId="326DB437" w14:textId="1B3E3975" w:rsidR="00493778" w:rsidRPr="004B1E27" w:rsidRDefault="00493778" w:rsidP="00493778">
            <w:r w:rsidRPr="004B1E27">
              <w:t>Izpildītājs</w:t>
            </w:r>
          </w:p>
        </w:tc>
        <w:tc>
          <w:tcPr>
            <w:tcW w:w="4673" w:type="dxa"/>
            <w:vAlign w:val="center"/>
          </w:tcPr>
          <w:p w14:paraId="35A75D53" w14:textId="7EAB91D8" w:rsidR="00493778" w:rsidRPr="004B1E27" w:rsidRDefault="00493778" w:rsidP="00493778">
            <w:pPr>
              <w:cnfStyle w:val="000000000000" w:firstRow="0" w:lastRow="0" w:firstColumn="0" w:lastColumn="0" w:oddVBand="0" w:evenVBand="0" w:oddHBand="0" w:evenHBand="0" w:firstRowFirstColumn="0" w:firstRowLastColumn="0" w:lastRowFirstColumn="0" w:lastRowLastColumn="0"/>
            </w:pPr>
            <w:r w:rsidRPr="004B1E27">
              <w:t>SIA “TNS Latvia”</w:t>
            </w:r>
          </w:p>
        </w:tc>
      </w:tr>
    </w:tbl>
    <w:p w14:paraId="5716C5F0" w14:textId="77777777" w:rsidR="00493778" w:rsidRDefault="00493778" w:rsidP="002644DF"/>
    <w:p w14:paraId="6D0EC598" w14:textId="67A77476" w:rsidR="00600115" w:rsidRDefault="00600115" w:rsidP="00520583">
      <w:pPr>
        <w:pStyle w:val="Heading2"/>
      </w:pPr>
      <w:bookmarkStart w:id="4" w:name="_Toc19603247"/>
      <w:bookmarkStart w:id="5" w:name="_Toc20744777"/>
      <w:r>
        <w:t xml:space="preserve">1.2. </w:t>
      </w:r>
      <w:r w:rsidR="00705A39">
        <w:t>P</w:t>
      </w:r>
      <w:r w:rsidR="00E141C9">
        <w:t>ētījuma</w:t>
      </w:r>
      <w:r>
        <w:t xml:space="preserve"> nolūks un tvērums</w:t>
      </w:r>
      <w:bookmarkEnd w:id="4"/>
      <w:bookmarkEnd w:id="5"/>
    </w:p>
    <w:p w14:paraId="50F81C0A" w14:textId="4A2950A8" w:rsidR="00600115" w:rsidRPr="00AC5617" w:rsidRDefault="00AC5617" w:rsidP="00E15D07">
      <w:pPr>
        <w:rPr>
          <w:b/>
        </w:rPr>
      </w:pPr>
      <w:r>
        <w:rPr>
          <w:b/>
        </w:rPr>
        <w:t>M</w:t>
      </w:r>
      <w:r w:rsidR="00F75F84" w:rsidRPr="00AC5617">
        <w:rPr>
          <w:b/>
        </w:rPr>
        <w:t>ērķi</w:t>
      </w:r>
      <w:r>
        <w:rPr>
          <w:b/>
        </w:rPr>
        <w:t>s</w:t>
      </w:r>
      <w:r w:rsidR="00F75F84" w:rsidRPr="00AC5617">
        <w:rPr>
          <w:b/>
        </w:rPr>
        <w:t xml:space="preserve"> un uzdevumi</w:t>
      </w:r>
    </w:p>
    <w:p w14:paraId="04BF2BA3" w14:textId="7AE5E52B" w:rsidR="0015099E" w:rsidRDefault="00AC5617" w:rsidP="006E01A6">
      <w:pPr>
        <w:spacing w:line="360" w:lineRule="auto"/>
      </w:pPr>
      <w:r>
        <w:t>M</w:t>
      </w:r>
      <w:r w:rsidR="00021036" w:rsidRPr="003B7F1C">
        <w:t>ērķis ir izveidot ilgtspējīgu Latvijas būvniecības nozares pakalpojumu kvalitātes monitoringa sistēmu. Pakalpojumu kvalitātes monitoringa</w:t>
      </w:r>
      <w:r w:rsidR="00021036">
        <w:t>m</w:t>
      </w:r>
      <w:r w:rsidR="00021036" w:rsidRPr="003B7F1C">
        <w:t xml:space="preserve"> </w:t>
      </w:r>
      <w:r w:rsidR="00021036">
        <w:t>jā</w:t>
      </w:r>
      <w:r w:rsidR="00021036" w:rsidRPr="003B7F1C">
        <w:t>snie</w:t>
      </w:r>
      <w:r w:rsidR="00021036">
        <w:t>dz</w:t>
      </w:r>
      <w:r w:rsidR="00021036" w:rsidRPr="003B7F1C">
        <w:t xml:space="preserve"> objektīv</w:t>
      </w:r>
      <w:r w:rsidR="00021036">
        <w:t>a</w:t>
      </w:r>
      <w:r w:rsidR="00021036" w:rsidRPr="003B7F1C">
        <w:t xml:space="preserve"> kopējo būvniecības nozares procesa un attiecīgo apakšprocesu kvalitātes mērījumu sistēm</w:t>
      </w:r>
      <w:r w:rsidR="00021036">
        <w:t>a</w:t>
      </w:r>
      <w:r w:rsidR="00021036" w:rsidRPr="003B7F1C">
        <w:t>, lai turpmāk sistemātiski izzinātu nozares dalībnieku viedokļus, apkopotu secinājumus, izstrādātu pamatotus uzlabojumu priekšlikumus un nepārtraukti uzlabotu būvniecības regulējuma un procesu kvalitāti un efektivitāti.</w:t>
      </w:r>
    </w:p>
    <w:p w14:paraId="3FDAD0D9" w14:textId="657D2C4C" w:rsidR="00370A30" w:rsidRDefault="00094ABA" w:rsidP="006E01A6">
      <w:pPr>
        <w:spacing w:line="360" w:lineRule="auto"/>
      </w:pPr>
      <w:r>
        <w:t>Uzdevumi:</w:t>
      </w:r>
    </w:p>
    <w:p w14:paraId="0E195613" w14:textId="2EF13D2A" w:rsidR="007D15B6" w:rsidRDefault="007D15B6" w:rsidP="006E01A6">
      <w:pPr>
        <w:pStyle w:val="ListParagraph"/>
        <w:numPr>
          <w:ilvl w:val="0"/>
          <w:numId w:val="12"/>
        </w:numPr>
        <w:spacing w:line="360" w:lineRule="auto"/>
      </w:pPr>
      <w:r>
        <w:t>Aptaujas anketas izstrāde;</w:t>
      </w:r>
    </w:p>
    <w:p w14:paraId="58F98031" w14:textId="1804F1EC" w:rsidR="00094ABA" w:rsidRDefault="002D17B6" w:rsidP="006E01A6">
      <w:pPr>
        <w:pStyle w:val="ListParagraph"/>
        <w:numPr>
          <w:ilvl w:val="0"/>
          <w:numId w:val="12"/>
        </w:numPr>
        <w:spacing w:line="360" w:lineRule="auto"/>
      </w:pPr>
      <w:r>
        <w:t>B</w:t>
      </w:r>
      <w:r w:rsidR="00094ABA">
        <w:t>ūvniecības procesu dalībnieku aptauj</w:t>
      </w:r>
      <w:r>
        <w:t>as veikšana</w:t>
      </w:r>
      <w:r w:rsidR="00094ABA">
        <w:t>;</w:t>
      </w:r>
    </w:p>
    <w:p w14:paraId="69C8DE1C" w14:textId="5574CC36" w:rsidR="00094ABA" w:rsidRDefault="002D17B6" w:rsidP="006E01A6">
      <w:pPr>
        <w:pStyle w:val="ListParagraph"/>
        <w:numPr>
          <w:ilvl w:val="0"/>
          <w:numId w:val="12"/>
        </w:numPr>
        <w:spacing w:line="360" w:lineRule="auto"/>
      </w:pPr>
      <w:r>
        <w:t>Pirmā</w:t>
      </w:r>
      <w:r w:rsidR="001F4F89">
        <w:t xml:space="preserve"> būvniecības kvalitātes indeksa </w:t>
      </w:r>
      <w:r>
        <w:t>ieguve</w:t>
      </w:r>
      <w:r w:rsidR="001F4F89">
        <w:t xml:space="preserve"> atbilstoši izstrādātajai metodoloģijai</w:t>
      </w:r>
      <w:r w:rsidR="007D15B6">
        <w:t xml:space="preserve">, kas būs atskaites punkts turpmākai </w:t>
      </w:r>
      <w:r w:rsidR="007D15B6" w:rsidRPr="003B7F1C">
        <w:t>Latvijas būvniecības nozares pakalpojumu kvalitātes monitoringa sistēm</w:t>
      </w:r>
      <w:r w:rsidR="007D15B6">
        <w:t>ai</w:t>
      </w:r>
      <w:r w:rsidR="001F4F89">
        <w:t>;</w:t>
      </w:r>
    </w:p>
    <w:p w14:paraId="6E1BE602" w14:textId="68224814" w:rsidR="002D17B6" w:rsidRDefault="002D17B6" w:rsidP="006E01A6">
      <w:pPr>
        <w:pStyle w:val="ListParagraph"/>
        <w:numPr>
          <w:ilvl w:val="0"/>
          <w:numId w:val="12"/>
        </w:numPr>
        <w:spacing w:line="360" w:lineRule="auto"/>
      </w:pPr>
      <w:r>
        <w:lastRenderedPageBreak/>
        <w:t>Z</w:t>
      </w:r>
      <w:r w:rsidRPr="00643853">
        <w:t>iņojum</w:t>
      </w:r>
      <w:r w:rsidR="00AC5AEE">
        <w:t>u</w:t>
      </w:r>
      <w:r w:rsidRPr="00643853">
        <w:t xml:space="preserve"> par </w:t>
      </w:r>
      <w:r w:rsidRPr="00643853">
        <w:rPr>
          <w:noProof/>
        </w:rPr>
        <w:t>Latvijas būvniecības nozares kvalitātes indeksa mērījumu izstrād</w:t>
      </w:r>
      <w:r>
        <w:rPr>
          <w:noProof/>
        </w:rPr>
        <w:t>e</w:t>
      </w:r>
      <w:r w:rsidR="00AC5AEE">
        <w:rPr>
          <w:noProof/>
        </w:rPr>
        <w:t xml:space="preserve"> (atsevišķ</w:t>
      </w:r>
      <w:r w:rsidR="007C37BD">
        <w:rPr>
          <w:noProof/>
        </w:rPr>
        <w:t>s</w:t>
      </w:r>
      <w:r w:rsidR="00AC5AEE">
        <w:rPr>
          <w:noProof/>
        </w:rPr>
        <w:t xml:space="preserve"> ziņojum</w:t>
      </w:r>
      <w:r w:rsidR="007C37BD">
        <w:rPr>
          <w:noProof/>
        </w:rPr>
        <w:t>s</w:t>
      </w:r>
      <w:r w:rsidR="00AC5AEE">
        <w:rPr>
          <w:noProof/>
        </w:rPr>
        <w:t xml:space="preserve"> par metodoloģiju un atsevišķ</w:t>
      </w:r>
      <w:r w:rsidR="007C37BD">
        <w:rPr>
          <w:noProof/>
        </w:rPr>
        <w:t>s</w:t>
      </w:r>
      <w:r w:rsidR="00AC5AEE">
        <w:rPr>
          <w:noProof/>
        </w:rPr>
        <w:t xml:space="preserve"> ziņojum</w:t>
      </w:r>
      <w:r w:rsidR="007C37BD">
        <w:rPr>
          <w:noProof/>
        </w:rPr>
        <w:t>s par galvenajiem rezultātiem</w:t>
      </w:r>
      <w:r w:rsidR="00AC5AEE">
        <w:rPr>
          <w:noProof/>
        </w:rPr>
        <w:t>)</w:t>
      </w:r>
      <w:r>
        <w:rPr>
          <w:noProof/>
        </w:rPr>
        <w:t>;</w:t>
      </w:r>
    </w:p>
    <w:p w14:paraId="37213F7F" w14:textId="6A2B46F7" w:rsidR="001F4F89" w:rsidRDefault="002D17B6" w:rsidP="006E01A6">
      <w:pPr>
        <w:pStyle w:val="ListParagraph"/>
        <w:numPr>
          <w:ilvl w:val="0"/>
          <w:numId w:val="12"/>
        </w:numPr>
        <w:spacing w:line="360" w:lineRule="auto"/>
      </w:pPr>
      <w:r>
        <w:t>P</w:t>
      </w:r>
      <w:r w:rsidRPr="00643853">
        <w:t>rezentācijas sniegšan</w:t>
      </w:r>
      <w:r>
        <w:t>a</w:t>
      </w:r>
      <w:r w:rsidRPr="00643853">
        <w:t xml:space="preserve"> Pasūtītājam un Latvijas Būvniecības padomei</w:t>
      </w:r>
      <w:r w:rsidR="001F4F89">
        <w:t>.</w:t>
      </w:r>
    </w:p>
    <w:p w14:paraId="4E5699A2" w14:textId="0C842605" w:rsidR="00F75F84" w:rsidRPr="00E141C9" w:rsidRDefault="00E141C9" w:rsidP="006E01A6">
      <w:pPr>
        <w:spacing w:line="360" w:lineRule="auto"/>
        <w:rPr>
          <w:b/>
        </w:rPr>
      </w:pPr>
      <w:r>
        <w:rPr>
          <w:b/>
        </w:rPr>
        <w:t>Pētījuma</w:t>
      </w:r>
      <w:r w:rsidR="00372736" w:rsidRPr="00E141C9">
        <w:rPr>
          <w:b/>
        </w:rPr>
        <w:t xml:space="preserve"> tvērums</w:t>
      </w:r>
    </w:p>
    <w:p w14:paraId="0BCA6C4F" w14:textId="149695C4" w:rsidR="00E141C9" w:rsidRDefault="00E141C9" w:rsidP="006E01A6">
      <w:pPr>
        <w:spacing w:line="360" w:lineRule="auto"/>
      </w:pPr>
      <w:r>
        <w:t xml:space="preserve">Būvniecības nozares kvalitātes indekss ir veidots saskaņā ar </w:t>
      </w:r>
      <w:r w:rsidR="007D15B6">
        <w:t>projekta</w:t>
      </w:r>
      <w:r>
        <w:t xml:space="preserve"> „</w:t>
      </w:r>
      <w:r w:rsidR="00265DBD" w:rsidRPr="00265DBD">
        <w:t xml:space="preserve">Latvijas </w:t>
      </w:r>
      <w:r w:rsidR="002A16B8">
        <w:t>b</w:t>
      </w:r>
      <w:r w:rsidR="00265DBD" w:rsidRPr="00265DBD">
        <w:t>ūvniecības nozares kvalitātes indeksa noteikšana, veicot būvniecības procesā iesaistīto procesa dalībnieku aptauju</w:t>
      </w:r>
      <w:r>
        <w:t>” (ID Nr. EM 201</w:t>
      </w:r>
      <w:r w:rsidR="00265DBD">
        <w:t>9</w:t>
      </w:r>
      <w:r>
        <w:t>/3</w:t>
      </w:r>
      <w:r w:rsidR="00265DBD">
        <w:t>1</w:t>
      </w:r>
      <w:r>
        <w:t xml:space="preserve">) </w:t>
      </w:r>
      <w:r w:rsidR="007D15B6">
        <w:t>līguma</w:t>
      </w:r>
      <w:r>
        <w:t xml:space="preserve"> </w:t>
      </w:r>
      <w:r w:rsidR="00204949">
        <w:t>1</w:t>
      </w:r>
      <w:r>
        <w:t>. pielikum</w:t>
      </w:r>
      <w:r w:rsidR="007D15B6">
        <w:t>ā</w:t>
      </w:r>
      <w:r>
        <w:t xml:space="preserve"> </w:t>
      </w:r>
      <w:r w:rsidR="00265DBD">
        <w:t>“T</w:t>
      </w:r>
      <w:r>
        <w:t>ehniskā specifikācija</w:t>
      </w:r>
      <w:r w:rsidR="00265DBD">
        <w:t>”</w:t>
      </w:r>
      <w:r>
        <w:t xml:space="preserve"> definēto tvērumu</w:t>
      </w:r>
      <w:r w:rsidR="00265DBD">
        <w:t>.</w:t>
      </w:r>
    </w:p>
    <w:p w14:paraId="2D2FF9F4" w14:textId="7BCA7753" w:rsidR="003F6984" w:rsidRPr="00862129" w:rsidRDefault="003F6984" w:rsidP="006E01A6">
      <w:pPr>
        <w:spacing w:line="360" w:lineRule="auto"/>
        <w:rPr>
          <w:b/>
        </w:rPr>
      </w:pPr>
      <w:r w:rsidRPr="00862129">
        <w:rPr>
          <w:b/>
        </w:rPr>
        <w:t>Pieņēmumi un ierobežojumi</w:t>
      </w:r>
    </w:p>
    <w:p w14:paraId="4E1DBD94" w14:textId="6C8D4BDD" w:rsidR="00D37046" w:rsidRDefault="003F6984" w:rsidP="006E01A6">
      <w:pPr>
        <w:spacing w:line="360" w:lineRule="auto"/>
      </w:pPr>
      <w:r w:rsidRPr="003F6984">
        <w:t>Pētījumu nedrīkst pavairot, pārsūtīt, pārrakstīt, uzglabāt elektroniskā meklēšanas sistēmā vai tulkot citā valodā bez iepriekš saņemtas EM atļaujas. Nav pieļaujama dokumentā ietvertās informācijas satura pārveidošana. Pievienojot norādi uz oriģinālo dokumentu, atļauta dokumentā ietvertās informācijas citēšana.</w:t>
      </w:r>
    </w:p>
    <w:p w14:paraId="03A44E22" w14:textId="77777777" w:rsidR="00D37046" w:rsidRDefault="00D37046" w:rsidP="00520583">
      <w:r>
        <w:br w:type="page"/>
      </w:r>
    </w:p>
    <w:p w14:paraId="5CCFE9B9" w14:textId="0EA8638B" w:rsidR="007A1382" w:rsidRPr="00BA53A4" w:rsidRDefault="00D37046" w:rsidP="002824E6">
      <w:pPr>
        <w:pStyle w:val="Heading1"/>
        <w:numPr>
          <w:ilvl w:val="0"/>
          <w:numId w:val="32"/>
        </w:numPr>
      </w:pPr>
      <w:bookmarkStart w:id="6" w:name="_Toc19603248"/>
      <w:bookmarkStart w:id="7" w:name="_Toc20744778"/>
      <w:r w:rsidRPr="00BA53A4">
        <w:lastRenderedPageBreak/>
        <w:t>Kopsavilkums</w:t>
      </w:r>
      <w:bookmarkEnd w:id="6"/>
      <w:bookmarkEnd w:id="7"/>
    </w:p>
    <w:p w14:paraId="414918AE" w14:textId="6FFC3912" w:rsidR="0012104D" w:rsidRDefault="00663796" w:rsidP="00D2387C">
      <w:pPr>
        <w:spacing w:line="360" w:lineRule="auto"/>
      </w:pPr>
      <w:r>
        <w:t>2019.</w:t>
      </w:r>
      <w:r w:rsidR="00D2387C">
        <w:t xml:space="preserve"> </w:t>
      </w:r>
      <w:r>
        <w:t xml:space="preserve">gada augustā veikts pirmais </w:t>
      </w:r>
      <w:r w:rsidRPr="003B7F1C">
        <w:t>Latvijas būvniecības nozares pakalpojumu kvalitātes</w:t>
      </w:r>
      <w:r>
        <w:t xml:space="preserve"> indekss, aptaujājot </w:t>
      </w:r>
      <w:r w:rsidRPr="00663796">
        <w:t>būvniecības procesā iesaistīto</w:t>
      </w:r>
      <w:r w:rsidR="00D2387C">
        <w:t>s</w:t>
      </w:r>
      <w:r w:rsidRPr="00663796">
        <w:t xml:space="preserve"> procesa dalībnieku</w:t>
      </w:r>
      <w:r>
        <w:t>s. Saskaņā ar 2018.</w:t>
      </w:r>
      <w:r w:rsidR="00D2387C">
        <w:t xml:space="preserve"> </w:t>
      </w:r>
      <w:r>
        <w:t>gad</w:t>
      </w:r>
      <w:r w:rsidR="00D2387C">
        <w:t>ā izstrādāto</w:t>
      </w:r>
      <w:r>
        <w:t xml:space="preserve"> metodoloģiju kopumā tika aptaujāti </w:t>
      </w:r>
      <w:r w:rsidR="00D2387C">
        <w:t>304 Latvijas būvniecības procesā iesaistīti uzņēmumi vai organizācijas, kuri pēdējā gada laikā ir snieguši vai saņēmuši būvniecības pakalpojumus.</w:t>
      </w:r>
    </w:p>
    <w:p w14:paraId="49D3BECD" w14:textId="4E7E917D" w:rsidR="00D2387C" w:rsidRDefault="00D2387C" w:rsidP="00D2387C">
      <w:pPr>
        <w:spacing w:line="360" w:lineRule="auto"/>
      </w:pPr>
      <w:r>
        <w:t>Pirmie indeksa rezultāti turpmāk kalpos kā atskaites punkts nākamajiem mērījumiem.</w:t>
      </w:r>
    </w:p>
    <w:p w14:paraId="39AEF813" w14:textId="3A266292" w:rsidR="00D2387C" w:rsidRPr="00322ECC" w:rsidRDefault="00D2387C" w:rsidP="00D2387C">
      <w:pPr>
        <w:spacing w:line="360" w:lineRule="auto"/>
      </w:pPr>
      <w:r w:rsidRPr="00322ECC">
        <w:t xml:space="preserve">Saskaņā ar metodoloģiju indekss ir strukturēts divās savstarpēji saistītās daļās. Pirmajā daļā iekļauts pakalpojumu grupu kvalitātes vērtējums, bet otrajā – būvniecības </w:t>
      </w:r>
      <w:r w:rsidR="0016440D" w:rsidRPr="00322ECC">
        <w:t xml:space="preserve">apakšprocesu un </w:t>
      </w:r>
      <w:r w:rsidRPr="00322ECC">
        <w:t>posmu kvalitātes vērtējums. Posmu kvalitātes vērtējums tiek aprēķināts, izmantojot pakalpojumu grupu kvalitātes vērtējumu. Savukārt vērtējumu aprēķina loģika ir atšķirīga. Pakalpojumu grupu vērtējums tiek izteikts, izmantojot būvniecības nozares organizāciju vērtējumu par saņemtajiem pakalpojumiem skalā no 0 līdz 10. Apakšprocesu un posmu vērtējums aprēķināts</w:t>
      </w:r>
      <w:r w:rsidR="006D1716">
        <w:t>,</w:t>
      </w:r>
      <w:r w:rsidRPr="00322ECC">
        <w:t xml:space="preserve"> pakalpojumu grupu novērtējumu pārvēršot punktos un to kvalitāti izsakot kā vērtību procentuālā skalā.</w:t>
      </w:r>
    </w:p>
    <w:p w14:paraId="2E363331" w14:textId="7BF0B774" w:rsidR="00D2387C" w:rsidRDefault="0016440D" w:rsidP="00D2387C">
      <w:pPr>
        <w:spacing w:line="360" w:lineRule="auto"/>
      </w:pPr>
      <w:r w:rsidRPr="00322ECC">
        <w:t xml:space="preserve">Saskaņā ar metodoloģiju indekss tiek aprēķināts vairākos līmeņos – no </w:t>
      </w:r>
      <w:r w:rsidR="00A94918" w:rsidRPr="00322ECC">
        <w:t xml:space="preserve">konkrētu </w:t>
      </w:r>
      <w:r w:rsidRPr="00322ECC">
        <w:t>pakalpojumu</w:t>
      </w:r>
      <w:r w:rsidR="00A94918" w:rsidRPr="00322ECC">
        <w:t xml:space="preserve"> </w:t>
      </w:r>
      <w:r w:rsidRPr="00322ECC">
        <w:t>grup</w:t>
      </w:r>
      <w:r w:rsidR="00A94918" w:rsidRPr="00322ECC">
        <w:t>u</w:t>
      </w:r>
      <w:r w:rsidRPr="00322ECC">
        <w:t xml:space="preserve"> līmeņa līdz būvniecības procesa posmiem</w:t>
      </w:r>
      <w:r w:rsidR="00A94918" w:rsidRPr="00322ECC">
        <w:t>, kopumā</w:t>
      </w:r>
      <w:r w:rsidRPr="00322ECC">
        <w:t xml:space="preserve"> izdalot četru</w:t>
      </w:r>
      <w:r w:rsidR="00A94918" w:rsidRPr="00322ECC">
        <w:t>s</w:t>
      </w:r>
      <w:r w:rsidRPr="00322ECC">
        <w:t xml:space="preserve"> būvniecības posmus</w:t>
      </w:r>
      <w:r w:rsidR="00A94918" w:rsidRPr="00322ECC">
        <w:t>: Priekšdarb</w:t>
      </w:r>
      <w:r w:rsidR="006D1716">
        <w:t>i</w:t>
      </w:r>
      <w:r w:rsidR="00A94918" w:rsidRPr="00322ECC">
        <w:t>, Projektēšana, Būvdarb</w:t>
      </w:r>
      <w:r w:rsidR="006D1716">
        <w:t>i</w:t>
      </w:r>
      <w:r w:rsidR="00A94918" w:rsidRPr="00322ECC">
        <w:t xml:space="preserve"> un Uzraudzība</w:t>
      </w:r>
      <w:r w:rsidRPr="00322ECC">
        <w:t>. Indeksa pirmais līmenis ir aprēķināts respondenta jeb aptaujātā uzņēmuma līmenī</w:t>
      </w:r>
      <w:r w:rsidR="00A94918" w:rsidRPr="00322ECC">
        <w:t>, bet</w:t>
      </w:r>
      <w:r w:rsidRPr="00322ECC">
        <w:t xml:space="preserve"> </w:t>
      </w:r>
      <w:r w:rsidR="00A94918" w:rsidRPr="00322ECC">
        <w:t>i</w:t>
      </w:r>
      <w:r w:rsidRPr="00322ECC">
        <w:t xml:space="preserve">ndeksa nākamajos līmeņos tiek aprēķināti vidējie </w:t>
      </w:r>
      <w:r w:rsidR="00A94918" w:rsidRPr="00322ECC">
        <w:t>vērtējumi</w:t>
      </w:r>
      <w:r w:rsidRPr="00322ECC">
        <w:t>.</w:t>
      </w:r>
      <w:r>
        <w:t xml:space="preserve"> </w:t>
      </w:r>
    </w:p>
    <w:p w14:paraId="00B9A4F5" w14:textId="649AB2C4" w:rsidR="0016440D" w:rsidRDefault="00087E68" w:rsidP="00D2387C">
      <w:pPr>
        <w:spacing w:line="360" w:lineRule="auto"/>
      </w:pPr>
      <w:r>
        <w:t xml:space="preserve">2019. gadā būvniecības nozarē sniegto pakalpojumu kvalitāte novērtēta ar </w:t>
      </w:r>
      <w:r w:rsidRPr="00087E68">
        <w:t>78%</w:t>
      </w:r>
      <w:r>
        <w:t xml:space="preserve"> no 100%, kas ir vērtējams kā </w:t>
      </w:r>
      <w:r w:rsidR="006D1716">
        <w:t>labs</w:t>
      </w:r>
      <w:r>
        <w:t xml:space="preserve"> rādītājs. Atsevišķi pa posmiem ir sasniegti šādi rezultāti: Priekšdarbi 79%; Projektēšana 75%; Būvdarbi 82% un Uzraudzība 76%. </w:t>
      </w:r>
      <w:r w:rsidR="00FD654F">
        <w:t xml:space="preserve">Augstāk novērtētie kvalitātes rādītāji ir nozares pārstāvju kompetence un sadarbības prasmes. </w:t>
      </w:r>
    </w:p>
    <w:p w14:paraId="1BA9F0A0" w14:textId="48111D1B" w:rsidR="00BF1B5F" w:rsidRDefault="00BF1B5F" w:rsidP="00D2387C">
      <w:pPr>
        <w:spacing w:line="360" w:lineRule="auto"/>
      </w:pPr>
      <w:r>
        <w:t>Augstākus pakalpojumu vērtējumus (skalā no 0 līdz 10) no pakalpojumu saņēmēju puses biežāk saņēmuši Būvdarbu posma pakalpojumu sniedzēji. Augstākie novērtējumi būvdarbos ir teritorijas labiekārtošana</w:t>
      </w:r>
      <w:r w:rsidR="006D1716">
        <w:t>i</w:t>
      </w:r>
      <w:r>
        <w:t xml:space="preserve"> (8.7 punkti)</w:t>
      </w:r>
      <w:r w:rsidR="006D1716">
        <w:t>,</w:t>
      </w:r>
      <w:r>
        <w:t xml:space="preserve"> ūdensapgāde</w:t>
      </w:r>
      <w:r w:rsidR="006D1716">
        <w:t>i</w:t>
      </w:r>
      <w:r>
        <w:t xml:space="preserve"> un kanalizācija</w:t>
      </w:r>
      <w:r w:rsidR="006D1716">
        <w:t>i</w:t>
      </w:r>
      <w:r>
        <w:t xml:space="preserve"> (8.7 punkti)</w:t>
      </w:r>
      <w:r w:rsidR="006D1716">
        <w:t>,</w:t>
      </w:r>
      <w:r>
        <w:t xml:space="preserve"> ēkas būvdarbi</w:t>
      </w:r>
      <w:r w:rsidR="006D1716">
        <w:t>em</w:t>
      </w:r>
      <w:r>
        <w:t xml:space="preserve"> (pamati, karkass, nesošās konstrukcijas, jumts) (8.6 punkti)</w:t>
      </w:r>
      <w:r w:rsidR="006D1716">
        <w:t>,</w:t>
      </w:r>
      <w:r>
        <w:t xml:space="preserve"> ēku būvdarbu projektu vadība</w:t>
      </w:r>
      <w:r w:rsidR="006D1716">
        <w:t>i</w:t>
      </w:r>
      <w:r>
        <w:t xml:space="preserve"> (8.5 punkti) un inženierbūvju būvdarbi</w:t>
      </w:r>
      <w:r w:rsidR="006D1716">
        <w:t>em</w:t>
      </w:r>
      <w:r>
        <w:t xml:space="preserve"> (8.5 punkti). </w:t>
      </w:r>
    </w:p>
    <w:p w14:paraId="1D319F14" w14:textId="7A61480D" w:rsidR="00DE6371" w:rsidRDefault="00433EC7" w:rsidP="00D2387C">
      <w:pPr>
        <w:spacing w:line="360" w:lineRule="auto"/>
      </w:pPr>
      <w:r>
        <w:t xml:space="preserve">Priekšizpētes posmā augstāk novērtētā pakalpojumu grupa ir būvobjekta priekšizpēte (zeme) (8.3 punkti). </w:t>
      </w:r>
      <w:r w:rsidR="00DE6371">
        <w:t>Projektēšanas posmā augstāk novērtēt</w:t>
      </w:r>
      <w:r>
        <w:t xml:space="preserve">ā pakalpojumu grupa ir elektrotīkli, vājstrāvu tīkli (8.2 punkti). Uzraudzības posmā augstāko novērtējumu saņēmusi būvuzraudzība (8.2 punkti). </w:t>
      </w:r>
    </w:p>
    <w:p w14:paraId="01161070" w14:textId="4F05721F" w:rsidR="00433EC7" w:rsidRDefault="00433EC7" w:rsidP="00D2387C">
      <w:pPr>
        <w:spacing w:line="360" w:lineRule="auto"/>
      </w:pPr>
      <w:r>
        <w:lastRenderedPageBreak/>
        <w:t xml:space="preserve">No pakalpojumu saņēmējiem zemākos vērtējumus saņēmuši pakalpojumi </w:t>
      </w:r>
      <w:r w:rsidR="00013D8E">
        <w:t>Projektēšanas posmā: būves arhitektūras projektēšana (6.9 punkti)</w:t>
      </w:r>
      <w:r w:rsidR="006D1716">
        <w:t>,</w:t>
      </w:r>
      <w:r w:rsidR="00013D8E">
        <w:t xml:space="preserve"> būvprojekta vadība / izstrāde (7.1 punkts) un apkures, ventilācijas, klimata kontroles sistēmas projektēšana (7.1 punkts).</w:t>
      </w:r>
    </w:p>
    <w:p w14:paraId="4E3FBF5F" w14:textId="1E7E8D99" w:rsidR="0016440D" w:rsidRDefault="00D26EAB" w:rsidP="00D2387C">
      <w:pPr>
        <w:spacing w:line="360" w:lineRule="auto"/>
      </w:pPr>
      <w:r>
        <w:t>Pakalpojumu sniedzēju pašvērtējums parasti ir augstāks nekā to novērtējums no pakalpojumu saņēmēju puses. Izņēmums ir posms Būvdarbi, kur gandrīz visās pakalpojumu grupās pakalpojumu saņēmēju vērtējums ir augstāks nekā pašvērtējums. Vēl ar atšķirībā</w:t>
      </w:r>
      <w:r w:rsidR="001317DC">
        <w:t>m</w:t>
      </w:r>
      <w:r>
        <w:t xml:space="preserve"> novērtējumos izceļas būvvalde</w:t>
      </w:r>
      <w:r w:rsidR="001317DC">
        <w:t>s</w:t>
      </w:r>
      <w:r>
        <w:t>, kur</w:t>
      </w:r>
      <w:r w:rsidR="001317DC">
        <w:t>u</w:t>
      </w:r>
      <w:r>
        <w:t xml:space="preserve"> pašvērtējums ir būtiski zemāks (4.8 punkti) nekā pakalpojumu saņēmēju vērtējums (7.9 punkti). </w:t>
      </w:r>
      <w:r w:rsidR="006C73C4">
        <w:t xml:space="preserve">Būvvaldes zemo </w:t>
      </w:r>
      <w:r w:rsidR="0042107E">
        <w:t>pašvērtējumu skaidro ar darbinieku trūkumu un rotāciju, kas kavē sniegt kvalitatīvus pakalpojumus.</w:t>
      </w:r>
      <w:r w:rsidR="006C73C4">
        <w:t xml:space="preserve"> </w:t>
      </w:r>
    </w:p>
    <w:p w14:paraId="7DB7B19B" w14:textId="1DC370E0" w:rsidR="001317DC" w:rsidRPr="0012104D" w:rsidRDefault="0034507C" w:rsidP="00D2387C">
      <w:pPr>
        <w:spacing w:line="360" w:lineRule="auto"/>
      </w:pPr>
      <w:r>
        <w:t xml:space="preserve">Lai uzturētu augstos kvalitātes novērtējumus būvniecības nozarē, nepieciešams </w:t>
      </w:r>
      <w:r w:rsidR="005A110B">
        <w:t>veicināt</w:t>
      </w:r>
      <w:r>
        <w:t xml:space="preserve"> tādus kvalitātes rādītājus kā resursi un plānošana, tai skaitā termiņu ievērošana, nemazinot kvalitāti, procesu un komandas elastība izmaiņu ieviešanā, atvēlētais budžets un darbaspēka trūkuma problēmu risināšana.</w:t>
      </w:r>
    </w:p>
    <w:p w14:paraId="45AFB044" w14:textId="46641E95" w:rsidR="00D37046" w:rsidRDefault="00D37046" w:rsidP="00C760F1">
      <w:pPr>
        <w:spacing w:before="400" w:afterLines="40" w:after="96"/>
      </w:pPr>
      <w:r>
        <w:br w:type="page"/>
      </w:r>
    </w:p>
    <w:p w14:paraId="17B2B121" w14:textId="5BB62DB9" w:rsidR="00D37046" w:rsidRPr="00076134" w:rsidRDefault="00D37046" w:rsidP="002824E6">
      <w:pPr>
        <w:pStyle w:val="Heading1"/>
        <w:numPr>
          <w:ilvl w:val="0"/>
          <w:numId w:val="32"/>
        </w:numPr>
        <w:spacing w:afterLines="200" w:after="480"/>
      </w:pPr>
      <w:bookmarkStart w:id="8" w:name="_Toc19603249"/>
      <w:bookmarkStart w:id="9" w:name="_Toc20744779"/>
      <w:r w:rsidRPr="00076134">
        <w:lastRenderedPageBreak/>
        <w:t>Summary</w:t>
      </w:r>
      <w:bookmarkEnd w:id="8"/>
      <w:bookmarkEnd w:id="9"/>
    </w:p>
    <w:p w14:paraId="41DE13FD" w14:textId="77777777" w:rsidR="00795B01" w:rsidRPr="00795B01" w:rsidRDefault="00795B01" w:rsidP="00795B01">
      <w:pPr>
        <w:spacing w:line="360" w:lineRule="auto"/>
        <w:rPr>
          <w:lang w:val="en-US"/>
        </w:rPr>
      </w:pPr>
      <w:r w:rsidRPr="00795B01">
        <w:rPr>
          <w:lang w:val="en-US"/>
        </w:rPr>
        <w:t>In August 2019, the first Latvian Construction Industry Quality of Service Index was conducted, polling participants involved in the construction process. According to the methodology developed in 2018, a total of 304 companies or organizations involved in the Latvian construction process that have provided or received construction services in the past year were surveyed.</w:t>
      </w:r>
    </w:p>
    <w:p w14:paraId="7FB1A99F" w14:textId="77777777" w:rsidR="00795B01" w:rsidRPr="00795B01" w:rsidRDefault="00795B01" w:rsidP="00795B01">
      <w:pPr>
        <w:spacing w:line="360" w:lineRule="auto"/>
        <w:rPr>
          <w:lang w:val="en-US"/>
        </w:rPr>
      </w:pPr>
      <w:r w:rsidRPr="00795B01">
        <w:rPr>
          <w:lang w:val="en-US"/>
        </w:rPr>
        <w:t>The first index results will serve as a milestone for future measurements.</w:t>
      </w:r>
    </w:p>
    <w:p w14:paraId="5DC53B5C" w14:textId="77777777" w:rsidR="00795B01" w:rsidRPr="00795B01" w:rsidRDefault="00795B01" w:rsidP="00795B01">
      <w:pPr>
        <w:spacing w:line="360" w:lineRule="auto"/>
        <w:rPr>
          <w:lang w:val="en-US"/>
        </w:rPr>
      </w:pPr>
      <w:r w:rsidRPr="00795B01">
        <w:rPr>
          <w:lang w:val="en-US"/>
        </w:rPr>
        <w:t>According to the methodology, the index is structured in two interconnected parts. The first part includes the quality assessment of the service groups, while the second part includes the quality assessment of the construction sub-processes and stages. Stage quality rating is calculated using the service group quality rating. Meanwhile, the logic behind calculating ratings is different. The rating of service groups is expressed using the rating of construction organizations for the services received on a scale from 0 to 10. The rating of sub-processes and stages is calculated by converting the rating of service groups into points and expressing their quality as a percentage value.</w:t>
      </w:r>
    </w:p>
    <w:p w14:paraId="72832956" w14:textId="77777777" w:rsidR="00795B01" w:rsidRPr="00795B01" w:rsidRDefault="00795B01" w:rsidP="00795B01">
      <w:pPr>
        <w:spacing w:line="360" w:lineRule="auto"/>
        <w:rPr>
          <w:lang w:val="en-US"/>
        </w:rPr>
      </w:pPr>
      <w:r w:rsidRPr="00795B01">
        <w:rPr>
          <w:lang w:val="en-US"/>
        </w:rPr>
        <w:t>According to the methodology, the index is calculated at several levels - from the level of specific service groups to the stages of the construction process, divided into four stages of construction: Preparation, Design, Construction and Supervision. The first level of the index is calculated at the level of the respondent or the surveyed company, while the next levels of the index calculate average ratings.</w:t>
      </w:r>
    </w:p>
    <w:p w14:paraId="2CD5BE2E" w14:textId="77777777" w:rsidR="00795B01" w:rsidRPr="00795B01" w:rsidRDefault="00795B01" w:rsidP="00795B01">
      <w:pPr>
        <w:spacing w:line="360" w:lineRule="auto"/>
        <w:rPr>
          <w:lang w:val="en-US"/>
        </w:rPr>
      </w:pPr>
      <w:r w:rsidRPr="00795B01">
        <w:rPr>
          <w:lang w:val="en-US"/>
        </w:rPr>
        <w:t>In 2019, the quality of services provided in the construction industry is rated at 78% out of 100%, which is a good result. Separately, the following results have been achieved within the construction stages: Preparations 79%; Design 75%; Construction work 82% and Supervision 76%. The highest rated quality indicators are competence of industry representatives and collaboration skills.</w:t>
      </w:r>
    </w:p>
    <w:p w14:paraId="1EEDC0F5" w14:textId="77777777" w:rsidR="00795B01" w:rsidRPr="00795B01" w:rsidRDefault="00795B01" w:rsidP="00795B01">
      <w:pPr>
        <w:spacing w:line="360" w:lineRule="auto"/>
        <w:rPr>
          <w:lang w:val="en-US"/>
        </w:rPr>
      </w:pPr>
      <w:r w:rsidRPr="00795B01">
        <w:rPr>
          <w:lang w:val="en-US"/>
        </w:rPr>
        <w:t>Higher service ratings (on a scale from 0 to 10) have been more frequently received by contractors at the Construction stage. The highest scores in construction works are for territory improvement (8.7 points), water supply and sewerage (8.7 points), building construction (foundations, frame, load-bearing structures, roof) (8.6 points), building project management (8.5 points) and civil engineering works (8.5 points).</w:t>
      </w:r>
    </w:p>
    <w:p w14:paraId="22102D1B" w14:textId="77777777" w:rsidR="00795B01" w:rsidRPr="00795B01" w:rsidRDefault="00795B01" w:rsidP="00795B01">
      <w:pPr>
        <w:spacing w:line="360" w:lineRule="auto"/>
        <w:rPr>
          <w:lang w:val="en-US"/>
        </w:rPr>
      </w:pPr>
      <w:r w:rsidRPr="00795B01">
        <w:rPr>
          <w:lang w:val="en-US"/>
        </w:rPr>
        <w:t xml:space="preserve">In the feasibility phase, the highest rated service group is the site feasibility study (land) (8.3 points). At the design stage, the highest rated service group is the power grid, low voltage grid </w:t>
      </w:r>
      <w:r w:rsidRPr="00795B01">
        <w:rPr>
          <w:lang w:val="en-US"/>
        </w:rPr>
        <w:lastRenderedPageBreak/>
        <w:t>(8.2 points). Construction supervision received the highest rating during the monitoring phase (8.2 points).</w:t>
      </w:r>
    </w:p>
    <w:p w14:paraId="619F1DD4" w14:textId="77777777" w:rsidR="00795B01" w:rsidRPr="00795B01" w:rsidRDefault="00795B01" w:rsidP="00795B01">
      <w:pPr>
        <w:spacing w:line="360" w:lineRule="auto"/>
        <w:rPr>
          <w:lang w:val="en-US"/>
        </w:rPr>
      </w:pPr>
      <w:r w:rsidRPr="00795B01">
        <w:rPr>
          <w:lang w:val="en-US"/>
        </w:rPr>
        <w:t>The services during the design phase received the lowest ratings from service recipients: design of building architecture (6.9 points), construction project management / development (point 7.1) and design of heating, ventilation and climate control systems (point 7.1).</w:t>
      </w:r>
    </w:p>
    <w:p w14:paraId="3048309F" w14:textId="77777777" w:rsidR="00795B01" w:rsidRPr="00795B01" w:rsidRDefault="00795B01" w:rsidP="00795B01">
      <w:pPr>
        <w:spacing w:line="360" w:lineRule="auto"/>
        <w:rPr>
          <w:lang w:val="en-US"/>
        </w:rPr>
      </w:pPr>
      <w:r w:rsidRPr="00795B01">
        <w:rPr>
          <w:lang w:val="en-US"/>
        </w:rPr>
        <w:t>The self-evaluation of service providers is generally higher than that of their recipients. The exception is the Constructions works’ stage, where the service users' rating is higher than the self-evaluation in almost all service groups. Another difference is recorded by the construction boards who show significantly lower self-evaluation (4.8 points) than rating of service recipients (7.9 points). The construction boards explain the low self-evaluation with staff shortages and rotation, which impedes delivering quality services.</w:t>
      </w:r>
    </w:p>
    <w:p w14:paraId="220B9D73" w14:textId="5C7E1F19" w:rsidR="007A1382" w:rsidRPr="00795B01" w:rsidRDefault="00795B01" w:rsidP="00795B01">
      <w:pPr>
        <w:spacing w:line="360" w:lineRule="auto"/>
        <w:rPr>
          <w:lang w:val="en-US"/>
        </w:rPr>
      </w:pPr>
      <w:r w:rsidRPr="00795B01">
        <w:rPr>
          <w:lang w:val="en-US"/>
        </w:rPr>
        <w:t xml:space="preserve">Maintaining high quality ratings in the construction industry requires promoting quality indicators such as resources and planning, including meeting deadlines without compromising quality, process and team flexibility in implementing changes, budgeting, and addressing </w:t>
      </w:r>
      <w:proofErr w:type="spellStart"/>
      <w:r w:rsidRPr="00795B01">
        <w:rPr>
          <w:lang w:val="en-US"/>
        </w:rPr>
        <w:t>labour</w:t>
      </w:r>
      <w:proofErr w:type="spellEnd"/>
      <w:r w:rsidRPr="00795B01">
        <w:rPr>
          <w:lang w:val="en-US"/>
        </w:rPr>
        <w:t xml:space="preserve"> shortages.</w:t>
      </w:r>
    </w:p>
    <w:p w14:paraId="1C829003" w14:textId="57DB895F" w:rsidR="00D37046" w:rsidRDefault="00D37046" w:rsidP="00520583">
      <w:r>
        <w:br w:type="page"/>
      </w:r>
    </w:p>
    <w:p w14:paraId="1C31E9E4" w14:textId="1D93441E" w:rsidR="00D37046" w:rsidRPr="007F73BB" w:rsidRDefault="007F7031" w:rsidP="002824E6">
      <w:pPr>
        <w:pStyle w:val="Heading1"/>
        <w:numPr>
          <w:ilvl w:val="0"/>
          <w:numId w:val="32"/>
        </w:numPr>
      </w:pPr>
      <w:bookmarkStart w:id="10" w:name="_Toc19603250"/>
      <w:bookmarkStart w:id="11" w:name="_Toc20744780"/>
      <w:r w:rsidRPr="007F73BB">
        <w:lastRenderedPageBreak/>
        <w:t>Būvniecības nozares kvalitātes indekss</w:t>
      </w:r>
      <w:bookmarkEnd w:id="10"/>
      <w:bookmarkEnd w:id="11"/>
    </w:p>
    <w:p w14:paraId="33924419" w14:textId="12F10E28" w:rsidR="00C01829" w:rsidRPr="00490ACD" w:rsidRDefault="00490ACD" w:rsidP="00490ACD">
      <w:pPr>
        <w:pStyle w:val="Heading2"/>
      </w:pPr>
      <w:bookmarkStart w:id="12" w:name="_Toc19603251"/>
      <w:bookmarkStart w:id="13" w:name="_Toc20744781"/>
      <w:r w:rsidRPr="00490ACD">
        <w:t>4</w:t>
      </w:r>
      <w:r w:rsidR="009B66C2" w:rsidRPr="00490ACD">
        <w:t>.1. Pētījuma apraksts</w:t>
      </w:r>
      <w:bookmarkEnd w:id="12"/>
      <w:bookmarkEnd w:id="13"/>
    </w:p>
    <w:p w14:paraId="09838139" w14:textId="2642B5EC" w:rsidR="007F7031" w:rsidRDefault="00BD2974" w:rsidP="00F31F38">
      <w:pPr>
        <w:spacing w:line="360" w:lineRule="auto"/>
      </w:pPr>
      <w:r w:rsidRPr="00BD2974">
        <w:t>Lai izveidotu ilgtspējīgu Latvijas būvniecības nozares pakalpojumu kvalitātes monitoringa sistēmu, kas kalpotu par pamatu kopējai būvniecības nozares procesa un visu apakšprocesu kvalitātes mērījumu sistēmai, 2019. gad</w:t>
      </w:r>
      <w:r>
        <w:t>ā</w:t>
      </w:r>
      <w:r w:rsidRPr="00BD2974">
        <w:t xml:space="preserve"> </w:t>
      </w:r>
      <w:r>
        <w:t>tika</w:t>
      </w:r>
      <w:r w:rsidRPr="00BD2974">
        <w:t xml:space="preserve"> </w:t>
      </w:r>
      <w:r>
        <w:t>veikta</w:t>
      </w:r>
      <w:r w:rsidRPr="00BD2974">
        <w:t xml:space="preserve"> pirmā pilnā nozares aptauja, balstoties uz 2018. gadā </w:t>
      </w:r>
      <w:r>
        <w:t xml:space="preserve">SIA “Jaunrades Laboratorija” </w:t>
      </w:r>
      <w:r w:rsidRPr="00BD2974">
        <w:t>izstrādāto kvalitātes indeksa noteikšana metodoloģiju</w:t>
      </w:r>
      <w:r>
        <w:t xml:space="preserve"> (Iepirkuma Nr. </w:t>
      </w:r>
      <w:r w:rsidRPr="003B7F1C">
        <w:t>EM2018/37</w:t>
      </w:r>
      <w:r>
        <w:t>)</w:t>
      </w:r>
      <w:r w:rsidRPr="00BD2974">
        <w:t xml:space="preserve">, kā pamatu ņemot </w:t>
      </w:r>
      <w:r w:rsidR="0018088A">
        <w:t xml:space="preserve">SIA “Jaunrades Laboratorija” </w:t>
      </w:r>
      <w:r w:rsidRPr="00BD2974">
        <w:t>izstrādāto un testēto būvniecības procesu dalībnieku aptaujas anketu.</w:t>
      </w:r>
    </w:p>
    <w:p w14:paraId="3EC5CA34" w14:textId="1548F010" w:rsidR="001C0A6F" w:rsidRDefault="00A23C07" w:rsidP="00F31F38">
      <w:pPr>
        <w:spacing w:line="360" w:lineRule="auto"/>
      </w:pPr>
      <w:r>
        <w:t xml:space="preserve">Būvniecības procesu dalībnieku aptauja </w:t>
      </w:r>
      <w:r w:rsidR="001C0A6F">
        <w:t>noti</w:t>
      </w:r>
      <w:r w:rsidR="0018088A">
        <w:t>ka divos secīgos posmos:</w:t>
      </w:r>
    </w:p>
    <w:p w14:paraId="5061FC76" w14:textId="1E5C2B32" w:rsidR="00007CB5" w:rsidRDefault="005A6093" w:rsidP="00F31F38">
      <w:pPr>
        <w:pStyle w:val="ListParagraph"/>
        <w:numPr>
          <w:ilvl w:val="0"/>
          <w:numId w:val="11"/>
        </w:numPr>
        <w:spacing w:line="360" w:lineRule="auto"/>
      </w:pPr>
      <w:r w:rsidRPr="004D70EB">
        <w:t>Metodoloģijas precizēšana un papildināšana</w:t>
      </w:r>
      <w:r w:rsidR="00512C98">
        <w:t xml:space="preserve">. Šajā posmā tika piesaistīta </w:t>
      </w:r>
      <w:r>
        <w:t>konsultatīv</w:t>
      </w:r>
      <w:r w:rsidR="00512C98">
        <w:t>ā</w:t>
      </w:r>
      <w:r>
        <w:t xml:space="preserve"> atbalsta ekspertu grupu 5 ekspertu sastāvā (</w:t>
      </w:r>
      <w:r w:rsidR="00F87DA0">
        <w:t>2</w:t>
      </w:r>
      <w:r>
        <w:t xml:space="preserve"> nekustamā īpašuma attīstītāju pārstāv</w:t>
      </w:r>
      <w:r w:rsidR="00F87DA0">
        <w:t>j</w:t>
      </w:r>
      <w:r>
        <w:t>i, 1 sertificēts arhitekts, 1 sertificēts būvinženieris</w:t>
      </w:r>
      <w:r w:rsidR="00A207C9">
        <w:t xml:space="preserve">, </w:t>
      </w:r>
      <w:r>
        <w:t xml:space="preserve">1 būvuzņēmējs). </w:t>
      </w:r>
      <w:r w:rsidR="00512C98">
        <w:t xml:space="preserve">Lai rūpīgi precizētu metodoloģiju un saskaņotu aptaujas anketas jautājumus, </w:t>
      </w:r>
      <w:r>
        <w:t>tika organizētas individuālas tikšanās ar ekspertiem</w:t>
      </w:r>
      <w:r w:rsidR="00512C98">
        <w:t xml:space="preserve"> klātienē un veiktas padziļinātās ekspertu intervijas. Visi metodoloģijas precizējumi un papildinājumi tika saskaņoti ar Pasūtītāja pārstāvjiem.</w:t>
      </w:r>
    </w:p>
    <w:p w14:paraId="6A87256E" w14:textId="01F603E1" w:rsidR="00512C98" w:rsidRPr="00487088" w:rsidRDefault="004E7FC4" w:rsidP="00F31F38">
      <w:pPr>
        <w:pStyle w:val="ListParagraph"/>
        <w:numPr>
          <w:ilvl w:val="1"/>
          <w:numId w:val="11"/>
        </w:numPr>
        <w:spacing w:line="360" w:lineRule="auto"/>
      </w:pPr>
      <w:r w:rsidRPr="00487088">
        <w:t>Detalizēts</w:t>
      </w:r>
      <w:r w:rsidR="00F87DA0" w:rsidRPr="00487088">
        <w:t xml:space="preserve"> metodoloģijas apraksts ir pieejams atsevišķā ziņojumā “Latvijas </w:t>
      </w:r>
      <w:r w:rsidR="006B060F">
        <w:t>b</w:t>
      </w:r>
      <w:r w:rsidR="00F87DA0" w:rsidRPr="00487088">
        <w:t>ūvniecības nozares kvalitātes indeksa metodoloģija</w:t>
      </w:r>
      <w:r w:rsidR="006A31CF">
        <w:t>s</w:t>
      </w:r>
      <w:r w:rsidR="00F87DA0" w:rsidRPr="00487088">
        <w:t xml:space="preserve"> </w:t>
      </w:r>
      <w:r w:rsidR="006A31CF">
        <w:t>apraksts</w:t>
      </w:r>
      <w:bookmarkStart w:id="14" w:name="_GoBack"/>
      <w:bookmarkEnd w:id="14"/>
      <w:r w:rsidR="00F87DA0" w:rsidRPr="00487088">
        <w:t xml:space="preserve">”. </w:t>
      </w:r>
    </w:p>
    <w:p w14:paraId="14C08C84" w14:textId="58DC962D" w:rsidR="0018088A" w:rsidRDefault="005A6093" w:rsidP="00F31F38">
      <w:pPr>
        <w:pStyle w:val="ListParagraph"/>
        <w:numPr>
          <w:ilvl w:val="0"/>
          <w:numId w:val="11"/>
        </w:numPr>
        <w:spacing w:line="360" w:lineRule="auto"/>
      </w:pPr>
      <w:r>
        <w:t xml:space="preserve"> </w:t>
      </w:r>
      <w:r w:rsidR="004D70EB">
        <w:t>Būvniecības procesu dalībnieku aptaujas veikšana</w:t>
      </w:r>
      <w:r w:rsidR="00A23C07">
        <w:t xml:space="preserve"> un iegūto rezultātu analīze</w:t>
      </w:r>
      <w:r w:rsidR="004D70EB">
        <w:t>.</w:t>
      </w:r>
    </w:p>
    <w:p w14:paraId="317628F3" w14:textId="77777777" w:rsidR="0018088A" w:rsidRPr="00520583" w:rsidRDefault="0018088A" w:rsidP="00520583"/>
    <w:p w14:paraId="01C69864" w14:textId="172BF6C9" w:rsidR="00C01829" w:rsidRPr="003A2152" w:rsidRDefault="00C01829" w:rsidP="00520583">
      <w:pPr>
        <w:rPr>
          <w:b/>
        </w:rPr>
      </w:pPr>
      <w:r w:rsidRPr="003A2152">
        <w:rPr>
          <w:b/>
        </w:rPr>
        <w:t xml:space="preserve">Pētījuma tehniskā informācija </w:t>
      </w:r>
    </w:p>
    <w:tbl>
      <w:tblPr>
        <w:tblStyle w:val="PlainTable2"/>
        <w:tblW w:w="0" w:type="auto"/>
        <w:tblLook w:val="04A0" w:firstRow="1" w:lastRow="0" w:firstColumn="1" w:lastColumn="0" w:noHBand="0" w:noVBand="1"/>
      </w:tblPr>
      <w:tblGrid>
        <w:gridCol w:w="3420"/>
        <w:gridCol w:w="5926"/>
      </w:tblGrid>
      <w:tr w:rsidR="004E7FC4" w:rsidRPr="004E7FC4" w14:paraId="4C04DF8E" w14:textId="77777777" w:rsidTr="008F4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00900690" w14:textId="65DBBBC4" w:rsidR="004E7FC4" w:rsidRPr="004E7FC4" w:rsidRDefault="008F4EA0" w:rsidP="00520583">
            <w:pPr>
              <w:rPr>
                <w:b w:val="0"/>
              </w:rPr>
            </w:pPr>
            <w:r>
              <w:rPr>
                <w:b w:val="0"/>
              </w:rPr>
              <w:t>Aptaujas m</w:t>
            </w:r>
            <w:r w:rsidR="004E7FC4">
              <w:rPr>
                <w:b w:val="0"/>
              </w:rPr>
              <w:t>etode</w:t>
            </w:r>
            <w:r w:rsidR="006C341E">
              <w:rPr>
                <w:b w:val="0"/>
              </w:rPr>
              <w:t>s:</w:t>
            </w:r>
          </w:p>
        </w:tc>
        <w:tc>
          <w:tcPr>
            <w:tcW w:w="5926" w:type="dxa"/>
          </w:tcPr>
          <w:p w14:paraId="30587172" w14:textId="6B414116" w:rsidR="008F4EA0" w:rsidRPr="008F4EA0" w:rsidRDefault="008F4EA0" w:rsidP="008F4EA0">
            <w:pPr>
              <w:jc w:val="left"/>
              <w:cnfStyle w:val="100000000000" w:firstRow="1" w:lastRow="0" w:firstColumn="0" w:lastColumn="0" w:oddVBand="0" w:evenVBand="0" w:oddHBand="0" w:evenHBand="0" w:firstRowFirstColumn="0" w:firstRowLastColumn="0" w:lastRowFirstColumn="0" w:lastRowLastColumn="0"/>
              <w:rPr>
                <w:bCs w:val="0"/>
                <w:i/>
              </w:rPr>
            </w:pPr>
            <w:r>
              <w:rPr>
                <w:b w:val="0"/>
              </w:rPr>
              <w:t>T</w:t>
            </w:r>
            <w:r w:rsidRPr="008F4EA0">
              <w:rPr>
                <w:b w:val="0"/>
              </w:rPr>
              <w:t>elefonintervija</w:t>
            </w:r>
            <w:r>
              <w:rPr>
                <w:b w:val="0"/>
              </w:rPr>
              <w:t xml:space="preserve"> </w:t>
            </w:r>
            <w:r w:rsidRPr="008F4EA0">
              <w:rPr>
                <w:b w:val="0"/>
                <w:i/>
              </w:rPr>
              <w:t xml:space="preserve">(CATI – </w:t>
            </w:r>
            <w:proofErr w:type="spellStart"/>
            <w:r w:rsidRPr="008F4EA0">
              <w:rPr>
                <w:b w:val="0"/>
                <w:i/>
              </w:rPr>
              <w:t>Computer</w:t>
            </w:r>
            <w:proofErr w:type="spellEnd"/>
            <w:r w:rsidRPr="008F4EA0">
              <w:rPr>
                <w:b w:val="0"/>
                <w:i/>
              </w:rPr>
              <w:t xml:space="preserve"> </w:t>
            </w:r>
            <w:proofErr w:type="spellStart"/>
            <w:r w:rsidRPr="008F4EA0">
              <w:rPr>
                <w:b w:val="0"/>
                <w:i/>
              </w:rPr>
              <w:t>Assisted</w:t>
            </w:r>
            <w:proofErr w:type="spellEnd"/>
            <w:r w:rsidRPr="008F4EA0">
              <w:rPr>
                <w:b w:val="0"/>
                <w:i/>
              </w:rPr>
              <w:t xml:space="preserve"> </w:t>
            </w:r>
            <w:proofErr w:type="spellStart"/>
            <w:r w:rsidRPr="008F4EA0">
              <w:rPr>
                <w:b w:val="0"/>
                <w:i/>
              </w:rPr>
              <w:t>Telephone</w:t>
            </w:r>
            <w:proofErr w:type="spellEnd"/>
            <w:r w:rsidRPr="008F4EA0">
              <w:rPr>
                <w:b w:val="0"/>
                <w:i/>
              </w:rPr>
              <w:t xml:space="preserve"> </w:t>
            </w:r>
            <w:proofErr w:type="spellStart"/>
            <w:r w:rsidRPr="008F4EA0">
              <w:rPr>
                <w:b w:val="0"/>
                <w:i/>
              </w:rPr>
              <w:t>Interviews</w:t>
            </w:r>
            <w:proofErr w:type="spellEnd"/>
            <w:r w:rsidRPr="008F4EA0">
              <w:rPr>
                <w:b w:val="0"/>
                <w:i/>
              </w:rPr>
              <w:t>)</w:t>
            </w:r>
            <w:r w:rsidRPr="008F4EA0">
              <w:rPr>
                <w:b w:val="0"/>
              </w:rPr>
              <w:t xml:space="preserve"> </w:t>
            </w:r>
            <w:r>
              <w:rPr>
                <w:b w:val="0"/>
              </w:rPr>
              <w:t>un</w:t>
            </w:r>
            <w:r w:rsidRPr="008F4EA0">
              <w:rPr>
                <w:b w:val="0"/>
              </w:rPr>
              <w:t xml:space="preserve"> tiešā</w:t>
            </w:r>
            <w:r>
              <w:rPr>
                <w:b w:val="0"/>
              </w:rPr>
              <w:t xml:space="preserve"> kvalitatīvā </w:t>
            </w:r>
            <w:r w:rsidRPr="008F4EA0">
              <w:rPr>
                <w:b w:val="0"/>
              </w:rPr>
              <w:t xml:space="preserve">intervija </w:t>
            </w:r>
            <w:r w:rsidRPr="008F4EA0">
              <w:rPr>
                <w:b w:val="0"/>
                <w:i/>
              </w:rPr>
              <w:t xml:space="preserve">(CAPI – </w:t>
            </w:r>
            <w:proofErr w:type="spellStart"/>
            <w:r w:rsidRPr="008F4EA0">
              <w:rPr>
                <w:b w:val="0"/>
                <w:i/>
              </w:rPr>
              <w:t>Computer</w:t>
            </w:r>
            <w:proofErr w:type="spellEnd"/>
            <w:r w:rsidRPr="008F4EA0">
              <w:rPr>
                <w:b w:val="0"/>
                <w:i/>
              </w:rPr>
              <w:t xml:space="preserve"> </w:t>
            </w:r>
            <w:proofErr w:type="spellStart"/>
            <w:r w:rsidRPr="008F4EA0">
              <w:rPr>
                <w:b w:val="0"/>
                <w:i/>
              </w:rPr>
              <w:t>Assisted</w:t>
            </w:r>
            <w:proofErr w:type="spellEnd"/>
            <w:r w:rsidRPr="008F4EA0">
              <w:rPr>
                <w:b w:val="0"/>
                <w:i/>
              </w:rPr>
              <w:t xml:space="preserve"> </w:t>
            </w:r>
            <w:proofErr w:type="spellStart"/>
            <w:r w:rsidRPr="008F4EA0">
              <w:rPr>
                <w:b w:val="0"/>
                <w:i/>
              </w:rPr>
              <w:t>Personal</w:t>
            </w:r>
            <w:proofErr w:type="spellEnd"/>
            <w:r w:rsidRPr="008F4EA0">
              <w:rPr>
                <w:b w:val="0"/>
                <w:i/>
              </w:rPr>
              <w:t xml:space="preserve"> </w:t>
            </w:r>
            <w:proofErr w:type="spellStart"/>
            <w:r w:rsidRPr="008F4EA0">
              <w:rPr>
                <w:b w:val="0"/>
                <w:i/>
              </w:rPr>
              <w:t>Interviews</w:t>
            </w:r>
            <w:proofErr w:type="spellEnd"/>
            <w:r w:rsidRPr="008F4EA0">
              <w:rPr>
                <w:b w:val="0"/>
                <w:i/>
              </w:rPr>
              <w:t>)</w:t>
            </w:r>
            <w:r>
              <w:rPr>
                <w:b w:val="0"/>
                <w:i/>
              </w:rPr>
              <w:t>.</w:t>
            </w:r>
          </w:p>
        </w:tc>
      </w:tr>
      <w:tr w:rsidR="004E7FC4" w:rsidRPr="004E7FC4" w14:paraId="5CF9E183" w14:textId="77777777" w:rsidTr="008F4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20" w:type="dxa"/>
          </w:tcPr>
          <w:p w14:paraId="72013851" w14:textId="321CE715" w:rsidR="004E7FC4" w:rsidRPr="004E7FC4" w:rsidRDefault="004E7FC4" w:rsidP="00520583">
            <w:pPr>
              <w:rPr>
                <w:b w:val="0"/>
              </w:rPr>
            </w:pPr>
            <w:r>
              <w:rPr>
                <w:b w:val="0"/>
              </w:rPr>
              <w:t>Aptaujāto uzņēmumu skaits</w:t>
            </w:r>
            <w:r w:rsidR="006C341E">
              <w:rPr>
                <w:b w:val="0"/>
              </w:rPr>
              <w:t>:</w:t>
            </w:r>
          </w:p>
        </w:tc>
        <w:tc>
          <w:tcPr>
            <w:tcW w:w="5926" w:type="dxa"/>
          </w:tcPr>
          <w:p w14:paraId="07B67EAA" w14:textId="77777777" w:rsidR="004E7FC4" w:rsidRDefault="009626BD" w:rsidP="00520583">
            <w:pPr>
              <w:cnfStyle w:val="000000100000" w:firstRow="0" w:lastRow="0" w:firstColumn="0" w:lastColumn="0" w:oddVBand="0" w:evenVBand="0" w:oddHBand="1" w:evenHBand="0" w:firstRowFirstColumn="0" w:firstRowLastColumn="0" w:lastRowFirstColumn="0" w:lastRowLastColumn="0"/>
            </w:pPr>
            <w:r>
              <w:t>304</w:t>
            </w:r>
          </w:p>
          <w:p w14:paraId="33DA68F9" w14:textId="2888BB38" w:rsidR="008F4EA0" w:rsidRPr="004E7FC4" w:rsidRDefault="008F4EA0" w:rsidP="00520583">
            <w:pPr>
              <w:cnfStyle w:val="000000100000" w:firstRow="0" w:lastRow="0" w:firstColumn="0" w:lastColumn="0" w:oddVBand="0" w:evenVBand="0" w:oddHBand="1" w:evenHBand="0" w:firstRowFirstColumn="0" w:firstRowLastColumn="0" w:lastRowFirstColumn="0" w:lastRowLastColumn="0"/>
            </w:pPr>
            <w:r w:rsidRPr="008F4EA0">
              <w:t>Ar telefoninterviju metodi iegūtas</w:t>
            </w:r>
            <w:r>
              <w:t xml:space="preserve"> </w:t>
            </w:r>
            <w:r w:rsidRPr="008F4EA0">
              <w:t xml:space="preserve">244 intervijas, bet ar tiešo </w:t>
            </w:r>
            <w:r>
              <w:t>kvalitatīvo interviju metodi 60 intervijas.</w:t>
            </w:r>
            <w:r w:rsidRPr="008F4EA0">
              <w:t xml:space="preserve"> </w:t>
            </w:r>
          </w:p>
        </w:tc>
      </w:tr>
      <w:tr w:rsidR="004E7FC4" w:rsidRPr="004E7FC4" w14:paraId="4E3829BD" w14:textId="77777777" w:rsidTr="008F4EA0">
        <w:tc>
          <w:tcPr>
            <w:cnfStyle w:val="001000000000" w:firstRow="0" w:lastRow="0" w:firstColumn="1" w:lastColumn="0" w:oddVBand="0" w:evenVBand="0" w:oddHBand="0" w:evenHBand="0" w:firstRowFirstColumn="0" w:firstRowLastColumn="0" w:lastRowFirstColumn="0" w:lastRowLastColumn="0"/>
            <w:tcW w:w="3420" w:type="dxa"/>
          </w:tcPr>
          <w:p w14:paraId="794D3C3F" w14:textId="19D9DA19" w:rsidR="004E7FC4" w:rsidRPr="004E7FC4" w:rsidRDefault="006C341E" w:rsidP="00520583">
            <w:pPr>
              <w:rPr>
                <w:b w:val="0"/>
              </w:rPr>
            </w:pPr>
            <w:r>
              <w:rPr>
                <w:b w:val="0"/>
              </w:rPr>
              <w:t>Aptaujas periods:</w:t>
            </w:r>
          </w:p>
        </w:tc>
        <w:tc>
          <w:tcPr>
            <w:tcW w:w="5926" w:type="dxa"/>
          </w:tcPr>
          <w:p w14:paraId="230D3F0A" w14:textId="2AB1DC92" w:rsidR="004E7FC4" w:rsidRPr="004E7FC4" w:rsidRDefault="006C341E" w:rsidP="00520583">
            <w:pPr>
              <w:cnfStyle w:val="000000000000" w:firstRow="0" w:lastRow="0" w:firstColumn="0" w:lastColumn="0" w:oddVBand="0" w:evenVBand="0" w:oddHBand="0" w:evenHBand="0" w:firstRowFirstColumn="0" w:firstRowLastColumn="0" w:lastRowFirstColumn="0" w:lastRowLastColumn="0"/>
            </w:pPr>
            <w:r>
              <w:t xml:space="preserve">No 2019.gada </w:t>
            </w:r>
            <w:r w:rsidR="009626BD">
              <w:t>27.maija</w:t>
            </w:r>
            <w:r>
              <w:t xml:space="preserve"> līdz 5.aug</w:t>
            </w:r>
            <w:r w:rsidR="006B060F">
              <w:t>u</w:t>
            </w:r>
            <w:r>
              <w:t>st</w:t>
            </w:r>
            <w:r w:rsidR="009626BD">
              <w:t>am</w:t>
            </w:r>
          </w:p>
        </w:tc>
      </w:tr>
    </w:tbl>
    <w:p w14:paraId="47DF89D5" w14:textId="77777777" w:rsidR="003A2152" w:rsidRPr="00520583" w:rsidRDefault="003A2152" w:rsidP="00520583"/>
    <w:p w14:paraId="02D11D33" w14:textId="4CDBF518" w:rsidR="00C01829" w:rsidRPr="003A2152" w:rsidRDefault="00C01829" w:rsidP="00520583">
      <w:pPr>
        <w:rPr>
          <w:b/>
        </w:rPr>
      </w:pPr>
      <w:r w:rsidRPr="003A2152">
        <w:rPr>
          <w:b/>
        </w:rPr>
        <w:t>Izlases veidošanas principi</w:t>
      </w:r>
    </w:p>
    <w:p w14:paraId="109006E9" w14:textId="25AD45BA" w:rsidR="00162427" w:rsidRDefault="00847182" w:rsidP="00F31F38">
      <w:pPr>
        <w:spacing w:line="360" w:lineRule="auto"/>
      </w:pPr>
      <w:r>
        <w:t>Aptaujas izlase tika veidota</w:t>
      </w:r>
      <w:r w:rsidR="00A861C6">
        <w:t>, izmantojot n</w:t>
      </w:r>
      <w:r w:rsidR="00A861C6" w:rsidRPr="00A861C6">
        <w:t>ejauša stratificēta gadījuma atlases metod</w:t>
      </w:r>
      <w:r w:rsidR="00696CBD">
        <w:t>i</w:t>
      </w:r>
      <w:r w:rsidR="00A861C6">
        <w:t>.</w:t>
      </w:r>
      <w:r w:rsidR="00696CBD">
        <w:t xml:space="preserve"> Šī izlases metode </w:t>
      </w:r>
      <w:r w:rsidR="00696CBD" w:rsidRPr="00696CBD">
        <w:t>nodrošina to, ka visiem mērķa ģenerālā kopuma uzņēmumiem ir vienādas iespējas iekļūt izlasē un piedalīties aptaujā</w:t>
      </w:r>
      <w:r w:rsidR="00696CBD">
        <w:t>, nodrošinot pētījuma reprezentativitāti.</w:t>
      </w:r>
    </w:p>
    <w:p w14:paraId="5E02B983" w14:textId="3B8D6BD2" w:rsidR="005D1E3D" w:rsidRDefault="005D1E3D" w:rsidP="00F31F38">
      <w:pPr>
        <w:spacing w:line="360" w:lineRule="auto"/>
      </w:pPr>
      <w:r w:rsidRPr="005D1E3D">
        <w:lastRenderedPageBreak/>
        <w:t>Izlases izveidē, izlases rāmja veidošanā un datu vispārināšanā papildu L</w:t>
      </w:r>
      <w:r>
        <w:t xml:space="preserve">atvijas </w:t>
      </w:r>
      <w:r w:rsidRPr="005D1E3D">
        <w:t>R</w:t>
      </w:r>
      <w:r>
        <w:t>epublikas</w:t>
      </w:r>
      <w:r w:rsidRPr="005D1E3D">
        <w:t xml:space="preserve"> Centrālās statistikas pārvaldes statistikas datiem </w:t>
      </w:r>
      <w:r>
        <w:t>tika izmantots</w:t>
      </w:r>
      <w:r w:rsidRPr="005D1E3D">
        <w:t xml:space="preserve"> arī BVKB pieejam</w:t>
      </w:r>
      <w:r>
        <w:t>ais</w:t>
      </w:r>
      <w:r w:rsidRPr="005D1E3D">
        <w:t xml:space="preserve"> būvkomersantu reģistr</w:t>
      </w:r>
      <w:r>
        <w:t>s</w:t>
      </w:r>
      <w:r w:rsidRPr="005D1E3D">
        <w:t xml:space="preserve"> un statistik</w:t>
      </w:r>
      <w:r>
        <w:t>a</w:t>
      </w:r>
      <w:r w:rsidRPr="005D1E3D">
        <w:t>, lai nodrošinātu pietiekamu un statistikai atbilstošu dažādu būvniecības speciālistu iekļaušanu izlasē</w:t>
      </w:r>
      <w:r>
        <w:t>.</w:t>
      </w:r>
    </w:p>
    <w:p w14:paraId="37E48869" w14:textId="136C261A" w:rsidR="00BE2FE5" w:rsidRDefault="002F10EB" w:rsidP="00BE2FE5">
      <w:pPr>
        <w:spacing w:line="360" w:lineRule="auto"/>
      </w:pPr>
      <w:r>
        <w:t>Aptaujas izlases apjoms atbilstoši izstrādātajai metodoloģijai tika noteikts 300 uzņēmumi.</w:t>
      </w:r>
      <w:r w:rsidR="00BE2FE5">
        <w:t xml:space="preserve"> </w:t>
      </w:r>
      <w:r w:rsidR="00BE2FE5" w:rsidRPr="002F10EB">
        <w:t>Aptaujas mērķa respondents uzņēmumā</w:t>
      </w:r>
      <w:r w:rsidR="00BE2FE5">
        <w:t xml:space="preserve"> </w:t>
      </w:r>
      <w:r w:rsidR="00BE2FE5" w:rsidRPr="002F10EB">
        <w:t>/iestādē: būvniecības procesos iesaistītais galvenais speciālists (projektu vadītājs vai galvenais sertificētais būvniecības speciālists)</w:t>
      </w:r>
      <w:r w:rsidR="00BE2FE5">
        <w:t>.</w:t>
      </w:r>
      <w:r w:rsidR="00B57D3A">
        <w:t xml:space="preserve"> </w:t>
      </w:r>
    </w:p>
    <w:p w14:paraId="4642204B" w14:textId="6ECBB7A9" w:rsidR="002F10EB" w:rsidRDefault="00BE2FE5" w:rsidP="00F31F38">
      <w:pPr>
        <w:spacing w:line="360" w:lineRule="auto"/>
      </w:pPr>
      <w:r>
        <w:t xml:space="preserve">Iegūtie rezultāti ir svērti atbilstoši CSP uzņēmumu un valsts iestāžu statistikai. Tādējādi iegūtie rezultāti ir attiecināmi uz visu ģenerālo kopumu – būvniecības procesā </w:t>
      </w:r>
      <w:r w:rsidR="006C450E">
        <w:t>iesaistītajiem</w:t>
      </w:r>
      <w:r>
        <w:t xml:space="preserve"> Latvijas </w:t>
      </w:r>
      <w:r w:rsidR="00FA501E">
        <w:t>R</w:t>
      </w:r>
      <w:r>
        <w:t>epublikā reģistrē</w:t>
      </w:r>
      <w:r w:rsidR="006C450E">
        <w:t>tajiem</w:t>
      </w:r>
      <w:r>
        <w:t xml:space="preserve"> uzņēmumi</w:t>
      </w:r>
      <w:r w:rsidR="006C450E">
        <w:t>em</w:t>
      </w:r>
      <w:r w:rsidR="00834CBF">
        <w:t xml:space="preserve"> / organizācijām</w:t>
      </w:r>
      <w:r>
        <w:t xml:space="preserve">, kuri pēdējā gada laikā ir snieguši vai saņēmuši </w:t>
      </w:r>
      <w:r w:rsidR="00E138B0">
        <w:t>būvniecības pakalpojumus.</w:t>
      </w:r>
    </w:p>
    <w:p w14:paraId="2FE5B91F" w14:textId="77777777" w:rsidR="00AF2E77" w:rsidRDefault="00AF2E77" w:rsidP="00F31F38">
      <w:pPr>
        <w:spacing w:line="360" w:lineRule="auto"/>
      </w:pPr>
    </w:p>
    <w:p w14:paraId="2D567881" w14:textId="1D84F716" w:rsidR="00C01829" w:rsidRPr="003A2152" w:rsidRDefault="00C01829" w:rsidP="00520583">
      <w:pPr>
        <w:rPr>
          <w:b/>
        </w:rPr>
      </w:pPr>
      <w:r w:rsidRPr="003A2152">
        <w:rPr>
          <w:b/>
        </w:rPr>
        <w:t>Aptaujas laika plāns</w:t>
      </w:r>
    </w:p>
    <w:p w14:paraId="497F4F19" w14:textId="70DE5A01" w:rsidR="003A2152" w:rsidRPr="003C77EF" w:rsidRDefault="00F57515" w:rsidP="00520583">
      <w:r>
        <w:t>1</w:t>
      </w:r>
      <w:r w:rsidR="003C77EF" w:rsidRPr="00487088">
        <w:t>.tabula</w:t>
      </w:r>
      <w:r w:rsidR="003C77EF" w:rsidRPr="003C77EF">
        <w:t>.</w:t>
      </w:r>
      <w:r w:rsidR="003C77EF">
        <w:t xml:space="preserve"> </w:t>
      </w:r>
    </w:p>
    <w:tbl>
      <w:tblPr>
        <w:tblStyle w:val="TableGridLight"/>
        <w:tblW w:w="0" w:type="auto"/>
        <w:tblLook w:val="04A0" w:firstRow="1" w:lastRow="0" w:firstColumn="1" w:lastColumn="0" w:noHBand="0" w:noVBand="1"/>
      </w:tblPr>
      <w:tblGrid>
        <w:gridCol w:w="4673"/>
        <w:gridCol w:w="4673"/>
      </w:tblGrid>
      <w:tr w:rsidR="008F5F45" w14:paraId="61157708" w14:textId="77777777" w:rsidTr="001C1044">
        <w:tc>
          <w:tcPr>
            <w:tcW w:w="4673" w:type="dxa"/>
          </w:tcPr>
          <w:p w14:paraId="08363BCB" w14:textId="20BAB238" w:rsidR="008F5F45" w:rsidRPr="001C1044" w:rsidRDefault="001C1044" w:rsidP="00520583">
            <w:pPr>
              <w:rPr>
                <w:b/>
              </w:rPr>
            </w:pPr>
            <w:r w:rsidRPr="001C1044">
              <w:rPr>
                <w:b/>
              </w:rPr>
              <w:t>Laika periods</w:t>
            </w:r>
          </w:p>
        </w:tc>
        <w:tc>
          <w:tcPr>
            <w:tcW w:w="4673" w:type="dxa"/>
          </w:tcPr>
          <w:p w14:paraId="23A08B87" w14:textId="7A0F742B" w:rsidR="008F5F45" w:rsidRPr="001C1044" w:rsidRDefault="001C1044" w:rsidP="00520583">
            <w:pPr>
              <w:rPr>
                <w:b/>
              </w:rPr>
            </w:pPr>
            <w:r w:rsidRPr="001C1044">
              <w:rPr>
                <w:b/>
              </w:rPr>
              <w:t>Aktivitāte</w:t>
            </w:r>
          </w:p>
        </w:tc>
      </w:tr>
      <w:tr w:rsidR="008F5F45" w14:paraId="1CA310F4" w14:textId="77777777" w:rsidTr="001C1044">
        <w:tc>
          <w:tcPr>
            <w:tcW w:w="4673" w:type="dxa"/>
          </w:tcPr>
          <w:p w14:paraId="0F846891" w14:textId="47A367CC" w:rsidR="008F5F45" w:rsidRDefault="001915FA" w:rsidP="00520583">
            <w:r>
              <w:t>No 2. līdz 29.aprīlim</w:t>
            </w:r>
          </w:p>
        </w:tc>
        <w:tc>
          <w:tcPr>
            <w:tcW w:w="4673" w:type="dxa"/>
          </w:tcPr>
          <w:p w14:paraId="65AC4369" w14:textId="7F039621" w:rsidR="008F5F45" w:rsidRDefault="00E2311A" w:rsidP="00520583">
            <w:r>
              <w:t xml:space="preserve">Metodoloģijas </w:t>
            </w:r>
            <w:r w:rsidR="001915FA">
              <w:t xml:space="preserve">un aptaujas anketas precizēšana un </w:t>
            </w:r>
            <w:r>
              <w:t>saskaņošana</w:t>
            </w:r>
          </w:p>
        </w:tc>
      </w:tr>
      <w:tr w:rsidR="008F5F45" w14:paraId="014B1DDB" w14:textId="77777777" w:rsidTr="001C1044">
        <w:tc>
          <w:tcPr>
            <w:tcW w:w="4673" w:type="dxa"/>
          </w:tcPr>
          <w:p w14:paraId="36CE1325" w14:textId="2755B552" w:rsidR="008F5F45" w:rsidRDefault="00F90419" w:rsidP="00520583">
            <w:r>
              <w:t xml:space="preserve">No </w:t>
            </w:r>
            <w:r w:rsidR="001915FA">
              <w:t>30</w:t>
            </w:r>
            <w:r>
              <w:t>.</w:t>
            </w:r>
            <w:r w:rsidR="001915FA">
              <w:t>aprīļa</w:t>
            </w:r>
            <w:r>
              <w:t xml:space="preserve"> līdz 24.maijam</w:t>
            </w:r>
          </w:p>
        </w:tc>
        <w:tc>
          <w:tcPr>
            <w:tcW w:w="4673" w:type="dxa"/>
          </w:tcPr>
          <w:p w14:paraId="1AC13641" w14:textId="26EB9D16" w:rsidR="008F5F45" w:rsidRDefault="00E2311A" w:rsidP="00520583">
            <w:r>
              <w:t>Aptaujas sagatavošana (tai skaitā anketu tulkošana, programmēšana, intervētāju apmācība u.tml.)</w:t>
            </w:r>
          </w:p>
        </w:tc>
      </w:tr>
      <w:tr w:rsidR="008F5F45" w14:paraId="0E1D4276" w14:textId="77777777" w:rsidTr="001C1044">
        <w:tc>
          <w:tcPr>
            <w:tcW w:w="4673" w:type="dxa"/>
          </w:tcPr>
          <w:p w14:paraId="39C4FD8D" w14:textId="36FE5E01" w:rsidR="008F5F45" w:rsidRDefault="004E415F" w:rsidP="00520583">
            <w:r>
              <w:t>No 27.maija līdz 5.aug</w:t>
            </w:r>
            <w:r w:rsidR="006B060F">
              <w:t>u</w:t>
            </w:r>
            <w:r>
              <w:t>stam</w:t>
            </w:r>
          </w:p>
        </w:tc>
        <w:tc>
          <w:tcPr>
            <w:tcW w:w="4673" w:type="dxa"/>
          </w:tcPr>
          <w:p w14:paraId="553FDD65" w14:textId="4F9EA0A6" w:rsidR="008F5F45" w:rsidRDefault="00E2311A" w:rsidP="00520583">
            <w:r>
              <w:t>Aptaujas veikšana</w:t>
            </w:r>
          </w:p>
        </w:tc>
      </w:tr>
      <w:tr w:rsidR="008F5F45" w14:paraId="22F0FEF2" w14:textId="77777777" w:rsidTr="001C1044">
        <w:tc>
          <w:tcPr>
            <w:tcW w:w="4673" w:type="dxa"/>
          </w:tcPr>
          <w:p w14:paraId="138B6962" w14:textId="532C6435" w:rsidR="008F5F45" w:rsidRDefault="004E415F" w:rsidP="00520583">
            <w:r>
              <w:t>No 6.augusta līdz 17.septembrim</w:t>
            </w:r>
          </w:p>
        </w:tc>
        <w:tc>
          <w:tcPr>
            <w:tcW w:w="4673" w:type="dxa"/>
          </w:tcPr>
          <w:p w14:paraId="66569723" w14:textId="1879E277" w:rsidR="008F5F45" w:rsidRDefault="00E2311A" w:rsidP="00520583">
            <w:r>
              <w:t xml:space="preserve">Iegūto datu apstrāde, analīze un pētījuma rezultātu gala ziņojumu sagatavošana </w:t>
            </w:r>
          </w:p>
        </w:tc>
      </w:tr>
      <w:tr w:rsidR="004E415F" w14:paraId="06F51812" w14:textId="77777777" w:rsidTr="001C1044">
        <w:tc>
          <w:tcPr>
            <w:tcW w:w="4673" w:type="dxa"/>
          </w:tcPr>
          <w:p w14:paraId="683A87C4" w14:textId="7F7F64D2" w:rsidR="004E415F" w:rsidRDefault="004E415F" w:rsidP="00520583">
            <w:r>
              <w:t>No 18. līdz 30. septembrim</w:t>
            </w:r>
          </w:p>
        </w:tc>
        <w:tc>
          <w:tcPr>
            <w:tcW w:w="4673" w:type="dxa"/>
          </w:tcPr>
          <w:p w14:paraId="287761F1" w14:textId="57692CCB" w:rsidR="004E415F" w:rsidRDefault="004E415F" w:rsidP="00520583">
            <w:r w:rsidRPr="00E2311A">
              <w:t>Gala ziņojum</w:t>
            </w:r>
            <w:r>
              <w:t>a saskaņošana ar pasūtītāju</w:t>
            </w:r>
          </w:p>
        </w:tc>
      </w:tr>
      <w:tr w:rsidR="008F5F45" w14:paraId="1E828C32" w14:textId="77777777" w:rsidTr="001C1044">
        <w:tc>
          <w:tcPr>
            <w:tcW w:w="4673" w:type="dxa"/>
          </w:tcPr>
          <w:p w14:paraId="12714C9A" w14:textId="52F001C3" w:rsidR="008F5F45" w:rsidRDefault="004E415F" w:rsidP="00520583">
            <w:r>
              <w:t>1.oktobris</w:t>
            </w:r>
          </w:p>
        </w:tc>
        <w:tc>
          <w:tcPr>
            <w:tcW w:w="4673" w:type="dxa"/>
          </w:tcPr>
          <w:p w14:paraId="1F947CC0" w14:textId="4EF32BD0" w:rsidR="008F5F45" w:rsidRDefault="00E2311A" w:rsidP="00520583">
            <w:r w:rsidRPr="00E2311A">
              <w:t>Gala ziņojum</w:t>
            </w:r>
            <w:r>
              <w:t>a</w:t>
            </w:r>
            <w:r w:rsidRPr="00E2311A">
              <w:t>, ziņojuma anotācijas, prezentācijas un datu faila iesniegšana</w:t>
            </w:r>
          </w:p>
        </w:tc>
      </w:tr>
    </w:tbl>
    <w:p w14:paraId="3C868BA8" w14:textId="77777777" w:rsidR="003C77EF" w:rsidRDefault="003C77EF" w:rsidP="00520583"/>
    <w:p w14:paraId="6F1EFA7D" w14:textId="60565B1C" w:rsidR="00C01829" w:rsidRPr="00A752C2" w:rsidRDefault="00531B7A" w:rsidP="00520583">
      <w:pPr>
        <w:rPr>
          <w:b/>
        </w:rPr>
      </w:pPr>
      <w:r>
        <w:rPr>
          <w:b/>
        </w:rPr>
        <w:t>Būvniecības procesos iesaistīto</w:t>
      </w:r>
      <w:r w:rsidR="00C01829" w:rsidRPr="00A752C2">
        <w:rPr>
          <w:b/>
        </w:rPr>
        <w:t xml:space="preserve"> </w:t>
      </w:r>
      <w:r w:rsidR="00A13AA8" w:rsidRPr="00A752C2">
        <w:rPr>
          <w:b/>
        </w:rPr>
        <w:t>uzņēmumu</w:t>
      </w:r>
      <w:r w:rsidR="00C01829" w:rsidRPr="00A752C2">
        <w:rPr>
          <w:b/>
        </w:rPr>
        <w:t xml:space="preserve"> </w:t>
      </w:r>
      <w:r w:rsidR="008D1762" w:rsidRPr="00A752C2">
        <w:rPr>
          <w:b/>
        </w:rPr>
        <w:t xml:space="preserve">/ </w:t>
      </w:r>
      <w:r w:rsidR="00C01829" w:rsidRPr="00A752C2">
        <w:rPr>
          <w:b/>
        </w:rPr>
        <w:t xml:space="preserve">organizāciju </w:t>
      </w:r>
      <w:r>
        <w:rPr>
          <w:b/>
        </w:rPr>
        <w:t>profils</w:t>
      </w:r>
    </w:p>
    <w:p w14:paraId="623AD29C" w14:textId="1D5D3738" w:rsidR="00832C3E" w:rsidRDefault="00C05F90" w:rsidP="00F31F38">
      <w:pPr>
        <w:spacing w:line="360" w:lineRule="auto"/>
      </w:pPr>
      <w:r>
        <w:t>Kopumā b</w:t>
      </w:r>
      <w:r w:rsidR="00226CBD">
        <w:t xml:space="preserve">ūvniecības procesā iesaistīto </w:t>
      </w:r>
      <w:r>
        <w:t xml:space="preserve">procesa dalībnieku </w:t>
      </w:r>
      <w:r w:rsidR="00226CBD">
        <w:t>aptaujā piedalījās</w:t>
      </w:r>
      <w:r>
        <w:t xml:space="preserve"> 304 uzņēmumi</w:t>
      </w:r>
      <w:r w:rsidR="00802256">
        <w:t xml:space="preserve">, no </w:t>
      </w:r>
      <w:r w:rsidR="00802256" w:rsidRPr="00802256">
        <w:t>kur</w:t>
      </w:r>
      <w:r w:rsidR="00802256">
        <w:t>iem</w:t>
      </w:r>
      <w:r w:rsidR="00802256" w:rsidRPr="00802256">
        <w:t xml:space="preserve"> </w:t>
      </w:r>
      <w:r w:rsidR="00802256" w:rsidRPr="00616F77">
        <w:t>12</w:t>
      </w:r>
      <w:r w:rsidR="00616F77" w:rsidRPr="00616F77">
        <w:t>2</w:t>
      </w:r>
      <w:r w:rsidR="00802256" w:rsidRPr="00616F77">
        <w:t xml:space="preserve"> </w:t>
      </w:r>
      <w:r w:rsidR="006B060F">
        <w:t xml:space="preserve">intervijas </w:t>
      </w:r>
      <w:r w:rsidR="00802256" w:rsidRPr="00802256">
        <w:t xml:space="preserve">veiktas ar uzņēmumiem, kuri pēdējā gada laikā ir saņēmuši būvniecības pakalpojumus, </w:t>
      </w:r>
      <w:r w:rsidR="00802256" w:rsidRPr="00616F77">
        <w:t>1</w:t>
      </w:r>
      <w:r w:rsidR="00616F77" w:rsidRPr="00616F77">
        <w:t>20</w:t>
      </w:r>
      <w:r w:rsidR="00802256" w:rsidRPr="00616F77">
        <w:t xml:space="preserve"> </w:t>
      </w:r>
      <w:r w:rsidR="006B060F">
        <w:t xml:space="preserve">- </w:t>
      </w:r>
      <w:r w:rsidR="00802256" w:rsidRPr="00802256">
        <w:t xml:space="preserve">ar uzņēmumiem, kuri pēdējā gada laikā ir snieguši būvniecības </w:t>
      </w:r>
      <w:r w:rsidR="00802256" w:rsidRPr="00802256">
        <w:lastRenderedPageBreak/>
        <w:t>pakalpojumus</w:t>
      </w:r>
      <w:r w:rsidR="006B060F">
        <w:t>,</w:t>
      </w:r>
      <w:r w:rsidR="00802256" w:rsidRPr="00802256">
        <w:t xml:space="preserve"> un </w:t>
      </w:r>
      <w:r w:rsidR="00802256" w:rsidRPr="00616F77">
        <w:t>6</w:t>
      </w:r>
      <w:r w:rsidR="00616F77" w:rsidRPr="00616F77">
        <w:t>2</w:t>
      </w:r>
      <w:r w:rsidR="00802256" w:rsidRPr="00616F77">
        <w:t xml:space="preserve"> </w:t>
      </w:r>
      <w:r w:rsidR="00802256" w:rsidRPr="00802256">
        <w:t>intervijas veiktas ar uzņēmumiem, kuri pēdējā gada laikā ir gan snieguši, gan saņēmuši būvniecības pakalpojumus</w:t>
      </w:r>
      <w:r w:rsidR="00802256">
        <w:t>.</w:t>
      </w:r>
      <w:r w:rsidR="00832C3E">
        <w:t xml:space="preserve"> </w:t>
      </w:r>
    </w:p>
    <w:p w14:paraId="6178668A" w14:textId="49A2A1A8" w:rsidR="009C094A" w:rsidRDefault="009C094A" w:rsidP="00F31F38">
      <w:pPr>
        <w:spacing w:line="360" w:lineRule="auto"/>
      </w:pPr>
      <w:r>
        <w:t>Tā kā 304 intervijas</w:t>
      </w:r>
      <w:r w:rsidR="00B15356">
        <w:t xml:space="preserve"> iegūtas reprezentatīvas izlases rezultātā</w:t>
      </w:r>
      <w:r>
        <w:t xml:space="preserve"> un dati svērti atbilstoši kopējai </w:t>
      </w:r>
      <w:r w:rsidR="00B15356">
        <w:t xml:space="preserve">CSP </w:t>
      </w:r>
      <w:r>
        <w:t xml:space="preserve">uzņēmumu statistikai, iegūto informāciju par 304 uzņēmumu profilu var uzskatīt kā statistiku par </w:t>
      </w:r>
      <w:r w:rsidR="00B15356">
        <w:t xml:space="preserve">būvniecības indeksa </w:t>
      </w:r>
      <w:r>
        <w:t>ģenerālo mērķa grupu Būvniecības procesā iesaistītie uzņēmumi</w:t>
      </w:r>
      <w:r w:rsidR="00B15356">
        <w:t>.</w:t>
      </w:r>
    </w:p>
    <w:p w14:paraId="0BE8F686" w14:textId="3CE96946" w:rsidR="00226CBD" w:rsidRDefault="00832C3E" w:rsidP="00F31F38">
      <w:pPr>
        <w:spacing w:line="360" w:lineRule="auto"/>
      </w:pPr>
      <w:r>
        <w:t xml:space="preserve">Aptuveni vienādās daļās ir pārstāvēti </w:t>
      </w:r>
      <w:r w:rsidR="00C33CC1">
        <w:t xml:space="preserve">ģenerāluzņēmēji, priekšizpētes veicēji, </w:t>
      </w:r>
      <w:r>
        <w:t xml:space="preserve">pārvaldnieki (ēku apsaimniekotāji), būvuzraugi un </w:t>
      </w:r>
      <w:r w:rsidR="00C33CC1">
        <w:t xml:space="preserve">būvmateriālu un būvtehnikas izplatītāji (skat. </w:t>
      </w:r>
      <w:r w:rsidR="00F57515">
        <w:t>1</w:t>
      </w:r>
      <w:r w:rsidR="00C33CC1">
        <w:t>. attēlu).</w:t>
      </w:r>
    </w:p>
    <w:p w14:paraId="05FD7F21" w14:textId="65029786" w:rsidR="00A752C2" w:rsidRDefault="00F57515" w:rsidP="00A752C2">
      <w:r w:rsidRPr="00F57515">
        <w:t>1</w:t>
      </w:r>
      <w:r w:rsidR="00C05F90" w:rsidRPr="00F57515">
        <w:t>.attēls.</w:t>
      </w:r>
      <w:r w:rsidR="00C05F90">
        <w:t xml:space="preserve"> </w:t>
      </w:r>
      <w:r w:rsidR="00531B7A" w:rsidRPr="00531B7A">
        <w:rPr>
          <w:b/>
        </w:rPr>
        <w:t>U</w:t>
      </w:r>
      <w:r w:rsidR="00BD5F8F" w:rsidRPr="00C33CC1">
        <w:rPr>
          <w:b/>
        </w:rPr>
        <w:t>zņēmumu</w:t>
      </w:r>
      <w:r w:rsidR="00226CBD" w:rsidRPr="00C33CC1">
        <w:rPr>
          <w:b/>
        </w:rPr>
        <w:t xml:space="preserve"> / organizāciju</w:t>
      </w:r>
      <w:r w:rsidR="00BD5F8F" w:rsidRPr="00C33CC1">
        <w:rPr>
          <w:b/>
        </w:rPr>
        <w:t xml:space="preserve"> loma</w:t>
      </w:r>
      <w:r w:rsidR="00226CBD" w:rsidRPr="00C33CC1">
        <w:rPr>
          <w:b/>
        </w:rPr>
        <w:t xml:space="preserve"> būvniecības procesā</w:t>
      </w:r>
    </w:p>
    <w:p w14:paraId="21B95A85" w14:textId="79BBD119" w:rsidR="00422A13" w:rsidRDefault="00422A13" w:rsidP="00520583"/>
    <w:p w14:paraId="6D7CA331" w14:textId="618D7F1E" w:rsidR="00AC47F9" w:rsidRDefault="00AC47F9" w:rsidP="00520583">
      <w:r w:rsidRPr="000E5ABB">
        <w:rPr>
          <w:noProof/>
          <w:color w:val="717171"/>
        </w:rPr>
        <w:drawing>
          <wp:inline distT="0" distB="0" distL="0" distR="0" wp14:anchorId="0C528688" wp14:editId="41B591D7">
            <wp:extent cx="5941060" cy="4514850"/>
            <wp:effectExtent l="0" t="0" r="254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BE07089" w14:textId="77777777" w:rsidR="00F57515" w:rsidRDefault="00F57515">
      <w:pPr>
        <w:spacing w:before="0" w:after="160"/>
        <w:jc w:val="left"/>
      </w:pPr>
      <w:r>
        <w:br w:type="page"/>
      </w:r>
    </w:p>
    <w:p w14:paraId="73D9060E" w14:textId="70999698" w:rsidR="00AC47F9" w:rsidRDefault="00422A13" w:rsidP="00F57515">
      <w:pPr>
        <w:spacing w:line="360" w:lineRule="auto"/>
      </w:pPr>
      <w:r>
        <w:lastRenderedPageBreak/>
        <w:t xml:space="preserve">Lielākā daļa jeb 92% </w:t>
      </w:r>
      <w:r w:rsidR="00531B7A">
        <w:t xml:space="preserve">būvniecības procesos iesaistīto </w:t>
      </w:r>
      <w:r>
        <w:t xml:space="preserve">uzņēmumu </w:t>
      </w:r>
      <w:r w:rsidR="00871F0D">
        <w:t xml:space="preserve">ir ar </w:t>
      </w:r>
      <w:r>
        <w:t>darbinieku skait</w:t>
      </w:r>
      <w:r w:rsidR="00871F0D">
        <w:t>u</w:t>
      </w:r>
      <w:r>
        <w:t xml:space="preserve"> līdz 50 darbiniekiem (skat.</w:t>
      </w:r>
      <w:r w:rsidR="00620E3E">
        <w:t xml:space="preserve"> </w:t>
      </w:r>
      <w:r w:rsidR="004B3143">
        <w:t>2</w:t>
      </w:r>
      <w:r w:rsidR="00620E3E" w:rsidRPr="00F57515">
        <w:t>.attēlu).</w:t>
      </w:r>
      <w:r>
        <w:t xml:space="preserve"> </w:t>
      </w:r>
      <w:r w:rsidR="008D3E05">
        <w:t>Salīdzinot ar CSP statisku par uzņēmumiem Latvijā, būvniecības procesos iesaistīt</w:t>
      </w:r>
      <w:r w:rsidR="00C73AD8">
        <w:t>ajos</w:t>
      </w:r>
      <w:r w:rsidR="008D3E05">
        <w:t xml:space="preserve"> uzņēmum</w:t>
      </w:r>
      <w:r w:rsidR="00C73AD8">
        <w:t>os</w:t>
      </w:r>
      <w:r w:rsidR="008D3E05">
        <w:t xml:space="preserve"> </w:t>
      </w:r>
      <w:r w:rsidR="00C73AD8">
        <w:t>salīdzinoši biežāk ir lielāks</w:t>
      </w:r>
      <w:r w:rsidR="008D3E05">
        <w:t xml:space="preserve"> darbinieku skait</w:t>
      </w:r>
      <w:r w:rsidR="0069180C">
        <w:t>s</w:t>
      </w:r>
      <w:r w:rsidR="008D3E05">
        <w:t>. Pēc CSP statistikas 88% uzņēmumu</w:t>
      </w:r>
      <w:r w:rsidR="00C73AD8">
        <w:t xml:space="preserve"> Latvijā</w:t>
      </w:r>
      <w:r w:rsidR="008D3E05">
        <w:t xml:space="preserve"> ir ar darbinieku skaitu līdz 9 darbiniekiem, bet būvniecības procesos iesaistītie uzņēmumi ar darbinieku skaitu līdz 9 darbiniekiem</w:t>
      </w:r>
      <w:r w:rsidR="00C73AD8">
        <w:t xml:space="preserve"> ir 68%</w:t>
      </w:r>
      <w:r w:rsidR="00457581">
        <w:t xml:space="preserve"> (skat. 2.attēlu)</w:t>
      </w:r>
      <w:r w:rsidR="008D3E05">
        <w:t>.</w:t>
      </w:r>
    </w:p>
    <w:p w14:paraId="04FB48FC" w14:textId="31ADB06F" w:rsidR="00620E3E" w:rsidRDefault="004B3143" w:rsidP="00520583">
      <w:pPr>
        <w:rPr>
          <w:b/>
        </w:rPr>
      </w:pPr>
      <w:r>
        <w:t>2</w:t>
      </w:r>
      <w:r w:rsidR="00620E3E">
        <w:t xml:space="preserve">.attēls. </w:t>
      </w:r>
      <w:r w:rsidR="00531B7A" w:rsidRPr="00531B7A">
        <w:rPr>
          <w:b/>
        </w:rPr>
        <w:t>U</w:t>
      </w:r>
      <w:r w:rsidR="00620E3E" w:rsidRPr="00C33CC1">
        <w:rPr>
          <w:b/>
        </w:rPr>
        <w:t>zņēmumu / organizāciju</w:t>
      </w:r>
      <w:r w:rsidR="00620E3E">
        <w:rPr>
          <w:b/>
        </w:rPr>
        <w:t xml:space="preserve"> darbinieku skaits</w:t>
      </w:r>
    </w:p>
    <w:p w14:paraId="12DBABD1" w14:textId="105B3650" w:rsidR="00AC47F9" w:rsidRDefault="00AC47F9" w:rsidP="00520583">
      <w:r w:rsidRPr="004D3218">
        <w:rPr>
          <w:noProof/>
        </w:rPr>
        <w:drawing>
          <wp:inline distT="0" distB="0" distL="0" distR="0" wp14:anchorId="163F562F" wp14:editId="20DD333C">
            <wp:extent cx="5048250" cy="3341935"/>
            <wp:effectExtent l="0" t="0" r="0" b="1143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ED0D42F" w14:textId="77777777" w:rsidR="00765A0C" w:rsidRDefault="00765A0C">
      <w:pPr>
        <w:spacing w:before="0" w:after="160"/>
        <w:jc w:val="left"/>
      </w:pPr>
      <w:r>
        <w:br w:type="page"/>
      </w:r>
    </w:p>
    <w:p w14:paraId="69FCA663" w14:textId="39D36B86" w:rsidR="00F31F38" w:rsidRDefault="004B01DD" w:rsidP="00F31F38">
      <w:pPr>
        <w:spacing w:line="360" w:lineRule="auto"/>
      </w:pPr>
      <w:r>
        <w:lastRenderedPageBreak/>
        <w:t xml:space="preserve">Lielākā daļa </w:t>
      </w:r>
      <w:r w:rsidR="00531B7A">
        <w:t xml:space="preserve">būvniecības procesos iesaistīto </w:t>
      </w:r>
      <w:r>
        <w:t xml:space="preserve">uzņēmumu Latvijā darbojas jau vairāk nekā 10 gadus (skat. </w:t>
      </w:r>
      <w:r w:rsidR="004B3143">
        <w:t>3</w:t>
      </w:r>
      <w:r>
        <w:t>.attēlu).</w:t>
      </w:r>
    </w:p>
    <w:p w14:paraId="5B61C5A1" w14:textId="433974E1" w:rsidR="00F57515" w:rsidRDefault="004B3143" w:rsidP="00F57515">
      <w:pPr>
        <w:rPr>
          <w:b/>
        </w:rPr>
      </w:pPr>
      <w:r>
        <w:t>3</w:t>
      </w:r>
      <w:r w:rsidR="00F57515">
        <w:t xml:space="preserve">.attēls. </w:t>
      </w:r>
      <w:r w:rsidR="00531B7A" w:rsidRPr="00531B7A">
        <w:rPr>
          <w:b/>
        </w:rPr>
        <w:t>U</w:t>
      </w:r>
      <w:r w:rsidR="00F57515" w:rsidRPr="00C33CC1">
        <w:rPr>
          <w:b/>
        </w:rPr>
        <w:t>zņēmumu / organizāciju</w:t>
      </w:r>
      <w:r w:rsidR="00F57515">
        <w:rPr>
          <w:b/>
        </w:rPr>
        <w:t xml:space="preserve"> darbības laiks</w:t>
      </w:r>
    </w:p>
    <w:p w14:paraId="6D03291F" w14:textId="2C690D7B" w:rsidR="00AC47F9" w:rsidRDefault="00AC47F9" w:rsidP="00F31F38">
      <w:pPr>
        <w:spacing w:line="360" w:lineRule="auto"/>
      </w:pPr>
      <w:r w:rsidRPr="008B1D73">
        <w:rPr>
          <w:noProof/>
        </w:rPr>
        <w:drawing>
          <wp:inline distT="0" distB="0" distL="0" distR="0" wp14:anchorId="071E4A75" wp14:editId="0F9D4CE4">
            <wp:extent cx="5019675" cy="3251210"/>
            <wp:effectExtent l="0" t="0" r="9525" b="63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536EBA5" w14:textId="36FAE91E" w:rsidR="00765A0C" w:rsidRDefault="00765A0C">
      <w:pPr>
        <w:spacing w:before="0" w:after="160"/>
        <w:jc w:val="left"/>
      </w:pPr>
      <w:r>
        <w:br w:type="page"/>
      </w:r>
    </w:p>
    <w:p w14:paraId="31D39F1B" w14:textId="1E8B940B" w:rsidR="00490ACD" w:rsidRPr="00490ACD" w:rsidRDefault="00490ACD" w:rsidP="00490ACD">
      <w:pPr>
        <w:pStyle w:val="Heading2"/>
      </w:pPr>
      <w:bookmarkStart w:id="15" w:name="_Toc19603252"/>
      <w:bookmarkStart w:id="16" w:name="_Toc20744782"/>
      <w:r w:rsidRPr="00490ACD">
        <w:lastRenderedPageBreak/>
        <w:t xml:space="preserve">4.2. </w:t>
      </w:r>
      <w:r w:rsidR="009B66C2" w:rsidRPr="00490ACD">
        <w:t>Būvniecības kvalitātes indeksa galvenie rezultāti</w:t>
      </w:r>
      <w:bookmarkEnd w:id="15"/>
      <w:bookmarkEnd w:id="16"/>
    </w:p>
    <w:p w14:paraId="1A81C7CA" w14:textId="3B87C615" w:rsidR="00A04E3F" w:rsidRPr="00BF60C2" w:rsidRDefault="00490ACD" w:rsidP="00BF60C2">
      <w:pPr>
        <w:pStyle w:val="Heading3"/>
        <w:spacing w:before="240" w:after="120"/>
        <w:rPr>
          <w:b/>
          <w:sz w:val="24"/>
          <w:szCs w:val="24"/>
        </w:rPr>
      </w:pPr>
      <w:bookmarkStart w:id="17" w:name="_Toc19603253"/>
      <w:bookmarkStart w:id="18" w:name="_Toc20744783"/>
      <w:r w:rsidRPr="00BF60C2">
        <w:rPr>
          <w:b/>
          <w:sz w:val="24"/>
          <w:szCs w:val="24"/>
        </w:rPr>
        <w:t>4</w:t>
      </w:r>
      <w:r w:rsidR="00A74ABB" w:rsidRPr="00BF60C2">
        <w:rPr>
          <w:b/>
          <w:sz w:val="24"/>
          <w:szCs w:val="24"/>
        </w:rPr>
        <w:t>.2.</w:t>
      </w:r>
      <w:r w:rsidR="00CD1C4E" w:rsidRPr="00BF60C2">
        <w:rPr>
          <w:b/>
          <w:sz w:val="24"/>
          <w:szCs w:val="24"/>
        </w:rPr>
        <w:t>1</w:t>
      </w:r>
      <w:r w:rsidRPr="00BF60C2">
        <w:rPr>
          <w:b/>
          <w:sz w:val="24"/>
          <w:szCs w:val="24"/>
        </w:rPr>
        <w:t>.</w:t>
      </w:r>
      <w:r w:rsidR="00A74ABB" w:rsidRPr="00BF60C2">
        <w:rPr>
          <w:b/>
          <w:sz w:val="24"/>
          <w:szCs w:val="24"/>
        </w:rPr>
        <w:t xml:space="preserve"> Būvniecības kvalitātes indekss</w:t>
      </w:r>
      <w:bookmarkEnd w:id="17"/>
      <w:bookmarkEnd w:id="18"/>
    </w:p>
    <w:p w14:paraId="22FC59A1" w14:textId="6DC8DDA7" w:rsidR="00205D08" w:rsidRPr="00205D08" w:rsidRDefault="00B021B3" w:rsidP="00205D08">
      <w:r>
        <w:t>4</w:t>
      </w:r>
      <w:r w:rsidR="008C113C">
        <w:t>. attēls.</w:t>
      </w:r>
    </w:p>
    <w:p w14:paraId="2E784A8F" w14:textId="1871B29A" w:rsidR="00A74ABB" w:rsidRPr="00A74ABB" w:rsidRDefault="00AC47F9" w:rsidP="00AE4004">
      <w:pPr>
        <w:spacing w:before="0" w:after="160" w:line="360" w:lineRule="auto"/>
        <w:jc w:val="center"/>
      </w:pPr>
      <w:r w:rsidRPr="009B4F64">
        <w:rPr>
          <w:noProof/>
        </w:rPr>
        <w:drawing>
          <wp:inline distT="0" distB="0" distL="0" distR="0" wp14:anchorId="5CDD8F3E" wp14:editId="00F99945">
            <wp:extent cx="5941060" cy="3905250"/>
            <wp:effectExtent l="0" t="0" r="2540" b="0"/>
            <wp:docPr id="21" name="Chart 21">
              <a:extLst xmlns:a="http://schemas.openxmlformats.org/drawingml/2006/main">
                <a:ext uri="{FF2B5EF4-FFF2-40B4-BE49-F238E27FC236}">
                  <a16:creationId xmlns:a16="http://schemas.microsoft.com/office/drawing/2014/main" id="{0CCA6E49-63BC-4DC0-BD7C-706D34E22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38970795" w14:textId="78BA04A0" w:rsidR="00CD1C4E" w:rsidRPr="00CD1C4E" w:rsidRDefault="00A74ABB" w:rsidP="00BE50AC">
      <w:pPr>
        <w:spacing w:before="0" w:after="160" w:line="360" w:lineRule="auto"/>
      </w:pPr>
      <w:r w:rsidRPr="00A74ABB">
        <w:t>Būvniecības nozares kvalitātes indekss 2019. gadā ir 78%</w:t>
      </w:r>
      <w:r>
        <w:t xml:space="preserve">, kas kopumā </w:t>
      </w:r>
      <w:r w:rsidR="00E0187C">
        <w:t xml:space="preserve">ir </w:t>
      </w:r>
      <w:r w:rsidR="00610718">
        <w:t>labs</w:t>
      </w:r>
      <w:r w:rsidR="00E0187C">
        <w:t xml:space="preserve"> novērtējums</w:t>
      </w:r>
      <w:r w:rsidR="00610718">
        <w:t xml:space="preserve"> (augsts vērtējums būtu 90% un vairāk)</w:t>
      </w:r>
      <w:r w:rsidR="00E0187C">
        <w:t>. Pozitīvi vērtējams fakts, ka visi četri būvniecības procesa posmi ir saņēmuši līdzīg</w:t>
      </w:r>
      <w:r w:rsidR="00205FB4">
        <w:t>i</w:t>
      </w:r>
      <w:r w:rsidR="00E0187C">
        <w:t xml:space="preserve"> augstus novērtējumus (augstākais novērtējums Būvdarbiem – 82%, zemākais novērtējums Projektēšanai – 75%). </w:t>
      </w:r>
      <w:r w:rsidR="00854D04">
        <w:t xml:space="preserve">Var secināt, ka būvniecības nozares sniegto pakalpojumu kvalitāte ir </w:t>
      </w:r>
      <w:r w:rsidR="00320B54">
        <w:t xml:space="preserve">augsta ne tikai laba </w:t>
      </w:r>
      <w:r w:rsidR="00854D04">
        <w:t>indeksa</w:t>
      </w:r>
      <w:r w:rsidR="00320B54">
        <w:t xml:space="preserve"> kopumā</w:t>
      </w:r>
      <w:r w:rsidR="0069180C">
        <w:t xml:space="preserve"> dēļ</w:t>
      </w:r>
      <w:r w:rsidR="00854D04">
        <w:t>, bet arī tāpēc, ka ir stabila visos attīstības posmos un īstenošanas procesos</w:t>
      </w:r>
      <w:r w:rsidR="008C113C">
        <w:t xml:space="preserve"> (skat. </w:t>
      </w:r>
      <w:r w:rsidR="00B021B3">
        <w:t>4</w:t>
      </w:r>
      <w:r w:rsidR="008C113C">
        <w:t>.attēlu)</w:t>
      </w:r>
      <w:r w:rsidR="00854D04">
        <w:t xml:space="preserve">. </w:t>
      </w:r>
      <w:r w:rsidR="00E0187C">
        <w:t xml:space="preserve"> </w:t>
      </w:r>
    </w:p>
    <w:p w14:paraId="150AA856" w14:textId="2721174E" w:rsidR="00CD1C4E" w:rsidRPr="00BF60C2" w:rsidRDefault="00490ACD" w:rsidP="00BF60C2">
      <w:pPr>
        <w:pStyle w:val="Heading3"/>
        <w:spacing w:before="240" w:after="120"/>
        <w:rPr>
          <w:b/>
          <w:sz w:val="24"/>
          <w:szCs w:val="24"/>
        </w:rPr>
      </w:pPr>
      <w:bookmarkStart w:id="19" w:name="_Toc19603254"/>
      <w:bookmarkStart w:id="20" w:name="_Toc20744784"/>
      <w:r w:rsidRPr="00BF60C2">
        <w:rPr>
          <w:b/>
          <w:sz w:val="24"/>
          <w:szCs w:val="24"/>
        </w:rPr>
        <w:t xml:space="preserve">4.2.2. </w:t>
      </w:r>
      <w:r w:rsidR="00CD1C4E" w:rsidRPr="00BF60C2">
        <w:rPr>
          <w:b/>
          <w:sz w:val="24"/>
          <w:szCs w:val="24"/>
        </w:rPr>
        <w:t>Būvniecības posmi</w:t>
      </w:r>
      <w:r w:rsidR="0070475D" w:rsidRPr="00BF60C2">
        <w:rPr>
          <w:b/>
          <w:sz w:val="24"/>
          <w:szCs w:val="24"/>
        </w:rPr>
        <w:t xml:space="preserve"> un apakšprocesi</w:t>
      </w:r>
      <w:bookmarkEnd w:id="19"/>
      <w:bookmarkEnd w:id="20"/>
    </w:p>
    <w:p w14:paraId="007F9A44" w14:textId="0CE7FDD2" w:rsidR="00CD1C4E" w:rsidRDefault="00FA7CFC" w:rsidP="007525F9">
      <w:pPr>
        <w:spacing w:before="0" w:after="160" w:line="360" w:lineRule="auto"/>
      </w:pPr>
      <w:r w:rsidRPr="008010FC">
        <w:t>Būvniecības posma</w:t>
      </w:r>
      <w:r w:rsidRPr="007525F9">
        <w:rPr>
          <w:b/>
        </w:rPr>
        <w:t xml:space="preserve"> </w:t>
      </w:r>
      <w:r w:rsidR="0070475D" w:rsidRPr="007525F9">
        <w:rPr>
          <w:b/>
        </w:rPr>
        <w:t>Priekšdarbi</w:t>
      </w:r>
      <w:r>
        <w:t xml:space="preserve"> (posma kopējais novērtējums 79%)</w:t>
      </w:r>
      <w:r w:rsidR="0070475D" w:rsidRPr="0070475D">
        <w:t xml:space="preserve"> ab</w:t>
      </w:r>
      <w:r>
        <w:t>as</w:t>
      </w:r>
      <w:r w:rsidR="0070475D" w:rsidRPr="0070475D">
        <w:t xml:space="preserve"> </w:t>
      </w:r>
      <w:r>
        <w:t xml:space="preserve">pakalpojumu grupas, </w:t>
      </w:r>
      <w:r w:rsidR="0070475D" w:rsidRPr="0070475D">
        <w:t>t.i.</w:t>
      </w:r>
      <w:r w:rsidR="0069180C">
        <w:t>,</w:t>
      </w:r>
      <w:r w:rsidR="0070475D" w:rsidRPr="0070475D">
        <w:t xml:space="preserve"> Būvniecības pasūtītāji un Priekšizpēte ir novērtēt</w:t>
      </w:r>
      <w:r>
        <w:t>as</w:t>
      </w:r>
      <w:r w:rsidR="0070475D" w:rsidRPr="0070475D">
        <w:t xml:space="preserve"> līdzīgi augst</w:t>
      </w:r>
      <w:r>
        <w:t>u</w:t>
      </w:r>
      <w:r w:rsidR="0070475D" w:rsidRPr="0070475D">
        <w:t xml:space="preserve"> (</w:t>
      </w:r>
      <w:r w:rsidR="003D7C51" w:rsidRPr="0070475D">
        <w:t xml:space="preserve">attiecīgi </w:t>
      </w:r>
      <w:r w:rsidR="0070475D" w:rsidRPr="0070475D">
        <w:t>78% un 80%)</w:t>
      </w:r>
      <w:r w:rsidR="00855116">
        <w:t xml:space="preserve"> (skat. </w:t>
      </w:r>
      <w:r w:rsidR="00B021B3">
        <w:t>5</w:t>
      </w:r>
      <w:r w:rsidR="00855116">
        <w:t>.attēlu)</w:t>
      </w:r>
      <w:r w:rsidR="0070475D" w:rsidRPr="0070475D">
        <w:t xml:space="preserve">. </w:t>
      </w:r>
    </w:p>
    <w:p w14:paraId="0E5B3B8F" w14:textId="77777777" w:rsidR="00AC47F9" w:rsidRDefault="00AC47F9">
      <w:pPr>
        <w:spacing w:before="0" w:after="160"/>
        <w:jc w:val="left"/>
      </w:pPr>
      <w:r>
        <w:br w:type="page"/>
      </w:r>
    </w:p>
    <w:p w14:paraId="3AF5687E" w14:textId="648C09E0" w:rsidR="00855116" w:rsidRDefault="00B021B3" w:rsidP="007525F9">
      <w:pPr>
        <w:spacing w:before="0" w:after="160" w:line="360" w:lineRule="auto"/>
      </w:pPr>
      <w:r>
        <w:lastRenderedPageBreak/>
        <w:t>5</w:t>
      </w:r>
      <w:r w:rsidR="00855116">
        <w:t>.attēls</w:t>
      </w:r>
    </w:p>
    <w:p w14:paraId="4D14E4CE" w14:textId="13B2FBC9" w:rsidR="00855116" w:rsidRDefault="00AC47F9" w:rsidP="00855116">
      <w:pPr>
        <w:spacing w:before="0" w:after="160" w:line="360" w:lineRule="auto"/>
        <w:jc w:val="center"/>
      </w:pPr>
      <w:r w:rsidRPr="00C174CD">
        <w:rPr>
          <w:noProof/>
        </w:rPr>
        <w:drawing>
          <wp:inline distT="0" distB="0" distL="0" distR="0" wp14:anchorId="54721A72" wp14:editId="386D6BBE">
            <wp:extent cx="3874770" cy="3847605"/>
            <wp:effectExtent l="0" t="0" r="0" b="0"/>
            <wp:docPr id="22" name="Chart 22">
              <a:extLst xmlns:a="http://schemas.openxmlformats.org/drawingml/2006/main">
                <a:ext uri="{FF2B5EF4-FFF2-40B4-BE49-F238E27FC236}">
                  <a16:creationId xmlns:a16="http://schemas.microsoft.com/office/drawing/2014/main" id="{0CCA6E49-63BC-4DC0-BD7C-706D34E22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C693CD4" w14:textId="3B012360" w:rsidR="003B02F6" w:rsidRDefault="00FD6DCA" w:rsidP="00637995">
      <w:pPr>
        <w:spacing w:before="0" w:after="160" w:line="360" w:lineRule="auto"/>
      </w:pPr>
      <w:r w:rsidRPr="00FD6DCA">
        <w:t xml:space="preserve">Zīmīgi, ka </w:t>
      </w:r>
      <w:r w:rsidR="00FB706A">
        <w:t xml:space="preserve">būvniecības pakalpojumu sniedzēju pašvērtējums visos </w:t>
      </w:r>
      <w:r w:rsidR="00AB49BB">
        <w:t>Priekšdarbu</w:t>
      </w:r>
      <w:r w:rsidR="00FB706A">
        <w:t xml:space="preserve"> </w:t>
      </w:r>
      <w:r w:rsidR="00FA7CFC">
        <w:t>pakalpojum</w:t>
      </w:r>
      <w:r w:rsidR="00AB49BB">
        <w:t>u grupu kvalitātes vērtējumos</w:t>
      </w:r>
      <w:r w:rsidR="00FB706A">
        <w:t xml:space="preserve"> ir augstāks nekā pakalpojumu saņēmēju </w:t>
      </w:r>
      <w:r w:rsidR="00AB49BB">
        <w:t>vērtējumi</w:t>
      </w:r>
      <w:r w:rsidR="00FB706A">
        <w:t xml:space="preserve">. </w:t>
      </w:r>
      <w:r w:rsidR="00274D29">
        <w:t xml:space="preserve">Vislielākā starpība starp pakalpojumu sniedzēju un saņēmēju viedokļiem ir </w:t>
      </w:r>
      <w:r w:rsidR="00AB49BB">
        <w:t>pakalpojumam</w:t>
      </w:r>
      <w:r w:rsidR="00274D29">
        <w:t xml:space="preserve"> Būvniecības ierosinātājs. Pakalpojuma saņēmēji ir novērtējuši šo </w:t>
      </w:r>
      <w:r w:rsidR="00FA7CFC">
        <w:t>pakalpojumu</w:t>
      </w:r>
      <w:r w:rsidR="00274D29">
        <w:t xml:space="preserve"> ar 7.8 punktiem, savukārt paši pakalpojuma sniedzēji </w:t>
      </w:r>
      <w:r w:rsidR="003D7C51">
        <w:t xml:space="preserve">to </w:t>
      </w:r>
      <w:r w:rsidR="00274D29">
        <w:t xml:space="preserve">ir novērtējuši par 0.8 punktiem augstāk (8.6 punkti). Zemākais novērtējums gan no klientu puses, gan no būvniecības uzņēmumu puses ir </w:t>
      </w:r>
      <w:r w:rsidR="00FA7CFC">
        <w:t>pakalpojumam</w:t>
      </w:r>
      <w:r w:rsidR="00274D29">
        <w:t xml:space="preserve"> Būvobjekta priekšizpēte (ēka)</w:t>
      </w:r>
      <w:r w:rsidR="00220B7F">
        <w:t xml:space="preserve">, tomēr tieši šajā </w:t>
      </w:r>
      <w:r w:rsidR="00FA7CFC">
        <w:t>pakalpojumā</w:t>
      </w:r>
      <w:r w:rsidR="00220B7F">
        <w:t xml:space="preserve"> abu pušu viedokļi sakrīt un vērtējums ir līdzīgs (7.6 punkti no </w:t>
      </w:r>
      <w:r w:rsidR="00796320">
        <w:t xml:space="preserve">pakalpojumu </w:t>
      </w:r>
      <w:r w:rsidR="00220B7F">
        <w:t>saņēmēj</w:t>
      </w:r>
      <w:r w:rsidR="00796320">
        <w:t>u</w:t>
      </w:r>
      <w:r w:rsidR="00220B7F">
        <w:t xml:space="preserve"> puses, 7.7 punkti – uzņēmumu pašvērtējums)</w:t>
      </w:r>
      <w:r w:rsidR="003D7C51">
        <w:t xml:space="preserve"> (skat. </w:t>
      </w:r>
      <w:r w:rsidR="00B021B3">
        <w:t>6</w:t>
      </w:r>
      <w:r w:rsidR="003D7C51">
        <w:t>. attēlu)</w:t>
      </w:r>
      <w:r w:rsidR="00220B7F">
        <w:t xml:space="preserve">. </w:t>
      </w:r>
    </w:p>
    <w:p w14:paraId="364A7200" w14:textId="77777777" w:rsidR="00AC47F9" w:rsidRDefault="00AC47F9">
      <w:pPr>
        <w:spacing w:before="0" w:after="160"/>
        <w:jc w:val="left"/>
      </w:pPr>
      <w:r>
        <w:br w:type="page"/>
      </w:r>
    </w:p>
    <w:p w14:paraId="62161126" w14:textId="2088C39C" w:rsidR="00855116" w:rsidRPr="0070475D" w:rsidRDefault="00B021B3" w:rsidP="00855116">
      <w:pPr>
        <w:spacing w:before="0" w:after="160" w:line="360" w:lineRule="auto"/>
      </w:pPr>
      <w:r>
        <w:lastRenderedPageBreak/>
        <w:t>6</w:t>
      </w:r>
      <w:r w:rsidR="00855116">
        <w:t>.attēls.</w:t>
      </w:r>
    </w:p>
    <w:p w14:paraId="59746A12" w14:textId="63F6FA9A" w:rsidR="00855116" w:rsidRPr="007525F9" w:rsidRDefault="00AC47F9" w:rsidP="00855116">
      <w:pPr>
        <w:spacing w:before="0" w:after="160" w:line="360" w:lineRule="auto"/>
        <w:jc w:val="center"/>
      </w:pPr>
      <w:r w:rsidRPr="00C469E8">
        <w:rPr>
          <w:noProof/>
          <w:color w:val="333333"/>
        </w:rPr>
        <w:drawing>
          <wp:inline distT="0" distB="0" distL="0" distR="0" wp14:anchorId="14F8DE6F" wp14:editId="75754F65">
            <wp:extent cx="5941060" cy="2447925"/>
            <wp:effectExtent l="0" t="0" r="2540" b="0"/>
            <wp:docPr id="24" name="Chart 24">
              <a:extLst xmlns:a="http://schemas.openxmlformats.org/drawingml/2006/main">
                <a:ext uri="{FF2B5EF4-FFF2-40B4-BE49-F238E27FC236}">
                  <a16:creationId xmlns:a16="http://schemas.microsoft.com/office/drawing/2014/main" id="{5E360925-6D8E-4158-A5D0-61F4DA0BD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B4FBD8" w14:textId="35B6FBA8" w:rsidR="00B65848" w:rsidRDefault="009A57BD" w:rsidP="007E4E94">
      <w:pPr>
        <w:spacing w:before="0" w:after="160" w:line="360" w:lineRule="auto"/>
      </w:pPr>
      <w:r>
        <w:t xml:space="preserve">Lai uzlabotu Būvniecības ierosinātājs novērtējumu, turpmāk jāuzlabo </w:t>
      </w:r>
      <w:r w:rsidR="00CF106E">
        <w:t>s</w:t>
      </w:r>
      <w:r>
        <w:t>pēja ievērot termiņu</w:t>
      </w:r>
      <w:r w:rsidR="00980DFA">
        <w:t>s</w:t>
      </w:r>
      <w:r>
        <w:t xml:space="preserve"> un plānot</w:t>
      </w:r>
      <w:r w:rsidR="00CF106E">
        <w:t xml:space="preserve"> darbus</w:t>
      </w:r>
      <w:r>
        <w:t xml:space="preserve"> (6.88 punkti). Savukārt</w:t>
      </w:r>
      <w:r w:rsidR="0069180C">
        <w:t>,</w:t>
      </w:r>
      <w:r>
        <w:t xml:space="preserve"> lai uzlabotu Būvobjekta priekšizpēte (zeme) novērtējumu, jāuzlabo </w:t>
      </w:r>
      <w:r w:rsidR="00CF106E">
        <w:t>c</w:t>
      </w:r>
      <w:r w:rsidRPr="009A57BD">
        <w:t>enas attiecība pret saņemtā pakalpojuma kvalitāti</w:t>
      </w:r>
      <w:r>
        <w:t xml:space="preserve"> (7.09 punkti)</w:t>
      </w:r>
      <w:r w:rsidR="00BC3D0C">
        <w:t xml:space="preserve">. </w:t>
      </w:r>
      <w:r w:rsidR="00350529">
        <w:t xml:space="preserve">Lai uzlabotu Būvobjekta priekšizpēte (ēka) novērtējumu, jāuzlabo </w:t>
      </w:r>
      <w:r w:rsidR="00CF106E">
        <w:t>p</w:t>
      </w:r>
      <w:r w:rsidR="00350529" w:rsidRPr="00350529">
        <w:t>akalpojumu sniedzēja spēja plānot un ievērot termiņus</w:t>
      </w:r>
      <w:r w:rsidR="00350529">
        <w:t xml:space="preserve"> (6.60 punkti) un </w:t>
      </w:r>
      <w:r w:rsidR="00CF106E">
        <w:t>p</w:t>
      </w:r>
      <w:r w:rsidR="00350529" w:rsidRPr="00350529">
        <w:t>akalpojumu sniedzēja atbildīb</w:t>
      </w:r>
      <w:r w:rsidR="00CF106E">
        <w:t>as sniegums</w:t>
      </w:r>
      <w:r w:rsidR="00350529" w:rsidRPr="00350529">
        <w:t xml:space="preserve"> par galarezultātu</w:t>
      </w:r>
      <w:r w:rsidR="00350529">
        <w:t xml:space="preserve"> (7.29 punkti) (skat. rezultātu </w:t>
      </w:r>
      <w:r w:rsidR="008847CB">
        <w:t xml:space="preserve">tabulu pielikumā </w:t>
      </w:r>
      <w:r w:rsidR="00350529">
        <w:t>Excel failā “Indeksa Modulis”, lapa “Pakalpojumu grupas”).</w:t>
      </w:r>
    </w:p>
    <w:p w14:paraId="737F9342" w14:textId="47E13772" w:rsidR="00735494" w:rsidRDefault="00FA7CFC" w:rsidP="007E4E94">
      <w:pPr>
        <w:spacing w:before="0" w:after="160" w:line="360" w:lineRule="auto"/>
      </w:pPr>
      <w:r w:rsidRPr="008010FC">
        <w:t>Būvniecības posma</w:t>
      </w:r>
      <w:r w:rsidRPr="00581E50">
        <w:t xml:space="preserve"> </w:t>
      </w:r>
      <w:r w:rsidR="00581E50" w:rsidRPr="007525F9">
        <w:rPr>
          <w:b/>
        </w:rPr>
        <w:t>Projektēšana</w:t>
      </w:r>
      <w:r>
        <w:t xml:space="preserve"> (posma kopējais novērtējums 75%) pakalpojumu grupu</w:t>
      </w:r>
      <w:r w:rsidR="00B82AF1">
        <w:t xml:space="preserve"> vērtējumi atšķiras gan</w:t>
      </w:r>
      <w:r w:rsidR="000E0A87" w:rsidRPr="000E0A87">
        <w:t xml:space="preserve"> </w:t>
      </w:r>
      <w:r w:rsidR="000E0A87">
        <w:t>no</w:t>
      </w:r>
      <w:r w:rsidR="00B82AF1">
        <w:t xml:space="preserve"> pakalpojumu saņēmēj</w:t>
      </w:r>
      <w:r w:rsidR="00915517">
        <w:t>u</w:t>
      </w:r>
      <w:r w:rsidR="00296443">
        <w:t xml:space="preserve">, </w:t>
      </w:r>
      <w:r w:rsidR="00B82AF1">
        <w:t>gan</w:t>
      </w:r>
      <w:r w:rsidR="00247BF7">
        <w:t xml:space="preserve"> no</w:t>
      </w:r>
      <w:r w:rsidR="00B82AF1">
        <w:t xml:space="preserve"> pakalpojumu sniedzēj</w:t>
      </w:r>
      <w:r w:rsidR="00247BF7">
        <w:t>u puses</w:t>
      </w:r>
      <w:r w:rsidR="00B82AF1">
        <w:t>.</w:t>
      </w:r>
      <w:r w:rsidR="00915517">
        <w:t xml:space="preserve"> Atšķirībā no citiem būvniecības posmiem, kuru pakalpojumi ir sadalīti 2-3 apakšprocesos, posmu Projektēšana veido 9 pakalpojumu grupas. Gandrīz visās projektēšanas posma pakalpojuma grupās pakalpojumu sniedzēju pašvērtējums ir augstāks nekā saņēmēju novērtējums, izņemot pakalpojumus Elektrotīkli, vājstrāvu tīkli un Būvprojekta ekspertīze (skat. 7.attēlu).</w:t>
      </w:r>
    </w:p>
    <w:p w14:paraId="458BFE31" w14:textId="2A6E4A3A" w:rsidR="003F1318" w:rsidRDefault="00735494" w:rsidP="00637995">
      <w:pPr>
        <w:spacing w:before="0" w:after="160" w:line="360" w:lineRule="auto"/>
      </w:pPr>
      <w:r>
        <w:t xml:space="preserve">Kopumā </w:t>
      </w:r>
      <w:r w:rsidR="00A01DD3">
        <w:t xml:space="preserve">projektēšanas apakšprocesa aspektu </w:t>
      </w:r>
      <w:r>
        <w:t>vērtējumi</w:t>
      </w:r>
      <w:r w:rsidR="00A01DD3">
        <w:t xml:space="preserve"> (gan novērtējums, gan pašvērtējums)</w:t>
      </w:r>
      <w:r>
        <w:t xml:space="preserve"> sv</w:t>
      </w:r>
      <w:r w:rsidR="00A01DD3">
        <w:t>ā</w:t>
      </w:r>
      <w:r>
        <w:t>rstās 1.</w:t>
      </w:r>
      <w:r w:rsidR="00A01DD3">
        <w:t>7</w:t>
      </w:r>
      <w:r>
        <w:t xml:space="preserve"> punktu robežās no </w:t>
      </w:r>
      <w:r w:rsidR="00A01DD3">
        <w:t>6.9 punktiem</w:t>
      </w:r>
      <w:r>
        <w:t xml:space="preserve"> līdz </w:t>
      </w:r>
      <w:r w:rsidR="00A01DD3">
        <w:t>8.6 punktiem</w:t>
      </w:r>
      <w:r>
        <w:t xml:space="preserve">. </w:t>
      </w:r>
      <w:r w:rsidR="00D03C61">
        <w:t xml:space="preserve">Kopumā visaugstāk </w:t>
      </w:r>
      <w:r>
        <w:t xml:space="preserve">gan </w:t>
      </w:r>
      <w:r w:rsidR="00740733">
        <w:t>n</w:t>
      </w:r>
      <w:r>
        <w:t>o pakalpojumu saņēmēju, gan no pakalpojumu sniedzēju puses tiek novērtēt</w:t>
      </w:r>
      <w:r w:rsidR="00740733">
        <w:t xml:space="preserve">as </w:t>
      </w:r>
      <w:r w:rsidR="00A01DD3">
        <w:t>Inženierbūves (</w:t>
      </w:r>
      <w:r w:rsidR="00D03C61">
        <w:t xml:space="preserve">attiecīgi </w:t>
      </w:r>
      <w:r w:rsidR="00A01DD3">
        <w:t>8.0 un 8.6 punkti). Tāpat augst</w:t>
      </w:r>
      <w:r w:rsidR="00D03C61">
        <w:t>u</w:t>
      </w:r>
      <w:r w:rsidR="00A01DD3">
        <w:t xml:space="preserve"> tiek novērtēti Elektrotīkli, vājstrāvu tīkli (</w:t>
      </w:r>
      <w:r w:rsidR="00D03C61">
        <w:t xml:space="preserve">attiecīgi </w:t>
      </w:r>
      <w:r w:rsidR="00A01DD3">
        <w:t>8.2 un 7.</w:t>
      </w:r>
      <w:r w:rsidR="00740733">
        <w:t>8</w:t>
      </w:r>
      <w:r w:rsidR="00A01DD3">
        <w:t xml:space="preserve"> punkti), kā arī Teritorijas labiekārtošana (</w:t>
      </w:r>
      <w:r w:rsidR="00D03C61">
        <w:t xml:space="preserve">attiecīgi </w:t>
      </w:r>
      <w:r w:rsidR="00A01DD3">
        <w:t>7.8 un 8.3 punkti)</w:t>
      </w:r>
      <w:r>
        <w:t xml:space="preserve">. Vislīdzīgāk </w:t>
      </w:r>
      <w:r w:rsidR="00A01DD3">
        <w:t xml:space="preserve">no abu pušu </w:t>
      </w:r>
      <w:r w:rsidR="00D03C61">
        <w:t>skatpunkta</w:t>
      </w:r>
      <w:r w:rsidR="00A01DD3">
        <w:t xml:space="preserve"> </w:t>
      </w:r>
      <w:r>
        <w:t>tiek novērtēt</w:t>
      </w:r>
      <w:r w:rsidR="00D03C61">
        <w:t>a</w:t>
      </w:r>
      <w:r>
        <w:t xml:space="preserve"> </w:t>
      </w:r>
      <w:r w:rsidR="00A01DD3">
        <w:t>Ūdensapgāde, kanalizācija (</w:t>
      </w:r>
      <w:r w:rsidR="00D03C61">
        <w:t xml:space="preserve">attiecīgi </w:t>
      </w:r>
      <w:r w:rsidR="00A01DD3">
        <w:t>7.5 un 7.8 punkti</w:t>
      </w:r>
      <w:r w:rsidR="007F33E7">
        <w:t>, t.i.,</w:t>
      </w:r>
      <w:r w:rsidR="00D03C61">
        <w:t xml:space="preserve"> tikai</w:t>
      </w:r>
      <w:r w:rsidR="00A01DD3">
        <w:t xml:space="preserve"> </w:t>
      </w:r>
      <w:r w:rsidR="00740733">
        <w:t>0.3 punktu starpīb</w:t>
      </w:r>
      <w:r w:rsidR="00B02AEB">
        <w:t>a</w:t>
      </w:r>
      <w:r w:rsidR="00A01DD3">
        <w:t>)</w:t>
      </w:r>
      <w:r w:rsidR="00D03C61">
        <w:t>.</w:t>
      </w:r>
      <w:r w:rsidR="00A01DD3">
        <w:t xml:space="preserve"> </w:t>
      </w:r>
      <w:r w:rsidR="00D03C61">
        <w:t>V</w:t>
      </w:r>
      <w:r w:rsidR="00A01DD3">
        <w:t xml:space="preserve">islielākā atšķirība viedokļos ir vērojama </w:t>
      </w:r>
      <w:r w:rsidR="007525F9">
        <w:t>pakalpojumam</w:t>
      </w:r>
      <w:r w:rsidR="00A01DD3">
        <w:t xml:space="preserve"> Būvprojekta vadība/ izstrāde</w:t>
      </w:r>
      <w:r w:rsidR="00740733">
        <w:t xml:space="preserve"> </w:t>
      </w:r>
      <w:r w:rsidR="00A01DD3">
        <w:t>(projektēšana</w:t>
      </w:r>
      <w:r w:rsidR="00740733">
        <w:t>)</w:t>
      </w:r>
      <w:r w:rsidR="00A01DD3">
        <w:t>, kur vērtējumos vērojama 1.1 punkt</w:t>
      </w:r>
      <w:r w:rsidR="007F33E7">
        <w:t>a</w:t>
      </w:r>
      <w:r w:rsidR="00A01DD3">
        <w:t xml:space="preserve"> starpība (</w:t>
      </w:r>
      <w:r w:rsidR="00D03C61">
        <w:t xml:space="preserve">attiecīgi </w:t>
      </w:r>
      <w:r w:rsidR="00A01DD3">
        <w:t xml:space="preserve">7.1 un 8.2 punkti). </w:t>
      </w:r>
      <w:r>
        <w:lastRenderedPageBreak/>
        <w:t xml:space="preserve">No </w:t>
      </w:r>
      <w:r w:rsidR="006C0700">
        <w:t>b</w:t>
      </w:r>
      <w:r>
        <w:t>ūvniecības pakalpojumu saņēmēj</w:t>
      </w:r>
      <w:r w:rsidR="006C0700">
        <w:t>u puses</w:t>
      </w:r>
      <w:r>
        <w:t xml:space="preserve"> </w:t>
      </w:r>
      <w:r w:rsidR="006C0700">
        <w:t xml:space="preserve">visaugstāko </w:t>
      </w:r>
      <w:r w:rsidR="003F1318">
        <w:t>no</w:t>
      </w:r>
      <w:r w:rsidR="006C0700">
        <w:t>vērtējumu ir saņ</w:t>
      </w:r>
      <w:r w:rsidR="003F1318">
        <w:t>ē</w:t>
      </w:r>
      <w:r w:rsidR="006C0700">
        <w:t>muš</w:t>
      </w:r>
      <w:r w:rsidR="003F1318">
        <w:t>i Elektrotīkli, vājstrāvu tīkli (8.2</w:t>
      </w:r>
      <w:r w:rsidR="0017727E">
        <w:t xml:space="preserve"> punkti</w:t>
      </w:r>
      <w:r w:rsidR="003F1318">
        <w:t xml:space="preserve">), </w:t>
      </w:r>
      <w:r>
        <w:t>bet viszemāk</w:t>
      </w:r>
      <w:r w:rsidR="003F1318">
        <w:t>o – Būves arhitektūra (6.9</w:t>
      </w:r>
      <w:r w:rsidR="0017727E">
        <w:t xml:space="preserve"> punkti</w:t>
      </w:r>
      <w:r w:rsidR="003F1318">
        <w:t>). B</w:t>
      </w:r>
      <w:r w:rsidR="006C0700">
        <w:t>ūvniecības uzņēmu</w:t>
      </w:r>
      <w:r w:rsidR="003F1318">
        <w:t xml:space="preserve">mu pašvērtējumā </w:t>
      </w:r>
      <w:r w:rsidR="006C0700">
        <w:t>visaugstāk ir novērtētas Inženierbūves</w:t>
      </w:r>
      <w:r w:rsidR="003F1318">
        <w:t xml:space="preserve"> (8.6</w:t>
      </w:r>
      <w:r w:rsidR="0017727E">
        <w:t xml:space="preserve"> punkti</w:t>
      </w:r>
      <w:r w:rsidR="003F1318">
        <w:t>)</w:t>
      </w:r>
      <w:r w:rsidR="006C0700">
        <w:t xml:space="preserve">, bet viszemāk </w:t>
      </w:r>
      <w:r w:rsidR="003F1318">
        <w:t>– Būvprojekta ekspertīze (7.0</w:t>
      </w:r>
      <w:r w:rsidR="0017727E">
        <w:t xml:space="preserve"> punkti</w:t>
      </w:r>
      <w:r w:rsidR="003F1318">
        <w:t>)</w:t>
      </w:r>
      <w:r w:rsidR="00CC5D30">
        <w:t xml:space="preserve"> (skat. </w:t>
      </w:r>
      <w:r w:rsidR="00B021B3">
        <w:t>7</w:t>
      </w:r>
      <w:r w:rsidR="00CC5D30">
        <w:t>. attēlu)</w:t>
      </w:r>
      <w:r w:rsidR="003F1318">
        <w:t xml:space="preserve">. </w:t>
      </w:r>
    </w:p>
    <w:p w14:paraId="7D63911E" w14:textId="429AD873" w:rsidR="00855116" w:rsidRDefault="00B021B3" w:rsidP="00637995">
      <w:pPr>
        <w:spacing w:before="0" w:after="160" w:line="360" w:lineRule="auto"/>
      </w:pPr>
      <w:r>
        <w:t>7</w:t>
      </w:r>
      <w:r w:rsidR="00855116">
        <w:t>.attēls</w:t>
      </w:r>
    </w:p>
    <w:p w14:paraId="3482C779" w14:textId="5AEA710D" w:rsidR="00855116" w:rsidRDefault="00AC47F9" w:rsidP="00D4050C">
      <w:pPr>
        <w:spacing w:before="0" w:after="160" w:line="360" w:lineRule="auto"/>
        <w:jc w:val="center"/>
      </w:pPr>
      <w:r w:rsidRPr="00C06AFD">
        <w:rPr>
          <w:noProof/>
        </w:rPr>
        <w:drawing>
          <wp:inline distT="0" distB="0" distL="0" distR="0" wp14:anchorId="6EFFF44F" wp14:editId="394F4877">
            <wp:extent cx="5941060" cy="4857750"/>
            <wp:effectExtent l="0" t="0" r="2540" b="0"/>
            <wp:docPr id="25" name="Chart 25">
              <a:extLst xmlns:a="http://schemas.openxmlformats.org/drawingml/2006/main">
                <a:ext uri="{FF2B5EF4-FFF2-40B4-BE49-F238E27FC236}">
                  <a16:creationId xmlns:a16="http://schemas.microsoft.com/office/drawing/2014/main" id="{5E360925-6D8E-4158-A5D0-61F4DA0BD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33719307" w14:textId="25FED638" w:rsidR="001F2220" w:rsidRDefault="007525F9" w:rsidP="00637995">
      <w:pPr>
        <w:spacing w:before="0" w:after="160" w:line="360" w:lineRule="auto"/>
      </w:pPr>
      <w:r>
        <w:t>P</w:t>
      </w:r>
      <w:r w:rsidR="000B6291">
        <w:t xml:space="preserve">ārsvarā visi </w:t>
      </w:r>
      <w:r>
        <w:t>pakalpojumi</w:t>
      </w:r>
      <w:r w:rsidR="000B6291">
        <w:t xml:space="preserve"> </w:t>
      </w:r>
      <w:r>
        <w:t xml:space="preserve">projektēšanas pakalpojumu grupā </w:t>
      </w:r>
      <w:r w:rsidR="000B6291">
        <w:t xml:space="preserve">ir </w:t>
      </w:r>
      <w:r>
        <w:t>augstāk</w:t>
      </w:r>
      <w:r w:rsidR="000B6291">
        <w:t xml:space="preserve"> </w:t>
      </w:r>
      <w:r>
        <w:t xml:space="preserve">novērtēti </w:t>
      </w:r>
      <w:r w:rsidR="000B6291">
        <w:t>no pakalpojumu sniedzēju</w:t>
      </w:r>
      <w:r>
        <w:t>, nevis saņēmēju</w:t>
      </w:r>
      <w:r w:rsidR="000B6291">
        <w:t xml:space="preserve"> puses, </w:t>
      </w:r>
      <w:r w:rsidR="00D2269D">
        <w:t xml:space="preserve">apliecinot to, ka </w:t>
      </w:r>
      <w:r w:rsidR="000B6291">
        <w:t xml:space="preserve">projektēšanas kvalitātes </w:t>
      </w:r>
      <w:r>
        <w:t xml:space="preserve">pašvērtējuma </w:t>
      </w:r>
      <w:r w:rsidR="00D2269D">
        <w:t xml:space="preserve">līmenis </w:t>
      </w:r>
      <w:r>
        <w:t>ir</w:t>
      </w:r>
      <w:r w:rsidR="00D2269D">
        <w:t xml:space="preserve"> augstāk</w:t>
      </w:r>
      <w:r>
        <w:t>s</w:t>
      </w:r>
      <w:r w:rsidR="00D2269D">
        <w:t xml:space="preserve"> nekā projektēšanas pakalpojuma sniegums</w:t>
      </w:r>
      <w:r>
        <w:t xml:space="preserve"> pakalpojumu saņēmējiem</w:t>
      </w:r>
      <w:r w:rsidR="00D2269D">
        <w:t xml:space="preserve">. </w:t>
      </w:r>
    </w:p>
    <w:p w14:paraId="3C6CE34F" w14:textId="68A7456A" w:rsidR="00B65848" w:rsidRDefault="00E3059B" w:rsidP="00637995">
      <w:pPr>
        <w:spacing w:before="0" w:after="160" w:line="360" w:lineRule="auto"/>
      </w:pPr>
      <w:r>
        <w:t xml:space="preserve">Lai uzlabotu pakalpojumu grupu Būves arhitektūra, nepieciešams </w:t>
      </w:r>
      <w:r w:rsidR="00BD09C8">
        <w:t>uzlabot spēju plānot un ievērot termiņus (5.19 punkti)</w:t>
      </w:r>
      <w:r w:rsidR="0018182E">
        <w:t xml:space="preserve"> un</w:t>
      </w:r>
      <w:r w:rsidR="00BD09C8">
        <w:t xml:space="preserve"> </w:t>
      </w:r>
      <w:r w:rsidR="003250FF">
        <w:t>p</w:t>
      </w:r>
      <w:r w:rsidR="003250FF" w:rsidRPr="003250FF">
        <w:t>akalpojumu sniedzēja ieinteresētīb</w:t>
      </w:r>
      <w:r w:rsidR="0018182E">
        <w:t>u</w:t>
      </w:r>
      <w:r w:rsidR="003250FF" w:rsidRPr="003250FF">
        <w:t xml:space="preserve"> par galaproduktu</w:t>
      </w:r>
      <w:r w:rsidR="0018182E">
        <w:t xml:space="preserve"> (6.40 punkti). </w:t>
      </w:r>
      <w:r w:rsidR="00B65848">
        <w:t xml:space="preserve">Lai uzlabotu Būvprojekta vadību / izstrādi projektēšanas posmā, jāuzlabo plānošana un termiņu ievērošana (6.21 punkts), </w:t>
      </w:r>
      <w:r>
        <w:t>c</w:t>
      </w:r>
      <w:r w:rsidR="00B65848" w:rsidRPr="00B65848">
        <w:t>enas attiecība pret saņemtā pakalpojuma kvalitāti</w:t>
      </w:r>
      <w:r>
        <w:t xml:space="preserve">, kas būtiski ietekmē </w:t>
      </w:r>
      <w:r>
        <w:lastRenderedPageBreak/>
        <w:t xml:space="preserve">kopējo apmierinātību ar saņemto pakalpojumu (6.36 punkti), kā arī komandas kapacitāte (6.37 punkti). Lai uzlabotu apkures, ventilācijas, klimata kontroles sistēmas projektēšanas novērtējumu, nepieciešams </w:t>
      </w:r>
      <w:r w:rsidR="0018182E">
        <w:t xml:space="preserve">uzlabot sadarbību un būt elastīgākiem vadības lēmumos (6.62 punkti), komandas kapacitāti (6.71 punkts) un termiņu ievērošanu (6.69 punkti). </w:t>
      </w:r>
      <w:r w:rsidR="00956FBE">
        <w:t>Lai uzlabotu Būvprojekta ekspertīzes novērtējumu, svarīgākais ir uzlabot rādītāju “</w:t>
      </w:r>
      <w:r w:rsidR="00956FBE" w:rsidRPr="00956FBE">
        <w:t>Cenas attiecība pret saņemtā pakalpojuma kvalitāti</w:t>
      </w:r>
      <w:r w:rsidR="00956FBE">
        <w:t xml:space="preserve">”(5.92 punkti) (skat. rezultātu </w:t>
      </w:r>
      <w:r w:rsidR="008847CB">
        <w:t xml:space="preserve">tabulu pielikumā </w:t>
      </w:r>
      <w:r w:rsidR="00956FBE">
        <w:t xml:space="preserve">Excel failā “Indeksa Modulis”, lapa “Pakalpojumu grupas”). </w:t>
      </w:r>
    </w:p>
    <w:p w14:paraId="24F6436A" w14:textId="322074E5" w:rsidR="008010FC" w:rsidRDefault="007525F9" w:rsidP="007525F9">
      <w:pPr>
        <w:spacing w:before="0" w:after="160" w:line="360" w:lineRule="auto"/>
      </w:pPr>
      <w:r w:rsidRPr="008010FC">
        <w:t>Būvniecības posm</w:t>
      </w:r>
      <w:r w:rsidR="008010FC">
        <w:t>s</w:t>
      </w:r>
      <w:r w:rsidRPr="00581E50">
        <w:t xml:space="preserve"> </w:t>
      </w:r>
      <w:r w:rsidR="001F2220" w:rsidRPr="007525F9">
        <w:rPr>
          <w:b/>
        </w:rPr>
        <w:t>Būvdarbi</w:t>
      </w:r>
      <w:r w:rsidR="00152A29">
        <w:rPr>
          <w:b/>
        </w:rPr>
        <w:t xml:space="preserve"> </w:t>
      </w:r>
      <w:r w:rsidR="00FA2247">
        <w:t>ir</w:t>
      </w:r>
      <w:r w:rsidR="008010FC">
        <w:t xml:space="preserve"> posms ar kopumā </w:t>
      </w:r>
      <w:r w:rsidR="001F2220">
        <w:t xml:space="preserve">augstāko </w:t>
      </w:r>
      <w:r w:rsidR="008010FC">
        <w:t xml:space="preserve">kvalitātes </w:t>
      </w:r>
      <w:r w:rsidR="001F2220">
        <w:t>novērtējumu</w:t>
      </w:r>
      <w:r w:rsidR="00152A29">
        <w:t xml:space="preserve"> (posma kopējais novērtējums 82%)</w:t>
      </w:r>
      <w:r w:rsidR="00B63018">
        <w:t>,</w:t>
      </w:r>
      <w:r w:rsidR="00FA2247">
        <w:t xml:space="preserve"> un tas ietver </w:t>
      </w:r>
      <w:r w:rsidR="001F2220">
        <w:t>trīs apakšprocesus</w:t>
      </w:r>
      <w:r w:rsidR="00FA2247">
        <w:t xml:space="preserve"> (Būvniecības projektu vadība, Būvdarbu vadība un realizācija un Būvmateriāli)</w:t>
      </w:r>
      <w:r w:rsidR="001F2220">
        <w:t xml:space="preserve">. </w:t>
      </w:r>
    </w:p>
    <w:p w14:paraId="0EF2E3C2" w14:textId="7F7FDEFE" w:rsidR="00EC4807" w:rsidRDefault="00EC4807" w:rsidP="007525F9">
      <w:pPr>
        <w:spacing w:before="0" w:after="160" w:line="360" w:lineRule="auto"/>
      </w:pPr>
      <w:r>
        <w:t xml:space="preserve">Pozitīvi, ka </w:t>
      </w:r>
      <w:r w:rsidR="00FA2247">
        <w:t>visu</w:t>
      </w:r>
      <w:r>
        <w:t xml:space="preserve"> </w:t>
      </w:r>
      <w:r w:rsidR="00FA2247">
        <w:t>trīs</w:t>
      </w:r>
      <w:r>
        <w:t xml:space="preserve"> apakšproces</w:t>
      </w:r>
      <w:r w:rsidR="00FA2247">
        <w:t>u</w:t>
      </w:r>
      <w:r>
        <w:t xml:space="preserve"> </w:t>
      </w:r>
      <w:r w:rsidR="00FA2247">
        <w:t xml:space="preserve">novērtējums sasniedz vai pārsniedz </w:t>
      </w:r>
      <w:r>
        <w:t>80%</w:t>
      </w:r>
      <w:r w:rsidR="00FA2247">
        <w:t>.</w:t>
      </w:r>
      <w:r w:rsidR="00B07B24">
        <w:t xml:space="preserve"> </w:t>
      </w:r>
      <w:r w:rsidR="00FA2247">
        <w:t>A</w:t>
      </w:r>
      <w:r w:rsidR="00B07B24">
        <w:t>pakšproces</w:t>
      </w:r>
      <w:r w:rsidR="00B63018">
        <w:t>a</w:t>
      </w:r>
      <w:r w:rsidR="00B07B24">
        <w:t xml:space="preserve"> </w:t>
      </w:r>
      <w:r>
        <w:t xml:space="preserve">Būvniecības projektu vadība </w:t>
      </w:r>
      <w:r w:rsidR="00B07B24">
        <w:t xml:space="preserve">vērtējums ir </w:t>
      </w:r>
      <w:r>
        <w:t xml:space="preserve">82%, Būvdarbu vadība un realizācija </w:t>
      </w:r>
      <w:r w:rsidR="00B07B24">
        <w:t xml:space="preserve">vērtējums ir </w:t>
      </w:r>
      <w:r>
        <w:t xml:space="preserve">84%, </w:t>
      </w:r>
      <w:r w:rsidR="00B07B24">
        <w:t xml:space="preserve">bet </w:t>
      </w:r>
      <w:r>
        <w:t xml:space="preserve">Būvmateriāli (ražotāji, tirgotāji) </w:t>
      </w:r>
      <w:r w:rsidR="00E13731">
        <w:t xml:space="preserve">vērtējums ir </w:t>
      </w:r>
      <w:r>
        <w:t>80%</w:t>
      </w:r>
      <w:r w:rsidR="00152A29">
        <w:t xml:space="preserve"> (skat. </w:t>
      </w:r>
      <w:r w:rsidR="00B021B3">
        <w:t>8</w:t>
      </w:r>
      <w:r w:rsidR="00152A29">
        <w:t>.attēl</w:t>
      </w:r>
      <w:r w:rsidR="00B63018">
        <w:t>u</w:t>
      </w:r>
      <w:r w:rsidR="00152A29">
        <w:t>)</w:t>
      </w:r>
      <w:r>
        <w:t xml:space="preserve">. </w:t>
      </w:r>
    </w:p>
    <w:p w14:paraId="6786D8B5" w14:textId="2CDCCE74" w:rsidR="00152A29" w:rsidRDefault="00B021B3" w:rsidP="007525F9">
      <w:pPr>
        <w:spacing w:before="0" w:after="160" w:line="360" w:lineRule="auto"/>
      </w:pPr>
      <w:r>
        <w:t>8</w:t>
      </w:r>
      <w:r w:rsidR="00152A29">
        <w:t>.attēls</w:t>
      </w:r>
    </w:p>
    <w:p w14:paraId="190EA94F" w14:textId="0B005D5A" w:rsidR="00152A29" w:rsidRDefault="00AC47F9" w:rsidP="00152A29">
      <w:pPr>
        <w:spacing w:before="0" w:after="160" w:line="360" w:lineRule="auto"/>
        <w:jc w:val="center"/>
      </w:pPr>
      <w:r w:rsidRPr="002B019C">
        <w:rPr>
          <w:noProof/>
        </w:rPr>
        <w:drawing>
          <wp:inline distT="0" distB="0" distL="0" distR="0" wp14:anchorId="2809F4AD" wp14:editId="20FC666B">
            <wp:extent cx="5029200" cy="4028440"/>
            <wp:effectExtent l="0" t="0" r="0" b="0"/>
            <wp:docPr id="26" name="Chart 26">
              <a:extLst xmlns:a="http://schemas.openxmlformats.org/drawingml/2006/main">
                <a:ext uri="{FF2B5EF4-FFF2-40B4-BE49-F238E27FC236}">
                  <a16:creationId xmlns:a16="http://schemas.microsoft.com/office/drawing/2014/main" id="{0CCA6E49-63BC-4DC0-BD7C-706D34E22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C080208" w14:textId="34A22024" w:rsidR="00A47D15" w:rsidRDefault="00EC4807" w:rsidP="00AA311B">
      <w:pPr>
        <w:spacing w:before="0" w:after="160" w:line="360" w:lineRule="auto"/>
      </w:pPr>
      <w:r>
        <w:lastRenderedPageBreak/>
        <w:t xml:space="preserve">Kopumā būvdarbu apakšprocesa </w:t>
      </w:r>
      <w:r w:rsidR="00152A29">
        <w:t>pakalpojumu</w:t>
      </w:r>
      <w:r>
        <w:t xml:space="preserve"> vērtējumi (gan novērtējums, gan pašvērtējums) svārstās 1.</w:t>
      </w:r>
      <w:r w:rsidR="00A75EAF">
        <w:t>3</w:t>
      </w:r>
      <w:r>
        <w:t xml:space="preserve"> punktu robežās no 7.4 punktiem līdz 8.7 punktiem</w:t>
      </w:r>
      <w:r w:rsidR="00A75EAF">
        <w:t xml:space="preserve">. Pozitīvi ir tas, </w:t>
      </w:r>
      <w:r w:rsidR="00A47D15">
        <w:t xml:space="preserve">ka </w:t>
      </w:r>
      <w:r w:rsidR="00A75EAF">
        <w:t>atšķirīb</w:t>
      </w:r>
      <w:r w:rsidR="00152A29">
        <w:t>a</w:t>
      </w:r>
      <w:r w:rsidR="00A75EAF">
        <w:t xml:space="preserve"> starp zemāko un augstāko punktu ir mazāka nekā projektēšanas </w:t>
      </w:r>
      <w:r w:rsidR="00A47D15">
        <w:t>posma pakalpojumu grup</w:t>
      </w:r>
      <w:r w:rsidR="00B63018">
        <w:t>ā</w:t>
      </w:r>
      <w:r w:rsidR="00A47D15">
        <w:t>s</w:t>
      </w:r>
      <w:r w:rsidR="00A75EAF">
        <w:t>, kā arī kopumā būvniecības procesa aspektiem ir augstāki novērtējumi</w:t>
      </w:r>
      <w:r w:rsidR="00A47D15">
        <w:t xml:space="preserve"> (skat.</w:t>
      </w:r>
      <w:r w:rsidR="00B021B3">
        <w:t xml:space="preserve"> 9</w:t>
      </w:r>
      <w:r w:rsidR="00A47D15">
        <w:t>.attēlu)</w:t>
      </w:r>
      <w:r w:rsidR="00A75EAF">
        <w:t xml:space="preserve">. </w:t>
      </w:r>
    </w:p>
    <w:p w14:paraId="782AF9B3" w14:textId="6F2BCD1E" w:rsidR="00A47D15" w:rsidRDefault="00B021B3" w:rsidP="00AA311B">
      <w:pPr>
        <w:spacing w:before="0" w:after="160" w:line="360" w:lineRule="auto"/>
      </w:pPr>
      <w:r>
        <w:t>9</w:t>
      </w:r>
      <w:r w:rsidR="00A47D15">
        <w:t>.attēls</w:t>
      </w:r>
    </w:p>
    <w:p w14:paraId="6D45FC87" w14:textId="4593EF28" w:rsidR="00A47D15" w:rsidRDefault="00AC47F9" w:rsidP="00A47D15">
      <w:pPr>
        <w:spacing w:before="0" w:after="160" w:line="360" w:lineRule="auto"/>
        <w:jc w:val="center"/>
      </w:pPr>
      <w:r w:rsidRPr="0012731B">
        <w:rPr>
          <w:noProof/>
        </w:rPr>
        <w:drawing>
          <wp:inline distT="0" distB="0" distL="0" distR="0" wp14:anchorId="574A98C9" wp14:editId="6D15B95E">
            <wp:extent cx="5941060" cy="6728460"/>
            <wp:effectExtent l="0" t="0" r="2540" b="0"/>
            <wp:docPr id="30" name="Chart 30">
              <a:extLst xmlns:a="http://schemas.openxmlformats.org/drawingml/2006/main">
                <a:ext uri="{FF2B5EF4-FFF2-40B4-BE49-F238E27FC236}">
                  <a16:creationId xmlns:a16="http://schemas.microsoft.com/office/drawing/2014/main" id="{5E360925-6D8E-4158-A5D0-61F4DA0BD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003163F8" w14:textId="155A04D9" w:rsidR="00EC4807" w:rsidRDefault="009A1CDB" w:rsidP="00AA311B">
      <w:pPr>
        <w:spacing w:before="0" w:after="160" w:line="360" w:lineRule="auto"/>
      </w:pPr>
      <w:r>
        <w:lastRenderedPageBreak/>
        <w:t>G</w:t>
      </w:r>
      <w:r w:rsidR="00EC4807">
        <w:t>an pakalpojumu saņēmēj</w:t>
      </w:r>
      <w:r>
        <w:t>i</w:t>
      </w:r>
      <w:r w:rsidR="00EC4807">
        <w:t>, gan pakalpojumu sniedzēj</w:t>
      </w:r>
      <w:r>
        <w:t>i</w:t>
      </w:r>
      <w:r w:rsidR="00EC4807">
        <w:t xml:space="preserve"> </w:t>
      </w:r>
      <w:r>
        <w:t>ļoti augstu vērtējuši</w:t>
      </w:r>
      <w:r w:rsidR="00451536">
        <w:t xml:space="preserve"> Teritorijas labiekārtošan</w:t>
      </w:r>
      <w:r>
        <w:t>u</w:t>
      </w:r>
      <w:r w:rsidR="00EC4807">
        <w:t xml:space="preserve"> (</w:t>
      </w:r>
      <w:r w:rsidR="00D4050C">
        <w:t xml:space="preserve">attiecīgi </w:t>
      </w:r>
      <w:r w:rsidR="00EC4807">
        <w:t>8.</w:t>
      </w:r>
      <w:r w:rsidR="00451536">
        <w:t>7</w:t>
      </w:r>
      <w:r w:rsidR="00EC4807">
        <w:t xml:space="preserve"> un 8.</w:t>
      </w:r>
      <w:r w:rsidR="00451536">
        <w:t>1</w:t>
      </w:r>
      <w:r w:rsidR="00EC4807">
        <w:t xml:space="preserve"> punkt</w:t>
      </w:r>
      <w:r w:rsidR="00B63018">
        <w:t>s</w:t>
      </w:r>
      <w:r w:rsidR="00EC4807">
        <w:t>). Tāpat augst</w:t>
      </w:r>
      <w:r w:rsidR="00D4050C">
        <w:t>u</w:t>
      </w:r>
      <w:r w:rsidR="00EC4807">
        <w:t xml:space="preserve"> tiek novērtēti </w:t>
      </w:r>
      <w:r w:rsidR="00D4050C">
        <w:t xml:space="preserve">pakalpojumi </w:t>
      </w:r>
      <w:r w:rsidR="00451536">
        <w:t xml:space="preserve">Ēkas būvdarbi, pamati, karkass, nesošās konstrukcijas </w:t>
      </w:r>
      <w:r w:rsidR="00EC4807">
        <w:t>(</w:t>
      </w:r>
      <w:r w:rsidR="00D4050C">
        <w:t xml:space="preserve">attiecīgi </w:t>
      </w:r>
      <w:r w:rsidR="00EC4807">
        <w:t>8.</w:t>
      </w:r>
      <w:r w:rsidR="00451536">
        <w:t>6</w:t>
      </w:r>
      <w:r w:rsidR="00EC4807">
        <w:t xml:space="preserve"> un 7.</w:t>
      </w:r>
      <w:r w:rsidR="00451536">
        <w:t>9</w:t>
      </w:r>
      <w:r w:rsidR="00EC4807">
        <w:t xml:space="preserve"> punkti</w:t>
      </w:r>
      <w:r>
        <w:t>) un</w:t>
      </w:r>
      <w:r w:rsidR="00EC4807">
        <w:t xml:space="preserve"> </w:t>
      </w:r>
      <w:r w:rsidR="00451536">
        <w:t>Ūdensapgāde un kanalizācija</w:t>
      </w:r>
      <w:r w:rsidR="00EC4807">
        <w:t xml:space="preserve"> (</w:t>
      </w:r>
      <w:r w:rsidR="00D4050C">
        <w:t xml:space="preserve">attiecīgi </w:t>
      </w:r>
      <w:r w:rsidR="00451536">
        <w:t>8.7</w:t>
      </w:r>
      <w:r w:rsidR="00EC4807">
        <w:t xml:space="preserve"> un 8.</w:t>
      </w:r>
      <w:r w:rsidR="00451536">
        <w:t>0</w:t>
      </w:r>
      <w:r w:rsidR="00EC4807">
        <w:t xml:space="preserve"> punkti). Vislīdzīgāk no abu pušu </w:t>
      </w:r>
      <w:r w:rsidR="00D4050C">
        <w:t>skatpunkta</w:t>
      </w:r>
      <w:r w:rsidR="00EC4807">
        <w:t xml:space="preserve"> </w:t>
      </w:r>
      <w:r w:rsidR="00D4050C">
        <w:t>ir</w:t>
      </w:r>
      <w:r w:rsidR="00EC4807">
        <w:t xml:space="preserve"> novērtēts </w:t>
      </w:r>
      <w:r w:rsidR="00D4050C">
        <w:t>pakalpojums</w:t>
      </w:r>
      <w:r w:rsidR="00EC4807">
        <w:t xml:space="preserve"> </w:t>
      </w:r>
      <w:r w:rsidR="001E5601">
        <w:t>Elektrotīkli, vājstrāvu tīkli</w:t>
      </w:r>
      <w:r w:rsidR="00EC4807">
        <w:t xml:space="preserve"> (</w:t>
      </w:r>
      <w:r>
        <w:t xml:space="preserve">attiecīgi </w:t>
      </w:r>
      <w:r w:rsidR="0083012D">
        <w:t>8.1</w:t>
      </w:r>
      <w:r w:rsidR="00EC4807">
        <w:t xml:space="preserve"> un </w:t>
      </w:r>
      <w:r w:rsidR="0083012D">
        <w:t>8.0</w:t>
      </w:r>
      <w:r w:rsidR="00EC4807">
        <w:t xml:space="preserve"> punkti ar 0.</w:t>
      </w:r>
      <w:r w:rsidR="0083012D">
        <w:t>1</w:t>
      </w:r>
      <w:r w:rsidR="00EC4807">
        <w:t xml:space="preserve"> punkt</w:t>
      </w:r>
      <w:r w:rsidR="00B63018">
        <w:t>a</w:t>
      </w:r>
      <w:r w:rsidR="00EC4807">
        <w:t xml:space="preserve"> starpību), bet vislielākā atšķirība pušu viedokļos ir vērojama</w:t>
      </w:r>
      <w:r w:rsidR="0083012D">
        <w:t xml:space="preserve"> </w:t>
      </w:r>
      <w:r w:rsidR="00D4050C">
        <w:t>pakalpojum</w:t>
      </w:r>
      <w:r>
        <w:t>a novērtējumā</w:t>
      </w:r>
      <w:r w:rsidR="0083012D">
        <w:t xml:space="preserve"> Darba instrumenti</w:t>
      </w:r>
      <w:r w:rsidR="00EC4807">
        <w:t>,</w:t>
      </w:r>
      <w:r w:rsidR="0083012D">
        <w:t xml:space="preserve"> tehnika,</w:t>
      </w:r>
      <w:r w:rsidR="00EC4807">
        <w:t xml:space="preserve"> kur vērojama </w:t>
      </w:r>
      <w:r w:rsidR="0083012D">
        <w:t>0.9</w:t>
      </w:r>
      <w:r w:rsidR="00EC4807">
        <w:t xml:space="preserve"> punktu starpība (</w:t>
      </w:r>
      <w:r w:rsidR="00D4050C">
        <w:t xml:space="preserve">attiecīgi </w:t>
      </w:r>
      <w:r w:rsidR="0083012D">
        <w:t>8.3</w:t>
      </w:r>
      <w:r w:rsidR="00EC4807">
        <w:t xml:space="preserve"> un </w:t>
      </w:r>
      <w:r w:rsidR="0083012D">
        <w:t>7.4</w:t>
      </w:r>
      <w:r w:rsidR="00EC4807">
        <w:t xml:space="preserve"> punkti). No būvniecības pakalpojumu saņēmēju puses visaugstāko novērtējumu saņēmu</w:t>
      </w:r>
      <w:r w:rsidR="0083012D">
        <w:t>si Teritorijas labiekārtošana un Ūdensapgāde, kanalizācija (abi</w:t>
      </w:r>
      <w:r w:rsidR="00A07F0E">
        <w:t>em pakalpojumiem</w:t>
      </w:r>
      <w:r w:rsidR="0083012D">
        <w:t xml:space="preserve"> 8.7 punkti)</w:t>
      </w:r>
      <w:r w:rsidR="00EC4807">
        <w:t xml:space="preserve">, bet viszemāko – </w:t>
      </w:r>
      <w:r w:rsidR="0083012D">
        <w:t>Apkure, ventilācija, klimata kontrole un Būvmateriāli, risinājumi, būvizstrādājumi (abi</w:t>
      </w:r>
      <w:r w:rsidR="00A07F0E">
        <w:t>em pakalpojumiem</w:t>
      </w:r>
      <w:r w:rsidR="0083012D">
        <w:t xml:space="preserve"> 7.6 punkti)</w:t>
      </w:r>
      <w:r w:rsidR="00EC4807">
        <w:t>.</w:t>
      </w:r>
      <w:r w:rsidR="0083012D">
        <w:t xml:space="preserve"> </w:t>
      </w:r>
      <w:r w:rsidR="00EC4807">
        <w:t>Būvniecības uzņēmumu pašvērtējumā visaugstāk novērtēta</w:t>
      </w:r>
      <w:r w:rsidR="0083012D">
        <w:t xml:space="preserve"> Inženierbūvju būvdarbu projektu vadība</w:t>
      </w:r>
      <w:r w:rsidR="00EC4807">
        <w:t xml:space="preserve"> (8.</w:t>
      </w:r>
      <w:r w:rsidR="0083012D">
        <w:t>2</w:t>
      </w:r>
      <w:r w:rsidR="00A07F0E">
        <w:t xml:space="preserve"> punkti</w:t>
      </w:r>
      <w:r w:rsidR="00EC4807">
        <w:t xml:space="preserve">), bet viszemāk – </w:t>
      </w:r>
      <w:r w:rsidR="0083012D">
        <w:t>Darba instrumenti, tehnika</w:t>
      </w:r>
      <w:r w:rsidR="00EC4807">
        <w:t xml:space="preserve"> (7.</w:t>
      </w:r>
      <w:r w:rsidR="0083012D">
        <w:t>4</w:t>
      </w:r>
      <w:r w:rsidR="00A07F0E">
        <w:t xml:space="preserve"> punkti</w:t>
      </w:r>
      <w:r w:rsidR="00EC4807">
        <w:t xml:space="preserve">). </w:t>
      </w:r>
    </w:p>
    <w:p w14:paraId="1A43F8CE" w14:textId="05B8D678" w:rsidR="00A75EAF" w:rsidRDefault="009A1CDB" w:rsidP="00AA311B">
      <w:pPr>
        <w:spacing w:before="0" w:after="160" w:line="360" w:lineRule="auto"/>
      </w:pPr>
      <w:r>
        <w:t>Interesanti, ka</w:t>
      </w:r>
      <w:r w:rsidR="007D6BD9">
        <w:t>,</w:t>
      </w:r>
      <w:r>
        <w:t xml:space="preserve"> atšķirībā no</w:t>
      </w:r>
      <w:r w:rsidR="005961BC">
        <w:t xml:space="preserve"> projektēšanas </w:t>
      </w:r>
      <w:r>
        <w:t>posma</w:t>
      </w:r>
      <w:r w:rsidR="007D6BD9">
        <w:t>,</w:t>
      </w:r>
      <w:r w:rsidR="005961BC">
        <w:t xml:space="preserve"> būvdarbu </w:t>
      </w:r>
      <w:r>
        <w:t>posmā</w:t>
      </w:r>
      <w:r w:rsidR="005961BC">
        <w:t xml:space="preserve"> augstākus vērtējumus ir snieguši tieši būvniecības pakalpojumu saņēmēji</w:t>
      </w:r>
      <w:r>
        <w:t>, nevis sniedzēji.</w:t>
      </w:r>
      <w:r w:rsidR="005961BC">
        <w:t xml:space="preserve"> </w:t>
      </w:r>
    </w:p>
    <w:p w14:paraId="61CE184D" w14:textId="491C493A" w:rsidR="00131927" w:rsidRDefault="00673792" w:rsidP="00131927">
      <w:pPr>
        <w:spacing w:before="0" w:after="160" w:line="360" w:lineRule="auto"/>
      </w:pPr>
      <w:r>
        <w:t xml:space="preserve">Lai uzlabotu </w:t>
      </w:r>
      <w:r w:rsidR="00131927">
        <w:t>apakšprocesa Būvniecības projektu vadība</w:t>
      </w:r>
      <w:r>
        <w:t xml:space="preserve"> kvalitātes vērtējumu, </w:t>
      </w:r>
      <w:r w:rsidR="009A1CDB">
        <w:t>nepieciešams uzlabot</w:t>
      </w:r>
      <w:r w:rsidR="00131927">
        <w:t xml:space="preserve"> </w:t>
      </w:r>
      <w:r w:rsidR="00131927" w:rsidRPr="00131927">
        <w:t>Inženierbūvju būvdarbu projektu vadība (ģenerāluzņēmējs)</w:t>
      </w:r>
      <w:r w:rsidR="00131927">
        <w:t xml:space="preserve"> sniegumu aspektā “</w:t>
      </w:r>
      <w:r w:rsidR="00236D31">
        <w:t>Pakalpojuma sniedzēja p</w:t>
      </w:r>
      <w:r w:rsidR="00131927" w:rsidRPr="00131927">
        <w:t>ievienotā vērtība ekspluatācijas plānošanā</w:t>
      </w:r>
      <w:r w:rsidR="00131927">
        <w:t>”</w:t>
      </w:r>
      <w:r w:rsidR="00236D31">
        <w:t xml:space="preserve"> </w:t>
      </w:r>
      <w:r w:rsidR="00131927">
        <w:t xml:space="preserve">(6.17 punkti) (skat. rezultātu </w:t>
      </w:r>
      <w:r w:rsidR="008847CB">
        <w:t xml:space="preserve">tabulu pielikumā </w:t>
      </w:r>
      <w:r w:rsidR="00131927">
        <w:t xml:space="preserve">Excel failā “Indeksa Modulis”, lapa “Pakalpojumu grupas”). </w:t>
      </w:r>
    </w:p>
    <w:p w14:paraId="231A9658" w14:textId="2B6969E8" w:rsidR="00673792" w:rsidRDefault="00131927" w:rsidP="00131927">
      <w:pPr>
        <w:spacing w:before="0" w:after="160" w:line="360" w:lineRule="auto"/>
      </w:pPr>
      <w:r>
        <w:t xml:space="preserve">Lai </w:t>
      </w:r>
      <w:r w:rsidR="00571890">
        <w:t xml:space="preserve">panāktu vēl augstāku </w:t>
      </w:r>
      <w:r>
        <w:t>apakšprocesa Būvdarbu vadība un realizācija</w:t>
      </w:r>
      <w:r w:rsidR="006E04E5">
        <w:t xml:space="preserve"> novērtējumu, var sekmēt termiņu ievērošanu un p</w:t>
      </w:r>
      <w:r w:rsidR="006E04E5" w:rsidRPr="006E04E5">
        <w:t>akalpojuma sniedzēja ieinteresētīb</w:t>
      </w:r>
      <w:r w:rsidR="006E04E5">
        <w:t>u</w:t>
      </w:r>
      <w:r w:rsidR="006E04E5" w:rsidRPr="006E04E5">
        <w:t xml:space="preserve"> par galaproduktu </w:t>
      </w:r>
      <w:r w:rsidR="006E04E5">
        <w:t>pakalpojumam Apkure, ventilācija, klimata kontrole (attiecīgi 7.02 un 7.07)</w:t>
      </w:r>
      <w:r w:rsidR="001C670C">
        <w:t xml:space="preserve"> (skat. rezultātu </w:t>
      </w:r>
      <w:r w:rsidR="008847CB">
        <w:t xml:space="preserve">tabulu pielikumā </w:t>
      </w:r>
      <w:r w:rsidR="001C670C">
        <w:t>Excel failā “Indeksa Modulis”, lapa “Pakalpojumu grupas”)</w:t>
      </w:r>
      <w:r w:rsidR="006E04E5">
        <w:t xml:space="preserve">. </w:t>
      </w:r>
    </w:p>
    <w:p w14:paraId="736434AA" w14:textId="1F0869B3" w:rsidR="00131927" w:rsidRDefault="00131927" w:rsidP="00131927">
      <w:pPr>
        <w:spacing w:before="0" w:after="160" w:line="360" w:lineRule="auto"/>
      </w:pPr>
      <w:r>
        <w:t>Lai uzlabotu apakšprocesa Būvmateriāli</w:t>
      </w:r>
      <w:r w:rsidR="004D2C68">
        <w:t>, risinājumi, tehnoloģijas</w:t>
      </w:r>
      <w:r>
        <w:t xml:space="preserve"> kvalitāti, jāuzlabo </w:t>
      </w:r>
      <w:r w:rsidR="00D71BF2">
        <w:t xml:space="preserve">šādi aspekti: </w:t>
      </w:r>
      <w:r w:rsidR="004D2C68">
        <w:t>p</w:t>
      </w:r>
      <w:r w:rsidR="004D2C68" w:rsidRPr="004D2C68">
        <w:t>akalpojumu sniedzēja piedāvātā</w:t>
      </w:r>
      <w:r w:rsidR="007D6BD9">
        <w:t>s</w:t>
      </w:r>
      <w:r w:rsidR="004D2C68" w:rsidRPr="004D2C68">
        <w:t xml:space="preserve"> garantija</w:t>
      </w:r>
      <w:r w:rsidR="00D71BF2">
        <w:t>s</w:t>
      </w:r>
      <w:r w:rsidR="004D2C68">
        <w:t xml:space="preserve"> (6.68 punkti) un p</w:t>
      </w:r>
      <w:r w:rsidR="004D2C68" w:rsidRPr="004D2C68">
        <w:t>akalpojumu sniedzēja sniegtā</w:t>
      </w:r>
      <w:r w:rsidR="004D2C68">
        <w:t>s</w:t>
      </w:r>
      <w:r w:rsidR="004D2C68" w:rsidRPr="004D2C68">
        <w:t xml:space="preserve"> lietošanas instrukcija</w:t>
      </w:r>
      <w:r w:rsidR="004D2C68">
        <w:t>s</w:t>
      </w:r>
      <w:r w:rsidR="004D2C68" w:rsidRPr="004D2C68">
        <w:t xml:space="preserve"> (t.sk. tehniskā dokumentācija)</w:t>
      </w:r>
      <w:r w:rsidR="004D2C68">
        <w:t xml:space="preserve"> (7.09 punkti)</w:t>
      </w:r>
      <w:r w:rsidR="0031244A">
        <w:t xml:space="preserve"> (skat. rezultātu </w:t>
      </w:r>
      <w:r w:rsidR="008847CB">
        <w:t xml:space="preserve">tabulu pielikumā </w:t>
      </w:r>
      <w:r w:rsidR="0031244A">
        <w:t>Excel failā “Indeksa Modulis”, lapa “Pakalpojumu grupas”)</w:t>
      </w:r>
      <w:r w:rsidR="004D2C68">
        <w:t>.</w:t>
      </w:r>
    </w:p>
    <w:p w14:paraId="464239CC" w14:textId="7B580B07" w:rsidR="00B405AA" w:rsidRDefault="00E025A0" w:rsidP="00FA2247">
      <w:pPr>
        <w:pStyle w:val="ListParagraph"/>
        <w:spacing w:before="0" w:after="160" w:line="360" w:lineRule="auto"/>
        <w:ind w:left="0"/>
      </w:pPr>
      <w:r w:rsidRPr="008010FC">
        <w:t>Būvniecības posm</w:t>
      </w:r>
      <w:r>
        <w:t>s</w:t>
      </w:r>
      <w:r w:rsidRPr="00581E50">
        <w:t xml:space="preserve"> </w:t>
      </w:r>
      <w:r>
        <w:rPr>
          <w:b/>
        </w:rPr>
        <w:t xml:space="preserve">Uzraudzība </w:t>
      </w:r>
      <w:r>
        <w:t xml:space="preserve">(posma kopējais novērtējums </w:t>
      </w:r>
      <w:r w:rsidR="00B405AA">
        <w:t>76%</w:t>
      </w:r>
      <w:r>
        <w:t>)</w:t>
      </w:r>
      <w:r w:rsidR="00B405AA">
        <w:t xml:space="preserve"> </w:t>
      </w:r>
      <w:r>
        <w:t>ir</w:t>
      </w:r>
      <w:r w:rsidR="00B405AA">
        <w:t xml:space="preserve"> būvniecības posms, kas ietver divus apakšprocesus ar līdzīg</w:t>
      </w:r>
      <w:r>
        <w:t>u</w:t>
      </w:r>
      <w:r w:rsidR="00B405AA">
        <w:t xml:space="preserve"> novērtējumu: Uzraudzība (77%) un Būvvalde, BVKB (75%)</w:t>
      </w:r>
      <w:r>
        <w:t xml:space="preserve"> (skat. </w:t>
      </w:r>
      <w:r w:rsidR="00C319EF">
        <w:t>1</w:t>
      </w:r>
      <w:r w:rsidR="00B021B3">
        <w:t>0</w:t>
      </w:r>
      <w:r>
        <w:t>.attēlu)</w:t>
      </w:r>
      <w:r w:rsidR="00B405AA">
        <w:t xml:space="preserve">. </w:t>
      </w:r>
    </w:p>
    <w:p w14:paraId="3F77E185" w14:textId="77777777" w:rsidR="00B021B3" w:rsidRDefault="00B021B3">
      <w:pPr>
        <w:spacing w:before="0" w:after="160"/>
        <w:jc w:val="left"/>
      </w:pPr>
      <w:r>
        <w:br w:type="page"/>
      </w:r>
    </w:p>
    <w:p w14:paraId="7BAC0838" w14:textId="4DB1F7AF" w:rsidR="00B021B3" w:rsidRDefault="00B021B3" w:rsidP="00FA2247">
      <w:pPr>
        <w:pStyle w:val="ListParagraph"/>
        <w:spacing w:before="0" w:after="160" w:line="360" w:lineRule="auto"/>
        <w:ind w:left="0"/>
      </w:pPr>
      <w:r>
        <w:lastRenderedPageBreak/>
        <w:t>10.attēls</w:t>
      </w:r>
    </w:p>
    <w:p w14:paraId="296E00DF" w14:textId="5BC6B6DE" w:rsidR="00E025A0" w:rsidRDefault="00AC47F9" w:rsidP="00E025A0">
      <w:pPr>
        <w:pStyle w:val="ListParagraph"/>
        <w:spacing w:before="0" w:after="160" w:line="360" w:lineRule="auto"/>
        <w:ind w:left="0"/>
        <w:jc w:val="center"/>
      </w:pPr>
      <w:r w:rsidRPr="00EE227C">
        <w:rPr>
          <w:noProof/>
        </w:rPr>
        <w:drawing>
          <wp:inline distT="0" distB="0" distL="0" distR="0" wp14:anchorId="71623E48" wp14:editId="60FC55FA">
            <wp:extent cx="3689350" cy="4093535"/>
            <wp:effectExtent l="0" t="0" r="6350" b="0"/>
            <wp:docPr id="32" name="Chart 32">
              <a:extLst xmlns:a="http://schemas.openxmlformats.org/drawingml/2006/main">
                <a:ext uri="{FF2B5EF4-FFF2-40B4-BE49-F238E27FC236}">
                  <a16:creationId xmlns:a16="http://schemas.microsoft.com/office/drawing/2014/main" id="{0CCA6E49-63BC-4DC0-BD7C-706D34E220E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13A5B527" w14:textId="6BF8880D" w:rsidR="007A0815" w:rsidRDefault="00B957BC" w:rsidP="00637995">
      <w:pPr>
        <w:spacing w:before="0" w:after="160" w:line="360" w:lineRule="auto"/>
      </w:pPr>
      <w:r>
        <w:t xml:space="preserve">Uzraudzības posmā </w:t>
      </w:r>
      <w:r w:rsidR="001210A5">
        <w:t>atšķirīgākais</w:t>
      </w:r>
      <w:r>
        <w:t xml:space="preserve"> vērtējum</w:t>
      </w:r>
      <w:r w:rsidR="007D6BD9">
        <w:t>s</w:t>
      </w:r>
      <w:r>
        <w:t xml:space="preserve"> ir apakšproces</w:t>
      </w:r>
      <w:r w:rsidR="000E2985">
        <w:t>am</w:t>
      </w:r>
      <w:r>
        <w:t xml:space="preserve"> Būvvalde, BVKB.</w:t>
      </w:r>
      <w:r w:rsidR="000F21B9">
        <w:t xml:space="preserve"> Būvvaldi pakalpojumu saņēmēji ir novērtējuši </w:t>
      </w:r>
      <w:r w:rsidR="00EA0C82">
        <w:t>samērā augst</w:t>
      </w:r>
      <w:r w:rsidR="003319EF">
        <w:t>u</w:t>
      </w:r>
      <w:r w:rsidR="00EA0C82">
        <w:t xml:space="preserve"> (7.8 punkti), savukārt pakalpojumu sniedzēj</w:t>
      </w:r>
      <w:r w:rsidR="000E2985">
        <w:t>u</w:t>
      </w:r>
      <w:r w:rsidR="00EA0C82">
        <w:t xml:space="preserve"> </w:t>
      </w:r>
      <w:r w:rsidR="000E2985">
        <w:t>vērtējums ir</w:t>
      </w:r>
      <w:r w:rsidR="00EA0C82">
        <w:t xml:space="preserve"> samērā zem</w:t>
      </w:r>
      <w:r w:rsidR="000E2985">
        <w:t>s</w:t>
      </w:r>
      <w:r w:rsidR="00EA0C82">
        <w:t xml:space="preserve"> (4.9 punkti)</w:t>
      </w:r>
      <w:r w:rsidR="00FC6E1D">
        <w:t>, kas parāda lielu atšķirību abu pušu viedokļos.</w:t>
      </w:r>
      <w:r w:rsidR="00EA0C82">
        <w:t xml:space="preserve"> </w:t>
      </w:r>
      <w:r w:rsidR="004C7D36">
        <w:t xml:space="preserve">Komentējot pašvērtējumu, tiek minēts inspektoru trūkums un augstā kadru mainība </w:t>
      </w:r>
      <w:r w:rsidR="007D6BD9">
        <w:t>b</w:t>
      </w:r>
      <w:r w:rsidR="004C7D36">
        <w:t>ūvvaldēs, kas apgrūtina pienākum</w:t>
      </w:r>
      <w:r w:rsidR="006516C2">
        <w:t>u</w:t>
      </w:r>
      <w:r w:rsidR="004C7D36">
        <w:t xml:space="preserve"> izpildi. </w:t>
      </w:r>
      <w:r w:rsidR="00EA0C82">
        <w:t xml:space="preserve">Būvniecības nozares klienti </w:t>
      </w:r>
      <w:r w:rsidR="00FC6E1D">
        <w:t xml:space="preserve">BVKB </w:t>
      </w:r>
      <w:r w:rsidR="00EA0C82">
        <w:t xml:space="preserve">ir snieguši </w:t>
      </w:r>
      <w:r w:rsidR="000E2985">
        <w:t>labu</w:t>
      </w:r>
      <w:r w:rsidR="00EA0C82">
        <w:t xml:space="preserve"> vērtējumu (7.3 punkti), savukārt no pakalpojum</w:t>
      </w:r>
      <w:r w:rsidR="000E2985">
        <w:t>a</w:t>
      </w:r>
      <w:r w:rsidR="00EA0C82">
        <w:t xml:space="preserve"> sniedzēju puses to ir novērtējis tikai viens respondents (un ir sniedzis maksimālo vērtējumu 10 punkti)</w:t>
      </w:r>
      <w:r w:rsidR="00FC6E1D">
        <w:t>, tād</w:t>
      </w:r>
      <w:r w:rsidR="007D6BD9">
        <w:t>ē</w:t>
      </w:r>
      <w:r w:rsidR="00FC6E1D">
        <w:t xml:space="preserve">jādi izveidojot lielu vērtējumu starpību, kuru dēļ mazās </w:t>
      </w:r>
      <w:r w:rsidR="000E2985">
        <w:t xml:space="preserve">respondentu </w:t>
      </w:r>
      <w:r w:rsidR="00FC6E1D">
        <w:t>bāzes</w:t>
      </w:r>
      <w:r w:rsidR="000E2985">
        <w:t xml:space="preserve"> vajadzētu interpretēt piesardzīgi</w:t>
      </w:r>
      <w:r w:rsidR="00E025A0">
        <w:t xml:space="preserve"> (skat. </w:t>
      </w:r>
      <w:r w:rsidR="00C319EF">
        <w:t>1</w:t>
      </w:r>
      <w:r w:rsidR="00B021B3">
        <w:t>1</w:t>
      </w:r>
      <w:r w:rsidR="00E025A0">
        <w:t>.attēlu)</w:t>
      </w:r>
      <w:r w:rsidR="00FC6E1D">
        <w:t xml:space="preserve">. </w:t>
      </w:r>
    </w:p>
    <w:p w14:paraId="3B66AC7A" w14:textId="77777777" w:rsidR="00AC47F9" w:rsidRDefault="00AC47F9">
      <w:pPr>
        <w:spacing w:before="0" w:after="160"/>
        <w:jc w:val="left"/>
      </w:pPr>
      <w:r>
        <w:br w:type="page"/>
      </w:r>
    </w:p>
    <w:p w14:paraId="3F3E8B04" w14:textId="09835A39" w:rsidR="00E025A0" w:rsidRDefault="00C319EF" w:rsidP="00637995">
      <w:pPr>
        <w:spacing w:before="0" w:after="160" w:line="360" w:lineRule="auto"/>
      </w:pPr>
      <w:r>
        <w:lastRenderedPageBreak/>
        <w:t>1</w:t>
      </w:r>
      <w:r w:rsidR="00B021B3">
        <w:t>1</w:t>
      </w:r>
      <w:r w:rsidR="00E025A0">
        <w:t>.attēls</w:t>
      </w:r>
    </w:p>
    <w:p w14:paraId="05761CCF" w14:textId="2F1FACDF" w:rsidR="00E025A0" w:rsidRDefault="00AC47F9" w:rsidP="00637995">
      <w:pPr>
        <w:spacing w:before="0" w:after="160" w:line="360" w:lineRule="auto"/>
      </w:pPr>
      <w:r w:rsidRPr="00361AD7">
        <w:rPr>
          <w:noProof/>
        </w:rPr>
        <w:drawing>
          <wp:inline distT="0" distB="0" distL="0" distR="0" wp14:anchorId="6D37BF0D" wp14:editId="225F23A0">
            <wp:extent cx="5941060" cy="2416810"/>
            <wp:effectExtent l="0" t="0" r="2540" b="2540"/>
            <wp:docPr id="33" name="Chart 33">
              <a:extLst xmlns:a="http://schemas.openxmlformats.org/drawingml/2006/main">
                <a:ext uri="{FF2B5EF4-FFF2-40B4-BE49-F238E27FC236}">
                  <a16:creationId xmlns:a16="http://schemas.microsoft.com/office/drawing/2014/main" id="{5E360925-6D8E-4158-A5D0-61F4DA0BD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6C3D2B59" w14:textId="38884858" w:rsidR="002D170B" w:rsidRDefault="000E2985" w:rsidP="00637995">
      <w:pPr>
        <w:spacing w:before="0" w:after="160" w:line="360" w:lineRule="auto"/>
      </w:pPr>
      <w:r>
        <w:t xml:space="preserve">Pakalpojumus </w:t>
      </w:r>
      <w:r w:rsidR="002D170B">
        <w:t>Autoruzraudzīb</w:t>
      </w:r>
      <w:r>
        <w:t>a un</w:t>
      </w:r>
      <w:r w:rsidR="002D170B">
        <w:t xml:space="preserve"> Būvuzraudzīb</w:t>
      </w:r>
      <w:r>
        <w:t>a</w:t>
      </w:r>
      <w:r w:rsidR="002D170B">
        <w:t xml:space="preserve"> augstāk novērtējuši būvniecības nozares pakalpojumu sniedzēji, kas, līdzīgi kā </w:t>
      </w:r>
      <w:r>
        <w:t>posmos P</w:t>
      </w:r>
      <w:r w:rsidR="002D170B">
        <w:t>riekšdarb</w:t>
      </w:r>
      <w:r>
        <w:t>i</w:t>
      </w:r>
      <w:r w:rsidR="002D170B">
        <w:t xml:space="preserve"> un </w:t>
      </w:r>
      <w:r w:rsidR="00A17774">
        <w:t>Projektēšana</w:t>
      </w:r>
      <w:r w:rsidR="007D6BD9">
        <w:t>,</w:t>
      </w:r>
      <w:r w:rsidR="002D170B">
        <w:t xml:space="preserve"> liecina par </w:t>
      </w:r>
      <w:r w:rsidR="009C5BA7">
        <w:t xml:space="preserve">pakalpojumu sniedzēju </w:t>
      </w:r>
      <w:r>
        <w:t>augstu</w:t>
      </w:r>
      <w:r w:rsidR="002F38E9">
        <w:t xml:space="preserve"> pašpārliecinātību </w:t>
      </w:r>
      <w:r>
        <w:t>p</w:t>
      </w:r>
      <w:r w:rsidR="002F38E9">
        <w:t xml:space="preserve">ar </w:t>
      </w:r>
      <w:r>
        <w:t xml:space="preserve">savu </w:t>
      </w:r>
      <w:r w:rsidR="002F38E9">
        <w:t>sniegt</w:t>
      </w:r>
      <w:r w:rsidR="009C5BA7">
        <w:t>o</w:t>
      </w:r>
      <w:r w:rsidR="002F38E9">
        <w:t xml:space="preserve"> pakalpojum</w:t>
      </w:r>
      <w:r w:rsidR="009C5BA7">
        <w:t>u</w:t>
      </w:r>
      <w:r w:rsidR="002F38E9">
        <w:t xml:space="preserve"> </w:t>
      </w:r>
      <w:r w:rsidR="009C5BA7">
        <w:t>k</w:t>
      </w:r>
      <w:r w:rsidR="002F38E9">
        <w:t xml:space="preserve">valitāti. </w:t>
      </w:r>
    </w:p>
    <w:p w14:paraId="625DB884" w14:textId="6688C799" w:rsidR="001C670C" w:rsidRDefault="00D71BF2" w:rsidP="00637995">
      <w:pPr>
        <w:spacing w:before="0" w:after="160" w:line="360" w:lineRule="auto"/>
      </w:pPr>
      <w:r>
        <w:t>Lai uzlabotu Uzraudzības posmu</w:t>
      </w:r>
      <w:r w:rsidR="00A17774">
        <w:t xml:space="preserve"> būvniecības procesā</w:t>
      </w:r>
      <w:r>
        <w:t xml:space="preserve">, var uzlabot posma zemāk novērtēto pakalpojumu sniegumu, kuru vērtējumi </w:t>
      </w:r>
      <w:r w:rsidR="008C0A3A">
        <w:t>atsevišķos aspektos ir zem 7 punktiem</w:t>
      </w:r>
      <w:r w:rsidR="00A17774">
        <w:t xml:space="preserve"> no 10</w:t>
      </w:r>
      <w:r w:rsidR="008C0A3A">
        <w:t xml:space="preserve">. Var </w:t>
      </w:r>
      <w:r w:rsidR="00E22B5C">
        <w:t>uzlabot Autoruzraudzīb</w:t>
      </w:r>
      <w:r w:rsidR="008C0A3A">
        <w:t>as sniegumu</w:t>
      </w:r>
      <w:r w:rsidR="00E22B5C">
        <w:t xml:space="preserve">, </w:t>
      </w:r>
      <w:r w:rsidR="008C0A3A">
        <w:t>uzlabojot pakalpojuma sniedzēja</w:t>
      </w:r>
      <w:r w:rsidR="00BA442C" w:rsidRPr="00BA442C">
        <w:t xml:space="preserve"> </w:t>
      </w:r>
      <w:r w:rsidR="00B8556F">
        <w:t xml:space="preserve">reaģēšanas laiku (6.61 punkts), </w:t>
      </w:r>
      <w:r w:rsidR="00BA442C" w:rsidRPr="00BA442C">
        <w:t>izpratn</w:t>
      </w:r>
      <w:r w:rsidR="00BA442C">
        <w:t>i</w:t>
      </w:r>
      <w:r w:rsidR="00BA442C" w:rsidRPr="00BA442C">
        <w:t xml:space="preserve"> par galaproduktu</w:t>
      </w:r>
      <w:r w:rsidR="00BA442C">
        <w:t xml:space="preserve"> (6.72 punkti)</w:t>
      </w:r>
      <w:r w:rsidR="00B8556F">
        <w:t xml:space="preserve"> un</w:t>
      </w:r>
      <w:r w:rsidR="009E464F">
        <w:t xml:space="preserve"> </w:t>
      </w:r>
      <w:r w:rsidR="009E464F" w:rsidRPr="009E464F">
        <w:t>spēj</w:t>
      </w:r>
      <w:r w:rsidR="009E464F">
        <w:t>u</w:t>
      </w:r>
      <w:r w:rsidR="009E464F" w:rsidRPr="009E464F">
        <w:t xml:space="preserve"> plānot un ievērot termiņus</w:t>
      </w:r>
      <w:r w:rsidR="00BA442C">
        <w:t xml:space="preserve"> </w:t>
      </w:r>
      <w:r w:rsidR="009E464F">
        <w:t xml:space="preserve">(6.95 punkti). </w:t>
      </w:r>
      <w:r w:rsidR="008C0A3A">
        <w:t>Var uzlabot Būvvaldes b</w:t>
      </w:r>
      <w:r w:rsidR="008C0A3A" w:rsidRPr="008C0A3A">
        <w:t>ūvinspektora pienākumu izpild</w:t>
      </w:r>
      <w:r w:rsidR="008C0A3A">
        <w:t>i</w:t>
      </w:r>
      <w:r w:rsidR="008C0A3A" w:rsidRPr="008C0A3A">
        <w:t xml:space="preserve"> būvdarbu kontrolē</w:t>
      </w:r>
      <w:r w:rsidR="008C0A3A">
        <w:t xml:space="preserve"> (7.09 punkti). Lai uzlabotu BVBK vērtējumu</w:t>
      </w:r>
      <w:r w:rsidR="00A17774">
        <w:t>,</w:t>
      </w:r>
      <w:r w:rsidR="008C0A3A">
        <w:t xml:space="preserve"> nepieciešams uzlabot iespējas saņemt rekomendācijas (6.67 punkti) un konsultācijas (6.69 punkti) </w:t>
      </w:r>
      <w:r>
        <w:t xml:space="preserve">(skat. rezultātu </w:t>
      </w:r>
      <w:r w:rsidR="008847CB">
        <w:t xml:space="preserve">tabulu pielikumā </w:t>
      </w:r>
      <w:r>
        <w:t>Excel failā “Indeksa Modulis”, lapa “Pakalpojumu grupas”)</w:t>
      </w:r>
      <w:r w:rsidR="008C0A3A">
        <w:t>.</w:t>
      </w:r>
    </w:p>
    <w:p w14:paraId="3FC555B5" w14:textId="01270D96" w:rsidR="00CD1C4E" w:rsidRPr="00BF60C2" w:rsidRDefault="00490ACD" w:rsidP="00BF60C2">
      <w:pPr>
        <w:pStyle w:val="Heading3"/>
        <w:spacing w:before="240" w:after="120"/>
        <w:rPr>
          <w:b/>
          <w:sz w:val="24"/>
          <w:szCs w:val="24"/>
        </w:rPr>
      </w:pPr>
      <w:bookmarkStart w:id="21" w:name="_Toc19603255"/>
      <w:bookmarkStart w:id="22" w:name="_Toc20744785"/>
      <w:r w:rsidRPr="00BF60C2">
        <w:rPr>
          <w:b/>
          <w:sz w:val="24"/>
          <w:szCs w:val="24"/>
        </w:rPr>
        <w:t>4</w:t>
      </w:r>
      <w:r w:rsidR="00CD1C4E" w:rsidRPr="00BF60C2">
        <w:rPr>
          <w:b/>
          <w:sz w:val="24"/>
          <w:szCs w:val="24"/>
        </w:rPr>
        <w:t>.2.3</w:t>
      </w:r>
      <w:r w:rsidR="00197A6B" w:rsidRPr="00BF60C2">
        <w:rPr>
          <w:b/>
          <w:sz w:val="24"/>
          <w:szCs w:val="24"/>
        </w:rPr>
        <w:t>.</w:t>
      </w:r>
      <w:r w:rsidR="00CD1C4E" w:rsidRPr="00BF60C2">
        <w:rPr>
          <w:b/>
          <w:sz w:val="24"/>
          <w:szCs w:val="24"/>
        </w:rPr>
        <w:t xml:space="preserve"> Būvniecības kvalitātes rādītāji</w:t>
      </w:r>
      <w:bookmarkEnd w:id="21"/>
      <w:bookmarkEnd w:id="22"/>
    </w:p>
    <w:p w14:paraId="489AB901" w14:textId="4BEFEB89" w:rsidR="001B669E" w:rsidRDefault="001B669E" w:rsidP="00637995">
      <w:pPr>
        <w:spacing w:before="0" w:after="160" w:line="360" w:lineRule="auto"/>
      </w:pPr>
      <w:r>
        <w:t>K</w:t>
      </w:r>
      <w:r w:rsidR="00AA56A3">
        <w:t>opumā uzņēmumi ir apmierināti ar būvniecības nozares sniegto pakalpojumu kvalitāti un ir augsti novērtējuši būvniecības procesu rādītājus</w:t>
      </w:r>
      <w:r w:rsidR="00C61EC6">
        <w:t xml:space="preserve"> (kopējais vērtējums 7.9 punkti 10</w:t>
      </w:r>
      <w:r w:rsidR="00665BCF">
        <w:t xml:space="preserve"> </w:t>
      </w:r>
      <w:r w:rsidR="00C61EC6">
        <w:t>punktu skalā)</w:t>
      </w:r>
      <w:r>
        <w:t xml:space="preserve"> (skat. </w:t>
      </w:r>
      <w:r w:rsidR="00C319EF">
        <w:t>1</w:t>
      </w:r>
      <w:r w:rsidR="00B021B3">
        <w:t>2</w:t>
      </w:r>
      <w:r>
        <w:t>.attēlu)</w:t>
      </w:r>
      <w:r w:rsidR="00AA56A3">
        <w:t>.</w:t>
      </w:r>
    </w:p>
    <w:p w14:paraId="799DDBD6" w14:textId="77777777" w:rsidR="00AC47F9" w:rsidRDefault="00AC47F9">
      <w:pPr>
        <w:spacing w:before="0" w:after="160"/>
        <w:jc w:val="left"/>
      </w:pPr>
      <w:r>
        <w:br w:type="page"/>
      </w:r>
    </w:p>
    <w:p w14:paraId="5E0437B1" w14:textId="31A70055" w:rsidR="001B669E" w:rsidRDefault="00C319EF" w:rsidP="00637995">
      <w:pPr>
        <w:spacing w:before="0" w:after="160" w:line="360" w:lineRule="auto"/>
      </w:pPr>
      <w:r>
        <w:lastRenderedPageBreak/>
        <w:t>1</w:t>
      </w:r>
      <w:r w:rsidR="00B021B3">
        <w:t>2</w:t>
      </w:r>
      <w:r w:rsidR="001B669E">
        <w:t>.attēls</w:t>
      </w:r>
    </w:p>
    <w:p w14:paraId="5232EE21" w14:textId="30A909E6" w:rsidR="001B669E" w:rsidRDefault="00AC47F9" w:rsidP="00637995">
      <w:pPr>
        <w:spacing w:before="0" w:after="160" w:line="360" w:lineRule="auto"/>
      </w:pPr>
      <w:r w:rsidRPr="004C2355">
        <w:rPr>
          <w:noProof/>
        </w:rPr>
        <w:drawing>
          <wp:inline distT="0" distB="0" distL="0" distR="0" wp14:anchorId="5FED97BE" wp14:editId="38079D0D">
            <wp:extent cx="5941060" cy="3284855"/>
            <wp:effectExtent l="0" t="0" r="2540" b="0"/>
            <wp:docPr id="34" name="Chart 34">
              <a:extLst xmlns:a="http://schemas.openxmlformats.org/drawingml/2006/main">
                <a:ext uri="{FF2B5EF4-FFF2-40B4-BE49-F238E27FC236}">
                  <a16:creationId xmlns:a16="http://schemas.microsoft.com/office/drawing/2014/main" id="{5E360925-6D8E-4158-A5D0-61F4DA0BD18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5D341479" w14:textId="5F4C27EA" w:rsidR="00152D13" w:rsidRDefault="001B669E" w:rsidP="00637995">
      <w:pPr>
        <w:spacing w:before="0" w:after="160" w:line="360" w:lineRule="auto"/>
      </w:pPr>
      <w:r>
        <w:t>S</w:t>
      </w:r>
      <w:r w:rsidR="00AA56A3">
        <w:t>niegto pakalpojumu</w:t>
      </w:r>
      <w:r>
        <w:t xml:space="preserve"> kvalitātes</w:t>
      </w:r>
      <w:r w:rsidR="00AA56A3">
        <w:t xml:space="preserve"> rādītājos nav vērojamas būtiskas atšķirības starp dažādu rādītāju vērtējumiem</w:t>
      </w:r>
      <w:r w:rsidR="00C61EC6">
        <w:t xml:space="preserve"> (tikai 0.4 punkti)</w:t>
      </w:r>
      <w:r w:rsidR="00AA56A3">
        <w:t xml:space="preserve">. Tas liecina, ka būvniecības ietvaros visi </w:t>
      </w:r>
      <w:r>
        <w:t>kvalitāti veidojošie aspekti</w:t>
      </w:r>
      <w:r w:rsidR="00AA56A3">
        <w:t xml:space="preserve"> tiek nodrošināti augstā līmenī. Kopumā</w:t>
      </w:r>
      <w:r w:rsidR="002D337D">
        <w:t xml:space="preserve"> būvniecības procesā</w:t>
      </w:r>
      <w:r w:rsidR="00AA56A3">
        <w:t xml:space="preserve"> </w:t>
      </w:r>
      <w:r w:rsidR="002D337D">
        <w:t xml:space="preserve">visaugstāk tiek novērtēts Sadarbības aspekts. Uzņēmumi </w:t>
      </w:r>
      <w:r w:rsidR="00C61EC6">
        <w:t>vis</w:t>
      </w:r>
      <w:r w:rsidR="00C72B26">
        <w:t>a</w:t>
      </w:r>
      <w:r w:rsidR="00C61EC6">
        <w:t>ugstāk</w:t>
      </w:r>
      <w:r w:rsidR="002D337D">
        <w:t xml:space="preserve"> novērtē </w:t>
      </w:r>
      <w:r w:rsidR="00142C13">
        <w:t>sadarbību ar pakalpojuma sniedzēju</w:t>
      </w:r>
      <w:r w:rsidR="00C61EC6">
        <w:t xml:space="preserve"> (8.2 punkti 10</w:t>
      </w:r>
      <w:r>
        <w:t xml:space="preserve"> </w:t>
      </w:r>
      <w:r w:rsidR="00C61EC6">
        <w:t>punktu skalā)</w:t>
      </w:r>
      <w:r w:rsidR="00142C13">
        <w:t xml:space="preserve">, piemēram, </w:t>
      </w:r>
      <w:r w:rsidR="002D337D">
        <w:t xml:space="preserve">komunikāciju ar pasūtītāju, attieksmi pret klientu, </w:t>
      </w:r>
      <w:r w:rsidR="00142C13">
        <w:t>pasūtītāja ieinteresētību</w:t>
      </w:r>
      <w:r>
        <w:t xml:space="preserve"> un</w:t>
      </w:r>
      <w:r w:rsidR="00142C13">
        <w:t xml:space="preserve"> elastību u.c. sadarbības </w:t>
      </w:r>
      <w:r>
        <w:t>elementus</w:t>
      </w:r>
      <w:r w:rsidR="00142C13">
        <w:t xml:space="preserve">. </w:t>
      </w:r>
      <w:r w:rsidR="00C61EC6">
        <w:t xml:space="preserve">Vairāki rādītāji tika novērtēti ar 7.8 </w:t>
      </w:r>
      <w:r>
        <w:t>punktiem 10 punktu skalā,</w:t>
      </w:r>
      <w:r w:rsidR="00C61EC6">
        <w:t xml:space="preserve"> piemēram, vispārēja klienta apmierinātība, vispārējā apmierinātība ar saņemto pakalpojumu, nodevuma vērtējums, resursi, plānošana</w:t>
      </w:r>
      <w:r>
        <w:t xml:space="preserve"> (skat. </w:t>
      </w:r>
      <w:r w:rsidR="00C319EF">
        <w:t>1</w:t>
      </w:r>
      <w:r w:rsidR="00B021B3">
        <w:t>2</w:t>
      </w:r>
      <w:r>
        <w:t>.attēlu)</w:t>
      </w:r>
      <w:r w:rsidR="00C61EC6">
        <w:t xml:space="preserve">. </w:t>
      </w:r>
    </w:p>
    <w:p w14:paraId="6691FFD2" w14:textId="0838DA5A" w:rsidR="006B6B45" w:rsidRDefault="00152D13" w:rsidP="00637995">
      <w:pPr>
        <w:spacing w:before="0" w:after="160" w:line="360" w:lineRule="auto"/>
      </w:pPr>
      <w:r>
        <w:t>Tomēr</w:t>
      </w:r>
      <w:r w:rsidR="00126D7E">
        <w:t xml:space="preserve"> </w:t>
      </w:r>
      <w:r w:rsidR="006B6B45">
        <w:t xml:space="preserve">dažādos </w:t>
      </w:r>
      <w:r w:rsidR="00126D7E">
        <w:t xml:space="preserve">būvniecības </w:t>
      </w:r>
      <w:r w:rsidR="006B6B45">
        <w:t>posmos būvniecības procesu</w:t>
      </w:r>
      <w:r w:rsidR="00126D7E">
        <w:t xml:space="preserve"> rādītāju vērtējums nedaudz atšķiras</w:t>
      </w:r>
      <w:r>
        <w:t xml:space="preserve"> (</w:t>
      </w:r>
      <w:r w:rsidR="0077432B">
        <w:t>skat.</w:t>
      </w:r>
      <w:r>
        <w:t xml:space="preserve"> </w:t>
      </w:r>
      <w:r w:rsidR="0077432B">
        <w:t xml:space="preserve">rezultātu </w:t>
      </w:r>
      <w:r w:rsidR="008847CB">
        <w:t xml:space="preserve">tabulu pielikumā </w:t>
      </w:r>
      <w:r w:rsidR="0077432B">
        <w:t>Excel</w:t>
      </w:r>
      <w:r>
        <w:t xml:space="preserve"> fail</w:t>
      </w:r>
      <w:r w:rsidR="0077432B">
        <w:t>ā</w:t>
      </w:r>
      <w:r>
        <w:t xml:space="preserve"> “Indeksa Modulis”, lapa “Aspekti”)</w:t>
      </w:r>
      <w:r w:rsidR="006B6B45">
        <w:t>:</w:t>
      </w:r>
    </w:p>
    <w:p w14:paraId="3A9A3F77" w14:textId="6F159D3D" w:rsidR="001D14B4" w:rsidRDefault="00152D13" w:rsidP="00637995">
      <w:pPr>
        <w:pStyle w:val="ListParagraph"/>
        <w:numPr>
          <w:ilvl w:val="0"/>
          <w:numId w:val="13"/>
        </w:numPr>
        <w:spacing w:before="0" w:after="160" w:line="360" w:lineRule="auto"/>
        <w:ind w:left="760" w:hanging="357"/>
      </w:pPr>
      <w:r>
        <w:t xml:space="preserve">posmā </w:t>
      </w:r>
      <w:r w:rsidR="006B6B45" w:rsidRPr="007A2298">
        <w:rPr>
          <w:b/>
        </w:rPr>
        <w:t>Priekšdarbi</w:t>
      </w:r>
      <w:r w:rsidR="006B6B45">
        <w:t xml:space="preserve"> </w:t>
      </w:r>
      <w:r w:rsidR="00612990">
        <w:t xml:space="preserve">augstākais vērtējums </w:t>
      </w:r>
      <w:r>
        <w:t xml:space="preserve">ir </w:t>
      </w:r>
      <w:r w:rsidR="007A2298">
        <w:t>rādītājam</w:t>
      </w:r>
      <w:r w:rsidR="0077432B">
        <w:t xml:space="preserve"> </w:t>
      </w:r>
      <w:r w:rsidR="00612990">
        <w:t>Sadarbība (8.1</w:t>
      </w:r>
      <w:r w:rsidR="007A2298">
        <w:t xml:space="preserve"> punkti</w:t>
      </w:r>
      <w:r w:rsidR="00612990">
        <w:t xml:space="preserve">), </w:t>
      </w:r>
      <w:r>
        <w:t xml:space="preserve">bet </w:t>
      </w:r>
      <w:r w:rsidR="00612990">
        <w:t xml:space="preserve">zemākais vērtējums </w:t>
      </w:r>
      <w:r w:rsidR="007A2298">
        <w:t>rādītājam</w:t>
      </w:r>
      <w:r w:rsidR="0077432B">
        <w:t xml:space="preserve"> </w:t>
      </w:r>
      <w:r w:rsidR="00612990">
        <w:t>Plānošana (7.5</w:t>
      </w:r>
      <w:r w:rsidR="007A2298">
        <w:t xml:space="preserve"> punkti</w:t>
      </w:r>
      <w:r w:rsidR="00612990">
        <w:t>)</w:t>
      </w:r>
      <w:r w:rsidR="007A2298">
        <w:t>;</w:t>
      </w:r>
    </w:p>
    <w:p w14:paraId="41B004E9" w14:textId="35AF7B90" w:rsidR="001D14B4" w:rsidRDefault="007A2298" w:rsidP="00637995">
      <w:pPr>
        <w:pStyle w:val="ListParagraph"/>
        <w:numPr>
          <w:ilvl w:val="0"/>
          <w:numId w:val="13"/>
        </w:numPr>
        <w:spacing w:before="0" w:after="160" w:line="360" w:lineRule="auto"/>
        <w:ind w:left="760" w:hanging="357"/>
      </w:pPr>
      <w:r>
        <w:t xml:space="preserve">posmā </w:t>
      </w:r>
      <w:r w:rsidR="001D14B4" w:rsidRPr="007A2298">
        <w:rPr>
          <w:b/>
        </w:rPr>
        <w:t>Projektēšana</w:t>
      </w:r>
      <w:r w:rsidR="001D14B4">
        <w:t xml:space="preserve"> </w:t>
      </w:r>
      <w:r w:rsidR="00526BAD">
        <w:t xml:space="preserve">augstākais vērtējums </w:t>
      </w:r>
      <w:r>
        <w:t xml:space="preserve">ir rādītājam </w:t>
      </w:r>
      <w:r w:rsidR="005F3E02">
        <w:t>Kompetence</w:t>
      </w:r>
      <w:r w:rsidR="00526BAD">
        <w:t xml:space="preserve"> (</w:t>
      </w:r>
      <w:r w:rsidR="005F3E02">
        <w:t>7.9</w:t>
      </w:r>
      <w:r>
        <w:t xml:space="preserve"> punkti</w:t>
      </w:r>
      <w:r w:rsidR="00526BAD">
        <w:t xml:space="preserve">), zemākais vērtējums </w:t>
      </w:r>
      <w:r>
        <w:t xml:space="preserve">rādītājiem </w:t>
      </w:r>
      <w:r w:rsidR="005F3E02">
        <w:t>Nodevum</w:t>
      </w:r>
      <w:r>
        <w:t>s</w:t>
      </w:r>
      <w:r w:rsidR="005F3E02">
        <w:t xml:space="preserve"> un Resursi</w:t>
      </w:r>
      <w:r w:rsidR="00983BA7">
        <w:t xml:space="preserve"> </w:t>
      </w:r>
      <w:r w:rsidR="00526BAD">
        <w:t>(</w:t>
      </w:r>
      <w:r w:rsidR="005F3E02">
        <w:t>abi</w:t>
      </w:r>
      <w:r>
        <w:t xml:space="preserve">em </w:t>
      </w:r>
      <w:r w:rsidR="00526BAD">
        <w:t>7.</w:t>
      </w:r>
      <w:r w:rsidR="005F3E02">
        <w:t>3</w:t>
      </w:r>
      <w:r>
        <w:t xml:space="preserve"> punkti</w:t>
      </w:r>
      <w:r w:rsidR="00526BAD">
        <w:t>)</w:t>
      </w:r>
      <w:r>
        <w:t>;</w:t>
      </w:r>
    </w:p>
    <w:p w14:paraId="63D24A35" w14:textId="08244BC8" w:rsidR="001D14B4" w:rsidRDefault="007A2298" w:rsidP="00637995">
      <w:pPr>
        <w:pStyle w:val="ListParagraph"/>
        <w:numPr>
          <w:ilvl w:val="0"/>
          <w:numId w:val="13"/>
        </w:numPr>
        <w:spacing w:before="0" w:after="160" w:line="360" w:lineRule="auto"/>
        <w:ind w:left="760" w:hanging="357"/>
      </w:pPr>
      <w:r>
        <w:t xml:space="preserve">posmā </w:t>
      </w:r>
      <w:r w:rsidR="001D14B4" w:rsidRPr="007A2298">
        <w:rPr>
          <w:b/>
        </w:rPr>
        <w:t>Būvdarbi</w:t>
      </w:r>
      <w:r w:rsidR="001D14B4">
        <w:t xml:space="preserve"> </w:t>
      </w:r>
      <w:r w:rsidR="00526BAD">
        <w:t xml:space="preserve">augstākais vērtējums </w:t>
      </w:r>
      <w:r>
        <w:t xml:space="preserve">ir rādītājam </w:t>
      </w:r>
      <w:r w:rsidR="00526BAD">
        <w:t>Sadarbība (8.</w:t>
      </w:r>
      <w:r w:rsidR="005F3E02">
        <w:t>5</w:t>
      </w:r>
      <w:r>
        <w:t xml:space="preserve"> punkti</w:t>
      </w:r>
      <w:r w:rsidR="00526BAD">
        <w:t xml:space="preserve">), </w:t>
      </w:r>
      <w:r>
        <w:t xml:space="preserve">bet </w:t>
      </w:r>
      <w:r w:rsidR="00526BAD">
        <w:t xml:space="preserve">zemākais vērtējums </w:t>
      </w:r>
      <w:r>
        <w:t xml:space="preserve">rādītājam </w:t>
      </w:r>
      <w:r w:rsidR="005F3E02">
        <w:t>Resursi</w:t>
      </w:r>
      <w:r w:rsidR="00526BAD">
        <w:t xml:space="preserve"> (7.</w:t>
      </w:r>
      <w:r w:rsidR="005F3E02">
        <w:t>9</w:t>
      </w:r>
      <w:r>
        <w:t xml:space="preserve"> punkti</w:t>
      </w:r>
      <w:r w:rsidR="00526BAD">
        <w:t>)</w:t>
      </w:r>
      <w:r>
        <w:t>;</w:t>
      </w:r>
    </w:p>
    <w:p w14:paraId="465C1F39" w14:textId="39505695" w:rsidR="00CD1C4E" w:rsidRDefault="007A2298" w:rsidP="00637995">
      <w:pPr>
        <w:pStyle w:val="ListParagraph"/>
        <w:numPr>
          <w:ilvl w:val="0"/>
          <w:numId w:val="13"/>
        </w:numPr>
        <w:spacing w:before="0" w:after="160" w:line="360" w:lineRule="auto"/>
        <w:ind w:left="760" w:hanging="357"/>
      </w:pPr>
      <w:r>
        <w:lastRenderedPageBreak/>
        <w:t xml:space="preserve">posmā </w:t>
      </w:r>
      <w:r w:rsidR="001D14B4" w:rsidRPr="007A2298">
        <w:rPr>
          <w:b/>
        </w:rPr>
        <w:t>Uzraudzība</w:t>
      </w:r>
      <w:r w:rsidR="001D14B4">
        <w:t xml:space="preserve"> – </w:t>
      </w:r>
      <w:r w:rsidR="00526BAD">
        <w:t xml:space="preserve">augstākais vērtējums </w:t>
      </w:r>
      <w:r>
        <w:t xml:space="preserve">ir rādītājam </w:t>
      </w:r>
      <w:r w:rsidR="005F3E02">
        <w:t>Kompetence</w:t>
      </w:r>
      <w:r w:rsidR="00526BAD">
        <w:t xml:space="preserve"> (</w:t>
      </w:r>
      <w:r w:rsidR="005F3E02">
        <w:t>7.9</w:t>
      </w:r>
      <w:r w:rsidR="00526BAD">
        <w:t xml:space="preserve">), </w:t>
      </w:r>
      <w:r>
        <w:t xml:space="preserve">bet </w:t>
      </w:r>
      <w:r w:rsidR="00526BAD">
        <w:t xml:space="preserve">zemākais </w:t>
      </w:r>
      <w:r>
        <w:t>rādītājiem</w:t>
      </w:r>
      <w:r w:rsidR="00526BAD">
        <w:t xml:space="preserve"> </w:t>
      </w:r>
      <w:r w:rsidR="005F3E02">
        <w:t>Vispārēj</w:t>
      </w:r>
      <w:r>
        <w:t>ā</w:t>
      </w:r>
      <w:r w:rsidR="005F3E02">
        <w:t xml:space="preserve"> klientu apmierinātība un </w:t>
      </w:r>
      <w:r w:rsidR="005F3E02" w:rsidRPr="005F3E02">
        <w:t>Vispārēj</w:t>
      </w:r>
      <w:r>
        <w:t>ā</w:t>
      </w:r>
      <w:r w:rsidR="005F3E02" w:rsidRPr="005F3E02">
        <w:t xml:space="preserve"> apmierinātība ar saņemto pakalpojum</w:t>
      </w:r>
      <w:r w:rsidR="005F3E02">
        <w:t xml:space="preserve">u </w:t>
      </w:r>
      <w:r w:rsidR="00526BAD">
        <w:t>(</w:t>
      </w:r>
      <w:r>
        <w:t>abiem</w:t>
      </w:r>
      <w:r w:rsidR="005F3E02">
        <w:t xml:space="preserve"> </w:t>
      </w:r>
      <w:r w:rsidR="00526BAD">
        <w:t>7.5</w:t>
      </w:r>
      <w:r>
        <w:t xml:space="preserve"> punkti</w:t>
      </w:r>
      <w:r w:rsidR="00EC2988">
        <w:t xml:space="preserve">). </w:t>
      </w:r>
    </w:p>
    <w:p w14:paraId="63228393" w14:textId="591D13FE" w:rsidR="009F4DC5" w:rsidRPr="00AC62AF" w:rsidRDefault="009F4DC5" w:rsidP="009F4DC5">
      <w:pPr>
        <w:spacing w:before="0" w:after="160" w:line="360" w:lineRule="auto"/>
      </w:pPr>
      <w:r>
        <w:t xml:space="preserve">Lai uzlabotu Būvniecības kvalitātes rādītāja Plānošana vērtējumu, nepieciešams veicināt spēju plānot un ievērot termiņus, kā arī pievienoto vērtību ekspluatācijas plānošanā. Lai uzlabotu Būvniecības kvalitātes rādītāja Resursi vērtējumu, nepieciešams </w:t>
      </w:r>
      <w:r w:rsidR="00CD41E7">
        <w:t>uzlabot</w:t>
      </w:r>
      <w:r>
        <w:t xml:space="preserve"> atvēlēt</w:t>
      </w:r>
      <w:r w:rsidR="00CD41E7">
        <w:t>o</w:t>
      </w:r>
      <w:r>
        <w:t xml:space="preserve"> budžet</w:t>
      </w:r>
      <w:r w:rsidR="00CD41E7">
        <w:t>u</w:t>
      </w:r>
      <w:r>
        <w:t xml:space="preserve"> un </w:t>
      </w:r>
      <w:r w:rsidR="00CD41E7">
        <w:t>piedāvātās garantijas. Lai uzlabotu Būvniecības kvalitātes rādītāja Nodevums vērtējumu, nepieciešams uzlabot cenas un kvalitātes attiecību.</w:t>
      </w:r>
    </w:p>
    <w:p w14:paraId="510A4D9F" w14:textId="1CDE614E" w:rsidR="00CD1C4E" w:rsidRPr="00BF60C2" w:rsidRDefault="00490ACD" w:rsidP="00BF60C2">
      <w:pPr>
        <w:pStyle w:val="Heading3"/>
        <w:spacing w:before="240" w:after="120"/>
        <w:rPr>
          <w:b/>
          <w:sz w:val="24"/>
          <w:szCs w:val="24"/>
        </w:rPr>
      </w:pPr>
      <w:bookmarkStart w:id="23" w:name="_Toc19603256"/>
      <w:bookmarkStart w:id="24" w:name="_Toc20744786"/>
      <w:r w:rsidRPr="00BF60C2">
        <w:rPr>
          <w:b/>
          <w:sz w:val="24"/>
          <w:szCs w:val="24"/>
        </w:rPr>
        <w:t>4</w:t>
      </w:r>
      <w:r w:rsidR="00CD1C4E" w:rsidRPr="00BF60C2">
        <w:rPr>
          <w:b/>
          <w:sz w:val="24"/>
          <w:szCs w:val="24"/>
        </w:rPr>
        <w:t>.2.4</w:t>
      </w:r>
      <w:r w:rsidR="00197A6B" w:rsidRPr="00BF60C2">
        <w:rPr>
          <w:b/>
          <w:sz w:val="24"/>
          <w:szCs w:val="24"/>
        </w:rPr>
        <w:t>.</w:t>
      </w:r>
      <w:r w:rsidR="00CD1C4E" w:rsidRPr="00BF60C2">
        <w:rPr>
          <w:b/>
          <w:sz w:val="24"/>
          <w:szCs w:val="24"/>
        </w:rPr>
        <w:t xml:space="preserve"> Papildu jautājumi</w:t>
      </w:r>
      <w:r w:rsidR="00045EDD" w:rsidRPr="00BF60C2">
        <w:rPr>
          <w:b/>
          <w:sz w:val="24"/>
          <w:szCs w:val="24"/>
        </w:rPr>
        <w:t xml:space="preserve"> par </w:t>
      </w:r>
      <w:proofErr w:type="spellStart"/>
      <w:r w:rsidR="00045EDD" w:rsidRPr="00BF60C2">
        <w:rPr>
          <w:b/>
          <w:sz w:val="24"/>
          <w:szCs w:val="24"/>
        </w:rPr>
        <w:t>bis</w:t>
      </w:r>
      <w:proofErr w:type="spellEnd"/>
      <w:r w:rsidR="00DB08FF" w:rsidRPr="00BF60C2">
        <w:rPr>
          <w:b/>
          <w:sz w:val="24"/>
          <w:szCs w:val="24"/>
        </w:rPr>
        <w:t xml:space="preserve"> izmantošanu un sadarbību ar būvvaldēm</w:t>
      </w:r>
      <w:bookmarkEnd w:id="23"/>
      <w:bookmarkEnd w:id="24"/>
    </w:p>
    <w:p w14:paraId="6606098F" w14:textId="4901D1BF" w:rsidR="00A40830" w:rsidRDefault="00CD1C4E" w:rsidP="00637995">
      <w:pPr>
        <w:spacing w:before="0" w:after="160" w:line="360" w:lineRule="auto"/>
      </w:pPr>
      <w:r>
        <w:t>Kopumā būvniecības uzņēmumu vidū Būvniecības informācijas sistēmas</w:t>
      </w:r>
      <w:r w:rsidR="00AC62AF">
        <w:t xml:space="preserve"> (BIS)</w:t>
      </w:r>
      <w:r>
        <w:t xml:space="preserve"> izmantošana ir izplatīta. BIS pēdējo 12 mēnešu laikā ir izmantojuši vairāk nekā puse uzņēmumu (55% uzņēmumu), kas ir saņēmuši būvvaldes pakalpojumus (</w:t>
      </w:r>
      <w:r w:rsidR="00AC62AF">
        <w:t xml:space="preserve">no aptaujātajiem uzņēmumiem tādi ir </w:t>
      </w:r>
      <w:r>
        <w:t>31)</w:t>
      </w:r>
      <w:r w:rsidR="00A40830">
        <w:t xml:space="preserve"> (skat. </w:t>
      </w:r>
      <w:r w:rsidR="00C319EF">
        <w:t>1</w:t>
      </w:r>
      <w:r w:rsidR="00B021B3">
        <w:t>3</w:t>
      </w:r>
      <w:r w:rsidR="00A40830">
        <w:t>.attēlu)</w:t>
      </w:r>
      <w:r>
        <w:t xml:space="preserve">. </w:t>
      </w:r>
    </w:p>
    <w:p w14:paraId="592272A6" w14:textId="7ED0FA9E" w:rsidR="00A40830" w:rsidRDefault="00C319EF" w:rsidP="00637995">
      <w:pPr>
        <w:spacing w:before="0" w:after="160" w:line="360" w:lineRule="auto"/>
      </w:pPr>
      <w:r>
        <w:t>1</w:t>
      </w:r>
      <w:r w:rsidR="00B021B3">
        <w:t>3</w:t>
      </w:r>
      <w:r w:rsidR="00A40830">
        <w:t>.attēls</w:t>
      </w:r>
    </w:p>
    <w:p w14:paraId="6C1B3A8B" w14:textId="3915B215" w:rsidR="00A40830" w:rsidRDefault="00AC47F9" w:rsidP="00A40830">
      <w:pPr>
        <w:spacing w:before="0" w:after="160" w:line="360" w:lineRule="auto"/>
        <w:jc w:val="center"/>
      </w:pPr>
      <w:r w:rsidRPr="005129B2">
        <w:rPr>
          <w:noProof/>
        </w:rPr>
        <w:drawing>
          <wp:inline distT="0" distB="0" distL="0" distR="0" wp14:anchorId="105DAB92" wp14:editId="4942DD77">
            <wp:extent cx="5941060" cy="3405173"/>
            <wp:effectExtent l="0" t="0" r="2540" b="5080"/>
            <wp:docPr id="36" name="Chart 36">
              <a:extLst xmlns:a="http://schemas.openxmlformats.org/drawingml/2006/main">
                <a:ext uri="{FF2B5EF4-FFF2-40B4-BE49-F238E27FC236}">
                  <a16:creationId xmlns:a16="http://schemas.microsoft.com/office/drawing/2014/main" id="{78651CB0-93A6-41F0-BFCE-49CF09A9343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F2B9F45" w14:textId="5363624A" w:rsidR="00CD1C4E" w:rsidRDefault="00CD1C4E" w:rsidP="00637995">
      <w:pPr>
        <w:spacing w:before="0" w:after="160" w:line="360" w:lineRule="auto"/>
      </w:pPr>
      <w:r>
        <w:t>Būtu ieteicams kāpināt Būvniecības informācijas sistēmas atpazīstamību</w:t>
      </w:r>
      <w:r w:rsidR="000B232D">
        <w:t xml:space="preserve"> un</w:t>
      </w:r>
      <w:r>
        <w:t xml:space="preserve"> komunicēt par </w:t>
      </w:r>
      <w:r w:rsidR="000B232D">
        <w:t xml:space="preserve">BIS </w:t>
      </w:r>
      <w:r>
        <w:t xml:space="preserve">izmantošanas priekšrocībām. </w:t>
      </w:r>
    </w:p>
    <w:p w14:paraId="584736E4" w14:textId="5DFD327D" w:rsidR="000B232D" w:rsidRDefault="00CD1C4E" w:rsidP="00637995">
      <w:pPr>
        <w:spacing w:before="0" w:after="160" w:line="360" w:lineRule="auto"/>
      </w:pPr>
      <w:r>
        <w:lastRenderedPageBreak/>
        <w:t xml:space="preserve">Uzņēmumi, kas lieto Būvniecības informācijas sistēmu, </w:t>
      </w:r>
      <w:r w:rsidR="000B232D">
        <w:t xml:space="preserve">drīzāk </w:t>
      </w:r>
      <w:r>
        <w:t>ir apmierināti gan ar sistēmu kopumā, gan ar tās lietošanas ērtumu. 10</w:t>
      </w:r>
      <w:r w:rsidR="000B232D">
        <w:t xml:space="preserve"> </w:t>
      </w:r>
      <w:r>
        <w:t xml:space="preserve">punktu skalā vidējā apmierinātība ar BIS ir 7.0 punkti, bet apmierinātība ar BIS lietošanas ērtumu 7.2 punkti, kas kopumā ir labs rezultāts. </w:t>
      </w:r>
    </w:p>
    <w:p w14:paraId="6789E751" w14:textId="25694A38" w:rsidR="00CD1C4E" w:rsidRDefault="000B232D" w:rsidP="00637995">
      <w:pPr>
        <w:spacing w:before="0" w:after="160" w:line="360" w:lineRule="auto"/>
      </w:pPr>
      <w:r>
        <w:t>BIS</w:t>
      </w:r>
      <w:r w:rsidR="00CD1C4E">
        <w:t xml:space="preserve"> uzlabošana</w:t>
      </w:r>
      <w:r>
        <w:t>i</w:t>
      </w:r>
      <w:r w:rsidR="00CD1C4E">
        <w:t xml:space="preserve"> ieteicams </w:t>
      </w:r>
      <w:r>
        <w:t>rast</w:t>
      </w:r>
      <w:r w:rsidR="00CD1C4E">
        <w:t xml:space="preserve"> iespēju lietotāju atgriezeniskās saites saņemšanai, lai uzņēmumiem, lietojot BIS, būt</w:t>
      </w:r>
      <w:r w:rsidR="003C2DBF">
        <w:t>u</w:t>
      </w:r>
      <w:r w:rsidR="00CD1C4E">
        <w:t xml:space="preserve"> iespēja </w:t>
      </w:r>
      <w:r>
        <w:t>paust</w:t>
      </w:r>
      <w:r w:rsidR="00CD1C4E">
        <w:t xml:space="preserve"> savu viedokli un ieteikumus par iespējamiem sistēmas uzlabojumiem</w:t>
      </w:r>
      <w:r w:rsidR="003B756E">
        <w:t>.</w:t>
      </w:r>
      <w:r w:rsidR="00CD1C4E">
        <w:t xml:space="preserve"> </w:t>
      </w:r>
    </w:p>
    <w:p w14:paraId="2F01FF05" w14:textId="53510EE0" w:rsidR="00875524" w:rsidRDefault="00973372" w:rsidP="000B232D">
      <w:pPr>
        <w:spacing w:before="0" w:after="160" w:line="360" w:lineRule="auto"/>
      </w:pPr>
      <w:r>
        <w:t>Galvenie BIS uzlabojumi, kurus nepieciešams ieviest</w:t>
      </w:r>
      <w:r w:rsidR="003C2DBF">
        <w:t>,</w:t>
      </w:r>
      <w:r>
        <w:t xml:space="preserve"> ir saistīti ar sistēmas lietošanas vienkāršošanu, ērtumu un klientu servisu</w:t>
      </w:r>
      <w:r w:rsidR="00875524">
        <w:t>:</w:t>
      </w:r>
    </w:p>
    <w:p w14:paraId="61A9A5DB" w14:textId="67B47A9E" w:rsidR="00C5779A" w:rsidRDefault="00C5779A" w:rsidP="00C5779A">
      <w:pPr>
        <w:spacing w:before="0" w:after="0" w:line="360" w:lineRule="auto"/>
        <w:rPr>
          <w:rFonts w:ascii="Arial" w:eastAsia="Times New Roman" w:hAnsi="Arial" w:cs="Arial"/>
          <w:i/>
          <w:color w:val="000000"/>
          <w:lang w:eastAsia="lv-LV"/>
        </w:rPr>
      </w:pPr>
      <w:r>
        <w:rPr>
          <w:rFonts w:ascii="Arial" w:eastAsia="Times New Roman" w:hAnsi="Arial" w:cs="Arial"/>
          <w:i/>
          <w:color w:val="000000"/>
          <w:lang w:eastAsia="lv-LV"/>
        </w:rPr>
        <w:t>“P</w:t>
      </w:r>
      <w:r w:rsidRPr="007413CA">
        <w:rPr>
          <w:rFonts w:ascii="Arial" w:eastAsia="Times New Roman" w:hAnsi="Arial" w:cs="Arial"/>
          <w:i/>
          <w:color w:val="000000"/>
          <w:lang w:eastAsia="lv-LV"/>
        </w:rPr>
        <w:t>aplašināt informācijas saturu, uztaisīt vieglāku piekļuvi informācijai par projektiem, būvatļaujām. Dizainu padarīt mūsdienīgu.’’</w:t>
      </w:r>
      <w:r>
        <w:rPr>
          <w:rFonts w:ascii="Arial" w:eastAsia="Times New Roman" w:hAnsi="Arial" w:cs="Arial"/>
          <w:i/>
          <w:color w:val="000000"/>
          <w:lang w:eastAsia="lv-LV"/>
        </w:rPr>
        <w:t xml:space="preserve"> / </w:t>
      </w:r>
      <w:r w:rsidR="00BB0038">
        <w:rPr>
          <w:i/>
        </w:rPr>
        <w:t>“</w:t>
      </w:r>
      <w:r w:rsidR="00875524" w:rsidRPr="00875524">
        <w:rPr>
          <w:rFonts w:ascii="Arial" w:eastAsia="Times New Roman" w:hAnsi="Arial" w:cs="Arial"/>
          <w:i/>
          <w:color w:val="000000"/>
          <w:lang w:eastAsia="lv-LV"/>
        </w:rPr>
        <w:t>Mazināt ievadāmo informāciju.’’</w:t>
      </w:r>
      <w:r>
        <w:rPr>
          <w:rFonts w:ascii="Arial" w:eastAsia="Times New Roman" w:hAnsi="Arial" w:cs="Arial"/>
          <w:i/>
          <w:color w:val="000000"/>
          <w:lang w:eastAsia="lv-LV"/>
        </w:rPr>
        <w:t xml:space="preserve"> / </w:t>
      </w:r>
      <w:r w:rsidR="00BB0038">
        <w:rPr>
          <w:rFonts w:ascii="Arial" w:eastAsia="Times New Roman" w:hAnsi="Arial" w:cs="Arial"/>
          <w:i/>
          <w:color w:val="000000"/>
          <w:lang w:eastAsia="lv-LV"/>
        </w:rPr>
        <w:t>“</w:t>
      </w:r>
      <w:r w:rsidR="00875524" w:rsidRPr="007413CA">
        <w:rPr>
          <w:rFonts w:ascii="Arial" w:eastAsia="Times New Roman" w:hAnsi="Arial" w:cs="Arial"/>
          <w:i/>
          <w:color w:val="000000"/>
          <w:lang w:eastAsia="lv-LV"/>
        </w:rPr>
        <w:t>Vienkāršot, nav viegli saprast.’’</w:t>
      </w:r>
      <w:r>
        <w:rPr>
          <w:rFonts w:ascii="Arial" w:eastAsia="Times New Roman" w:hAnsi="Arial" w:cs="Arial"/>
          <w:i/>
          <w:color w:val="000000"/>
          <w:lang w:eastAsia="lv-LV"/>
        </w:rPr>
        <w:t xml:space="preserve"> / </w:t>
      </w:r>
      <w:r w:rsidR="006D3DF5">
        <w:rPr>
          <w:rFonts w:ascii="Arial" w:eastAsia="Times New Roman" w:hAnsi="Arial" w:cs="Arial"/>
          <w:i/>
          <w:color w:val="000000"/>
          <w:lang w:eastAsia="lv-LV"/>
        </w:rPr>
        <w:t>“</w:t>
      </w:r>
      <w:r w:rsidR="006D3DF5" w:rsidRPr="006D3DF5">
        <w:rPr>
          <w:rFonts w:ascii="Arial" w:eastAsia="Times New Roman" w:hAnsi="Arial" w:cs="Arial"/>
          <w:i/>
          <w:color w:val="000000"/>
          <w:lang w:eastAsia="lv-LV"/>
        </w:rPr>
        <w:t>Paplašināt konsultatīvo daļu, lai uzzinātu</w:t>
      </w:r>
      <w:r w:rsidR="003C2DBF">
        <w:rPr>
          <w:rFonts w:ascii="Arial" w:eastAsia="Times New Roman" w:hAnsi="Arial" w:cs="Arial"/>
          <w:i/>
          <w:color w:val="000000"/>
          <w:lang w:eastAsia="lv-LV"/>
        </w:rPr>
        <w:t>,</w:t>
      </w:r>
      <w:r w:rsidR="006D3DF5" w:rsidRPr="006D3DF5">
        <w:rPr>
          <w:rFonts w:ascii="Arial" w:eastAsia="Times New Roman" w:hAnsi="Arial" w:cs="Arial"/>
          <w:i/>
          <w:color w:val="000000"/>
          <w:lang w:eastAsia="lv-LV"/>
        </w:rPr>
        <w:t xml:space="preserve"> kurā brīdī kas būtu jādara</w:t>
      </w:r>
      <w:r>
        <w:rPr>
          <w:rFonts w:ascii="Arial" w:eastAsia="Times New Roman" w:hAnsi="Arial" w:cs="Arial"/>
          <w:i/>
          <w:color w:val="000000"/>
          <w:lang w:eastAsia="lv-LV"/>
        </w:rPr>
        <w:t>.</w:t>
      </w:r>
      <w:r w:rsidR="006D3DF5">
        <w:rPr>
          <w:rFonts w:ascii="Arial" w:eastAsia="Times New Roman" w:hAnsi="Arial" w:cs="Arial"/>
          <w:i/>
          <w:color w:val="000000"/>
          <w:lang w:eastAsia="lv-LV"/>
        </w:rPr>
        <w:t>”</w:t>
      </w:r>
      <w:r>
        <w:rPr>
          <w:rFonts w:ascii="Arial" w:eastAsia="Times New Roman" w:hAnsi="Arial" w:cs="Arial"/>
          <w:i/>
          <w:color w:val="000000"/>
          <w:lang w:eastAsia="lv-LV"/>
        </w:rPr>
        <w:t xml:space="preserve"> / “BIS</w:t>
      </w:r>
      <w:r w:rsidR="002A64A6" w:rsidRPr="002A64A6">
        <w:rPr>
          <w:rFonts w:ascii="Arial" w:eastAsia="Times New Roman" w:hAnsi="Arial" w:cs="Arial"/>
          <w:i/>
          <w:color w:val="000000"/>
          <w:lang w:eastAsia="lv-LV"/>
        </w:rPr>
        <w:t xml:space="preserve"> sūtītu katram lietotājam informāciju par izmaiņām konkrēti likumdošanā. Kādas jomas, ko tas skar</w:t>
      </w:r>
      <w:r w:rsidR="002A64A6">
        <w:rPr>
          <w:rFonts w:ascii="Arial" w:eastAsia="Times New Roman" w:hAnsi="Arial" w:cs="Arial"/>
          <w:i/>
          <w:color w:val="000000"/>
          <w:lang w:eastAsia="lv-LV"/>
        </w:rPr>
        <w:t>.</w:t>
      </w:r>
      <w:r>
        <w:rPr>
          <w:rFonts w:ascii="Arial" w:eastAsia="Times New Roman" w:hAnsi="Arial" w:cs="Arial"/>
          <w:i/>
          <w:color w:val="000000"/>
          <w:lang w:eastAsia="lv-LV"/>
        </w:rPr>
        <w:t>”</w:t>
      </w:r>
    </w:p>
    <w:p w14:paraId="1DA19C81" w14:textId="5C1BAF07" w:rsidR="00875524" w:rsidRDefault="003448D3" w:rsidP="00C5779A">
      <w:pPr>
        <w:spacing w:line="360" w:lineRule="auto"/>
      </w:pPr>
      <w:r>
        <w:t>Sadarbībā ar Būvvaldēm p</w:t>
      </w:r>
      <w:r w:rsidR="00875524">
        <w:t>ozitīvi vērtējams fakts, ka neviens uzņēmums, kas ir saņēmis būvvaldes pakalpojumus pēdējo 12 mēnešu laikā</w:t>
      </w:r>
      <w:r w:rsidR="00AC62AF">
        <w:t>,</w:t>
      </w:r>
      <w:r w:rsidR="00875524">
        <w:t xml:space="preserve"> sadarbības procesā nav saskāries ar korupciju.</w:t>
      </w:r>
    </w:p>
    <w:p w14:paraId="7524269E" w14:textId="057717C5" w:rsidR="00197A6B" w:rsidRPr="00BF60C2" w:rsidRDefault="00490ACD" w:rsidP="00BF60C2">
      <w:pPr>
        <w:pStyle w:val="Heading3"/>
        <w:spacing w:before="240" w:after="120"/>
        <w:rPr>
          <w:b/>
          <w:sz w:val="24"/>
          <w:szCs w:val="24"/>
        </w:rPr>
      </w:pPr>
      <w:bookmarkStart w:id="25" w:name="_Toc19603257"/>
      <w:bookmarkStart w:id="26" w:name="_Toc20744787"/>
      <w:r w:rsidRPr="00BF60C2">
        <w:rPr>
          <w:b/>
          <w:sz w:val="24"/>
          <w:szCs w:val="24"/>
        </w:rPr>
        <w:t>4</w:t>
      </w:r>
      <w:r w:rsidR="00197A6B" w:rsidRPr="00BF60C2">
        <w:rPr>
          <w:b/>
          <w:sz w:val="24"/>
          <w:szCs w:val="24"/>
        </w:rPr>
        <w:t xml:space="preserve">.2.5. </w:t>
      </w:r>
      <w:r w:rsidR="006A3913" w:rsidRPr="00BF60C2">
        <w:rPr>
          <w:b/>
          <w:sz w:val="24"/>
          <w:szCs w:val="24"/>
        </w:rPr>
        <w:t>U</w:t>
      </w:r>
      <w:r w:rsidR="00197A6B" w:rsidRPr="00BF60C2">
        <w:rPr>
          <w:b/>
          <w:sz w:val="24"/>
          <w:szCs w:val="24"/>
        </w:rPr>
        <w:t>zņēmumu ieteikumi būvniecības nozares kvalitātes uzlabošanai</w:t>
      </w:r>
      <w:bookmarkEnd w:id="25"/>
      <w:bookmarkEnd w:id="26"/>
    </w:p>
    <w:p w14:paraId="742147F4" w14:textId="3E4858AF" w:rsidR="004820D2" w:rsidRDefault="008174AC" w:rsidP="00215AF1">
      <w:pPr>
        <w:spacing w:after="160" w:line="360" w:lineRule="auto"/>
      </w:pPr>
      <w:r>
        <w:t>Pamatā</w:t>
      </w:r>
      <w:r w:rsidR="00CF106E">
        <w:t xml:space="preserve"> </w:t>
      </w:r>
      <w:r>
        <w:t xml:space="preserve">uzņēmumu </w:t>
      </w:r>
      <w:r w:rsidR="00CF106E">
        <w:t xml:space="preserve">ieteikumi par būvniecības nozares kvalitātes uzlabošanu </w:t>
      </w:r>
      <w:r>
        <w:t>ir saistīti</w:t>
      </w:r>
      <w:r w:rsidR="00CF106E">
        <w:t xml:space="preserve"> ar</w:t>
      </w:r>
      <w:r>
        <w:t>:</w:t>
      </w:r>
    </w:p>
    <w:p w14:paraId="50CF5DB6" w14:textId="0F3156A8" w:rsidR="008174AC" w:rsidRDefault="008174AC" w:rsidP="008174AC">
      <w:pPr>
        <w:pStyle w:val="ListParagraph"/>
        <w:numPr>
          <w:ilvl w:val="0"/>
          <w:numId w:val="26"/>
        </w:numPr>
        <w:spacing w:after="160" w:line="360" w:lineRule="auto"/>
      </w:pPr>
      <w:r>
        <w:t>Darbaspēka trūkumu būvniecības nozarē;</w:t>
      </w:r>
    </w:p>
    <w:p w14:paraId="443846DF" w14:textId="77777777" w:rsidR="008174AC" w:rsidRDefault="008174AC" w:rsidP="008174AC">
      <w:pPr>
        <w:pStyle w:val="ListParagraph"/>
        <w:numPr>
          <w:ilvl w:val="0"/>
          <w:numId w:val="26"/>
        </w:numPr>
        <w:spacing w:after="160" w:line="360" w:lineRule="auto"/>
      </w:pPr>
      <w:r>
        <w:t>Termiņu ievērošanu un darba plānošanu;</w:t>
      </w:r>
    </w:p>
    <w:p w14:paraId="5BDC3119" w14:textId="0133FD4C" w:rsidR="008174AC" w:rsidRDefault="008174AC" w:rsidP="008174AC">
      <w:pPr>
        <w:pStyle w:val="ListParagraph"/>
        <w:numPr>
          <w:ilvl w:val="0"/>
          <w:numId w:val="26"/>
        </w:numPr>
        <w:spacing w:after="160" w:line="360" w:lineRule="auto"/>
      </w:pPr>
      <w:r>
        <w:t>Birokrātiskajiem šķēršļiem</w:t>
      </w:r>
      <w:r w:rsidR="00E06AE3">
        <w:t>;</w:t>
      </w:r>
    </w:p>
    <w:p w14:paraId="30A499F2" w14:textId="2934C129" w:rsidR="00E06AE3" w:rsidRDefault="00E06AE3" w:rsidP="008174AC">
      <w:pPr>
        <w:pStyle w:val="ListParagraph"/>
        <w:numPr>
          <w:ilvl w:val="0"/>
          <w:numId w:val="26"/>
        </w:numPr>
        <w:spacing w:after="160" w:line="360" w:lineRule="auto"/>
      </w:pPr>
      <w:r>
        <w:t>Sadarbība starp pakalpojuma sniedzēju un saņēmēju</w:t>
      </w:r>
      <w:r w:rsidR="002106CF">
        <w:t>.</w:t>
      </w:r>
    </w:p>
    <w:p w14:paraId="10B2EEDA" w14:textId="1587D817" w:rsidR="00C0053C" w:rsidRPr="00C0053C" w:rsidRDefault="00C0053C" w:rsidP="004820D2">
      <w:pPr>
        <w:spacing w:before="0" w:after="160" w:line="360" w:lineRule="auto"/>
        <w:rPr>
          <w:b/>
        </w:rPr>
      </w:pPr>
      <w:r w:rsidRPr="00C0053C">
        <w:rPr>
          <w:b/>
        </w:rPr>
        <w:t>Darbaspēka trūkums būvniecības nozarē.</w:t>
      </w:r>
    </w:p>
    <w:p w14:paraId="74857D4E" w14:textId="2728B3AA" w:rsidR="00EB0F1C" w:rsidRDefault="001C0611" w:rsidP="004820D2">
      <w:pPr>
        <w:spacing w:before="0" w:after="160" w:line="360" w:lineRule="auto"/>
      </w:pPr>
      <w:r>
        <w:t>Kvalificēta d</w:t>
      </w:r>
      <w:r w:rsidR="00EB0F1C" w:rsidRPr="00C0053C">
        <w:t>arbasp</w:t>
      </w:r>
      <w:r w:rsidR="00C0053C" w:rsidRPr="00C0053C">
        <w:t>ēka trūkums</w:t>
      </w:r>
      <w:r w:rsidR="00C0053C">
        <w:t xml:space="preserve"> būvniecības nozarē ietekmē </w:t>
      </w:r>
      <w:r w:rsidR="00181B85">
        <w:t xml:space="preserve">ne tikai būvniecības kvalitāti, bet arī </w:t>
      </w:r>
      <w:r w:rsidR="00C0053C">
        <w:t>termiņu ievērošanu:</w:t>
      </w:r>
    </w:p>
    <w:p w14:paraId="7AD5F70D" w14:textId="2AE35BFB" w:rsidR="004820D2" w:rsidRPr="00C0053C" w:rsidRDefault="00CF106E" w:rsidP="004820D2">
      <w:pPr>
        <w:spacing w:before="0" w:after="160" w:line="360" w:lineRule="auto"/>
        <w:rPr>
          <w:i/>
        </w:rPr>
      </w:pPr>
      <w:r w:rsidRPr="00C0053C">
        <w:rPr>
          <w:i/>
        </w:rPr>
        <w:t>“Problēma visā nozarē, ka ir daudz pasūtījumu, nevar saplānot laiku, resursus. Tāpēc ir problēmas ar termiņiem.”</w:t>
      </w:r>
      <w:r w:rsidR="001C5203">
        <w:rPr>
          <w:i/>
        </w:rPr>
        <w:t xml:space="preserve"> / “</w:t>
      </w:r>
      <w:r w:rsidR="001C5203" w:rsidRPr="00172AB2">
        <w:rPr>
          <w:i/>
        </w:rPr>
        <w:t>Visi ir kvalificēti, bet sajūta, ka vienkārši nav laika</w:t>
      </w:r>
      <w:r w:rsidR="009B6C97">
        <w:rPr>
          <w:i/>
        </w:rPr>
        <w:t>.</w:t>
      </w:r>
      <w:r w:rsidR="001C5203">
        <w:rPr>
          <w:i/>
        </w:rPr>
        <w:t>”</w:t>
      </w:r>
    </w:p>
    <w:p w14:paraId="155015FF" w14:textId="55AD755E" w:rsidR="00C0053C" w:rsidRDefault="00D15490" w:rsidP="004820D2">
      <w:pPr>
        <w:spacing w:before="0" w:after="160" w:line="360" w:lineRule="auto"/>
      </w:pPr>
      <w:r>
        <w:t>Visb</w:t>
      </w:r>
      <w:r w:rsidR="00225EE8">
        <w:t xml:space="preserve">iežāk darbaspēka </w:t>
      </w:r>
      <w:r>
        <w:t xml:space="preserve">trūkuma </w:t>
      </w:r>
      <w:r w:rsidR="00225EE8">
        <w:t xml:space="preserve">problēmas risināšanai </w:t>
      </w:r>
      <w:r w:rsidR="00C0053C">
        <w:t>uzņēmumi saskata darbaspēka piesaisti no ārzemēm</w:t>
      </w:r>
      <w:r w:rsidR="0034457E">
        <w:t>:</w:t>
      </w:r>
    </w:p>
    <w:p w14:paraId="4FB07721" w14:textId="1D02EFDD" w:rsidR="0034457E" w:rsidRPr="00724459" w:rsidRDefault="00724459" w:rsidP="004820D2">
      <w:pPr>
        <w:spacing w:before="0" w:after="160" w:line="360" w:lineRule="auto"/>
        <w:rPr>
          <w:i/>
        </w:rPr>
      </w:pPr>
      <w:r w:rsidRPr="00724459">
        <w:rPr>
          <w:i/>
        </w:rPr>
        <w:t>“Darbaspēka ievešanas atvieglojumi.”/ “Ārvalstu darbaspēka piesaistes atvieglojuma pasākumi.”</w:t>
      </w:r>
      <w:r w:rsidR="001C0611">
        <w:rPr>
          <w:i/>
        </w:rPr>
        <w:t xml:space="preserve"> / “</w:t>
      </w:r>
      <w:r w:rsidR="001C0611" w:rsidRPr="001C0611">
        <w:rPr>
          <w:i/>
        </w:rPr>
        <w:t>Jā viesstrādniekiem, jo mūsējo nav</w:t>
      </w:r>
      <w:r w:rsidR="001C0611">
        <w:rPr>
          <w:i/>
        </w:rPr>
        <w:t>.”</w:t>
      </w:r>
    </w:p>
    <w:p w14:paraId="742C564E" w14:textId="3C164474" w:rsidR="00C0053C" w:rsidRDefault="008C3E64" w:rsidP="004820D2">
      <w:pPr>
        <w:spacing w:before="0" w:after="160" w:line="360" w:lineRule="auto"/>
      </w:pPr>
      <w:r>
        <w:lastRenderedPageBreak/>
        <w:t>Vēl kā risinājums tiek minēta iespēja celt darbinieku algas</w:t>
      </w:r>
      <w:r w:rsidR="00305DF0">
        <w:t xml:space="preserve"> vai atvieglot darbaspēka nodokļus</w:t>
      </w:r>
      <w:r w:rsidR="00E738B3">
        <w:t>:</w:t>
      </w:r>
      <w:r>
        <w:t xml:space="preserve"> </w:t>
      </w:r>
    </w:p>
    <w:p w14:paraId="4AC743CF" w14:textId="5596F928" w:rsidR="008C3E64" w:rsidRPr="00E738B3" w:rsidRDefault="008C3E64" w:rsidP="004820D2">
      <w:pPr>
        <w:spacing w:before="0" w:after="160" w:line="360" w:lineRule="auto"/>
        <w:rPr>
          <w:i/>
        </w:rPr>
      </w:pPr>
      <w:r w:rsidRPr="00E738B3">
        <w:rPr>
          <w:i/>
        </w:rPr>
        <w:t>“Izmaksu izmaiņas vietējā vai Eiropas līmenī. Lai varētu apturēt savu vietējo strādnieku aizplūšanu uz ārzemēm.” / “Būvniecībā minimālā alga jāpaceļ augstāk nekā citās nozarēs konkurences un kvalitātes svārstību samērībai.”</w:t>
      </w:r>
      <w:r w:rsidR="00305DF0">
        <w:rPr>
          <w:i/>
        </w:rPr>
        <w:t xml:space="preserve"> / “</w:t>
      </w:r>
      <w:r w:rsidR="00305DF0" w:rsidRPr="00305DF0">
        <w:rPr>
          <w:i/>
        </w:rPr>
        <w:t>Darbaspēka atvieglojumi, jo jāmaksā lieli nodokļi</w:t>
      </w:r>
      <w:r w:rsidR="00305DF0">
        <w:rPr>
          <w:i/>
        </w:rPr>
        <w:t>.”</w:t>
      </w:r>
    </w:p>
    <w:p w14:paraId="1BF946ED" w14:textId="62653839" w:rsidR="00C0053C" w:rsidRPr="00C0053C" w:rsidRDefault="00C0053C" w:rsidP="004820D2">
      <w:pPr>
        <w:spacing w:before="0" w:after="160" w:line="360" w:lineRule="auto"/>
        <w:rPr>
          <w:b/>
        </w:rPr>
      </w:pPr>
      <w:r w:rsidRPr="00C0053C">
        <w:rPr>
          <w:b/>
        </w:rPr>
        <w:t>Termiņu ievērošana un darbu plānošana.</w:t>
      </w:r>
    </w:p>
    <w:p w14:paraId="15A45B8F" w14:textId="45CEB881" w:rsidR="00C0053C" w:rsidRDefault="00C0053C" w:rsidP="004820D2">
      <w:pPr>
        <w:spacing w:before="0" w:after="160" w:line="360" w:lineRule="auto"/>
      </w:pPr>
      <w:r>
        <w:t xml:space="preserve">Bez </w:t>
      </w:r>
      <w:r w:rsidR="00E06AE3">
        <w:t>iepriekš pieminētajām</w:t>
      </w:r>
      <w:r w:rsidR="001B22AA">
        <w:t xml:space="preserve"> </w:t>
      </w:r>
      <w:r>
        <w:t xml:space="preserve">problēmām ar darbaspēku būvniecības nozarē būtiska </w:t>
      </w:r>
      <w:r w:rsidR="001B22AA">
        <w:t>ietekme</w:t>
      </w:r>
      <w:r>
        <w:t xml:space="preserve"> termiņu un darbu plānošanā ir sadarbībai starp pakalpojuma sniedzēju un pakalpojuma saņēmēju</w:t>
      </w:r>
      <w:r w:rsidR="00E06AE3">
        <w:t>. Ī</w:t>
      </w:r>
      <w:r w:rsidR="001B22AA">
        <w:t>paši</w:t>
      </w:r>
      <w:r w:rsidR="00FD4989">
        <w:t>, ja</w:t>
      </w:r>
      <w:r w:rsidR="001B22AA">
        <w:t xml:space="preserve"> nepieciešams elastīgi pielāgoties </w:t>
      </w:r>
      <w:r w:rsidR="00E06AE3">
        <w:t xml:space="preserve">kādām </w:t>
      </w:r>
      <w:r w:rsidR="001B22AA">
        <w:t>izmaiņām</w:t>
      </w:r>
      <w:r>
        <w:t>:</w:t>
      </w:r>
    </w:p>
    <w:p w14:paraId="6A18DE92" w14:textId="2CBB4EB0" w:rsidR="00C0053C" w:rsidRPr="00C0053C" w:rsidRDefault="00C0053C" w:rsidP="004820D2">
      <w:pPr>
        <w:spacing w:before="0" w:after="160" w:line="360" w:lineRule="auto"/>
        <w:rPr>
          <w:i/>
        </w:rPr>
      </w:pPr>
      <w:r w:rsidRPr="00C0053C">
        <w:rPr>
          <w:i/>
        </w:rPr>
        <w:t>“Pasūtītājs izvirzīja jaunas prasības, tādēļ termiņi nesakrita ar sākotnējo plānu”</w:t>
      </w:r>
      <w:r w:rsidR="00A36CC1">
        <w:rPr>
          <w:i/>
        </w:rPr>
        <w:t xml:space="preserve"> / “</w:t>
      </w:r>
      <w:r w:rsidR="00A36CC1" w:rsidRPr="000F0E72">
        <w:rPr>
          <w:i/>
        </w:rPr>
        <w:t>Katrā pasūtījumā iekļautie termiņi mainās, tiek raustīti, bet uz priekšu tiek</w:t>
      </w:r>
      <w:r w:rsidR="00A36CC1">
        <w:rPr>
          <w:i/>
        </w:rPr>
        <w:t>.”</w:t>
      </w:r>
      <w:r w:rsidR="001B22AA">
        <w:rPr>
          <w:i/>
        </w:rPr>
        <w:t xml:space="preserve"> / “P</w:t>
      </w:r>
      <w:r w:rsidR="001B22AA" w:rsidRPr="00547D21">
        <w:rPr>
          <w:i/>
        </w:rPr>
        <w:t>ietrūkst kapacitāte</w:t>
      </w:r>
      <w:r w:rsidR="00BF0DC4">
        <w:rPr>
          <w:i/>
        </w:rPr>
        <w:t>s</w:t>
      </w:r>
      <w:r w:rsidR="001B22AA" w:rsidRPr="00547D21">
        <w:rPr>
          <w:i/>
        </w:rPr>
        <w:t>, spēja</w:t>
      </w:r>
      <w:r w:rsidR="00BF0DC4">
        <w:rPr>
          <w:i/>
        </w:rPr>
        <w:t>s</w:t>
      </w:r>
      <w:r w:rsidR="001B22AA" w:rsidRPr="00547D21">
        <w:rPr>
          <w:i/>
        </w:rPr>
        <w:t xml:space="preserve"> ievērot termiņus, ja ir nestandarta situācija, tad man pašam jāpēta, jāiesaistās</w:t>
      </w:r>
      <w:r w:rsidR="001B22AA">
        <w:rPr>
          <w:i/>
        </w:rPr>
        <w:t>.”</w:t>
      </w:r>
    </w:p>
    <w:p w14:paraId="23F6BD2F" w14:textId="13B1584E" w:rsidR="00C0053C" w:rsidRDefault="00434D93" w:rsidP="004820D2">
      <w:pPr>
        <w:spacing w:before="0" w:after="160" w:line="360" w:lineRule="auto"/>
      </w:pPr>
      <w:r>
        <w:t xml:space="preserve">Sasteidzot termiņus, var mazināties pakalpojuma kvalitāte. Ņemot vērā labo kvalitātes indeksu un </w:t>
      </w:r>
      <w:r w:rsidR="00427996">
        <w:t>to</w:t>
      </w:r>
      <w:r>
        <w:t xml:space="preserve">, ka atsevišķos būvniecības procesa posmos nedaudz zemāks pakalpojumu saņēmēju vērtējums bija tieši plānošanai un termiņu ievērošanai, var secināt, ka izšķirošos brīžos prioritāte ir nodevuma kvalitātei, nevis termiņu ievērošanai: </w:t>
      </w:r>
    </w:p>
    <w:p w14:paraId="5A14DDFB" w14:textId="28C671CF" w:rsidR="00434D93" w:rsidRDefault="00434D93" w:rsidP="004820D2">
      <w:pPr>
        <w:spacing w:before="0" w:after="160" w:line="360" w:lineRule="auto"/>
        <w:rPr>
          <w:i/>
        </w:rPr>
      </w:pPr>
      <w:r>
        <w:rPr>
          <w:i/>
        </w:rPr>
        <w:t>“</w:t>
      </w:r>
      <w:r w:rsidRPr="0062277F">
        <w:rPr>
          <w:i/>
        </w:rPr>
        <w:t>Pakalpojuma sniedzējam ievērojot termiņus</w:t>
      </w:r>
      <w:r w:rsidR="00BF0DC4">
        <w:rPr>
          <w:i/>
        </w:rPr>
        <w:t>,</w:t>
      </w:r>
      <w:r w:rsidRPr="0062277F">
        <w:rPr>
          <w:i/>
        </w:rPr>
        <w:t xml:space="preserve"> cieš kvalitāte</w:t>
      </w:r>
      <w:r>
        <w:rPr>
          <w:i/>
        </w:rPr>
        <w:t>”</w:t>
      </w:r>
      <w:r w:rsidR="0099396A">
        <w:rPr>
          <w:i/>
        </w:rPr>
        <w:t xml:space="preserve"> / “</w:t>
      </w:r>
      <w:r w:rsidR="0099396A" w:rsidRPr="00176910">
        <w:rPr>
          <w:i/>
        </w:rPr>
        <w:t>Esmu pilnībā apmierināts ar sniegto pakalpojumu. Nedaudz neiekļāvās termiņos</w:t>
      </w:r>
      <w:r w:rsidR="0099396A">
        <w:rPr>
          <w:i/>
        </w:rPr>
        <w:t>.”</w:t>
      </w:r>
    </w:p>
    <w:p w14:paraId="3D4853CF" w14:textId="77777777" w:rsidR="00372704" w:rsidRPr="00FD4989" w:rsidRDefault="00372704" w:rsidP="00372704">
      <w:pPr>
        <w:spacing w:before="0" w:after="160" w:line="360" w:lineRule="auto"/>
        <w:rPr>
          <w:b/>
        </w:rPr>
      </w:pPr>
      <w:r w:rsidRPr="00FD4989">
        <w:rPr>
          <w:b/>
        </w:rPr>
        <w:t>Sadarbība starp pakalpojuma sniedzēju un saņēmēju.</w:t>
      </w:r>
    </w:p>
    <w:p w14:paraId="1AC3F329" w14:textId="77777777" w:rsidR="00372704" w:rsidRPr="001B22AA" w:rsidRDefault="00372704" w:rsidP="00372704">
      <w:pPr>
        <w:spacing w:before="0" w:after="160" w:line="360" w:lineRule="auto"/>
      </w:pPr>
      <w:r>
        <w:t>Bez iepriekš pieminētās sadarbības ietekmes uz termiņu ievērošanu, ja nepieciešama ātra un elastīga rīcība, sadarbību būtiski ietekmē arī attieksme pret sadarbības partneriem, klientiem vai citiem būvniecības procesā iesaistītajiem. Biežāk šis faktors tika pieminēts, komentējot Uzraudzības posmu:</w:t>
      </w:r>
    </w:p>
    <w:p w14:paraId="6A541FE4" w14:textId="77777777" w:rsidR="00372704" w:rsidRDefault="00372704" w:rsidP="00372704">
      <w:pPr>
        <w:spacing w:before="0" w:after="160" w:line="360" w:lineRule="auto"/>
      </w:pPr>
      <w:r>
        <w:rPr>
          <w:i/>
        </w:rPr>
        <w:t>“</w:t>
      </w:r>
      <w:r w:rsidRPr="00E61962">
        <w:rPr>
          <w:i/>
        </w:rPr>
        <w:t>Liels birokrātiskais process, viss atkarīgs no personības un garastāvokļa</w:t>
      </w:r>
      <w:r>
        <w:rPr>
          <w:i/>
        </w:rPr>
        <w:t>” / “</w:t>
      </w:r>
      <w:r w:rsidRPr="00875524">
        <w:rPr>
          <w:rFonts w:ascii="Arial" w:eastAsia="Times New Roman" w:hAnsi="Arial" w:cs="Arial"/>
          <w:i/>
          <w:color w:val="000000"/>
          <w:lang w:eastAsia="lv-LV"/>
        </w:rPr>
        <w:t>Būvuzraugs veic žandarmu funkciju. Nevis palīdz, bet drīzāk kavē darba proces</w:t>
      </w:r>
      <w:r>
        <w:rPr>
          <w:rFonts w:ascii="Arial" w:eastAsia="Times New Roman" w:hAnsi="Arial" w:cs="Arial"/>
          <w:i/>
          <w:color w:val="000000"/>
          <w:lang w:eastAsia="lv-LV"/>
        </w:rPr>
        <w:t xml:space="preserve">u.” </w:t>
      </w:r>
    </w:p>
    <w:p w14:paraId="38587047" w14:textId="4CFD0257" w:rsidR="00372704" w:rsidRDefault="00372704" w:rsidP="00372704">
      <w:pPr>
        <w:spacing w:before="0" w:after="160" w:line="360" w:lineRule="auto"/>
      </w:pPr>
      <w:r>
        <w:t>Kā galveno risinājumu sadarbības uzlabošanai starp pakalpojuma sniedzēju un saņēmēju būvniecības nozarē uzņēmumu pārstāvji min</w:t>
      </w:r>
      <w:r w:rsidR="000E4178">
        <w:t xml:space="preserve"> sadarbības uzlabošanu ar uzraugošajām iestādēm.</w:t>
      </w:r>
    </w:p>
    <w:p w14:paraId="26779FAE" w14:textId="47E484D5" w:rsidR="00C0053C" w:rsidRPr="00C0053C" w:rsidRDefault="00C0053C" w:rsidP="004820D2">
      <w:pPr>
        <w:spacing w:before="0" w:after="160" w:line="360" w:lineRule="auto"/>
        <w:rPr>
          <w:b/>
        </w:rPr>
      </w:pPr>
      <w:r w:rsidRPr="00C0053C">
        <w:rPr>
          <w:b/>
        </w:rPr>
        <w:t>Birokrātiskie šķēršļi.</w:t>
      </w:r>
    </w:p>
    <w:p w14:paraId="27BC5D8E" w14:textId="2E397A59" w:rsidR="00C0053C" w:rsidRDefault="001B22AA" w:rsidP="004820D2">
      <w:pPr>
        <w:spacing w:before="0" w:after="160" w:line="360" w:lineRule="auto"/>
      </w:pPr>
      <w:r w:rsidRPr="00E61962">
        <w:t>Nozares dalībnieki nav apmierināti ar pārāk lielo birokrātijas procesu nozarē</w:t>
      </w:r>
      <w:r>
        <w:t>:</w:t>
      </w:r>
    </w:p>
    <w:p w14:paraId="76E4AF0D" w14:textId="4C54E6DB" w:rsidR="001B22AA" w:rsidRDefault="001B22AA" w:rsidP="004820D2">
      <w:pPr>
        <w:spacing w:before="0" w:after="160" w:line="360" w:lineRule="auto"/>
        <w:rPr>
          <w:i/>
        </w:rPr>
      </w:pPr>
      <w:r>
        <w:rPr>
          <w:rFonts w:ascii="Arial" w:eastAsia="Times New Roman" w:hAnsi="Arial" w:cs="Arial"/>
          <w:i/>
          <w:color w:val="000000"/>
          <w:lang w:eastAsia="lv-LV"/>
        </w:rPr>
        <w:lastRenderedPageBreak/>
        <w:t>“</w:t>
      </w:r>
      <w:r w:rsidRPr="00957885">
        <w:rPr>
          <w:rFonts w:ascii="Arial" w:eastAsia="Times New Roman" w:hAnsi="Arial" w:cs="Arial"/>
          <w:i/>
          <w:color w:val="000000"/>
          <w:lang w:eastAsia="lv-LV"/>
        </w:rPr>
        <w:t>Pārāk lieli birokrātiski šķēršļi dokumentācijas noformēšanā</w:t>
      </w:r>
      <w:r>
        <w:rPr>
          <w:i/>
        </w:rPr>
        <w:t>.”</w:t>
      </w:r>
      <w:r w:rsidR="00557B21">
        <w:rPr>
          <w:i/>
        </w:rPr>
        <w:t xml:space="preserve"> / </w:t>
      </w:r>
      <w:r w:rsidR="00557B21">
        <w:rPr>
          <w:rFonts w:ascii="Arial" w:eastAsia="Times New Roman" w:hAnsi="Arial" w:cs="Arial"/>
          <w:i/>
          <w:color w:val="000000"/>
          <w:lang w:eastAsia="lv-LV"/>
        </w:rPr>
        <w:t>“</w:t>
      </w:r>
      <w:r w:rsidR="00557B21" w:rsidRPr="00875524">
        <w:rPr>
          <w:rFonts w:ascii="Arial" w:eastAsia="Times New Roman" w:hAnsi="Arial" w:cs="Arial"/>
          <w:i/>
          <w:color w:val="000000"/>
          <w:lang w:eastAsia="lv-LV"/>
        </w:rPr>
        <w:t>Būvvaldēs vieglāk uzrakstīt atteikumu</w:t>
      </w:r>
      <w:r w:rsidR="00BF0DC4">
        <w:rPr>
          <w:rFonts w:ascii="Arial" w:eastAsia="Times New Roman" w:hAnsi="Arial" w:cs="Arial"/>
          <w:i/>
          <w:color w:val="000000"/>
          <w:lang w:eastAsia="lv-LV"/>
        </w:rPr>
        <w:t>,</w:t>
      </w:r>
      <w:r w:rsidR="00557B21" w:rsidRPr="00875524">
        <w:rPr>
          <w:rFonts w:ascii="Arial" w:eastAsia="Times New Roman" w:hAnsi="Arial" w:cs="Arial"/>
          <w:i/>
          <w:color w:val="000000"/>
          <w:lang w:eastAsia="lv-LV"/>
        </w:rPr>
        <w:t xml:space="preserve"> atsaucoties uz likuma pantiem</w:t>
      </w:r>
      <w:r w:rsidR="00BF0DC4">
        <w:rPr>
          <w:rFonts w:ascii="Arial" w:eastAsia="Times New Roman" w:hAnsi="Arial" w:cs="Arial"/>
          <w:i/>
          <w:color w:val="000000"/>
          <w:lang w:eastAsia="lv-LV"/>
        </w:rPr>
        <w:t>,</w:t>
      </w:r>
      <w:r w:rsidR="00557B21" w:rsidRPr="00875524">
        <w:rPr>
          <w:rFonts w:ascii="Arial" w:eastAsia="Times New Roman" w:hAnsi="Arial" w:cs="Arial"/>
          <w:i/>
          <w:color w:val="000000"/>
          <w:lang w:eastAsia="lv-LV"/>
        </w:rPr>
        <w:t xml:space="preserve"> un mēs saņemam administratīvo aktu, kurš tiek vērtēts tikai pēc likuma punktiem</w:t>
      </w:r>
      <w:r w:rsidR="00557B21">
        <w:rPr>
          <w:rFonts w:ascii="Arial" w:eastAsia="Times New Roman" w:hAnsi="Arial" w:cs="Arial"/>
          <w:i/>
          <w:color w:val="000000"/>
          <w:lang w:eastAsia="lv-LV"/>
        </w:rPr>
        <w:t>.”</w:t>
      </w:r>
      <w:r w:rsidR="00E75D89">
        <w:rPr>
          <w:rFonts w:ascii="Arial" w:eastAsia="Times New Roman" w:hAnsi="Arial" w:cs="Arial"/>
          <w:i/>
          <w:color w:val="000000"/>
          <w:lang w:eastAsia="lv-LV"/>
        </w:rPr>
        <w:t xml:space="preserve"> / “</w:t>
      </w:r>
      <w:r w:rsidR="00E75D89" w:rsidRPr="00875524">
        <w:rPr>
          <w:rFonts w:ascii="Arial" w:eastAsia="Times New Roman" w:hAnsi="Arial" w:cs="Arial"/>
          <w:i/>
          <w:color w:val="000000"/>
          <w:lang w:eastAsia="lv-LV"/>
        </w:rPr>
        <w:t>Mēs iesniedzam dokumentus, katrreiz vajag vēl dokumentus, katram inspektoram savs redzējums, lieka birokrātija</w:t>
      </w:r>
      <w:r w:rsidR="00046670">
        <w:rPr>
          <w:rFonts w:ascii="Arial" w:eastAsia="Times New Roman" w:hAnsi="Arial" w:cs="Arial"/>
          <w:i/>
          <w:color w:val="000000"/>
          <w:lang w:eastAsia="lv-LV"/>
        </w:rPr>
        <w:t>.</w:t>
      </w:r>
      <w:r w:rsidR="00E75D89">
        <w:rPr>
          <w:rFonts w:ascii="Arial" w:eastAsia="Times New Roman" w:hAnsi="Arial" w:cs="Arial"/>
          <w:i/>
          <w:color w:val="000000"/>
          <w:lang w:eastAsia="lv-LV"/>
        </w:rPr>
        <w:t>”</w:t>
      </w:r>
      <w:r w:rsidR="00305DF0">
        <w:rPr>
          <w:rFonts w:ascii="Arial" w:eastAsia="Times New Roman" w:hAnsi="Arial" w:cs="Arial"/>
          <w:i/>
          <w:color w:val="000000"/>
          <w:lang w:eastAsia="lv-LV"/>
        </w:rPr>
        <w:t xml:space="preserve"> </w:t>
      </w:r>
    </w:p>
    <w:p w14:paraId="7734E82B" w14:textId="2EEB960F" w:rsidR="00FD4989" w:rsidRDefault="0034457E" w:rsidP="004820D2">
      <w:pPr>
        <w:spacing w:before="0" w:after="160" w:line="360" w:lineRule="auto"/>
      </w:pPr>
      <w:r>
        <w:t>Kā galveno risinājumu birokrātisko šķēršļu mazināšanai uzņēmumu pārstāvji min</w:t>
      </w:r>
      <w:r w:rsidR="005C35BB">
        <w:t xml:space="preserve"> likumdošanas un normatīvo aktu sakārtošanu</w:t>
      </w:r>
      <w:r w:rsidR="00946D6E">
        <w:t xml:space="preserve"> un vienkāršošanu</w:t>
      </w:r>
      <w:r w:rsidR="005C35BB">
        <w:t>, uzraudzības procesu vienkāršošan</w:t>
      </w:r>
      <w:r w:rsidR="00EA018D">
        <w:t>u</w:t>
      </w:r>
      <w:r w:rsidR="005C35BB">
        <w:t>:</w:t>
      </w:r>
    </w:p>
    <w:p w14:paraId="481E409A" w14:textId="00A5BDCC" w:rsidR="0034457E" w:rsidRPr="00203903" w:rsidRDefault="005C35BB" w:rsidP="004820D2">
      <w:pPr>
        <w:spacing w:before="0" w:after="160" w:line="360" w:lineRule="auto"/>
        <w:rPr>
          <w:i/>
        </w:rPr>
      </w:pPr>
      <w:r w:rsidRPr="005C35BB">
        <w:rPr>
          <w:i/>
        </w:rPr>
        <w:t>“Pārāk daudz kontrolējošo iestāžu, lieka birokrātija saskaņojot</w:t>
      </w:r>
      <w:r w:rsidR="00044AF2">
        <w:rPr>
          <w:i/>
        </w:rPr>
        <w:t xml:space="preserve">: </w:t>
      </w:r>
      <w:r w:rsidRPr="005C35BB">
        <w:rPr>
          <w:i/>
        </w:rPr>
        <w:t>ministrija</w:t>
      </w:r>
      <w:r w:rsidR="00044AF2">
        <w:rPr>
          <w:i/>
        </w:rPr>
        <w:t>;</w:t>
      </w:r>
      <w:r w:rsidRPr="005C35BB">
        <w:rPr>
          <w:i/>
        </w:rPr>
        <w:t xml:space="preserve"> ceļu būve</w:t>
      </w:r>
      <w:r w:rsidR="00044AF2">
        <w:rPr>
          <w:i/>
        </w:rPr>
        <w:t>;</w:t>
      </w:r>
      <w:r w:rsidRPr="005C35BB">
        <w:rPr>
          <w:i/>
        </w:rPr>
        <w:t xml:space="preserve"> būvinspekcija</w:t>
      </w:r>
      <w:r w:rsidR="00044AF2">
        <w:rPr>
          <w:i/>
        </w:rPr>
        <w:t>.</w:t>
      </w:r>
      <w:r w:rsidRPr="005C35BB">
        <w:rPr>
          <w:i/>
        </w:rPr>
        <w:t xml:space="preserve"> </w:t>
      </w:r>
      <w:r w:rsidR="00044AF2">
        <w:rPr>
          <w:i/>
        </w:rPr>
        <w:t>V</w:t>
      </w:r>
      <w:r w:rsidRPr="005C35BB">
        <w:rPr>
          <w:i/>
        </w:rPr>
        <w:t>ajadzētu vienotu sistēmu, lai nav tik daudz laika un naudas jāpatērē lieki.”</w:t>
      </w:r>
      <w:r w:rsidR="00946D6E">
        <w:rPr>
          <w:i/>
        </w:rPr>
        <w:t xml:space="preserve"> / “</w:t>
      </w:r>
      <w:r w:rsidR="00946D6E" w:rsidRPr="00946D6E">
        <w:rPr>
          <w:i/>
        </w:rPr>
        <w:t>Atvieglots dokumentācijas saskaņošanas process pašvaldībās. Birokrātiskā sloga mazināšana apakšuzņēmēja funkcijas izpildes gaitā</w:t>
      </w:r>
      <w:r w:rsidR="00946D6E">
        <w:rPr>
          <w:i/>
        </w:rPr>
        <w:t>.”</w:t>
      </w:r>
    </w:p>
    <w:p w14:paraId="1CEAFCEE" w14:textId="785617C3" w:rsidR="00076134" w:rsidRDefault="000B3C82" w:rsidP="002824E6">
      <w:pPr>
        <w:pStyle w:val="Heading1"/>
        <w:numPr>
          <w:ilvl w:val="0"/>
          <w:numId w:val="32"/>
        </w:numPr>
      </w:pPr>
      <w:bookmarkStart w:id="27" w:name="_Toc19603258"/>
      <w:bookmarkStart w:id="28" w:name="_Toc20744788"/>
      <w:r>
        <w:t>S</w:t>
      </w:r>
      <w:r w:rsidR="00076134">
        <w:t>ecinājumi un rekomendācijas</w:t>
      </w:r>
      <w:bookmarkEnd w:id="27"/>
      <w:bookmarkEnd w:id="28"/>
    </w:p>
    <w:p w14:paraId="11B7D6A3" w14:textId="720264D7" w:rsidR="005F43E6" w:rsidRDefault="00827023" w:rsidP="00EC25AE">
      <w:pPr>
        <w:spacing w:line="360" w:lineRule="auto"/>
      </w:pPr>
      <w:r>
        <w:t xml:space="preserve">Pirmie </w:t>
      </w:r>
      <w:r w:rsidRPr="00265DBD">
        <w:t xml:space="preserve">Latvijas </w:t>
      </w:r>
      <w:r w:rsidR="00BF0DC4">
        <w:t>b</w:t>
      </w:r>
      <w:r w:rsidRPr="00265DBD">
        <w:t xml:space="preserve">ūvniecības nozares kvalitātes </w:t>
      </w:r>
      <w:r>
        <w:t>mērījuma rezultāti</w:t>
      </w:r>
      <w:r w:rsidRPr="00265DBD">
        <w:t>, veicot būvniecības procesā iesaistīto procesa dalībnieku aptauju</w:t>
      </w:r>
      <w:r>
        <w:t xml:space="preserve">, ir </w:t>
      </w:r>
      <w:r w:rsidR="002E3E1A">
        <w:t>labi</w:t>
      </w:r>
      <w:r>
        <w:t xml:space="preserve">. </w:t>
      </w:r>
      <w:r w:rsidR="00D353B1">
        <w:t xml:space="preserve">Mērījuma rezultāti turpmāk kalpos kā atskaites punkts Latvijas </w:t>
      </w:r>
      <w:r w:rsidR="00BF0DC4">
        <w:t>b</w:t>
      </w:r>
      <w:r w:rsidR="00D353B1">
        <w:t>ūvniecības nozares kvalitātes monitoringa</w:t>
      </w:r>
      <w:r w:rsidR="00072078">
        <w:t>m</w:t>
      </w:r>
      <w:r w:rsidR="00D353B1">
        <w:t xml:space="preserve"> </w:t>
      </w:r>
      <w:r w:rsidR="006A2905">
        <w:t>turpmākajos</w:t>
      </w:r>
      <w:r w:rsidR="00072078">
        <w:t xml:space="preserve"> gados</w:t>
      </w:r>
      <w:r w:rsidR="00D353B1">
        <w:t>.</w:t>
      </w:r>
    </w:p>
    <w:p w14:paraId="6AD21710" w14:textId="10FA583A" w:rsidR="002E3E1A" w:rsidRDefault="00827023" w:rsidP="00EC25AE">
      <w:pPr>
        <w:spacing w:line="360" w:lineRule="auto"/>
      </w:pPr>
      <w:r>
        <w:t>Kopējais būvniecības kvalitātes indekss ir 78%</w:t>
      </w:r>
      <w:r w:rsidR="002E3E1A">
        <w:t>, kas kopumā ir labs rādītājs, bet ir iespējas izaugsmei. Augsts rezultāts būtu 90% un vairāk.</w:t>
      </w:r>
    </w:p>
    <w:p w14:paraId="19DA89DB" w14:textId="04D141B3" w:rsidR="00CF106E" w:rsidRDefault="00827023" w:rsidP="00EC25AE">
      <w:pPr>
        <w:spacing w:line="360" w:lineRule="auto"/>
      </w:pPr>
      <w:r>
        <w:t>Vērtējot pa apakšprocesiem, visaugstāk novērtēts posms Būvdarbi (82%), nākamais augstāk vērtētais posms ir Priekšdarbi (79%), kam seko posm</w:t>
      </w:r>
      <w:r w:rsidR="008E287F">
        <w:t>i</w:t>
      </w:r>
      <w:r>
        <w:t xml:space="preserve"> Uzraudzība (76%) un Projektēšana (75%). </w:t>
      </w:r>
    </w:p>
    <w:p w14:paraId="2766F4F5" w14:textId="11D5C3B1" w:rsidR="00827023" w:rsidRDefault="000E31C3" w:rsidP="00EC25AE">
      <w:pPr>
        <w:spacing w:line="360" w:lineRule="auto"/>
      </w:pPr>
      <w:r>
        <w:t xml:space="preserve">Jāņem vērā, ka būvniecības pakalpojuma saņēmēju vērtējumi atšķiras no būvniecības pakalpojumu sniedzēju pašvērtējuma. </w:t>
      </w:r>
      <w:r w:rsidR="000947E3">
        <w:t>P</w:t>
      </w:r>
      <w:r>
        <w:t xml:space="preserve">osmā Būvdarbi </w:t>
      </w:r>
      <w:r w:rsidR="006F1CBC">
        <w:t>pakalpojumu saņēmēju vērtējumi ir augstāki nekā pakalpojumu sniedzēju pašvērtējums</w:t>
      </w:r>
      <w:r w:rsidR="00980DFA">
        <w:t xml:space="preserve"> (izņemot </w:t>
      </w:r>
      <w:r w:rsidR="00075D0E">
        <w:t>pakalpojumu grup</w:t>
      </w:r>
      <w:r w:rsidR="00980DFA">
        <w:t>a</w:t>
      </w:r>
      <w:r w:rsidR="00075D0E">
        <w:t>s Inženierbūvju būvdarbu projektu vadība, Apkure, ventilācija, klimata kontrole un Būvmateriāli, būvizstrādājumi</w:t>
      </w:r>
      <w:r w:rsidR="00980DFA">
        <w:t>)</w:t>
      </w:r>
      <w:r w:rsidR="00075D0E">
        <w:t xml:space="preserve">. </w:t>
      </w:r>
      <w:r w:rsidR="00980DFA">
        <w:t>P</w:t>
      </w:r>
      <w:r w:rsidR="009873E6">
        <w:t xml:space="preserve">ārējos posmos </w:t>
      </w:r>
      <w:r w:rsidR="00980DFA">
        <w:t xml:space="preserve">(Priekšdarbi, Projektēšana un Uzraudzība) </w:t>
      </w:r>
      <w:r w:rsidR="009873E6">
        <w:t>būvniecības pakalpojumu sniedzēju pašvērtējums ir augstāks nekā pakalpojumu saņēmēju vērtējums</w:t>
      </w:r>
      <w:r w:rsidR="00980DFA">
        <w:t xml:space="preserve"> (</w:t>
      </w:r>
      <w:r w:rsidR="00B85EEC">
        <w:t xml:space="preserve">izņemot tādas pakalpojumu grupas kā Elektrotīkli, vājstrāvu tīkli un Būvprojekta ekspertīze Projektēšanas posmā un </w:t>
      </w:r>
      <w:r w:rsidR="0045655C">
        <w:t>Būvvalde Uzraudzības posmā</w:t>
      </w:r>
      <w:r w:rsidR="00980DFA">
        <w:t>)</w:t>
      </w:r>
      <w:r w:rsidR="009873E6">
        <w:t xml:space="preserve">. </w:t>
      </w:r>
    </w:p>
    <w:p w14:paraId="78D0CD96" w14:textId="6FDFB146" w:rsidR="00F57515" w:rsidRDefault="002C3169" w:rsidP="00EC25AE">
      <w:pPr>
        <w:spacing w:line="360" w:lineRule="auto"/>
      </w:pPr>
      <w:r>
        <w:t>Būvniecības kvalitātes pamatrādītāju kopējais vērtējums ir līdzīgi augsts (7.8 punkti no 10). Nedaudz augstāk novērtēti tādi kvalitātes rādītāji kā Kompetence (8.1 punkt</w:t>
      </w:r>
      <w:r w:rsidR="00B40346">
        <w:t>s</w:t>
      </w:r>
      <w:r>
        <w:t xml:space="preserve">) un Sadarbība (8.2 punkti). </w:t>
      </w:r>
    </w:p>
    <w:p w14:paraId="6AAAEEA1" w14:textId="07DB080F" w:rsidR="0045655C" w:rsidRDefault="002C3169" w:rsidP="00EC25AE">
      <w:pPr>
        <w:spacing w:line="360" w:lineRule="auto"/>
      </w:pPr>
      <w:r>
        <w:lastRenderedPageBreak/>
        <w:t xml:space="preserve">Taču kvalitātes </w:t>
      </w:r>
      <w:r w:rsidR="00041249">
        <w:t>rādītāji</w:t>
      </w:r>
      <w:r>
        <w:t xml:space="preserve"> </w:t>
      </w:r>
      <w:r w:rsidR="00041249">
        <w:t>dažādās</w:t>
      </w:r>
      <w:r>
        <w:t xml:space="preserve"> pakalpojumu grup</w:t>
      </w:r>
      <w:r w:rsidR="00041249">
        <w:t>ā</w:t>
      </w:r>
      <w:r>
        <w:t>s ir atšķirīg</w:t>
      </w:r>
      <w:r w:rsidR="00041249">
        <w:t>i</w:t>
      </w:r>
      <w:r>
        <w:t>. Tieši šo kvalitātes rādītāju atšķirīgais vērtējums ļauj spriest, kurus kvalitātes aspektus kurā būvniecības posm</w:t>
      </w:r>
      <w:r w:rsidR="00041249">
        <w:t xml:space="preserve">ā un </w:t>
      </w:r>
      <w:r>
        <w:t>pakalpojumu grupā nepieciešams uzlabot.</w:t>
      </w:r>
    </w:p>
    <w:p w14:paraId="78469EB4" w14:textId="4E8E50FC" w:rsidR="00DE67F4" w:rsidRDefault="00041249" w:rsidP="00EC25AE">
      <w:pPr>
        <w:spacing w:line="360" w:lineRule="auto"/>
      </w:pPr>
      <w:r>
        <w:t xml:space="preserve">Posmā Priekšdarbi vissvarīgāk ir uzlabot spēju plānot un ievērot termiņus būvniecības ierosinātājiem un būvobjekta priekšizpēte (ēka) veicējiem. </w:t>
      </w:r>
    </w:p>
    <w:p w14:paraId="44C5A837" w14:textId="4695A2B6" w:rsidR="00041249" w:rsidRDefault="0010202D" w:rsidP="00EC25AE">
      <w:pPr>
        <w:spacing w:line="360" w:lineRule="auto"/>
      </w:pPr>
      <w:r>
        <w:t>P</w:t>
      </w:r>
      <w:r w:rsidR="00041249">
        <w:t xml:space="preserve">osmā Projektēšana vairākās pakalpojumu grupās </w:t>
      </w:r>
      <w:r>
        <w:t>zemāks vērtējums arī tika dots spējai plānot un ievērot termiņus. Īpaši tas būtu jāņem vērā šādās pakalpojumu grupās: Būvprojekta vadība; Būves arhitektūra; Būvkonstrukcijas; Inženierbūves (ielas, ceļi, tilti), kā arī Apkure, ventilācijas, klimata kontrole. Būvprojekta vadībai vēl nepieciešams stiprināt komandas kapacitāti un uzlabot c</w:t>
      </w:r>
      <w:r w:rsidRPr="0010202D">
        <w:t>enas attiecīb</w:t>
      </w:r>
      <w:r>
        <w:t>u</w:t>
      </w:r>
      <w:r w:rsidRPr="0010202D">
        <w:t xml:space="preserve"> pret saņemtā pakalpojuma kvalitāti</w:t>
      </w:r>
      <w:r>
        <w:t>. Kvalitātes rādītājs C</w:t>
      </w:r>
      <w:r w:rsidRPr="0010202D">
        <w:t>enas attiecīb</w:t>
      </w:r>
      <w:r>
        <w:t>a</w:t>
      </w:r>
      <w:r w:rsidRPr="0010202D">
        <w:t xml:space="preserve"> pret saņemtā pakalpojuma kvalitāti</w:t>
      </w:r>
      <w:r>
        <w:t xml:space="preserve"> Projektēšanas posmā salīdzinoši zemāk tika novērtēts arī tādās pakalpojumu grupās kā </w:t>
      </w:r>
      <w:r w:rsidR="004F71FE">
        <w:t xml:space="preserve">Būvprojekta ekspertīze; </w:t>
      </w:r>
      <w:r w:rsidR="005E1D7F">
        <w:t>Būves arhitektūra</w:t>
      </w:r>
      <w:r w:rsidR="004F71FE">
        <w:t xml:space="preserve">; </w:t>
      </w:r>
      <w:r>
        <w:t>Ūdensapgāde un kanalizācija</w:t>
      </w:r>
      <w:r w:rsidR="004F71FE">
        <w:t>. Savukārt pakalpojumu grupā Apkure, ventilācijas, klimata kontrole</w:t>
      </w:r>
      <w:r>
        <w:t xml:space="preserve"> </w:t>
      </w:r>
      <w:r w:rsidR="004F71FE">
        <w:t>var uzlabot komandas kapacitāti un elastību</w:t>
      </w:r>
      <w:r w:rsidR="007521B6">
        <w:t>.</w:t>
      </w:r>
      <w:r w:rsidR="004F71FE">
        <w:t xml:space="preserve"> </w:t>
      </w:r>
    </w:p>
    <w:p w14:paraId="46F871E3" w14:textId="5C33BBE5" w:rsidR="002C3169" w:rsidRDefault="00201DFB" w:rsidP="00EC25AE">
      <w:pPr>
        <w:spacing w:line="360" w:lineRule="auto"/>
      </w:pPr>
      <w:r>
        <w:t>Posms Būvdarbi ir salīdzinoši augstāk novērtētais posms, kurā lielāk</w:t>
      </w:r>
      <w:r w:rsidR="00106D15">
        <w:t>ā</w:t>
      </w:r>
      <w:r>
        <w:t xml:space="preserve"> daļa pakalpojumu grupas </w:t>
      </w:r>
      <w:r w:rsidR="00106D15">
        <w:t>novērtētas</w:t>
      </w:r>
      <w:r>
        <w:t xml:space="preserve"> </w:t>
      </w:r>
      <w:r w:rsidR="00106D15">
        <w:t>ar</w:t>
      </w:r>
      <w:r w:rsidR="00D15D1B">
        <w:t xml:space="preserve"> 7</w:t>
      </w:r>
      <w:r w:rsidR="00106D15">
        <w:t xml:space="preserve"> un vairāk</w:t>
      </w:r>
      <w:r w:rsidR="00D15D1B">
        <w:t xml:space="preserve"> punktiem</w:t>
      </w:r>
      <w:r>
        <w:t xml:space="preserve"> no 10 iespējamajiem. </w:t>
      </w:r>
      <w:r w:rsidR="00106D15">
        <w:t>Zem 7 punktiem un līdz ar to iespējas uzlabot ir I</w:t>
      </w:r>
      <w:r w:rsidR="00106D15" w:rsidRPr="00106D15">
        <w:t>nženierbūvju būvdarbu projektu vadīb</w:t>
      </w:r>
      <w:r w:rsidR="000030DD">
        <w:t>as</w:t>
      </w:r>
      <w:r w:rsidR="00106D15" w:rsidRPr="00106D15">
        <w:t xml:space="preserve"> (ģenerāluzņēmējs)</w:t>
      </w:r>
      <w:r w:rsidR="00106D15">
        <w:t xml:space="preserve"> </w:t>
      </w:r>
      <w:r w:rsidR="00106D15" w:rsidRPr="00106D15">
        <w:t>pievienot</w:t>
      </w:r>
      <w:r w:rsidR="000030DD">
        <w:t>o</w:t>
      </w:r>
      <w:r w:rsidR="00106D15" w:rsidRPr="00106D15">
        <w:t xml:space="preserve"> vērtīb</w:t>
      </w:r>
      <w:r w:rsidR="000030DD">
        <w:t>u</w:t>
      </w:r>
      <w:r w:rsidR="00106D15" w:rsidRPr="00106D15">
        <w:t xml:space="preserve"> ekspluatācijas plānošanā</w:t>
      </w:r>
      <w:r w:rsidR="00106D15">
        <w:t xml:space="preserve"> un </w:t>
      </w:r>
      <w:r w:rsidR="00106D15" w:rsidRPr="00106D15">
        <w:t>spēj</w:t>
      </w:r>
      <w:r w:rsidR="000030DD">
        <w:t>u</w:t>
      </w:r>
      <w:r w:rsidR="00106D15" w:rsidRPr="00106D15">
        <w:t xml:space="preserve"> iekļauties budžetā</w:t>
      </w:r>
      <w:r w:rsidR="00421D90">
        <w:t>, kā arī pakalpojuma B</w:t>
      </w:r>
      <w:r w:rsidR="00421D90" w:rsidRPr="00421D90">
        <w:t>ūvmateriāli, risinājumi, būvizstrādājumi (</w:t>
      </w:r>
      <w:r w:rsidR="00421D90">
        <w:t>t.sk.</w:t>
      </w:r>
      <w:r w:rsidR="00421D90" w:rsidRPr="00421D90">
        <w:t xml:space="preserve"> </w:t>
      </w:r>
      <w:r w:rsidR="00421D90">
        <w:t>t</w:t>
      </w:r>
      <w:r w:rsidR="00421D90" w:rsidRPr="00421D90">
        <w:t>ehnoloģijas (saldētavas, ledus sistēmas))</w:t>
      </w:r>
      <w:r w:rsidR="00421D90">
        <w:t xml:space="preserve"> piedāvātās garantijas.</w:t>
      </w:r>
      <w:r w:rsidR="008F56F0">
        <w:t xml:space="preserve"> Savukārt pakalpojumu grupa Apkure, ventilācija, klimata kontrole, salīdzinot ar citām </w:t>
      </w:r>
      <w:r w:rsidR="003B7527">
        <w:t xml:space="preserve">būvdarbu </w:t>
      </w:r>
      <w:r w:rsidR="008F56F0">
        <w:t>posma pakalpojumu grupām</w:t>
      </w:r>
      <w:r w:rsidR="003B7527">
        <w:t>,</w:t>
      </w:r>
      <w:r w:rsidR="008F56F0">
        <w:t xml:space="preserve"> ir </w:t>
      </w:r>
      <w:r w:rsidR="003B7527">
        <w:t>biežāk novērtēt</w:t>
      </w:r>
      <w:r w:rsidR="00EE29BA">
        <w:t>a</w:t>
      </w:r>
      <w:r w:rsidR="003B7527">
        <w:t xml:space="preserve"> ar</w:t>
      </w:r>
      <w:r w:rsidR="008F56F0">
        <w:t xml:space="preserve"> 7, nevis 8 </w:t>
      </w:r>
      <w:r w:rsidR="003B7527">
        <w:t>vai</w:t>
      </w:r>
      <w:r w:rsidR="008F56F0">
        <w:t xml:space="preserve"> vairāk punkt</w:t>
      </w:r>
      <w:r w:rsidR="003B7527">
        <w:t>iem</w:t>
      </w:r>
      <w:r w:rsidR="008F56F0">
        <w:t>.</w:t>
      </w:r>
      <w:r w:rsidR="003B7527">
        <w:t xml:space="preserve"> Tāpēc var apsvērt šīs pakalpojuma grupas kvalitātes celšanu kopumā.</w:t>
      </w:r>
      <w:r w:rsidR="008F56F0">
        <w:t xml:space="preserve"> </w:t>
      </w:r>
    </w:p>
    <w:p w14:paraId="581050D8" w14:textId="0BC06642" w:rsidR="003B7527" w:rsidRDefault="003B7527" w:rsidP="00EC25AE">
      <w:pPr>
        <w:spacing w:line="360" w:lineRule="auto"/>
      </w:pPr>
      <w:r>
        <w:t>Posm</w:t>
      </w:r>
      <w:r w:rsidR="00F57515">
        <w:t>ā</w:t>
      </w:r>
      <w:r>
        <w:t xml:space="preserve"> Uzraudzība </w:t>
      </w:r>
      <w:r w:rsidR="000F6B6C">
        <w:t xml:space="preserve">nepieciešams uzlabot </w:t>
      </w:r>
      <w:r w:rsidR="000164EC">
        <w:t>Autoruzraudzības pakalpojuma sniedzēja reaģēšanas laiku, izpratni par galaproduktu, kā arī spēju ievērot termiņus. BVKB nepieciešams uzlabot konsultāciju sniegšanu. Lai uzlabotu Būvvaldes pienākumu izpildi, nepieciešams risināt inspektoru trūkumu un darbinieku rotācijas jautājumu, kas tika minēts kā viens no būtiskākajiem iemesliem zemajam Būvvalžu pašvērtējumam (pakalpojuma saņēmēji Būvvaldes novērtēja ar 7.8 punktiem,</w:t>
      </w:r>
      <w:r w:rsidR="00674B00">
        <w:t xml:space="preserve"> pašu</w:t>
      </w:r>
      <w:r w:rsidR="000164EC">
        <w:t xml:space="preserve"> pakalpojuma sniedzēju pašvērtējums bija zemākais no visiem vērtējumiem 4.9 punkti). </w:t>
      </w:r>
    </w:p>
    <w:p w14:paraId="3FB5C777" w14:textId="2C4642E0" w:rsidR="000164EC" w:rsidRDefault="00712D9A" w:rsidP="00EC25AE">
      <w:pPr>
        <w:spacing w:line="360" w:lineRule="auto"/>
      </w:pPr>
      <w:r>
        <w:t xml:space="preserve">Darbinieku trūkums ir neatrisināta </w:t>
      </w:r>
      <w:r w:rsidR="00EE29BA">
        <w:t>b</w:t>
      </w:r>
      <w:r>
        <w:t xml:space="preserve">ūvniecības nozares problēma ne tikai Uzraudzības posma pakalpojumu grupā Būvvaldes. Tas ir viens no komentāros biežāk minētajiem </w:t>
      </w:r>
      <w:r w:rsidR="00BC2BAF">
        <w:t>b</w:t>
      </w:r>
      <w:r>
        <w:t>ūvniecības kvalitāti ietekmējošiem faktoriem nozarē kopumā, kas ietekmē plānošan</w:t>
      </w:r>
      <w:r w:rsidR="00BC2BAF">
        <w:t>u</w:t>
      </w:r>
      <w:r>
        <w:t xml:space="preserve"> un termiņu ievērošan</w:t>
      </w:r>
      <w:r w:rsidR="00BC2BAF">
        <w:t>u</w:t>
      </w:r>
      <w:r w:rsidR="007411A9">
        <w:t xml:space="preserve">. </w:t>
      </w:r>
      <w:r w:rsidR="00BC2BAF">
        <w:t xml:space="preserve">Kā galveno risinājumu darbinieku piesaistei uzņēmumi saskata atvieglojumus ārvalstu </w:t>
      </w:r>
      <w:r w:rsidR="00BC2BAF">
        <w:lastRenderedPageBreak/>
        <w:t xml:space="preserve">darbaspēka piesaistei vai atvieglojumus darbaspēka nodokļiem, lai varētu celt nozarē strādājošo darba algu. </w:t>
      </w:r>
    </w:p>
    <w:p w14:paraId="228DBD37" w14:textId="03FFAA1E" w:rsidR="00E155FB" w:rsidRDefault="00E155FB" w:rsidP="00EC25AE">
      <w:pPr>
        <w:spacing w:line="360" w:lineRule="auto"/>
      </w:pPr>
      <w:r>
        <w:t>Jāņem vērā, ka termiņu uzlabošana ir jārisina kontekstā ar kvalitātes rādītāju noturēšanu un saglabāšanu augstā līmenī, lai termiņu ievērošanas dēļ neciestu kvalitāte.</w:t>
      </w:r>
    </w:p>
    <w:p w14:paraId="022E0490" w14:textId="45832918" w:rsidR="00E155FB" w:rsidRDefault="005A688B" w:rsidP="00EC25AE">
      <w:pPr>
        <w:spacing w:line="360" w:lineRule="auto"/>
      </w:pPr>
      <w:r>
        <w:t xml:space="preserve">Būvniecības nozares pārstāvji atzīst, ka nozares kvalitātes mērījums ir vērtīgs un nepieciešams nozares attīstībai. </w:t>
      </w:r>
      <w:r w:rsidR="00B15356">
        <w:t xml:space="preserve">Turpmāk </w:t>
      </w:r>
      <w:r>
        <w:t>rekomendējam palielināt aptaujāto būvniecības procesos iesaistīto uzņēmumu un organizāciju izlasi</w:t>
      </w:r>
      <w:r w:rsidR="00B15356">
        <w:t>, jo anketas detalizācijas pakāpe un izstrādā aprēķina metodika prasa lielāku izlasi, lai izslēgtu risku par indeks</w:t>
      </w:r>
      <w:r w:rsidR="00EE29BA">
        <w:t>a</w:t>
      </w:r>
      <w:r w:rsidR="00B15356">
        <w:t xml:space="preserve"> rādītāja svārstībām mazo bāžu efekta dēļ. </w:t>
      </w:r>
      <w:r w:rsidR="00980DFA">
        <w:t>Uz indeksa rādītāju svārstību risku norāda arī ļoti atšķirīgie novērtējumi</w:t>
      </w:r>
      <w:r w:rsidR="00EE29BA">
        <w:t>, p</w:t>
      </w:r>
      <w:r w:rsidR="00980DFA">
        <w:t>roti, lielākajā daļā pakalpojumu grupu kvalitātes vērtējumi ir robežās no 1 līdz 10</w:t>
      </w:r>
      <w:r w:rsidR="00F626FC">
        <w:t xml:space="preserve"> – ļoti pretēji vienas konkrētas pakalpojumu grupas ietvaros, nevis homogēni</w:t>
      </w:r>
      <w:r w:rsidR="00980DFA">
        <w:t xml:space="preserve">. </w:t>
      </w:r>
      <w:r>
        <w:t>Ieteicamais izlases apjoms būtu 1000 uzņēmumu un organizāciju aptauja</w:t>
      </w:r>
      <w:r w:rsidR="00345A2B">
        <w:t xml:space="preserve">, bet minimālais 600 uzņēmumu un organizāciju aptauja. Izlases palielināšana </w:t>
      </w:r>
      <w:r w:rsidR="00B15356">
        <w:t xml:space="preserve">līdz 600 izslēgtu mazo bāžu efektu uz kopējo vērtējumu. Savukārt izlases palielināšana līdz 1000 </w:t>
      </w:r>
      <w:r w:rsidR="00345A2B">
        <w:t>ļautu veikt detalizētākus vērtējumus, tai skaitā sniegtu iespējas izvērtēt rezultātus dažād</w:t>
      </w:r>
      <w:r w:rsidR="00EE29BA">
        <w:t>ā</w:t>
      </w:r>
      <w:r w:rsidR="00345A2B">
        <w:t>s mērķa grupās, piemēram, pa reģioniem</w:t>
      </w:r>
      <w:r w:rsidR="004476BF">
        <w:t xml:space="preserve"> vai nozarēm</w:t>
      </w:r>
      <w:r w:rsidR="00345A2B">
        <w:t>.</w:t>
      </w:r>
    </w:p>
    <w:sectPr w:rsidR="00E155FB" w:rsidSect="00371B32">
      <w:footerReference w:type="default" r:id="rId24"/>
      <w:headerReference w:type="first" r:id="rId25"/>
      <w:footerReference w:type="first" r:id="rId26"/>
      <w:pgSz w:w="11907" w:h="16839" w:code="9"/>
      <w:pgMar w:top="2268" w:right="1304" w:bottom="1474" w:left="1247" w:header="426" w:footer="624"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31CA45" w14:textId="77777777" w:rsidR="001C5203" w:rsidRDefault="001C5203" w:rsidP="00520583">
      <w:r>
        <w:separator/>
      </w:r>
    </w:p>
  </w:endnote>
  <w:endnote w:type="continuationSeparator" w:id="0">
    <w:p w14:paraId="56E71517" w14:textId="77777777" w:rsidR="001C5203" w:rsidRDefault="001C5203" w:rsidP="005205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240996"/>
      <w:docPartObj>
        <w:docPartGallery w:val="Page Numbers (Bottom of Page)"/>
        <w:docPartUnique/>
      </w:docPartObj>
    </w:sdtPr>
    <w:sdtEndPr>
      <w:rPr>
        <w:noProof/>
        <w:color w:val="717171" w:themeColor="text1"/>
        <w:sz w:val="20"/>
      </w:rPr>
    </w:sdtEndPr>
    <w:sdtContent>
      <w:p w14:paraId="26716D4F" w14:textId="03A44F9A" w:rsidR="001C5203" w:rsidRPr="001078A7" w:rsidRDefault="001C5203" w:rsidP="00520583">
        <w:pPr>
          <w:pStyle w:val="Footer"/>
          <w:jc w:val="center"/>
          <w:rPr>
            <w:color w:val="717171" w:themeColor="text1"/>
            <w:sz w:val="20"/>
          </w:rPr>
        </w:pPr>
        <w:r w:rsidRPr="001078A7">
          <w:rPr>
            <w:color w:val="717171" w:themeColor="text1"/>
            <w:sz w:val="20"/>
          </w:rPr>
          <w:fldChar w:fldCharType="begin"/>
        </w:r>
        <w:r w:rsidRPr="001078A7">
          <w:rPr>
            <w:color w:val="717171" w:themeColor="text1"/>
            <w:sz w:val="20"/>
          </w:rPr>
          <w:instrText xml:space="preserve"> PAGE  \* Arabic  \* MERGEFORMAT </w:instrText>
        </w:r>
        <w:r w:rsidRPr="001078A7">
          <w:rPr>
            <w:color w:val="717171" w:themeColor="text1"/>
            <w:sz w:val="20"/>
          </w:rPr>
          <w:fldChar w:fldCharType="separate"/>
        </w:r>
        <w:r w:rsidRPr="001078A7">
          <w:rPr>
            <w:noProof/>
            <w:color w:val="717171" w:themeColor="text1"/>
            <w:sz w:val="20"/>
          </w:rPr>
          <w:t>2</w:t>
        </w:r>
        <w:r w:rsidRPr="001078A7">
          <w:rPr>
            <w:color w:val="717171" w:themeColor="text1"/>
            <w:sz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9B8BE" w14:textId="1D20FE37" w:rsidR="001C5203" w:rsidRPr="00520583" w:rsidRDefault="001C5203" w:rsidP="00520583">
    <w:pPr>
      <w:pStyle w:val="Footer"/>
      <w:rPr>
        <w:color w:val="717171" w:themeColor="text1"/>
      </w:rPr>
    </w:pPr>
    <w:r w:rsidRPr="00520583">
      <w:rPr>
        <w:color w:val="717171" w:themeColor="text1"/>
      </w:rPr>
      <w:t>TNS Latvia SIA, Kronvalda bulvāris 3-2, Rīga, LV-1010, Reģ. Nr.</w:t>
    </w:r>
    <w:r w:rsidRPr="00520583">
      <w:rPr>
        <w:color w:val="717171" w:themeColor="text1"/>
        <w:sz w:val="16"/>
        <w:szCs w:val="16"/>
      </w:rPr>
      <w:t xml:space="preserve"> </w:t>
    </w:r>
    <w:r w:rsidRPr="00520583">
      <w:rPr>
        <w:color w:val="717171" w:themeColor="text1"/>
      </w:rPr>
      <w:t>40003162446, PVN Reģ. Nr. LV 40003162446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3C171A" w14:textId="77777777" w:rsidR="001C5203" w:rsidRDefault="001C5203" w:rsidP="00520583">
      <w:r>
        <w:separator/>
      </w:r>
    </w:p>
  </w:footnote>
  <w:footnote w:type="continuationSeparator" w:id="0">
    <w:p w14:paraId="61DE321F" w14:textId="77777777" w:rsidR="001C5203" w:rsidRDefault="001C5203" w:rsidP="005205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547"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57" w:type="dxa"/>
      </w:tblCellMar>
      <w:tblLook w:val="04A0" w:firstRow="1" w:lastRow="0" w:firstColumn="1" w:lastColumn="0" w:noHBand="0" w:noVBand="1"/>
    </w:tblPr>
    <w:tblGrid>
      <w:gridCol w:w="5181"/>
      <w:gridCol w:w="2183"/>
      <w:gridCol w:w="1765"/>
      <w:gridCol w:w="1418"/>
    </w:tblGrid>
    <w:tr w:rsidR="001C5203" w14:paraId="05F6BD7A" w14:textId="77777777" w:rsidTr="00D36025">
      <w:tc>
        <w:tcPr>
          <w:tcW w:w="5181" w:type="dxa"/>
        </w:tcPr>
        <w:p w14:paraId="05F6BD73" w14:textId="4BB74818" w:rsidR="001C5203" w:rsidRDefault="001C5203" w:rsidP="00520583">
          <w:pPr>
            <w:pStyle w:val="Header"/>
          </w:pPr>
          <w:r>
            <w:t xml:space="preserve"> </w:t>
          </w:r>
          <w:r>
            <w:rPr>
              <w:noProof/>
            </w:rPr>
            <w:drawing>
              <wp:inline distT="0" distB="0" distL="0" distR="0" wp14:anchorId="1B83FB53" wp14:editId="31BF5C31">
                <wp:extent cx="1828800" cy="4220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antar_small.jpg"/>
                        <pic:cNvPicPr/>
                      </pic:nvPicPr>
                      <pic:blipFill>
                        <a:blip r:embed="rId1"/>
                        <a:stretch>
                          <a:fillRect/>
                        </a:stretch>
                      </pic:blipFill>
                      <pic:spPr>
                        <a:xfrm>
                          <a:off x="0" y="0"/>
                          <a:ext cx="1913357" cy="441544"/>
                        </a:xfrm>
                        <a:prstGeom prst="rect">
                          <a:avLst/>
                        </a:prstGeom>
                      </pic:spPr>
                    </pic:pic>
                  </a:graphicData>
                </a:graphic>
              </wp:inline>
            </w:drawing>
          </w:r>
        </w:p>
      </w:tc>
      <w:tc>
        <w:tcPr>
          <w:tcW w:w="2183" w:type="dxa"/>
        </w:tcPr>
        <w:p w14:paraId="709F728D" w14:textId="58650402" w:rsidR="001C5203" w:rsidRPr="00520583" w:rsidRDefault="001C5203" w:rsidP="00520583">
          <w:pPr>
            <w:pStyle w:val="Header"/>
            <w:rPr>
              <w:color w:val="717171" w:themeColor="text1"/>
            </w:rPr>
          </w:pPr>
          <w:r w:rsidRPr="00520583">
            <w:rPr>
              <w:color w:val="717171" w:themeColor="text1"/>
            </w:rPr>
            <w:t xml:space="preserve">Kronvalda bulvāris 3-2 </w:t>
          </w:r>
        </w:p>
        <w:p w14:paraId="53BEB437" w14:textId="77777777" w:rsidR="001C5203" w:rsidRPr="00520583" w:rsidRDefault="001C5203" w:rsidP="00520583">
          <w:pPr>
            <w:pStyle w:val="Header"/>
            <w:rPr>
              <w:color w:val="717171" w:themeColor="text1"/>
            </w:rPr>
          </w:pPr>
          <w:r w:rsidRPr="00520583">
            <w:rPr>
              <w:color w:val="717171" w:themeColor="text1"/>
            </w:rPr>
            <w:t>Rīga, LV-1010</w:t>
          </w:r>
        </w:p>
        <w:p w14:paraId="05F6BD75" w14:textId="56147C58" w:rsidR="001C5203" w:rsidRPr="00520583" w:rsidRDefault="001C5203" w:rsidP="00520583">
          <w:pPr>
            <w:pStyle w:val="Header"/>
            <w:rPr>
              <w:color w:val="717171" w:themeColor="text1"/>
            </w:rPr>
          </w:pPr>
          <w:r w:rsidRPr="00520583">
            <w:rPr>
              <w:color w:val="717171" w:themeColor="text1"/>
            </w:rPr>
            <w:t xml:space="preserve">Latvija </w:t>
          </w:r>
        </w:p>
      </w:tc>
      <w:tc>
        <w:tcPr>
          <w:tcW w:w="1765" w:type="dxa"/>
        </w:tcPr>
        <w:p w14:paraId="05F6BD76" w14:textId="6410C716" w:rsidR="001C5203" w:rsidRPr="00520583" w:rsidRDefault="001C5203" w:rsidP="00520583">
          <w:pPr>
            <w:pStyle w:val="Header"/>
            <w:rPr>
              <w:color w:val="717171" w:themeColor="text1"/>
            </w:rPr>
          </w:pPr>
          <w:r w:rsidRPr="00520583">
            <w:rPr>
              <w:color w:val="717171" w:themeColor="text1"/>
            </w:rPr>
            <w:t>T +371 67 09 63 00</w:t>
          </w:r>
        </w:p>
        <w:p w14:paraId="4B1C41E7" w14:textId="5DB0CBF4" w:rsidR="001C5203" w:rsidRPr="00520583" w:rsidRDefault="001C5203" w:rsidP="00520583">
          <w:pPr>
            <w:pStyle w:val="Header"/>
            <w:rPr>
              <w:color w:val="717171" w:themeColor="text1"/>
            </w:rPr>
          </w:pPr>
          <w:r w:rsidRPr="00520583">
            <w:rPr>
              <w:color w:val="717171" w:themeColor="text1"/>
            </w:rPr>
            <w:t>E tns@tns.lv</w:t>
          </w:r>
        </w:p>
        <w:p w14:paraId="05F6BD77" w14:textId="3272BF4E" w:rsidR="001C5203" w:rsidRPr="00520583" w:rsidRDefault="001C5203" w:rsidP="00520583">
          <w:pPr>
            <w:pStyle w:val="Header"/>
            <w:rPr>
              <w:color w:val="717171" w:themeColor="text1"/>
            </w:rPr>
          </w:pPr>
          <w:r w:rsidRPr="00520583">
            <w:rPr>
              <w:color w:val="717171" w:themeColor="text1"/>
            </w:rPr>
            <w:t>W www.kantar.lv</w:t>
          </w:r>
        </w:p>
      </w:tc>
      <w:tc>
        <w:tcPr>
          <w:tcW w:w="1418" w:type="dxa"/>
        </w:tcPr>
        <w:p w14:paraId="05F6BD79" w14:textId="0B829515" w:rsidR="001C5203" w:rsidRPr="00866FF5" w:rsidRDefault="001C5203" w:rsidP="00520583">
          <w:pPr>
            <w:pStyle w:val="Header"/>
          </w:pPr>
        </w:p>
      </w:tc>
    </w:tr>
  </w:tbl>
  <w:p w14:paraId="05F6BD7B" w14:textId="458ECA82" w:rsidR="001C5203" w:rsidRDefault="001C5203" w:rsidP="00520583">
    <w:pPr>
      <w:pStyle w:val="Header"/>
    </w:pPr>
    <w:r w:rsidRPr="00761DEE">
      <w:rPr>
        <w:noProof/>
        <w:lang w:eastAsia="lv-LV"/>
      </w:rPr>
      <mc:AlternateContent>
        <mc:Choice Requires="wps">
          <w:drawing>
            <wp:anchor distT="0" distB="0" distL="114300" distR="114300" simplePos="0" relativeHeight="251663360" behindDoc="0" locked="1" layoutInCell="1" allowOverlap="1" wp14:anchorId="05F6BD83" wp14:editId="05F6BD84">
              <wp:simplePos x="0" y="0"/>
              <wp:positionH relativeFrom="page">
                <wp:posOffset>0</wp:posOffset>
              </wp:positionH>
              <wp:positionV relativeFrom="page">
                <wp:posOffset>3564255</wp:posOffset>
              </wp:positionV>
              <wp:extent cx="180000" cy="0"/>
              <wp:effectExtent l="0" t="0" r="10795" b="19050"/>
              <wp:wrapNone/>
              <wp:docPr id="9" name="Straight Connector 8"/>
              <wp:cNvGraphicFramePr/>
              <a:graphic xmlns:a="http://schemas.openxmlformats.org/drawingml/2006/main">
                <a:graphicData uri="http://schemas.microsoft.com/office/word/2010/wordprocessingShape">
                  <wps:wsp>
                    <wps:cNvCnPr/>
                    <wps:spPr>
                      <a:xfrm>
                        <a:off x="0" y="0"/>
                        <a:ext cx="180000" cy="0"/>
                      </a:xfrm>
                      <a:prstGeom prst="line">
                        <a:avLst/>
                      </a:prstGeom>
                      <a:ln w="19050">
                        <a:gradFill>
                          <a:gsLst>
                            <a:gs pos="0">
                              <a:srgbClr val="F2DA64"/>
                            </a:gs>
                            <a:gs pos="18000">
                              <a:srgbClr val="A27700"/>
                            </a:gs>
                            <a:gs pos="71000">
                              <a:srgbClr val="D7B446"/>
                            </a:gs>
                            <a:gs pos="51000">
                              <a:srgbClr val="F2DA64"/>
                            </a:gs>
                            <a:gs pos="100000">
                              <a:srgbClr val="987000"/>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41D56F6" id="Straight Connector 8" o:spid="_x0000_s1026" style="position:absolute;z-index:25166336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280.65pt" to="14.15pt,28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" strokeweight="1.5pt">
              <v:stroke joinstyle="miter"/>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25219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1023B0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EC462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FEA6D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F66E5C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ADC29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ECEE4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CD2C94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368A8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ACA76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ED6A9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293386D"/>
    <w:multiLevelType w:val="hybridMultilevel"/>
    <w:tmpl w:val="E00E25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1B7C12B2"/>
    <w:multiLevelType w:val="hybridMultilevel"/>
    <w:tmpl w:val="C694CEC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1D021347"/>
    <w:multiLevelType w:val="hybridMultilevel"/>
    <w:tmpl w:val="7404293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5166778"/>
    <w:multiLevelType w:val="hybridMultilevel"/>
    <w:tmpl w:val="62802626"/>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263B533E"/>
    <w:multiLevelType w:val="hybridMultilevel"/>
    <w:tmpl w:val="32BE27F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2A9E3878"/>
    <w:multiLevelType w:val="hybridMultilevel"/>
    <w:tmpl w:val="EB5EFCA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771D02"/>
    <w:multiLevelType w:val="hybridMultilevel"/>
    <w:tmpl w:val="FA6CBCA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F3C493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40C7DAE"/>
    <w:multiLevelType w:val="hybridMultilevel"/>
    <w:tmpl w:val="3F0075A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63F46B6"/>
    <w:multiLevelType w:val="hybridMultilevel"/>
    <w:tmpl w:val="0338E438"/>
    <w:lvl w:ilvl="0" w:tplc="04260001">
      <w:start w:val="1"/>
      <w:numFmt w:val="bullet"/>
      <w:lvlText w:val=""/>
      <w:lvlJc w:val="left"/>
      <w:pPr>
        <w:ind w:left="780" w:hanging="360"/>
      </w:pPr>
      <w:rPr>
        <w:rFonts w:ascii="Symbol" w:hAnsi="Symbol" w:hint="default"/>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21" w15:restartNumberingAfterBreak="0">
    <w:nsid w:val="372A00FD"/>
    <w:multiLevelType w:val="hybridMultilevel"/>
    <w:tmpl w:val="0F6016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4A5AAE"/>
    <w:multiLevelType w:val="hybridMultilevel"/>
    <w:tmpl w:val="3926C6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876216E"/>
    <w:multiLevelType w:val="multilevel"/>
    <w:tmpl w:val="42948306"/>
    <w:lvl w:ilvl="0">
      <w:start w:val="3"/>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03542FF"/>
    <w:multiLevelType w:val="multilevel"/>
    <w:tmpl w:val="0426001F"/>
    <w:lvl w:ilvl="0">
      <w:start w:val="1"/>
      <w:numFmt w:val="decimal"/>
      <w:lvlText w:val="%1."/>
      <w:lvlJc w:val="left"/>
      <w:pPr>
        <w:ind w:left="21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539D7A67"/>
    <w:multiLevelType w:val="hybridMultilevel"/>
    <w:tmpl w:val="2B2A4608"/>
    <w:lvl w:ilvl="0" w:tplc="0426000F">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595601CD"/>
    <w:multiLevelType w:val="hybridMultilevel"/>
    <w:tmpl w:val="6D8C0D94"/>
    <w:lvl w:ilvl="0" w:tplc="04260001">
      <w:start w:val="1"/>
      <w:numFmt w:val="bullet"/>
      <w:lvlText w:val=""/>
      <w:lvlJc w:val="left"/>
      <w:pPr>
        <w:ind w:left="3600" w:hanging="360"/>
      </w:pPr>
      <w:rPr>
        <w:rFonts w:ascii="Symbol" w:hAnsi="Symbol" w:hint="default"/>
      </w:rPr>
    </w:lvl>
    <w:lvl w:ilvl="1" w:tplc="04260003" w:tentative="1">
      <w:start w:val="1"/>
      <w:numFmt w:val="bullet"/>
      <w:lvlText w:val="o"/>
      <w:lvlJc w:val="left"/>
      <w:pPr>
        <w:ind w:left="4320" w:hanging="360"/>
      </w:pPr>
      <w:rPr>
        <w:rFonts w:ascii="Courier New" w:hAnsi="Courier New" w:cs="Courier New" w:hint="default"/>
      </w:rPr>
    </w:lvl>
    <w:lvl w:ilvl="2" w:tplc="04260005" w:tentative="1">
      <w:start w:val="1"/>
      <w:numFmt w:val="bullet"/>
      <w:lvlText w:val=""/>
      <w:lvlJc w:val="left"/>
      <w:pPr>
        <w:ind w:left="5040" w:hanging="360"/>
      </w:pPr>
      <w:rPr>
        <w:rFonts w:ascii="Wingdings" w:hAnsi="Wingdings" w:hint="default"/>
      </w:rPr>
    </w:lvl>
    <w:lvl w:ilvl="3" w:tplc="04260001" w:tentative="1">
      <w:start w:val="1"/>
      <w:numFmt w:val="bullet"/>
      <w:lvlText w:val=""/>
      <w:lvlJc w:val="left"/>
      <w:pPr>
        <w:ind w:left="5760" w:hanging="360"/>
      </w:pPr>
      <w:rPr>
        <w:rFonts w:ascii="Symbol" w:hAnsi="Symbol" w:hint="default"/>
      </w:rPr>
    </w:lvl>
    <w:lvl w:ilvl="4" w:tplc="04260003" w:tentative="1">
      <w:start w:val="1"/>
      <w:numFmt w:val="bullet"/>
      <w:lvlText w:val="o"/>
      <w:lvlJc w:val="left"/>
      <w:pPr>
        <w:ind w:left="6480" w:hanging="360"/>
      </w:pPr>
      <w:rPr>
        <w:rFonts w:ascii="Courier New" w:hAnsi="Courier New" w:cs="Courier New" w:hint="default"/>
      </w:rPr>
    </w:lvl>
    <w:lvl w:ilvl="5" w:tplc="04260005" w:tentative="1">
      <w:start w:val="1"/>
      <w:numFmt w:val="bullet"/>
      <w:lvlText w:val=""/>
      <w:lvlJc w:val="left"/>
      <w:pPr>
        <w:ind w:left="7200" w:hanging="360"/>
      </w:pPr>
      <w:rPr>
        <w:rFonts w:ascii="Wingdings" w:hAnsi="Wingdings" w:hint="default"/>
      </w:rPr>
    </w:lvl>
    <w:lvl w:ilvl="6" w:tplc="04260001" w:tentative="1">
      <w:start w:val="1"/>
      <w:numFmt w:val="bullet"/>
      <w:lvlText w:val=""/>
      <w:lvlJc w:val="left"/>
      <w:pPr>
        <w:ind w:left="7920" w:hanging="360"/>
      </w:pPr>
      <w:rPr>
        <w:rFonts w:ascii="Symbol" w:hAnsi="Symbol" w:hint="default"/>
      </w:rPr>
    </w:lvl>
    <w:lvl w:ilvl="7" w:tplc="04260003" w:tentative="1">
      <w:start w:val="1"/>
      <w:numFmt w:val="bullet"/>
      <w:lvlText w:val="o"/>
      <w:lvlJc w:val="left"/>
      <w:pPr>
        <w:ind w:left="8640" w:hanging="360"/>
      </w:pPr>
      <w:rPr>
        <w:rFonts w:ascii="Courier New" w:hAnsi="Courier New" w:cs="Courier New" w:hint="default"/>
      </w:rPr>
    </w:lvl>
    <w:lvl w:ilvl="8" w:tplc="04260005" w:tentative="1">
      <w:start w:val="1"/>
      <w:numFmt w:val="bullet"/>
      <w:lvlText w:val=""/>
      <w:lvlJc w:val="left"/>
      <w:pPr>
        <w:ind w:left="9360" w:hanging="360"/>
      </w:pPr>
      <w:rPr>
        <w:rFonts w:ascii="Wingdings" w:hAnsi="Wingdings" w:hint="default"/>
      </w:rPr>
    </w:lvl>
  </w:abstractNum>
  <w:abstractNum w:abstractNumId="27" w15:restartNumberingAfterBreak="0">
    <w:nsid w:val="5A716DC1"/>
    <w:multiLevelType w:val="hybridMultilevel"/>
    <w:tmpl w:val="6902E3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B0B6CBE"/>
    <w:multiLevelType w:val="multilevel"/>
    <w:tmpl w:val="0426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9" w15:restartNumberingAfterBreak="0">
    <w:nsid w:val="625C22CB"/>
    <w:multiLevelType w:val="hybridMultilevel"/>
    <w:tmpl w:val="09BCDBF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661620E3"/>
    <w:multiLevelType w:val="hybridMultilevel"/>
    <w:tmpl w:val="6D3E3F72"/>
    <w:lvl w:ilvl="0" w:tplc="7C2ABAF2">
      <w:start w:val="4"/>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6B6039C"/>
    <w:multiLevelType w:val="hybridMultilevel"/>
    <w:tmpl w:val="9EACBE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B4C707B"/>
    <w:multiLevelType w:val="hybridMultilevel"/>
    <w:tmpl w:val="BCB85EE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8"/>
  </w:num>
  <w:num w:numId="12">
    <w:abstractNumId w:val="31"/>
  </w:num>
  <w:num w:numId="13">
    <w:abstractNumId w:val="26"/>
  </w:num>
  <w:num w:numId="14">
    <w:abstractNumId w:val="16"/>
  </w:num>
  <w:num w:numId="15">
    <w:abstractNumId w:val="13"/>
  </w:num>
  <w:num w:numId="16">
    <w:abstractNumId w:val="29"/>
  </w:num>
  <w:num w:numId="17">
    <w:abstractNumId w:val="23"/>
  </w:num>
  <w:num w:numId="18">
    <w:abstractNumId w:val="19"/>
  </w:num>
  <w:num w:numId="19">
    <w:abstractNumId w:val="15"/>
  </w:num>
  <w:num w:numId="20">
    <w:abstractNumId w:val="25"/>
  </w:num>
  <w:num w:numId="21">
    <w:abstractNumId w:val="30"/>
  </w:num>
  <w:num w:numId="22">
    <w:abstractNumId w:val="10"/>
  </w:num>
  <w:num w:numId="23">
    <w:abstractNumId w:val="24"/>
  </w:num>
  <w:num w:numId="24">
    <w:abstractNumId w:val="18"/>
  </w:num>
  <w:num w:numId="25">
    <w:abstractNumId w:val="20"/>
  </w:num>
  <w:num w:numId="26">
    <w:abstractNumId w:val="22"/>
  </w:num>
  <w:num w:numId="27">
    <w:abstractNumId w:val="11"/>
  </w:num>
  <w:num w:numId="28">
    <w:abstractNumId w:val="17"/>
  </w:num>
  <w:num w:numId="29">
    <w:abstractNumId w:val="32"/>
  </w:num>
  <w:num w:numId="30">
    <w:abstractNumId w:val="21"/>
  </w:num>
  <w:num w:numId="31">
    <w:abstractNumId w:val="14"/>
  </w:num>
  <w:num w:numId="32">
    <w:abstractNumId w:val="27"/>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0F51"/>
    <w:rsid w:val="0000073E"/>
    <w:rsid w:val="00001C0D"/>
    <w:rsid w:val="00001DB6"/>
    <w:rsid w:val="000030DD"/>
    <w:rsid w:val="00003543"/>
    <w:rsid w:val="0000438E"/>
    <w:rsid w:val="00005AFD"/>
    <w:rsid w:val="000070D4"/>
    <w:rsid w:val="00007CB5"/>
    <w:rsid w:val="00010E69"/>
    <w:rsid w:val="00012C87"/>
    <w:rsid w:val="000137BD"/>
    <w:rsid w:val="00013962"/>
    <w:rsid w:val="00013D8E"/>
    <w:rsid w:val="000140FD"/>
    <w:rsid w:val="0001577A"/>
    <w:rsid w:val="00015D42"/>
    <w:rsid w:val="000164EC"/>
    <w:rsid w:val="00016611"/>
    <w:rsid w:val="000207B4"/>
    <w:rsid w:val="00021036"/>
    <w:rsid w:val="00021893"/>
    <w:rsid w:val="00021E69"/>
    <w:rsid w:val="00022324"/>
    <w:rsid w:val="00022FB5"/>
    <w:rsid w:val="00023BB6"/>
    <w:rsid w:val="00023E97"/>
    <w:rsid w:val="00024C68"/>
    <w:rsid w:val="000265B5"/>
    <w:rsid w:val="00026C4B"/>
    <w:rsid w:val="0002732D"/>
    <w:rsid w:val="00030D97"/>
    <w:rsid w:val="00030E7E"/>
    <w:rsid w:val="0003111E"/>
    <w:rsid w:val="000344D8"/>
    <w:rsid w:val="00034671"/>
    <w:rsid w:val="00034B14"/>
    <w:rsid w:val="000367ED"/>
    <w:rsid w:val="000401C2"/>
    <w:rsid w:val="00040954"/>
    <w:rsid w:val="00040D31"/>
    <w:rsid w:val="00041249"/>
    <w:rsid w:val="00042079"/>
    <w:rsid w:val="000427DF"/>
    <w:rsid w:val="00042B80"/>
    <w:rsid w:val="00043000"/>
    <w:rsid w:val="00044585"/>
    <w:rsid w:val="00044AF2"/>
    <w:rsid w:val="00044EFC"/>
    <w:rsid w:val="00044F17"/>
    <w:rsid w:val="0004598A"/>
    <w:rsid w:val="00045BEC"/>
    <w:rsid w:val="00045EDD"/>
    <w:rsid w:val="00046160"/>
    <w:rsid w:val="00046670"/>
    <w:rsid w:val="000469A1"/>
    <w:rsid w:val="0004789A"/>
    <w:rsid w:val="00047FA3"/>
    <w:rsid w:val="0005267D"/>
    <w:rsid w:val="00052E3F"/>
    <w:rsid w:val="00053420"/>
    <w:rsid w:val="00053FEF"/>
    <w:rsid w:val="00055061"/>
    <w:rsid w:val="0005654D"/>
    <w:rsid w:val="0005697C"/>
    <w:rsid w:val="000572D8"/>
    <w:rsid w:val="0005780B"/>
    <w:rsid w:val="00057AF4"/>
    <w:rsid w:val="000614A0"/>
    <w:rsid w:val="00061969"/>
    <w:rsid w:val="00061C69"/>
    <w:rsid w:val="00063D15"/>
    <w:rsid w:val="00064340"/>
    <w:rsid w:val="00064D37"/>
    <w:rsid w:val="00065588"/>
    <w:rsid w:val="000656CF"/>
    <w:rsid w:val="000673D0"/>
    <w:rsid w:val="000709FE"/>
    <w:rsid w:val="00071711"/>
    <w:rsid w:val="00071827"/>
    <w:rsid w:val="00072078"/>
    <w:rsid w:val="000728ED"/>
    <w:rsid w:val="00072AAA"/>
    <w:rsid w:val="00075C94"/>
    <w:rsid w:val="00075D0E"/>
    <w:rsid w:val="00076032"/>
    <w:rsid w:val="00076134"/>
    <w:rsid w:val="0007617D"/>
    <w:rsid w:val="0007694D"/>
    <w:rsid w:val="00077E1F"/>
    <w:rsid w:val="00083E03"/>
    <w:rsid w:val="00084EAA"/>
    <w:rsid w:val="00085178"/>
    <w:rsid w:val="00086D43"/>
    <w:rsid w:val="00087E68"/>
    <w:rsid w:val="0009046A"/>
    <w:rsid w:val="00090D8F"/>
    <w:rsid w:val="00092B42"/>
    <w:rsid w:val="00093153"/>
    <w:rsid w:val="00093E4C"/>
    <w:rsid w:val="00093FF6"/>
    <w:rsid w:val="000943DB"/>
    <w:rsid w:val="000947E3"/>
    <w:rsid w:val="00094ABA"/>
    <w:rsid w:val="0009668A"/>
    <w:rsid w:val="00096E32"/>
    <w:rsid w:val="000977D0"/>
    <w:rsid w:val="000A0D5F"/>
    <w:rsid w:val="000A19F6"/>
    <w:rsid w:val="000A2CF3"/>
    <w:rsid w:val="000A4FD6"/>
    <w:rsid w:val="000A508C"/>
    <w:rsid w:val="000A5BF7"/>
    <w:rsid w:val="000A5C4C"/>
    <w:rsid w:val="000A5E2C"/>
    <w:rsid w:val="000A64B0"/>
    <w:rsid w:val="000B0BBC"/>
    <w:rsid w:val="000B0C40"/>
    <w:rsid w:val="000B232D"/>
    <w:rsid w:val="000B3C82"/>
    <w:rsid w:val="000B481D"/>
    <w:rsid w:val="000B4F20"/>
    <w:rsid w:val="000B4F9A"/>
    <w:rsid w:val="000B5953"/>
    <w:rsid w:val="000B5A9D"/>
    <w:rsid w:val="000B6291"/>
    <w:rsid w:val="000B69F4"/>
    <w:rsid w:val="000B760A"/>
    <w:rsid w:val="000B7D83"/>
    <w:rsid w:val="000C0019"/>
    <w:rsid w:val="000C09FD"/>
    <w:rsid w:val="000C0CFF"/>
    <w:rsid w:val="000C22FB"/>
    <w:rsid w:val="000C2C01"/>
    <w:rsid w:val="000C409F"/>
    <w:rsid w:val="000C5DF3"/>
    <w:rsid w:val="000C68D6"/>
    <w:rsid w:val="000C722E"/>
    <w:rsid w:val="000C73B1"/>
    <w:rsid w:val="000D0F5D"/>
    <w:rsid w:val="000D1A51"/>
    <w:rsid w:val="000D30E5"/>
    <w:rsid w:val="000D34CC"/>
    <w:rsid w:val="000D4161"/>
    <w:rsid w:val="000D425A"/>
    <w:rsid w:val="000D435E"/>
    <w:rsid w:val="000D485A"/>
    <w:rsid w:val="000D571D"/>
    <w:rsid w:val="000D6182"/>
    <w:rsid w:val="000D6786"/>
    <w:rsid w:val="000E0A87"/>
    <w:rsid w:val="000E2985"/>
    <w:rsid w:val="000E31C3"/>
    <w:rsid w:val="000E4116"/>
    <w:rsid w:val="000E4178"/>
    <w:rsid w:val="000E5F7D"/>
    <w:rsid w:val="000E6C5F"/>
    <w:rsid w:val="000E7B1C"/>
    <w:rsid w:val="000F0583"/>
    <w:rsid w:val="000F05B4"/>
    <w:rsid w:val="000F0755"/>
    <w:rsid w:val="000F0E72"/>
    <w:rsid w:val="000F101C"/>
    <w:rsid w:val="000F19B1"/>
    <w:rsid w:val="000F21B9"/>
    <w:rsid w:val="000F2D6D"/>
    <w:rsid w:val="000F3581"/>
    <w:rsid w:val="000F4975"/>
    <w:rsid w:val="000F638E"/>
    <w:rsid w:val="000F6B6C"/>
    <w:rsid w:val="000F6BA4"/>
    <w:rsid w:val="000F7F4D"/>
    <w:rsid w:val="00100E7E"/>
    <w:rsid w:val="0010165D"/>
    <w:rsid w:val="0010202D"/>
    <w:rsid w:val="00102F3C"/>
    <w:rsid w:val="00103959"/>
    <w:rsid w:val="00103F1F"/>
    <w:rsid w:val="001051D7"/>
    <w:rsid w:val="0010590C"/>
    <w:rsid w:val="00105AA2"/>
    <w:rsid w:val="00105BCE"/>
    <w:rsid w:val="001066B9"/>
    <w:rsid w:val="00106954"/>
    <w:rsid w:val="00106D15"/>
    <w:rsid w:val="00106F0C"/>
    <w:rsid w:val="001078A7"/>
    <w:rsid w:val="00110700"/>
    <w:rsid w:val="00111B02"/>
    <w:rsid w:val="0011222D"/>
    <w:rsid w:val="00112A4F"/>
    <w:rsid w:val="0011369D"/>
    <w:rsid w:val="001138DC"/>
    <w:rsid w:val="00114282"/>
    <w:rsid w:val="001152E6"/>
    <w:rsid w:val="001154A8"/>
    <w:rsid w:val="0011570E"/>
    <w:rsid w:val="00120563"/>
    <w:rsid w:val="00120A34"/>
    <w:rsid w:val="00120A5C"/>
    <w:rsid w:val="0012104D"/>
    <w:rsid w:val="001210A5"/>
    <w:rsid w:val="00121FE5"/>
    <w:rsid w:val="00122674"/>
    <w:rsid w:val="00122C34"/>
    <w:rsid w:val="001233A0"/>
    <w:rsid w:val="00123A7D"/>
    <w:rsid w:val="00124D19"/>
    <w:rsid w:val="00126CE5"/>
    <w:rsid w:val="00126D7E"/>
    <w:rsid w:val="0012758C"/>
    <w:rsid w:val="00130AFD"/>
    <w:rsid w:val="001317DC"/>
    <w:rsid w:val="00131927"/>
    <w:rsid w:val="00132933"/>
    <w:rsid w:val="00132A6D"/>
    <w:rsid w:val="00132C2A"/>
    <w:rsid w:val="00132ECD"/>
    <w:rsid w:val="0013322D"/>
    <w:rsid w:val="0013345C"/>
    <w:rsid w:val="00134B3B"/>
    <w:rsid w:val="00135040"/>
    <w:rsid w:val="00135B4E"/>
    <w:rsid w:val="001376F8"/>
    <w:rsid w:val="00140EA2"/>
    <w:rsid w:val="0014121C"/>
    <w:rsid w:val="00141D30"/>
    <w:rsid w:val="00141DFB"/>
    <w:rsid w:val="00142B30"/>
    <w:rsid w:val="00142C13"/>
    <w:rsid w:val="0015099E"/>
    <w:rsid w:val="001510F4"/>
    <w:rsid w:val="00151238"/>
    <w:rsid w:val="00151424"/>
    <w:rsid w:val="00152A29"/>
    <w:rsid w:val="00152D13"/>
    <w:rsid w:val="00153D2F"/>
    <w:rsid w:val="00154896"/>
    <w:rsid w:val="001548D6"/>
    <w:rsid w:val="00155632"/>
    <w:rsid w:val="001565D1"/>
    <w:rsid w:val="00156C8B"/>
    <w:rsid w:val="00157735"/>
    <w:rsid w:val="001616E6"/>
    <w:rsid w:val="00161C4E"/>
    <w:rsid w:val="00161CF8"/>
    <w:rsid w:val="00162427"/>
    <w:rsid w:val="0016308C"/>
    <w:rsid w:val="0016334B"/>
    <w:rsid w:val="0016440D"/>
    <w:rsid w:val="00167D5F"/>
    <w:rsid w:val="001721B0"/>
    <w:rsid w:val="00172AB2"/>
    <w:rsid w:val="001731DB"/>
    <w:rsid w:val="00174A7F"/>
    <w:rsid w:val="00176910"/>
    <w:rsid w:val="0017727E"/>
    <w:rsid w:val="00177F18"/>
    <w:rsid w:val="00180689"/>
    <w:rsid w:val="0018088A"/>
    <w:rsid w:val="0018182E"/>
    <w:rsid w:val="00181B85"/>
    <w:rsid w:val="00182AC8"/>
    <w:rsid w:val="0018335D"/>
    <w:rsid w:val="00184671"/>
    <w:rsid w:val="00184DB9"/>
    <w:rsid w:val="00186A30"/>
    <w:rsid w:val="00186BCE"/>
    <w:rsid w:val="00187A55"/>
    <w:rsid w:val="00187C35"/>
    <w:rsid w:val="0019068A"/>
    <w:rsid w:val="001915FA"/>
    <w:rsid w:val="001938BB"/>
    <w:rsid w:val="00194548"/>
    <w:rsid w:val="0019494B"/>
    <w:rsid w:val="00195430"/>
    <w:rsid w:val="001979E4"/>
    <w:rsid w:val="00197A6B"/>
    <w:rsid w:val="001A1CD8"/>
    <w:rsid w:val="001A2A85"/>
    <w:rsid w:val="001A2F21"/>
    <w:rsid w:val="001A60CF"/>
    <w:rsid w:val="001A7F1C"/>
    <w:rsid w:val="001B0C63"/>
    <w:rsid w:val="001B22AA"/>
    <w:rsid w:val="001B24E2"/>
    <w:rsid w:val="001B2A08"/>
    <w:rsid w:val="001B3815"/>
    <w:rsid w:val="001B3A23"/>
    <w:rsid w:val="001B3F48"/>
    <w:rsid w:val="001B51EE"/>
    <w:rsid w:val="001B5E3D"/>
    <w:rsid w:val="001B669E"/>
    <w:rsid w:val="001B6856"/>
    <w:rsid w:val="001B7D22"/>
    <w:rsid w:val="001C0611"/>
    <w:rsid w:val="001C0685"/>
    <w:rsid w:val="001C0A6F"/>
    <w:rsid w:val="001C0CB8"/>
    <w:rsid w:val="001C1044"/>
    <w:rsid w:val="001C14C1"/>
    <w:rsid w:val="001C4FBB"/>
    <w:rsid w:val="001C5203"/>
    <w:rsid w:val="001C52B9"/>
    <w:rsid w:val="001C647B"/>
    <w:rsid w:val="001C670C"/>
    <w:rsid w:val="001C6F02"/>
    <w:rsid w:val="001C7B0A"/>
    <w:rsid w:val="001D05B5"/>
    <w:rsid w:val="001D14B4"/>
    <w:rsid w:val="001D263C"/>
    <w:rsid w:val="001D2E44"/>
    <w:rsid w:val="001D40A5"/>
    <w:rsid w:val="001D5155"/>
    <w:rsid w:val="001D5272"/>
    <w:rsid w:val="001D72C0"/>
    <w:rsid w:val="001D7429"/>
    <w:rsid w:val="001D7AAE"/>
    <w:rsid w:val="001D7C1C"/>
    <w:rsid w:val="001E0444"/>
    <w:rsid w:val="001E0472"/>
    <w:rsid w:val="001E06D7"/>
    <w:rsid w:val="001E0847"/>
    <w:rsid w:val="001E0D10"/>
    <w:rsid w:val="001E0E94"/>
    <w:rsid w:val="001E0FE3"/>
    <w:rsid w:val="001E4BFF"/>
    <w:rsid w:val="001E5601"/>
    <w:rsid w:val="001E611B"/>
    <w:rsid w:val="001E64D6"/>
    <w:rsid w:val="001E7645"/>
    <w:rsid w:val="001F0084"/>
    <w:rsid w:val="001F12BA"/>
    <w:rsid w:val="001F1486"/>
    <w:rsid w:val="001F2220"/>
    <w:rsid w:val="001F2DF7"/>
    <w:rsid w:val="001F32CC"/>
    <w:rsid w:val="001F3C90"/>
    <w:rsid w:val="001F3EE0"/>
    <w:rsid w:val="001F49F0"/>
    <w:rsid w:val="001F4F89"/>
    <w:rsid w:val="001F631B"/>
    <w:rsid w:val="001F7FEF"/>
    <w:rsid w:val="002000A9"/>
    <w:rsid w:val="002001FF"/>
    <w:rsid w:val="0020155E"/>
    <w:rsid w:val="00201DFB"/>
    <w:rsid w:val="00201EEB"/>
    <w:rsid w:val="00202450"/>
    <w:rsid w:val="0020294F"/>
    <w:rsid w:val="002036D7"/>
    <w:rsid w:val="00203903"/>
    <w:rsid w:val="00204299"/>
    <w:rsid w:val="00204949"/>
    <w:rsid w:val="00204A6D"/>
    <w:rsid w:val="00205D08"/>
    <w:rsid w:val="00205FB4"/>
    <w:rsid w:val="00206780"/>
    <w:rsid w:val="0020764D"/>
    <w:rsid w:val="002106CF"/>
    <w:rsid w:val="00211598"/>
    <w:rsid w:val="00212471"/>
    <w:rsid w:val="00212AEF"/>
    <w:rsid w:val="00212DAB"/>
    <w:rsid w:val="00215AF1"/>
    <w:rsid w:val="00217C64"/>
    <w:rsid w:val="00220B7F"/>
    <w:rsid w:val="002210A8"/>
    <w:rsid w:val="00224C8C"/>
    <w:rsid w:val="00225EE8"/>
    <w:rsid w:val="00226CBD"/>
    <w:rsid w:val="00226FDB"/>
    <w:rsid w:val="002279B1"/>
    <w:rsid w:val="00233732"/>
    <w:rsid w:val="0023408C"/>
    <w:rsid w:val="002343FF"/>
    <w:rsid w:val="00235470"/>
    <w:rsid w:val="00235574"/>
    <w:rsid w:val="002369C7"/>
    <w:rsid w:val="00236D31"/>
    <w:rsid w:val="00237990"/>
    <w:rsid w:val="00240A4F"/>
    <w:rsid w:val="002414A4"/>
    <w:rsid w:val="002425C1"/>
    <w:rsid w:val="00242758"/>
    <w:rsid w:val="002429BD"/>
    <w:rsid w:val="0024320C"/>
    <w:rsid w:val="00246155"/>
    <w:rsid w:val="002462CD"/>
    <w:rsid w:val="00246B71"/>
    <w:rsid w:val="00247411"/>
    <w:rsid w:val="00247BF7"/>
    <w:rsid w:val="00251099"/>
    <w:rsid w:val="0025288B"/>
    <w:rsid w:val="00252FA2"/>
    <w:rsid w:val="00255A9B"/>
    <w:rsid w:val="002560BF"/>
    <w:rsid w:val="00256ACD"/>
    <w:rsid w:val="00260AC2"/>
    <w:rsid w:val="002612BA"/>
    <w:rsid w:val="00261D68"/>
    <w:rsid w:val="00262CD6"/>
    <w:rsid w:val="002644DF"/>
    <w:rsid w:val="00264608"/>
    <w:rsid w:val="00265D2D"/>
    <w:rsid w:val="00265DBD"/>
    <w:rsid w:val="00267833"/>
    <w:rsid w:val="00267F99"/>
    <w:rsid w:val="00270CC7"/>
    <w:rsid w:val="002711AE"/>
    <w:rsid w:val="002743E4"/>
    <w:rsid w:val="002747DF"/>
    <w:rsid w:val="00274D29"/>
    <w:rsid w:val="002766D7"/>
    <w:rsid w:val="00276FB4"/>
    <w:rsid w:val="002773D7"/>
    <w:rsid w:val="002776EF"/>
    <w:rsid w:val="00277AED"/>
    <w:rsid w:val="00280C0D"/>
    <w:rsid w:val="002824E6"/>
    <w:rsid w:val="00282768"/>
    <w:rsid w:val="00282BEB"/>
    <w:rsid w:val="00283464"/>
    <w:rsid w:val="002835FB"/>
    <w:rsid w:val="00283F1E"/>
    <w:rsid w:val="00283F9C"/>
    <w:rsid w:val="00284263"/>
    <w:rsid w:val="00286A17"/>
    <w:rsid w:val="00286FEC"/>
    <w:rsid w:val="00290DBA"/>
    <w:rsid w:val="00291CBC"/>
    <w:rsid w:val="002924C8"/>
    <w:rsid w:val="002947AE"/>
    <w:rsid w:val="00295F00"/>
    <w:rsid w:val="00296443"/>
    <w:rsid w:val="002968D0"/>
    <w:rsid w:val="002A0BE5"/>
    <w:rsid w:val="002A1494"/>
    <w:rsid w:val="002A16B8"/>
    <w:rsid w:val="002A1F89"/>
    <w:rsid w:val="002A2639"/>
    <w:rsid w:val="002A31FE"/>
    <w:rsid w:val="002A4478"/>
    <w:rsid w:val="002A519F"/>
    <w:rsid w:val="002A64A6"/>
    <w:rsid w:val="002A70B6"/>
    <w:rsid w:val="002B00F8"/>
    <w:rsid w:val="002B0121"/>
    <w:rsid w:val="002B186A"/>
    <w:rsid w:val="002B218B"/>
    <w:rsid w:val="002B44A5"/>
    <w:rsid w:val="002B44E8"/>
    <w:rsid w:val="002B4CB0"/>
    <w:rsid w:val="002B7311"/>
    <w:rsid w:val="002B7789"/>
    <w:rsid w:val="002B7D38"/>
    <w:rsid w:val="002C0A77"/>
    <w:rsid w:val="002C1015"/>
    <w:rsid w:val="002C12E3"/>
    <w:rsid w:val="002C1F70"/>
    <w:rsid w:val="002C3169"/>
    <w:rsid w:val="002C3FA7"/>
    <w:rsid w:val="002C4124"/>
    <w:rsid w:val="002C4A40"/>
    <w:rsid w:val="002C4F58"/>
    <w:rsid w:val="002C6082"/>
    <w:rsid w:val="002C6F2C"/>
    <w:rsid w:val="002C700C"/>
    <w:rsid w:val="002C7126"/>
    <w:rsid w:val="002D0051"/>
    <w:rsid w:val="002D08C1"/>
    <w:rsid w:val="002D170B"/>
    <w:rsid w:val="002D17B6"/>
    <w:rsid w:val="002D17C2"/>
    <w:rsid w:val="002D210B"/>
    <w:rsid w:val="002D337D"/>
    <w:rsid w:val="002D55BF"/>
    <w:rsid w:val="002D7339"/>
    <w:rsid w:val="002E0877"/>
    <w:rsid w:val="002E10A1"/>
    <w:rsid w:val="002E2294"/>
    <w:rsid w:val="002E2808"/>
    <w:rsid w:val="002E3646"/>
    <w:rsid w:val="002E3819"/>
    <w:rsid w:val="002E3E1A"/>
    <w:rsid w:val="002E4ABF"/>
    <w:rsid w:val="002E5506"/>
    <w:rsid w:val="002E562C"/>
    <w:rsid w:val="002E618F"/>
    <w:rsid w:val="002E69B6"/>
    <w:rsid w:val="002E724B"/>
    <w:rsid w:val="002E73B0"/>
    <w:rsid w:val="002E7418"/>
    <w:rsid w:val="002F10EB"/>
    <w:rsid w:val="002F3438"/>
    <w:rsid w:val="002F38E9"/>
    <w:rsid w:val="002F3B0E"/>
    <w:rsid w:val="002F5F65"/>
    <w:rsid w:val="002F7FD9"/>
    <w:rsid w:val="00300802"/>
    <w:rsid w:val="00302770"/>
    <w:rsid w:val="0030290F"/>
    <w:rsid w:val="00303A81"/>
    <w:rsid w:val="003048E3"/>
    <w:rsid w:val="00304F5E"/>
    <w:rsid w:val="00305DF0"/>
    <w:rsid w:val="003070E9"/>
    <w:rsid w:val="003076AC"/>
    <w:rsid w:val="003115C3"/>
    <w:rsid w:val="00311861"/>
    <w:rsid w:val="00311BB3"/>
    <w:rsid w:val="0031244A"/>
    <w:rsid w:val="00312C34"/>
    <w:rsid w:val="00312F86"/>
    <w:rsid w:val="0031353B"/>
    <w:rsid w:val="003142C7"/>
    <w:rsid w:val="00314A7C"/>
    <w:rsid w:val="003157AF"/>
    <w:rsid w:val="00316686"/>
    <w:rsid w:val="00316DE0"/>
    <w:rsid w:val="00317D9E"/>
    <w:rsid w:val="00320627"/>
    <w:rsid w:val="00320B54"/>
    <w:rsid w:val="00320C1F"/>
    <w:rsid w:val="00321305"/>
    <w:rsid w:val="00322ECC"/>
    <w:rsid w:val="00323D1B"/>
    <w:rsid w:val="003242E4"/>
    <w:rsid w:val="00324B40"/>
    <w:rsid w:val="003250FF"/>
    <w:rsid w:val="0032528A"/>
    <w:rsid w:val="003260EB"/>
    <w:rsid w:val="00326278"/>
    <w:rsid w:val="003268F2"/>
    <w:rsid w:val="00326AAA"/>
    <w:rsid w:val="00327555"/>
    <w:rsid w:val="00327AA4"/>
    <w:rsid w:val="00330977"/>
    <w:rsid w:val="00331105"/>
    <w:rsid w:val="003319EF"/>
    <w:rsid w:val="003330FC"/>
    <w:rsid w:val="00334000"/>
    <w:rsid w:val="00336C70"/>
    <w:rsid w:val="00337BB1"/>
    <w:rsid w:val="00337D78"/>
    <w:rsid w:val="00340407"/>
    <w:rsid w:val="0034063B"/>
    <w:rsid w:val="00340A58"/>
    <w:rsid w:val="00341308"/>
    <w:rsid w:val="00341FCE"/>
    <w:rsid w:val="00344360"/>
    <w:rsid w:val="0034457E"/>
    <w:rsid w:val="003445CD"/>
    <w:rsid w:val="00344635"/>
    <w:rsid w:val="003448D3"/>
    <w:rsid w:val="0034507C"/>
    <w:rsid w:val="003457D7"/>
    <w:rsid w:val="00345A2B"/>
    <w:rsid w:val="003463CC"/>
    <w:rsid w:val="00347DF4"/>
    <w:rsid w:val="00347E18"/>
    <w:rsid w:val="00350529"/>
    <w:rsid w:val="0035070A"/>
    <w:rsid w:val="003507C3"/>
    <w:rsid w:val="00350D79"/>
    <w:rsid w:val="003512BD"/>
    <w:rsid w:val="00351BA6"/>
    <w:rsid w:val="003523B9"/>
    <w:rsid w:val="003534DD"/>
    <w:rsid w:val="0035372B"/>
    <w:rsid w:val="003537A7"/>
    <w:rsid w:val="00353A93"/>
    <w:rsid w:val="00353FFD"/>
    <w:rsid w:val="00356C65"/>
    <w:rsid w:val="00356E04"/>
    <w:rsid w:val="003579D5"/>
    <w:rsid w:val="00357C57"/>
    <w:rsid w:val="00357D81"/>
    <w:rsid w:val="00357F20"/>
    <w:rsid w:val="00365114"/>
    <w:rsid w:val="0036658C"/>
    <w:rsid w:val="00366A28"/>
    <w:rsid w:val="003679F6"/>
    <w:rsid w:val="00370A30"/>
    <w:rsid w:val="00371B32"/>
    <w:rsid w:val="00372704"/>
    <w:rsid w:val="00372736"/>
    <w:rsid w:val="0037320A"/>
    <w:rsid w:val="00373769"/>
    <w:rsid w:val="00373A0D"/>
    <w:rsid w:val="003741AC"/>
    <w:rsid w:val="00375011"/>
    <w:rsid w:val="00375BBD"/>
    <w:rsid w:val="00376743"/>
    <w:rsid w:val="003778E4"/>
    <w:rsid w:val="00380F76"/>
    <w:rsid w:val="00381A3D"/>
    <w:rsid w:val="0038387B"/>
    <w:rsid w:val="0038415A"/>
    <w:rsid w:val="00384F6D"/>
    <w:rsid w:val="0038596F"/>
    <w:rsid w:val="00385CB5"/>
    <w:rsid w:val="00385E9C"/>
    <w:rsid w:val="00387F28"/>
    <w:rsid w:val="0039027B"/>
    <w:rsid w:val="0039084B"/>
    <w:rsid w:val="00390ACE"/>
    <w:rsid w:val="00390E6E"/>
    <w:rsid w:val="00391B1C"/>
    <w:rsid w:val="00391DDA"/>
    <w:rsid w:val="00393590"/>
    <w:rsid w:val="003941D6"/>
    <w:rsid w:val="003944D9"/>
    <w:rsid w:val="0039584B"/>
    <w:rsid w:val="00397528"/>
    <w:rsid w:val="003A0431"/>
    <w:rsid w:val="003A2152"/>
    <w:rsid w:val="003A25B2"/>
    <w:rsid w:val="003A2A2C"/>
    <w:rsid w:val="003A330B"/>
    <w:rsid w:val="003A3C60"/>
    <w:rsid w:val="003A5800"/>
    <w:rsid w:val="003A5E5C"/>
    <w:rsid w:val="003A7A6E"/>
    <w:rsid w:val="003B02F6"/>
    <w:rsid w:val="003B3BED"/>
    <w:rsid w:val="003B44CD"/>
    <w:rsid w:val="003B459C"/>
    <w:rsid w:val="003B4A59"/>
    <w:rsid w:val="003B57D9"/>
    <w:rsid w:val="003B671F"/>
    <w:rsid w:val="003B6871"/>
    <w:rsid w:val="003B6CAA"/>
    <w:rsid w:val="003B6E00"/>
    <w:rsid w:val="003B6E43"/>
    <w:rsid w:val="003B7527"/>
    <w:rsid w:val="003B756E"/>
    <w:rsid w:val="003B7F25"/>
    <w:rsid w:val="003C108A"/>
    <w:rsid w:val="003C146B"/>
    <w:rsid w:val="003C2DBF"/>
    <w:rsid w:val="003C3A60"/>
    <w:rsid w:val="003C4042"/>
    <w:rsid w:val="003C4DC2"/>
    <w:rsid w:val="003C645D"/>
    <w:rsid w:val="003C77EF"/>
    <w:rsid w:val="003C7B28"/>
    <w:rsid w:val="003C7D5A"/>
    <w:rsid w:val="003D1210"/>
    <w:rsid w:val="003D13F7"/>
    <w:rsid w:val="003D18BE"/>
    <w:rsid w:val="003D1C0A"/>
    <w:rsid w:val="003D3D5B"/>
    <w:rsid w:val="003D63D6"/>
    <w:rsid w:val="003D6E9E"/>
    <w:rsid w:val="003D75D2"/>
    <w:rsid w:val="003D7C51"/>
    <w:rsid w:val="003E0304"/>
    <w:rsid w:val="003E04F9"/>
    <w:rsid w:val="003E2029"/>
    <w:rsid w:val="003E2A4E"/>
    <w:rsid w:val="003E2FDD"/>
    <w:rsid w:val="003E3627"/>
    <w:rsid w:val="003E4472"/>
    <w:rsid w:val="003E5A30"/>
    <w:rsid w:val="003F047F"/>
    <w:rsid w:val="003F05AB"/>
    <w:rsid w:val="003F1318"/>
    <w:rsid w:val="003F2802"/>
    <w:rsid w:val="003F2A58"/>
    <w:rsid w:val="003F3E5C"/>
    <w:rsid w:val="003F66F2"/>
    <w:rsid w:val="003F6984"/>
    <w:rsid w:val="003F6FCC"/>
    <w:rsid w:val="003F7C74"/>
    <w:rsid w:val="003F7CE3"/>
    <w:rsid w:val="0040225D"/>
    <w:rsid w:val="00402F42"/>
    <w:rsid w:val="00403A1C"/>
    <w:rsid w:val="00403E11"/>
    <w:rsid w:val="00404621"/>
    <w:rsid w:val="00404AEC"/>
    <w:rsid w:val="00405011"/>
    <w:rsid w:val="00405D98"/>
    <w:rsid w:val="00407A8C"/>
    <w:rsid w:val="00407B0B"/>
    <w:rsid w:val="0041070E"/>
    <w:rsid w:val="00410F9B"/>
    <w:rsid w:val="004123A3"/>
    <w:rsid w:val="00413728"/>
    <w:rsid w:val="00416BD8"/>
    <w:rsid w:val="004201BC"/>
    <w:rsid w:val="00420D12"/>
    <w:rsid w:val="0042102C"/>
    <w:rsid w:val="0042107E"/>
    <w:rsid w:val="004217DF"/>
    <w:rsid w:val="00421D90"/>
    <w:rsid w:val="00421DE6"/>
    <w:rsid w:val="00422A13"/>
    <w:rsid w:val="00423837"/>
    <w:rsid w:val="00423B19"/>
    <w:rsid w:val="004254CD"/>
    <w:rsid w:val="00425B70"/>
    <w:rsid w:val="00427996"/>
    <w:rsid w:val="00430498"/>
    <w:rsid w:val="004332B4"/>
    <w:rsid w:val="00433EC7"/>
    <w:rsid w:val="00434D93"/>
    <w:rsid w:val="00440604"/>
    <w:rsid w:val="004406C8"/>
    <w:rsid w:val="00440780"/>
    <w:rsid w:val="004411DA"/>
    <w:rsid w:val="00442E2E"/>
    <w:rsid w:val="004438FA"/>
    <w:rsid w:val="00443A76"/>
    <w:rsid w:val="00444F4A"/>
    <w:rsid w:val="00445736"/>
    <w:rsid w:val="00445C19"/>
    <w:rsid w:val="00446BAF"/>
    <w:rsid w:val="0044703A"/>
    <w:rsid w:val="004476BF"/>
    <w:rsid w:val="0045077B"/>
    <w:rsid w:val="00451536"/>
    <w:rsid w:val="0045228D"/>
    <w:rsid w:val="004522B2"/>
    <w:rsid w:val="00453C08"/>
    <w:rsid w:val="00454437"/>
    <w:rsid w:val="00454488"/>
    <w:rsid w:val="00454B20"/>
    <w:rsid w:val="0045535E"/>
    <w:rsid w:val="0045565A"/>
    <w:rsid w:val="0045655C"/>
    <w:rsid w:val="004568D5"/>
    <w:rsid w:val="0045702D"/>
    <w:rsid w:val="004573E1"/>
    <w:rsid w:val="00457581"/>
    <w:rsid w:val="00460544"/>
    <w:rsid w:val="004619EE"/>
    <w:rsid w:val="00462C42"/>
    <w:rsid w:val="00463941"/>
    <w:rsid w:val="00464638"/>
    <w:rsid w:val="004664AA"/>
    <w:rsid w:val="004664D1"/>
    <w:rsid w:val="00466AC7"/>
    <w:rsid w:val="004744C1"/>
    <w:rsid w:val="004769D5"/>
    <w:rsid w:val="00476BE4"/>
    <w:rsid w:val="00480091"/>
    <w:rsid w:val="004820D2"/>
    <w:rsid w:val="0048575F"/>
    <w:rsid w:val="00485921"/>
    <w:rsid w:val="00485E93"/>
    <w:rsid w:val="00486330"/>
    <w:rsid w:val="00487088"/>
    <w:rsid w:val="004874D0"/>
    <w:rsid w:val="00487964"/>
    <w:rsid w:val="00490ACD"/>
    <w:rsid w:val="00490AE4"/>
    <w:rsid w:val="0049108F"/>
    <w:rsid w:val="00492915"/>
    <w:rsid w:val="00493778"/>
    <w:rsid w:val="00496622"/>
    <w:rsid w:val="004A02D6"/>
    <w:rsid w:val="004A0511"/>
    <w:rsid w:val="004A0DD6"/>
    <w:rsid w:val="004A107B"/>
    <w:rsid w:val="004A1FA8"/>
    <w:rsid w:val="004A2B0C"/>
    <w:rsid w:val="004A2CE4"/>
    <w:rsid w:val="004A3274"/>
    <w:rsid w:val="004A34FF"/>
    <w:rsid w:val="004A3748"/>
    <w:rsid w:val="004A4435"/>
    <w:rsid w:val="004A46F9"/>
    <w:rsid w:val="004A4EB8"/>
    <w:rsid w:val="004A58E6"/>
    <w:rsid w:val="004A5D24"/>
    <w:rsid w:val="004A68CF"/>
    <w:rsid w:val="004B01DD"/>
    <w:rsid w:val="004B04E6"/>
    <w:rsid w:val="004B125A"/>
    <w:rsid w:val="004B1E27"/>
    <w:rsid w:val="004B2050"/>
    <w:rsid w:val="004B2088"/>
    <w:rsid w:val="004B21F7"/>
    <w:rsid w:val="004B3143"/>
    <w:rsid w:val="004B3A00"/>
    <w:rsid w:val="004B3BD4"/>
    <w:rsid w:val="004C0293"/>
    <w:rsid w:val="004C1060"/>
    <w:rsid w:val="004C1524"/>
    <w:rsid w:val="004C1DD1"/>
    <w:rsid w:val="004C235C"/>
    <w:rsid w:val="004C2A0E"/>
    <w:rsid w:val="004C342B"/>
    <w:rsid w:val="004C3D9F"/>
    <w:rsid w:val="004C412F"/>
    <w:rsid w:val="004C447B"/>
    <w:rsid w:val="004C5E8B"/>
    <w:rsid w:val="004C6770"/>
    <w:rsid w:val="004C7D36"/>
    <w:rsid w:val="004D0454"/>
    <w:rsid w:val="004D0802"/>
    <w:rsid w:val="004D2C68"/>
    <w:rsid w:val="004D3FE3"/>
    <w:rsid w:val="004D467B"/>
    <w:rsid w:val="004D5D9A"/>
    <w:rsid w:val="004D60C0"/>
    <w:rsid w:val="004D70EB"/>
    <w:rsid w:val="004E04E4"/>
    <w:rsid w:val="004E1B4B"/>
    <w:rsid w:val="004E1D6A"/>
    <w:rsid w:val="004E2794"/>
    <w:rsid w:val="004E34A6"/>
    <w:rsid w:val="004E3654"/>
    <w:rsid w:val="004E415F"/>
    <w:rsid w:val="004E48E7"/>
    <w:rsid w:val="004E4E01"/>
    <w:rsid w:val="004E79F0"/>
    <w:rsid w:val="004E7CC1"/>
    <w:rsid w:val="004E7FC4"/>
    <w:rsid w:val="004F0F41"/>
    <w:rsid w:val="004F1369"/>
    <w:rsid w:val="004F2075"/>
    <w:rsid w:val="004F47BB"/>
    <w:rsid w:val="004F5496"/>
    <w:rsid w:val="004F54D2"/>
    <w:rsid w:val="004F5EC9"/>
    <w:rsid w:val="004F71FE"/>
    <w:rsid w:val="004F76C1"/>
    <w:rsid w:val="0050034D"/>
    <w:rsid w:val="00501170"/>
    <w:rsid w:val="00502756"/>
    <w:rsid w:val="005030D2"/>
    <w:rsid w:val="00503769"/>
    <w:rsid w:val="00503837"/>
    <w:rsid w:val="00503F81"/>
    <w:rsid w:val="00504685"/>
    <w:rsid w:val="005046FB"/>
    <w:rsid w:val="00504E36"/>
    <w:rsid w:val="00505807"/>
    <w:rsid w:val="00505EE5"/>
    <w:rsid w:val="00507A3C"/>
    <w:rsid w:val="00507DC6"/>
    <w:rsid w:val="00511078"/>
    <w:rsid w:val="0051232F"/>
    <w:rsid w:val="00512C98"/>
    <w:rsid w:val="00512D03"/>
    <w:rsid w:val="005140BE"/>
    <w:rsid w:val="005145E4"/>
    <w:rsid w:val="00514E11"/>
    <w:rsid w:val="0051581A"/>
    <w:rsid w:val="005158DC"/>
    <w:rsid w:val="00516C93"/>
    <w:rsid w:val="00517D78"/>
    <w:rsid w:val="00517E20"/>
    <w:rsid w:val="00520583"/>
    <w:rsid w:val="0052164B"/>
    <w:rsid w:val="005217CE"/>
    <w:rsid w:val="00521A89"/>
    <w:rsid w:val="00521B0B"/>
    <w:rsid w:val="00522FE9"/>
    <w:rsid w:val="00523610"/>
    <w:rsid w:val="00524845"/>
    <w:rsid w:val="0052659C"/>
    <w:rsid w:val="005269CE"/>
    <w:rsid w:val="00526BAD"/>
    <w:rsid w:val="00527188"/>
    <w:rsid w:val="005274F0"/>
    <w:rsid w:val="00527BB2"/>
    <w:rsid w:val="00527C44"/>
    <w:rsid w:val="00531940"/>
    <w:rsid w:val="00531B54"/>
    <w:rsid w:val="00531B7A"/>
    <w:rsid w:val="00532FDD"/>
    <w:rsid w:val="00533A73"/>
    <w:rsid w:val="005346A3"/>
    <w:rsid w:val="00534962"/>
    <w:rsid w:val="00534A69"/>
    <w:rsid w:val="00534D7E"/>
    <w:rsid w:val="005350E5"/>
    <w:rsid w:val="00535328"/>
    <w:rsid w:val="005358D6"/>
    <w:rsid w:val="005359CC"/>
    <w:rsid w:val="00535AEA"/>
    <w:rsid w:val="005364F7"/>
    <w:rsid w:val="00537287"/>
    <w:rsid w:val="0054227D"/>
    <w:rsid w:val="005429D8"/>
    <w:rsid w:val="00543578"/>
    <w:rsid w:val="0054417B"/>
    <w:rsid w:val="00544BCB"/>
    <w:rsid w:val="005455E7"/>
    <w:rsid w:val="00545AA0"/>
    <w:rsid w:val="00547AFF"/>
    <w:rsid w:val="00547BB0"/>
    <w:rsid w:val="00547D21"/>
    <w:rsid w:val="00547E0A"/>
    <w:rsid w:val="00551A0E"/>
    <w:rsid w:val="00553C52"/>
    <w:rsid w:val="0055409E"/>
    <w:rsid w:val="00554B11"/>
    <w:rsid w:val="00555969"/>
    <w:rsid w:val="00555CCE"/>
    <w:rsid w:val="00555D81"/>
    <w:rsid w:val="0055642A"/>
    <w:rsid w:val="00556DB8"/>
    <w:rsid w:val="00557261"/>
    <w:rsid w:val="0055789F"/>
    <w:rsid w:val="00557B21"/>
    <w:rsid w:val="005605EB"/>
    <w:rsid w:val="005612EE"/>
    <w:rsid w:val="005627B3"/>
    <w:rsid w:val="00563514"/>
    <w:rsid w:val="00563DEB"/>
    <w:rsid w:val="00564557"/>
    <w:rsid w:val="005649C8"/>
    <w:rsid w:val="005659E0"/>
    <w:rsid w:val="00567BCC"/>
    <w:rsid w:val="005709CF"/>
    <w:rsid w:val="00570CB9"/>
    <w:rsid w:val="00571890"/>
    <w:rsid w:val="005724F4"/>
    <w:rsid w:val="005740A8"/>
    <w:rsid w:val="0057440F"/>
    <w:rsid w:val="00574713"/>
    <w:rsid w:val="00575DAB"/>
    <w:rsid w:val="00576F4C"/>
    <w:rsid w:val="00577FD0"/>
    <w:rsid w:val="005818C7"/>
    <w:rsid w:val="00581E50"/>
    <w:rsid w:val="00582168"/>
    <w:rsid w:val="00584024"/>
    <w:rsid w:val="0058639F"/>
    <w:rsid w:val="005870D1"/>
    <w:rsid w:val="00590F25"/>
    <w:rsid w:val="00591D72"/>
    <w:rsid w:val="00595259"/>
    <w:rsid w:val="005958EF"/>
    <w:rsid w:val="0059593C"/>
    <w:rsid w:val="005961BC"/>
    <w:rsid w:val="005964DF"/>
    <w:rsid w:val="00596706"/>
    <w:rsid w:val="00596AF5"/>
    <w:rsid w:val="00596F57"/>
    <w:rsid w:val="00597F0E"/>
    <w:rsid w:val="005A001B"/>
    <w:rsid w:val="005A110B"/>
    <w:rsid w:val="005A114E"/>
    <w:rsid w:val="005A2807"/>
    <w:rsid w:val="005A4C93"/>
    <w:rsid w:val="005A5860"/>
    <w:rsid w:val="005A6093"/>
    <w:rsid w:val="005A688B"/>
    <w:rsid w:val="005A7C04"/>
    <w:rsid w:val="005B06B3"/>
    <w:rsid w:val="005B1676"/>
    <w:rsid w:val="005B1CD3"/>
    <w:rsid w:val="005B27C4"/>
    <w:rsid w:val="005B28EC"/>
    <w:rsid w:val="005B31EB"/>
    <w:rsid w:val="005B35C1"/>
    <w:rsid w:val="005B4201"/>
    <w:rsid w:val="005B42CE"/>
    <w:rsid w:val="005B4B83"/>
    <w:rsid w:val="005B4E0B"/>
    <w:rsid w:val="005B6345"/>
    <w:rsid w:val="005B6562"/>
    <w:rsid w:val="005B666B"/>
    <w:rsid w:val="005B6AAA"/>
    <w:rsid w:val="005C0536"/>
    <w:rsid w:val="005C05DD"/>
    <w:rsid w:val="005C29F0"/>
    <w:rsid w:val="005C35BB"/>
    <w:rsid w:val="005C47CE"/>
    <w:rsid w:val="005C4FD6"/>
    <w:rsid w:val="005D16B5"/>
    <w:rsid w:val="005D1E3D"/>
    <w:rsid w:val="005D2D7B"/>
    <w:rsid w:val="005D2FDC"/>
    <w:rsid w:val="005D353F"/>
    <w:rsid w:val="005D3F73"/>
    <w:rsid w:val="005D69C7"/>
    <w:rsid w:val="005D71A4"/>
    <w:rsid w:val="005E092B"/>
    <w:rsid w:val="005E0C5C"/>
    <w:rsid w:val="005E11B8"/>
    <w:rsid w:val="005E133C"/>
    <w:rsid w:val="005E1D7F"/>
    <w:rsid w:val="005E2C44"/>
    <w:rsid w:val="005E2C48"/>
    <w:rsid w:val="005E2F93"/>
    <w:rsid w:val="005E320D"/>
    <w:rsid w:val="005E6310"/>
    <w:rsid w:val="005E7953"/>
    <w:rsid w:val="005F0A9D"/>
    <w:rsid w:val="005F34AD"/>
    <w:rsid w:val="005F35B9"/>
    <w:rsid w:val="005F3E02"/>
    <w:rsid w:val="005F43E6"/>
    <w:rsid w:val="005F4449"/>
    <w:rsid w:val="005F566D"/>
    <w:rsid w:val="005F7B6C"/>
    <w:rsid w:val="00600115"/>
    <w:rsid w:val="006008C9"/>
    <w:rsid w:val="00601A75"/>
    <w:rsid w:val="006033C9"/>
    <w:rsid w:val="00604070"/>
    <w:rsid w:val="006069D1"/>
    <w:rsid w:val="006077BF"/>
    <w:rsid w:val="00610718"/>
    <w:rsid w:val="006108C4"/>
    <w:rsid w:val="00610934"/>
    <w:rsid w:val="00611214"/>
    <w:rsid w:val="00611497"/>
    <w:rsid w:val="00611841"/>
    <w:rsid w:val="006119F6"/>
    <w:rsid w:val="006123DA"/>
    <w:rsid w:val="00612990"/>
    <w:rsid w:val="00612A1D"/>
    <w:rsid w:val="00612B69"/>
    <w:rsid w:val="00613E75"/>
    <w:rsid w:val="00616468"/>
    <w:rsid w:val="006164D5"/>
    <w:rsid w:val="00616AEE"/>
    <w:rsid w:val="00616F77"/>
    <w:rsid w:val="006176C9"/>
    <w:rsid w:val="006200BF"/>
    <w:rsid w:val="00620CA8"/>
    <w:rsid w:val="00620E3E"/>
    <w:rsid w:val="0062146A"/>
    <w:rsid w:val="0062260E"/>
    <w:rsid w:val="0062277F"/>
    <w:rsid w:val="00623438"/>
    <w:rsid w:val="006250FB"/>
    <w:rsid w:val="00626A41"/>
    <w:rsid w:val="00626B28"/>
    <w:rsid w:val="00627C71"/>
    <w:rsid w:val="00631B4D"/>
    <w:rsid w:val="00636056"/>
    <w:rsid w:val="00636197"/>
    <w:rsid w:val="00637995"/>
    <w:rsid w:val="0064000C"/>
    <w:rsid w:val="006408DD"/>
    <w:rsid w:val="00641550"/>
    <w:rsid w:val="00642024"/>
    <w:rsid w:val="00642C7A"/>
    <w:rsid w:val="00644727"/>
    <w:rsid w:val="00644978"/>
    <w:rsid w:val="00647D37"/>
    <w:rsid w:val="006516C2"/>
    <w:rsid w:val="00652253"/>
    <w:rsid w:val="0065382D"/>
    <w:rsid w:val="00655496"/>
    <w:rsid w:val="00655DC0"/>
    <w:rsid w:val="006569BF"/>
    <w:rsid w:val="00662B78"/>
    <w:rsid w:val="00663796"/>
    <w:rsid w:val="00664244"/>
    <w:rsid w:val="00665BCF"/>
    <w:rsid w:val="00666AB8"/>
    <w:rsid w:val="006702D7"/>
    <w:rsid w:val="006735DE"/>
    <w:rsid w:val="00673792"/>
    <w:rsid w:val="00673CFB"/>
    <w:rsid w:val="006742A9"/>
    <w:rsid w:val="00674B00"/>
    <w:rsid w:val="00676A9C"/>
    <w:rsid w:val="00681666"/>
    <w:rsid w:val="00681E63"/>
    <w:rsid w:val="006827FA"/>
    <w:rsid w:val="00683816"/>
    <w:rsid w:val="0068414F"/>
    <w:rsid w:val="006860F9"/>
    <w:rsid w:val="006869CE"/>
    <w:rsid w:val="00686B78"/>
    <w:rsid w:val="006871D2"/>
    <w:rsid w:val="00687486"/>
    <w:rsid w:val="00690845"/>
    <w:rsid w:val="0069180C"/>
    <w:rsid w:val="00691B93"/>
    <w:rsid w:val="006927AE"/>
    <w:rsid w:val="00693773"/>
    <w:rsid w:val="00693F52"/>
    <w:rsid w:val="0069480E"/>
    <w:rsid w:val="00694A6A"/>
    <w:rsid w:val="00694FD7"/>
    <w:rsid w:val="0069558F"/>
    <w:rsid w:val="00695DC0"/>
    <w:rsid w:val="006962E2"/>
    <w:rsid w:val="00696415"/>
    <w:rsid w:val="00696615"/>
    <w:rsid w:val="00696CBD"/>
    <w:rsid w:val="006970D5"/>
    <w:rsid w:val="006A0026"/>
    <w:rsid w:val="006A0369"/>
    <w:rsid w:val="006A1E06"/>
    <w:rsid w:val="006A2905"/>
    <w:rsid w:val="006A31CF"/>
    <w:rsid w:val="006A3913"/>
    <w:rsid w:val="006A3B66"/>
    <w:rsid w:val="006A495F"/>
    <w:rsid w:val="006A4DCE"/>
    <w:rsid w:val="006A524C"/>
    <w:rsid w:val="006B060F"/>
    <w:rsid w:val="006B0C74"/>
    <w:rsid w:val="006B0D07"/>
    <w:rsid w:val="006B166E"/>
    <w:rsid w:val="006B1B3E"/>
    <w:rsid w:val="006B2E83"/>
    <w:rsid w:val="006B4907"/>
    <w:rsid w:val="006B4DC3"/>
    <w:rsid w:val="006B5267"/>
    <w:rsid w:val="006B5F49"/>
    <w:rsid w:val="006B65C4"/>
    <w:rsid w:val="006B6B45"/>
    <w:rsid w:val="006C04A1"/>
    <w:rsid w:val="006C0700"/>
    <w:rsid w:val="006C211F"/>
    <w:rsid w:val="006C341E"/>
    <w:rsid w:val="006C3E41"/>
    <w:rsid w:val="006C450E"/>
    <w:rsid w:val="006C4DDA"/>
    <w:rsid w:val="006C5984"/>
    <w:rsid w:val="006C5DD6"/>
    <w:rsid w:val="006C6E67"/>
    <w:rsid w:val="006C73C4"/>
    <w:rsid w:val="006D0163"/>
    <w:rsid w:val="006D0A58"/>
    <w:rsid w:val="006D0B52"/>
    <w:rsid w:val="006D0CEF"/>
    <w:rsid w:val="006D1716"/>
    <w:rsid w:val="006D1B9B"/>
    <w:rsid w:val="006D2E71"/>
    <w:rsid w:val="006D3DF5"/>
    <w:rsid w:val="006D46D8"/>
    <w:rsid w:val="006D4801"/>
    <w:rsid w:val="006D508C"/>
    <w:rsid w:val="006D52B3"/>
    <w:rsid w:val="006D7667"/>
    <w:rsid w:val="006E01A6"/>
    <w:rsid w:val="006E04E5"/>
    <w:rsid w:val="006E155A"/>
    <w:rsid w:val="006E36A2"/>
    <w:rsid w:val="006E454D"/>
    <w:rsid w:val="006E45D6"/>
    <w:rsid w:val="006E5BBF"/>
    <w:rsid w:val="006E6575"/>
    <w:rsid w:val="006E6F58"/>
    <w:rsid w:val="006F1B98"/>
    <w:rsid w:val="006F1CBC"/>
    <w:rsid w:val="006F32D7"/>
    <w:rsid w:val="006F4575"/>
    <w:rsid w:val="006F462F"/>
    <w:rsid w:val="006F4914"/>
    <w:rsid w:val="006F652B"/>
    <w:rsid w:val="006F7AC4"/>
    <w:rsid w:val="007003D6"/>
    <w:rsid w:val="00700DA9"/>
    <w:rsid w:val="00701E82"/>
    <w:rsid w:val="00702E38"/>
    <w:rsid w:val="00704544"/>
    <w:rsid w:val="00704658"/>
    <w:rsid w:val="0070475D"/>
    <w:rsid w:val="00705A39"/>
    <w:rsid w:val="00705EEA"/>
    <w:rsid w:val="00706068"/>
    <w:rsid w:val="00707337"/>
    <w:rsid w:val="0070799B"/>
    <w:rsid w:val="00710621"/>
    <w:rsid w:val="00710BB4"/>
    <w:rsid w:val="007116B9"/>
    <w:rsid w:val="00712D9A"/>
    <w:rsid w:val="00713BE7"/>
    <w:rsid w:val="00714921"/>
    <w:rsid w:val="00714F51"/>
    <w:rsid w:val="0071513C"/>
    <w:rsid w:val="007153F5"/>
    <w:rsid w:val="00716F10"/>
    <w:rsid w:val="007204BE"/>
    <w:rsid w:val="00720590"/>
    <w:rsid w:val="007210F6"/>
    <w:rsid w:val="00721171"/>
    <w:rsid w:val="00721517"/>
    <w:rsid w:val="00722573"/>
    <w:rsid w:val="00724459"/>
    <w:rsid w:val="0072480F"/>
    <w:rsid w:val="007256BD"/>
    <w:rsid w:val="00726136"/>
    <w:rsid w:val="00730977"/>
    <w:rsid w:val="00730FD8"/>
    <w:rsid w:val="00731214"/>
    <w:rsid w:val="00732A87"/>
    <w:rsid w:val="00733202"/>
    <w:rsid w:val="00735494"/>
    <w:rsid w:val="00737AC0"/>
    <w:rsid w:val="007401BC"/>
    <w:rsid w:val="00740733"/>
    <w:rsid w:val="007411A9"/>
    <w:rsid w:val="007413CA"/>
    <w:rsid w:val="00741D50"/>
    <w:rsid w:val="00743561"/>
    <w:rsid w:val="007438DA"/>
    <w:rsid w:val="00747217"/>
    <w:rsid w:val="00747DAF"/>
    <w:rsid w:val="0075040C"/>
    <w:rsid w:val="007521B6"/>
    <w:rsid w:val="007521F0"/>
    <w:rsid w:val="007525F9"/>
    <w:rsid w:val="00755FF6"/>
    <w:rsid w:val="00757AA4"/>
    <w:rsid w:val="007614FE"/>
    <w:rsid w:val="00761DEE"/>
    <w:rsid w:val="00761F16"/>
    <w:rsid w:val="00762F59"/>
    <w:rsid w:val="00763A2A"/>
    <w:rsid w:val="00764992"/>
    <w:rsid w:val="00764DC7"/>
    <w:rsid w:val="00765431"/>
    <w:rsid w:val="00765A0C"/>
    <w:rsid w:val="00767F4B"/>
    <w:rsid w:val="007705FF"/>
    <w:rsid w:val="00772C5E"/>
    <w:rsid w:val="00773E9F"/>
    <w:rsid w:val="00773FB3"/>
    <w:rsid w:val="0077432B"/>
    <w:rsid w:val="00775E80"/>
    <w:rsid w:val="00776AA0"/>
    <w:rsid w:val="00777149"/>
    <w:rsid w:val="00777F1C"/>
    <w:rsid w:val="00781AC9"/>
    <w:rsid w:val="00781BD3"/>
    <w:rsid w:val="00781FC9"/>
    <w:rsid w:val="00782A86"/>
    <w:rsid w:val="007835BE"/>
    <w:rsid w:val="00784AF2"/>
    <w:rsid w:val="0079074F"/>
    <w:rsid w:val="007907D8"/>
    <w:rsid w:val="00791B53"/>
    <w:rsid w:val="00791DE8"/>
    <w:rsid w:val="00792C02"/>
    <w:rsid w:val="00793F29"/>
    <w:rsid w:val="007946AB"/>
    <w:rsid w:val="007951EE"/>
    <w:rsid w:val="00795B01"/>
    <w:rsid w:val="0079608A"/>
    <w:rsid w:val="00796320"/>
    <w:rsid w:val="007A04D9"/>
    <w:rsid w:val="007A0815"/>
    <w:rsid w:val="007A1382"/>
    <w:rsid w:val="007A146B"/>
    <w:rsid w:val="007A1EC3"/>
    <w:rsid w:val="007A1FC0"/>
    <w:rsid w:val="007A2298"/>
    <w:rsid w:val="007A2DD4"/>
    <w:rsid w:val="007A4429"/>
    <w:rsid w:val="007A75A3"/>
    <w:rsid w:val="007B082C"/>
    <w:rsid w:val="007B0A5A"/>
    <w:rsid w:val="007B2C27"/>
    <w:rsid w:val="007B37A4"/>
    <w:rsid w:val="007B55B2"/>
    <w:rsid w:val="007B60E9"/>
    <w:rsid w:val="007B65E5"/>
    <w:rsid w:val="007B6683"/>
    <w:rsid w:val="007B7594"/>
    <w:rsid w:val="007C04C7"/>
    <w:rsid w:val="007C23D4"/>
    <w:rsid w:val="007C3284"/>
    <w:rsid w:val="007C373E"/>
    <w:rsid w:val="007C37BD"/>
    <w:rsid w:val="007C391B"/>
    <w:rsid w:val="007C4D99"/>
    <w:rsid w:val="007C5751"/>
    <w:rsid w:val="007C5C52"/>
    <w:rsid w:val="007C6874"/>
    <w:rsid w:val="007C7073"/>
    <w:rsid w:val="007C763F"/>
    <w:rsid w:val="007C7C82"/>
    <w:rsid w:val="007D0CA8"/>
    <w:rsid w:val="007D102B"/>
    <w:rsid w:val="007D15B6"/>
    <w:rsid w:val="007D2072"/>
    <w:rsid w:val="007D2F4E"/>
    <w:rsid w:val="007D36C5"/>
    <w:rsid w:val="007D448E"/>
    <w:rsid w:val="007D6BD9"/>
    <w:rsid w:val="007D74BC"/>
    <w:rsid w:val="007E0983"/>
    <w:rsid w:val="007E23AF"/>
    <w:rsid w:val="007E31F6"/>
    <w:rsid w:val="007E4E94"/>
    <w:rsid w:val="007E6055"/>
    <w:rsid w:val="007E72B3"/>
    <w:rsid w:val="007F04BA"/>
    <w:rsid w:val="007F0CD0"/>
    <w:rsid w:val="007F25F8"/>
    <w:rsid w:val="007F33E7"/>
    <w:rsid w:val="007F3CCE"/>
    <w:rsid w:val="007F4429"/>
    <w:rsid w:val="007F44DB"/>
    <w:rsid w:val="007F4A36"/>
    <w:rsid w:val="007F4AAB"/>
    <w:rsid w:val="007F5293"/>
    <w:rsid w:val="007F5A32"/>
    <w:rsid w:val="007F5ED6"/>
    <w:rsid w:val="007F7031"/>
    <w:rsid w:val="007F73BB"/>
    <w:rsid w:val="00800772"/>
    <w:rsid w:val="00800C11"/>
    <w:rsid w:val="008010FC"/>
    <w:rsid w:val="00802256"/>
    <w:rsid w:val="008039FF"/>
    <w:rsid w:val="00804499"/>
    <w:rsid w:val="00806B0D"/>
    <w:rsid w:val="00806CE2"/>
    <w:rsid w:val="00807471"/>
    <w:rsid w:val="0080796A"/>
    <w:rsid w:val="00807F53"/>
    <w:rsid w:val="0081058E"/>
    <w:rsid w:val="00810E06"/>
    <w:rsid w:val="00810F18"/>
    <w:rsid w:val="008123BC"/>
    <w:rsid w:val="008124D3"/>
    <w:rsid w:val="00813926"/>
    <w:rsid w:val="0081420B"/>
    <w:rsid w:val="00814751"/>
    <w:rsid w:val="00814E07"/>
    <w:rsid w:val="00815EED"/>
    <w:rsid w:val="00817364"/>
    <w:rsid w:val="008174AC"/>
    <w:rsid w:val="00820807"/>
    <w:rsid w:val="008231F7"/>
    <w:rsid w:val="008232AF"/>
    <w:rsid w:val="00823AFF"/>
    <w:rsid w:val="00823EED"/>
    <w:rsid w:val="00823F45"/>
    <w:rsid w:val="008244F8"/>
    <w:rsid w:val="008247BD"/>
    <w:rsid w:val="00824B41"/>
    <w:rsid w:val="00824ED1"/>
    <w:rsid w:val="0082621C"/>
    <w:rsid w:val="0082656C"/>
    <w:rsid w:val="0082687D"/>
    <w:rsid w:val="00826E83"/>
    <w:rsid w:val="00827023"/>
    <w:rsid w:val="0082771D"/>
    <w:rsid w:val="00827776"/>
    <w:rsid w:val="0083012D"/>
    <w:rsid w:val="008308C4"/>
    <w:rsid w:val="008308FA"/>
    <w:rsid w:val="00830DAE"/>
    <w:rsid w:val="00831716"/>
    <w:rsid w:val="00831F5F"/>
    <w:rsid w:val="0083220A"/>
    <w:rsid w:val="008324A9"/>
    <w:rsid w:val="008325BC"/>
    <w:rsid w:val="00832C3E"/>
    <w:rsid w:val="00833037"/>
    <w:rsid w:val="00834CBF"/>
    <w:rsid w:val="008357F3"/>
    <w:rsid w:val="008358CD"/>
    <w:rsid w:val="00835D12"/>
    <w:rsid w:val="00837914"/>
    <w:rsid w:val="00837B8C"/>
    <w:rsid w:val="00840665"/>
    <w:rsid w:val="008410A2"/>
    <w:rsid w:val="008428ED"/>
    <w:rsid w:val="008431B5"/>
    <w:rsid w:val="008439CB"/>
    <w:rsid w:val="008444CD"/>
    <w:rsid w:val="00846105"/>
    <w:rsid w:val="00846144"/>
    <w:rsid w:val="00847182"/>
    <w:rsid w:val="00850D17"/>
    <w:rsid w:val="00851DEA"/>
    <w:rsid w:val="00854D04"/>
    <w:rsid w:val="00854D4F"/>
    <w:rsid w:val="00855116"/>
    <w:rsid w:val="008551BF"/>
    <w:rsid w:val="00855215"/>
    <w:rsid w:val="0086082C"/>
    <w:rsid w:val="00862129"/>
    <w:rsid w:val="00863021"/>
    <w:rsid w:val="00863D03"/>
    <w:rsid w:val="00863FC7"/>
    <w:rsid w:val="008647AD"/>
    <w:rsid w:val="008656DE"/>
    <w:rsid w:val="008668A1"/>
    <w:rsid w:val="008669C9"/>
    <w:rsid w:val="00866B97"/>
    <w:rsid w:val="00866FF5"/>
    <w:rsid w:val="008702B4"/>
    <w:rsid w:val="00871B6E"/>
    <w:rsid w:val="00871F0D"/>
    <w:rsid w:val="008732C1"/>
    <w:rsid w:val="008742BC"/>
    <w:rsid w:val="00875524"/>
    <w:rsid w:val="00875C36"/>
    <w:rsid w:val="00876BC5"/>
    <w:rsid w:val="008773C8"/>
    <w:rsid w:val="0088070D"/>
    <w:rsid w:val="00880BC9"/>
    <w:rsid w:val="00881095"/>
    <w:rsid w:val="00882229"/>
    <w:rsid w:val="008840B7"/>
    <w:rsid w:val="008847CB"/>
    <w:rsid w:val="0088493F"/>
    <w:rsid w:val="00884C8B"/>
    <w:rsid w:val="0088513C"/>
    <w:rsid w:val="00885E2C"/>
    <w:rsid w:val="00887899"/>
    <w:rsid w:val="00887D1E"/>
    <w:rsid w:val="00890809"/>
    <w:rsid w:val="00890990"/>
    <w:rsid w:val="0089128A"/>
    <w:rsid w:val="00891BDB"/>
    <w:rsid w:val="00895396"/>
    <w:rsid w:val="008953FE"/>
    <w:rsid w:val="0089602E"/>
    <w:rsid w:val="00896605"/>
    <w:rsid w:val="00897130"/>
    <w:rsid w:val="00897456"/>
    <w:rsid w:val="008A0766"/>
    <w:rsid w:val="008A110A"/>
    <w:rsid w:val="008A1A52"/>
    <w:rsid w:val="008A1F69"/>
    <w:rsid w:val="008A2204"/>
    <w:rsid w:val="008A23B8"/>
    <w:rsid w:val="008A3EFE"/>
    <w:rsid w:val="008A506B"/>
    <w:rsid w:val="008A5270"/>
    <w:rsid w:val="008A5D21"/>
    <w:rsid w:val="008A6384"/>
    <w:rsid w:val="008A68D6"/>
    <w:rsid w:val="008B5406"/>
    <w:rsid w:val="008B6309"/>
    <w:rsid w:val="008B71A7"/>
    <w:rsid w:val="008C0A3A"/>
    <w:rsid w:val="008C0E18"/>
    <w:rsid w:val="008C113C"/>
    <w:rsid w:val="008C3B70"/>
    <w:rsid w:val="008C3E64"/>
    <w:rsid w:val="008C560A"/>
    <w:rsid w:val="008C58FF"/>
    <w:rsid w:val="008C592F"/>
    <w:rsid w:val="008C62A0"/>
    <w:rsid w:val="008C665D"/>
    <w:rsid w:val="008C6C2B"/>
    <w:rsid w:val="008C76AD"/>
    <w:rsid w:val="008D0B22"/>
    <w:rsid w:val="008D0FD7"/>
    <w:rsid w:val="008D1762"/>
    <w:rsid w:val="008D3E05"/>
    <w:rsid w:val="008D4B5E"/>
    <w:rsid w:val="008D5881"/>
    <w:rsid w:val="008D5CE7"/>
    <w:rsid w:val="008E115F"/>
    <w:rsid w:val="008E287F"/>
    <w:rsid w:val="008E3F40"/>
    <w:rsid w:val="008E4296"/>
    <w:rsid w:val="008E629E"/>
    <w:rsid w:val="008E64F6"/>
    <w:rsid w:val="008E6A65"/>
    <w:rsid w:val="008E6B49"/>
    <w:rsid w:val="008F1007"/>
    <w:rsid w:val="008F12E8"/>
    <w:rsid w:val="008F20D6"/>
    <w:rsid w:val="008F2D3D"/>
    <w:rsid w:val="008F34E4"/>
    <w:rsid w:val="008F374B"/>
    <w:rsid w:val="008F4780"/>
    <w:rsid w:val="008F4EA0"/>
    <w:rsid w:val="008F50DD"/>
    <w:rsid w:val="008F56F0"/>
    <w:rsid w:val="008F58A0"/>
    <w:rsid w:val="008F5F45"/>
    <w:rsid w:val="008F60B8"/>
    <w:rsid w:val="008F6C80"/>
    <w:rsid w:val="008F7A0B"/>
    <w:rsid w:val="00900DB5"/>
    <w:rsid w:val="00901894"/>
    <w:rsid w:val="00902123"/>
    <w:rsid w:val="009022CA"/>
    <w:rsid w:val="00902F68"/>
    <w:rsid w:val="009046D1"/>
    <w:rsid w:val="00905163"/>
    <w:rsid w:val="009059C3"/>
    <w:rsid w:val="0090740A"/>
    <w:rsid w:val="00907DCB"/>
    <w:rsid w:val="00910FA9"/>
    <w:rsid w:val="00914321"/>
    <w:rsid w:val="009151D4"/>
    <w:rsid w:val="00915517"/>
    <w:rsid w:val="00916FA3"/>
    <w:rsid w:val="0091776F"/>
    <w:rsid w:val="009215E2"/>
    <w:rsid w:val="00921803"/>
    <w:rsid w:val="00922A39"/>
    <w:rsid w:val="00922B97"/>
    <w:rsid w:val="00922D45"/>
    <w:rsid w:val="009234E1"/>
    <w:rsid w:val="0092409E"/>
    <w:rsid w:val="00924961"/>
    <w:rsid w:val="009256E7"/>
    <w:rsid w:val="00926AC2"/>
    <w:rsid w:val="00927CAB"/>
    <w:rsid w:val="0093064A"/>
    <w:rsid w:val="009307CC"/>
    <w:rsid w:val="00932430"/>
    <w:rsid w:val="00932E1A"/>
    <w:rsid w:val="009332D4"/>
    <w:rsid w:val="00933F58"/>
    <w:rsid w:val="00936E7C"/>
    <w:rsid w:val="0094012D"/>
    <w:rsid w:val="009408B6"/>
    <w:rsid w:val="009416CD"/>
    <w:rsid w:val="009420D3"/>
    <w:rsid w:val="00942171"/>
    <w:rsid w:val="00942298"/>
    <w:rsid w:val="009434DF"/>
    <w:rsid w:val="009437BC"/>
    <w:rsid w:val="009460F3"/>
    <w:rsid w:val="009466C9"/>
    <w:rsid w:val="00946D6E"/>
    <w:rsid w:val="00947979"/>
    <w:rsid w:val="00950658"/>
    <w:rsid w:val="009511BA"/>
    <w:rsid w:val="009512B6"/>
    <w:rsid w:val="00952F68"/>
    <w:rsid w:val="00952F71"/>
    <w:rsid w:val="00953E57"/>
    <w:rsid w:val="00954075"/>
    <w:rsid w:val="009549B8"/>
    <w:rsid w:val="009551E8"/>
    <w:rsid w:val="00955342"/>
    <w:rsid w:val="00955ADB"/>
    <w:rsid w:val="00956FBE"/>
    <w:rsid w:val="0095703B"/>
    <w:rsid w:val="00957751"/>
    <w:rsid w:val="00957885"/>
    <w:rsid w:val="00957D0C"/>
    <w:rsid w:val="00957D9A"/>
    <w:rsid w:val="0096043E"/>
    <w:rsid w:val="00961AE2"/>
    <w:rsid w:val="00961D94"/>
    <w:rsid w:val="00962617"/>
    <w:rsid w:val="009626BD"/>
    <w:rsid w:val="009659B8"/>
    <w:rsid w:val="00965B29"/>
    <w:rsid w:val="00965DF0"/>
    <w:rsid w:val="00966065"/>
    <w:rsid w:val="00971DF1"/>
    <w:rsid w:val="009721FB"/>
    <w:rsid w:val="00973372"/>
    <w:rsid w:val="00976AF0"/>
    <w:rsid w:val="0097786B"/>
    <w:rsid w:val="00980838"/>
    <w:rsid w:val="00980AD7"/>
    <w:rsid w:val="00980C2B"/>
    <w:rsid w:val="00980DFA"/>
    <w:rsid w:val="009813E3"/>
    <w:rsid w:val="009831EE"/>
    <w:rsid w:val="00983BA7"/>
    <w:rsid w:val="00984159"/>
    <w:rsid w:val="009850F3"/>
    <w:rsid w:val="009873E6"/>
    <w:rsid w:val="009875F4"/>
    <w:rsid w:val="00987A0A"/>
    <w:rsid w:val="00987F4F"/>
    <w:rsid w:val="009906CF"/>
    <w:rsid w:val="00991505"/>
    <w:rsid w:val="00992BA6"/>
    <w:rsid w:val="0099396A"/>
    <w:rsid w:val="00993A9E"/>
    <w:rsid w:val="00995839"/>
    <w:rsid w:val="00996522"/>
    <w:rsid w:val="00996778"/>
    <w:rsid w:val="00997A73"/>
    <w:rsid w:val="009A1B15"/>
    <w:rsid w:val="009A1CDB"/>
    <w:rsid w:val="009A4BEB"/>
    <w:rsid w:val="009A4E5D"/>
    <w:rsid w:val="009A509F"/>
    <w:rsid w:val="009A57BD"/>
    <w:rsid w:val="009A6142"/>
    <w:rsid w:val="009A7131"/>
    <w:rsid w:val="009B056D"/>
    <w:rsid w:val="009B09F5"/>
    <w:rsid w:val="009B136E"/>
    <w:rsid w:val="009B23BB"/>
    <w:rsid w:val="009B3130"/>
    <w:rsid w:val="009B3179"/>
    <w:rsid w:val="009B4349"/>
    <w:rsid w:val="009B4A6F"/>
    <w:rsid w:val="009B5376"/>
    <w:rsid w:val="009B5F7E"/>
    <w:rsid w:val="009B63A0"/>
    <w:rsid w:val="009B66C2"/>
    <w:rsid w:val="009B6C97"/>
    <w:rsid w:val="009B6D78"/>
    <w:rsid w:val="009C094A"/>
    <w:rsid w:val="009C0D2B"/>
    <w:rsid w:val="009C186B"/>
    <w:rsid w:val="009C1AFC"/>
    <w:rsid w:val="009C5783"/>
    <w:rsid w:val="009C5BA7"/>
    <w:rsid w:val="009C68FC"/>
    <w:rsid w:val="009D2286"/>
    <w:rsid w:val="009D2EF6"/>
    <w:rsid w:val="009D3630"/>
    <w:rsid w:val="009D46C0"/>
    <w:rsid w:val="009D55AD"/>
    <w:rsid w:val="009D6EDF"/>
    <w:rsid w:val="009D74E5"/>
    <w:rsid w:val="009D7A5F"/>
    <w:rsid w:val="009E0156"/>
    <w:rsid w:val="009E1FC9"/>
    <w:rsid w:val="009E2150"/>
    <w:rsid w:val="009E26A0"/>
    <w:rsid w:val="009E32D7"/>
    <w:rsid w:val="009E3BCD"/>
    <w:rsid w:val="009E408A"/>
    <w:rsid w:val="009E4510"/>
    <w:rsid w:val="009E464F"/>
    <w:rsid w:val="009E5075"/>
    <w:rsid w:val="009E59CF"/>
    <w:rsid w:val="009E5BBD"/>
    <w:rsid w:val="009E6195"/>
    <w:rsid w:val="009E7F1D"/>
    <w:rsid w:val="009F18EF"/>
    <w:rsid w:val="009F402E"/>
    <w:rsid w:val="009F4AAA"/>
    <w:rsid w:val="009F4DC5"/>
    <w:rsid w:val="009F5748"/>
    <w:rsid w:val="009F619A"/>
    <w:rsid w:val="009F79C4"/>
    <w:rsid w:val="00A006EE"/>
    <w:rsid w:val="00A01DD3"/>
    <w:rsid w:val="00A01F8E"/>
    <w:rsid w:val="00A02F76"/>
    <w:rsid w:val="00A032B0"/>
    <w:rsid w:val="00A034F1"/>
    <w:rsid w:val="00A04E3F"/>
    <w:rsid w:val="00A05258"/>
    <w:rsid w:val="00A05563"/>
    <w:rsid w:val="00A05828"/>
    <w:rsid w:val="00A05E29"/>
    <w:rsid w:val="00A06A62"/>
    <w:rsid w:val="00A06E48"/>
    <w:rsid w:val="00A07F0E"/>
    <w:rsid w:val="00A10C13"/>
    <w:rsid w:val="00A1191D"/>
    <w:rsid w:val="00A13AA8"/>
    <w:rsid w:val="00A14BB3"/>
    <w:rsid w:val="00A15AC7"/>
    <w:rsid w:val="00A15DC0"/>
    <w:rsid w:val="00A15FA7"/>
    <w:rsid w:val="00A16552"/>
    <w:rsid w:val="00A17774"/>
    <w:rsid w:val="00A17D65"/>
    <w:rsid w:val="00A203E6"/>
    <w:rsid w:val="00A20601"/>
    <w:rsid w:val="00A207C9"/>
    <w:rsid w:val="00A22A8D"/>
    <w:rsid w:val="00A22A95"/>
    <w:rsid w:val="00A23C07"/>
    <w:rsid w:val="00A2592B"/>
    <w:rsid w:val="00A264BD"/>
    <w:rsid w:val="00A265E0"/>
    <w:rsid w:val="00A26A31"/>
    <w:rsid w:val="00A26A96"/>
    <w:rsid w:val="00A303E6"/>
    <w:rsid w:val="00A31B55"/>
    <w:rsid w:val="00A327D0"/>
    <w:rsid w:val="00A34DCA"/>
    <w:rsid w:val="00A365DF"/>
    <w:rsid w:val="00A36C19"/>
    <w:rsid w:val="00A36C5D"/>
    <w:rsid w:val="00A36CC1"/>
    <w:rsid w:val="00A36D6E"/>
    <w:rsid w:val="00A37FDA"/>
    <w:rsid w:val="00A40830"/>
    <w:rsid w:val="00A409BD"/>
    <w:rsid w:val="00A415AB"/>
    <w:rsid w:val="00A41D6B"/>
    <w:rsid w:val="00A44254"/>
    <w:rsid w:val="00A45077"/>
    <w:rsid w:val="00A4669F"/>
    <w:rsid w:val="00A47365"/>
    <w:rsid w:val="00A47D15"/>
    <w:rsid w:val="00A50ABD"/>
    <w:rsid w:val="00A51425"/>
    <w:rsid w:val="00A51B38"/>
    <w:rsid w:val="00A5257B"/>
    <w:rsid w:val="00A535EC"/>
    <w:rsid w:val="00A5481E"/>
    <w:rsid w:val="00A5520E"/>
    <w:rsid w:val="00A55306"/>
    <w:rsid w:val="00A5540E"/>
    <w:rsid w:val="00A56471"/>
    <w:rsid w:val="00A57CFF"/>
    <w:rsid w:val="00A6096E"/>
    <w:rsid w:val="00A61613"/>
    <w:rsid w:val="00A61645"/>
    <w:rsid w:val="00A61FA1"/>
    <w:rsid w:val="00A62B39"/>
    <w:rsid w:val="00A62FFF"/>
    <w:rsid w:val="00A6324D"/>
    <w:rsid w:val="00A708C4"/>
    <w:rsid w:val="00A70E54"/>
    <w:rsid w:val="00A71C54"/>
    <w:rsid w:val="00A73CF5"/>
    <w:rsid w:val="00A74ABB"/>
    <w:rsid w:val="00A752C2"/>
    <w:rsid w:val="00A75EAF"/>
    <w:rsid w:val="00A7623C"/>
    <w:rsid w:val="00A76355"/>
    <w:rsid w:val="00A80D86"/>
    <w:rsid w:val="00A8573C"/>
    <w:rsid w:val="00A861C6"/>
    <w:rsid w:val="00A86315"/>
    <w:rsid w:val="00A86F8D"/>
    <w:rsid w:val="00A8755C"/>
    <w:rsid w:val="00A877B4"/>
    <w:rsid w:val="00A91B16"/>
    <w:rsid w:val="00A92DA3"/>
    <w:rsid w:val="00A93E87"/>
    <w:rsid w:val="00A9478D"/>
    <w:rsid w:val="00A94918"/>
    <w:rsid w:val="00A94F03"/>
    <w:rsid w:val="00A952DB"/>
    <w:rsid w:val="00A955C2"/>
    <w:rsid w:val="00A9575C"/>
    <w:rsid w:val="00A95A75"/>
    <w:rsid w:val="00A96762"/>
    <w:rsid w:val="00AA0D09"/>
    <w:rsid w:val="00AA16EC"/>
    <w:rsid w:val="00AA223D"/>
    <w:rsid w:val="00AA2419"/>
    <w:rsid w:val="00AA311B"/>
    <w:rsid w:val="00AA3402"/>
    <w:rsid w:val="00AA49BD"/>
    <w:rsid w:val="00AA4BE9"/>
    <w:rsid w:val="00AA53DB"/>
    <w:rsid w:val="00AA56A3"/>
    <w:rsid w:val="00AA5AD5"/>
    <w:rsid w:val="00AA5B57"/>
    <w:rsid w:val="00AB23B9"/>
    <w:rsid w:val="00AB3255"/>
    <w:rsid w:val="00AB49BB"/>
    <w:rsid w:val="00AB4E32"/>
    <w:rsid w:val="00AB5E6E"/>
    <w:rsid w:val="00AB6F88"/>
    <w:rsid w:val="00AB7786"/>
    <w:rsid w:val="00AB7B46"/>
    <w:rsid w:val="00AC103D"/>
    <w:rsid w:val="00AC26BB"/>
    <w:rsid w:val="00AC2816"/>
    <w:rsid w:val="00AC47F9"/>
    <w:rsid w:val="00AC5617"/>
    <w:rsid w:val="00AC5AEE"/>
    <w:rsid w:val="00AC5F71"/>
    <w:rsid w:val="00AC62AF"/>
    <w:rsid w:val="00AD01B8"/>
    <w:rsid w:val="00AD038D"/>
    <w:rsid w:val="00AD1057"/>
    <w:rsid w:val="00AD1D18"/>
    <w:rsid w:val="00AD1DBC"/>
    <w:rsid w:val="00AD23BA"/>
    <w:rsid w:val="00AD3AE4"/>
    <w:rsid w:val="00AD42A8"/>
    <w:rsid w:val="00AD4A25"/>
    <w:rsid w:val="00AD53F7"/>
    <w:rsid w:val="00AD5AD0"/>
    <w:rsid w:val="00AE34AF"/>
    <w:rsid w:val="00AE3BFF"/>
    <w:rsid w:val="00AE4004"/>
    <w:rsid w:val="00AE78DF"/>
    <w:rsid w:val="00AF0924"/>
    <w:rsid w:val="00AF2049"/>
    <w:rsid w:val="00AF2E77"/>
    <w:rsid w:val="00AF3C99"/>
    <w:rsid w:val="00AF4F40"/>
    <w:rsid w:val="00AF54C4"/>
    <w:rsid w:val="00AF7134"/>
    <w:rsid w:val="00B0155F"/>
    <w:rsid w:val="00B018B0"/>
    <w:rsid w:val="00B021B3"/>
    <w:rsid w:val="00B02AEB"/>
    <w:rsid w:val="00B071AF"/>
    <w:rsid w:val="00B07B24"/>
    <w:rsid w:val="00B10015"/>
    <w:rsid w:val="00B100DD"/>
    <w:rsid w:val="00B109D7"/>
    <w:rsid w:val="00B1160C"/>
    <w:rsid w:val="00B133A7"/>
    <w:rsid w:val="00B1369A"/>
    <w:rsid w:val="00B13AE5"/>
    <w:rsid w:val="00B15356"/>
    <w:rsid w:val="00B155DA"/>
    <w:rsid w:val="00B233B2"/>
    <w:rsid w:val="00B24756"/>
    <w:rsid w:val="00B26F90"/>
    <w:rsid w:val="00B27F39"/>
    <w:rsid w:val="00B3032F"/>
    <w:rsid w:val="00B309D6"/>
    <w:rsid w:val="00B30DD6"/>
    <w:rsid w:val="00B31089"/>
    <w:rsid w:val="00B31587"/>
    <w:rsid w:val="00B331DE"/>
    <w:rsid w:val="00B33C0D"/>
    <w:rsid w:val="00B33DFF"/>
    <w:rsid w:val="00B342D7"/>
    <w:rsid w:val="00B35D08"/>
    <w:rsid w:val="00B35FDA"/>
    <w:rsid w:val="00B4028C"/>
    <w:rsid w:val="00B40346"/>
    <w:rsid w:val="00B405AA"/>
    <w:rsid w:val="00B40BC7"/>
    <w:rsid w:val="00B41E8C"/>
    <w:rsid w:val="00B41F65"/>
    <w:rsid w:val="00B426B9"/>
    <w:rsid w:val="00B42964"/>
    <w:rsid w:val="00B43AB3"/>
    <w:rsid w:val="00B440AD"/>
    <w:rsid w:val="00B44504"/>
    <w:rsid w:val="00B457F3"/>
    <w:rsid w:val="00B458B5"/>
    <w:rsid w:val="00B458F5"/>
    <w:rsid w:val="00B45A25"/>
    <w:rsid w:val="00B46269"/>
    <w:rsid w:val="00B514D3"/>
    <w:rsid w:val="00B5198D"/>
    <w:rsid w:val="00B52070"/>
    <w:rsid w:val="00B54E97"/>
    <w:rsid w:val="00B55121"/>
    <w:rsid w:val="00B55385"/>
    <w:rsid w:val="00B55968"/>
    <w:rsid w:val="00B57D3A"/>
    <w:rsid w:val="00B6012A"/>
    <w:rsid w:val="00B609B7"/>
    <w:rsid w:val="00B609E0"/>
    <w:rsid w:val="00B60FBA"/>
    <w:rsid w:val="00B63018"/>
    <w:rsid w:val="00B630A8"/>
    <w:rsid w:val="00B63A30"/>
    <w:rsid w:val="00B640F9"/>
    <w:rsid w:val="00B642AC"/>
    <w:rsid w:val="00B6567D"/>
    <w:rsid w:val="00B65848"/>
    <w:rsid w:val="00B66694"/>
    <w:rsid w:val="00B70247"/>
    <w:rsid w:val="00B71CE0"/>
    <w:rsid w:val="00B753A6"/>
    <w:rsid w:val="00B77743"/>
    <w:rsid w:val="00B80399"/>
    <w:rsid w:val="00B80C33"/>
    <w:rsid w:val="00B82AF1"/>
    <w:rsid w:val="00B833D0"/>
    <w:rsid w:val="00B83F42"/>
    <w:rsid w:val="00B8533E"/>
    <w:rsid w:val="00B8556F"/>
    <w:rsid w:val="00B85C8F"/>
    <w:rsid w:val="00B85EEC"/>
    <w:rsid w:val="00B8638A"/>
    <w:rsid w:val="00B8714E"/>
    <w:rsid w:val="00B8728E"/>
    <w:rsid w:val="00B87513"/>
    <w:rsid w:val="00B91139"/>
    <w:rsid w:val="00B91A6F"/>
    <w:rsid w:val="00B929A3"/>
    <w:rsid w:val="00B92D5F"/>
    <w:rsid w:val="00B93746"/>
    <w:rsid w:val="00B954CE"/>
    <w:rsid w:val="00B957BC"/>
    <w:rsid w:val="00B972AD"/>
    <w:rsid w:val="00BA1FAB"/>
    <w:rsid w:val="00BA345D"/>
    <w:rsid w:val="00BA3C02"/>
    <w:rsid w:val="00BA3C97"/>
    <w:rsid w:val="00BA41F9"/>
    <w:rsid w:val="00BA442C"/>
    <w:rsid w:val="00BA53A4"/>
    <w:rsid w:val="00BA728C"/>
    <w:rsid w:val="00BA7BE4"/>
    <w:rsid w:val="00BB0038"/>
    <w:rsid w:val="00BB0DDC"/>
    <w:rsid w:val="00BB1861"/>
    <w:rsid w:val="00BB241F"/>
    <w:rsid w:val="00BB51E3"/>
    <w:rsid w:val="00BB51FA"/>
    <w:rsid w:val="00BB701E"/>
    <w:rsid w:val="00BC15EC"/>
    <w:rsid w:val="00BC270C"/>
    <w:rsid w:val="00BC2BAF"/>
    <w:rsid w:val="00BC354F"/>
    <w:rsid w:val="00BC3D0C"/>
    <w:rsid w:val="00BC4905"/>
    <w:rsid w:val="00BC67B1"/>
    <w:rsid w:val="00BC7184"/>
    <w:rsid w:val="00BD09C8"/>
    <w:rsid w:val="00BD164B"/>
    <w:rsid w:val="00BD2974"/>
    <w:rsid w:val="00BD2EC8"/>
    <w:rsid w:val="00BD35FE"/>
    <w:rsid w:val="00BD4577"/>
    <w:rsid w:val="00BD47BA"/>
    <w:rsid w:val="00BD538B"/>
    <w:rsid w:val="00BD5F8F"/>
    <w:rsid w:val="00BD6970"/>
    <w:rsid w:val="00BD6D47"/>
    <w:rsid w:val="00BD6D79"/>
    <w:rsid w:val="00BD7C28"/>
    <w:rsid w:val="00BE01DD"/>
    <w:rsid w:val="00BE02DB"/>
    <w:rsid w:val="00BE0B63"/>
    <w:rsid w:val="00BE0CE0"/>
    <w:rsid w:val="00BE0E2B"/>
    <w:rsid w:val="00BE1B6B"/>
    <w:rsid w:val="00BE2FE5"/>
    <w:rsid w:val="00BE32F0"/>
    <w:rsid w:val="00BE3784"/>
    <w:rsid w:val="00BE3D22"/>
    <w:rsid w:val="00BE3D96"/>
    <w:rsid w:val="00BE45F2"/>
    <w:rsid w:val="00BE50AC"/>
    <w:rsid w:val="00BE5432"/>
    <w:rsid w:val="00BE7580"/>
    <w:rsid w:val="00BE7B52"/>
    <w:rsid w:val="00BE7D27"/>
    <w:rsid w:val="00BE7DCC"/>
    <w:rsid w:val="00BF0DC4"/>
    <w:rsid w:val="00BF1B5F"/>
    <w:rsid w:val="00BF1BA8"/>
    <w:rsid w:val="00BF2A93"/>
    <w:rsid w:val="00BF2D3F"/>
    <w:rsid w:val="00BF5569"/>
    <w:rsid w:val="00BF60C2"/>
    <w:rsid w:val="00BF6395"/>
    <w:rsid w:val="00BF6A00"/>
    <w:rsid w:val="00C00457"/>
    <w:rsid w:val="00C0053C"/>
    <w:rsid w:val="00C005C8"/>
    <w:rsid w:val="00C01304"/>
    <w:rsid w:val="00C01353"/>
    <w:rsid w:val="00C01829"/>
    <w:rsid w:val="00C01A75"/>
    <w:rsid w:val="00C01E07"/>
    <w:rsid w:val="00C01F66"/>
    <w:rsid w:val="00C026A7"/>
    <w:rsid w:val="00C0399C"/>
    <w:rsid w:val="00C03DE2"/>
    <w:rsid w:val="00C03E88"/>
    <w:rsid w:val="00C03EC4"/>
    <w:rsid w:val="00C04144"/>
    <w:rsid w:val="00C045DB"/>
    <w:rsid w:val="00C04D11"/>
    <w:rsid w:val="00C05F90"/>
    <w:rsid w:val="00C06F45"/>
    <w:rsid w:val="00C077FE"/>
    <w:rsid w:val="00C11174"/>
    <w:rsid w:val="00C11FE8"/>
    <w:rsid w:val="00C13D1F"/>
    <w:rsid w:val="00C13D68"/>
    <w:rsid w:val="00C154FB"/>
    <w:rsid w:val="00C15C63"/>
    <w:rsid w:val="00C16174"/>
    <w:rsid w:val="00C162DD"/>
    <w:rsid w:val="00C17B88"/>
    <w:rsid w:val="00C24057"/>
    <w:rsid w:val="00C25B64"/>
    <w:rsid w:val="00C25FA4"/>
    <w:rsid w:val="00C26294"/>
    <w:rsid w:val="00C26375"/>
    <w:rsid w:val="00C26621"/>
    <w:rsid w:val="00C267E5"/>
    <w:rsid w:val="00C275E8"/>
    <w:rsid w:val="00C30A01"/>
    <w:rsid w:val="00C319EF"/>
    <w:rsid w:val="00C3218C"/>
    <w:rsid w:val="00C335CD"/>
    <w:rsid w:val="00C33B2E"/>
    <w:rsid w:val="00C33CC1"/>
    <w:rsid w:val="00C34748"/>
    <w:rsid w:val="00C34857"/>
    <w:rsid w:val="00C35661"/>
    <w:rsid w:val="00C35BFF"/>
    <w:rsid w:val="00C35E42"/>
    <w:rsid w:val="00C35F75"/>
    <w:rsid w:val="00C35FF4"/>
    <w:rsid w:val="00C362D0"/>
    <w:rsid w:val="00C36C4F"/>
    <w:rsid w:val="00C40096"/>
    <w:rsid w:val="00C40E96"/>
    <w:rsid w:val="00C417FD"/>
    <w:rsid w:val="00C418C1"/>
    <w:rsid w:val="00C41A93"/>
    <w:rsid w:val="00C41BF9"/>
    <w:rsid w:val="00C41E27"/>
    <w:rsid w:val="00C42651"/>
    <w:rsid w:val="00C42897"/>
    <w:rsid w:val="00C469E8"/>
    <w:rsid w:val="00C47685"/>
    <w:rsid w:val="00C47714"/>
    <w:rsid w:val="00C51CD6"/>
    <w:rsid w:val="00C534A7"/>
    <w:rsid w:val="00C5376F"/>
    <w:rsid w:val="00C5400D"/>
    <w:rsid w:val="00C5446E"/>
    <w:rsid w:val="00C5744C"/>
    <w:rsid w:val="00C5779A"/>
    <w:rsid w:val="00C57C93"/>
    <w:rsid w:val="00C60322"/>
    <w:rsid w:val="00C60E36"/>
    <w:rsid w:val="00C61EC6"/>
    <w:rsid w:val="00C63022"/>
    <w:rsid w:val="00C632AF"/>
    <w:rsid w:val="00C641C5"/>
    <w:rsid w:val="00C64713"/>
    <w:rsid w:val="00C703BF"/>
    <w:rsid w:val="00C704AC"/>
    <w:rsid w:val="00C71617"/>
    <w:rsid w:val="00C72938"/>
    <w:rsid w:val="00C72B26"/>
    <w:rsid w:val="00C73AD8"/>
    <w:rsid w:val="00C74097"/>
    <w:rsid w:val="00C74ACE"/>
    <w:rsid w:val="00C74CCE"/>
    <w:rsid w:val="00C760B9"/>
    <w:rsid w:val="00C760F1"/>
    <w:rsid w:val="00C771EC"/>
    <w:rsid w:val="00C7747C"/>
    <w:rsid w:val="00C77B2F"/>
    <w:rsid w:val="00C81336"/>
    <w:rsid w:val="00C830BF"/>
    <w:rsid w:val="00C83F9C"/>
    <w:rsid w:val="00C84218"/>
    <w:rsid w:val="00C847A6"/>
    <w:rsid w:val="00C84B00"/>
    <w:rsid w:val="00C853D1"/>
    <w:rsid w:val="00C86404"/>
    <w:rsid w:val="00C9046F"/>
    <w:rsid w:val="00C90FE1"/>
    <w:rsid w:val="00C91312"/>
    <w:rsid w:val="00C92EB7"/>
    <w:rsid w:val="00C93071"/>
    <w:rsid w:val="00C93936"/>
    <w:rsid w:val="00C961B1"/>
    <w:rsid w:val="00C967DA"/>
    <w:rsid w:val="00C96D09"/>
    <w:rsid w:val="00C97E84"/>
    <w:rsid w:val="00CA3C87"/>
    <w:rsid w:val="00CA4089"/>
    <w:rsid w:val="00CA42F4"/>
    <w:rsid w:val="00CA6E17"/>
    <w:rsid w:val="00CB1E05"/>
    <w:rsid w:val="00CB1EC5"/>
    <w:rsid w:val="00CB228D"/>
    <w:rsid w:val="00CB4712"/>
    <w:rsid w:val="00CB4FEC"/>
    <w:rsid w:val="00CB5057"/>
    <w:rsid w:val="00CB58E8"/>
    <w:rsid w:val="00CB6089"/>
    <w:rsid w:val="00CB65D9"/>
    <w:rsid w:val="00CC1060"/>
    <w:rsid w:val="00CC2BF1"/>
    <w:rsid w:val="00CC50D1"/>
    <w:rsid w:val="00CC5D30"/>
    <w:rsid w:val="00CC6291"/>
    <w:rsid w:val="00CC6824"/>
    <w:rsid w:val="00CC7057"/>
    <w:rsid w:val="00CD01EF"/>
    <w:rsid w:val="00CD1A5A"/>
    <w:rsid w:val="00CD1C4E"/>
    <w:rsid w:val="00CD391B"/>
    <w:rsid w:val="00CD41E7"/>
    <w:rsid w:val="00CD4586"/>
    <w:rsid w:val="00CD48AA"/>
    <w:rsid w:val="00CD530A"/>
    <w:rsid w:val="00CD6AA3"/>
    <w:rsid w:val="00CD78DD"/>
    <w:rsid w:val="00CE099C"/>
    <w:rsid w:val="00CE5960"/>
    <w:rsid w:val="00CE75F2"/>
    <w:rsid w:val="00CE7B84"/>
    <w:rsid w:val="00CF106E"/>
    <w:rsid w:val="00CF1A8B"/>
    <w:rsid w:val="00CF516B"/>
    <w:rsid w:val="00CF5354"/>
    <w:rsid w:val="00CF5D1F"/>
    <w:rsid w:val="00CF791E"/>
    <w:rsid w:val="00CF7FF3"/>
    <w:rsid w:val="00D00B5B"/>
    <w:rsid w:val="00D00DE3"/>
    <w:rsid w:val="00D0296F"/>
    <w:rsid w:val="00D0357B"/>
    <w:rsid w:val="00D03C61"/>
    <w:rsid w:val="00D05122"/>
    <w:rsid w:val="00D05A0F"/>
    <w:rsid w:val="00D07360"/>
    <w:rsid w:val="00D07DB3"/>
    <w:rsid w:val="00D1154D"/>
    <w:rsid w:val="00D1245B"/>
    <w:rsid w:val="00D141E0"/>
    <w:rsid w:val="00D14898"/>
    <w:rsid w:val="00D14E74"/>
    <w:rsid w:val="00D15267"/>
    <w:rsid w:val="00D152F2"/>
    <w:rsid w:val="00D15490"/>
    <w:rsid w:val="00D15D1B"/>
    <w:rsid w:val="00D15E96"/>
    <w:rsid w:val="00D21AA1"/>
    <w:rsid w:val="00D2269D"/>
    <w:rsid w:val="00D236CF"/>
    <w:rsid w:val="00D2387C"/>
    <w:rsid w:val="00D23AB4"/>
    <w:rsid w:val="00D23F79"/>
    <w:rsid w:val="00D24617"/>
    <w:rsid w:val="00D249B5"/>
    <w:rsid w:val="00D2628F"/>
    <w:rsid w:val="00D262F8"/>
    <w:rsid w:val="00D265DC"/>
    <w:rsid w:val="00D2661E"/>
    <w:rsid w:val="00D26EAB"/>
    <w:rsid w:val="00D273CD"/>
    <w:rsid w:val="00D275EF"/>
    <w:rsid w:val="00D31741"/>
    <w:rsid w:val="00D31DFC"/>
    <w:rsid w:val="00D340B3"/>
    <w:rsid w:val="00D34D81"/>
    <w:rsid w:val="00D34E78"/>
    <w:rsid w:val="00D353B1"/>
    <w:rsid w:val="00D35682"/>
    <w:rsid w:val="00D36025"/>
    <w:rsid w:val="00D37046"/>
    <w:rsid w:val="00D400B9"/>
    <w:rsid w:val="00D4050C"/>
    <w:rsid w:val="00D40C66"/>
    <w:rsid w:val="00D4191A"/>
    <w:rsid w:val="00D42C65"/>
    <w:rsid w:val="00D45F35"/>
    <w:rsid w:val="00D46CB7"/>
    <w:rsid w:val="00D47D20"/>
    <w:rsid w:val="00D50301"/>
    <w:rsid w:val="00D535DB"/>
    <w:rsid w:val="00D550E5"/>
    <w:rsid w:val="00D56024"/>
    <w:rsid w:val="00D56236"/>
    <w:rsid w:val="00D56265"/>
    <w:rsid w:val="00D6125B"/>
    <w:rsid w:val="00D631F3"/>
    <w:rsid w:val="00D63BD5"/>
    <w:rsid w:val="00D63DCF"/>
    <w:rsid w:val="00D64746"/>
    <w:rsid w:val="00D65227"/>
    <w:rsid w:val="00D660FF"/>
    <w:rsid w:val="00D71BF2"/>
    <w:rsid w:val="00D73512"/>
    <w:rsid w:val="00D7375C"/>
    <w:rsid w:val="00D757B5"/>
    <w:rsid w:val="00D75BD6"/>
    <w:rsid w:val="00D75D98"/>
    <w:rsid w:val="00D8024F"/>
    <w:rsid w:val="00D81966"/>
    <w:rsid w:val="00D82005"/>
    <w:rsid w:val="00D842BB"/>
    <w:rsid w:val="00D85769"/>
    <w:rsid w:val="00D86AB2"/>
    <w:rsid w:val="00D903D3"/>
    <w:rsid w:val="00D91517"/>
    <w:rsid w:val="00D92ACF"/>
    <w:rsid w:val="00D92FFF"/>
    <w:rsid w:val="00D9372E"/>
    <w:rsid w:val="00D938E5"/>
    <w:rsid w:val="00D93FE6"/>
    <w:rsid w:val="00D94295"/>
    <w:rsid w:val="00D9512A"/>
    <w:rsid w:val="00D961CD"/>
    <w:rsid w:val="00D9680B"/>
    <w:rsid w:val="00D96F1A"/>
    <w:rsid w:val="00D96F73"/>
    <w:rsid w:val="00D97371"/>
    <w:rsid w:val="00D97829"/>
    <w:rsid w:val="00D97C4B"/>
    <w:rsid w:val="00D97D18"/>
    <w:rsid w:val="00DA06F6"/>
    <w:rsid w:val="00DA0793"/>
    <w:rsid w:val="00DA0B63"/>
    <w:rsid w:val="00DA1651"/>
    <w:rsid w:val="00DA24C5"/>
    <w:rsid w:val="00DA2602"/>
    <w:rsid w:val="00DA2996"/>
    <w:rsid w:val="00DA30E5"/>
    <w:rsid w:val="00DA36CC"/>
    <w:rsid w:val="00DA39D6"/>
    <w:rsid w:val="00DA4791"/>
    <w:rsid w:val="00DA5300"/>
    <w:rsid w:val="00DA609C"/>
    <w:rsid w:val="00DA62A2"/>
    <w:rsid w:val="00DB08FF"/>
    <w:rsid w:val="00DB181A"/>
    <w:rsid w:val="00DB773E"/>
    <w:rsid w:val="00DB799C"/>
    <w:rsid w:val="00DB79D7"/>
    <w:rsid w:val="00DC12E5"/>
    <w:rsid w:val="00DC1DB7"/>
    <w:rsid w:val="00DC2BB1"/>
    <w:rsid w:val="00DC3756"/>
    <w:rsid w:val="00DC3B93"/>
    <w:rsid w:val="00DC46EC"/>
    <w:rsid w:val="00DC477A"/>
    <w:rsid w:val="00DC4A0E"/>
    <w:rsid w:val="00DC4B05"/>
    <w:rsid w:val="00DC4BB1"/>
    <w:rsid w:val="00DC5D36"/>
    <w:rsid w:val="00DC6AC6"/>
    <w:rsid w:val="00DD1471"/>
    <w:rsid w:val="00DD1793"/>
    <w:rsid w:val="00DD1EA2"/>
    <w:rsid w:val="00DD2244"/>
    <w:rsid w:val="00DD3349"/>
    <w:rsid w:val="00DD43E9"/>
    <w:rsid w:val="00DD5940"/>
    <w:rsid w:val="00DD69ED"/>
    <w:rsid w:val="00DD6D5E"/>
    <w:rsid w:val="00DE1BA9"/>
    <w:rsid w:val="00DE2193"/>
    <w:rsid w:val="00DE39C9"/>
    <w:rsid w:val="00DE4422"/>
    <w:rsid w:val="00DE528C"/>
    <w:rsid w:val="00DE59FA"/>
    <w:rsid w:val="00DE6371"/>
    <w:rsid w:val="00DE643B"/>
    <w:rsid w:val="00DE67F4"/>
    <w:rsid w:val="00DE6AC4"/>
    <w:rsid w:val="00DE77F6"/>
    <w:rsid w:val="00DE7C3C"/>
    <w:rsid w:val="00DF0443"/>
    <w:rsid w:val="00DF1465"/>
    <w:rsid w:val="00DF321C"/>
    <w:rsid w:val="00DF3DCB"/>
    <w:rsid w:val="00DF5319"/>
    <w:rsid w:val="00DF59B0"/>
    <w:rsid w:val="00DF65B4"/>
    <w:rsid w:val="00DF6A68"/>
    <w:rsid w:val="00DF6FB5"/>
    <w:rsid w:val="00E01029"/>
    <w:rsid w:val="00E010A1"/>
    <w:rsid w:val="00E0187C"/>
    <w:rsid w:val="00E019A9"/>
    <w:rsid w:val="00E025A0"/>
    <w:rsid w:val="00E02E90"/>
    <w:rsid w:val="00E0371D"/>
    <w:rsid w:val="00E03A25"/>
    <w:rsid w:val="00E04281"/>
    <w:rsid w:val="00E053B9"/>
    <w:rsid w:val="00E06AE3"/>
    <w:rsid w:val="00E07F09"/>
    <w:rsid w:val="00E07F48"/>
    <w:rsid w:val="00E10E2F"/>
    <w:rsid w:val="00E116D0"/>
    <w:rsid w:val="00E1181E"/>
    <w:rsid w:val="00E11BD1"/>
    <w:rsid w:val="00E12EF6"/>
    <w:rsid w:val="00E13731"/>
    <w:rsid w:val="00E138B0"/>
    <w:rsid w:val="00E141C9"/>
    <w:rsid w:val="00E1541E"/>
    <w:rsid w:val="00E155FB"/>
    <w:rsid w:val="00E15D07"/>
    <w:rsid w:val="00E17BFC"/>
    <w:rsid w:val="00E216FE"/>
    <w:rsid w:val="00E2171F"/>
    <w:rsid w:val="00E22B5C"/>
    <w:rsid w:val="00E2311A"/>
    <w:rsid w:val="00E23411"/>
    <w:rsid w:val="00E23AB8"/>
    <w:rsid w:val="00E23F27"/>
    <w:rsid w:val="00E248C0"/>
    <w:rsid w:val="00E25BE6"/>
    <w:rsid w:val="00E25F2C"/>
    <w:rsid w:val="00E26715"/>
    <w:rsid w:val="00E27159"/>
    <w:rsid w:val="00E271C5"/>
    <w:rsid w:val="00E27A43"/>
    <w:rsid w:val="00E3059B"/>
    <w:rsid w:val="00E30907"/>
    <w:rsid w:val="00E31ACE"/>
    <w:rsid w:val="00E3242D"/>
    <w:rsid w:val="00E325BE"/>
    <w:rsid w:val="00E32863"/>
    <w:rsid w:val="00E333D5"/>
    <w:rsid w:val="00E33733"/>
    <w:rsid w:val="00E3406C"/>
    <w:rsid w:val="00E34A01"/>
    <w:rsid w:val="00E35117"/>
    <w:rsid w:val="00E358D9"/>
    <w:rsid w:val="00E3652E"/>
    <w:rsid w:val="00E36854"/>
    <w:rsid w:val="00E37FC5"/>
    <w:rsid w:val="00E40F51"/>
    <w:rsid w:val="00E4652B"/>
    <w:rsid w:val="00E47F47"/>
    <w:rsid w:val="00E51956"/>
    <w:rsid w:val="00E519C8"/>
    <w:rsid w:val="00E51A44"/>
    <w:rsid w:val="00E52FA8"/>
    <w:rsid w:val="00E55C17"/>
    <w:rsid w:val="00E571CD"/>
    <w:rsid w:val="00E57D67"/>
    <w:rsid w:val="00E6071D"/>
    <w:rsid w:val="00E60A6F"/>
    <w:rsid w:val="00E61962"/>
    <w:rsid w:val="00E6205C"/>
    <w:rsid w:val="00E639B6"/>
    <w:rsid w:val="00E63DA6"/>
    <w:rsid w:val="00E64DB5"/>
    <w:rsid w:val="00E64ECF"/>
    <w:rsid w:val="00E6521F"/>
    <w:rsid w:val="00E6598A"/>
    <w:rsid w:val="00E70268"/>
    <w:rsid w:val="00E728A9"/>
    <w:rsid w:val="00E7306C"/>
    <w:rsid w:val="00E73615"/>
    <w:rsid w:val="00E738B3"/>
    <w:rsid w:val="00E74895"/>
    <w:rsid w:val="00E7499A"/>
    <w:rsid w:val="00E75AE1"/>
    <w:rsid w:val="00E75D89"/>
    <w:rsid w:val="00E7630B"/>
    <w:rsid w:val="00E76E01"/>
    <w:rsid w:val="00E8090E"/>
    <w:rsid w:val="00E80D63"/>
    <w:rsid w:val="00E80ED0"/>
    <w:rsid w:val="00E81073"/>
    <w:rsid w:val="00E81204"/>
    <w:rsid w:val="00E82147"/>
    <w:rsid w:val="00E85F36"/>
    <w:rsid w:val="00E866B6"/>
    <w:rsid w:val="00E87E1B"/>
    <w:rsid w:val="00E9065B"/>
    <w:rsid w:val="00E90F3E"/>
    <w:rsid w:val="00E921D0"/>
    <w:rsid w:val="00E9228B"/>
    <w:rsid w:val="00E934B9"/>
    <w:rsid w:val="00E938EB"/>
    <w:rsid w:val="00E9444F"/>
    <w:rsid w:val="00E96EA0"/>
    <w:rsid w:val="00E97B0C"/>
    <w:rsid w:val="00EA018D"/>
    <w:rsid w:val="00EA0A48"/>
    <w:rsid w:val="00EA0C82"/>
    <w:rsid w:val="00EA1457"/>
    <w:rsid w:val="00EA231F"/>
    <w:rsid w:val="00EA2BAB"/>
    <w:rsid w:val="00EA2C10"/>
    <w:rsid w:val="00EA4777"/>
    <w:rsid w:val="00EA4C6A"/>
    <w:rsid w:val="00EA4EBB"/>
    <w:rsid w:val="00EA5CE6"/>
    <w:rsid w:val="00EA6992"/>
    <w:rsid w:val="00EA7128"/>
    <w:rsid w:val="00EA73CE"/>
    <w:rsid w:val="00EA7414"/>
    <w:rsid w:val="00EA7C04"/>
    <w:rsid w:val="00EB0DFC"/>
    <w:rsid w:val="00EB0F1C"/>
    <w:rsid w:val="00EB2B1D"/>
    <w:rsid w:val="00EB4B26"/>
    <w:rsid w:val="00EB4C1D"/>
    <w:rsid w:val="00EB4D4C"/>
    <w:rsid w:val="00EB63FF"/>
    <w:rsid w:val="00EB6A14"/>
    <w:rsid w:val="00EB78C0"/>
    <w:rsid w:val="00EB794A"/>
    <w:rsid w:val="00EB7CD1"/>
    <w:rsid w:val="00EC0091"/>
    <w:rsid w:val="00EC09DC"/>
    <w:rsid w:val="00EC1FC4"/>
    <w:rsid w:val="00EC2217"/>
    <w:rsid w:val="00EC25AE"/>
    <w:rsid w:val="00EC2988"/>
    <w:rsid w:val="00EC304C"/>
    <w:rsid w:val="00EC4807"/>
    <w:rsid w:val="00EC54FF"/>
    <w:rsid w:val="00EC7FF3"/>
    <w:rsid w:val="00ED2C4F"/>
    <w:rsid w:val="00ED327B"/>
    <w:rsid w:val="00ED372B"/>
    <w:rsid w:val="00ED43D3"/>
    <w:rsid w:val="00ED6574"/>
    <w:rsid w:val="00ED7082"/>
    <w:rsid w:val="00ED7290"/>
    <w:rsid w:val="00ED7384"/>
    <w:rsid w:val="00ED7677"/>
    <w:rsid w:val="00EE29BA"/>
    <w:rsid w:val="00EE3DFC"/>
    <w:rsid w:val="00EE3E77"/>
    <w:rsid w:val="00EE6029"/>
    <w:rsid w:val="00EE710C"/>
    <w:rsid w:val="00EE7570"/>
    <w:rsid w:val="00EF05B9"/>
    <w:rsid w:val="00EF0A19"/>
    <w:rsid w:val="00EF15C8"/>
    <w:rsid w:val="00EF23C7"/>
    <w:rsid w:val="00EF260B"/>
    <w:rsid w:val="00EF2FCE"/>
    <w:rsid w:val="00EF3A08"/>
    <w:rsid w:val="00EF3BE9"/>
    <w:rsid w:val="00EF4586"/>
    <w:rsid w:val="00EF57FF"/>
    <w:rsid w:val="00EF6743"/>
    <w:rsid w:val="00F032CF"/>
    <w:rsid w:val="00F10AC5"/>
    <w:rsid w:val="00F10D05"/>
    <w:rsid w:val="00F11872"/>
    <w:rsid w:val="00F11FB4"/>
    <w:rsid w:val="00F13210"/>
    <w:rsid w:val="00F15606"/>
    <w:rsid w:val="00F20537"/>
    <w:rsid w:val="00F21B4E"/>
    <w:rsid w:val="00F21FBE"/>
    <w:rsid w:val="00F22CE7"/>
    <w:rsid w:val="00F23D95"/>
    <w:rsid w:val="00F24C1E"/>
    <w:rsid w:val="00F24CFD"/>
    <w:rsid w:val="00F252B2"/>
    <w:rsid w:val="00F27BA1"/>
    <w:rsid w:val="00F306A0"/>
    <w:rsid w:val="00F31B40"/>
    <w:rsid w:val="00F31D60"/>
    <w:rsid w:val="00F31F38"/>
    <w:rsid w:val="00F32F57"/>
    <w:rsid w:val="00F366F1"/>
    <w:rsid w:val="00F36734"/>
    <w:rsid w:val="00F378A0"/>
    <w:rsid w:val="00F37D46"/>
    <w:rsid w:val="00F4407E"/>
    <w:rsid w:val="00F44091"/>
    <w:rsid w:val="00F466A5"/>
    <w:rsid w:val="00F4693F"/>
    <w:rsid w:val="00F47A40"/>
    <w:rsid w:val="00F51571"/>
    <w:rsid w:val="00F51E6C"/>
    <w:rsid w:val="00F5344B"/>
    <w:rsid w:val="00F53A0A"/>
    <w:rsid w:val="00F53CCF"/>
    <w:rsid w:val="00F54C20"/>
    <w:rsid w:val="00F54DB6"/>
    <w:rsid w:val="00F56251"/>
    <w:rsid w:val="00F56833"/>
    <w:rsid w:val="00F56932"/>
    <w:rsid w:val="00F57515"/>
    <w:rsid w:val="00F614EA"/>
    <w:rsid w:val="00F61553"/>
    <w:rsid w:val="00F626FC"/>
    <w:rsid w:val="00F658CC"/>
    <w:rsid w:val="00F7055F"/>
    <w:rsid w:val="00F70959"/>
    <w:rsid w:val="00F7164D"/>
    <w:rsid w:val="00F7183D"/>
    <w:rsid w:val="00F7245E"/>
    <w:rsid w:val="00F72510"/>
    <w:rsid w:val="00F72CB8"/>
    <w:rsid w:val="00F72DEF"/>
    <w:rsid w:val="00F73CD0"/>
    <w:rsid w:val="00F74CE2"/>
    <w:rsid w:val="00F7562E"/>
    <w:rsid w:val="00F75AF7"/>
    <w:rsid w:val="00F75F84"/>
    <w:rsid w:val="00F7684E"/>
    <w:rsid w:val="00F77965"/>
    <w:rsid w:val="00F82437"/>
    <w:rsid w:val="00F82774"/>
    <w:rsid w:val="00F82CE8"/>
    <w:rsid w:val="00F83491"/>
    <w:rsid w:val="00F85459"/>
    <w:rsid w:val="00F85DA3"/>
    <w:rsid w:val="00F86A4E"/>
    <w:rsid w:val="00F86CE5"/>
    <w:rsid w:val="00F87DA0"/>
    <w:rsid w:val="00F90419"/>
    <w:rsid w:val="00F928B3"/>
    <w:rsid w:val="00F92F20"/>
    <w:rsid w:val="00F936C8"/>
    <w:rsid w:val="00F93AF1"/>
    <w:rsid w:val="00F95896"/>
    <w:rsid w:val="00F96EE5"/>
    <w:rsid w:val="00F97D6E"/>
    <w:rsid w:val="00FA056E"/>
    <w:rsid w:val="00FA1834"/>
    <w:rsid w:val="00FA198D"/>
    <w:rsid w:val="00FA1F69"/>
    <w:rsid w:val="00FA20B9"/>
    <w:rsid w:val="00FA2247"/>
    <w:rsid w:val="00FA34BD"/>
    <w:rsid w:val="00FA3FB2"/>
    <w:rsid w:val="00FA4E4E"/>
    <w:rsid w:val="00FA501E"/>
    <w:rsid w:val="00FA6D16"/>
    <w:rsid w:val="00FA721A"/>
    <w:rsid w:val="00FA7CFC"/>
    <w:rsid w:val="00FA7D06"/>
    <w:rsid w:val="00FB05EA"/>
    <w:rsid w:val="00FB1E21"/>
    <w:rsid w:val="00FB254E"/>
    <w:rsid w:val="00FB2FBB"/>
    <w:rsid w:val="00FB32C9"/>
    <w:rsid w:val="00FB689B"/>
    <w:rsid w:val="00FB706A"/>
    <w:rsid w:val="00FB76DB"/>
    <w:rsid w:val="00FB7994"/>
    <w:rsid w:val="00FC1656"/>
    <w:rsid w:val="00FC1E20"/>
    <w:rsid w:val="00FC2A34"/>
    <w:rsid w:val="00FC2A7E"/>
    <w:rsid w:val="00FC3ABD"/>
    <w:rsid w:val="00FC5D62"/>
    <w:rsid w:val="00FC64A0"/>
    <w:rsid w:val="00FC68B1"/>
    <w:rsid w:val="00FC6DF0"/>
    <w:rsid w:val="00FC6E1D"/>
    <w:rsid w:val="00FC7075"/>
    <w:rsid w:val="00FC7DE4"/>
    <w:rsid w:val="00FD03BE"/>
    <w:rsid w:val="00FD144C"/>
    <w:rsid w:val="00FD1C10"/>
    <w:rsid w:val="00FD1C70"/>
    <w:rsid w:val="00FD2AE2"/>
    <w:rsid w:val="00FD33CB"/>
    <w:rsid w:val="00FD3C81"/>
    <w:rsid w:val="00FD4989"/>
    <w:rsid w:val="00FD4E38"/>
    <w:rsid w:val="00FD63C9"/>
    <w:rsid w:val="00FD654F"/>
    <w:rsid w:val="00FD67DE"/>
    <w:rsid w:val="00FD6DCA"/>
    <w:rsid w:val="00FE0B88"/>
    <w:rsid w:val="00FE0C28"/>
    <w:rsid w:val="00FE7322"/>
    <w:rsid w:val="00FE783A"/>
    <w:rsid w:val="00FF0618"/>
    <w:rsid w:val="00FF076C"/>
    <w:rsid w:val="00FF1857"/>
    <w:rsid w:val="00FF7F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41"/>
    <o:shapelayout v:ext="edit">
      <o:idmap v:ext="edit" data="1"/>
    </o:shapelayout>
  </w:shapeDefaults>
  <w:decimalSymbol w:val="."/>
  <w:listSeparator w:val=","/>
  <w14:docId w14:val="05F6BD52"/>
  <w15:chartTrackingRefBased/>
  <w15:docId w15:val="{D3ABE646-9F7A-48F8-9D98-08C1B1EE7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4801"/>
    <w:pPr>
      <w:spacing w:before="120" w:after="120"/>
      <w:jc w:val="both"/>
    </w:pPr>
    <w:rPr>
      <w:lang w:val="lv-LV"/>
    </w:rPr>
  </w:style>
  <w:style w:type="paragraph" w:styleId="Heading1">
    <w:name w:val="heading 1"/>
    <w:basedOn w:val="Normal"/>
    <w:next w:val="Normal"/>
    <w:link w:val="Heading1Char"/>
    <w:uiPriority w:val="9"/>
    <w:qFormat/>
    <w:rsid w:val="007F44DB"/>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unhideWhenUsed/>
    <w:qFormat/>
    <w:rsid w:val="006D4801"/>
    <w:pPr>
      <w:keepNext/>
      <w:keepLines/>
      <w:spacing w:before="24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unhideWhenUsed/>
    <w:qFormat/>
    <w:rsid w:val="007F44DB"/>
    <w:pPr>
      <w:keepNext/>
      <w:keepLines/>
      <w:spacing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7F44DB"/>
    <w:pPr>
      <w:keepNext/>
      <w:keepLines/>
      <w:spacing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7F44DB"/>
    <w:pPr>
      <w:keepNext/>
      <w:keepLines/>
      <w:spacing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7F44DB"/>
    <w:pPr>
      <w:keepNext/>
      <w:keepLines/>
      <w:spacing w:after="0"/>
      <w:outlineLvl w:val="5"/>
    </w:pPr>
    <w:rPr>
      <w:rFonts w:asciiTheme="majorHAnsi" w:eastAsiaTheme="majorEastAsia" w:hAnsiTheme="majorHAnsi" w:cstheme="majorBidi"/>
      <w:b/>
      <w:bCs/>
      <w:caps/>
      <w:color w:val="868686" w:themeColor="text1" w:themeTint="D9"/>
      <w:sz w:val="20"/>
      <w:szCs w:val="20"/>
    </w:rPr>
  </w:style>
  <w:style w:type="paragraph" w:styleId="Heading7">
    <w:name w:val="heading 7"/>
    <w:basedOn w:val="Normal"/>
    <w:next w:val="Normal"/>
    <w:link w:val="Heading7Char"/>
    <w:uiPriority w:val="9"/>
    <w:semiHidden/>
    <w:unhideWhenUsed/>
    <w:qFormat/>
    <w:rsid w:val="007F44DB"/>
    <w:pPr>
      <w:keepNext/>
      <w:keepLines/>
      <w:spacing w:after="0"/>
      <w:outlineLvl w:val="6"/>
    </w:pPr>
    <w:rPr>
      <w:rFonts w:asciiTheme="majorHAnsi" w:eastAsiaTheme="majorEastAsia" w:hAnsiTheme="majorHAnsi" w:cstheme="majorBidi"/>
      <w:b/>
      <w:bCs/>
      <w:i/>
      <w:iCs/>
      <w:caps/>
      <w:color w:val="868686" w:themeColor="text1" w:themeTint="D9"/>
      <w:sz w:val="20"/>
      <w:szCs w:val="20"/>
    </w:rPr>
  </w:style>
  <w:style w:type="paragraph" w:styleId="Heading8">
    <w:name w:val="heading 8"/>
    <w:basedOn w:val="Normal"/>
    <w:next w:val="Normal"/>
    <w:link w:val="Heading8Char"/>
    <w:uiPriority w:val="9"/>
    <w:semiHidden/>
    <w:unhideWhenUsed/>
    <w:qFormat/>
    <w:rsid w:val="007F44DB"/>
    <w:pPr>
      <w:keepNext/>
      <w:keepLines/>
      <w:spacing w:after="0"/>
      <w:outlineLvl w:val="7"/>
    </w:pPr>
    <w:rPr>
      <w:rFonts w:asciiTheme="majorHAnsi" w:eastAsiaTheme="majorEastAsia" w:hAnsiTheme="majorHAnsi" w:cstheme="majorBidi"/>
      <w:b/>
      <w:bCs/>
      <w:caps/>
      <w:color w:val="B7B7B7" w:themeColor="text1" w:themeTint="80"/>
      <w:sz w:val="20"/>
      <w:szCs w:val="20"/>
    </w:rPr>
  </w:style>
  <w:style w:type="paragraph" w:styleId="Heading9">
    <w:name w:val="heading 9"/>
    <w:basedOn w:val="Normal"/>
    <w:next w:val="Normal"/>
    <w:link w:val="Heading9Char"/>
    <w:uiPriority w:val="9"/>
    <w:semiHidden/>
    <w:unhideWhenUsed/>
    <w:qFormat/>
    <w:rsid w:val="007F44DB"/>
    <w:pPr>
      <w:keepNext/>
      <w:keepLines/>
      <w:spacing w:after="0"/>
      <w:outlineLvl w:val="8"/>
    </w:pPr>
    <w:rPr>
      <w:rFonts w:asciiTheme="majorHAnsi" w:eastAsiaTheme="majorEastAsia" w:hAnsiTheme="majorHAnsi" w:cstheme="majorBidi"/>
      <w:b/>
      <w:bCs/>
      <w:i/>
      <w:iCs/>
      <w:caps/>
      <w:color w:val="B7B7B7"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5AE1"/>
    <w:pPr>
      <w:tabs>
        <w:tab w:val="center" w:pos="4513"/>
        <w:tab w:val="right" w:pos="9026"/>
      </w:tabs>
      <w:spacing w:line="180" w:lineRule="atLeast"/>
    </w:pPr>
    <w:rPr>
      <w:color w:val="EF5205" w:themeColor="accent3"/>
      <w:sz w:val="14"/>
    </w:rPr>
  </w:style>
  <w:style w:type="character" w:customStyle="1" w:styleId="HeaderChar">
    <w:name w:val="Header Char"/>
    <w:basedOn w:val="DefaultParagraphFont"/>
    <w:link w:val="Header"/>
    <w:uiPriority w:val="99"/>
    <w:rsid w:val="00E75AE1"/>
    <w:rPr>
      <w:color w:val="EF5205" w:themeColor="accent3"/>
      <w:sz w:val="14"/>
    </w:rPr>
  </w:style>
  <w:style w:type="paragraph" w:styleId="Footer">
    <w:name w:val="footer"/>
    <w:basedOn w:val="Normal"/>
    <w:link w:val="FooterChar"/>
    <w:uiPriority w:val="99"/>
    <w:unhideWhenUsed/>
    <w:rsid w:val="00E75AE1"/>
    <w:pPr>
      <w:tabs>
        <w:tab w:val="center" w:pos="4513"/>
        <w:tab w:val="right" w:pos="9026"/>
      </w:tabs>
      <w:spacing w:line="240" w:lineRule="auto"/>
    </w:pPr>
    <w:rPr>
      <w:color w:val="EF5205" w:themeColor="accent3"/>
      <w:sz w:val="14"/>
    </w:rPr>
  </w:style>
  <w:style w:type="character" w:customStyle="1" w:styleId="FooterChar">
    <w:name w:val="Footer Char"/>
    <w:basedOn w:val="DefaultParagraphFont"/>
    <w:link w:val="Footer"/>
    <w:uiPriority w:val="99"/>
    <w:rsid w:val="00E75AE1"/>
    <w:rPr>
      <w:color w:val="EF5205" w:themeColor="accent3"/>
      <w:sz w:val="14"/>
    </w:rPr>
  </w:style>
  <w:style w:type="paragraph" w:styleId="BodyText">
    <w:name w:val="Body Text"/>
    <w:basedOn w:val="Normal"/>
    <w:link w:val="BodyTextChar"/>
    <w:uiPriority w:val="99"/>
    <w:unhideWhenUsed/>
    <w:rsid w:val="00F32F57"/>
    <w:pPr>
      <w:spacing w:after="240"/>
    </w:pPr>
  </w:style>
  <w:style w:type="character" w:customStyle="1" w:styleId="BodyTextChar">
    <w:name w:val="Body Text Char"/>
    <w:basedOn w:val="DefaultParagraphFont"/>
    <w:link w:val="BodyText"/>
    <w:uiPriority w:val="99"/>
    <w:rsid w:val="00F32F57"/>
    <w:rPr>
      <w:color w:val="EF5205" w:themeColor="accent3"/>
      <w:sz w:val="21"/>
    </w:rPr>
  </w:style>
  <w:style w:type="table" w:styleId="TableGrid">
    <w:name w:val="Table Grid"/>
    <w:basedOn w:val="TableNormal"/>
    <w:uiPriority w:val="39"/>
    <w:rsid w:val="008810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eText">
    <w:name w:val="Date Text"/>
    <w:basedOn w:val="Normal"/>
    <w:rsid w:val="001B6856"/>
    <w:pPr>
      <w:spacing w:before="240" w:after="720"/>
    </w:pPr>
  </w:style>
  <w:style w:type="paragraph" w:customStyle="1" w:styleId="PersonalSign-off">
    <w:name w:val="Personal Sign-off"/>
    <w:basedOn w:val="Normal"/>
    <w:rsid w:val="00E75AE1"/>
    <w:pPr>
      <w:spacing w:before="480" w:after="1200"/>
    </w:pPr>
  </w:style>
  <w:style w:type="character" w:styleId="Hyperlink">
    <w:name w:val="Hyperlink"/>
    <w:basedOn w:val="DefaultParagraphFont"/>
    <w:uiPriority w:val="99"/>
    <w:unhideWhenUsed/>
    <w:rsid w:val="00D36025"/>
    <w:rPr>
      <w:color w:val="E5007E" w:themeColor="hyperlink"/>
      <w:u w:val="single"/>
    </w:rPr>
  </w:style>
  <w:style w:type="paragraph" w:customStyle="1" w:styleId="TitleorSubjectLine">
    <w:name w:val="Title or Subject Line"/>
    <w:basedOn w:val="Normal"/>
    <w:rsid w:val="00E75AE1"/>
    <w:rPr>
      <w:b/>
    </w:rPr>
  </w:style>
  <w:style w:type="paragraph" w:styleId="BalloonText">
    <w:name w:val="Balloon Text"/>
    <w:basedOn w:val="Normal"/>
    <w:link w:val="BalloonTextChar"/>
    <w:uiPriority w:val="99"/>
    <w:semiHidden/>
    <w:unhideWhenUsed/>
    <w:rsid w:val="002E381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E3819"/>
    <w:rPr>
      <w:rFonts w:ascii="Segoe UI" w:hAnsi="Segoe UI" w:cs="Segoe UI"/>
      <w:color w:val="717171" w:themeColor="text1"/>
      <w:sz w:val="18"/>
      <w:szCs w:val="18"/>
    </w:rPr>
  </w:style>
  <w:style w:type="paragraph" w:customStyle="1" w:styleId="TopSalutation">
    <w:name w:val="Top Salutation"/>
    <w:basedOn w:val="Normal"/>
    <w:rsid w:val="00D15E96"/>
    <w:pPr>
      <w:spacing w:after="240"/>
    </w:pPr>
  </w:style>
  <w:style w:type="paragraph" w:customStyle="1" w:styleId="Default">
    <w:name w:val="Default"/>
    <w:rsid w:val="00277AED"/>
    <w:pPr>
      <w:autoSpaceDE w:val="0"/>
      <w:autoSpaceDN w:val="0"/>
      <w:adjustRightInd w:val="0"/>
      <w:spacing w:after="0" w:line="240" w:lineRule="auto"/>
    </w:pPr>
    <w:rPr>
      <w:rFonts w:ascii="Verdana" w:hAnsi="Verdana" w:cs="Verdana"/>
      <w:color w:val="000000"/>
      <w:sz w:val="24"/>
      <w:szCs w:val="24"/>
      <w:lang w:val="lv-LV"/>
    </w:rPr>
  </w:style>
  <w:style w:type="character" w:styleId="UnresolvedMention">
    <w:name w:val="Unresolved Mention"/>
    <w:basedOn w:val="DefaultParagraphFont"/>
    <w:uiPriority w:val="99"/>
    <w:semiHidden/>
    <w:unhideWhenUsed/>
    <w:rsid w:val="00235574"/>
    <w:rPr>
      <w:color w:val="605E5C"/>
      <w:shd w:val="clear" w:color="auto" w:fill="E1DFDD"/>
    </w:rPr>
  </w:style>
  <w:style w:type="character" w:customStyle="1" w:styleId="Heading1Char">
    <w:name w:val="Heading 1 Char"/>
    <w:basedOn w:val="DefaultParagraphFont"/>
    <w:link w:val="Heading1"/>
    <w:uiPriority w:val="9"/>
    <w:rsid w:val="007F44DB"/>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rsid w:val="006D4801"/>
    <w:rPr>
      <w:rFonts w:asciiTheme="majorHAnsi" w:eastAsiaTheme="majorEastAsia" w:hAnsiTheme="majorHAnsi" w:cstheme="majorBidi"/>
      <w:caps/>
      <w:sz w:val="28"/>
      <w:szCs w:val="28"/>
      <w:lang w:val="lv-LV"/>
    </w:rPr>
  </w:style>
  <w:style w:type="character" w:customStyle="1" w:styleId="Heading3Char">
    <w:name w:val="Heading 3 Char"/>
    <w:basedOn w:val="DefaultParagraphFont"/>
    <w:link w:val="Heading3"/>
    <w:uiPriority w:val="9"/>
    <w:rsid w:val="007F44DB"/>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7F44DB"/>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7F44DB"/>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7F44DB"/>
    <w:rPr>
      <w:rFonts w:asciiTheme="majorHAnsi" w:eastAsiaTheme="majorEastAsia" w:hAnsiTheme="majorHAnsi" w:cstheme="majorBidi"/>
      <w:b/>
      <w:bCs/>
      <w:caps/>
      <w:color w:val="868686" w:themeColor="text1" w:themeTint="D9"/>
      <w:sz w:val="20"/>
      <w:szCs w:val="20"/>
    </w:rPr>
  </w:style>
  <w:style w:type="character" w:customStyle="1" w:styleId="Heading7Char">
    <w:name w:val="Heading 7 Char"/>
    <w:basedOn w:val="DefaultParagraphFont"/>
    <w:link w:val="Heading7"/>
    <w:uiPriority w:val="9"/>
    <w:semiHidden/>
    <w:rsid w:val="007F44DB"/>
    <w:rPr>
      <w:rFonts w:asciiTheme="majorHAnsi" w:eastAsiaTheme="majorEastAsia" w:hAnsiTheme="majorHAnsi" w:cstheme="majorBidi"/>
      <w:b/>
      <w:bCs/>
      <w:i/>
      <w:iCs/>
      <w:caps/>
      <w:color w:val="868686" w:themeColor="text1" w:themeTint="D9"/>
      <w:sz w:val="20"/>
      <w:szCs w:val="20"/>
    </w:rPr>
  </w:style>
  <w:style w:type="character" w:customStyle="1" w:styleId="Heading8Char">
    <w:name w:val="Heading 8 Char"/>
    <w:basedOn w:val="DefaultParagraphFont"/>
    <w:link w:val="Heading8"/>
    <w:uiPriority w:val="9"/>
    <w:semiHidden/>
    <w:rsid w:val="007F44DB"/>
    <w:rPr>
      <w:rFonts w:asciiTheme="majorHAnsi" w:eastAsiaTheme="majorEastAsia" w:hAnsiTheme="majorHAnsi" w:cstheme="majorBidi"/>
      <w:b/>
      <w:bCs/>
      <w:caps/>
      <w:color w:val="B7B7B7" w:themeColor="text1" w:themeTint="80"/>
      <w:sz w:val="20"/>
      <w:szCs w:val="20"/>
    </w:rPr>
  </w:style>
  <w:style w:type="character" w:customStyle="1" w:styleId="Heading9Char">
    <w:name w:val="Heading 9 Char"/>
    <w:basedOn w:val="DefaultParagraphFont"/>
    <w:link w:val="Heading9"/>
    <w:uiPriority w:val="9"/>
    <w:semiHidden/>
    <w:rsid w:val="007F44DB"/>
    <w:rPr>
      <w:rFonts w:asciiTheme="majorHAnsi" w:eastAsiaTheme="majorEastAsia" w:hAnsiTheme="majorHAnsi" w:cstheme="majorBidi"/>
      <w:b/>
      <w:bCs/>
      <w:i/>
      <w:iCs/>
      <w:caps/>
      <w:color w:val="B7B7B7" w:themeColor="text1" w:themeTint="80"/>
      <w:sz w:val="20"/>
      <w:szCs w:val="20"/>
    </w:rPr>
  </w:style>
  <w:style w:type="paragraph" w:styleId="Caption">
    <w:name w:val="caption"/>
    <w:basedOn w:val="Normal"/>
    <w:next w:val="Normal"/>
    <w:uiPriority w:val="35"/>
    <w:semiHidden/>
    <w:unhideWhenUsed/>
    <w:qFormat/>
    <w:rsid w:val="007F44DB"/>
    <w:pPr>
      <w:spacing w:line="240" w:lineRule="auto"/>
    </w:pPr>
    <w:rPr>
      <w:b/>
      <w:bCs/>
      <w:smallCaps/>
      <w:color w:val="A2A2A2" w:themeColor="text1" w:themeTint="A6"/>
    </w:rPr>
  </w:style>
  <w:style w:type="paragraph" w:styleId="Title">
    <w:name w:val="Title"/>
    <w:basedOn w:val="Normal"/>
    <w:next w:val="Normal"/>
    <w:link w:val="TitleChar"/>
    <w:uiPriority w:val="10"/>
    <w:qFormat/>
    <w:rsid w:val="007F44DB"/>
    <w:pPr>
      <w:spacing w:after="0" w:line="240" w:lineRule="auto"/>
      <w:contextualSpacing/>
    </w:pPr>
    <w:rPr>
      <w:rFonts w:asciiTheme="majorHAnsi" w:eastAsiaTheme="majorEastAsia" w:hAnsiTheme="majorHAnsi" w:cstheme="majorBidi"/>
      <w:caps/>
      <w:color w:val="949494" w:themeColor="text1" w:themeTint="BF"/>
      <w:spacing w:val="-10"/>
      <w:sz w:val="72"/>
      <w:szCs w:val="72"/>
    </w:rPr>
  </w:style>
  <w:style w:type="character" w:customStyle="1" w:styleId="TitleChar">
    <w:name w:val="Title Char"/>
    <w:basedOn w:val="DefaultParagraphFont"/>
    <w:link w:val="Title"/>
    <w:uiPriority w:val="10"/>
    <w:rsid w:val="007F44DB"/>
    <w:rPr>
      <w:rFonts w:asciiTheme="majorHAnsi" w:eastAsiaTheme="majorEastAsia" w:hAnsiTheme="majorHAnsi" w:cstheme="majorBidi"/>
      <w:caps/>
      <w:color w:val="949494" w:themeColor="text1" w:themeTint="BF"/>
      <w:spacing w:val="-10"/>
      <w:sz w:val="72"/>
      <w:szCs w:val="72"/>
    </w:rPr>
  </w:style>
  <w:style w:type="paragraph" w:styleId="Subtitle">
    <w:name w:val="Subtitle"/>
    <w:basedOn w:val="Normal"/>
    <w:next w:val="Normal"/>
    <w:link w:val="SubtitleChar"/>
    <w:uiPriority w:val="11"/>
    <w:qFormat/>
    <w:rsid w:val="007F44DB"/>
    <w:pPr>
      <w:numPr>
        <w:ilvl w:val="1"/>
      </w:numPr>
    </w:pPr>
    <w:rPr>
      <w:rFonts w:asciiTheme="majorHAnsi" w:eastAsiaTheme="majorEastAsia" w:hAnsiTheme="majorHAnsi" w:cstheme="majorBidi"/>
      <w:smallCaps/>
      <w:color w:val="A2A2A2" w:themeColor="text1" w:themeTint="A6"/>
      <w:sz w:val="28"/>
      <w:szCs w:val="28"/>
    </w:rPr>
  </w:style>
  <w:style w:type="character" w:customStyle="1" w:styleId="SubtitleChar">
    <w:name w:val="Subtitle Char"/>
    <w:basedOn w:val="DefaultParagraphFont"/>
    <w:link w:val="Subtitle"/>
    <w:uiPriority w:val="11"/>
    <w:rsid w:val="007F44DB"/>
    <w:rPr>
      <w:rFonts w:asciiTheme="majorHAnsi" w:eastAsiaTheme="majorEastAsia" w:hAnsiTheme="majorHAnsi" w:cstheme="majorBidi"/>
      <w:smallCaps/>
      <w:color w:val="A2A2A2" w:themeColor="text1" w:themeTint="A6"/>
      <w:sz w:val="28"/>
      <w:szCs w:val="28"/>
    </w:rPr>
  </w:style>
  <w:style w:type="character" w:styleId="Strong">
    <w:name w:val="Strong"/>
    <w:basedOn w:val="DefaultParagraphFont"/>
    <w:uiPriority w:val="22"/>
    <w:qFormat/>
    <w:rsid w:val="007F44DB"/>
    <w:rPr>
      <w:b/>
      <w:bCs/>
    </w:rPr>
  </w:style>
  <w:style w:type="character" w:styleId="Emphasis">
    <w:name w:val="Emphasis"/>
    <w:basedOn w:val="DefaultParagraphFont"/>
    <w:uiPriority w:val="20"/>
    <w:qFormat/>
    <w:rsid w:val="007F44DB"/>
    <w:rPr>
      <w:i/>
      <w:iCs/>
    </w:rPr>
  </w:style>
  <w:style w:type="paragraph" w:styleId="NoSpacing">
    <w:name w:val="No Spacing"/>
    <w:uiPriority w:val="1"/>
    <w:qFormat/>
    <w:rsid w:val="007F44DB"/>
    <w:pPr>
      <w:spacing w:after="0" w:line="240" w:lineRule="auto"/>
    </w:pPr>
  </w:style>
  <w:style w:type="paragraph" w:styleId="Quote">
    <w:name w:val="Quote"/>
    <w:basedOn w:val="Normal"/>
    <w:next w:val="Normal"/>
    <w:link w:val="QuoteChar"/>
    <w:uiPriority w:val="29"/>
    <w:qFormat/>
    <w:rsid w:val="007F44DB"/>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7F44DB"/>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7F44DB"/>
    <w:pPr>
      <w:spacing w:before="280" w:after="280" w:line="240" w:lineRule="auto"/>
      <w:ind w:left="1080" w:right="1080"/>
      <w:jc w:val="center"/>
    </w:pPr>
    <w:rPr>
      <w:color w:val="949494" w:themeColor="text1" w:themeTint="BF"/>
      <w:sz w:val="32"/>
      <w:szCs w:val="32"/>
    </w:rPr>
  </w:style>
  <w:style w:type="character" w:customStyle="1" w:styleId="IntenseQuoteChar">
    <w:name w:val="Intense Quote Char"/>
    <w:basedOn w:val="DefaultParagraphFont"/>
    <w:link w:val="IntenseQuote"/>
    <w:uiPriority w:val="30"/>
    <w:rsid w:val="007F44DB"/>
    <w:rPr>
      <w:color w:val="949494" w:themeColor="text1" w:themeTint="BF"/>
      <w:sz w:val="32"/>
      <w:szCs w:val="32"/>
    </w:rPr>
  </w:style>
  <w:style w:type="character" w:styleId="SubtleEmphasis">
    <w:name w:val="Subtle Emphasis"/>
    <w:basedOn w:val="DefaultParagraphFont"/>
    <w:uiPriority w:val="19"/>
    <w:qFormat/>
    <w:rsid w:val="007F44DB"/>
    <w:rPr>
      <w:i/>
      <w:iCs/>
      <w:color w:val="A2A2A2" w:themeColor="text1" w:themeTint="A6"/>
    </w:rPr>
  </w:style>
  <w:style w:type="character" w:styleId="IntenseEmphasis">
    <w:name w:val="Intense Emphasis"/>
    <w:basedOn w:val="DefaultParagraphFont"/>
    <w:uiPriority w:val="21"/>
    <w:qFormat/>
    <w:rsid w:val="007F44DB"/>
    <w:rPr>
      <w:b/>
      <w:bCs/>
      <w:i/>
      <w:iCs/>
    </w:rPr>
  </w:style>
  <w:style w:type="character" w:styleId="SubtleReference">
    <w:name w:val="Subtle Reference"/>
    <w:basedOn w:val="DefaultParagraphFont"/>
    <w:uiPriority w:val="31"/>
    <w:qFormat/>
    <w:rsid w:val="007F44DB"/>
    <w:rPr>
      <w:smallCaps/>
      <w:color w:val="949494" w:themeColor="text1" w:themeTint="BF"/>
      <w:u w:val="single" w:color="B7B7B7" w:themeColor="text1" w:themeTint="80"/>
    </w:rPr>
  </w:style>
  <w:style w:type="character" w:styleId="IntenseReference">
    <w:name w:val="Intense Reference"/>
    <w:basedOn w:val="DefaultParagraphFont"/>
    <w:uiPriority w:val="32"/>
    <w:qFormat/>
    <w:rsid w:val="007F44DB"/>
    <w:rPr>
      <w:b/>
      <w:bCs/>
      <w:caps w:val="0"/>
      <w:smallCaps/>
      <w:color w:val="auto"/>
      <w:spacing w:val="3"/>
      <w:u w:val="single"/>
    </w:rPr>
  </w:style>
  <w:style w:type="character" w:styleId="BookTitle">
    <w:name w:val="Book Title"/>
    <w:basedOn w:val="DefaultParagraphFont"/>
    <w:uiPriority w:val="33"/>
    <w:qFormat/>
    <w:rsid w:val="007F44DB"/>
    <w:rPr>
      <w:b/>
      <w:bCs/>
      <w:smallCaps/>
      <w:spacing w:val="7"/>
    </w:rPr>
  </w:style>
  <w:style w:type="paragraph" w:styleId="TOCHeading">
    <w:name w:val="TOC Heading"/>
    <w:basedOn w:val="Heading1"/>
    <w:next w:val="Normal"/>
    <w:uiPriority w:val="39"/>
    <w:unhideWhenUsed/>
    <w:qFormat/>
    <w:rsid w:val="007F44DB"/>
    <w:pPr>
      <w:outlineLvl w:val="9"/>
    </w:pPr>
  </w:style>
  <w:style w:type="paragraph" w:styleId="TOC1">
    <w:name w:val="toc 1"/>
    <w:basedOn w:val="Normal"/>
    <w:next w:val="Normal"/>
    <w:autoRedefine/>
    <w:uiPriority w:val="39"/>
    <w:unhideWhenUsed/>
    <w:rsid w:val="002824E6"/>
    <w:pPr>
      <w:tabs>
        <w:tab w:val="left" w:pos="440"/>
        <w:tab w:val="right" w:leader="dot" w:pos="9346"/>
      </w:tabs>
      <w:spacing w:after="100"/>
    </w:pPr>
  </w:style>
  <w:style w:type="paragraph" w:styleId="TOC2">
    <w:name w:val="toc 2"/>
    <w:basedOn w:val="Normal"/>
    <w:next w:val="Normal"/>
    <w:autoRedefine/>
    <w:uiPriority w:val="39"/>
    <w:unhideWhenUsed/>
    <w:rsid w:val="007F44DB"/>
    <w:pPr>
      <w:spacing w:after="100"/>
      <w:ind w:left="220"/>
    </w:pPr>
  </w:style>
  <w:style w:type="paragraph" w:styleId="FootnoteText">
    <w:name w:val="footnote text"/>
    <w:basedOn w:val="Normal"/>
    <w:link w:val="FootnoteTextChar"/>
    <w:uiPriority w:val="99"/>
    <w:semiHidden/>
    <w:unhideWhenUsed/>
    <w:rsid w:val="007F44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F44DB"/>
    <w:rPr>
      <w:sz w:val="20"/>
      <w:szCs w:val="20"/>
    </w:rPr>
  </w:style>
  <w:style w:type="character" w:styleId="FootnoteReference">
    <w:name w:val="footnote reference"/>
    <w:basedOn w:val="DefaultParagraphFont"/>
    <w:uiPriority w:val="99"/>
    <w:semiHidden/>
    <w:unhideWhenUsed/>
    <w:rsid w:val="007F44DB"/>
    <w:rPr>
      <w:vertAlign w:val="superscript"/>
    </w:rPr>
  </w:style>
  <w:style w:type="paragraph" w:styleId="ListParagraph">
    <w:name w:val="List Paragraph"/>
    <w:basedOn w:val="Normal"/>
    <w:uiPriority w:val="34"/>
    <w:qFormat/>
    <w:rsid w:val="00E64DB5"/>
    <w:pPr>
      <w:ind w:left="720"/>
      <w:contextualSpacing/>
    </w:pPr>
  </w:style>
  <w:style w:type="table" w:styleId="PlainTable2">
    <w:name w:val="Plain Table 2"/>
    <w:basedOn w:val="TableNormal"/>
    <w:uiPriority w:val="42"/>
    <w:rsid w:val="004E7FC4"/>
    <w:pPr>
      <w:spacing w:after="0" w:line="240" w:lineRule="auto"/>
    </w:pPr>
    <w:tblPr>
      <w:tblStyleRowBandSize w:val="1"/>
      <w:tblStyleColBandSize w:val="1"/>
      <w:tblBorders>
        <w:top w:val="single" w:sz="4" w:space="0" w:color="B7B7B7" w:themeColor="text1" w:themeTint="80"/>
        <w:bottom w:val="single" w:sz="4" w:space="0" w:color="B7B7B7" w:themeColor="text1" w:themeTint="80"/>
      </w:tblBorders>
    </w:tblPr>
    <w:tblStylePr w:type="firstRow">
      <w:rPr>
        <w:b/>
        <w:bCs/>
      </w:rPr>
      <w:tblPr/>
      <w:tcPr>
        <w:tcBorders>
          <w:bottom w:val="single" w:sz="4" w:space="0" w:color="B7B7B7" w:themeColor="text1" w:themeTint="80"/>
        </w:tcBorders>
      </w:tcPr>
    </w:tblStylePr>
    <w:tblStylePr w:type="lastRow">
      <w:rPr>
        <w:b/>
        <w:bCs/>
      </w:rPr>
      <w:tblPr/>
      <w:tcPr>
        <w:tcBorders>
          <w:top w:val="single" w:sz="4" w:space="0" w:color="B7B7B7" w:themeColor="text1" w:themeTint="80"/>
        </w:tcBorders>
      </w:tcPr>
    </w:tblStylePr>
    <w:tblStylePr w:type="firstCol">
      <w:rPr>
        <w:b/>
        <w:bCs/>
      </w:rPr>
    </w:tblStylePr>
    <w:tblStylePr w:type="lastCol">
      <w:rPr>
        <w:b/>
        <w:bCs/>
      </w:rPr>
    </w:tblStylePr>
    <w:tblStylePr w:type="band1Vert">
      <w:tblPr/>
      <w:tcPr>
        <w:tcBorders>
          <w:left w:val="single" w:sz="4" w:space="0" w:color="B7B7B7" w:themeColor="text1" w:themeTint="80"/>
          <w:right w:val="single" w:sz="4" w:space="0" w:color="B7B7B7" w:themeColor="text1" w:themeTint="80"/>
        </w:tcBorders>
      </w:tcPr>
    </w:tblStylePr>
    <w:tblStylePr w:type="band2Vert">
      <w:tblPr/>
      <w:tcPr>
        <w:tcBorders>
          <w:left w:val="single" w:sz="4" w:space="0" w:color="B7B7B7" w:themeColor="text1" w:themeTint="80"/>
          <w:right w:val="single" w:sz="4" w:space="0" w:color="B7B7B7" w:themeColor="text1" w:themeTint="80"/>
        </w:tcBorders>
      </w:tcPr>
    </w:tblStylePr>
    <w:tblStylePr w:type="band1Horz">
      <w:tblPr/>
      <w:tcPr>
        <w:tcBorders>
          <w:top w:val="single" w:sz="4" w:space="0" w:color="B7B7B7" w:themeColor="text1" w:themeTint="80"/>
          <w:bottom w:val="single" w:sz="4" w:space="0" w:color="B7B7B7" w:themeColor="text1" w:themeTint="80"/>
        </w:tcBorders>
      </w:tcPr>
    </w:tblStylePr>
  </w:style>
  <w:style w:type="table" w:styleId="TableGridLight">
    <w:name w:val="Grid Table Light"/>
    <w:basedOn w:val="TableNormal"/>
    <w:uiPriority w:val="40"/>
    <w:rsid w:val="001C104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493778"/>
    <w:pPr>
      <w:spacing w:after="0" w:line="240" w:lineRule="auto"/>
    </w:pPr>
    <w:tblPr>
      <w:tblStyleRowBandSize w:val="1"/>
      <w:tblStyleColBandSize w:val="1"/>
      <w:tblBorders>
        <w:top w:val="single" w:sz="4" w:space="0" w:color="C6C6C6" w:themeColor="text1" w:themeTint="66"/>
        <w:left w:val="single" w:sz="4" w:space="0" w:color="C6C6C6" w:themeColor="text1" w:themeTint="66"/>
        <w:bottom w:val="single" w:sz="4" w:space="0" w:color="C6C6C6" w:themeColor="text1" w:themeTint="66"/>
        <w:right w:val="single" w:sz="4" w:space="0" w:color="C6C6C6" w:themeColor="text1" w:themeTint="66"/>
        <w:insideH w:val="single" w:sz="4" w:space="0" w:color="C6C6C6" w:themeColor="text1" w:themeTint="66"/>
        <w:insideV w:val="single" w:sz="4" w:space="0" w:color="C6C6C6" w:themeColor="text1" w:themeTint="66"/>
      </w:tblBorders>
    </w:tblPr>
    <w:tblStylePr w:type="firstRow">
      <w:rPr>
        <w:b/>
        <w:bCs/>
      </w:rPr>
      <w:tblPr/>
      <w:tcPr>
        <w:tcBorders>
          <w:bottom w:val="single" w:sz="12" w:space="0" w:color="A9A9A9" w:themeColor="text1" w:themeTint="99"/>
        </w:tcBorders>
      </w:tcPr>
    </w:tblStylePr>
    <w:tblStylePr w:type="lastRow">
      <w:rPr>
        <w:b/>
        <w:bCs/>
      </w:rPr>
      <w:tblPr/>
      <w:tcPr>
        <w:tcBorders>
          <w:top w:val="double" w:sz="2" w:space="0" w:color="A9A9A9" w:themeColor="text1" w:themeTint="99"/>
        </w:tcBorders>
      </w:tcPr>
    </w:tblStylePr>
    <w:tblStylePr w:type="firstCol">
      <w:rPr>
        <w:b/>
        <w:bCs/>
      </w:rPr>
    </w:tblStylePr>
    <w:tblStylePr w:type="lastCol">
      <w:rPr>
        <w:b/>
        <w:bCs/>
      </w:rPr>
    </w:tblStylePr>
  </w:style>
  <w:style w:type="paragraph" w:styleId="TOC3">
    <w:name w:val="toc 3"/>
    <w:basedOn w:val="Normal"/>
    <w:next w:val="Normal"/>
    <w:autoRedefine/>
    <w:uiPriority w:val="39"/>
    <w:unhideWhenUsed/>
    <w:rsid w:val="000B3C82"/>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80549">
      <w:bodyDiv w:val="1"/>
      <w:marLeft w:val="0"/>
      <w:marRight w:val="0"/>
      <w:marTop w:val="0"/>
      <w:marBottom w:val="0"/>
      <w:divBdr>
        <w:top w:val="none" w:sz="0" w:space="0" w:color="auto"/>
        <w:left w:val="none" w:sz="0" w:space="0" w:color="auto"/>
        <w:bottom w:val="none" w:sz="0" w:space="0" w:color="auto"/>
        <w:right w:val="none" w:sz="0" w:space="0" w:color="auto"/>
      </w:divBdr>
    </w:div>
    <w:div w:id="145561115">
      <w:bodyDiv w:val="1"/>
      <w:marLeft w:val="0"/>
      <w:marRight w:val="0"/>
      <w:marTop w:val="0"/>
      <w:marBottom w:val="0"/>
      <w:divBdr>
        <w:top w:val="none" w:sz="0" w:space="0" w:color="auto"/>
        <w:left w:val="none" w:sz="0" w:space="0" w:color="auto"/>
        <w:bottom w:val="none" w:sz="0" w:space="0" w:color="auto"/>
        <w:right w:val="none" w:sz="0" w:space="0" w:color="auto"/>
      </w:divBdr>
    </w:div>
    <w:div w:id="379210787">
      <w:bodyDiv w:val="1"/>
      <w:marLeft w:val="0"/>
      <w:marRight w:val="0"/>
      <w:marTop w:val="0"/>
      <w:marBottom w:val="0"/>
      <w:divBdr>
        <w:top w:val="none" w:sz="0" w:space="0" w:color="auto"/>
        <w:left w:val="none" w:sz="0" w:space="0" w:color="auto"/>
        <w:bottom w:val="none" w:sz="0" w:space="0" w:color="auto"/>
        <w:right w:val="none" w:sz="0" w:space="0" w:color="auto"/>
      </w:divBdr>
    </w:div>
    <w:div w:id="709646153">
      <w:bodyDiv w:val="1"/>
      <w:marLeft w:val="0"/>
      <w:marRight w:val="0"/>
      <w:marTop w:val="0"/>
      <w:marBottom w:val="0"/>
      <w:divBdr>
        <w:top w:val="none" w:sz="0" w:space="0" w:color="auto"/>
        <w:left w:val="none" w:sz="0" w:space="0" w:color="auto"/>
        <w:bottom w:val="none" w:sz="0" w:space="0" w:color="auto"/>
        <w:right w:val="none" w:sz="0" w:space="0" w:color="auto"/>
      </w:divBdr>
    </w:div>
    <w:div w:id="754017347">
      <w:bodyDiv w:val="1"/>
      <w:marLeft w:val="0"/>
      <w:marRight w:val="0"/>
      <w:marTop w:val="0"/>
      <w:marBottom w:val="0"/>
      <w:divBdr>
        <w:top w:val="none" w:sz="0" w:space="0" w:color="auto"/>
        <w:left w:val="none" w:sz="0" w:space="0" w:color="auto"/>
        <w:bottom w:val="none" w:sz="0" w:space="0" w:color="auto"/>
        <w:right w:val="none" w:sz="0" w:space="0" w:color="auto"/>
      </w:divBdr>
    </w:div>
    <w:div w:id="973289196">
      <w:bodyDiv w:val="1"/>
      <w:marLeft w:val="0"/>
      <w:marRight w:val="0"/>
      <w:marTop w:val="0"/>
      <w:marBottom w:val="0"/>
      <w:divBdr>
        <w:top w:val="none" w:sz="0" w:space="0" w:color="auto"/>
        <w:left w:val="none" w:sz="0" w:space="0" w:color="auto"/>
        <w:bottom w:val="none" w:sz="0" w:space="0" w:color="auto"/>
        <w:right w:val="none" w:sz="0" w:space="0" w:color="auto"/>
      </w:divBdr>
    </w:div>
    <w:div w:id="1013341182">
      <w:bodyDiv w:val="1"/>
      <w:marLeft w:val="0"/>
      <w:marRight w:val="0"/>
      <w:marTop w:val="0"/>
      <w:marBottom w:val="0"/>
      <w:divBdr>
        <w:top w:val="none" w:sz="0" w:space="0" w:color="auto"/>
        <w:left w:val="none" w:sz="0" w:space="0" w:color="auto"/>
        <w:bottom w:val="none" w:sz="0" w:space="0" w:color="auto"/>
        <w:right w:val="none" w:sz="0" w:space="0" w:color="auto"/>
      </w:divBdr>
    </w:div>
    <w:div w:id="1025474180">
      <w:bodyDiv w:val="1"/>
      <w:marLeft w:val="0"/>
      <w:marRight w:val="0"/>
      <w:marTop w:val="0"/>
      <w:marBottom w:val="0"/>
      <w:divBdr>
        <w:top w:val="none" w:sz="0" w:space="0" w:color="auto"/>
        <w:left w:val="none" w:sz="0" w:space="0" w:color="auto"/>
        <w:bottom w:val="none" w:sz="0" w:space="0" w:color="auto"/>
        <w:right w:val="none" w:sz="0" w:space="0" w:color="auto"/>
      </w:divBdr>
    </w:div>
    <w:div w:id="1198785368">
      <w:bodyDiv w:val="1"/>
      <w:marLeft w:val="0"/>
      <w:marRight w:val="0"/>
      <w:marTop w:val="0"/>
      <w:marBottom w:val="0"/>
      <w:divBdr>
        <w:top w:val="none" w:sz="0" w:space="0" w:color="auto"/>
        <w:left w:val="none" w:sz="0" w:space="0" w:color="auto"/>
        <w:bottom w:val="none" w:sz="0" w:space="0" w:color="auto"/>
        <w:right w:val="none" w:sz="0" w:space="0" w:color="auto"/>
      </w:divBdr>
    </w:div>
    <w:div w:id="1337460015">
      <w:bodyDiv w:val="1"/>
      <w:marLeft w:val="0"/>
      <w:marRight w:val="0"/>
      <w:marTop w:val="0"/>
      <w:marBottom w:val="0"/>
      <w:divBdr>
        <w:top w:val="none" w:sz="0" w:space="0" w:color="auto"/>
        <w:left w:val="none" w:sz="0" w:space="0" w:color="auto"/>
        <w:bottom w:val="none" w:sz="0" w:space="0" w:color="auto"/>
        <w:right w:val="none" w:sz="0" w:space="0" w:color="auto"/>
      </w:divBdr>
    </w:div>
    <w:div w:id="1514995921">
      <w:bodyDiv w:val="1"/>
      <w:marLeft w:val="0"/>
      <w:marRight w:val="0"/>
      <w:marTop w:val="0"/>
      <w:marBottom w:val="0"/>
      <w:divBdr>
        <w:top w:val="none" w:sz="0" w:space="0" w:color="auto"/>
        <w:left w:val="none" w:sz="0" w:space="0" w:color="auto"/>
        <w:bottom w:val="none" w:sz="0" w:space="0" w:color="auto"/>
        <w:right w:val="none" w:sz="0" w:space="0" w:color="auto"/>
      </w:divBdr>
    </w:div>
    <w:div w:id="1733893796">
      <w:bodyDiv w:val="1"/>
      <w:marLeft w:val="0"/>
      <w:marRight w:val="0"/>
      <w:marTop w:val="0"/>
      <w:marBottom w:val="0"/>
      <w:divBdr>
        <w:top w:val="none" w:sz="0" w:space="0" w:color="auto"/>
        <w:left w:val="none" w:sz="0" w:space="0" w:color="auto"/>
        <w:bottom w:val="none" w:sz="0" w:space="0" w:color="auto"/>
        <w:right w:val="none" w:sz="0" w:space="0" w:color="auto"/>
      </w:divBdr>
    </w:div>
    <w:div w:id="1916083334">
      <w:bodyDiv w:val="1"/>
      <w:marLeft w:val="0"/>
      <w:marRight w:val="0"/>
      <w:marTop w:val="0"/>
      <w:marBottom w:val="0"/>
      <w:divBdr>
        <w:top w:val="none" w:sz="0" w:space="0" w:color="auto"/>
        <w:left w:val="none" w:sz="0" w:space="0" w:color="auto"/>
        <w:bottom w:val="none" w:sz="0" w:space="0" w:color="auto"/>
        <w:right w:val="none" w:sz="0" w:space="0" w:color="auto"/>
      </w:divBdr>
    </w:div>
    <w:div w:id="1960910067">
      <w:bodyDiv w:val="1"/>
      <w:marLeft w:val="0"/>
      <w:marRight w:val="0"/>
      <w:marTop w:val="0"/>
      <w:marBottom w:val="0"/>
      <w:divBdr>
        <w:top w:val="none" w:sz="0" w:space="0" w:color="auto"/>
        <w:left w:val="none" w:sz="0" w:space="0" w:color="auto"/>
        <w:bottom w:val="none" w:sz="0" w:space="0" w:color="auto"/>
        <w:right w:val="none" w:sz="0" w:space="0" w:color="auto"/>
      </w:divBdr>
    </w:div>
    <w:div w:id="2090541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chart" Target="charts/chart11.xml"/><Relationship Id="rId7" Type="http://schemas.openxmlformats.org/officeDocument/2006/relationships/settings" Target="setting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chart" Target="charts/chart6.xml"/><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hart" Target="charts/chart1.xm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10.xml"/><Relationship Id="rId1" Type="http://schemas.openxmlformats.org/officeDocument/2006/relationships/package" Target="../embeddings/Microsoft_Excel_Worksheet9.xlsx"/></Relationships>
</file>

<file path=word/charts/_rels/chart11.xml.rels><?xml version="1.0" encoding="UTF-8" standalone="yes"?>
<Relationships xmlns="http://schemas.openxmlformats.org/package/2006/relationships"><Relationship Id="rId3" Type="http://schemas.openxmlformats.org/officeDocument/2006/relationships/chartUserShapes" Target="../drawings/drawing11.xml"/><Relationship Id="rId2" Type="http://schemas.openxmlformats.org/officeDocument/2006/relationships/package" Target="../embeddings/Microsoft_Excel_Worksheet10.xlsx"/><Relationship Id="rId1" Type="http://schemas.openxmlformats.org/officeDocument/2006/relationships/themeOverride" Target="../theme/themeOverride7.xml"/></Relationships>
</file>

<file path=word/charts/_rels/chart12.xml.rels><?xml version="1.0" encoding="UTF-8" standalone="yes"?>
<Relationships xmlns="http://schemas.openxmlformats.org/package/2006/relationships"><Relationship Id="rId3" Type="http://schemas.openxmlformats.org/officeDocument/2006/relationships/chartUserShapes" Target="../drawings/drawing12.xml"/><Relationship Id="rId2" Type="http://schemas.openxmlformats.org/officeDocument/2006/relationships/package" Target="../embeddings/Microsoft_Excel_Worksheet11.xlsx"/><Relationship Id="rId1" Type="http://schemas.openxmlformats.org/officeDocument/2006/relationships/themeOverride" Target="../theme/themeOverride8.xm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13.xml"/><Relationship Id="rId1" Type="http://schemas.openxmlformats.org/officeDocument/2006/relationships/package" Target="../embeddings/Microsoft_Excel_Worksheet12.xlsx"/></Relationships>
</file>

<file path=word/charts/_rels/chart2.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3" Type="http://schemas.openxmlformats.org/officeDocument/2006/relationships/chartUserShapes" Target="../drawings/drawing3.xml"/><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package" Target="../embeddings/Microsoft_Excel_Worksheet4.xlsx"/></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6.xml"/><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7.xml.rels><?xml version="1.0" encoding="UTF-8" standalone="yes"?>
<Relationships xmlns="http://schemas.openxmlformats.org/package/2006/relationships"><Relationship Id="rId3" Type="http://schemas.openxmlformats.org/officeDocument/2006/relationships/chartUserShapes" Target="../drawings/drawing7.xml"/><Relationship Id="rId2" Type="http://schemas.openxmlformats.org/officeDocument/2006/relationships/package" Target="../embeddings/Microsoft_Excel_Worksheet6.xlsx"/><Relationship Id="rId1" Type="http://schemas.openxmlformats.org/officeDocument/2006/relationships/themeOverride" Target="../theme/themeOverride5.xm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package" Target="../embeddings/Microsoft_Excel_Worksheet7.xlsx"/></Relationships>
</file>

<file path=word/charts/_rels/chart9.xml.rels><?xml version="1.0" encoding="UTF-8" standalone="yes"?>
<Relationships xmlns="http://schemas.openxmlformats.org/package/2006/relationships"><Relationship Id="rId3" Type="http://schemas.openxmlformats.org/officeDocument/2006/relationships/chartUserShapes" Target="../drawings/drawing9.xml"/><Relationship Id="rId2" Type="http://schemas.openxmlformats.org/officeDocument/2006/relationships/package" Target="../embeddings/Microsoft_Excel_Worksheet8.xlsx"/><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667632789726968"/>
          <c:y val="0.15159938718067481"/>
          <c:w val="0.41705418663176436"/>
          <c:h val="0.78330199231425202"/>
        </c:manualLayout>
      </c:layout>
      <c:barChart>
        <c:barDir val="bar"/>
        <c:grouping val="clustered"/>
        <c:varyColors val="0"/>
        <c:ser>
          <c:idx val="0"/>
          <c:order val="0"/>
          <c:tx>
            <c:strRef>
              <c:f>Sheet1!$B$1</c:f>
              <c:strCache>
                <c:ptCount val="1"/>
                <c:pt idx="0">
                  <c:v>Series 1</c:v>
                </c:pt>
              </c:strCache>
            </c:strRef>
          </c:tx>
          <c:spPr>
            <a:solidFill>
              <a:srgbClr val="96C11D"/>
            </a:solidFill>
          </c:spPr>
          <c:invertIfNegative val="0"/>
          <c:dPt>
            <c:idx val="0"/>
            <c:invertIfNegative val="0"/>
            <c:bubble3D val="0"/>
            <c:spPr>
              <a:solidFill>
                <a:srgbClr val="0EADC3"/>
              </a:solidFill>
            </c:spPr>
            <c:extLst>
              <c:ext xmlns:c16="http://schemas.microsoft.com/office/drawing/2014/chart" uri="{C3380CC4-5D6E-409C-BE32-E72D297353CC}">
                <c16:uniqueId val="{00000001-A9CD-4FDD-9041-AEECD7FB312F}"/>
              </c:ext>
            </c:extLst>
          </c:dPt>
          <c:dPt>
            <c:idx val="1"/>
            <c:invertIfNegative val="0"/>
            <c:bubble3D val="0"/>
            <c:spPr>
              <a:solidFill>
                <a:srgbClr val="0EADC3"/>
              </a:solidFill>
            </c:spPr>
            <c:extLst>
              <c:ext xmlns:c16="http://schemas.microsoft.com/office/drawing/2014/chart" uri="{C3380CC4-5D6E-409C-BE32-E72D297353CC}">
                <c16:uniqueId val="{00000003-A9CD-4FDD-9041-AEECD7FB312F}"/>
              </c:ext>
            </c:extLst>
          </c:dPt>
          <c:dPt>
            <c:idx val="2"/>
            <c:invertIfNegative val="0"/>
            <c:bubble3D val="0"/>
            <c:spPr>
              <a:solidFill>
                <a:srgbClr val="0EADC3"/>
              </a:solidFill>
            </c:spPr>
            <c:extLst>
              <c:ext xmlns:c16="http://schemas.microsoft.com/office/drawing/2014/chart" uri="{C3380CC4-5D6E-409C-BE32-E72D297353CC}">
                <c16:uniqueId val="{00000005-A9CD-4FDD-9041-AEECD7FB312F}"/>
              </c:ext>
            </c:extLst>
          </c:dPt>
          <c:dPt>
            <c:idx val="3"/>
            <c:invertIfNegative val="0"/>
            <c:bubble3D val="0"/>
            <c:spPr>
              <a:solidFill>
                <a:srgbClr val="0EADC3"/>
              </a:solidFill>
            </c:spPr>
            <c:extLst>
              <c:ext xmlns:c16="http://schemas.microsoft.com/office/drawing/2014/chart" uri="{C3380CC4-5D6E-409C-BE32-E72D297353CC}">
                <c16:uniqueId val="{00000007-A9CD-4FDD-9041-AEECD7FB312F}"/>
              </c:ext>
            </c:extLst>
          </c:dPt>
          <c:dPt>
            <c:idx val="4"/>
            <c:invertIfNegative val="0"/>
            <c:bubble3D val="0"/>
            <c:spPr>
              <a:solidFill>
                <a:srgbClr val="0EADC3"/>
              </a:solidFill>
            </c:spPr>
            <c:extLst>
              <c:ext xmlns:c16="http://schemas.microsoft.com/office/drawing/2014/chart" uri="{C3380CC4-5D6E-409C-BE32-E72D297353CC}">
                <c16:uniqueId val="{00000009-A9CD-4FDD-9041-AEECD7FB312F}"/>
              </c:ext>
            </c:extLst>
          </c:dPt>
          <c:dPt>
            <c:idx val="5"/>
            <c:invertIfNegative val="0"/>
            <c:bubble3D val="0"/>
            <c:spPr>
              <a:solidFill>
                <a:srgbClr val="0EADC3"/>
              </a:solidFill>
            </c:spPr>
            <c:extLst>
              <c:ext xmlns:c16="http://schemas.microsoft.com/office/drawing/2014/chart" uri="{C3380CC4-5D6E-409C-BE32-E72D297353CC}">
                <c16:uniqueId val="{0000000B-A9CD-4FDD-9041-AEECD7FB312F}"/>
              </c:ext>
            </c:extLst>
          </c:dPt>
          <c:dPt>
            <c:idx val="6"/>
            <c:invertIfNegative val="0"/>
            <c:bubble3D val="0"/>
            <c:spPr>
              <a:solidFill>
                <a:srgbClr val="0EADC3"/>
              </a:solidFill>
            </c:spPr>
            <c:extLst>
              <c:ext xmlns:c16="http://schemas.microsoft.com/office/drawing/2014/chart" uri="{C3380CC4-5D6E-409C-BE32-E72D297353CC}">
                <c16:uniqueId val="{0000000D-A9CD-4FDD-9041-AEECD7FB312F}"/>
              </c:ext>
            </c:extLst>
          </c:dPt>
          <c:dPt>
            <c:idx val="7"/>
            <c:invertIfNegative val="0"/>
            <c:bubble3D val="0"/>
            <c:spPr>
              <a:solidFill>
                <a:srgbClr val="0EADC3"/>
              </a:solidFill>
            </c:spPr>
            <c:extLst>
              <c:ext xmlns:c16="http://schemas.microsoft.com/office/drawing/2014/chart" uri="{C3380CC4-5D6E-409C-BE32-E72D297353CC}">
                <c16:uniqueId val="{0000000F-A9CD-4FDD-9041-AEECD7FB312F}"/>
              </c:ext>
            </c:extLst>
          </c:dPt>
          <c:dPt>
            <c:idx val="8"/>
            <c:invertIfNegative val="0"/>
            <c:bubble3D val="0"/>
            <c:spPr>
              <a:solidFill>
                <a:srgbClr val="0EADC3"/>
              </a:solidFill>
            </c:spPr>
            <c:extLst>
              <c:ext xmlns:c16="http://schemas.microsoft.com/office/drawing/2014/chart" uri="{C3380CC4-5D6E-409C-BE32-E72D297353CC}">
                <c16:uniqueId val="{00000011-A9CD-4FDD-9041-AEECD7FB312F}"/>
              </c:ext>
            </c:extLst>
          </c:dPt>
          <c:dLbls>
            <c:dLbl>
              <c:idx val="7"/>
              <c:numFmt formatCode="#,##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extLst>
                <c:ext xmlns:c16="http://schemas.microsoft.com/office/drawing/2014/chart" uri="{C3380CC4-5D6E-409C-BE32-E72D297353CC}">
                  <c16:uniqueId val="{0000000F-A9CD-4FDD-9041-AEECD7FB312F}"/>
                </c:ext>
              </c:extLst>
            </c:dLbl>
            <c:numFmt formatCode="###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Būvniecības ierosinātāji (pasūtītāji)</c:v>
                </c:pt>
                <c:pt idx="1">
                  <c:v>Būvdarbu veicēji (Apakšuzņēmēji, Specializēto darbu veicēji)</c:v>
                </c:pt>
                <c:pt idx="2">
                  <c:v>Projektētāji (ģenerālprojektētāji, apakšprojektētāji)</c:v>
                </c:pt>
                <c:pt idx="3">
                  <c:v>Ģenerāluzņēmēji (būvniecības projektu vadība)</c:v>
                </c:pt>
                <c:pt idx="4">
                  <c:v>Pārvaldnieki (ēku apsaimniekotāji)</c:v>
                </c:pt>
                <c:pt idx="5">
                  <c:v>Būvuzraugi</c:v>
                </c:pt>
                <c:pt idx="6">
                  <c:v>Priekšizpētes veicēji</c:v>
                </c:pt>
                <c:pt idx="7">
                  <c:v>Būvmateriālu un būvtehnikas izplatītāji</c:v>
                </c:pt>
                <c:pt idx="8">
                  <c:v>Būvvaldes</c:v>
                </c:pt>
              </c:strCache>
            </c:strRef>
          </c:cat>
          <c:val>
            <c:numRef>
              <c:f>Sheet1!$B$2:$B$10</c:f>
              <c:numCache>
                <c:formatCode>###0.0</c:formatCode>
                <c:ptCount val="9"/>
                <c:pt idx="0">
                  <c:v>45.318113103711269</c:v>
                </c:pt>
                <c:pt idx="1">
                  <c:v>43.254097607447484</c:v>
                </c:pt>
                <c:pt idx="2">
                  <c:v>18.103818447999657</c:v>
                </c:pt>
                <c:pt idx="3">
                  <c:v>11.562032607507971</c:v>
                </c:pt>
                <c:pt idx="4">
                  <c:v>11.041161331580923</c:v>
                </c:pt>
                <c:pt idx="5">
                  <c:v>9.8178308010908673</c:v>
                </c:pt>
                <c:pt idx="6">
                  <c:v>9.7659463722579485</c:v>
                </c:pt>
                <c:pt idx="7">
                  <c:v>8.133092153056209</c:v>
                </c:pt>
                <c:pt idx="8">
                  <c:v>0.98813004834307805</c:v>
                </c:pt>
              </c:numCache>
            </c:numRef>
          </c:val>
          <c:extLst>
            <c:ext xmlns:c16="http://schemas.microsoft.com/office/drawing/2014/chart" uri="{C3380CC4-5D6E-409C-BE32-E72D297353CC}">
              <c16:uniqueId val="{00000012-A9CD-4FDD-9041-AEECD7FB312F}"/>
            </c:ext>
          </c:extLst>
        </c:ser>
        <c:dLbls>
          <c:showLegendKey val="0"/>
          <c:showVal val="0"/>
          <c:showCatName val="0"/>
          <c:showSerName val="0"/>
          <c:showPercent val="0"/>
          <c:showBubbleSize val="0"/>
        </c:dLbls>
        <c:gapWidth val="66"/>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100">
                <a:solidFill>
                  <a:srgbClr val="717171"/>
                </a:solidFill>
              </a:defRPr>
            </a:pPr>
            <a:endParaRPr lang="lv-LV"/>
          </a:p>
        </c:txPr>
        <c:crossAx val="1943215816"/>
        <c:crosses val="autoZero"/>
        <c:auto val="1"/>
        <c:lblAlgn val="ctr"/>
        <c:lblOffset val="100"/>
        <c:noMultiLvlLbl val="0"/>
      </c:catAx>
      <c:valAx>
        <c:axId val="1943215816"/>
        <c:scaling>
          <c:orientation val="minMax"/>
          <c:max val="100"/>
        </c:scaling>
        <c:delete val="1"/>
        <c:axPos val="t"/>
        <c:numFmt formatCode="###0.0" sourceLinked="1"/>
        <c:majorTickMark val="out"/>
        <c:minorTickMark val="none"/>
        <c:tickLblPos val="nextTo"/>
        <c:crossAx val="1943593016"/>
        <c:crosses val="autoZero"/>
        <c:crossBetween val="between"/>
      </c:valAx>
    </c:plotArea>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lv-LV" sz="1200" dirty="0">
                <a:solidFill>
                  <a:srgbClr val="BD9B08"/>
                </a:solidFill>
              </a:rPr>
              <a:t>Posma «Uzraudzība» </a:t>
            </a:r>
            <a:r>
              <a:rPr lang="lv-LV" sz="1200">
                <a:solidFill>
                  <a:srgbClr val="BD9B08"/>
                </a:solidFill>
              </a:rPr>
              <a:t>kvalitātes indekss</a:t>
            </a:r>
            <a:endParaRPr lang="lv-LV" sz="1200" dirty="0">
              <a:solidFill>
                <a:srgbClr val="BD9B08"/>
              </a:solidFill>
            </a:endParaRPr>
          </a:p>
        </c:rich>
      </c:tx>
      <c:overlay val="0"/>
    </c:title>
    <c:autoTitleDeleted val="0"/>
    <c:plotArea>
      <c:layout>
        <c:manualLayout>
          <c:layoutTarget val="inner"/>
          <c:xMode val="edge"/>
          <c:yMode val="edge"/>
          <c:x val="0"/>
          <c:y val="0.12616742550188501"/>
          <c:w val="1"/>
          <c:h val="0.69794996103302787"/>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BD9B08"/>
              </a:solidFill>
              <a:ln>
                <a:noFill/>
              </a:ln>
              <a:effectLst/>
            </c:spPr>
            <c:extLst>
              <c:ext xmlns:c16="http://schemas.microsoft.com/office/drawing/2014/chart" uri="{C3380CC4-5D6E-409C-BE32-E72D297353CC}">
                <c16:uniqueId val="{00000001-BC9D-4534-B674-368F604127CC}"/>
              </c:ext>
            </c:extLst>
          </c:dPt>
          <c:dPt>
            <c:idx val="1"/>
            <c:invertIfNegative val="0"/>
            <c:bubble3D val="0"/>
            <c:spPr>
              <a:solidFill>
                <a:schemeClr val="tx1"/>
              </a:solidFill>
              <a:ln>
                <a:noFill/>
              </a:ln>
              <a:effectLst/>
            </c:spPr>
            <c:extLst>
              <c:ext xmlns:c16="http://schemas.microsoft.com/office/drawing/2014/chart" uri="{C3380CC4-5D6E-409C-BE32-E72D297353CC}">
                <c16:uniqueId val="{00000003-BC9D-4534-B674-368F604127CC}"/>
              </c:ext>
            </c:extLst>
          </c:dPt>
          <c:dPt>
            <c:idx val="2"/>
            <c:invertIfNegative val="0"/>
            <c:bubble3D val="0"/>
            <c:spPr>
              <a:solidFill>
                <a:schemeClr val="tx1"/>
              </a:solidFill>
              <a:ln>
                <a:noFill/>
              </a:ln>
              <a:effectLst/>
            </c:spPr>
            <c:extLst>
              <c:ext xmlns:c16="http://schemas.microsoft.com/office/drawing/2014/chart" uri="{C3380CC4-5D6E-409C-BE32-E72D297353CC}">
                <c16:uniqueId val="{00000005-BC9D-4534-B674-368F604127CC}"/>
              </c:ext>
            </c:extLst>
          </c:dPt>
          <c:dPt>
            <c:idx val="3"/>
            <c:invertIfNegative val="0"/>
            <c:bubble3D val="0"/>
            <c:spPr>
              <a:solidFill>
                <a:schemeClr val="tx1"/>
              </a:solidFill>
              <a:ln>
                <a:noFill/>
              </a:ln>
              <a:effectLst/>
            </c:spPr>
            <c:extLst>
              <c:ext xmlns:c16="http://schemas.microsoft.com/office/drawing/2014/chart" uri="{C3380CC4-5D6E-409C-BE32-E72D297353CC}">
                <c16:uniqueId val="{00000007-BC9D-4534-B674-368F604127CC}"/>
              </c:ext>
            </c:extLst>
          </c:dPt>
          <c:dPt>
            <c:idx val="4"/>
            <c:invertIfNegative val="0"/>
            <c:bubble3D val="0"/>
            <c:spPr>
              <a:solidFill>
                <a:schemeClr val="tx1"/>
              </a:solidFill>
              <a:ln>
                <a:noFill/>
              </a:ln>
              <a:effectLst/>
            </c:spPr>
            <c:extLst>
              <c:ext xmlns:c16="http://schemas.microsoft.com/office/drawing/2014/chart" uri="{C3380CC4-5D6E-409C-BE32-E72D297353CC}">
                <c16:uniqueId val="{00000009-BC9D-4534-B674-368F604127CC}"/>
              </c:ext>
            </c:extLst>
          </c:dPt>
          <c:dPt>
            <c:idx val="8"/>
            <c:invertIfNegative val="0"/>
            <c:bubble3D val="0"/>
            <c:extLst>
              <c:ext xmlns:c16="http://schemas.microsoft.com/office/drawing/2014/chart" uri="{C3380CC4-5D6E-409C-BE32-E72D297353CC}">
                <c16:uniqueId val="{0000000A-BC9D-4534-B674-368F604127CC}"/>
              </c:ext>
            </c:extLst>
          </c:dPt>
          <c:dPt>
            <c:idx val="9"/>
            <c:invertIfNegative val="0"/>
            <c:bubble3D val="0"/>
            <c:extLst>
              <c:ext xmlns:c16="http://schemas.microsoft.com/office/drawing/2014/chart" uri="{C3380CC4-5D6E-409C-BE32-E72D297353CC}">
                <c16:uniqueId val="{0000000B-BC9D-4534-B674-368F604127CC}"/>
              </c:ext>
            </c:extLst>
          </c:dPt>
          <c:dPt>
            <c:idx val="11"/>
            <c:invertIfNegative val="0"/>
            <c:bubble3D val="0"/>
            <c:extLst>
              <c:ext xmlns:c16="http://schemas.microsoft.com/office/drawing/2014/chart" uri="{C3380CC4-5D6E-409C-BE32-E72D297353CC}">
                <c16:uniqueId val="{0000000C-BC9D-4534-B674-368F604127CC}"/>
              </c:ext>
            </c:extLst>
          </c:dPt>
          <c:dLbls>
            <c:numFmt formatCode="0&quot;%&quot;" sourceLinked="0"/>
            <c:spPr>
              <a:noFill/>
              <a:ln>
                <a:noFill/>
              </a:ln>
              <a:effectLst/>
            </c:spPr>
            <c:txPr>
              <a:bodyPr/>
              <a:lstStyle/>
              <a:p>
                <a:pPr>
                  <a:defRPr sz="1050" b="1">
                    <a:solidFill>
                      <a:schemeClr val="tx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Uzraudzība</c:v>
                </c:pt>
                <c:pt idx="1">
                  <c:v>Uzraudzība</c:v>
                </c:pt>
                <c:pt idx="2">
                  <c:v>Būvvalde, BVKB</c:v>
                </c:pt>
              </c:strCache>
            </c:strRef>
          </c:cat>
          <c:val>
            <c:numRef>
              <c:f>Sheet1!$B$2:$B$4</c:f>
              <c:numCache>
                <c:formatCode>General</c:formatCode>
                <c:ptCount val="3"/>
                <c:pt idx="0">
                  <c:v>76.190237154811598</c:v>
                </c:pt>
                <c:pt idx="1">
                  <c:v>77.213975052080897</c:v>
                </c:pt>
                <c:pt idx="2">
                  <c:v>75.166499257542242</c:v>
                </c:pt>
              </c:numCache>
            </c:numRef>
          </c:val>
          <c:extLst>
            <c:ext xmlns:c16="http://schemas.microsoft.com/office/drawing/2014/chart" uri="{C3380CC4-5D6E-409C-BE32-E72D297353CC}">
              <c16:uniqueId val="{0000000D-BC9D-4534-B674-368F604127CC}"/>
            </c:ext>
          </c:extLst>
        </c:ser>
        <c:dLbls>
          <c:showLegendKey val="0"/>
          <c:showVal val="0"/>
          <c:showCatName val="0"/>
          <c:showSerName val="0"/>
          <c:showPercent val="0"/>
          <c:showBubbleSize val="0"/>
        </c:dLbls>
        <c:gapWidth val="66"/>
        <c:overlap val="-9"/>
        <c:axId val="1839703656"/>
        <c:axId val="1944405784"/>
      </c:barChart>
      <c:catAx>
        <c:axId val="1839703656"/>
        <c:scaling>
          <c:orientation val="minMax"/>
        </c:scaling>
        <c:delete val="0"/>
        <c:axPos val="b"/>
        <c:numFmt formatCode="General" sourceLinked="1"/>
        <c:majorTickMark val="none"/>
        <c:minorTickMark val="none"/>
        <c:tickLblPos val="nextTo"/>
        <c:spPr>
          <a:noFill/>
          <a:ln w="9525" cap="flat" cmpd="sng" algn="ctr">
            <a:solidFill>
              <a:srgbClr val="717171"/>
            </a:solidFill>
            <a:round/>
          </a:ln>
          <a:effectLst/>
        </c:spPr>
        <c:txPr>
          <a:bodyPr rot="-60000000" spcFirstLastPara="1" vertOverflow="ellipsis" vert="horz" wrap="square" anchor="ctr" anchorCtr="1"/>
          <a:lstStyle/>
          <a:p>
            <a:pPr>
              <a:defRPr sz="1050" b="0" i="0" u="none" strike="noStrike" kern="1200" baseline="0">
                <a:solidFill>
                  <a:srgbClr val="717171"/>
                </a:solidFill>
                <a:latin typeface="+mn-lt"/>
                <a:ea typeface="+mn-ea"/>
                <a:cs typeface="+mn-cs"/>
              </a:defRPr>
            </a:pPr>
            <a:endParaRPr lang="lv-LV"/>
          </a:p>
        </c:txPr>
        <c:crossAx val="1944405784"/>
        <c:crosses val="autoZero"/>
        <c:auto val="1"/>
        <c:lblAlgn val="ctr"/>
        <c:lblOffset val="100"/>
        <c:noMultiLvlLbl val="0"/>
      </c:catAx>
      <c:valAx>
        <c:axId val="1944405784"/>
        <c:scaling>
          <c:orientation val="minMax"/>
          <c:max val="100"/>
          <c:min val="0"/>
        </c:scaling>
        <c:delete val="1"/>
        <c:axPos val="l"/>
        <c:numFmt formatCode="General" sourceLinked="1"/>
        <c:majorTickMark val="out"/>
        <c:minorTickMark val="none"/>
        <c:tickLblPos val="nextTo"/>
        <c:crossAx val="1839703656"/>
        <c:crosses val="autoZero"/>
        <c:crossBetween val="between"/>
      </c:valAx>
      <c:spPr>
        <a:noFill/>
        <a:ln>
          <a:noFill/>
        </a:ln>
        <a:effectLst/>
      </c:spPr>
    </c:plotArea>
    <c:plotVisOnly val="1"/>
    <c:dispBlanksAs val="gap"/>
    <c:showDLblsOverMax val="0"/>
  </c:chart>
  <c:spPr>
    <a:noFill/>
    <a:ln>
      <a:noFill/>
    </a:ln>
    <a:effectLst/>
  </c:spPr>
  <c:txPr>
    <a:bodyPr/>
    <a:lstStyle/>
    <a:p>
      <a:pPr>
        <a:defRPr sz="1000"/>
      </a:pPr>
      <a:endParaRPr lang="lv-LV"/>
    </a:p>
  </c:txPr>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3034896129646899"/>
          <c:y val="0.19530083043350532"/>
          <c:w val="0.18808461789646966"/>
          <c:h val="0.77186332396837154"/>
        </c:manualLayout>
      </c:layout>
      <c:barChart>
        <c:barDir val="bar"/>
        <c:grouping val="clustered"/>
        <c:varyColors val="0"/>
        <c:ser>
          <c:idx val="0"/>
          <c:order val="0"/>
          <c:tx>
            <c:strRef>
              <c:f>Sheet1!$B$1</c:f>
              <c:strCache>
                <c:ptCount val="1"/>
                <c:pt idx="0">
                  <c:v>Novērtējums</c:v>
                </c:pt>
              </c:strCache>
            </c:strRef>
          </c:tx>
          <c:spPr>
            <a:solidFill>
              <a:srgbClr val="BD9B08"/>
            </a:solidFill>
          </c:spPr>
          <c:invertIfNegative val="0"/>
          <c:dPt>
            <c:idx val="0"/>
            <c:invertIfNegative val="0"/>
            <c:bubble3D val="0"/>
            <c:extLst>
              <c:ext xmlns:c16="http://schemas.microsoft.com/office/drawing/2014/chart" uri="{C3380CC4-5D6E-409C-BE32-E72D297353CC}">
                <c16:uniqueId val="{00000000-E4CD-47AC-A894-207F83F16EE8}"/>
              </c:ext>
            </c:extLst>
          </c:dPt>
          <c:dPt>
            <c:idx val="1"/>
            <c:invertIfNegative val="0"/>
            <c:bubble3D val="0"/>
            <c:extLst>
              <c:ext xmlns:c16="http://schemas.microsoft.com/office/drawing/2014/chart" uri="{C3380CC4-5D6E-409C-BE32-E72D297353CC}">
                <c16:uniqueId val="{00000001-E4CD-47AC-A894-207F83F16EE8}"/>
              </c:ext>
            </c:extLst>
          </c:dPt>
          <c:dPt>
            <c:idx val="2"/>
            <c:invertIfNegative val="0"/>
            <c:bubble3D val="0"/>
            <c:extLst>
              <c:ext xmlns:c16="http://schemas.microsoft.com/office/drawing/2014/chart" uri="{C3380CC4-5D6E-409C-BE32-E72D297353CC}">
                <c16:uniqueId val="{00000002-E4CD-47AC-A894-207F83F16EE8}"/>
              </c:ext>
            </c:extLst>
          </c:dPt>
          <c:dPt>
            <c:idx val="3"/>
            <c:invertIfNegative val="0"/>
            <c:bubble3D val="0"/>
            <c:extLst>
              <c:ext xmlns:c16="http://schemas.microsoft.com/office/drawing/2014/chart" uri="{C3380CC4-5D6E-409C-BE32-E72D297353CC}">
                <c16:uniqueId val="{00000003-E4CD-47AC-A894-207F83F16EE8}"/>
              </c:ext>
            </c:extLst>
          </c:dPt>
          <c:dPt>
            <c:idx val="4"/>
            <c:invertIfNegative val="0"/>
            <c:bubble3D val="0"/>
            <c:extLst>
              <c:ext xmlns:c16="http://schemas.microsoft.com/office/drawing/2014/chart" uri="{C3380CC4-5D6E-409C-BE32-E72D297353CC}">
                <c16:uniqueId val="{00000004-E4CD-47AC-A894-207F83F16EE8}"/>
              </c:ext>
            </c:extLst>
          </c:dPt>
          <c:dPt>
            <c:idx val="5"/>
            <c:invertIfNegative val="0"/>
            <c:bubble3D val="0"/>
            <c:extLst>
              <c:ext xmlns:c16="http://schemas.microsoft.com/office/drawing/2014/chart" uri="{C3380CC4-5D6E-409C-BE32-E72D297353CC}">
                <c16:uniqueId val="{00000005-E4CD-47AC-A894-207F83F16EE8}"/>
              </c:ext>
            </c:extLst>
          </c:dPt>
          <c:dPt>
            <c:idx val="6"/>
            <c:invertIfNegative val="0"/>
            <c:bubble3D val="0"/>
            <c:extLst>
              <c:ext xmlns:c16="http://schemas.microsoft.com/office/drawing/2014/chart" uri="{C3380CC4-5D6E-409C-BE32-E72D297353CC}">
                <c16:uniqueId val="{00000006-E4CD-47AC-A894-207F83F16EE8}"/>
              </c:ext>
            </c:extLst>
          </c:dPt>
          <c:dPt>
            <c:idx val="7"/>
            <c:invertIfNegative val="0"/>
            <c:bubble3D val="0"/>
            <c:extLst>
              <c:ext xmlns:c16="http://schemas.microsoft.com/office/drawing/2014/chart" uri="{C3380CC4-5D6E-409C-BE32-E72D297353CC}">
                <c16:uniqueId val="{00000007-E4CD-47AC-A894-207F83F16EE8}"/>
              </c:ext>
            </c:extLst>
          </c:dPt>
          <c:dLbls>
            <c:numFmt formatCode="#,##0.0" sourceLinked="0"/>
            <c:spPr>
              <a:noFill/>
              <a:ln>
                <a:noFill/>
              </a:ln>
              <a:effectLst/>
            </c:spPr>
            <c:txPr>
              <a:bodyPr/>
              <a:lstStyle/>
              <a:p>
                <a:pPr>
                  <a:defRPr sz="105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Autoruzraudzība</c:v>
                </c:pt>
                <c:pt idx="1">
                  <c:v>Būvuzraudzība</c:v>
                </c:pt>
                <c:pt idx="2">
                  <c:v>Būvvalde</c:v>
                </c:pt>
                <c:pt idx="3">
                  <c:v>BVKB</c:v>
                </c:pt>
              </c:strCache>
            </c:strRef>
          </c:cat>
          <c:val>
            <c:numRef>
              <c:f>Sheet1!$B$2:$B$5</c:f>
              <c:numCache>
                <c:formatCode>0.00</c:formatCode>
                <c:ptCount val="4"/>
                <c:pt idx="0">
                  <c:v>7.1979556302359846</c:v>
                </c:pt>
                <c:pt idx="1">
                  <c:v>8.2448393801801938</c:v>
                </c:pt>
                <c:pt idx="2">
                  <c:v>7.7551197725269541</c:v>
                </c:pt>
                <c:pt idx="3">
                  <c:v>7.2781800789814959</c:v>
                </c:pt>
              </c:numCache>
            </c:numRef>
          </c:val>
          <c:extLst>
            <c:ext xmlns:c16="http://schemas.microsoft.com/office/drawing/2014/chart" uri="{C3380CC4-5D6E-409C-BE32-E72D297353CC}">
              <c16:uniqueId val="{00000008-E4CD-47AC-A894-207F83F16EE8}"/>
            </c:ext>
          </c:extLst>
        </c:ser>
        <c:ser>
          <c:idx val="1"/>
          <c:order val="1"/>
          <c:tx>
            <c:strRef>
              <c:f>Sheet1!$C$1</c:f>
              <c:strCache>
                <c:ptCount val="1"/>
                <c:pt idx="0">
                  <c:v>Pašvērtējums</c:v>
                </c:pt>
              </c:strCache>
            </c:strRef>
          </c:tx>
          <c:spPr>
            <a:solidFill>
              <a:srgbClr val="BD9B08">
                <a:lumMod val="20000"/>
                <a:lumOff val="80000"/>
              </a:srgbClr>
            </a:solidFill>
            <a:ln>
              <a:noFill/>
            </a:ln>
          </c:spPr>
          <c:invertIfNegative val="0"/>
          <c:dLbls>
            <c:numFmt formatCode="#,##0.0" sourceLinked="0"/>
            <c:spPr>
              <a:noFill/>
              <a:ln>
                <a:noFill/>
              </a:ln>
              <a:effectLst/>
            </c:spPr>
            <c:txPr>
              <a:bodyPr wrap="square" lIns="38100" tIns="19050" rIns="38100" bIns="19050" anchor="ctr" anchorCtr="0">
                <a:spAutoFit/>
              </a:bodyPr>
              <a:lstStyle/>
              <a:p>
                <a:pPr algn="ctr">
                  <a:defRPr lang="lv-LV" sz="1050" b="1" i="0" u="none" strike="noStrike" kern="1200" baseline="0">
                    <a:solidFill>
                      <a:srgbClr val="71717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Sheet1!$A$2:$A$5</c:f>
              <c:strCache>
                <c:ptCount val="4"/>
                <c:pt idx="0">
                  <c:v>Autoruzraudzība</c:v>
                </c:pt>
                <c:pt idx="1">
                  <c:v>Būvuzraudzība</c:v>
                </c:pt>
                <c:pt idx="2">
                  <c:v>Būvvalde</c:v>
                </c:pt>
                <c:pt idx="3">
                  <c:v>BVKB</c:v>
                </c:pt>
              </c:strCache>
            </c:strRef>
          </c:cat>
          <c:val>
            <c:numRef>
              <c:f>Sheet1!$C$2:$C$5</c:f>
              <c:numCache>
                <c:formatCode>0.00</c:formatCode>
                <c:ptCount val="4"/>
                <c:pt idx="0">
                  <c:v>8.1716664536052246</c:v>
                </c:pt>
                <c:pt idx="1">
                  <c:v>8.4947580707455614</c:v>
                </c:pt>
                <c:pt idx="2">
                  <c:v>4.865593461802435</c:v>
                </c:pt>
                <c:pt idx="3">
                  <c:v>10</c:v>
                </c:pt>
              </c:numCache>
            </c:numRef>
          </c:val>
          <c:extLst>
            <c:ext xmlns:c16="http://schemas.microsoft.com/office/drawing/2014/chart" uri="{C3380CC4-5D6E-409C-BE32-E72D297353CC}">
              <c16:uniqueId val="{00000009-E4CD-47AC-A894-207F83F16EE8}"/>
            </c:ext>
          </c:extLst>
        </c:ser>
        <c:dLbls>
          <c:showLegendKey val="0"/>
          <c:showVal val="0"/>
          <c:showCatName val="0"/>
          <c:showSerName val="0"/>
          <c:showPercent val="0"/>
          <c:showBubbleSize val="0"/>
        </c:dLbls>
        <c:gapWidth val="40"/>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050">
                <a:solidFill>
                  <a:srgbClr val="717171"/>
                </a:solidFill>
              </a:defRPr>
            </a:pPr>
            <a:endParaRPr lang="lv-LV"/>
          </a:p>
        </c:txPr>
        <c:crossAx val="1943215816"/>
        <c:crosses val="autoZero"/>
        <c:auto val="1"/>
        <c:lblAlgn val="ctr"/>
        <c:lblOffset val="1000"/>
        <c:noMultiLvlLbl val="0"/>
      </c:catAx>
      <c:valAx>
        <c:axId val="1943215816"/>
        <c:scaling>
          <c:orientation val="minMax"/>
          <c:max val="10"/>
        </c:scaling>
        <c:delete val="1"/>
        <c:axPos val="t"/>
        <c:numFmt formatCode="0.00" sourceLinked="1"/>
        <c:majorTickMark val="out"/>
        <c:minorTickMark val="none"/>
        <c:tickLblPos val="nextTo"/>
        <c:crossAx val="1943593016"/>
        <c:crosses val="autoZero"/>
        <c:crossBetween val="between"/>
      </c:valAx>
    </c:plotArea>
    <c:legend>
      <c:legendPos val="r"/>
      <c:layout>
        <c:manualLayout>
          <c:xMode val="edge"/>
          <c:yMode val="edge"/>
          <c:x val="0.81516581216146611"/>
          <c:y val="0.18564802363446031"/>
          <c:w val="0.16946564077473503"/>
          <c:h val="0.18369379471286532"/>
        </c:manualLayout>
      </c:layout>
      <c:overlay val="0"/>
      <c:txPr>
        <a:bodyPr/>
        <a:lstStyle/>
        <a:p>
          <a:pPr>
            <a:defRPr sz="1050">
              <a:solidFill>
                <a:srgbClr val="717171"/>
              </a:solidFill>
            </a:defRPr>
          </a:pPr>
          <a:endParaRPr lang="lv-LV"/>
        </a:p>
      </c:txPr>
    </c:legend>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868323161186723"/>
          <c:y val="0.1636999953798734"/>
          <c:w val="0.34526717454460981"/>
          <c:h val="0.78576010982700928"/>
        </c:manualLayout>
      </c:layout>
      <c:barChart>
        <c:barDir val="bar"/>
        <c:grouping val="clustered"/>
        <c:varyColors val="0"/>
        <c:ser>
          <c:idx val="0"/>
          <c:order val="0"/>
          <c:tx>
            <c:strRef>
              <c:f>Sheet1!$B$1</c:f>
              <c:strCache>
                <c:ptCount val="1"/>
                <c:pt idx="0">
                  <c:v>Series 1</c:v>
                </c:pt>
              </c:strCache>
            </c:strRef>
          </c:tx>
          <c:spPr>
            <a:solidFill>
              <a:srgbClr val="717171"/>
            </a:solidFill>
          </c:spPr>
          <c:invertIfNegative val="0"/>
          <c:dPt>
            <c:idx val="0"/>
            <c:invertIfNegative val="0"/>
            <c:bubble3D val="0"/>
            <c:spPr>
              <a:solidFill>
                <a:srgbClr val="BD9B08"/>
              </a:solidFill>
            </c:spPr>
            <c:extLst>
              <c:ext xmlns:c16="http://schemas.microsoft.com/office/drawing/2014/chart" uri="{C3380CC4-5D6E-409C-BE32-E72D297353CC}">
                <c16:uniqueId val="{00000001-2A01-4493-8EAC-E417455651E5}"/>
              </c:ext>
            </c:extLst>
          </c:dPt>
          <c:dPt>
            <c:idx val="1"/>
            <c:invertIfNegative val="0"/>
            <c:bubble3D val="0"/>
            <c:extLst>
              <c:ext xmlns:c16="http://schemas.microsoft.com/office/drawing/2014/chart" uri="{C3380CC4-5D6E-409C-BE32-E72D297353CC}">
                <c16:uniqueId val="{00000002-2A01-4493-8EAC-E417455651E5}"/>
              </c:ext>
            </c:extLst>
          </c:dPt>
          <c:dPt>
            <c:idx val="2"/>
            <c:invertIfNegative val="0"/>
            <c:bubble3D val="0"/>
            <c:extLst>
              <c:ext xmlns:c16="http://schemas.microsoft.com/office/drawing/2014/chart" uri="{C3380CC4-5D6E-409C-BE32-E72D297353CC}">
                <c16:uniqueId val="{00000003-2A01-4493-8EAC-E417455651E5}"/>
              </c:ext>
            </c:extLst>
          </c:dPt>
          <c:dPt>
            <c:idx val="3"/>
            <c:invertIfNegative val="0"/>
            <c:bubble3D val="0"/>
            <c:extLst>
              <c:ext xmlns:c16="http://schemas.microsoft.com/office/drawing/2014/chart" uri="{C3380CC4-5D6E-409C-BE32-E72D297353CC}">
                <c16:uniqueId val="{00000004-2A01-4493-8EAC-E417455651E5}"/>
              </c:ext>
            </c:extLst>
          </c:dPt>
          <c:dPt>
            <c:idx val="4"/>
            <c:invertIfNegative val="0"/>
            <c:bubble3D val="0"/>
            <c:extLst>
              <c:ext xmlns:c16="http://schemas.microsoft.com/office/drawing/2014/chart" uri="{C3380CC4-5D6E-409C-BE32-E72D297353CC}">
                <c16:uniqueId val="{00000005-2A01-4493-8EAC-E417455651E5}"/>
              </c:ext>
            </c:extLst>
          </c:dPt>
          <c:dPt>
            <c:idx val="5"/>
            <c:invertIfNegative val="0"/>
            <c:bubble3D val="0"/>
            <c:extLst>
              <c:ext xmlns:c16="http://schemas.microsoft.com/office/drawing/2014/chart" uri="{C3380CC4-5D6E-409C-BE32-E72D297353CC}">
                <c16:uniqueId val="{00000006-2A01-4493-8EAC-E417455651E5}"/>
              </c:ext>
            </c:extLst>
          </c:dPt>
          <c:dPt>
            <c:idx val="6"/>
            <c:invertIfNegative val="0"/>
            <c:bubble3D val="0"/>
            <c:extLst>
              <c:ext xmlns:c16="http://schemas.microsoft.com/office/drawing/2014/chart" uri="{C3380CC4-5D6E-409C-BE32-E72D297353CC}">
                <c16:uniqueId val="{00000007-2A01-4493-8EAC-E417455651E5}"/>
              </c:ext>
            </c:extLst>
          </c:dPt>
          <c:dPt>
            <c:idx val="7"/>
            <c:invertIfNegative val="0"/>
            <c:bubble3D val="0"/>
            <c:extLst>
              <c:ext xmlns:c16="http://schemas.microsoft.com/office/drawing/2014/chart" uri="{C3380CC4-5D6E-409C-BE32-E72D297353CC}">
                <c16:uniqueId val="{00000008-2A01-4493-8EAC-E417455651E5}"/>
              </c:ext>
            </c:extLst>
          </c:dPt>
          <c:dLbls>
            <c:numFmt formatCode="#,##0.0" sourceLinked="0"/>
            <c:spPr>
              <a:noFill/>
              <a:ln>
                <a:noFill/>
              </a:ln>
              <a:effectLst/>
            </c:spPr>
            <c:txPr>
              <a:bodyPr/>
              <a:lstStyle/>
              <a:p>
                <a:pPr>
                  <a:defRPr sz="105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Sheet1!$A$2:$A$9</c:f>
              <c:strCache>
                <c:ptCount val="8"/>
                <c:pt idx="0">
                  <c:v>Kopējais vērtējums</c:v>
                </c:pt>
                <c:pt idx="1">
                  <c:v>Vispārējā klienta apmierinātība</c:v>
                </c:pt>
                <c:pt idx="2">
                  <c:v>Vispārējā apmierinātība ar saņemto pakalpojumu</c:v>
                </c:pt>
                <c:pt idx="3">
                  <c:v>Nodevuma vērtējums</c:v>
                </c:pt>
                <c:pt idx="4">
                  <c:v>Sadarbība</c:v>
                </c:pt>
                <c:pt idx="5">
                  <c:v>Resursi</c:v>
                </c:pt>
                <c:pt idx="6">
                  <c:v>Plānošana</c:v>
                </c:pt>
                <c:pt idx="7">
                  <c:v>Kompetence</c:v>
                </c:pt>
              </c:strCache>
            </c:strRef>
          </c:cat>
          <c:val>
            <c:numRef>
              <c:f>Sheet1!$B$2:$B$9</c:f>
              <c:numCache>
                <c:formatCode>###0.00</c:formatCode>
                <c:ptCount val="8"/>
                <c:pt idx="0">
                  <c:v>7.8761737486212997</c:v>
                </c:pt>
                <c:pt idx="1">
                  <c:v>7.8283490633038744</c:v>
                </c:pt>
                <c:pt idx="2">
                  <c:v>7.8327091466236718</c:v>
                </c:pt>
                <c:pt idx="3">
                  <c:v>7.8262772265823157</c:v>
                </c:pt>
                <c:pt idx="4">
                  <c:v>8.170961125694383</c:v>
                </c:pt>
                <c:pt idx="5">
                  <c:v>7.7946430045668516</c:v>
                </c:pt>
                <c:pt idx="6">
                  <c:v>7.7572856796328473</c:v>
                </c:pt>
                <c:pt idx="7">
                  <c:v>8.0965953537287039</c:v>
                </c:pt>
              </c:numCache>
            </c:numRef>
          </c:val>
          <c:extLst>
            <c:ext xmlns:c16="http://schemas.microsoft.com/office/drawing/2014/chart" uri="{C3380CC4-5D6E-409C-BE32-E72D297353CC}">
              <c16:uniqueId val="{00000009-2A01-4493-8EAC-E417455651E5}"/>
            </c:ext>
          </c:extLst>
        </c:ser>
        <c:dLbls>
          <c:showLegendKey val="0"/>
          <c:showVal val="0"/>
          <c:showCatName val="0"/>
          <c:showSerName val="0"/>
          <c:showPercent val="0"/>
          <c:showBubbleSize val="0"/>
        </c:dLbls>
        <c:gapWidth val="66"/>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050">
                <a:solidFill>
                  <a:srgbClr val="717171"/>
                </a:solidFill>
              </a:defRPr>
            </a:pPr>
            <a:endParaRPr lang="lv-LV"/>
          </a:p>
        </c:txPr>
        <c:crossAx val="1943215816"/>
        <c:crosses val="autoZero"/>
        <c:auto val="1"/>
        <c:lblAlgn val="ctr"/>
        <c:lblOffset val="100"/>
        <c:noMultiLvlLbl val="0"/>
      </c:catAx>
      <c:valAx>
        <c:axId val="1943215816"/>
        <c:scaling>
          <c:orientation val="minMax"/>
          <c:max val="10"/>
        </c:scaling>
        <c:delete val="1"/>
        <c:axPos val="t"/>
        <c:numFmt formatCode="###0.00" sourceLinked="1"/>
        <c:majorTickMark val="out"/>
        <c:minorTickMark val="none"/>
        <c:tickLblPos val="nextTo"/>
        <c:crossAx val="1943593016"/>
        <c:crosses val="autoZero"/>
        <c:crossBetween val="between"/>
      </c:valAx>
    </c:plotArea>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7723633952284155"/>
          <c:y val="0.19031066255479323"/>
          <c:w val="0.43913153289073281"/>
          <c:h val="0.57116961188526305"/>
        </c:manualLayout>
      </c:layout>
      <c:doughnutChart>
        <c:varyColors val="1"/>
        <c:ser>
          <c:idx val="0"/>
          <c:order val="0"/>
          <c:tx>
            <c:strRef>
              <c:f>Sheet1!$B$1</c:f>
              <c:strCache>
                <c:ptCount val="1"/>
                <c:pt idx="0">
                  <c:v>Sales</c:v>
                </c:pt>
              </c:strCache>
            </c:strRef>
          </c:tx>
          <c:spPr>
            <a:ln w="38100">
              <a:solidFill>
                <a:schemeClr val="bg1"/>
              </a:solidFill>
            </a:ln>
          </c:spPr>
          <c:dPt>
            <c:idx val="0"/>
            <c:bubble3D val="0"/>
            <c:spPr>
              <a:solidFill>
                <a:srgbClr val="BD9B08"/>
              </a:solidFill>
              <a:ln w="38100">
                <a:solidFill>
                  <a:schemeClr val="bg1"/>
                </a:solidFill>
              </a:ln>
            </c:spPr>
            <c:extLst>
              <c:ext xmlns:c16="http://schemas.microsoft.com/office/drawing/2014/chart" uri="{C3380CC4-5D6E-409C-BE32-E72D297353CC}">
                <c16:uniqueId val="{00000001-4420-4EA7-B350-1FF431C32C5D}"/>
              </c:ext>
            </c:extLst>
          </c:dPt>
          <c:dPt>
            <c:idx val="1"/>
            <c:bubble3D val="0"/>
            <c:spPr>
              <a:solidFill>
                <a:srgbClr val="E3E3E3"/>
              </a:solidFill>
              <a:ln w="38100">
                <a:solidFill>
                  <a:schemeClr val="bg1"/>
                </a:solidFill>
              </a:ln>
            </c:spPr>
            <c:extLst>
              <c:ext xmlns:c16="http://schemas.microsoft.com/office/drawing/2014/chart" uri="{C3380CC4-5D6E-409C-BE32-E72D297353CC}">
                <c16:uniqueId val="{00000003-4420-4EA7-B350-1FF431C32C5D}"/>
              </c:ext>
            </c:extLst>
          </c:dPt>
          <c:dPt>
            <c:idx val="2"/>
            <c:bubble3D val="0"/>
            <c:spPr>
              <a:solidFill>
                <a:schemeClr val="tx1">
                  <a:lumMod val="75000"/>
                </a:schemeClr>
              </a:solidFill>
              <a:ln w="38100">
                <a:solidFill>
                  <a:schemeClr val="bg1"/>
                </a:solidFill>
              </a:ln>
            </c:spPr>
            <c:extLst>
              <c:ext xmlns:c16="http://schemas.microsoft.com/office/drawing/2014/chart" uri="{C3380CC4-5D6E-409C-BE32-E72D297353CC}">
                <c16:uniqueId val="{00000005-4420-4EA7-B350-1FF431C32C5D}"/>
              </c:ext>
            </c:extLst>
          </c:dPt>
          <c:dLbls>
            <c:dLbl>
              <c:idx val="0"/>
              <c:layout>
                <c:manualLayout>
                  <c:x val="0.16507463098370673"/>
                  <c:y val="-9.770808288917859E-3"/>
                </c:manualLayout>
              </c:layout>
              <c:tx>
                <c:rich>
                  <a:bodyPr wrap="square" lIns="38100" tIns="19050" rIns="38100" bIns="19050" anchor="ctr">
                    <a:spAutoFit/>
                  </a:bodyPr>
                  <a:lstStyle/>
                  <a:p>
                    <a:pPr>
                      <a:defRPr sz="1050">
                        <a:solidFill>
                          <a:srgbClr val="717171"/>
                        </a:solidFill>
                      </a:defRPr>
                    </a:pPr>
                    <a:fld id="{E24A542D-FF7E-4CE5-9AE0-82EF5C7D21A0}" type="CATEGORYNAME">
                      <a:rPr lang="en-US" sz="1050"/>
                      <a:pPr>
                        <a:defRPr sz="1050">
                          <a:solidFill>
                            <a:srgbClr val="717171"/>
                          </a:solidFill>
                        </a:defRPr>
                      </a:pPr>
                      <a:t>[CATEGORY NAME]</a:t>
                    </a:fld>
                    <a:r>
                      <a:rPr lang="en-US" sz="1050" baseline="0"/>
                      <a:t>; </a:t>
                    </a:r>
                    <a:fld id="{65F4734B-B279-447F-B30B-943690227370}" type="VALUE">
                      <a:rPr lang="en-US" sz="1050" b="1" baseline="0"/>
                      <a:pPr>
                        <a:defRPr sz="1050">
                          <a:solidFill>
                            <a:srgbClr val="717171"/>
                          </a:solidFill>
                        </a:defRPr>
                      </a:pPr>
                      <a:t>[VALUE]</a:t>
                    </a:fld>
                    <a:endParaRPr lang="en-US" sz="1050" baseline="0"/>
                  </a:p>
                </c:rich>
              </c:tx>
              <c:numFmt formatCode="###0\%" sourceLinked="0"/>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4420-4EA7-B350-1FF431C32C5D}"/>
                </c:ext>
              </c:extLst>
            </c:dLbl>
            <c:dLbl>
              <c:idx val="1"/>
              <c:layout>
                <c:manualLayout>
                  <c:x val="-0.15525763387228914"/>
                  <c:y val="1.0179862108815467E-2"/>
                </c:manualLayout>
              </c:layout>
              <c:tx>
                <c:rich>
                  <a:bodyPr wrap="square" lIns="38100" tIns="19050" rIns="38100" bIns="19050" anchor="ctr">
                    <a:spAutoFit/>
                  </a:bodyPr>
                  <a:lstStyle/>
                  <a:p>
                    <a:pPr>
                      <a:defRPr sz="1050">
                        <a:solidFill>
                          <a:srgbClr val="717171"/>
                        </a:solidFill>
                      </a:defRPr>
                    </a:pPr>
                    <a:fld id="{9A421A13-214D-4CA2-A33E-56764580C30C}" type="CATEGORYNAME">
                      <a:rPr lang="en-US" sz="1050"/>
                      <a:pPr>
                        <a:defRPr sz="1050">
                          <a:solidFill>
                            <a:srgbClr val="717171"/>
                          </a:solidFill>
                        </a:defRPr>
                      </a:pPr>
                      <a:t>[CATEGORY NAME]</a:t>
                    </a:fld>
                    <a:r>
                      <a:rPr lang="en-US" sz="1050" baseline="0"/>
                      <a:t>; </a:t>
                    </a:r>
                    <a:fld id="{9ED2015A-F193-4C1F-9619-A527B815B146}" type="VALUE">
                      <a:rPr lang="en-US" sz="1050" b="1" baseline="0"/>
                      <a:pPr>
                        <a:defRPr sz="1050">
                          <a:solidFill>
                            <a:srgbClr val="717171"/>
                          </a:solidFill>
                        </a:defRPr>
                      </a:pPr>
                      <a:t>[VALUE]</a:t>
                    </a:fld>
                    <a:endParaRPr lang="en-US" sz="1050" baseline="0"/>
                  </a:p>
                </c:rich>
              </c:tx>
              <c:numFmt formatCode="###0\%" sourceLinked="0"/>
              <c:spPr>
                <a:noFill/>
                <a:ln>
                  <a:noFill/>
                </a:ln>
                <a:effectLst/>
              </c:spPr>
              <c:showLegendKey val="0"/>
              <c:showVal val="1"/>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4420-4EA7-B350-1FF431C32C5D}"/>
                </c:ext>
              </c:extLst>
            </c:dLbl>
            <c:dLbl>
              <c:idx val="2"/>
              <c:layout>
                <c:manualLayout>
                  <c:x val="-8.0830243827329437E-2"/>
                  <c:y val="-0.15557972294470121"/>
                </c:manualLayout>
              </c:layout>
              <c:tx>
                <c:rich>
                  <a:bodyPr wrap="square" lIns="38100" tIns="19050" rIns="38100" bIns="19050" anchor="ctr">
                    <a:noAutofit/>
                  </a:bodyPr>
                  <a:lstStyle/>
                  <a:p>
                    <a:pPr>
                      <a:defRPr sz="1050">
                        <a:solidFill>
                          <a:srgbClr val="717171"/>
                        </a:solidFill>
                      </a:defRPr>
                    </a:pPr>
                    <a:fld id="{583CAD9B-819F-468C-829D-96B53352A745}" type="CATEGORYNAME">
                      <a:rPr lang="en-US" sz="1050">
                        <a:solidFill>
                          <a:srgbClr val="717171"/>
                        </a:solidFill>
                      </a:rPr>
                      <a:pPr>
                        <a:defRPr sz="1050">
                          <a:solidFill>
                            <a:srgbClr val="717171"/>
                          </a:solidFill>
                        </a:defRPr>
                      </a:pPr>
                      <a:t>[CATEGORY NAME]</a:t>
                    </a:fld>
                    <a:r>
                      <a:rPr lang="en-US" sz="1050" baseline="0">
                        <a:solidFill>
                          <a:srgbClr val="717171"/>
                        </a:solidFill>
                      </a:rPr>
                      <a:t>; </a:t>
                    </a:r>
                    <a:fld id="{25221309-7AE9-4D3A-8AE4-D08649C67FD7}" type="VALUE">
                      <a:rPr lang="en-US" sz="1050" b="1" baseline="0">
                        <a:solidFill>
                          <a:srgbClr val="717171"/>
                        </a:solidFill>
                      </a:rPr>
                      <a:pPr>
                        <a:defRPr sz="1050">
                          <a:solidFill>
                            <a:srgbClr val="717171"/>
                          </a:solidFill>
                        </a:defRPr>
                      </a:pPr>
                      <a:t>[VALUE]</a:t>
                    </a:fld>
                    <a:endParaRPr lang="en-US" sz="1050" baseline="0">
                      <a:solidFill>
                        <a:srgbClr val="717171"/>
                      </a:solidFill>
                    </a:endParaRPr>
                  </a:p>
                </c:rich>
              </c:tx>
              <c:numFmt formatCode="###0\%" sourceLinked="0"/>
              <c:spPr>
                <a:noFill/>
                <a:ln>
                  <a:noFill/>
                </a:ln>
                <a:effectLst/>
              </c:spPr>
              <c:showLegendKey val="0"/>
              <c:showVal val="1"/>
              <c:showCatName val="1"/>
              <c:showSerName val="0"/>
              <c:showPercent val="0"/>
              <c:showBubbleSize val="0"/>
              <c:extLst>
                <c:ext xmlns:c15="http://schemas.microsoft.com/office/drawing/2012/chart" uri="{CE6537A1-D6FC-4f65-9D91-7224C49458BB}">
                  <c15:layout>
                    <c:manualLayout>
                      <c:w val="0.26999590142595664"/>
                      <c:h val="0.19854485539732925"/>
                    </c:manualLayout>
                  </c15:layout>
                  <c15:dlblFieldTable/>
                  <c15:showDataLabelsRange val="0"/>
                </c:ext>
                <c:ext xmlns:c16="http://schemas.microsoft.com/office/drawing/2014/chart" uri="{C3380CC4-5D6E-409C-BE32-E72D297353CC}">
                  <c16:uniqueId val="{00000005-4420-4EA7-B350-1FF431C32C5D}"/>
                </c:ext>
              </c:extLst>
            </c:dLbl>
            <c:numFmt formatCode="###0\%" sourceLinked="0"/>
            <c:spPr>
              <a:noFill/>
              <a:ln>
                <a:noFill/>
              </a:ln>
              <a:effectLst/>
            </c:spPr>
            <c:txPr>
              <a:bodyPr wrap="square" lIns="38100" tIns="19050" rIns="38100" bIns="19050" anchor="ctr">
                <a:spAutoFit/>
              </a:bodyPr>
              <a:lstStyle/>
              <a:p>
                <a:pPr>
                  <a:defRPr sz="1200">
                    <a:solidFill>
                      <a:srgbClr val="717171"/>
                    </a:solidFill>
                  </a:defRPr>
                </a:pPr>
                <a:endParaRPr lang="lv-LV"/>
              </a:p>
            </c:txPr>
            <c:showLegendKey val="0"/>
            <c:showVal val="1"/>
            <c:showCatName val="1"/>
            <c:showSerName val="0"/>
            <c:showPercent val="0"/>
            <c:showBubbleSize val="0"/>
            <c:showLeaderLines val="0"/>
            <c:extLst>
              <c:ext xmlns:c15="http://schemas.microsoft.com/office/drawing/2012/chart" uri="{CE6537A1-D6FC-4f65-9D91-7224C49458BB}"/>
            </c:extLst>
          </c:dLbls>
          <c:cat>
            <c:strRef>
              <c:f>Sheet1!$A$2:$A$4</c:f>
              <c:strCache>
                <c:ptCount val="3"/>
                <c:pt idx="0">
                  <c:v>Jā</c:v>
                </c:pt>
                <c:pt idx="1">
                  <c:v>Nē</c:v>
                </c:pt>
                <c:pt idx="2">
                  <c:v>Grūti pateikt / nezina</c:v>
                </c:pt>
              </c:strCache>
            </c:strRef>
          </c:cat>
          <c:val>
            <c:numRef>
              <c:f>Sheet1!$B$2:$B$4</c:f>
              <c:numCache>
                <c:formatCode>###0.0</c:formatCode>
                <c:ptCount val="3"/>
                <c:pt idx="0">
                  <c:v>54.855550188481018</c:v>
                </c:pt>
                <c:pt idx="1">
                  <c:v>39.533754138626449</c:v>
                </c:pt>
                <c:pt idx="2">
                  <c:v>5.6106956728925299</c:v>
                </c:pt>
              </c:numCache>
            </c:numRef>
          </c:val>
          <c:extLst>
            <c:ext xmlns:c16="http://schemas.microsoft.com/office/drawing/2014/chart" uri="{C3380CC4-5D6E-409C-BE32-E72D297353CC}">
              <c16:uniqueId val="{00000006-4420-4EA7-B350-1FF431C32C5D}"/>
            </c:ext>
          </c:extLst>
        </c:ser>
        <c:dLbls>
          <c:showLegendKey val="0"/>
          <c:showVal val="1"/>
          <c:showCatName val="0"/>
          <c:showSerName val="0"/>
          <c:showPercent val="0"/>
          <c:showBubbleSize val="0"/>
          <c:showLeaderLines val="0"/>
        </c:dLbls>
        <c:firstSliceAng val="0"/>
        <c:holeSize val="50"/>
      </c:doughnutChart>
    </c:plotArea>
    <c:plotVisOnly val="1"/>
    <c:dispBlanksAs val="gap"/>
    <c:showDLblsOverMax val="0"/>
  </c:chart>
  <c:spPr>
    <a:ln>
      <a:noFill/>
    </a:ln>
  </c:spPr>
  <c:txPr>
    <a:bodyPr/>
    <a:lstStyle/>
    <a:p>
      <a:pPr>
        <a:defRPr sz="1800"/>
      </a:pPr>
      <a:endParaRPr lang="lv-LV"/>
    </a:p>
  </c:tx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4305864610019086"/>
          <c:y val="0.18499127399650961"/>
          <c:w val="0.53342703153982618"/>
          <c:h val="0.71204616372106033"/>
        </c:manualLayout>
      </c:layout>
      <c:barChart>
        <c:barDir val="bar"/>
        <c:grouping val="clustered"/>
        <c:varyColors val="0"/>
        <c:ser>
          <c:idx val="0"/>
          <c:order val="0"/>
          <c:tx>
            <c:strRef>
              <c:f>Sheet1!$B$1</c:f>
              <c:strCache>
                <c:ptCount val="1"/>
                <c:pt idx="0">
                  <c:v>Series 1</c:v>
                </c:pt>
              </c:strCache>
            </c:strRef>
          </c:tx>
          <c:spPr>
            <a:solidFill>
              <a:srgbClr val="96C11D"/>
            </a:solidFill>
          </c:spPr>
          <c:invertIfNegative val="0"/>
          <c:dPt>
            <c:idx val="0"/>
            <c:invertIfNegative val="0"/>
            <c:bubble3D val="0"/>
            <c:spPr>
              <a:solidFill>
                <a:srgbClr val="0EADC3"/>
              </a:solidFill>
            </c:spPr>
            <c:extLst>
              <c:ext xmlns:c16="http://schemas.microsoft.com/office/drawing/2014/chart" uri="{C3380CC4-5D6E-409C-BE32-E72D297353CC}">
                <c16:uniqueId val="{00000001-1A22-46A1-AC0C-16C47E944E09}"/>
              </c:ext>
            </c:extLst>
          </c:dPt>
          <c:dPt>
            <c:idx val="1"/>
            <c:invertIfNegative val="0"/>
            <c:bubble3D val="0"/>
            <c:spPr>
              <a:solidFill>
                <a:srgbClr val="0EADC3"/>
              </a:solidFill>
            </c:spPr>
            <c:extLst>
              <c:ext xmlns:c16="http://schemas.microsoft.com/office/drawing/2014/chart" uri="{C3380CC4-5D6E-409C-BE32-E72D297353CC}">
                <c16:uniqueId val="{00000003-1A22-46A1-AC0C-16C47E944E09}"/>
              </c:ext>
            </c:extLst>
          </c:dPt>
          <c:dPt>
            <c:idx val="2"/>
            <c:invertIfNegative val="0"/>
            <c:bubble3D val="0"/>
            <c:spPr>
              <a:solidFill>
                <a:srgbClr val="0EADC3"/>
              </a:solidFill>
            </c:spPr>
            <c:extLst>
              <c:ext xmlns:c16="http://schemas.microsoft.com/office/drawing/2014/chart" uri="{C3380CC4-5D6E-409C-BE32-E72D297353CC}">
                <c16:uniqueId val="{00000005-1A22-46A1-AC0C-16C47E944E09}"/>
              </c:ext>
            </c:extLst>
          </c:dPt>
          <c:dPt>
            <c:idx val="3"/>
            <c:invertIfNegative val="0"/>
            <c:bubble3D val="0"/>
            <c:spPr>
              <a:solidFill>
                <a:srgbClr val="0EADC3"/>
              </a:solidFill>
            </c:spPr>
            <c:extLst>
              <c:ext xmlns:c16="http://schemas.microsoft.com/office/drawing/2014/chart" uri="{C3380CC4-5D6E-409C-BE32-E72D297353CC}">
                <c16:uniqueId val="{00000007-1A22-46A1-AC0C-16C47E944E09}"/>
              </c:ext>
            </c:extLst>
          </c:dPt>
          <c:dPt>
            <c:idx val="4"/>
            <c:invertIfNegative val="0"/>
            <c:bubble3D val="0"/>
            <c:spPr>
              <a:solidFill>
                <a:srgbClr val="0EADC3"/>
              </a:solidFill>
            </c:spPr>
            <c:extLst>
              <c:ext xmlns:c16="http://schemas.microsoft.com/office/drawing/2014/chart" uri="{C3380CC4-5D6E-409C-BE32-E72D297353CC}">
                <c16:uniqueId val="{00000009-1A22-46A1-AC0C-16C47E944E09}"/>
              </c:ext>
            </c:extLst>
          </c:dPt>
          <c:dPt>
            <c:idx val="5"/>
            <c:invertIfNegative val="0"/>
            <c:bubble3D val="0"/>
            <c:spPr>
              <a:solidFill>
                <a:srgbClr val="0EADC3"/>
              </a:solidFill>
            </c:spPr>
            <c:extLst>
              <c:ext xmlns:c16="http://schemas.microsoft.com/office/drawing/2014/chart" uri="{C3380CC4-5D6E-409C-BE32-E72D297353CC}">
                <c16:uniqueId val="{0000000B-1A22-46A1-AC0C-16C47E944E09}"/>
              </c:ext>
            </c:extLst>
          </c:dPt>
          <c:dPt>
            <c:idx val="6"/>
            <c:invertIfNegative val="0"/>
            <c:bubble3D val="0"/>
            <c:spPr>
              <a:solidFill>
                <a:srgbClr val="989898"/>
              </a:solidFill>
            </c:spPr>
            <c:extLst>
              <c:ext xmlns:c16="http://schemas.microsoft.com/office/drawing/2014/chart" uri="{C3380CC4-5D6E-409C-BE32-E72D297353CC}">
                <c16:uniqueId val="{0000000D-1A22-46A1-AC0C-16C47E944E09}"/>
              </c:ext>
            </c:extLst>
          </c:dPt>
          <c:dLbls>
            <c:dLbl>
              <c:idx val="7"/>
              <c:numFmt formatCode="###0.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extLst>
                <c:ext xmlns:c16="http://schemas.microsoft.com/office/drawing/2014/chart" uri="{C3380CC4-5D6E-409C-BE32-E72D297353CC}">
                  <c16:uniqueId val="{0000000E-1A22-46A1-AC0C-16C47E944E09}"/>
                </c:ext>
              </c:extLst>
            </c:dLbl>
            <c:numFmt formatCode="###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Mazāk par 5 darbiniekiem</c:v>
                </c:pt>
                <c:pt idx="1">
                  <c:v>5 – 9 darbinieki</c:v>
                </c:pt>
                <c:pt idx="2">
                  <c:v>10 – 49 darbinieki</c:v>
                </c:pt>
                <c:pt idx="3">
                  <c:v>50 – 99 darbinieki</c:v>
                </c:pt>
                <c:pt idx="4">
                  <c:v>100 – 249 darbinieki</c:v>
                </c:pt>
                <c:pt idx="5">
                  <c:v>250 un vairāk darbinieku</c:v>
                </c:pt>
                <c:pt idx="6">
                  <c:v>Grūti pateikt/nevēlamies norādīt</c:v>
                </c:pt>
              </c:strCache>
            </c:strRef>
          </c:cat>
          <c:val>
            <c:numRef>
              <c:f>Sheet1!$B$2:$B$8</c:f>
              <c:numCache>
                <c:formatCode>###0.0</c:formatCode>
                <c:ptCount val="7"/>
                <c:pt idx="0">
                  <c:v>40.353576981643862</c:v>
                </c:pt>
                <c:pt idx="1">
                  <c:v>27.517338597645718</c:v>
                </c:pt>
                <c:pt idx="2">
                  <c:v>24.369266235972901</c:v>
                </c:pt>
                <c:pt idx="3">
                  <c:v>3.6694952822523339</c:v>
                </c:pt>
                <c:pt idx="4">
                  <c:v>1.6578224814361355</c:v>
                </c:pt>
                <c:pt idx="5">
                  <c:v>1.4218710230263689</c:v>
                </c:pt>
                <c:pt idx="6">
                  <c:v>1.0106293980227607</c:v>
                </c:pt>
              </c:numCache>
            </c:numRef>
          </c:val>
          <c:extLst>
            <c:ext xmlns:c16="http://schemas.microsoft.com/office/drawing/2014/chart" uri="{C3380CC4-5D6E-409C-BE32-E72D297353CC}">
              <c16:uniqueId val="{0000000F-1A22-46A1-AC0C-16C47E944E09}"/>
            </c:ext>
          </c:extLst>
        </c:ser>
        <c:dLbls>
          <c:showLegendKey val="0"/>
          <c:showVal val="0"/>
          <c:showCatName val="0"/>
          <c:showSerName val="0"/>
          <c:showPercent val="0"/>
          <c:showBubbleSize val="0"/>
        </c:dLbls>
        <c:gapWidth val="66"/>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100">
                <a:solidFill>
                  <a:srgbClr val="717171"/>
                </a:solidFill>
              </a:defRPr>
            </a:pPr>
            <a:endParaRPr lang="lv-LV"/>
          </a:p>
        </c:txPr>
        <c:crossAx val="1943215816"/>
        <c:crosses val="autoZero"/>
        <c:auto val="1"/>
        <c:lblAlgn val="ctr"/>
        <c:lblOffset val="100"/>
        <c:noMultiLvlLbl val="0"/>
      </c:catAx>
      <c:valAx>
        <c:axId val="1943215816"/>
        <c:scaling>
          <c:orientation val="minMax"/>
          <c:max val="100"/>
        </c:scaling>
        <c:delete val="1"/>
        <c:axPos val="t"/>
        <c:numFmt formatCode="###0.0" sourceLinked="1"/>
        <c:majorTickMark val="out"/>
        <c:minorTickMark val="none"/>
        <c:tickLblPos val="nextTo"/>
        <c:crossAx val="1943593016"/>
        <c:crosses val="autoZero"/>
        <c:crossBetween val="between"/>
      </c:valAx>
      <c:spPr>
        <a:ln>
          <a:noFill/>
        </a:ln>
      </c:spPr>
    </c:plotArea>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46138567864994"/>
          <c:y val="0.18481848184818481"/>
          <c:w val="0.59187182085351775"/>
          <c:h val="0.71947194719471952"/>
        </c:manualLayout>
      </c:layout>
      <c:barChart>
        <c:barDir val="bar"/>
        <c:grouping val="clustered"/>
        <c:varyColors val="0"/>
        <c:ser>
          <c:idx val="0"/>
          <c:order val="0"/>
          <c:tx>
            <c:strRef>
              <c:f>Sheet1!$B$1</c:f>
              <c:strCache>
                <c:ptCount val="1"/>
                <c:pt idx="0">
                  <c:v>Series 1</c:v>
                </c:pt>
              </c:strCache>
            </c:strRef>
          </c:tx>
          <c:spPr>
            <a:solidFill>
              <a:srgbClr val="96C11D"/>
            </a:solidFill>
          </c:spPr>
          <c:invertIfNegative val="0"/>
          <c:dPt>
            <c:idx val="0"/>
            <c:invertIfNegative val="0"/>
            <c:bubble3D val="0"/>
            <c:spPr>
              <a:solidFill>
                <a:srgbClr val="0EADC3"/>
              </a:solidFill>
            </c:spPr>
            <c:extLst>
              <c:ext xmlns:c16="http://schemas.microsoft.com/office/drawing/2014/chart" uri="{C3380CC4-5D6E-409C-BE32-E72D297353CC}">
                <c16:uniqueId val="{00000001-0B37-420A-80A1-18C64FC4622A}"/>
              </c:ext>
            </c:extLst>
          </c:dPt>
          <c:dPt>
            <c:idx val="1"/>
            <c:invertIfNegative val="0"/>
            <c:bubble3D val="0"/>
            <c:spPr>
              <a:solidFill>
                <a:srgbClr val="0EADC3"/>
              </a:solidFill>
            </c:spPr>
            <c:extLst>
              <c:ext xmlns:c16="http://schemas.microsoft.com/office/drawing/2014/chart" uri="{C3380CC4-5D6E-409C-BE32-E72D297353CC}">
                <c16:uniqueId val="{00000003-0B37-420A-80A1-18C64FC4622A}"/>
              </c:ext>
            </c:extLst>
          </c:dPt>
          <c:dPt>
            <c:idx val="2"/>
            <c:invertIfNegative val="0"/>
            <c:bubble3D val="0"/>
            <c:spPr>
              <a:solidFill>
                <a:srgbClr val="0EADC3"/>
              </a:solidFill>
            </c:spPr>
            <c:extLst>
              <c:ext xmlns:c16="http://schemas.microsoft.com/office/drawing/2014/chart" uri="{C3380CC4-5D6E-409C-BE32-E72D297353CC}">
                <c16:uniqueId val="{00000005-0B37-420A-80A1-18C64FC4622A}"/>
              </c:ext>
            </c:extLst>
          </c:dPt>
          <c:dPt>
            <c:idx val="3"/>
            <c:invertIfNegative val="0"/>
            <c:bubble3D val="0"/>
            <c:spPr>
              <a:solidFill>
                <a:srgbClr val="0EADC3"/>
              </a:solidFill>
            </c:spPr>
            <c:extLst>
              <c:ext xmlns:c16="http://schemas.microsoft.com/office/drawing/2014/chart" uri="{C3380CC4-5D6E-409C-BE32-E72D297353CC}">
                <c16:uniqueId val="{00000007-0B37-420A-80A1-18C64FC4622A}"/>
              </c:ext>
            </c:extLst>
          </c:dPt>
          <c:dPt>
            <c:idx val="4"/>
            <c:invertIfNegative val="0"/>
            <c:bubble3D val="0"/>
            <c:spPr>
              <a:solidFill>
                <a:srgbClr val="0EADC3"/>
              </a:solidFill>
            </c:spPr>
            <c:extLst>
              <c:ext xmlns:c16="http://schemas.microsoft.com/office/drawing/2014/chart" uri="{C3380CC4-5D6E-409C-BE32-E72D297353CC}">
                <c16:uniqueId val="{00000009-0B37-420A-80A1-18C64FC4622A}"/>
              </c:ext>
            </c:extLst>
          </c:dPt>
          <c:dPt>
            <c:idx val="5"/>
            <c:invertIfNegative val="0"/>
            <c:bubble3D val="0"/>
            <c:spPr>
              <a:solidFill>
                <a:srgbClr val="0EADC3"/>
              </a:solidFill>
            </c:spPr>
            <c:extLst>
              <c:ext xmlns:c16="http://schemas.microsoft.com/office/drawing/2014/chart" uri="{C3380CC4-5D6E-409C-BE32-E72D297353CC}">
                <c16:uniqueId val="{0000000B-0B37-420A-80A1-18C64FC4622A}"/>
              </c:ext>
            </c:extLst>
          </c:dPt>
          <c:dPt>
            <c:idx val="6"/>
            <c:invertIfNegative val="0"/>
            <c:bubble3D val="0"/>
            <c:spPr>
              <a:solidFill>
                <a:srgbClr val="989898"/>
              </a:solidFill>
            </c:spPr>
            <c:extLst>
              <c:ext xmlns:c16="http://schemas.microsoft.com/office/drawing/2014/chart" uri="{C3380CC4-5D6E-409C-BE32-E72D297353CC}">
                <c16:uniqueId val="{0000000D-0B37-420A-80A1-18C64FC4622A}"/>
              </c:ext>
            </c:extLst>
          </c:dPt>
          <c:dLbls>
            <c:dLbl>
              <c:idx val="7"/>
              <c:numFmt formatCode="###0.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extLst>
                <c:ext xmlns:c16="http://schemas.microsoft.com/office/drawing/2014/chart" uri="{C3380CC4-5D6E-409C-BE32-E72D297353CC}">
                  <c16:uniqueId val="{0000000E-0B37-420A-80A1-18C64FC4622A}"/>
                </c:ext>
              </c:extLst>
            </c:dLbl>
            <c:numFmt formatCode="###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Sheet1!$A$2:$A$8</c:f>
              <c:strCache>
                <c:ptCount val="7"/>
                <c:pt idx="0">
                  <c:v>Mazāk nekā 1 gadu</c:v>
                </c:pt>
                <c:pt idx="1">
                  <c:v>1 - 3 gadus</c:v>
                </c:pt>
                <c:pt idx="2">
                  <c:v>4 – 5 gadus</c:v>
                </c:pt>
                <c:pt idx="3">
                  <c:v>5 – 7 gadus</c:v>
                </c:pt>
                <c:pt idx="4">
                  <c:v>7 – 10 gadus</c:v>
                </c:pt>
                <c:pt idx="5">
                  <c:v>Vairāk nekā 10 gadus</c:v>
                </c:pt>
                <c:pt idx="6">
                  <c:v>Nezinu, grūti pateikt</c:v>
                </c:pt>
              </c:strCache>
            </c:strRef>
          </c:cat>
          <c:val>
            <c:numRef>
              <c:f>Sheet1!$B$2:$B$8</c:f>
              <c:numCache>
                <c:formatCode>###0.0</c:formatCode>
                <c:ptCount val="7"/>
                <c:pt idx="0">
                  <c:v>2.3776218149579034</c:v>
                </c:pt>
                <c:pt idx="1">
                  <c:v>1.7900246660974217</c:v>
                </c:pt>
                <c:pt idx="2">
                  <c:v>5.6947182402214525</c:v>
                </c:pt>
                <c:pt idx="3">
                  <c:v>3.7525992968409159</c:v>
                </c:pt>
                <c:pt idx="4">
                  <c:v>14.162783934460149</c:v>
                </c:pt>
                <c:pt idx="5">
                  <c:v>71.49927930797908</c:v>
                </c:pt>
                <c:pt idx="6">
                  <c:v>0.72297273944311002</c:v>
                </c:pt>
              </c:numCache>
            </c:numRef>
          </c:val>
          <c:extLst>
            <c:ext xmlns:c16="http://schemas.microsoft.com/office/drawing/2014/chart" uri="{C3380CC4-5D6E-409C-BE32-E72D297353CC}">
              <c16:uniqueId val="{0000000F-0B37-420A-80A1-18C64FC4622A}"/>
            </c:ext>
          </c:extLst>
        </c:ser>
        <c:dLbls>
          <c:showLegendKey val="0"/>
          <c:showVal val="0"/>
          <c:showCatName val="0"/>
          <c:showSerName val="0"/>
          <c:showPercent val="0"/>
          <c:showBubbleSize val="0"/>
        </c:dLbls>
        <c:gapWidth val="66"/>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100">
                <a:solidFill>
                  <a:srgbClr val="717171"/>
                </a:solidFill>
              </a:defRPr>
            </a:pPr>
            <a:endParaRPr lang="lv-LV"/>
          </a:p>
        </c:txPr>
        <c:crossAx val="1943215816"/>
        <c:crosses val="autoZero"/>
        <c:auto val="1"/>
        <c:lblAlgn val="ctr"/>
        <c:lblOffset val="100"/>
        <c:noMultiLvlLbl val="0"/>
      </c:catAx>
      <c:valAx>
        <c:axId val="1943215816"/>
        <c:scaling>
          <c:orientation val="minMax"/>
          <c:max val="100"/>
        </c:scaling>
        <c:delete val="1"/>
        <c:axPos val="t"/>
        <c:numFmt formatCode="###0.0" sourceLinked="1"/>
        <c:majorTickMark val="out"/>
        <c:minorTickMark val="none"/>
        <c:tickLblPos val="nextTo"/>
        <c:crossAx val="1943593016"/>
        <c:crosses val="autoZero"/>
        <c:crossBetween val="between"/>
      </c:valAx>
    </c:plotArea>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v-LV" sz="1400" dirty="0">
                <a:solidFill>
                  <a:srgbClr val="BD9B08"/>
                </a:solidFill>
              </a:rPr>
              <a:t>Kvalitātes indekss</a:t>
            </a:r>
          </a:p>
        </c:rich>
      </c:tx>
      <c:overlay val="0"/>
    </c:title>
    <c:autoTitleDeleted val="0"/>
    <c:plotArea>
      <c:layout>
        <c:manualLayout>
          <c:layoutTarget val="inner"/>
          <c:xMode val="edge"/>
          <c:yMode val="edge"/>
          <c:x val="0"/>
          <c:y val="0.12616742550188501"/>
          <c:w val="1"/>
          <c:h val="0.65473068305486204"/>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BD9B08"/>
              </a:solidFill>
              <a:ln>
                <a:noFill/>
              </a:ln>
              <a:effectLst/>
            </c:spPr>
            <c:extLst>
              <c:ext xmlns:c16="http://schemas.microsoft.com/office/drawing/2014/chart" uri="{C3380CC4-5D6E-409C-BE32-E72D297353CC}">
                <c16:uniqueId val="{00000001-14DF-4928-AA42-D2B04DE4222C}"/>
              </c:ext>
            </c:extLst>
          </c:dPt>
          <c:dPt>
            <c:idx val="1"/>
            <c:invertIfNegative val="0"/>
            <c:bubble3D val="0"/>
            <c:spPr>
              <a:solidFill>
                <a:schemeClr val="tx1"/>
              </a:solidFill>
              <a:ln>
                <a:noFill/>
              </a:ln>
              <a:effectLst/>
            </c:spPr>
            <c:extLst>
              <c:ext xmlns:c16="http://schemas.microsoft.com/office/drawing/2014/chart" uri="{C3380CC4-5D6E-409C-BE32-E72D297353CC}">
                <c16:uniqueId val="{00000003-14DF-4928-AA42-D2B04DE4222C}"/>
              </c:ext>
            </c:extLst>
          </c:dPt>
          <c:dPt>
            <c:idx val="2"/>
            <c:invertIfNegative val="0"/>
            <c:bubble3D val="0"/>
            <c:spPr>
              <a:solidFill>
                <a:schemeClr val="tx1"/>
              </a:solidFill>
              <a:ln>
                <a:noFill/>
              </a:ln>
              <a:effectLst/>
            </c:spPr>
            <c:extLst>
              <c:ext xmlns:c16="http://schemas.microsoft.com/office/drawing/2014/chart" uri="{C3380CC4-5D6E-409C-BE32-E72D297353CC}">
                <c16:uniqueId val="{00000005-14DF-4928-AA42-D2B04DE4222C}"/>
              </c:ext>
            </c:extLst>
          </c:dPt>
          <c:dPt>
            <c:idx val="3"/>
            <c:invertIfNegative val="0"/>
            <c:bubble3D val="0"/>
            <c:spPr>
              <a:solidFill>
                <a:schemeClr val="tx1"/>
              </a:solidFill>
              <a:ln>
                <a:noFill/>
              </a:ln>
              <a:effectLst/>
            </c:spPr>
            <c:extLst>
              <c:ext xmlns:c16="http://schemas.microsoft.com/office/drawing/2014/chart" uri="{C3380CC4-5D6E-409C-BE32-E72D297353CC}">
                <c16:uniqueId val="{00000007-14DF-4928-AA42-D2B04DE4222C}"/>
              </c:ext>
            </c:extLst>
          </c:dPt>
          <c:dPt>
            <c:idx val="4"/>
            <c:invertIfNegative val="0"/>
            <c:bubble3D val="0"/>
            <c:spPr>
              <a:solidFill>
                <a:schemeClr val="tx1"/>
              </a:solidFill>
              <a:ln>
                <a:noFill/>
              </a:ln>
              <a:effectLst/>
            </c:spPr>
            <c:extLst>
              <c:ext xmlns:c16="http://schemas.microsoft.com/office/drawing/2014/chart" uri="{C3380CC4-5D6E-409C-BE32-E72D297353CC}">
                <c16:uniqueId val="{00000009-14DF-4928-AA42-D2B04DE4222C}"/>
              </c:ext>
            </c:extLst>
          </c:dPt>
          <c:dPt>
            <c:idx val="8"/>
            <c:invertIfNegative val="0"/>
            <c:bubble3D val="0"/>
            <c:extLst>
              <c:ext xmlns:c16="http://schemas.microsoft.com/office/drawing/2014/chart" uri="{C3380CC4-5D6E-409C-BE32-E72D297353CC}">
                <c16:uniqueId val="{0000000A-14DF-4928-AA42-D2B04DE4222C}"/>
              </c:ext>
            </c:extLst>
          </c:dPt>
          <c:dPt>
            <c:idx val="9"/>
            <c:invertIfNegative val="0"/>
            <c:bubble3D val="0"/>
            <c:extLst>
              <c:ext xmlns:c16="http://schemas.microsoft.com/office/drawing/2014/chart" uri="{C3380CC4-5D6E-409C-BE32-E72D297353CC}">
                <c16:uniqueId val="{0000000B-14DF-4928-AA42-D2B04DE4222C}"/>
              </c:ext>
            </c:extLst>
          </c:dPt>
          <c:dPt>
            <c:idx val="11"/>
            <c:invertIfNegative val="0"/>
            <c:bubble3D val="0"/>
            <c:extLst>
              <c:ext xmlns:c16="http://schemas.microsoft.com/office/drawing/2014/chart" uri="{C3380CC4-5D6E-409C-BE32-E72D297353CC}">
                <c16:uniqueId val="{0000000C-14DF-4928-AA42-D2B04DE4222C}"/>
              </c:ext>
            </c:extLst>
          </c:dPt>
          <c:dLbls>
            <c:numFmt formatCode="0&quot;%&quot;" sourceLinked="0"/>
            <c:spPr>
              <a:noFill/>
              <a:ln>
                <a:noFill/>
              </a:ln>
              <a:effectLst/>
            </c:spPr>
            <c:txPr>
              <a:bodyPr/>
              <a:lstStyle/>
              <a:p>
                <a:pPr>
                  <a:defRPr sz="1100" b="1">
                    <a:solidFill>
                      <a:schemeClr val="tx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Sheet1!$A$2:$A$6</c:f>
              <c:strCache>
                <c:ptCount val="5"/>
                <c:pt idx="0">
                  <c:v>Būvniecības nozares kvalitātes indekss (kopumā)</c:v>
                </c:pt>
                <c:pt idx="1">
                  <c:v>Priekšdarbi</c:v>
                </c:pt>
                <c:pt idx="2">
                  <c:v>Projektēšana</c:v>
                </c:pt>
                <c:pt idx="3">
                  <c:v>Būvdarbi</c:v>
                </c:pt>
                <c:pt idx="4">
                  <c:v>Uzraudzība</c:v>
                </c:pt>
              </c:strCache>
            </c:strRef>
          </c:cat>
          <c:val>
            <c:numRef>
              <c:f>Sheet1!$B$2:$B$6</c:f>
              <c:numCache>
                <c:formatCode>General</c:formatCode>
                <c:ptCount val="5"/>
                <c:pt idx="0">
                  <c:v>78.259999999999991</c:v>
                </c:pt>
                <c:pt idx="1">
                  <c:v>78.569999999999993</c:v>
                </c:pt>
                <c:pt idx="2">
                  <c:v>75.48</c:v>
                </c:pt>
                <c:pt idx="3">
                  <c:v>82.46</c:v>
                </c:pt>
                <c:pt idx="4">
                  <c:v>76.19</c:v>
                </c:pt>
              </c:numCache>
            </c:numRef>
          </c:val>
          <c:extLst>
            <c:ext xmlns:c16="http://schemas.microsoft.com/office/drawing/2014/chart" uri="{C3380CC4-5D6E-409C-BE32-E72D297353CC}">
              <c16:uniqueId val="{0000000D-14DF-4928-AA42-D2B04DE4222C}"/>
            </c:ext>
          </c:extLst>
        </c:ser>
        <c:dLbls>
          <c:showLegendKey val="0"/>
          <c:showVal val="0"/>
          <c:showCatName val="0"/>
          <c:showSerName val="0"/>
          <c:showPercent val="0"/>
          <c:showBubbleSize val="0"/>
        </c:dLbls>
        <c:gapWidth val="66"/>
        <c:overlap val="-9"/>
        <c:axId val="1839703656"/>
        <c:axId val="1944405784"/>
      </c:barChart>
      <c:catAx>
        <c:axId val="1839703656"/>
        <c:scaling>
          <c:orientation val="minMax"/>
        </c:scaling>
        <c:delete val="0"/>
        <c:axPos val="b"/>
        <c:numFmt formatCode="General" sourceLinked="1"/>
        <c:majorTickMark val="none"/>
        <c:minorTickMark val="none"/>
        <c:tickLblPos val="nextTo"/>
        <c:spPr>
          <a:noFill/>
          <a:ln w="9525" cap="flat" cmpd="sng" algn="ctr">
            <a:solidFill>
              <a:srgbClr val="717171"/>
            </a:solidFill>
            <a:round/>
          </a:ln>
          <a:effectLst/>
        </c:spPr>
        <c:txPr>
          <a:bodyPr rot="-60000000" spcFirstLastPara="1" vertOverflow="ellipsis" vert="horz" wrap="square" anchor="ctr" anchorCtr="1"/>
          <a:lstStyle/>
          <a:p>
            <a:pPr>
              <a:defRPr sz="1100" b="0" i="0" u="none" strike="noStrike" kern="1200" baseline="0">
                <a:solidFill>
                  <a:srgbClr val="717171"/>
                </a:solidFill>
                <a:latin typeface="+mn-lt"/>
                <a:ea typeface="+mn-ea"/>
                <a:cs typeface="+mn-cs"/>
              </a:defRPr>
            </a:pPr>
            <a:endParaRPr lang="lv-LV"/>
          </a:p>
        </c:txPr>
        <c:crossAx val="1944405784"/>
        <c:crosses val="autoZero"/>
        <c:auto val="1"/>
        <c:lblAlgn val="ctr"/>
        <c:lblOffset val="100"/>
        <c:noMultiLvlLbl val="0"/>
      </c:catAx>
      <c:valAx>
        <c:axId val="1944405784"/>
        <c:scaling>
          <c:orientation val="minMax"/>
          <c:max val="100"/>
          <c:min val="0"/>
        </c:scaling>
        <c:delete val="1"/>
        <c:axPos val="l"/>
        <c:numFmt formatCode="General" sourceLinked="1"/>
        <c:majorTickMark val="out"/>
        <c:minorTickMark val="none"/>
        <c:tickLblPos val="nextTo"/>
        <c:crossAx val="1839703656"/>
        <c:crosses val="autoZero"/>
        <c:crossBetween val="between"/>
      </c:valAx>
      <c:spPr>
        <a:noFill/>
        <a:ln>
          <a:noFill/>
        </a:ln>
        <a:effectLst/>
      </c:spPr>
    </c:plotArea>
    <c:plotVisOnly val="1"/>
    <c:dispBlanksAs val="gap"/>
    <c:showDLblsOverMax val="0"/>
  </c:chart>
  <c:spPr>
    <a:noFill/>
    <a:ln>
      <a:noFill/>
    </a:ln>
    <a:effectLst/>
  </c:spPr>
  <c:txPr>
    <a:bodyPr/>
    <a:lstStyle/>
    <a:p>
      <a:pPr>
        <a:defRPr sz="1000"/>
      </a:pPr>
      <a:endParaRPr lang="lv-LV"/>
    </a:p>
  </c:txPr>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v-LV" sz="1400" dirty="0">
                <a:solidFill>
                  <a:srgbClr val="BD9B08"/>
                </a:solidFill>
              </a:rPr>
              <a:t>Posma «Priekšdarbi» kvalitātes indekss</a:t>
            </a:r>
          </a:p>
        </c:rich>
      </c:tx>
      <c:layout>
        <c:manualLayout>
          <c:xMode val="edge"/>
          <c:yMode val="edge"/>
          <c:x val="0.15039318462773274"/>
          <c:y val="8.1117620549797209E-2"/>
        </c:manualLayout>
      </c:layout>
      <c:overlay val="0"/>
    </c:title>
    <c:autoTitleDeleted val="0"/>
    <c:plotArea>
      <c:layout>
        <c:manualLayout>
          <c:layoutTarget val="inner"/>
          <c:xMode val="edge"/>
          <c:yMode val="edge"/>
          <c:x val="0"/>
          <c:y val="0.18971445603999815"/>
          <c:w val="1"/>
          <c:h val="0.68115343479407875"/>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BD9B08"/>
              </a:solidFill>
              <a:ln>
                <a:noFill/>
              </a:ln>
              <a:effectLst/>
            </c:spPr>
            <c:extLst>
              <c:ext xmlns:c16="http://schemas.microsoft.com/office/drawing/2014/chart" uri="{C3380CC4-5D6E-409C-BE32-E72D297353CC}">
                <c16:uniqueId val="{00000001-38ED-48D4-AADD-026286B3B3A6}"/>
              </c:ext>
            </c:extLst>
          </c:dPt>
          <c:dPt>
            <c:idx val="1"/>
            <c:invertIfNegative val="0"/>
            <c:bubble3D val="0"/>
            <c:spPr>
              <a:solidFill>
                <a:schemeClr val="tx1"/>
              </a:solidFill>
              <a:ln>
                <a:noFill/>
              </a:ln>
              <a:effectLst/>
            </c:spPr>
            <c:extLst>
              <c:ext xmlns:c16="http://schemas.microsoft.com/office/drawing/2014/chart" uri="{C3380CC4-5D6E-409C-BE32-E72D297353CC}">
                <c16:uniqueId val="{00000003-38ED-48D4-AADD-026286B3B3A6}"/>
              </c:ext>
            </c:extLst>
          </c:dPt>
          <c:dPt>
            <c:idx val="2"/>
            <c:invertIfNegative val="0"/>
            <c:bubble3D val="0"/>
            <c:spPr>
              <a:solidFill>
                <a:schemeClr val="tx1"/>
              </a:solidFill>
              <a:ln>
                <a:noFill/>
              </a:ln>
              <a:effectLst/>
            </c:spPr>
            <c:extLst>
              <c:ext xmlns:c16="http://schemas.microsoft.com/office/drawing/2014/chart" uri="{C3380CC4-5D6E-409C-BE32-E72D297353CC}">
                <c16:uniqueId val="{00000005-38ED-48D4-AADD-026286B3B3A6}"/>
              </c:ext>
            </c:extLst>
          </c:dPt>
          <c:dPt>
            <c:idx val="3"/>
            <c:invertIfNegative val="0"/>
            <c:bubble3D val="0"/>
            <c:spPr>
              <a:solidFill>
                <a:schemeClr val="tx1"/>
              </a:solidFill>
              <a:ln>
                <a:noFill/>
              </a:ln>
              <a:effectLst/>
            </c:spPr>
            <c:extLst>
              <c:ext xmlns:c16="http://schemas.microsoft.com/office/drawing/2014/chart" uri="{C3380CC4-5D6E-409C-BE32-E72D297353CC}">
                <c16:uniqueId val="{00000007-38ED-48D4-AADD-026286B3B3A6}"/>
              </c:ext>
            </c:extLst>
          </c:dPt>
          <c:dPt>
            <c:idx val="4"/>
            <c:invertIfNegative val="0"/>
            <c:bubble3D val="0"/>
            <c:spPr>
              <a:solidFill>
                <a:schemeClr val="tx1"/>
              </a:solidFill>
              <a:ln>
                <a:noFill/>
              </a:ln>
              <a:effectLst/>
            </c:spPr>
            <c:extLst>
              <c:ext xmlns:c16="http://schemas.microsoft.com/office/drawing/2014/chart" uri="{C3380CC4-5D6E-409C-BE32-E72D297353CC}">
                <c16:uniqueId val="{00000009-38ED-48D4-AADD-026286B3B3A6}"/>
              </c:ext>
            </c:extLst>
          </c:dPt>
          <c:dPt>
            <c:idx val="8"/>
            <c:invertIfNegative val="0"/>
            <c:bubble3D val="0"/>
            <c:extLst>
              <c:ext xmlns:c16="http://schemas.microsoft.com/office/drawing/2014/chart" uri="{C3380CC4-5D6E-409C-BE32-E72D297353CC}">
                <c16:uniqueId val="{0000000A-38ED-48D4-AADD-026286B3B3A6}"/>
              </c:ext>
            </c:extLst>
          </c:dPt>
          <c:dPt>
            <c:idx val="9"/>
            <c:invertIfNegative val="0"/>
            <c:bubble3D val="0"/>
            <c:extLst>
              <c:ext xmlns:c16="http://schemas.microsoft.com/office/drawing/2014/chart" uri="{C3380CC4-5D6E-409C-BE32-E72D297353CC}">
                <c16:uniqueId val="{0000000B-38ED-48D4-AADD-026286B3B3A6}"/>
              </c:ext>
            </c:extLst>
          </c:dPt>
          <c:dPt>
            <c:idx val="11"/>
            <c:invertIfNegative val="0"/>
            <c:bubble3D val="0"/>
            <c:extLst>
              <c:ext xmlns:c16="http://schemas.microsoft.com/office/drawing/2014/chart" uri="{C3380CC4-5D6E-409C-BE32-E72D297353CC}">
                <c16:uniqueId val="{0000000C-38ED-48D4-AADD-026286B3B3A6}"/>
              </c:ext>
            </c:extLst>
          </c:dPt>
          <c:dLbls>
            <c:numFmt formatCode="0&quot;%&quot;" sourceLinked="0"/>
            <c:spPr>
              <a:noFill/>
              <a:ln>
                <a:noFill/>
              </a:ln>
              <a:effectLst/>
            </c:spPr>
            <c:txPr>
              <a:bodyPr/>
              <a:lstStyle/>
              <a:p>
                <a:pPr>
                  <a:defRPr sz="1100" b="1">
                    <a:solidFill>
                      <a:schemeClr val="tx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Priekšdarbi</c:v>
                </c:pt>
                <c:pt idx="1">
                  <c:v>Būvniecības pasūtītāji</c:v>
                </c:pt>
                <c:pt idx="2">
                  <c:v>Priekšizpēte</c:v>
                </c:pt>
              </c:strCache>
            </c:strRef>
          </c:cat>
          <c:val>
            <c:numRef>
              <c:f>Sheet1!$B$2:$B$4</c:f>
              <c:numCache>
                <c:formatCode>General</c:formatCode>
                <c:ptCount val="3"/>
                <c:pt idx="0">
                  <c:v>78.569999999999993</c:v>
                </c:pt>
                <c:pt idx="1">
                  <c:v>77.53</c:v>
                </c:pt>
                <c:pt idx="2">
                  <c:v>79.612839516577182</c:v>
                </c:pt>
              </c:numCache>
            </c:numRef>
          </c:val>
          <c:extLst>
            <c:ext xmlns:c16="http://schemas.microsoft.com/office/drawing/2014/chart" uri="{C3380CC4-5D6E-409C-BE32-E72D297353CC}">
              <c16:uniqueId val="{0000000D-38ED-48D4-AADD-026286B3B3A6}"/>
            </c:ext>
          </c:extLst>
        </c:ser>
        <c:dLbls>
          <c:showLegendKey val="0"/>
          <c:showVal val="0"/>
          <c:showCatName val="0"/>
          <c:showSerName val="0"/>
          <c:showPercent val="0"/>
          <c:showBubbleSize val="0"/>
        </c:dLbls>
        <c:gapWidth val="66"/>
        <c:overlap val="-9"/>
        <c:axId val="1839703656"/>
        <c:axId val="1944405784"/>
      </c:barChart>
      <c:catAx>
        <c:axId val="1839703656"/>
        <c:scaling>
          <c:orientation val="minMax"/>
        </c:scaling>
        <c:delete val="0"/>
        <c:axPos val="b"/>
        <c:numFmt formatCode="General" sourceLinked="1"/>
        <c:majorTickMark val="none"/>
        <c:minorTickMark val="none"/>
        <c:tickLblPos val="nextTo"/>
        <c:spPr>
          <a:noFill/>
          <a:ln w="9525" cap="flat" cmpd="sng" algn="ctr">
            <a:solidFill>
              <a:srgbClr val="717171"/>
            </a:solidFill>
            <a:round/>
          </a:ln>
          <a:effectLst/>
        </c:spPr>
        <c:txPr>
          <a:bodyPr rot="-60000000" spcFirstLastPara="1" vertOverflow="ellipsis" vert="horz" wrap="square" anchor="ctr" anchorCtr="1"/>
          <a:lstStyle/>
          <a:p>
            <a:pPr>
              <a:defRPr sz="1100" b="0" i="0" u="none" strike="noStrike" kern="1200" baseline="0">
                <a:solidFill>
                  <a:srgbClr val="717171"/>
                </a:solidFill>
                <a:latin typeface="+mn-lt"/>
                <a:ea typeface="+mn-ea"/>
                <a:cs typeface="+mn-cs"/>
              </a:defRPr>
            </a:pPr>
            <a:endParaRPr lang="lv-LV"/>
          </a:p>
        </c:txPr>
        <c:crossAx val="1944405784"/>
        <c:crosses val="autoZero"/>
        <c:auto val="1"/>
        <c:lblAlgn val="ctr"/>
        <c:lblOffset val="100"/>
        <c:noMultiLvlLbl val="0"/>
      </c:catAx>
      <c:valAx>
        <c:axId val="1944405784"/>
        <c:scaling>
          <c:orientation val="minMax"/>
          <c:max val="100"/>
          <c:min val="0"/>
        </c:scaling>
        <c:delete val="1"/>
        <c:axPos val="l"/>
        <c:numFmt formatCode="General" sourceLinked="1"/>
        <c:majorTickMark val="out"/>
        <c:minorTickMark val="none"/>
        <c:tickLblPos val="nextTo"/>
        <c:crossAx val="1839703656"/>
        <c:crosses val="autoZero"/>
        <c:crossBetween val="between"/>
      </c:valAx>
      <c:spPr>
        <a:noFill/>
        <a:ln>
          <a:noFill/>
        </a:ln>
        <a:effectLst/>
      </c:spPr>
    </c:plotArea>
    <c:plotVisOnly val="1"/>
    <c:dispBlanksAs val="gap"/>
    <c:showDLblsOverMax val="0"/>
  </c:chart>
  <c:spPr>
    <a:noFill/>
    <a:ln>
      <a:noFill/>
    </a:ln>
    <a:effectLst/>
  </c:spPr>
  <c:txPr>
    <a:bodyPr/>
    <a:lstStyle/>
    <a:p>
      <a:pPr>
        <a:defRPr sz="1000"/>
      </a:pPr>
      <a:endParaRPr lang="lv-LV"/>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1482681541677746"/>
          <c:y val="0.24453731221340524"/>
          <c:w val="0.22284575479796534"/>
          <c:h val="0.71381108489843426"/>
        </c:manualLayout>
      </c:layout>
      <c:barChart>
        <c:barDir val="bar"/>
        <c:grouping val="clustered"/>
        <c:varyColors val="0"/>
        <c:ser>
          <c:idx val="0"/>
          <c:order val="0"/>
          <c:tx>
            <c:strRef>
              <c:f>Sheet1!$B$1</c:f>
              <c:strCache>
                <c:ptCount val="1"/>
                <c:pt idx="0">
                  <c:v>Novērtējums</c:v>
                </c:pt>
              </c:strCache>
            </c:strRef>
          </c:tx>
          <c:spPr>
            <a:solidFill>
              <a:srgbClr val="BD9B08"/>
            </a:solidFill>
          </c:spPr>
          <c:invertIfNegative val="0"/>
          <c:dPt>
            <c:idx val="0"/>
            <c:invertIfNegative val="0"/>
            <c:bubble3D val="0"/>
            <c:extLst>
              <c:ext xmlns:c16="http://schemas.microsoft.com/office/drawing/2014/chart" uri="{C3380CC4-5D6E-409C-BE32-E72D297353CC}">
                <c16:uniqueId val="{00000000-84E0-4407-82CB-5DBDFD477BDD}"/>
              </c:ext>
            </c:extLst>
          </c:dPt>
          <c:dPt>
            <c:idx val="1"/>
            <c:invertIfNegative val="0"/>
            <c:bubble3D val="0"/>
            <c:extLst>
              <c:ext xmlns:c16="http://schemas.microsoft.com/office/drawing/2014/chart" uri="{C3380CC4-5D6E-409C-BE32-E72D297353CC}">
                <c16:uniqueId val="{00000001-84E0-4407-82CB-5DBDFD477BDD}"/>
              </c:ext>
            </c:extLst>
          </c:dPt>
          <c:dPt>
            <c:idx val="2"/>
            <c:invertIfNegative val="0"/>
            <c:bubble3D val="0"/>
            <c:extLst>
              <c:ext xmlns:c16="http://schemas.microsoft.com/office/drawing/2014/chart" uri="{C3380CC4-5D6E-409C-BE32-E72D297353CC}">
                <c16:uniqueId val="{00000002-84E0-4407-82CB-5DBDFD477BDD}"/>
              </c:ext>
            </c:extLst>
          </c:dPt>
          <c:dPt>
            <c:idx val="3"/>
            <c:invertIfNegative val="0"/>
            <c:bubble3D val="0"/>
            <c:extLst>
              <c:ext xmlns:c16="http://schemas.microsoft.com/office/drawing/2014/chart" uri="{C3380CC4-5D6E-409C-BE32-E72D297353CC}">
                <c16:uniqueId val="{00000003-84E0-4407-82CB-5DBDFD477BDD}"/>
              </c:ext>
            </c:extLst>
          </c:dPt>
          <c:dPt>
            <c:idx val="4"/>
            <c:invertIfNegative val="0"/>
            <c:bubble3D val="0"/>
            <c:extLst>
              <c:ext xmlns:c16="http://schemas.microsoft.com/office/drawing/2014/chart" uri="{C3380CC4-5D6E-409C-BE32-E72D297353CC}">
                <c16:uniqueId val="{00000004-84E0-4407-82CB-5DBDFD477BDD}"/>
              </c:ext>
            </c:extLst>
          </c:dPt>
          <c:dPt>
            <c:idx val="5"/>
            <c:invertIfNegative val="0"/>
            <c:bubble3D val="0"/>
            <c:extLst>
              <c:ext xmlns:c16="http://schemas.microsoft.com/office/drawing/2014/chart" uri="{C3380CC4-5D6E-409C-BE32-E72D297353CC}">
                <c16:uniqueId val="{00000005-84E0-4407-82CB-5DBDFD477BDD}"/>
              </c:ext>
            </c:extLst>
          </c:dPt>
          <c:dPt>
            <c:idx val="6"/>
            <c:invertIfNegative val="0"/>
            <c:bubble3D val="0"/>
            <c:extLst>
              <c:ext xmlns:c16="http://schemas.microsoft.com/office/drawing/2014/chart" uri="{C3380CC4-5D6E-409C-BE32-E72D297353CC}">
                <c16:uniqueId val="{00000006-84E0-4407-82CB-5DBDFD477BDD}"/>
              </c:ext>
            </c:extLst>
          </c:dPt>
          <c:dPt>
            <c:idx val="7"/>
            <c:invertIfNegative val="0"/>
            <c:bubble3D val="0"/>
            <c:extLst>
              <c:ext xmlns:c16="http://schemas.microsoft.com/office/drawing/2014/chart" uri="{C3380CC4-5D6E-409C-BE32-E72D297353CC}">
                <c16:uniqueId val="{00000007-84E0-4407-82CB-5DBDFD477BDD}"/>
              </c:ext>
            </c:extLst>
          </c:dPt>
          <c:dLbls>
            <c:numFmt formatCode="#,##0.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Sheet1!$A$2:$A$4</c:f>
              <c:strCache>
                <c:ptCount val="3"/>
                <c:pt idx="0">
                  <c:v>Būvniecības
 ierosinātājs</c:v>
                </c:pt>
                <c:pt idx="1">
                  <c:v>Būvobjekta
 priekšizpēte
 (zeme)</c:v>
                </c:pt>
                <c:pt idx="2">
                  <c:v>Būvobjekta
 priekšizpēte
 (ēka)</c:v>
                </c:pt>
              </c:strCache>
            </c:strRef>
          </c:cat>
          <c:val>
            <c:numRef>
              <c:f>Sheet1!$B$2:$B$4</c:f>
              <c:numCache>
                <c:formatCode>###0.00</c:formatCode>
                <c:ptCount val="3"/>
                <c:pt idx="0">
                  <c:v>7.75</c:v>
                </c:pt>
                <c:pt idx="1">
                  <c:v>8.2899999999999991</c:v>
                </c:pt>
                <c:pt idx="2">
                  <c:v>7.63</c:v>
                </c:pt>
              </c:numCache>
            </c:numRef>
          </c:val>
          <c:extLst>
            <c:ext xmlns:c16="http://schemas.microsoft.com/office/drawing/2014/chart" uri="{C3380CC4-5D6E-409C-BE32-E72D297353CC}">
              <c16:uniqueId val="{00000008-84E0-4407-82CB-5DBDFD477BDD}"/>
            </c:ext>
          </c:extLst>
        </c:ser>
        <c:ser>
          <c:idx val="1"/>
          <c:order val="1"/>
          <c:tx>
            <c:strRef>
              <c:f>Sheet1!$C$1</c:f>
              <c:strCache>
                <c:ptCount val="1"/>
                <c:pt idx="0">
                  <c:v>Pašvērtējums</c:v>
                </c:pt>
              </c:strCache>
            </c:strRef>
          </c:tx>
          <c:spPr>
            <a:solidFill>
              <a:srgbClr val="BD9B08">
                <a:lumMod val="20000"/>
                <a:lumOff val="80000"/>
              </a:srgbClr>
            </a:solidFill>
            <a:ln>
              <a:noFill/>
            </a:ln>
          </c:spPr>
          <c:invertIfNegative val="0"/>
          <c:dLbls>
            <c:numFmt formatCode="#,##0.0" sourceLinked="0"/>
            <c:spPr>
              <a:noFill/>
              <a:ln>
                <a:noFill/>
              </a:ln>
              <a:effectLst/>
            </c:spPr>
            <c:txPr>
              <a:bodyPr wrap="square" lIns="38100" tIns="19050" rIns="38100" bIns="19050" anchor="ctr" anchorCtr="0">
                <a:spAutoFit/>
              </a:bodyPr>
              <a:lstStyle/>
              <a:p>
                <a:pPr algn="ctr">
                  <a:defRPr lang="lv-LV" sz="1200" b="1" i="0" u="none" strike="noStrike" kern="1200" baseline="0">
                    <a:solidFill>
                      <a:srgbClr val="71717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Sheet1!$A$2:$A$4</c:f>
              <c:strCache>
                <c:ptCount val="3"/>
                <c:pt idx="0">
                  <c:v>Būvniecības
 ierosinātājs</c:v>
                </c:pt>
                <c:pt idx="1">
                  <c:v>Būvobjekta
 priekšizpēte
 (zeme)</c:v>
                </c:pt>
                <c:pt idx="2">
                  <c:v>Būvobjekta
 priekšizpēte
 (ēka)</c:v>
                </c:pt>
              </c:strCache>
            </c:strRef>
          </c:cat>
          <c:val>
            <c:numRef>
              <c:f>Sheet1!$C$2:$C$4</c:f>
              <c:numCache>
                <c:formatCode>General</c:formatCode>
                <c:ptCount val="3"/>
                <c:pt idx="0">
                  <c:v>8.59</c:v>
                </c:pt>
                <c:pt idx="1">
                  <c:v>8.59</c:v>
                </c:pt>
                <c:pt idx="2">
                  <c:v>7.74</c:v>
                </c:pt>
              </c:numCache>
            </c:numRef>
          </c:val>
          <c:extLst>
            <c:ext xmlns:c16="http://schemas.microsoft.com/office/drawing/2014/chart" uri="{C3380CC4-5D6E-409C-BE32-E72D297353CC}">
              <c16:uniqueId val="{00000009-84E0-4407-82CB-5DBDFD477BDD}"/>
            </c:ext>
          </c:extLst>
        </c:ser>
        <c:dLbls>
          <c:showLegendKey val="0"/>
          <c:showVal val="0"/>
          <c:showCatName val="0"/>
          <c:showSerName val="0"/>
          <c:showPercent val="0"/>
          <c:showBubbleSize val="0"/>
        </c:dLbls>
        <c:gapWidth val="40"/>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100">
                <a:solidFill>
                  <a:srgbClr val="717171"/>
                </a:solidFill>
              </a:defRPr>
            </a:pPr>
            <a:endParaRPr lang="lv-LV"/>
          </a:p>
        </c:txPr>
        <c:crossAx val="1943215816"/>
        <c:crosses val="autoZero"/>
        <c:auto val="1"/>
        <c:lblAlgn val="ctr"/>
        <c:lblOffset val="1000"/>
        <c:noMultiLvlLbl val="0"/>
      </c:catAx>
      <c:valAx>
        <c:axId val="1943215816"/>
        <c:scaling>
          <c:orientation val="minMax"/>
          <c:max val="10"/>
        </c:scaling>
        <c:delete val="1"/>
        <c:axPos val="t"/>
        <c:numFmt formatCode="###0.00" sourceLinked="1"/>
        <c:majorTickMark val="out"/>
        <c:minorTickMark val="none"/>
        <c:tickLblPos val="nextTo"/>
        <c:crossAx val="1943593016"/>
        <c:crosses val="autoZero"/>
        <c:crossBetween val="between"/>
      </c:valAx>
    </c:plotArea>
    <c:legend>
      <c:legendPos val="r"/>
      <c:legendEntry>
        <c:idx val="0"/>
        <c:txPr>
          <a:bodyPr/>
          <a:lstStyle/>
          <a:p>
            <a:pPr>
              <a:defRPr sz="1100">
                <a:solidFill>
                  <a:srgbClr val="717171"/>
                </a:solidFill>
              </a:defRPr>
            </a:pPr>
            <a:endParaRPr lang="lv-LV"/>
          </a:p>
        </c:txPr>
      </c:legendEntry>
      <c:legendEntry>
        <c:idx val="1"/>
        <c:txPr>
          <a:bodyPr/>
          <a:lstStyle/>
          <a:p>
            <a:pPr>
              <a:defRPr sz="1100">
                <a:solidFill>
                  <a:srgbClr val="717171"/>
                </a:solidFill>
              </a:defRPr>
            </a:pPr>
            <a:endParaRPr lang="lv-LV"/>
          </a:p>
        </c:txPr>
      </c:legendEntry>
      <c:layout>
        <c:manualLayout>
          <c:xMode val="edge"/>
          <c:yMode val="edge"/>
          <c:x val="0.81489532171026702"/>
          <c:y val="0.27095560525751394"/>
          <c:w val="0.18328210790666982"/>
          <c:h val="0.17192160145508487"/>
        </c:manualLayout>
      </c:layout>
      <c:overlay val="0"/>
      <c:txPr>
        <a:bodyPr/>
        <a:lstStyle/>
        <a:p>
          <a:pPr>
            <a:defRPr sz="1100">
              <a:solidFill>
                <a:schemeClr val="tx1"/>
              </a:solidFill>
            </a:defRPr>
          </a:pPr>
          <a:endParaRPr lang="lv-LV"/>
        </a:p>
      </c:txPr>
    </c:legend>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8759566778153115"/>
          <c:y val="0.13235098553857239"/>
          <c:w val="0.26290291631459706"/>
          <c:h val="0.83690721012814573"/>
        </c:manualLayout>
      </c:layout>
      <c:barChart>
        <c:barDir val="bar"/>
        <c:grouping val="clustered"/>
        <c:varyColors val="0"/>
        <c:ser>
          <c:idx val="0"/>
          <c:order val="0"/>
          <c:tx>
            <c:strRef>
              <c:f>Sheet1!$B$1</c:f>
              <c:strCache>
                <c:ptCount val="1"/>
                <c:pt idx="0">
                  <c:v>Novērtējums</c:v>
                </c:pt>
              </c:strCache>
            </c:strRef>
          </c:tx>
          <c:spPr>
            <a:solidFill>
              <a:srgbClr val="BD9B08"/>
            </a:solidFill>
            <a:ln>
              <a:noFill/>
            </a:ln>
          </c:spPr>
          <c:invertIfNegative val="0"/>
          <c:dPt>
            <c:idx val="0"/>
            <c:invertIfNegative val="0"/>
            <c:bubble3D val="0"/>
            <c:extLst>
              <c:ext xmlns:c16="http://schemas.microsoft.com/office/drawing/2014/chart" uri="{C3380CC4-5D6E-409C-BE32-E72D297353CC}">
                <c16:uniqueId val="{00000000-09BF-44C6-B543-6B769F7177AF}"/>
              </c:ext>
            </c:extLst>
          </c:dPt>
          <c:dPt>
            <c:idx val="1"/>
            <c:invertIfNegative val="0"/>
            <c:bubble3D val="0"/>
            <c:extLst>
              <c:ext xmlns:c16="http://schemas.microsoft.com/office/drawing/2014/chart" uri="{C3380CC4-5D6E-409C-BE32-E72D297353CC}">
                <c16:uniqueId val="{00000001-09BF-44C6-B543-6B769F7177AF}"/>
              </c:ext>
            </c:extLst>
          </c:dPt>
          <c:dPt>
            <c:idx val="2"/>
            <c:invertIfNegative val="0"/>
            <c:bubble3D val="0"/>
            <c:extLst>
              <c:ext xmlns:c16="http://schemas.microsoft.com/office/drawing/2014/chart" uri="{C3380CC4-5D6E-409C-BE32-E72D297353CC}">
                <c16:uniqueId val="{00000002-09BF-44C6-B543-6B769F7177AF}"/>
              </c:ext>
            </c:extLst>
          </c:dPt>
          <c:dPt>
            <c:idx val="3"/>
            <c:invertIfNegative val="0"/>
            <c:bubble3D val="0"/>
            <c:extLst>
              <c:ext xmlns:c16="http://schemas.microsoft.com/office/drawing/2014/chart" uri="{C3380CC4-5D6E-409C-BE32-E72D297353CC}">
                <c16:uniqueId val="{00000003-09BF-44C6-B543-6B769F7177AF}"/>
              </c:ext>
            </c:extLst>
          </c:dPt>
          <c:dPt>
            <c:idx val="4"/>
            <c:invertIfNegative val="0"/>
            <c:bubble3D val="0"/>
            <c:extLst>
              <c:ext xmlns:c16="http://schemas.microsoft.com/office/drawing/2014/chart" uri="{C3380CC4-5D6E-409C-BE32-E72D297353CC}">
                <c16:uniqueId val="{00000004-09BF-44C6-B543-6B769F7177AF}"/>
              </c:ext>
            </c:extLst>
          </c:dPt>
          <c:dPt>
            <c:idx val="5"/>
            <c:invertIfNegative val="0"/>
            <c:bubble3D val="0"/>
            <c:extLst>
              <c:ext xmlns:c16="http://schemas.microsoft.com/office/drawing/2014/chart" uri="{C3380CC4-5D6E-409C-BE32-E72D297353CC}">
                <c16:uniqueId val="{00000005-09BF-44C6-B543-6B769F7177AF}"/>
              </c:ext>
            </c:extLst>
          </c:dPt>
          <c:dPt>
            <c:idx val="6"/>
            <c:invertIfNegative val="0"/>
            <c:bubble3D val="0"/>
            <c:extLst>
              <c:ext xmlns:c16="http://schemas.microsoft.com/office/drawing/2014/chart" uri="{C3380CC4-5D6E-409C-BE32-E72D297353CC}">
                <c16:uniqueId val="{00000006-09BF-44C6-B543-6B769F7177AF}"/>
              </c:ext>
            </c:extLst>
          </c:dPt>
          <c:dPt>
            <c:idx val="7"/>
            <c:invertIfNegative val="0"/>
            <c:bubble3D val="0"/>
            <c:extLst>
              <c:ext xmlns:c16="http://schemas.microsoft.com/office/drawing/2014/chart" uri="{C3380CC4-5D6E-409C-BE32-E72D297353CC}">
                <c16:uniqueId val="{00000007-09BF-44C6-B543-6B769F7177AF}"/>
              </c:ext>
            </c:extLst>
          </c:dPt>
          <c:dLbls>
            <c:numFmt formatCode="#,##0.0" sourceLinked="0"/>
            <c:spPr>
              <a:noFill/>
              <a:ln>
                <a:noFill/>
              </a:ln>
              <a:effectLst/>
            </c:spPr>
            <c:txPr>
              <a:bodyPr/>
              <a:lstStyle/>
              <a:p>
                <a:pPr>
                  <a:defRPr sz="110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Sheet1!$A$2:$A$10</c:f>
              <c:strCache>
                <c:ptCount val="9"/>
                <c:pt idx="0">
                  <c:v>Būvprojekta vadība / izstrāde (projektēšana)</c:v>
                </c:pt>
                <c:pt idx="1">
                  <c:v>Būves arhitektūra</c:v>
                </c:pt>
                <c:pt idx="2">
                  <c:v>Būvkonstrukcijas (BK)</c:v>
                </c:pt>
                <c:pt idx="3">
                  <c:v>Inženierbūves</c:v>
                </c:pt>
                <c:pt idx="4">
                  <c:v>Apkure, ventilācija, klimata kontroles sistēma </c:v>
                </c:pt>
                <c:pt idx="5">
                  <c:v>Ūdensapgāde, kanalizācija</c:v>
                </c:pt>
                <c:pt idx="6">
                  <c:v>Elektrotīkli, vājstrāvu tīkli</c:v>
                </c:pt>
                <c:pt idx="7">
                  <c:v>Teritorijas labiekārtošana</c:v>
                </c:pt>
                <c:pt idx="8">
                  <c:v>Būvprojekta ekspertīze</c:v>
                </c:pt>
              </c:strCache>
            </c:strRef>
          </c:cat>
          <c:val>
            <c:numRef>
              <c:f>Sheet1!$B$2:$B$10</c:f>
              <c:numCache>
                <c:formatCode>0.00</c:formatCode>
                <c:ptCount val="9"/>
                <c:pt idx="0">
                  <c:v>7.1103167313576909</c:v>
                </c:pt>
                <c:pt idx="1">
                  <c:v>6.8596027792264209</c:v>
                </c:pt>
                <c:pt idx="2">
                  <c:v>7.3899045498859026</c:v>
                </c:pt>
                <c:pt idx="3">
                  <c:v>8.0391405456022476</c:v>
                </c:pt>
                <c:pt idx="4">
                  <c:v>7.0731709388845427</c:v>
                </c:pt>
                <c:pt idx="5">
                  <c:v>7.480262640578287</c:v>
                </c:pt>
                <c:pt idx="6">
                  <c:v>8.1683097233342448</c:v>
                </c:pt>
                <c:pt idx="7">
                  <c:v>7.7951379558916525</c:v>
                </c:pt>
                <c:pt idx="8">
                  <c:v>8.0176619541743044</c:v>
                </c:pt>
              </c:numCache>
            </c:numRef>
          </c:val>
          <c:extLst>
            <c:ext xmlns:c16="http://schemas.microsoft.com/office/drawing/2014/chart" uri="{C3380CC4-5D6E-409C-BE32-E72D297353CC}">
              <c16:uniqueId val="{00000008-09BF-44C6-B543-6B769F7177AF}"/>
            </c:ext>
          </c:extLst>
        </c:ser>
        <c:ser>
          <c:idx val="1"/>
          <c:order val="1"/>
          <c:tx>
            <c:strRef>
              <c:f>Sheet1!$C$1</c:f>
              <c:strCache>
                <c:ptCount val="1"/>
                <c:pt idx="0">
                  <c:v>Pašvērtējums</c:v>
                </c:pt>
              </c:strCache>
            </c:strRef>
          </c:tx>
          <c:spPr>
            <a:solidFill>
              <a:srgbClr val="BD9B08">
                <a:lumMod val="20000"/>
                <a:lumOff val="80000"/>
              </a:srgbClr>
            </a:solidFill>
            <a:ln>
              <a:noFill/>
            </a:ln>
          </c:spPr>
          <c:invertIfNegative val="0"/>
          <c:dLbls>
            <c:numFmt formatCode="#,##0.0" sourceLinked="0"/>
            <c:spPr>
              <a:noFill/>
              <a:ln>
                <a:noFill/>
              </a:ln>
              <a:effectLst/>
            </c:spPr>
            <c:txPr>
              <a:bodyPr wrap="square" lIns="38100" tIns="19050" rIns="38100" bIns="19050" anchor="ctr" anchorCtr="0">
                <a:spAutoFit/>
              </a:bodyPr>
              <a:lstStyle/>
              <a:p>
                <a:pPr algn="ctr">
                  <a:defRPr lang="lv-LV" sz="1100" b="1" i="0" u="none" strike="noStrike" kern="1200" baseline="0">
                    <a:solidFill>
                      <a:srgbClr val="71717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Sheet1!$A$2:$A$10</c:f>
              <c:strCache>
                <c:ptCount val="9"/>
                <c:pt idx="0">
                  <c:v>Būvprojekta vadība / izstrāde (projektēšana)</c:v>
                </c:pt>
                <c:pt idx="1">
                  <c:v>Būves arhitektūra</c:v>
                </c:pt>
                <c:pt idx="2">
                  <c:v>Būvkonstrukcijas (BK)</c:v>
                </c:pt>
                <c:pt idx="3">
                  <c:v>Inženierbūves</c:v>
                </c:pt>
                <c:pt idx="4">
                  <c:v>Apkure, ventilācija, klimata kontroles sistēma </c:v>
                </c:pt>
                <c:pt idx="5">
                  <c:v>Ūdensapgāde, kanalizācija</c:v>
                </c:pt>
                <c:pt idx="6">
                  <c:v>Elektrotīkli, vājstrāvu tīkli</c:v>
                </c:pt>
                <c:pt idx="7">
                  <c:v>Teritorijas labiekārtošana</c:v>
                </c:pt>
                <c:pt idx="8">
                  <c:v>Būvprojekta ekspertīze</c:v>
                </c:pt>
              </c:strCache>
            </c:strRef>
          </c:cat>
          <c:val>
            <c:numRef>
              <c:f>Sheet1!$C$2:$C$10</c:f>
              <c:numCache>
                <c:formatCode>0.00</c:formatCode>
                <c:ptCount val="9"/>
                <c:pt idx="0">
                  <c:v>8.2102060835027206</c:v>
                </c:pt>
                <c:pt idx="1">
                  <c:v>7.9406443944544396</c:v>
                </c:pt>
                <c:pt idx="2">
                  <c:v>8.1784030837317001</c:v>
                </c:pt>
                <c:pt idx="3">
                  <c:v>8.5679684777413705</c:v>
                </c:pt>
                <c:pt idx="4">
                  <c:v>7.8538072756750932</c:v>
                </c:pt>
                <c:pt idx="5">
                  <c:v>7.759211694217365</c:v>
                </c:pt>
                <c:pt idx="6">
                  <c:v>7.7640800668626628</c:v>
                </c:pt>
                <c:pt idx="7">
                  <c:v>8.2837092064570879</c:v>
                </c:pt>
                <c:pt idx="8">
                  <c:v>7.0010750614320614</c:v>
                </c:pt>
              </c:numCache>
            </c:numRef>
          </c:val>
          <c:extLst>
            <c:ext xmlns:c16="http://schemas.microsoft.com/office/drawing/2014/chart" uri="{C3380CC4-5D6E-409C-BE32-E72D297353CC}">
              <c16:uniqueId val="{00000009-09BF-44C6-B543-6B769F7177AF}"/>
            </c:ext>
          </c:extLst>
        </c:ser>
        <c:dLbls>
          <c:showLegendKey val="0"/>
          <c:showVal val="0"/>
          <c:showCatName val="0"/>
          <c:showSerName val="0"/>
          <c:showPercent val="0"/>
          <c:showBubbleSize val="0"/>
        </c:dLbls>
        <c:gapWidth val="40"/>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100">
                <a:solidFill>
                  <a:srgbClr val="717171"/>
                </a:solidFill>
              </a:defRPr>
            </a:pPr>
            <a:endParaRPr lang="lv-LV"/>
          </a:p>
        </c:txPr>
        <c:crossAx val="1943215816"/>
        <c:crosses val="autoZero"/>
        <c:auto val="1"/>
        <c:lblAlgn val="ctr"/>
        <c:lblOffset val="1000"/>
        <c:noMultiLvlLbl val="0"/>
      </c:catAx>
      <c:valAx>
        <c:axId val="1943215816"/>
        <c:scaling>
          <c:orientation val="minMax"/>
          <c:max val="10"/>
        </c:scaling>
        <c:delete val="1"/>
        <c:axPos val="t"/>
        <c:numFmt formatCode="0.00" sourceLinked="1"/>
        <c:majorTickMark val="out"/>
        <c:minorTickMark val="none"/>
        <c:tickLblPos val="nextTo"/>
        <c:crossAx val="1943593016"/>
        <c:crosses val="autoZero"/>
        <c:crossBetween val="between"/>
      </c:valAx>
    </c:plotArea>
    <c:legend>
      <c:legendPos val="r"/>
      <c:layout>
        <c:manualLayout>
          <c:xMode val="edge"/>
          <c:yMode val="edge"/>
          <c:x val="0.79565633068846287"/>
          <c:y val="0.12014986361998868"/>
          <c:w val="0.19094347486221006"/>
          <c:h val="9.8795232476691364E-2"/>
        </c:manualLayout>
      </c:layout>
      <c:overlay val="0"/>
      <c:txPr>
        <a:bodyPr/>
        <a:lstStyle/>
        <a:p>
          <a:pPr>
            <a:defRPr sz="1100">
              <a:solidFill>
                <a:srgbClr val="717171"/>
              </a:solidFill>
            </a:defRPr>
          </a:pPr>
          <a:endParaRPr lang="lv-LV"/>
        </a:p>
      </c:txPr>
    </c:legend>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lv-LV" sz="1400" dirty="0">
                <a:solidFill>
                  <a:srgbClr val="BD9B08"/>
                </a:solidFill>
              </a:rPr>
              <a:t>Posma «Būvdarbi» kvalitātes indekss</a:t>
            </a:r>
          </a:p>
        </c:rich>
      </c:tx>
      <c:overlay val="0"/>
    </c:title>
    <c:autoTitleDeleted val="0"/>
    <c:plotArea>
      <c:layout>
        <c:manualLayout>
          <c:layoutTarget val="inner"/>
          <c:xMode val="edge"/>
          <c:yMode val="edge"/>
          <c:x val="4.115696810334972E-2"/>
          <c:y val="0.18077196099263185"/>
          <c:w val="0.95884303189665043"/>
          <c:h val="0.60523717168725077"/>
        </c:manualLayout>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BD9B08"/>
              </a:solidFill>
              <a:ln>
                <a:noFill/>
              </a:ln>
              <a:effectLst/>
            </c:spPr>
            <c:extLst>
              <c:ext xmlns:c16="http://schemas.microsoft.com/office/drawing/2014/chart" uri="{C3380CC4-5D6E-409C-BE32-E72D297353CC}">
                <c16:uniqueId val="{00000001-5086-476D-9065-3F5FB17D9012}"/>
              </c:ext>
            </c:extLst>
          </c:dPt>
          <c:dPt>
            <c:idx val="1"/>
            <c:invertIfNegative val="0"/>
            <c:bubble3D val="0"/>
            <c:spPr>
              <a:solidFill>
                <a:schemeClr val="tx1"/>
              </a:solidFill>
              <a:ln>
                <a:noFill/>
              </a:ln>
              <a:effectLst/>
            </c:spPr>
            <c:extLst>
              <c:ext xmlns:c16="http://schemas.microsoft.com/office/drawing/2014/chart" uri="{C3380CC4-5D6E-409C-BE32-E72D297353CC}">
                <c16:uniqueId val="{00000003-5086-476D-9065-3F5FB17D9012}"/>
              </c:ext>
            </c:extLst>
          </c:dPt>
          <c:dPt>
            <c:idx val="2"/>
            <c:invertIfNegative val="0"/>
            <c:bubble3D val="0"/>
            <c:spPr>
              <a:solidFill>
                <a:schemeClr val="tx1"/>
              </a:solidFill>
              <a:ln>
                <a:noFill/>
              </a:ln>
              <a:effectLst/>
            </c:spPr>
            <c:extLst>
              <c:ext xmlns:c16="http://schemas.microsoft.com/office/drawing/2014/chart" uri="{C3380CC4-5D6E-409C-BE32-E72D297353CC}">
                <c16:uniqueId val="{00000005-5086-476D-9065-3F5FB17D9012}"/>
              </c:ext>
            </c:extLst>
          </c:dPt>
          <c:dPt>
            <c:idx val="3"/>
            <c:invertIfNegative val="0"/>
            <c:bubble3D val="0"/>
            <c:spPr>
              <a:solidFill>
                <a:schemeClr val="tx1"/>
              </a:solidFill>
              <a:ln>
                <a:noFill/>
              </a:ln>
              <a:effectLst/>
            </c:spPr>
            <c:extLst>
              <c:ext xmlns:c16="http://schemas.microsoft.com/office/drawing/2014/chart" uri="{C3380CC4-5D6E-409C-BE32-E72D297353CC}">
                <c16:uniqueId val="{00000007-5086-476D-9065-3F5FB17D9012}"/>
              </c:ext>
            </c:extLst>
          </c:dPt>
          <c:dPt>
            <c:idx val="4"/>
            <c:invertIfNegative val="0"/>
            <c:bubble3D val="0"/>
            <c:spPr>
              <a:solidFill>
                <a:schemeClr val="tx1"/>
              </a:solidFill>
              <a:ln>
                <a:noFill/>
              </a:ln>
              <a:effectLst/>
            </c:spPr>
            <c:extLst>
              <c:ext xmlns:c16="http://schemas.microsoft.com/office/drawing/2014/chart" uri="{C3380CC4-5D6E-409C-BE32-E72D297353CC}">
                <c16:uniqueId val="{00000009-5086-476D-9065-3F5FB17D9012}"/>
              </c:ext>
            </c:extLst>
          </c:dPt>
          <c:dPt>
            <c:idx val="8"/>
            <c:invertIfNegative val="0"/>
            <c:bubble3D val="0"/>
            <c:extLst>
              <c:ext xmlns:c16="http://schemas.microsoft.com/office/drawing/2014/chart" uri="{C3380CC4-5D6E-409C-BE32-E72D297353CC}">
                <c16:uniqueId val="{0000000A-5086-476D-9065-3F5FB17D9012}"/>
              </c:ext>
            </c:extLst>
          </c:dPt>
          <c:dPt>
            <c:idx val="9"/>
            <c:invertIfNegative val="0"/>
            <c:bubble3D val="0"/>
            <c:extLst>
              <c:ext xmlns:c16="http://schemas.microsoft.com/office/drawing/2014/chart" uri="{C3380CC4-5D6E-409C-BE32-E72D297353CC}">
                <c16:uniqueId val="{0000000B-5086-476D-9065-3F5FB17D9012}"/>
              </c:ext>
            </c:extLst>
          </c:dPt>
          <c:dPt>
            <c:idx val="11"/>
            <c:invertIfNegative val="0"/>
            <c:bubble3D val="0"/>
            <c:extLst>
              <c:ext xmlns:c16="http://schemas.microsoft.com/office/drawing/2014/chart" uri="{C3380CC4-5D6E-409C-BE32-E72D297353CC}">
                <c16:uniqueId val="{0000000C-5086-476D-9065-3F5FB17D9012}"/>
              </c:ext>
            </c:extLst>
          </c:dPt>
          <c:dLbls>
            <c:numFmt formatCode="0&quot;%&quot;" sourceLinked="0"/>
            <c:spPr>
              <a:noFill/>
              <a:ln>
                <a:noFill/>
              </a:ln>
              <a:effectLst/>
            </c:spPr>
            <c:txPr>
              <a:bodyPr/>
              <a:lstStyle/>
              <a:p>
                <a:pPr>
                  <a:defRPr sz="1100" b="1">
                    <a:solidFill>
                      <a:schemeClr val="tx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Būvdarbi</c:v>
                </c:pt>
                <c:pt idx="1">
                  <c:v>Būvniecības projektu vadība</c:v>
                </c:pt>
                <c:pt idx="2">
                  <c:v>Būvdarbu vadība &amp; realizācija</c:v>
                </c:pt>
                <c:pt idx="3">
                  <c:v>Būvmateriāli (ražotāji, tirgotāji)</c:v>
                </c:pt>
              </c:strCache>
            </c:strRef>
          </c:cat>
          <c:val>
            <c:numRef>
              <c:f>Sheet1!$B$2:$B$5</c:f>
              <c:numCache>
                <c:formatCode>General</c:formatCode>
                <c:ptCount val="4"/>
                <c:pt idx="0">
                  <c:v>82.46</c:v>
                </c:pt>
                <c:pt idx="1">
                  <c:v>81.808115310463904</c:v>
                </c:pt>
                <c:pt idx="2">
                  <c:v>83.716114645741641</c:v>
                </c:pt>
                <c:pt idx="3">
                  <c:v>79.568486480390192</c:v>
                </c:pt>
              </c:numCache>
            </c:numRef>
          </c:val>
          <c:extLst>
            <c:ext xmlns:c16="http://schemas.microsoft.com/office/drawing/2014/chart" uri="{C3380CC4-5D6E-409C-BE32-E72D297353CC}">
              <c16:uniqueId val="{0000000D-5086-476D-9065-3F5FB17D9012}"/>
            </c:ext>
          </c:extLst>
        </c:ser>
        <c:dLbls>
          <c:showLegendKey val="0"/>
          <c:showVal val="0"/>
          <c:showCatName val="0"/>
          <c:showSerName val="0"/>
          <c:showPercent val="0"/>
          <c:showBubbleSize val="0"/>
        </c:dLbls>
        <c:gapWidth val="66"/>
        <c:overlap val="-9"/>
        <c:axId val="1839703656"/>
        <c:axId val="1944405784"/>
      </c:barChart>
      <c:catAx>
        <c:axId val="1839703656"/>
        <c:scaling>
          <c:orientation val="minMax"/>
        </c:scaling>
        <c:delete val="0"/>
        <c:axPos val="b"/>
        <c:numFmt formatCode="General" sourceLinked="1"/>
        <c:majorTickMark val="none"/>
        <c:minorTickMark val="none"/>
        <c:tickLblPos val="nextTo"/>
        <c:spPr>
          <a:noFill/>
          <a:ln w="9525" cap="flat" cmpd="sng" algn="ctr">
            <a:solidFill>
              <a:srgbClr val="717171"/>
            </a:solidFill>
            <a:round/>
          </a:ln>
          <a:effectLst/>
        </c:spPr>
        <c:txPr>
          <a:bodyPr rot="-60000000" spcFirstLastPara="1" vertOverflow="ellipsis" vert="horz" wrap="square" anchor="ctr" anchorCtr="1"/>
          <a:lstStyle/>
          <a:p>
            <a:pPr>
              <a:defRPr sz="1100" b="0" i="0" u="none" strike="noStrike" kern="1200" baseline="0">
                <a:solidFill>
                  <a:srgbClr val="717171"/>
                </a:solidFill>
                <a:latin typeface="+mn-lt"/>
                <a:ea typeface="+mn-ea"/>
                <a:cs typeface="+mn-cs"/>
              </a:defRPr>
            </a:pPr>
            <a:endParaRPr lang="lv-LV"/>
          </a:p>
        </c:txPr>
        <c:crossAx val="1944405784"/>
        <c:crosses val="autoZero"/>
        <c:auto val="1"/>
        <c:lblAlgn val="ctr"/>
        <c:lblOffset val="100"/>
        <c:noMultiLvlLbl val="0"/>
      </c:catAx>
      <c:valAx>
        <c:axId val="1944405784"/>
        <c:scaling>
          <c:orientation val="minMax"/>
          <c:max val="100"/>
          <c:min val="0"/>
        </c:scaling>
        <c:delete val="1"/>
        <c:axPos val="l"/>
        <c:numFmt formatCode="General" sourceLinked="1"/>
        <c:majorTickMark val="out"/>
        <c:minorTickMark val="none"/>
        <c:tickLblPos val="nextTo"/>
        <c:crossAx val="1839703656"/>
        <c:crosses val="autoZero"/>
        <c:crossBetween val="between"/>
      </c:valAx>
      <c:spPr>
        <a:noFill/>
        <a:ln>
          <a:noFill/>
        </a:ln>
        <a:effectLst/>
      </c:spPr>
    </c:plotArea>
    <c:plotVisOnly val="1"/>
    <c:dispBlanksAs val="gap"/>
    <c:showDLblsOverMax val="0"/>
  </c:chart>
  <c:spPr>
    <a:noFill/>
    <a:ln>
      <a:noFill/>
    </a:ln>
    <a:effectLst/>
  </c:spPr>
  <c:txPr>
    <a:bodyPr/>
    <a:lstStyle/>
    <a:p>
      <a:pPr>
        <a:defRPr sz="1000"/>
      </a:pPr>
      <a:endParaRPr lang="lv-LV"/>
    </a:p>
  </c:txPr>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49020360003097091"/>
          <c:y val="0.10408072575299548"/>
          <c:w val="0.1752586238819335"/>
          <c:h val="0.8560962230875454"/>
        </c:manualLayout>
      </c:layout>
      <c:barChart>
        <c:barDir val="bar"/>
        <c:grouping val="clustered"/>
        <c:varyColors val="0"/>
        <c:ser>
          <c:idx val="0"/>
          <c:order val="0"/>
          <c:tx>
            <c:strRef>
              <c:f>Sheet1!$B$1</c:f>
              <c:strCache>
                <c:ptCount val="1"/>
                <c:pt idx="0">
                  <c:v>Novērtējums</c:v>
                </c:pt>
              </c:strCache>
            </c:strRef>
          </c:tx>
          <c:spPr>
            <a:solidFill>
              <a:srgbClr val="BD9B08"/>
            </a:solidFill>
          </c:spPr>
          <c:invertIfNegative val="0"/>
          <c:dPt>
            <c:idx val="0"/>
            <c:invertIfNegative val="0"/>
            <c:bubble3D val="0"/>
            <c:extLst>
              <c:ext xmlns:c16="http://schemas.microsoft.com/office/drawing/2014/chart" uri="{C3380CC4-5D6E-409C-BE32-E72D297353CC}">
                <c16:uniqueId val="{00000000-12EF-433B-AF90-35C60391443C}"/>
              </c:ext>
            </c:extLst>
          </c:dPt>
          <c:dPt>
            <c:idx val="1"/>
            <c:invertIfNegative val="0"/>
            <c:bubble3D val="0"/>
            <c:extLst>
              <c:ext xmlns:c16="http://schemas.microsoft.com/office/drawing/2014/chart" uri="{C3380CC4-5D6E-409C-BE32-E72D297353CC}">
                <c16:uniqueId val="{00000001-12EF-433B-AF90-35C60391443C}"/>
              </c:ext>
            </c:extLst>
          </c:dPt>
          <c:dPt>
            <c:idx val="2"/>
            <c:invertIfNegative val="0"/>
            <c:bubble3D val="0"/>
            <c:extLst>
              <c:ext xmlns:c16="http://schemas.microsoft.com/office/drawing/2014/chart" uri="{C3380CC4-5D6E-409C-BE32-E72D297353CC}">
                <c16:uniqueId val="{00000002-12EF-433B-AF90-35C60391443C}"/>
              </c:ext>
            </c:extLst>
          </c:dPt>
          <c:dPt>
            <c:idx val="3"/>
            <c:invertIfNegative val="0"/>
            <c:bubble3D val="0"/>
            <c:extLst>
              <c:ext xmlns:c16="http://schemas.microsoft.com/office/drawing/2014/chart" uri="{C3380CC4-5D6E-409C-BE32-E72D297353CC}">
                <c16:uniqueId val="{00000003-12EF-433B-AF90-35C60391443C}"/>
              </c:ext>
            </c:extLst>
          </c:dPt>
          <c:dPt>
            <c:idx val="4"/>
            <c:invertIfNegative val="0"/>
            <c:bubble3D val="0"/>
            <c:extLst>
              <c:ext xmlns:c16="http://schemas.microsoft.com/office/drawing/2014/chart" uri="{C3380CC4-5D6E-409C-BE32-E72D297353CC}">
                <c16:uniqueId val="{00000004-12EF-433B-AF90-35C60391443C}"/>
              </c:ext>
            </c:extLst>
          </c:dPt>
          <c:dPt>
            <c:idx val="5"/>
            <c:invertIfNegative val="0"/>
            <c:bubble3D val="0"/>
            <c:extLst>
              <c:ext xmlns:c16="http://schemas.microsoft.com/office/drawing/2014/chart" uri="{C3380CC4-5D6E-409C-BE32-E72D297353CC}">
                <c16:uniqueId val="{00000005-12EF-433B-AF90-35C60391443C}"/>
              </c:ext>
            </c:extLst>
          </c:dPt>
          <c:dPt>
            <c:idx val="6"/>
            <c:invertIfNegative val="0"/>
            <c:bubble3D val="0"/>
            <c:extLst>
              <c:ext xmlns:c16="http://schemas.microsoft.com/office/drawing/2014/chart" uri="{C3380CC4-5D6E-409C-BE32-E72D297353CC}">
                <c16:uniqueId val="{00000006-12EF-433B-AF90-35C60391443C}"/>
              </c:ext>
            </c:extLst>
          </c:dPt>
          <c:dPt>
            <c:idx val="7"/>
            <c:invertIfNegative val="0"/>
            <c:bubble3D val="0"/>
            <c:extLst>
              <c:ext xmlns:c16="http://schemas.microsoft.com/office/drawing/2014/chart" uri="{C3380CC4-5D6E-409C-BE32-E72D297353CC}">
                <c16:uniqueId val="{00000007-12EF-433B-AF90-35C60391443C}"/>
              </c:ext>
            </c:extLst>
          </c:dPt>
          <c:dLbls>
            <c:numFmt formatCode="#,##0.0" sourceLinked="0"/>
            <c:spPr>
              <a:noFill/>
              <a:ln>
                <a:noFill/>
              </a:ln>
              <a:effectLst/>
            </c:spPr>
            <c:txPr>
              <a:bodyPr/>
              <a:lstStyle/>
              <a:p>
                <a:pPr>
                  <a:defRPr sz="1050" b="1">
                    <a:solidFill>
                      <a:srgbClr val="717171"/>
                    </a:solidFill>
                  </a:defRPr>
                </a:pPr>
                <a:endParaRPr lang="lv-LV"/>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Sheet1!$A$2:$A$13</c:f>
              <c:strCache>
                <c:ptCount val="12"/>
                <c:pt idx="0">
                  <c:v>Ēku būvdarbu
 projektu vadība</c:v>
                </c:pt>
                <c:pt idx="1">
                  <c:v>Inženierbūvju
 būvdarbu
 projektu vadība</c:v>
                </c:pt>
                <c:pt idx="2">
                  <c:v>Teritorijas
 labiekārtošana </c:v>
                </c:pt>
                <c:pt idx="3">
                  <c:v>Inženierbūvju
 būvdarbi</c:v>
                </c:pt>
                <c:pt idx="4">
                  <c:v>Ēkas būvdarbi, pamati,
 karkass, nesošās
 konstrukcijas, jumts</c:v>
                </c:pt>
                <c:pt idx="5">
                  <c:v>Būvdarbi, ārējā apdare,
 sienas, fasādes, 
logi, durvis</c:v>
                </c:pt>
                <c:pt idx="6">
                  <c:v>Būvdarbi, iekšējā
 apdare</c:v>
                </c:pt>
                <c:pt idx="7">
                  <c:v>Apkure, ventilācija,
 klimata kontrole</c:v>
                </c:pt>
                <c:pt idx="8">
                  <c:v>Ūdensapgāde,
 kanalizācija</c:v>
                </c:pt>
                <c:pt idx="9">
                  <c:v>Elektrotīkli,
 vājstrāvu tīkli</c:v>
                </c:pt>
                <c:pt idx="10">
                  <c:v>Būvmateriāli,
 risinājumi,
 būvizstrādājumi </c:v>
                </c:pt>
                <c:pt idx="11">
                  <c:v>Darba instrumenti,
 tehnika </c:v>
                </c:pt>
              </c:strCache>
            </c:strRef>
          </c:cat>
          <c:val>
            <c:numRef>
              <c:f>Sheet1!$B$2:$B$13</c:f>
              <c:numCache>
                <c:formatCode>0.00</c:formatCode>
                <c:ptCount val="12"/>
                <c:pt idx="0">
                  <c:v>8.5254846689417469</c:v>
                </c:pt>
                <c:pt idx="1">
                  <c:v>7.8361383931510327</c:v>
                </c:pt>
                <c:pt idx="2">
                  <c:v>8.7131571702144903</c:v>
                </c:pt>
                <c:pt idx="3">
                  <c:v>8.4742683409057094</c:v>
                </c:pt>
                <c:pt idx="4">
                  <c:v>8.6303716070989331</c:v>
                </c:pt>
                <c:pt idx="5">
                  <c:v>8.3743653520419112</c:v>
                </c:pt>
                <c:pt idx="6">
                  <c:v>8.3956107889874296</c:v>
                </c:pt>
                <c:pt idx="7">
                  <c:v>7.6138249329601999</c:v>
                </c:pt>
                <c:pt idx="8">
                  <c:v>8.6739365761021503</c:v>
                </c:pt>
                <c:pt idx="9">
                  <c:v>8.097356948282485</c:v>
                </c:pt>
                <c:pt idx="10">
                  <c:v>7.6409865801510461</c:v>
                </c:pt>
                <c:pt idx="11">
                  <c:v>8.2727107159269924</c:v>
                </c:pt>
              </c:numCache>
            </c:numRef>
          </c:val>
          <c:extLst>
            <c:ext xmlns:c16="http://schemas.microsoft.com/office/drawing/2014/chart" uri="{C3380CC4-5D6E-409C-BE32-E72D297353CC}">
              <c16:uniqueId val="{00000008-12EF-433B-AF90-35C60391443C}"/>
            </c:ext>
          </c:extLst>
        </c:ser>
        <c:ser>
          <c:idx val="1"/>
          <c:order val="1"/>
          <c:tx>
            <c:strRef>
              <c:f>Sheet1!$C$1</c:f>
              <c:strCache>
                <c:ptCount val="1"/>
                <c:pt idx="0">
                  <c:v>Pašvērtējums</c:v>
                </c:pt>
              </c:strCache>
            </c:strRef>
          </c:tx>
          <c:spPr>
            <a:solidFill>
              <a:srgbClr val="BD9B08">
                <a:lumMod val="20000"/>
                <a:lumOff val="80000"/>
              </a:srgbClr>
            </a:solidFill>
            <a:ln>
              <a:noFill/>
            </a:ln>
          </c:spPr>
          <c:invertIfNegative val="0"/>
          <c:dLbls>
            <c:numFmt formatCode="#,##0.0" sourceLinked="0"/>
            <c:spPr>
              <a:noFill/>
              <a:ln>
                <a:noFill/>
              </a:ln>
              <a:effectLst/>
            </c:spPr>
            <c:txPr>
              <a:bodyPr wrap="square" lIns="38100" tIns="19050" rIns="38100" bIns="19050" anchor="ctr" anchorCtr="0">
                <a:spAutoFit/>
              </a:bodyPr>
              <a:lstStyle/>
              <a:p>
                <a:pPr algn="ctr">
                  <a:defRPr lang="lv-LV" sz="1050" b="1" i="0" u="none" strike="noStrike" kern="1200" baseline="0">
                    <a:solidFill>
                      <a:srgbClr val="717171"/>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ext>
            </c:extLst>
          </c:dLbls>
          <c:cat>
            <c:strRef>
              <c:f>Sheet1!$A$2:$A$13</c:f>
              <c:strCache>
                <c:ptCount val="12"/>
                <c:pt idx="0">
                  <c:v>Ēku būvdarbu
 projektu vadība</c:v>
                </c:pt>
                <c:pt idx="1">
                  <c:v>Inženierbūvju
 būvdarbu
 projektu vadība</c:v>
                </c:pt>
                <c:pt idx="2">
                  <c:v>Teritorijas
 labiekārtošana </c:v>
                </c:pt>
                <c:pt idx="3">
                  <c:v>Inženierbūvju
 būvdarbi</c:v>
                </c:pt>
                <c:pt idx="4">
                  <c:v>Ēkas būvdarbi, pamati,
 karkass, nesošās
 konstrukcijas, jumts</c:v>
                </c:pt>
                <c:pt idx="5">
                  <c:v>Būvdarbi, ārējā apdare,
 sienas, fasādes, 
logi, durvis</c:v>
                </c:pt>
                <c:pt idx="6">
                  <c:v>Būvdarbi, iekšējā
 apdare</c:v>
                </c:pt>
                <c:pt idx="7">
                  <c:v>Apkure, ventilācija,
 klimata kontrole</c:v>
                </c:pt>
                <c:pt idx="8">
                  <c:v>Ūdensapgāde,
 kanalizācija</c:v>
                </c:pt>
                <c:pt idx="9">
                  <c:v>Elektrotīkli,
 vājstrāvu tīkli</c:v>
                </c:pt>
                <c:pt idx="10">
                  <c:v>Būvmateriāli,
 risinājumi,
 būvizstrādājumi </c:v>
                </c:pt>
                <c:pt idx="11">
                  <c:v>Darba instrumenti,
 tehnika </c:v>
                </c:pt>
              </c:strCache>
            </c:strRef>
          </c:cat>
          <c:val>
            <c:numRef>
              <c:f>Sheet1!$C$2:$C$13</c:f>
              <c:numCache>
                <c:formatCode>0.00</c:formatCode>
                <c:ptCount val="12"/>
                <c:pt idx="0">
                  <c:v>7.691315807851467</c:v>
                </c:pt>
                <c:pt idx="1">
                  <c:v>8.1987193500545192</c:v>
                </c:pt>
                <c:pt idx="2">
                  <c:v>8.0596902071049001</c:v>
                </c:pt>
                <c:pt idx="3">
                  <c:v>7.6625563289274066</c:v>
                </c:pt>
                <c:pt idx="4">
                  <c:v>7.9489590587079579</c:v>
                </c:pt>
                <c:pt idx="5">
                  <c:v>8.0920869663508075</c:v>
                </c:pt>
                <c:pt idx="6">
                  <c:v>7.785423321501014</c:v>
                </c:pt>
                <c:pt idx="7">
                  <c:v>8.0537407523452664</c:v>
                </c:pt>
                <c:pt idx="8">
                  <c:v>7.9840691759066225</c:v>
                </c:pt>
                <c:pt idx="9">
                  <c:v>7.9642213273761788</c:v>
                </c:pt>
                <c:pt idx="10">
                  <c:v>8.0039858229735117</c:v>
                </c:pt>
                <c:pt idx="11">
                  <c:v>7.4211360654346565</c:v>
                </c:pt>
              </c:numCache>
            </c:numRef>
          </c:val>
          <c:extLst>
            <c:ext xmlns:c16="http://schemas.microsoft.com/office/drawing/2014/chart" uri="{C3380CC4-5D6E-409C-BE32-E72D297353CC}">
              <c16:uniqueId val="{00000009-12EF-433B-AF90-35C60391443C}"/>
            </c:ext>
          </c:extLst>
        </c:ser>
        <c:dLbls>
          <c:showLegendKey val="0"/>
          <c:showVal val="0"/>
          <c:showCatName val="0"/>
          <c:showSerName val="0"/>
          <c:showPercent val="0"/>
          <c:showBubbleSize val="0"/>
        </c:dLbls>
        <c:gapWidth val="40"/>
        <c:overlap val="9"/>
        <c:axId val="1943593016"/>
        <c:axId val="1943215816"/>
      </c:barChart>
      <c:catAx>
        <c:axId val="1943593016"/>
        <c:scaling>
          <c:orientation val="maxMin"/>
        </c:scaling>
        <c:delete val="0"/>
        <c:axPos val="l"/>
        <c:numFmt formatCode="General" sourceLinked="1"/>
        <c:majorTickMark val="none"/>
        <c:minorTickMark val="none"/>
        <c:tickLblPos val="nextTo"/>
        <c:spPr>
          <a:ln>
            <a:solidFill>
              <a:srgbClr val="717171"/>
            </a:solidFill>
          </a:ln>
        </c:spPr>
        <c:txPr>
          <a:bodyPr/>
          <a:lstStyle/>
          <a:p>
            <a:pPr algn="r">
              <a:defRPr sz="1100">
                <a:solidFill>
                  <a:srgbClr val="717171"/>
                </a:solidFill>
              </a:defRPr>
            </a:pPr>
            <a:endParaRPr lang="lv-LV"/>
          </a:p>
        </c:txPr>
        <c:crossAx val="1943215816"/>
        <c:crosses val="autoZero"/>
        <c:auto val="1"/>
        <c:lblAlgn val="ctr"/>
        <c:lblOffset val="1000"/>
        <c:noMultiLvlLbl val="0"/>
      </c:catAx>
      <c:valAx>
        <c:axId val="1943215816"/>
        <c:scaling>
          <c:orientation val="minMax"/>
          <c:max val="10"/>
        </c:scaling>
        <c:delete val="1"/>
        <c:axPos val="t"/>
        <c:numFmt formatCode="0.00" sourceLinked="1"/>
        <c:majorTickMark val="out"/>
        <c:minorTickMark val="none"/>
        <c:tickLblPos val="nextTo"/>
        <c:crossAx val="1943593016"/>
        <c:crosses val="autoZero"/>
        <c:crossBetween val="between"/>
      </c:valAx>
    </c:plotArea>
    <c:legend>
      <c:legendPos val="r"/>
      <c:layout>
        <c:manualLayout>
          <c:xMode val="edge"/>
          <c:yMode val="edge"/>
          <c:x val="0.82585414050691286"/>
          <c:y val="0.10809278794850533"/>
          <c:w val="0.16946564077473503"/>
          <c:h val="6.3253552818921421E-2"/>
        </c:manualLayout>
      </c:layout>
      <c:overlay val="0"/>
      <c:txPr>
        <a:bodyPr/>
        <a:lstStyle/>
        <a:p>
          <a:pPr>
            <a:defRPr sz="1100">
              <a:solidFill>
                <a:srgbClr val="717171"/>
              </a:solidFill>
            </a:defRPr>
          </a:pPr>
          <a:endParaRPr lang="lv-LV"/>
        </a:p>
      </c:txPr>
    </c:legend>
    <c:plotVisOnly val="1"/>
    <c:dispBlanksAs val="gap"/>
    <c:showDLblsOverMax val="0"/>
  </c:chart>
  <c:spPr>
    <a:ln>
      <a:noFill/>
    </a:ln>
  </c:spPr>
  <c:txPr>
    <a:bodyPr/>
    <a:lstStyle/>
    <a:p>
      <a:pPr>
        <a:defRPr sz="1800"/>
      </a:pPr>
      <a:endParaRPr lang="lv-LV"/>
    </a:p>
  </c:txPr>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1.png"/></Relationships>
</file>

<file path=word/drawings/_rels/drawing11.xml.rels><?xml version="1.0" encoding="UTF-8" standalone="yes"?>
<Relationships xmlns="http://schemas.openxmlformats.org/package/2006/relationships"><Relationship Id="rId1" Type="http://schemas.openxmlformats.org/officeDocument/2006/relationships/image" Target="../media/image6.png"/></Relationships>
</file>

<file path=word/drawings/_rels/drawing2.xml.rels><?xml version="1.0" encoding="UTF-8" standalone="yes"?>
<Relationships xmlns="http://schemas.openxmlformats.org/package/2006/relationships"><Relationship Id="rId1" Type="http://schemas.openxmlformats.org/officeDocument/2006/relationships/image" Target="../media/image2.png"/></Relationships>
</file>

<file path=word/drawings/_rels/drawing3.xml.rels><?xml version="1.0" encoding="UTF-8" standalone="yes"?>
<Relationships xmlns="http://schemas.openxmlformats.org/package/2006/relationships"><Relationship Id="rId1" Type="http://schemas.openxmlformats.org/officeDocument/2006/relationships/image" Target="../media/image3.png"/></Relationships>
</file>

<file path=word/drawings/_rels/drawing6.xml.rels><?xml version="1.0" encoding="UTF-8" standalone="yes"?>
<Relationships xmlns="http://schemas.openxmlformats.org/package/2006/relationships"><Relationship Id="rId1" Type="http://schemas.openxmlformats.org/officeDocument/2006/relationships/image" Target="../media/image4.png"/></Relationships>
</file>

<file path=word/drawings/_rels/drawing9.xml.rels><?xml version="1.0" encoding="UTF-8" standalone="yes"?>
<Relationships xmlns="http://schemas.openxmlformats.org/package/2006/relationships"><Relationship Id="rId1" Type="http://schemas.openxmlformats.org/officeDocument/2006/relationships/image" Target="../media/image5.png"/></Relationships>
</file>

<file path=word/drawings/drawing1.xml><?xml version="1.0" encoding="utf-8"?>
<c:userShapes xmlns:c="http://schemas.openxmlformats.org/drawingml/2006/chart">
  <cdr:relSizeAnchor xmlns:cdr="http://schemas.openxmlformats.org/drawingml/2006/chartDrawing">
    <cdr:from>
      <cdr:x>0</cdr:x>
      <cdr:y>0.14467</cdr:y>
    </cdr:from>
    <cdr:to>
      <cdr:x>1</cdr:x>
      <cdr:y>0.93897</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653143"/>
          <a:ext cx="5941060" cy="3586173"/>
        </a:xfrm>
        <a:prstGeom xmlns:a="http://schemas.openxmlformats.org/drawingml/2006/main" prst="rect">
          <a:avLst/>
        </a:prstGeom>
      </cdr:spPr>
    </cdr:pic>
  </cdr:relSizeAnchor>
  <cdr:relSizeAnchor xmlns:cdr="http://schemas.openxmlformats.org/drawingml/2006/chartDrawing">
    <cdr:from>
      <cdr:x>0.49217</cdr:x>
      <cdr:y>0.0085</cdr:y>
    </cdr:from>
    <cdr:to>
      <cdr:x>0.9006</cdr:x>
      <cdr:y>0.11858</cdr:y>
    </cdr:to>
    <cdr:grpSp>
      <cdr:nvGrpSpPr>
        <cdr:cNvPr id="2" name="Group 1">
          <a:extLst xmlns:a="http://schemas.openxmlformats.org/drawingml/2006/main">
            <a:ext uri="{FF2B5EF4-FFF2-40B4-BE49-F238E27FC236}">
              <a16:creationId xmlns:a16="http://schemas.microsoft.com/office/drawing/2014/main" id="{EC6CA0FB-3F87-4B04-96D7-F734D62BE0F4}"/>
            </a:ext>
          </a:extLst>
        </cdr:cNvPr>
        <cdr:cNvGrpSpPr/>
      </cdr:nvGrpSpPr>
      <cdr:grpSpPr>
        <a:xfrm xmlns:a="http://schemas.openxmlformats.org/drawingml/2006/main">
          <a:off x="2924015" y="38366"/>
          <a:ext cx="2426495" cy="497012"/>
          <a:chOff x="7978134" y="1244866"/>
          <a:chExt cx="2426495" cy="497012"/>
        </a:xfrm>
      </cdr:grpSpPr>
      <cdr:sp macro="" textlink="">
        <cdr:nvSpPr>
          <cdr:cNvPr id="3" name="TextBox 10">
            <a:extLst xmlns:a="http://schemas.openxmlformats.org/drawingml/2006/main">
              <a:ext uri="{FF2B5EF4-FFF2-40B4-BE49-F238E27FC236}">
                <a16:creationId xmlns:a16="http://schemas.microsoft.com/office/drawing/2014/main" id="{9540676B-4AE0-41E2-8851-04989D7CD5CE}"/>
              </a:ext>
            </a:extLst>
          </cdr:cNvPr>
          <cdr:cNvSpPr txBox="1"/>
        </cdr:nvSpPr>
        <cdr:spPr>
          <a:xfrm xmlns:a="http://schemas.openxmlformats.org/drawingml/2006/main">
            <a:off x="8555296" y="1252543"/>
            <a:ext cx="1849333" cy="412934"/>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400" b="1" dirty="0">
                <a:solidFill>
                  <a:srgbClr val="BD9B08"/>
                </a:solidFill>
              </a:rPr>
              <a:t>Pārstāvētās organizācijas loma </a:t>
            </a:r>
          </a:p>
        </cdr:txBody>
      </cdr:sp>
      <cdr:sp macro="" textlink="">
        <cdr:nvSpPr>
          <cdr:cNvPr id="4" name="Freeform 44">
            <a:extLst xmlns:a="http://schemas.openxmlformats.org/drawingml/2006/main">
              <a:ext uri="{FF2B5EF4-FFF2-40B4-BE49-F238E27FC236}">
                <a16:creationId xmlns:a16="http://schemas.microsoft.com/office/drawing/2014/main" id="{B8CD6C15-3514-41FD-A1C9-8F5F4462AEC5}"/>
              </a:ext>
            </a:extLst>
          </cdr:cNvPr>
          <cdr:cNvSpPr>
            <a:spLocks xmlns:a="http://schemas.openxmlformats.org/drawingml/2006/main" noEditPoints="1"/>
          </cdr:cNvSpPr>
        </cdr:nvSpPr>
        <cdr:spPr bwMode="auto">
          <a:xfrm xmlns:a="http://schemas.openxmlformats.org/drawingml/2006/main">
            <a:off x="7978134" y="1244866"/>
            <a:ext cx="495698" cy="497012"/>
          </a:xfrm>
          <a:custGeom xmlns:a="http://schemas.openxmlformats.org/drawingml/2006/main">
            <a:avLst/>
            <a:gdLst>
              <a:gd name="T0" fmla="*/ 1679 w 2266"/>
              <a:gd name="T1" fmla="*/ 1008 h 2273"/>
              <a:gd name="T2" fmla="*/ 1647 w 2266"/>
              <a:gd name="T3" fmla="*/ 1153 h 2273"/>
              <a:gd name="T4" fmla="*/ 1498 w 2266"/>
              <a:gd name="T5" fmla="*/ 1153 h 2273"/>
              <a:gd name="T6" fmla="*/ 1465 w 2266"/>
              <a:gd name="T7" fmla="*/ 1008 h 2273"/>
              <a:gd name="T8" fmla="*/ 552 w 2266"/>
              <a:gd name="T9" fmla="*/ 471 h 2273"/>
              <a:gd name="T10" fmla="*/ 471 w 2266"/>
              <a:gd name="T11" fmla="*/ 552 h 2273"/>
              <a:gd name="T12" fmla="*/ 552 w 2266"/>
              <a:gd name="T13" fmla="*/ 633 h 2273"/>
              <a:gd name="T14" fmla="*/ 633 w 2266"/>
              <a:gd name="T15" fmla="*/ 552 h 2273"/>
              <a:gd name="T16" fmla="*/ 552 w 2266"/>
              <a:gd name="T17" fmla="*/ 471 h 2273"/>
              <a:gd name="T18" fmla="*/ 1105 w 2266"/>
              <a:gd name="T19" fmla="*/ 552 h 2273"/>
              <a:gd name="T20" fmla="*/ 998 w 2266"/>
              <a:gd name="T21" fmla="*/ 879 h 2273"/>
              <a:gd name="T22" fmla="*/ 727 w 2266"/>
              <a:gd name="T23" fmla="*/ 1076 h 2273"/>
              <a:gd name="T24" fmla="*/ 404 w 2266"/>
              <a:gd name="T25" fmla="*/ 1084 h 2273"/>
              <a:gd name="T26" fmla="*/ 442 w 2266"/>
              <a:gd name="T27" fmla="*/ 1410 h 2273"/>
              <a:gd name="T28" fmla="*/ 644 w 2266"/>
              <a:gd name="T29" fmla="*/ 1719 h 2273"/>
              <a:gd name="T30" fmla="*/ 881 w 2266"/>
              <a:gd name="T31" fmla="*/ 1880 h 2273"/>
              <a:gd name="T32" fmla="*/ 1521 w 2266"/>
              <a:gd name="T33" fmla="*/ 1964 h 2273"/>
              <a:gd name="T34" fmla="*/ 1923 w 2266"/>
              <a:gd name="T35" fmla="*/ 1335 h 2273"/>
              <a:gd name="T36" fmla="*/ 2098 w 2266"/>
              <a:gd name="T37" fmla="*/ 1274 h 2273"/>
              <a:gd name="T38" fmla="*/ 1773 w 2266"/>
              <a:gd name="T39" fmla="*/ 707 h 2273"/>
              <a:gd name="T40" fmla="*/ 1478 w 2266"/>
              <a:gd name="T41" fmla="*/ 467 h 2273"/>
              <a:gd name="T42" fmla="*/ 480 w 2266"/>
              <a:gd name="T43" fmla="*/ 233 h 2273"/>
              <a:gd name="T44" fmla="*/ 868 w 2266"/>
              <a:gd name="T45" fmla="*/ 462 h 2273"/>
              <a:gd name="T46" fmla="*/ 868 w 2266"/>
              <a:gd name="T47" fmla="*/ 644 h 2273"/>
              <a:gd name="T48" fmla="*/ 480 w 2266"/>
              <a:gd name="T49" fmla="*/ 872 h 2273"/>
              <a:gd name="T50" fmla="*/ 354 w 2266"/>
              <a:gd name="T51" fmla="*/ 579 h 2273"/>
              <a:gd name="T52" fmla="*/ 307 w 2266"/>
              <a:gd name="T53" fmla="*/ 335 h 2273"/>
              <a:gd name="T54" fmla="*/ 502 w 2266"/>
              <a:gd name="T55" fmla="*/ 125 h 2273"/>
              <a:gd name="T56" fmla="*/ 248 w 2266"/>
              <a:gd name="T57" fmla="*/ 248 h 2273"/>
              <a:gd name="T58" fmla="*/ 125 w 2266"/>
              <a:gd name="T59" fmla="*/ 502 h 2273"/>
              <a:gd name="T60" fmla="*/ 189 w 2266"/>
              <a:gd name="T61" fmla="*/ 783 h 2273"/>
              <a:gd name="T62" fmla="*/ 407 w 2266"/>
              <a:gd name="T63" fmla="*/ 958 h 2273"/>
              <a:gd name="T64" fmla="*/ 697 w 2266"/>
              <a:gd name="T65" fmla="*/ 958 h 2273"/>
              <a:gd name="T66" fmla="*/ 915 w 2266"/>
              <a:gd name="T67" fmla="*/ 783 h 2273"/>
              <a:gd name="T68" fmla="*/ 979 w 2266"/>
              <a:gd name="T69" fmla="*/ 502 h 2273"/>
              <a:gd name="T70" fmla="*/ 856 w 2266"/>
              <a:gd name="T71" fmla="*/ 248 h 2273"/>
              <a:gd name="T72" fmla="*/ 603 w 2266"/>
              <a:gd name="T73" fmla="*/ 125 h 2273"/>
              <a:gd name="T74" fmla="*/ 766 w 2266"/>
              <a:gd name="T75" fmla="*/ 43 h 2273"/>
              <a:gd name="T76" fmla="*/ 1009 w 2266"/>
              <a:gd name="T77" fmla="*/ 242 h 2273"/>
              <a:gd name="T78" fmla="*/ 1373 w 2266"/>
              <a:gd name="T79" fmla="*/ 303 h 2273"/>
              <a:gd name="T80" fmla="*/ 1738 w 2266"/>
              <a:gd name="T81" fmla="*/ 490 h 2273"/>
              <a:gd name="T82" fmla="*/ 1981 w 2266"/>
              <a:gd name="T83" fmla="*/ 831 h 2273"/>
              <a:gd name="T84" fmla="*/ 2255 w 2266"/>
              <a:gd name="T85" fmla="*/ 1371 h 2273"/>
              <a:gd name="T86" fmla="*/ 2042 w 2266"/>
              <a:gd name="T87" fmla="*/ 2003 h 2273"/>
              <a:gd name="T88" fmla="*/ 1640 w 2266"/>
              <a:gd name="T89" fmla="*/ 2212 h 2273"/>
              <a:gd name="T90" fmla="*/ 830 w 2266"/>
              <a:gd name="T91" fmla="*/ 2273 h 2273"/>
              <a:gd name="T92" fmla="*/ 769 w 2266"/>
              <a:gd name="T93" fmla="*/ 1953 h 2273"/>
              <a:gd name="T94" fmla="*/ 450 w 2266"/>
              <a:gd name="T95" fmla="*/ 1685 h 2273"/>
              <a:gd name="T96" fmla="*/ 289 w 2266"/>
              <a:gd name="T97" fmla="*/ 1304 h 2273"/>
              <a:gd name="T98" fmla="*/ 200 w 2266"/>
              <a:gd name="T99" fmla="*/ 977 h 2273"/>
              <a:gd name="T100" fmla="*/ 25 w 2266"/>
              <a:gd name="T101" fmla="*/ 716 h 2273"/>
              <a:gd name="T102" fmla="*/ 28 w 2266"/>
              <a:gd name="T103" fmla="*/ 378 h 2273"/>
              <a:gd name="T104" fmla="*/ 226 w 2266"/>
              <a:gd name="T105" fmla="*/ 107 h 2273"/>
              <a:gd name="T106" fmla="*/ 552 w 2266"/>
              <a:gd name="T107" fmla="*/ 0 h 22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266" h="2273">
                <a:moveTo>
                  <a:pt x="1573" y="942"/>
                </a:moveTo>
                <a:lnTo>
                  <a:pt x="1600" y="945"/>
                </a:lnTo>
                <a:lnTo>
                  <a:pt x="1625" y="954"/>
                </a:lnTo>
                <a:lnTo>
                  <a:pt x="1647" y="968"/>
                </a:lnTo>
                <a:lnTo>
                  <a:pt x="1665" y="986"/>
                </a:lnTo>
                <a:lnTo>
                  <a:pt x="1679" y="1008"/>
                </a:lnTo>
                <a:lnTo>
                  <a:pt x="1688" y="1033"/>
                </a:lnTo>
                <a:lnTo>
                  <a:pt x="1692" y="1061"/>
                </a:lnTo>
                <a:lnTo>
                  <a:pt x="1688" y="1088"/>
                </a:lnTo>
                <a:lnTo>
                  <a:pt x="1679" y="1113"/>
                </a:lnTo>
                <a:lnTo>
                  <a:pt x="1665" y="1135"/>
                </a:lnTo>
                <a:lnTo>
                  <a:pt x="1647" y="1153"/>
                </a:lnTo>
                <a:lnTo>
                  <a:pt x="1625" y="1167"/>
                </a:lnTo>
                <a:lnTo>
                  <a:pt x="1600" y="1176"/>
                </a:lnTo>
                <a:lnTo>
                  <a:pt x="1573" y="1180"/>
                </a:lnTo>
                <a:lnTo>
                  <a:pt x="1545" y="1176"/>
                </a:lnTo>
                <a:lnTo>
                  <a:pt x="1520" y="1167"/>
                </a:lnTo>
                <a:lnTo>
                  <a:pt x="1498" y="1153"/>
                </a:lnTo>
                <a:lnTo>
                  <a:pt x="1480" y="1135"/>
                </a:lnTo>
                <a:lnTo>
                  <a:pt x="1465" y="1113"/>
                </a:lnTo>
                <a:lnTo>
                  <a:pt x="1457" y="1088"/>
                </a:lnTo>
                <a:lnTo>
                  <a:pt x="1454" y="1061"/>
                </a:lnTo>
                <a:lnTo>
                  <a:pt x="1457" y="1033"/>
                </a:lnTo>
                <a:lnTo>
                  <a:pt x="1465" y="1008"/>
                </a:lnTo>
                <a:lnTo>
                  <a:pt x="1480" y="986"/>
                </a:lnTo>
                <a:lnTo>
                  <a:pt x="1498" y="968"/>
                </a:lnTo>
                <a:lnTo>
                  <a:pt x="1520" y="954"/>
                </a:lnTo>
                <a:lnTo>
                  <a:pt x="1545" y="945"/>
                </a:lnTo>
                <a:lnTo>
                  <a:pt x="1573" y="942"/>
                </a:lnTo>
                <a:close/>
                <a:moveTo>
                  <a:pt x="552" y="471"/>
                </a:moveTo>
                <a:lnTo>
                  <a:pt x="531" y="475"/>
                </a:lnTo>
                <a:lnTo>
                  <a:pt x="511" y="483"/>
                </a:lnTo>
                <a:lnTo>
                  <a:pt x="495" y="496"/>
                </a:lnTo>
                <a:lnTo>
                  <a:pt x="483" y="511"/>
                </a:lnTo>
                <a:lnTo>
                  <a:pt x="474" y="531"/>
                </a:lnTo>
                <a:lnTo>
                  <a:pt x="471" y="552"/>
                </a:lnTo>
                <a:lnTo>
                  <a:pt x="474" y="573"/>
                </a:lnTo>
                <a:lnTo>
                  <a:pt x="483" y="593"/>
                </a:lnTo>
                <a:lnTo>
                  <a:pt x="495" y="609"/>
                </a:lnTo>
                <a:lnTo>
                  <a:pt x="511" y="622"/>
                </a:lnTo>
                <a:lnTo>
                  <a:pt x="531" y="630"/>
                </a:lnTo>
                <a:lnTo>
                  <a:pt x="552" y="633"/>
                </a:lnTo>
                <a:lnTo>
                  <a:pt x="573" y="630"/>
                </a:lnTo>
                <a:lnTo>
                  <a:pt x="593" y="622"/>
                </a:lnTo>
                <a:lnTo>
                  <a:pt x="609" y="609"/>
                </a:lnTo>
                <a:lnTo>
                  <a:pt x="622" y="593"/>
                </a:lnTo>
                <a:lnTo>
                  <a:pt x="630" y="573"/>
                </a:lnTo>
                <a:lnTo>
                  <a:pt x="633" y="552"/>
                </a:lnTo>
                <a:lnTo>
                  <a:pt x="630" y="531"/>
                </a:lnTo>
                <a:lnTo>
                  <a:pt x="622" y="511"/>
                </a:lnTo>
                <a:lnTo>
                  <a:pt x="609" y="496"/>
                </a:lnTo>
                <a:lnTo>
                  <a:pt x="593" y="483"/>
                </a:lnTo>
                <a:lnTo>
                  <a:pt x="573" y="475"/>
                </a:lnTo>
                <a:lnTo>
                  <a:pt x="552" y="471"/>
                </a:lnTo>
                <a:close/>
                <a:moveTo>
                  <a:pt x="1161" y="400"/>
                </a:moveTo>
                <a:lnTo>
                  <a:pt x="1122" y="401"/>
                </a:lnTo>
                <a:lnTo>
                  <a:pt x="1084" y="404"/>
                </a:lnTo>
                <a:lnTo>
                  <a:pt x="1095" y="452"/>
                </a:lnTo>
                <a:lnTo>
                  <a:pt x="1102" y="502"/>
                </a:lnTo>
                <a:lnTo>
                  <a:pt x="1105" y="552"/>
                </a:lnTo>
                <a:lnTo>
                  <a:pt x="1101" y="612"/>
                </a:lnTo>
                <a:lnTo>
                  <a:pt x="1092" y="670"/>
                </a:lnTo>
                <a:lnTo>
                  <a:pt x="1076" y="727"/>
                </a:lnTo>
                <a:lnTo>
                  <a:pt x="1055" y="781"/>
                </a:lnTo>
                <a:lnTo>
                  <a:pt x="1029" y="831"/>
                </a:lnTo>
                <a:lnTo>
                  <a:pt x="998" y="879"/>
                </a:lnTo>
                <a:lnTo>
                  <a:pt x="963" y="923"/>
                </a:lnTo>
                <a:lnTo>
                  <a:pt x="923" y="963"/>
                </a:lnTo>
                <a:lnTo>
                  <a:pt x="878" y="999"/>
                </a:lnTo>
                <a:lnTo>
                  <a:pt x="831" y="1029"/>
                </a:lnTo>
                <a:lnTo>
                  <a:pt x="780" y="1055"/>
                </a:lnTo>
                <a:lnTo>
                  <a:pt x="727" y="1076"/>
                </a:lnTo>
                <a:lnTo>
                  <a:pt x="671" y="1092"/>
                </a:lnTo>
                <a:lnTo>
                  <a:pt x="612" y="1102"/>
                </a:lnTo>
                <a:lnTo>
                  <a:pt x="552" y="1105"/>
                </a:lnTo>
                <a:lnTo>
                  <a:pt x="502" y="1103"/>
                </a:lnTo>
                <a:lnTo>
                  <a:pt x="452" y="1095"/>
                </a:lnTo>
                <a:lnTo>
                  <a:pt x="404" y="1084"/>
                </a:lnTo>
                <a:lnTo>
                  <a:pt x="401" y="1123"/>
                </a:lnTo>
                <a:lnTo>
                  <a:pt x="400" y="1162"/>
                </a:lnTo>
                <a:lnTo>
                  <a:pt x="402" y="1226"/>
                </a:lnTo>
                <a:lnTo>
                  <a:pt x="410" y="1289"/>
                </a:lnTo>
                <a:lnTo>
                  <a:pt x="423" y="1350"/>
                </a:lnTo>
                <a:lnTo>
                  <a:pt x="442" y="1410"/>
                </a:lnTo>
                <a:lnTo>
                  <a:pt x="464" y="1468"/>
                </a:lnTo>
                <a:lnTo>
                  <a:pt x="491" y="1524"/>
                </a:lnTo>
                <a:lnTo>
                  <a:pt x="524" y="1577"/>
                </a:lnTo>
                <a:lnTo>
                  <a:pt x="560" y="1628"/>
                </a:lnTo>
                <a:lnTo>
                  <a:pt x="600" y="1675"/>
                </a:lnTo>
                <a:lnTo>
                  <a:pt x="644" y="1719"/>
                </a:lnTo>
                <a:lnTo>
                  <a:pt x="691" y="1760"/>
                </a:lnTo>
                <a:lnTo>
                  <a:pt x="743" y="1797"/>
                </a:lnTo>
                <a:lnTo>
                  <a:pt x="797" y="1830"/>
                </a:lnTo>
                <a:lnTo>
                  <a:pt x="854" y="1858"/>
                </a:lnTo>
                <a:lnTo>
                  <a:pt x="870" y="1868"/>
                </a:lnTo>
                <a:lnTo>
                  <a:pt x="881" y="1880"/>
                </a:lnTo>
                <a:lnTo>
                  <a:pt x="888" y="1896"/>
                </a:lnTo>
                <a:lnTo>
                  <a:pt x="891" y="1914"/>
                </a:lnTo>
                <a:lnTo>
                  <a:pt x="891" y="2151"/>
                </a:lnTo>
                <a:lnTo>
                  <a:pt x="1519" y="2151"/>
                </a:lnTo>
                <a:lnTo>
                  <a:pt x="1519" y="1984"/>
                </a:lnTo>
                <a:lnTo>
                  <a:pt x="1521" y="1964"/>
                </a:lnTo>
                <a:lnTo>
                  <a:pt x="1531" y="1948"/>
                </a:lnTo>
                <a:lnTo>
                  <a:pt x="1543" y="1935"/>
                </a:lnTo>
                <a:lnTo>
                  <a:pt x="1560" y="1927"/>
                </a:lnTo>
                <a:lnTo>
                  <a:pt x="1579" y="1923"/>
                </a:lnTo>
                <a:lnTo>
                  <a:pt x="1923" y="1923"/>
                </a:lnTo>
                <a:lnTo>
                  <a:pt x="1923" y="1335"/>
                </a:lnTo>
                <a:lnTo>
                  <a:pt x="1926" y="1315"/>
                </a:lnTo>
                <a:lnTo>
                  <a:pt x="1935" y="1298"/>
                </a:lnTo>
                <a:lnTo>
                  <a:pt x="1948" y="1286"/>
                </a:lnTo>
                <a:lnTo>
                  <a:pt x="1965" y="1277"/>
                </a:lnTo>
                <a:lnTo>
                  <a:pt x="1984" y="1274"/>
                </a:lnTo>
                <a:lnTo>
                  <a:pt x="2098" y="1274"/>
                </a:lnTo>
                <a:lnTo>
                  <a:pt x="1873" y="888"/>
                </a:lnTo>
                <a:lnTo>
                  <a:pt x="1871" y="884"/>
                </a:lnTo>
                <a:lnTo>
                  <a:pt x="1868" y="880"/>
                </a:lnTo>
                <a:lnTo>
                  <a:pt x="1841" y="820"/>
                </a:lnTo>
                <a:lnTo>
                  <a:pt x="1809" y="762"/>
                </a:lnTo>
                <a:lnTo>
                  <a:pt x="1773" y="707"/>
                </a:lnTo>
                <a:lnTo>
                  <a:pt x="1733" y="658"/>
                </a:lnTo>
                <a:lnTo>
                  <a:pt x="1688" y="610"/>
                </a:lnTo>
                <a:lnTo>
                  <a:pt x="1640" y="568"/>
                </a:lnTo>
                <a:lnTo>
                  <a:pt x="1590" y="530"/>
                </a:lnTo>
                <a:lnTo>
                  <a:pt x="1535" y="497"/>
                </a:lnTo>
                <a:lnTo>
                  <a:pt x="1478" y="467"/>
                </a:lnTo>
                <a:lnTo>
                  <a:pt x="1418" y="444"/>
                </a:lnTo>
                <a:lnTo>
                  <a:pt x="1357" y="424"/>
                </a:lnTo>
                <a:lnTo>
                  <a:pt x="1293" y="410"/>
                </a:lnTo>
                <a:lnTo>
                  <a:pt x="1228" y="402"/>
                </a:lnTo>
                <a:lnTo>
                  <a:pt x="1161" y="400"/>
                </a:lnTo>
                <a:close/>
                <a:moveTo>
                  <a:pt x="480" y="233"/>
                </a:moveTo>
                <a:lnTo>
                  <a:pt x="625" y="233"/>
                </a:lnTo>
                <a:lnTo>
                  <a:pt x="625" y="365"/>
                </a:lnTo>
                <a:lnTo>
                  <a:pt x="654" y="380"/>
                </a:lnTo>
                <a:lnTo>
                  <a:pt x="681" y="399"/>
                </a:lnTo>
                <a:lnTo>
                  <a:pt x="797" y="335"/>
                </a:lnTo>
                <a:lnTo>
                  <a:pt x="868" y="462"/>
                </a:lnTo>
                <a:lnTo>
                  <a:pt x="750" y="526"/>
                </a:lnTo>
                <a:lnTo>
                  <a:pt x="752" y="539"/>
                </a:lnTo>
                <a:lnTo>
                  <a:pt x="753" y="552"/>
                </a:lnTo>
                <a:lnTo>
                  <a:pt x="752" y="566"/>
                </a:lnTo>
                <a:lnTo>
                  <a:pt x="750" y="579"/>
                </a:lnTo>
                <a:lnTo>
                  <a:pt x="868" y="644"/>
                </a:lnTo>
                <a:lnTo>
                  <a:pt x="797" y="770"/>
                </a:lnTo>
                <a:lnTo>
                  <a:pt x="681" y="706"/>
                </a:lnTo>
                <a:lnTo>
                  <a:pt x="654" y="725"/>
                </a:lnTo>
                <a:lnTo>
                  <a:pt x="625" y="740"/>
                </a:lnTo>
                <a:lnTo>
                  <a:pt x="625" y="872"/>
                </a:lnTo>
                <a:lnTo>
                  <a:pt x="480" y="872"/>
                </a:lnTo>
                <a:lnTo>
                  <a:pt x="480" y="740"/>
                </a:lnTo>
                <a:lnTo>
                  <a:pt x="450" y="725"/>
                </a:lnTo>
                <a:lnTo>
                  <a:pt x="424" y="706"/>
                </a:lnTo>
                <a:lnTo>
                  <a:pt x="307" y="770"/>
                </a:lnTo>
                <a:lnTo>
                  <a:pt x="238" y="644"/>
                </a:lnTo>
                <a:lnTo>
                  <a:pt x="354" y="579"/>
                </a:lnTo>
                <a:lnTo>
                  <a:pt x="352" y="566"/>
                </a:lnTo>
                <a:lnTo>
                  <a:pt x="351" y="552"/>
                </a:lnTo>
                <a:lnTo>
                  <a:pt x="352" y="539"/>
                </a:lnTo>
                <a:lnTo>
                  <a:pt x="354" y="526"/>
                </a:lnTo>
                <a:lnTo>
                  <a:pt x="238" y="462"/>
                </a:lnTo>
                <a:lnTo>
                  <a:pt x="307" y="335"/>
                </a:lnTo>
                <a:lnTo>
                  <a:pt x="424" y="399"/>
                </a:lnTo>
                <a:lnTo>
                  <a:pt x="450" y="380"/>
                </a:lnTo>
                <a:lnTo>
                  <a:pt x="480" y="365"/>
                </a:lnTo>
                <a:lnTo>
                  <a:pt x="480" y="233"/>
                </a:lnTo>
                <a:close/>
                <a:moveTo>
                  <a:pt x="552" y="122"/>
                </a:moveTo>
                <a:lnTo>
                  <a:pt x="502" y="125"/>
                </a:lnTo>
                <a:lnTo>
                  <a:pt x="453" y="134"/>
                </a:lnTo>
                <a:lnTo>
                  <a:pt x="407" y="147"/>
                </a:lnTo>
                <a:lnTo>
                  <a:pt x="363" y="166"/>
                </a:lnTo>
                <a:lnTo>
                  <a:pt x="322" y="189"/>
                </a:lnTo>
                <a:lnTo>
                  <a:pt x="283" y="217"/>
                </a:lnTo>
                <a:lnTo>
                  <a:pt x="248" y="248"/>
                </a:lnTo>
                <a:lnTo>
                  <a:pt x="217" y="283"/>
                </a:lnTo>
                <a:lnTo>
                  <a:pt x="189" y="322"/>
                </a:lnTo>
                <a:lnTo>
                  <a:pt x="166" y="363"/>
                </a:lnTo>
                <a:lnTo>
                  <a:pt x="147" y="407"/>
                </a:lnTo>
                <a:lnTo>
                  <a:pt x="133" y="454"/>
                </a:lnTo>
                <a:lnTo>
                  <a:pt x="125" y="502"/>
                </a:lnTo>
                <a:lnTo>
                  <a:pt x="122" y="552"/>
                </a:lnTo>
                <a:lnTo>
                  <a:pt x="125" y="603"/>
                </a:lnTo>
                <a:lnTo>
                  <a:pt x="133" y="651"/>
                </a:lnTo>
                <a:lnTo>
                  <a:pt x="147" y="698"/>
                </a:lnTo>
                <a:lnTo>
                  <a:pt x="166" y="742"/>
                </a:lnTo>
                <a:lnTo>
                  <a:pt x="189" y="783"/>
                </a:lnTo>
                <a:lnTo>
                  <a:pt x="217" y="822"/>
                </a:lnTo>
                <a:lnTo>
                  <a:pt x="248" y="857"/>
                </a:lnTo>
                <a:lnTo>
                  <a:pt x="283" y="888"/>
                </a:lnTo>
                <a:lnTo>
                  <a:pt x="322" y="915"/>
                </a:lnTo>
                <a:lnTo>
                  <a:pt x="363" y="939"/>
                </a:lnTo>
                <a:lnTo>
                  <a:pt x="407" y="958"/>
                </a:lnTo>
                <a:lnTo>
                  <a:pt x="453" y="971"/>
                </a:lnTo>
                <a:lnTo>
                  <a:pt x="502" y="980"/>
                </a:lnTo>
                <a:lnTo>
                  <a:pt x="552" y="983"/>
                </a:lnTo>
                <a:lnTo>
                  <a:pt x="603" y="980"/>
                </a:lnTo>
                <a:lnTo>
                  <a:pt x="651" y="971"/>
                </a:lnTo>
                <a:lnTo>
                  <a:pt x="697" y="958"/>
                </a:lnTo>
                <a:lnTo>
                  <a:pt x="742" y="939"/>
                </a:lnTo>
                <a:lnTo>
                  <a:pt x="783" y="915"/>
                </a:lnTo>
                <a:lnTo>
                  <a:pt x="822" y="888"/>
                </a:lnTo>
                <a:lnTo>
                  <a:pt x="856" y="857"/>
                </a:lnTo>
                <a:lnTo>
                  <a:pt x="888" y="822"/>
                </a:lnTo>
                <a:lnTo>
                  <a:pt x="915" y="783"/>
                </a:lnTo>
                <a:lnTo>
                  <a:pt x="938" y="742"/>
                </a:lnTo>
                <a:lnTo>
                  <a:pt x="957" y="698"/>
                </a:lnTo>
                <a:lnTo>
                  <a:pt x="971" y="651"/>
                </a:lnTo>
                <a:lnTo>
                  <a:pt x="979" y="603"/>
                </a:lnTo>
                <a:lnTo>
                  <a:pt x="982" y="552"/>
                </a:lnTo>
                <a:lnTo>
                  <a:pt x="979" y="502"/>
                </a:lnTo>
                <a:lnTo>
                  <a:pt x="971" y="454"/>
                </a:lnTo>
                <a:lnTo>
                  <a:pt x="957" y="407"/>
                </a:lnTo>
                <a:lnTo>
                  <a:pt x="938" y="363"/>
                </a:lnTo>
                <a:lnTo>
                  <a:pt x="915" y="322"/>
                </a:lnTo>
                <a:lnTo>
                  <a:pt x="888" y="283"/>
                </a:lnTo>
                <a:lnTo>
                  <a:pt x="856" y="248"/>
                </a:lnTo>
                <a:lnTo>
                  <a:pt x="822" y="217"/>
                </a:lnTo>
                <a:lnTo>
                  <a:pt x="783" y="189"/>
                </a:lnTo>
                <a:lnTo>
                  <a:pt x="742" y="166"/>
                </a:lnTo>
                <a:lnTo>
                  <a:pt x="697" y="147"/>
                </a:lnTo>
                <a:lnTo>
                  <a:pt x="651" y="134"/>
                </a:lnTo>
                <a:lnTo>
                  <a:pt x="603" y="125"/>
                </a:lnTo>
                <a:lnTo>
                  <a:pt x="552" y="122"/>
                </a:lnTo>
                <a:close/>
                <a:moveTo>
                  <a:pt x="552" y="0"/>
                </a:moveTo>
                <a:lnTo>
                  <a:pt x="608" y="3"/>
                </a:lnTo>
                <a:lnTo>
                  <a:pt x="663" y="12"/>
                </a:lnTo>
                <a:lnTo>
                  <a:pt x="715" y="25"/>
                </a:lnTo>
                <a:lnTo>
                  <a:pt x="766" y="43"/>
                </a:lnTo>
                <a:lnTo>
                  <a:pt x="814" y="66"/>
                </a:lnTo>
                <a:lnTo>
                  <a:pt x="859" y="94"/>
                </a:lnTo>
                <a:lnTo>
                  <a:pt x="903" y="125"/>
                </a:lnTo>
                <a:lnTo>
                  <a:pt x="941" y="161"/>
                </a:lnTo>
                <a:lnTo>
                  <a:pt x="977" y="200"/>
                </a:lnTo>
                <a:lnTo>
                  <a:pt x="1009" y="242"/>
                </a:lnTo>
                <a:lnTo>
                  <a:pt x="1036" y="287"/>
                </a:lnTo>
                <a:lnTo>
                  <a:pt x="1098" y="280"/>
                </a:lnTo>
                <a:lnTo>
                  <a:pt x="1161" y="278"/>
                </a:lnTo>
                <a:lnTo>
                  <a:pt x="1233" y="280"/>
                </a:lnTo>
                <a:lnTo>
                  <a:pt x="1303" y="288"/>
                </a:lnTo>
                <a:lnTo>
                  <a:pt x="1373" y="303"/>
                </a:lnTo>
                <a:lnTo>
                  <a:pt x="1440" y="322"/>
                </a:lnTo>
                <a:lnTo>
                  <a:pt x="1504" y="346"/>
                </a:lnTo>
                <a:lnTo>
                  <a:pt x="1567" y="376"/>
                </a:lnTo>
                <a:lnTo>
                  <a:pt x="1627" y="409"/>
                </a:lnTo>
                <a:lnTo>
                  <a:pt x="1684" y="448"/>
                </a:lnTo>
                <a:lnTo>
                  <a:pt x="1738" y="490"/>
                </a:lnTo>
                <a:lnTo>
                  <a:pt x="1788" y="538"/>
                </a:lnTo>
                <a:lnTo>
                  <a:pt x="1835" y="589"/>
                </a:lnTo>
                <a:lnTo>
                  <a:pt x="1878" y="644"/>
                </a:lnTo>
                <a:lnTo>
                  <a:pt x="1917" y="703"/>
                </a:lnTo>
                <a:lnTo>
                  <a:pt x="1950" y="765"/>
                </a:lnTo>
                <a:lnTo>
                  <a:pt x="1981" y="831"/>
                </a:lnTo>
                <a:lnTo>
                  <a:pt x="2250" y="1295"/>
                </a:lnTo>
                <a:lnTo>
                  <a:pt x="2259" y="1307"/>
                </a:lnTo>
                <a:lnTo>
                  <a:pt x="2264" y="1320"/>
                </a:lnTo>
                <a:lnTo>
                  <a:pt x="2266" y="1335"/>
                </a:lnTo>
                <a:lnTo>
                  <a:pt x="2263" y="1354"/>
                </a:lnTo>
                <a:lnTo>
                  <a:pt x="2255" y="1371"/>
                </a:lnTo>
                <a:lnTo>
                  <a:pt x="2241" y="1384"/>
                </a:lnTo>
                <a:lnTo>
                  <a:pt x="2224" y="1392"/>
                </a:lnTo>
                <a:lnTo>
                  <a:pt x="2204" y="1396"/>
                </a:lnTo>
                <a:lnTo>
                  <a:pt x="2045" y="1396"/>
                </a:lnTo>
                <a:lnTo>
                  <a:pt x="2045" y="1984"/>
                </a:lnTo>
                <a:lnTo>
                  <a:pt x="2042" y="2003"/>
                </a:lnTo>
                <a:lnTo>
                  <a:pt x="2034" y="2020"/>
                </a:lnTo>
                <a:lnTo>
                  <a:pt x="2020" y="2033"/>
                </a:lnTo>
                <a:lnTo>
                  <a:pt x="2003" y="2042"/>
                </a:lnTo>
                <a:lnTo>
                  <a:pt x="1984" y="2045"/>
                </a:lnTo>
                <a:lnTo>
                  <a:pt x="1640" y="2045"/>
                </a:lnTo>
                <a:lnTo>
                  <a:pt x="1640" y="2212"/>
                </a:lnTo>
                <a:lnTo>
                  <a:pt x="1638" y="2231"/>
                </a:lnTo>
                <a:lnTo>
                  <a:pt x="1629" y="2247"/>
                </a:lnTo>
                <a:lnTo>
                  <a:pt x="1616" y="2261"/>
                </a:lnTo>
                <a:lnTo>
                  <a:pt x="1599" y="2269"/>
                </a:lnTo>
                <a:lnTo>
                  <a:pt x="1579" y="2273"/>
                </a:lnTo>
                <a:lnTo>
                  <a:pt x="830" y="2273"/>
                </a:lnTo>
                <a:lnTo>
                  <a:pt x="811" y="2269"/>
                </a:lnTo>
                <a:lnTo>
                  <a:pt x="794" y="2261"/>
                </a:lnTo>
                <a:lnTo>
                  <a:pt x="780" y="2247"/>
                </a:lnTo>
                <a:lnTo>
                  <a:pt x="772" y="2231"/>
                </a:lnTo>
                <a:lnTo>
                  <a:pt x="769" y="2212"/>
                </a:lnTo>
                <a:lnTo>
                  <a:pt x="769" y="1953"/>
                </a:lnTo>
                <a:lnTo>
                  <a:pt x="707" y="1918"/>
                </a:lnTo>
                <a:lnTo>
                  <a:pt x="647" y="1879"/>
                </a:lnTo>
                <a:lnTo>
                  <a:pt x="592" y="1837"/>
                </a:lnTo>
                <a:lnTo>
                  <a:pt x="541" y="1790"/>
                </a:lnTo>
                <a:lnTo>
                  <a:pt x="493" y="1739"/>
                </a:lnTo>
                <a:lnTo>
                  <a:pt x="450" y="1685"/>
                </a:lnTo>
                <a:lnTo>
                  <a:pt x="411" y="1628"/>
                </a:lnTo>
                <a:lnTo>
                  <a:pt x="376" y="1567"/>
                </a:lnTo>
                <a:lnTo>
                  <a:pt x="347" y="1505"/>
                </a:lnTo>
                <a:lnTo>
                  <a:pt x="323" y="1439"/>
                </a:lnTo>
                <a:lnTo>
                  <a:pt x="303" y="1372"/>
                </a:lnTo>
                <a:lnTo>
                  <a:pt x="289" y="1304"/>
                </a:lnTo>
                <a:lnTo>
                  <a:pt x="281" y="1233"/>
                </a:lnTo>
                <a:lnTo>
                  <a:pt x="278" y="1162"/>
                </a:lnTo>
                <a:lnTo>
                  <a:pt x="281" y="1098"/>
                </a:lnTo>
                <a:lnTo>
                  <a:pt x="288" y="1037"/>
                </a:lnTo>
                <a:lnTo>
                  <a:pt x="243" y="1009"/>
                </a:lnTo>
                <a:lnTo>
                  <a:pt x="200" y="977"/>
                </a:lnTo>
                <a:lnTo>
                  <a:pt x="161" y="942"/>
                </a:lnTo>
                <a:lnTo>
                  <a:pt x="125" y="903"/>
                </a:lnTo>
                <a:lnTo>
                  <a:pt x="93" y="860"/>
                </a:lnTo>
                <a:lnTo>
                  <a:pt x="66" y="814"/>
                </a:lnTo>
                <a:lnTo>
                  <a:pt x="43" y="767"/>
                </a:lnTo>
                <a:lnTo>
                  <a:pt x="25" y="716"/>
                </a:lnTo>
                <a:lnTo>
                  <a:pt x="11" y="663"/>
                </a:lnTo>
                <a:lnTo>
                  <a:pt x="3" y="608"/>
                </a:lnTo>
                <a:lnTo>
                  <a:pt x="0" y="552"/>
                </a:lnTo>
                <a:lnTo>
                  <a:pt x="3" y="492"/>
                </a:lnTo>
                <a:lnTo>
                  <a:pt x="12" y="435"/>
                </a:lnTo>
                <a:lnTo>
                  <a:pt x="28" y="378"/>
                </a:lnTo>
                <a:lnTo>
                  <a:pt x="49" y="324"/>
                </a:lnTo>
                <a:lnTo>
                  <a:pt x="76" y="274"/>
                </a:lnTo>
                <a:lnTo>
                  <a:pt x="107" y="226"/>
                </a:lnTo>
                <a:lnTo>
                  <a:pt x="143" y="183"/>
                </a:lnTo>
                <a:lnTo>
                  <a:pt x="183" y="143"/>
                </a:lnTo>
                <a:lnTo>
                  <a:pt x="226" y="107"/>
                </a:lnTo>
                <a:lnTo>
                  <a:pt x="273" y="76"/>
                </a:lnTo>
                <a:lnTo>
                  <a:pt x="324" y="50"/>
                </a:lnTo>
                <a:lnTo>
                  <a:pt x="377" y="28"/>
                </a:lnTo>
                <a:lnTo>
                  <a:pt x="434" y="13"/>
                </a:lnTo>
                <a:lnTo>
                  <a:pt x="492" y="3"/>
                </a:lnTo>
                <a:lnTo>
                  <a:pt x="552" y="0"/>
                </a:lnTo>
                <a:close/>
              </a:path>
            </a:pathLst>
          </a:custGeom>
          <a:solidFill xmlns:a="http://schemas.openxmlformats.org/drawingml/2006/main">
            <a:srgbClr val="BD9B08"/>
          </a:solidFill>
          <a:ln xmlns:a="http://schemas.openxmlformats.org/drawingml/2006/main">
            <a:noFill/>
          </a:ln>
          <a:effectLst xmlns:a="http://schemas.openxmlformats.org/drawingml/2006/main"/>
          <a:extLst xmlns:a="http://schemas.openxmlformats.org/drawingml/2006/main"/>
        </cdr:spPr>
        <cdr:txBody>
          <a:bodyPr xmlns:a="http://schemas.openxmlformats.org/drawingml/2006/main" vert="horz" wrap="square" lIns="91440" tIns="45720" rIns="91440" bIns="45720" numCol="1" anchor="t" anchorCtr="0" compatLnSpc="1">
            <a:prstTxWarp prst="textNoShape">
              <a:avLst/>
            </a:prstTxWarp>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endParaRPr lang="en-GB"/>
          </a:p>
        </cdr:txBody>
      </cdr:sp>
    </cdr:grpSp>
  </cdr:relSizeAnchor>
  <cdr:relSizeAnchor xmlns:cdr="http://schemas.openxmlformats.org/drawingml/2006/chartDrawing">
    <cdr:from>
      <cdr:x>0.00429</cdr:x>
      <cdr:y>0.95605</cdr:y>
    </cdr:from>
    <cdr:to>
      <cdr:x>0.37292</cdr:x>
      <cdr:y>1</cdr:y>
    </cdr:to>
    <cdr:sp macro="" textlink="">
      <cdr:nvSpPr>
        <cdr:cNvPr id="6" name="Content Placeholder 5">
          <a:extLst xmlns:a="http://schemas.openxmlformats.org/drawingml/2006/main">
            <a:ext uri="{FF2B5EF4-FFF2-40B4-BE49-F238E27FC236}">
              <a16:creationId xmlns:a16="http://schemas.microsoft.com/office/drawing/2014/main" id="{18AEF180-9BBD-480A-BC30-104456B25549}"/>
            </a:ext>
          </a:extLst>
        </cdr:cNvPr>
        <cdr:cNvSpPr txBox="1">
          <a:spLocks xmlns:a="http://schemas.openxmlformats.org/drawingml/2006/main"/>
        </cdr:cNvSpPr>
      </cdr:nvSpPr>
      <cdr:spPr>
        <a:xfrm xmlns:a="http://schemas.openxmlformats.org/drawingml/2006/main">
          <a:off x="25462" y="4316412"/>
          <a:ext cx="2190068" cy="198438"/>
        </a:xfrm>
        <a:prstGeom xmlns:a="http://schemas.openxmlformats.org/drawingml/2006/main" prst="rect">
          <a:avLst/>
        </a:prstGeom>
      </cdr:spPr>
      <cdr:txBody>
        <a:bodyPr xmlns:a="http://schemas.openxmlformats.org/drawingml/2006/main" vert="horz"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717171"/>
              </a:solidFill>
            </a:rPr>
            <a:t>Bāze: visi uzņēmumi, n=304</a:t>
          </a:r>
          <a:endParaRPr lang="en-US" sz="1100" dirty="0">
            <a:solidFill>
              <a:srgbClr val="717171"/>
            </a:solidFill>
          </a:endParaRPr>
        </a:p>
      </cdr:txBody>
    </cdr:sp>
  </cdr:relSizeAnchor>
</c:userShapes>
</file>

<file path=word/drawings/drawing10.xml><?xml version="1.0" encoding="utf-8"?>
<c:userShapes xmlns:c="http://schemas.openxmlformats.org/drawingml/2006/chart">
  <cdr:relSizeAnchor xmlns:cdr="http://schemas.openxmlformats.org/drawingml/2006/chartDrawing">
    <cdr:from>
      <cdr:x>0.00497</cdr:x>
      <cdr:y>0.12469</cdr:y>
    </cdr:from>
    <cdr:to>
      <cdr:x>0.32566</cdr:x>
      <cdr:y>0.92475</cdr:y>
    </cdr:to>
    <cdr:sp macro="" textlink="">
      <cdr:nvSpPr>
        <cdr:cNvPr id="2" name="Rectangle 1">
          <a:extLst xmlns:a="http://schemas.openxmlformats.org/drawingml/2006/main">
            <a:ext uri="{FF2B5EF4-FFF2-40B4-BE49-F238E27FC236}">
              <a16:creationId xmlns:a16="http://schemas.microsoft.com/office/drawing/2014/main" id="{3D3E7703-2D8B-4D88-AC2F-02B4AC744E2F}"/>
            </a:ext>
          </a:extLst>
        </cdr:cNvPr>
        <cdr:cNvSpPr/>
      </cdr:nvSpPr>
      <cdr:spPr>
        <a:xfrm xmlns:a="http://schemas.openxmlformats.org/drawingml/2006/main">
          <a:off x="18347" y="510363"/>
          <a:ext cx="1183134" cy="3274828"/>
        </a:xfrm>
        <a:prstGeom xmlns:a="http://schemas.openxmlformats.org/drawingml/2006/main" prst="rect">
          <a:avLst/>
        </a:prstGeom>
        <a:noFill xmlns:a="http://schemas.openxmlformats.org/drawingml/2006/main"/>
        <a:ln xmlns:a="http://schemas.openxmlformats.org/drawingml/2006/main">
          <a:solidFill>
            <a:srgbClr val="BD9B08"/>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lv-LV" sz="1600" dirty="0"/>
        </a:p>
      </cdr:txBody>
    </cdr:sp>
  </cdr:relSizeAnchor>
</c:userShapes>
</file>

<file path=word/drawings/drawing11.xml><?xml version="1.0" encoding="utf-8"?>
<c:userShapes xmlns:c="http://schemas.openxmlformats.org/drawingml/2006/chart">
  <cdr:relSizeAnchor xmlns:cdr="http://schemas.openxmlformats.org/drawingml/2006/chartDrawing">
    <cdr:from>
      <cdr:x>0.00452</cdr:x>
      <cdr:y>0.67939</cdr:y>
    </cdr:from>
    <cdr:to>
      <cdr:x>0.15391</cdr:x>
      <cdr:y>0.84574</cdr:y>
    </cdr:to>
    <cdr:sp macro="" textlink="">
      <cdr:nvSpPr>
        <cdr:cNvPr id="2" name="Rectangle 1">
          <a:extLst xmlns:a="http://schemas.openxmlformats.org/drawingml/2006/main">
            <a:ext uri="{FF2B5EF4-FFF2-40B4-BE49-F238E27FC236}">
              <a16:creationId xmlns:a16="http://schemas.microsoft.com/office/drawing/2014/main" id="{4C7E0B84-F20E-4705-9956-21EEF45E2707}"/>
            </a:ext>
          </a:extLst>
        </cdr:cNvPr>
        <cdr:cNvSpPr/>
      </cdr:nvSpPr>
      <cdr:spPr>
        <a:xfrm xmlns:a="http://schemas.openxmlformats.org/drawingml/2006/main">
          <a:off x="26843" y="1641961"/>
          <a:ext cx="887557" cy="402033"/>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050" dirty="0">
              <a:solidFill>
                <a:srgbClr val="717171"/>
              </a:solidFill>
              <a:latin typeface="Arial" panose="020B0604020202020204" pitchFamily="34" charset="0"/>
            </a:rPr>
            <a:t>Būvvalde, BVKB</a:t>
          </a:r>
        </a:p>
      </cdr:txBody>
    </cdr:sp>
  </cdr:relSizeAnchor>
  <cdr:relSizeAnchor xmlns:cdr="http://schemas.openxmlformats.org/drawingml/2006/chartDrawing">
    <cdr:from>
      <cdr:x>0.00464</cdr:x>
      <cdr:y>0.32078</cdr:y>
    </cdr:from>
    <cdr:to>
      <cdr:x>0.15162</cdr:x>
      <cdr:y>0.42306</cdr:y>
    </cdr:to>
    <cdr:sp macro="" textlink="">
      <cdr:nvSpPr>
        <cdr:cNvPr id="3" name="Rectangle 2">
          <a:extLst xmlns:a="http://schemas.openxmlformats.org/drawingml/2006/main">
            <a:ext uri="{FF2B5EF4-FFF2-40B4-BE49-F238E27FC236}">
              <a16:creationId xmlns:a16="http://schemas.microsoft.com/office/drawing/2014/main" id="{B2311C1F-719B-4E21-8C72-B7F4194B699E}"/>
            </a:ext>
          </a:extLst>
        </cdr:cNvPr>
        <cdr:cNvSpPr/>
      </cdr:nvSpPr>
      <cdr:spPr>
        <a:xfrm xmlns:a="http://schemas.openxmlformats.org/drawingml/2006/main">
          <a:off x="27560" y="775269"/>
          <a:ext cx="873252" cy="247184"/>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050" dirty="0">
              <a:solidFill>
                <a:srgbClr val="717171"/>
              </a:solidFill>
              <a:latin typeface="Arial" panose="020B0604020202020204" pitchFamily="34" charset="0"/>
            </a:rPr>
            <a:t>Uzraudzība</a:t>
          </a:r>
        </a:p>
      </cdr:txBody>
    </cdr:sp>
  </cdr:relSizeAnchor>
  <cdr:relSizeAnchor xmlns:cdr="http://schemas.openxmlformats.org/drawingml/2006/chartDrawing">
    <cdr:from>
      <cdr:x>0</cdr:x>
      <cdr:y>0.17873</cdr:y>
    </cdr:from>
    <cdr:to>
      <cdr:x>1</cdr:x>
      <cdr:y>0.99671</cdr:y>
    </cdr:to>
    <cdr:pic>
      <cdr:nvPicPr>
        <cdr:cNvPr id="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431957"/>
          <a:ext cx="5941060" cy="1976902"/>
        </a:xfrm>
        <a:prstGeom xmlns:a="http://schemas.openxmlformats.org/drawingml/2006/main" prst="rect">
          <a:avLst/>
        </a:prstGeom>
      </cdr:spPr>
    </cdr:pic>
  </cdr:relSizeAnchor>
  <cdr:relSizeAnchor xmlns:cdr="http://schemas.openxmlformats.org/drawingml/2006/chartDrawing">
    <cdr:from>
      <cdr:x>0.35362</cdr:x>
      <cdr:y>0.76891</cdr:y>
    </cdr:from>
    <cdr:to>
      <cdr:x>0.43813</cdr:x>
      <cdr:y>0.87715</cdr:y>
    </cdr:to>
    <cdr:sp macro="" textlink="">
      <cdr:nvSpPr>
        <cdr:cNvPr id="5" name="Rectangle 4">
          <a:extLst xmlns:a="http://schemas.openxmlformats.org/drawingml/2006/main">
            <a:ext uri="{FF2B5EF4-FFF2-40B4-BE49-F238E27FC236}">
              <a16:creationId xmlns:a16="http://schemas.microsoft.com/office/drawing/2014/main" id="{8588165B-1979-47C4-A505-0B0CE9EC4161}"/>
            </a:ext>
          </a:extLst>
        </cdr:cNvPr>
        <cdr:cNvSpPr/>
      </cdr:nvSpPr>
      <cdr:spPr>
        <a:xfrm xmlns:a="http://schemas.openxmlformats.org/drawingml/2006/main">
          <a:off x="2100878" y="1858309"/>
          <a:ext cx="502079" cy="261596"/>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n=10</a:t>
          </a:r>
        </a:p>
      </cdr:txBody>
    </cdr:sp>
  </cdr:relSizeAnchor>
  <cdr:relSizeAnchor xmlns:cdr="http://schemas.openxmlformats.org/drawingml/2006/chartDrawing">
    <cdr:from>
      <cdr:x>0.35362</cdr:x>
      <cdr:y>0.86432</cdr:y>
    </cdr:from>
    <cdr:to>
      <cdr:x>0.42491</cdr:x>
      <cdr:y>0.97256</cdr:y>
    </cdr:to>
    <cdr:sp macro="" textlink="">
      <cdr:nvSpPr>
        <cdr:cNvPr id="6" name="Rectangle 5">
          <a:extLst xmlns:a="http://schemas.openxmlformats.org/drawingml/2006/main">
            <a:ext uri="{FF2B5EF4-FFF2-40B4-BE49-F238E27FC236}">
              <a16:creationId xmlns:a16="http://schemas.microsoft.com/office/drawing/2014/main" id="{A3B78587-4413-4D24-AAEF-0CDD1393E29B}"/>
            </a:ext>
          </a:extLst>
        </cdr:cNvPr>
        <cdr:cNvSpPr/>
      </cdr:nvSpPr>
      <cdr:spPr>
        <a:xfrm xmlns:a="http://schemas.openxmlformats.org/drawingml/2006/main">
          <a:off x="2100878" y="2088897"/>
          <a:ext cx="423539" cy="261596"/>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a:t>
          </a:r>
        </a:p>
      </cdr:txBody>
    </cdr:sp>
  </cdr:relSizeAnchor>
  <cdr:relSizeAnchor xmlns:cdr="http://schemas.openxmlformats.org/drawingml/2006/chartDrawing">
    <cdr:from>
      <cdr:x>0.35362</cdr:x>
      <cdr:y>0.6735</cdr:y>
    </cdr:from>
    <cdr:to>
      <cdr:x>0.43813</cdr:x>
      <cdr:y>0.78174</cdr:y>
    </cdr:to>
    <cdr:sp macro="" textlink="">
      <cdr:nvSpPr>
        <cdr:cNvPr id="7" name="Rectangle 6">
          <a:extLst xmlns:a="http://schemas.openxmlformats.org/drawingml/2006/main">
            <a:ext uri="{FF2B5EF4-FFF2-40B4-BE49-F238E27FC236}">
              <a16:creationId xmlns:a16="http://schemas.microsoft.com/office/drawing/2014/main" id="{39177545-F4A0-4E4B-9CB8-E2EE9DC0A141}"/>
            </a:ext>
          </a:extLst>
        </cdr:cNvPr>
        <cdr:cNvSpPr/>
      </cdr:nvSpPr>
      <cdr:spPr>
        <a:xfrm xmlns:a="http://schemas.openxmlformats.org/drawingml/2006/main">
          <a:off x="2100878" y="1627722"/>
          <a:ext cx="502079" cy="261595"/>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n=11</a:t>
          </a:r>
        </a:p>
      </cdr:txBody>
    </cdr:sp>
  </cdr:relSizeAnchor>
  <cdr:relSizeAnchor xmlns:cdr="http://schemas.openxmlformats.org/drawingml/2006/chartDrawing">
    <cdr:from>
      <cdr:x>0.35362</cdr:x>
      <cdr:y>0.57809</cdr:y>
    </cdr:from>
    <cdr:to>
      <cdr:x>0.43813</cdr:x>
      <cdr:y>0.68633</cdr:y>
    </cdr:to>
    <cdr:sp macro="" textlink="">
      <cdr:nvSpPr>
        <cdr:cNvPr id="8" name="Rectangle 7">
          <a:extLst xmlns:a="http://schemas.openxmlformats.org/drawingml/2006/main">
            <a:ext uri="{FF2B5EF4-FFF2-40B4-BE49-F238E27FC236}">
              <a16:creationId xmlns:a16="http://schemas.microsoft.com/office/drawing/2014/main" id="{C7FFA45A-AD5D-43B7-9E23-F725787AA268}"/>
            </a:ext>
          </a:extLst>
        </cdr:cNvPr>
        <cdr:cNvSpPr/>
      </cdr:nvSpPr>
      <cdr:spPr>
        <a:xfrm xmlns:a="http://schemas.openxmlformats.org/drawingml/2006/main">
          <a:off x="2100878" y="1397134"/>
          <a:ext cx="502079" cy="261595"/>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n=31</a:t>
          </a:r>
        </a:p>
      </cdr:txBody>
    </cdr:sp>
  </cdr:relSizeAnchor>
  <cdr:relSizeAnchor xmlns:cdr="http://schemas.openxmlformats.org/drawingml/2006/chartDrawing">
    <cdr:from>
      <cdr:x>0.35362</cdr:x>
      <cdr:y>0.48268</cdr:y>
    </cdr:from>
    <cdr:to>
      <cdr:x>0.43813</cdr:x>
      <cdr:y>0.59092</cdr:y>
    </cdr:to>
    <cdr:sp macro="" textlink="">
      <cdr:nvSpPr>
        <cdr:cNvPr id="9" name="Rectangle 8">
          <a:extLst xmlns:a="http://schemas.openxmlformats.org/drawingml/2006/main">
            <a:ext uri="{FF2B5EF4-FFF2-40B4-BE49-F238E27FC236}">
              <a16:creationId xmlns:a16="http://schemas.microsoft.com/office/drawing/2014/main" id="{CD3EFD2B-5E8D-4023-A638-2CB358A783CD}"/>
            </a:ext>
          </a:extLst>
        </cdr:cNvPr>
        <cdr:cNvSpPr/>
      </cdr:nvSpPr>
      <cdr:spPr>
        <a:xfrm xmlns:a="http://schemas.openxmlformats.org/drawingml/2006/main">
          <a:off x="2100878" y="1166546"/>
          <a:ext cx="502079" cy="261595"/>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n=31</a:t>
          </a:r>
        </a:p>
      </cdr:txBody>
    </cdr:sp>
  </cdr:relSizeAnchor>
  <cdr:relSizeAnchor xmlns:cdr="http://schemas.openxmlformats.org/drawingml/2006/chartDrawing">
    <cdr:from>
      <cdr:x>0.35362</cdr:x>
      <cdr:y>0.38727</cdr:y>
    </cdr:from>
    <cdr:to>
      <cdr:x>0.43813</cdr:x>
      <cdr:y>0.49551</cdr:y>
    </cdr:to>
    <cdr:sp macro="" textlink="">
      <cdr:nvSpPr>
        <cdr:cNvPr id="10" name="Rectangle 9">
          <a:extLst xmlns:a="http://schemas.openxmlformats.org/drawingml/2006/main">
            <a:ext uri="{FF2B5EF4-FFF2-40B4-BE49-F238E27FC236}">
              <a16:creationId xmlns:a16="http://schemas.microsoft.com/office/drawing/2014/main" id="{BA591879-2B51-4B09-B6E3-1701A22D8F87}"/>
            </a:ext>
          </a:extLst>
        </cdr:cNvPr>
        <cdr:cNvSpPr/>
      </cdr:nvSpPr>
      <cdr:spPr>
        <a:xfrm xmlns:a="http://schemas.openxmlformats.org/drawingml/2006/main">
          <a:off x="2100878" y="935958"/>
          <a:ext cx="502079" cy="261596"/>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n=18</a:t>
          </a:r>
        </a:p>
      </cdr:txBody>
    </cdr:sp>
  </cdr:relSizeAnchor>
  <cdr:relSizeAnchor xmlns:cdr="http://schemas.openxmlformats.org/drawingml/2006/chartDrawing">
    <cdr:from>
      <cdr:x>0.35362</cdr:x>
      <cdr:y>0.29186</cdr:y>
    </cdr:from>
    <cdr:to>
      <cdr:x>0.43813</cdr:x>
      <cdr:y>0.4001</cdr:y>
    </cdr:to>
    <cdr:sp macro="" textlink="">
      <cdr:nvSpPr>
        <cdr:cNvPr id="11" name="Rectangle 10">
          <a:extLst xmlns:a="http://schemas.openxmlformats.org/drawingml/2006/main">
            <a:ext uri="{FF2B5EF4-FFF2-40B4-BE49-F238E27FC236}">
              <a16:creationId xmlns:a16="http://schemas.microsoft.com/office/drawing/2014/main" id="{2BE84A0B-0643-456B-9B4C-7FF6E060B966}"/>
            </a:ext>
          </a:extLst>
        </cdr:cNvPr>
        <cdr:cNvSpPr/>
      </cdr:nvSpPr>
      <cdr:spPr>
        <a:xfrm xmlns:a="http://schemas.openxmlformats.org/drawingml/2006/main">
          <a:off x="2100878" y="705370"/>
          <a:ext cx="502079" cy="261596"/>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n=33</a:t>
          </a:r>
        </a:p>
      </cdr:txBody>
    </cdr:sp>
  </cdr:relSizeAnchor>
  <cdr:relSizeAnchor xmlns:cdr="http://schemas.openxmlformats.org/drawingml/2006/chartDrawing">
    <cdr:from>
      <cdr:x>0.35362</cdr:x>
      <cdr:y>0.19645</cdr:y>
    </cdr:from>
    <cdr:to>
      <cdr:x>0.43813</cdr:x>
      <cdr:y>0.30469</cdr:y>
    </cdr:to>
    <cdr:sp macro="" textlink="">
      <cdr:nvSpPr>
        <cdr:cNvPr id="12" name="Rectangle 11">
          <a:extLst xmlns:a="http://schemas.openxmlformats.org/drawingml/2006/main">
            <a:ext uri="{FF2B5EF4-FFF2-40B4-BE49-F238E27FC236}">
              <a16:creationId xmlns:a16="http://schemas.microsoft.com/office/drawing/2014/main" id="{DEFA6061-1F29-4AB3-9F7A-176B5B1C91DF}"/>
            </a:ext>
          </a:extLst>
        </cdr:cNvPr>
        <cdr:cNvSpPr/>
      </cdr:nvSpPr>
      <cdr:spPr>
        <a:xfrm xmlns:a="http://schemas.openxmlformats.org/drawingml/2006/main">
          <a:off x="2100878" y="474782"/>
          <a:ext cx="502079" cy="261596"/>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n=11</a:t>
          </a:r>
        </a:p>
      </cdr:txBody>
    </cdr:sp>
  </cdr:relSizeAnchor>
  <cdr:relSizeAnchor xmlns:cdr="http://schemas.openxmlformats.org/drawingml/2006/chartDrawing">
    <cdr:from>
      <cdr:x>0.42828</cdr:x>
      <cdr:y>0.01316</cdr:y>
    </cdr:from>
    <cdr:to>
      <cdr:x>0.886</cdr:x>
      <cdr:y>0.14147</cdr:y>
    </cdr:to>
    <cdr:sp macro="" textlink="">
      <cdr:nvSpPr>
        <cdr:cNvPr id="13" name="TextBox 9">
          <a:extLst xmlns:a="http://schemas.openxmlformats.org/drawingml/2006/main">
            <a:ext uri="{FF2B5EF4-FFF2-40B4-BE49-F238E27FC236}">
              <a16:creationId xmlns:a16="http://schemas.microsoft.com/office/drawing/2014/main" id="{159952CE-166F-4103-AD19-DFDD1E62EDAE}"/>
            </a:ext>
          </a:extLst>
        </cdr:cNvPr>
        <cdr:cNvSpPr txBox="1"/>
      </cdr:nvSpPr>
      <cdr:spPr>
        <a:xfrm xmlns:a="http://schemas.openxmlformats.org/drawingml/2006/main">
          <a:off x="2544442" y="31805"/>
          <a:ext cx="2719342" cy="310101"/>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200" b="1" dirty="0">
              <a:solidFill>
                <a:srgbClr val="BD9B08"/>
              </a:solidFill>
            </a:rPr>
            <a:t>Uzraudzības pakalpojumu grupu kvalitātes vērtējums</a:t>
          </a:r>
        </a:p>
      </cdr:txBody>
    </cdr:sp>
  </cdr:relSizeAnchor>
  <cdr:relSizeAnchor xmlns:cdr="http://schemas.openxmlformats.org/drawingml/2006/chartDrawing">
    <cdr:from>
      <cdr:x>0.70878</cdr:x>
      <cdr:y>0.12734</cdr:y>
    </cdr:from>
    <cdr:to>
      <cdr:x>0.76859</cdr:x>
      <cdr:y>0.20465</cdr:y>
    </cdr:to>
    <cdr:sp macro="" textlink="">
      <cdr:nvSpPr>
        <cdr:cNvPr id="14" name="TextBox 10">
          <a:extLst xmlns:a="http://schemas.openxmlformats.org/drawingml/2006/main"/>
        </cdr:cNvPr>
        <cdr:cNvSpPr txBox="1"/>
      </cdr:nvSpPr>
      <cdr:spPr>
        <a:xfrm xmlns:a="http://schemas.openxmlformats.org/drawingml/2006/main">
          <a:off x="4210918" y="307765"/>
          <a:ext cx="355336" cy="186834"/>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Min</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0.76551</cdr:x>
      <cdr:y>0.1287</cdr:y>
    </cdr:from>
    <cdr:to>
      <cdr:x>0.84997</cdr:x>
      <cdr:y>0.20001</cdr:y>
    </cdr:to>
    <cdr:sp macro="" textlink="">
      <cdr:nvSpPr>
        <cdr:cNvPr id="15" name="TextBox 12">
          <a:extLst xmlns:a="http://schemas.openxmlformats.org/drawingml/2006/main"/>
        </cdr:cNvPr>
        <cdr:cNvSpPr txBox="1"/>
      </cdr:nvSpPr>
      <cdr:spPr>
        <a:xfrm xmlns:a="http://schemas.openxmlformats.org/drawingml/2006/main">
          <a:off x="4547953" y="311035"/>
          <a:ext cx="501794" cy="17234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Max</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0.71822</cdr:x>
      <cdr:y>0.21161</cdr:y>
    </cdr:from>
    <cdr:to>
      <cdr:x>0.74611</cdr:x>
      <cdr:y>0.28761</cdr:y>
    </cdr:to>
    <cdr:sp macro="" textlink="">
      <cdr:nvSpPr>
        <cdr:cNvPr id="16" name="TextBox 10">
          <a:extLst xmlns:a="http://schemas.openxmlformats.org/drawingml/2006/main"/>
        </cdr:cNvPr>
        <cdr:cNvSpPr txBox="1"/>
      </cdr:nvSpPr>
      <cdr:spPr>
        <a:xfrm xmlns:a="http://schemas.openxmlformats.org/drawingml/2006/main">
          <a:off x="4267016" y="51142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3</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0.77495</cdr:x>
      <cdr:y>0.20697</cdr:y>
    </cdr:from>
    <cdr:to>
      <cdr:x>0.8141</cdr:x>
      <cdr:y>0.26036</cdr:y>
    </cdr:to>
    <cdr:sp macro="" textlink="">
      <cdr:nvSpPr>
        <cdr:cNvPr id="17" name="TextBox 12">
          <a:extLst xmlns:a="http://schemas.openxmlformats.org/drawingml/2006/main"/>
        </cdr:cNvPr>
        <cdr:cNvSpPr txBox="1"/>
      </cdr:nvSpPr>
      <cdr:spPr>
        <a:xfrm xmlns:a="http://schemas.openxmlformats.org/drawingml/2006/main">
          <a:off x="4604051" y="50020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0.71917</cdr:x>
      <cdr:y>0.29053</cdr:y>
    </cdr:from>
    <cdr:to>
      <cdr:x>0.74706</cdr:x>
      <cdr:y>0.36653</cdr:y>
    </cdr:to>
    <cdr:sp macro="" textlink="">
      <cdr:nvSpPr>
        <cdr:cNvPr id="18" name="TextBox 10">
          <a:extLst xmlns:a="http://schemas.openxmlformats.org/drawingml/2006/main"/>
        </cdr:cNvPr>
        <cdr:cNvSpPr txBox="1"/>
      </cdr:nvSpPr>
      <cdr:spPr>
        <a:xfrm xmlns:a="http://schemas.openxmlformats.org/drawingml/2006/main">
          <a:off x="4272625" y="702163"/>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0.7759</cdr:x>
      <cdr:y>0.28589</cdr:y>
    </cdr:from>
    <cdr:to>
      <cdr:x>0.81504</cdr:x>
      <cdr:y>0.33928</cdr:y>
    </cdr:to>
    <cdr:sp macro="" textlink="">
      <cdr:nvSpPr>
        <cdr:cNvPr id="19" name="TextBox 12">
          <a:extLst xmlns:a="http://schemas.openxmlformats.org/drawingml/2006/main"/>
        </cdr:cNvPr>
        <cdr:cNvSpPr txBox="1"/>
      </cdr:nvSpPr>
      <cdr:spPr>
        <a:xfrm xmlns:a="http://schemas.openxmlformats.org/drawingml/2006/main">
          <a:off x="4609660" y="690943"/>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0.71822</cdr:x>
      <cdr:y>0.40195</cdr:y>
    </cdr:from>
    <cdr:to>
      <cdr:x>0.74611</cdr:x>
      <cdr:y>0.47795</cdr:y>
    </cdr:to>
    <cdr:sp macro="" textlink="">
      <cdr:nvSpPr>
        <cdr:cNvPr id="20" name="TextBox 10">
          <a:extLst xmlns:a="http://schemas.openxmlformats.org/drawingml/2006/main"/>
        </cdr:cNvPr>
        <cdr:cNvSpPr txBox="1"/>
      </cdr:nvSpPr>
      <cdr:spPr>
        <a:xfrm xmlns:a="http://schemas.openxmlformats.org/drawingml/2006/main">
          <a:off x="4267016" y="971434"/>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3</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0.77495</cdr:x>
      <cdr:y>0.39731</cdr:y>
    </cdr:from>
    <cdr:to>
      <cdr:x>0.8141</cdr:x>
      <cdr:y>0.45069</cdr:y>
    </cdr:to>
    <cdr:sp macro="" textlink="">
      <cdr:nvSpPr>
        <cdr:cNvPr id="21" name="TextBox 12">
          <a:extLst xmlns:a="http://schemas.openxmlformats.org/drawingml/2006/main"/>
        </cdr:cNvPr>
        <cdr:cNvSpPr txBox="1"/>
      </cdr:nvSpPr>
      <cdr:spPr>
        <a:xfrm xmlns:a="http://schemas.openxmlformats.org/drawingml/2006/main">
          <a:off x="4604051" y="960214"/>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0.71917</cdr:x>
      <cdr:y>0.48087</cdr:y>
    </cdr:from>
    <cdr:to>
      <cdr:x>0.74706</cdr:x>
      <cdr:y>0.55687</cdr:y>
    </cdr:to>
    <cdr:sp macro="" textlink="">
      <cdr:nvSpPr>
        <cdr:cNvPr id="22" name="TextBox 10">
          <a:extLst xmlns:a="http://schemas.openxmlformats.org/drawingml/2006/main"/>
        </cdr:cNvPr>
        <cdr:cNvSpPr txBox="1"/>
      </cdr:nvSpPr>
      <cdr:spPr>
        <a:xfrm xmlns:a="http://schemas.openxmlformats.org/drawingml/2006/main">
          <a:off x="4272625" y="1162168"/>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0.7759</cdr:x>
      <cdr:y>0.47623</cdr:y>
    </cdr:from>
    <cdr:to>
      <cdr:x>0.81504</cdr:x>
      <cdr:y>0.52961</cdr:y>
    </cdr:to>
    <cdr:sp macro="" textlink="">
      <cdr:nvSpPr>
        <cdr:cNvPr id="23" name="TextBox 12">
          <a:extLst xmlns:a="http://schemas.openxmlformats.org/drawingml/2006/main"/>
        </cdr:cNvPr>
        <cdr:cNvSpPr txBox="1"/>
      </cdr:nvSpPr>
      <cdr:spPr>
        <a:xfrm xmlns:a="http://schemas.openxmlformats.org/drawingml/2006/main">
          <a:off x="4609660" y="1150948"/>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0.71822</cdr:x>
      <cdr:y>0.60621</cdr:y>
    </cdr:from>
    <cdr:to>
      <cdr:x>0.74611</cdr:x>
      <cdr:y>0.68221</cdr:y>
    </cdr:to>
    <cdr:sp macro="" textlink="">
      <cdr:nvSpPr>
        <cdr:cNvPr id="24" name="TextBox 10">
          <a:extLst xmlns:a="http://schemas.openxmlformats.org/drawingml/2006/main"/>
        </cdr:cNvPr>
        <cdr:cNvSpPr txBox="1"/>
      </cdr:nvSpPr>
      <cdr:spPr>
        <a:xfrm xmlns:a="http://schemas.openxmlformats.org/drawingml/2006/main">
          <a:off x="4267016" y="1465098"/>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0.77495</cdr:x>
      <cdr:y>0.60157</cdr:y>
    </cdr:from>
    <cdr:to>
      <cdr:x>0.8141</cdr:x>
      <cdr:y>0.65496</cdr:y>
    </cdr:to>
    <cdr:sp macro="" textlink="">
      <cdr:nvSpPr>
        <cdr:cNvPr id="25" name="TextBox 12">
          <a:extLst xmlns:a="http://schemas.openxmlformats.org/drawingml/2006/main"/>
        </cdr:cNvPr>
        <cdr:cNvSpPr txBox="1"/>
      </cdr:nvSpPr>
      <cdr:spPr>
        <a:xfrm xmlns:a="http://schemas.openxmlformats.org/drawingml/2006/main">
          <a:off x="4604051" y="1453878"/>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0.71917</cdr:x>
      <cdr:y>0.68513</cdr:y>
    </cdr:from>
    <cdr:to>
      <cdr:x>0.74706</cdr:x>
      <cdr:y>0.76113</cdr:y>
    </cdr:to>
    <cdr:sp macro="" textlink="">
      <cdr:nvSpPr>
        <cdr:cNvPr id="26" name="TextBox 10">
          <a:extLst xmlns:a="http://schemas.openxmlformats.org/drawingml/2006/main"/>
        </cdr:cNvPr>
        <cdr:cNvSpPr txBox="1"/>
      </cdr:nvSpPr>
      <cdr:spPr>
        <a:xfrm xmlns:a="http://schemas.openxmlformats.org/drawingml/2006/main">
          <a:off x="4272625" y="1655832"/>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0.7759</cdr:x>
      <cdr:y>0.68049</cdr:y>
    </cdr:from>
    <cdr:to>
      <cdr:x>0.81504</cdr:x>
      <cdr:y>0.73388</cdr:y>
    </cdr:to>
    <cdr:sp macro="" textlink="">
      <cdr:nvSpPr>
        <cdr:cNvPr id="27" name="TextBox 12">
          <a:extLst xmlns:a="http://schemas.openxmlformats.org/drawingml/2006/main"/>
        </cdr:cNvPr>
        <cdr:cNvSpPr txBox="1"/>
      </cdr:nvSpPr>
      <cdr:spPr>
        <a:xfrm xmlns:a="http://schemas.openxmlformats.org/drawingml/2006/main">
          <a:off x="4609660" y="1644612"/>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0.71822</cdr:x>
      <cdr:y>0.80119</cdr:y>
    </cdr:from>
    <cdr:to>
      <cdr:x>0.74611</cdr:x>
      <cdr:y>0.87719</cdr:y>
    </cdr:to>
    <cdr:sp macro="" textlink="">
      <cdr:nvSpPr>
        <cdr:cNvPr id="28" name="TextBox 10">
          <a:extLst xmlns:a="http://schemas.openxmlformats.org/drawingml/2006/main"/>
        </cdr:cNvPr>
        <cdr:cNvSpPr txBox="1"/>
      </cdr:nvSpPr>
      <cdr:spPr>
        <a:xfrm xmlns:a="http://schemas.openxmlformats.org/drawingml/2006/main">
          <a:off x="4267016" y="1936323"/>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0.77495</cdr:x>
      <cdr:y>0.79655</cdr:y>
    </cdr:from>
    <cdr:to>
      <cdr:x>0.8141</cdr:x>
      <cdr:y>0.84993</cdr:y>
    </cdr:to>
    <cdr:sp macro="" textlink="">
      <cdr:nvSpPr>
        <cdr:cNvPr id="29" name="TextBox 12">
          <a:extLst xmlns:a="http://schemas.openxmlformats.org/drawingml/2006/main"/>
        </cdr:cNvPr>
        <cdr:cNvSpPr txBox="1"/>
      </cdr:nvSpPr>
      <cdr:spPr>
        <a:xfrm xmlns:a="http://schemas.openxmlformats.org/drawingml/2006/main">
          <a:off x="4604051" y="1925103"/>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0.71917</cdr:x>
      <cdr:y>0.88011</cdr:y>
    </cdr:from>
    <cdr:to>
      <cdr:x>0.74706</cdr:x>
      <cdr:y>0.95611</cdr:y>
    </cdr:to>
    <cdr:sp macro="" textlink="">
      <cdr:nvSpPr>
        <cdr:cNvPr id="30" name="TextBox 10">
          <a:extLst xmlns:a="http://schemas.openxmlformats.org/drawingml/2006/main"/>
        </cdr:cNvPr>
        <cdr:cNvSpPr txBox="1"/>
      </cdr:nvSpPr>
      <cdr:spPr>
        <a:xfrm xmlns:a="http://schemas.openxmlformats.org/drawingml/2006/main">
          <a:off x="4272625" y="2127057"/>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0.7759</cdr:x>
      <cdr:y>0.87547</cdr:y>
    </cdr:from>
    <cdr:to>
      <cdr:x>0.81504</cdr:x>
      <cdr:y>0.92885</cdr:y>
    </cdr:to>
    <cdr:sp macro="" textlink="">
      <cdr:nvSpPr>
        <cdr:cNvPr id="31" name="TextBox 12">
          <a:extLst xmlns:a="http://schemas.openxmlformats.org/drawingml/2006/main"/>
        </cdr:cNvPr>
        <cdr:cNvSpPr txBox="1"/>
      </cdr:nvSpPr>
      <cdr:spPr>
        <a:xfrm xmlns:a="http://schemas.openxmlformats.org/drawingml/2006/main">
          <a:off x="4609660" y="2115837"/>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userShapes>
</file>

<file path=word/drawings/drawing12.xml><?xml version="1.0" encoding="utf-8"?>
<c:userShapes xmlns:c="http://schemas.openxmlformats.org/drawingml/2006/chart">
  <cdr:relSizeAnchor xmlns:cdr="http://schemas.openxmlformats.org/drawingml/2006/chartDrawing">
    <cdr:from>
      <cdr:x>0.50111</cdr:x>
      <cdr:y>0.01367</cdr:y>
    </cdr:from>
    <cdr:to>
      <cdr:x>0.84652</cdr:x>
      <cdr:y>0.12146</cdr:y>
    </cdr:to>
    <cdr:sp macro="" textlink="">
      <cdr:nvSpPr>
        <cdr:cNvPr id="2" name="TextBox 9">
          <a:extLst xmlns:a="http://schemas.openxmlformats.org/drawingml/2006/main">
            <a:ext uri="{FF2B5EF4-FFF2-40B4-BE49-F238E27FC236}">
              <a16:creationId xmlns:a16="http://schemas.microsoft.com/office/drawing/2014/main" id="{159952CE-166F-4103-AD19-DFDD1E62EDAE}"/>
            </a:ext>
          </a:extLst>
        </cdr:cNvPr>
        <cdr:cNvSpPr txBox="1"/>
      </cdr:nvSpPr>
      <cdr:spPr>
        <a:xfrm xmlns:a="http://schemas.openxmlformats.org/drawingml/2006/main">
          <a:off x="2977117" y="44905"/>
          <a:ext cx="2052084" cy="354071"/>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200" b="1" dirty="0">
              <a:solidFill>
                <a:srgbClr val="BD9B08"/>
              </a:solidFill>
            </a:rPr>
            <a:t>Būvniecības kvalitātes rādītāju kopējais vērtējums</a:t>
          </a:r>
        </a:p>
      </cdr:txBody>
    </cdr:sp>
  </cdr:relSizeAnchor>
</c:userShapes>
</file>

<file path=word/drawings/drawing13.xml><?xml version="1.0" encoding="utf-8"?>
<c:userShapes xmlns:c="http://schemas.openxmlformats.org/drawingml/2006/chart">
  <cdr:relSizeAnchor xmlns:cdr="http://schemas.openxmlformats.org/drawingml/2006/chartDrawing">
    <cdr:from>
      <cdr:x>0.47941</cdr:x>
      <cdr:y>0.3975</cdr:y>
    </cdr:from>
    <cdr:to>
      <cdr:x>0.51494</cdr:x>
      <cdr:y>0.53851</cdr:y>
    </cdr:to>
    <cdr:sp macro="" textlink="">
      <cdr:nvSpPr>
        <cdr:cNvPr id="3" name="Freeform 36">
          <a:extLst xmlns:a="http://schemas.openxmlformats.org/drawingml/2006/main">
            <a:ext uri="{FF2B5EF4-FFF2-40B4-BE49-F238E27FC236}">
              <a16:creationId xmlns:a16="http://schemas.microsoft.com/office/drawing/2014/main" id="{4B5988B5-C7C4-4C92-BD87-9D5E773DAB17}"/>
            </a:ext>
          </a:extLst>
        </cdr:cNvPr>
        <cdr:cNvSpPr>
          <a:spLocks xmlns:a="http://schemas.openxmlformats.org/drawingml/2006/main" noEditPoints="1"/>
        </cdr:cNvSpPr>
      </cdr:nvSpPr>
      <cdr:spPr bwMode="auto">
        <a:xfrm xmlns:a="http://schemas.openxmlformats.org/drawingml/2006/main">
          <a:off x="2889886" y="1373393"/>
          <a:ext cx="214216" cy="487178"/>
        </a:xfrm>
        <a:custGeom xmlns:a="http://schemas.openxmlformats.org/drawingml/2006/main">
          <a:avLst/>
          <a:gdLst>
            <a:gd name="T0" fmla="*/ 176 w 1445"/>
            <a:gd name="T1" fmla="*/ 1521 h 3285"/>
            <a:gd name="T2" fmla="*/ 522 w 1445"/>
            <a:gd name="T3" fmla="*/ 2800 h 3285"/>
            <a:gd name="T4" fmla="*/ 176 w 1445"/>
            <a:gd name="T5" fmla="*/ 3109 h 3285"/>
            <a:gd name="T6" fmla="*/ 1269 w 1445"/>
            <a:gd name="T7" fmla="*/ 2915 h 3285"/>
            <a:gd name="T8" fmla="*/ 923 w 1445"/>
            <a:gd name="T9" fmla="*/ 1327 h 3285"/>
            <a:gd name="T10" fmla="*/ 0 w 1445"/>
            <a:gd name="T11" fmla="*/ 1151 h 3285"/>
            <a:gd name="T12" fmla="*/ 1099 w 1445"/>
            <a:gd name="T13" fmla="*/ 2672 h 3285"/>
            <a:gd name="T14" fmla="*/ 1445 w 1445"/>
            <a:gd name="T15" fmla="*/ 3285 h 3285"/>
            <a:gd name="T16" fmla="*/ 0 w 1445"/>
            <a:gd name="T17" fmla="*/ 2787 h 3285"/>
            <a:gd name="T18" fmla="*/ 346 w 1445"/>
            <a:gd name="T19" fmla="*/ 1764 h 3285"/>
            <a:gd name="T20" fmla="*/ 0 w 1445"/>
            <a:gd name="T21" fmla="*/ 1151 h 3285"/>
            <a:gd name="T22" fmla="*/ 627 w 1445"/>
            <a:gd name="T23" fmla="*/ 179 h 3285"/>
            <a:gd name="T24" fmla="*/ 556 w 1445"/>
            <a:gd name="T25" fmla="*/ 200 h 3285"/>
            <a:gd name="T26" fmla="*/ 496 w 1445"/>
            <a:gd name="T27" fmla="*/ 239 h 3285"/>
            <a:gd name="T28" fmla="*/ 449 w 1445"/>
            <a:gd name="T29" fmla="*/ 293 h 3285"/>
            <a:gd name="T30" fmla="*/ 418 w 1445"/>
            <a:gd name="T31" fmla="*/ 359 h 3285"/>
            <a:gd name="T32" fmla="*/ 407 w 1445"/>
            <a:gd name="T33" fmla="*/ 433 h 3285"/>
            <a:gd name="T34" fmla="*/ 418 w 1445"/>
            <a:gd name="T35" fmla="*/ 507 h 3285"/>
            <a:gd name="T36" fmla="*/ 449 w 1445"/>
            <a:gd name="T37" fmla="*/ 573 h 3285"/>
            <a:gd name="T38" fmla="*/ 496 w 1445"/>
            <a:gd name="T39" fmla="*/ 627 h 3285"/>
            <a:gd name="T40" fmla="*/ 556 w 1445"/>
            <a:gd name="T41" fmla="*/ 666 h 3285"/>
            <a:gd name="T42" fmla="*/ 627 w 1445"/>
            <a:gd name="T43" fmla="*/ 687 h 3285"/>
            <a:gd name="T44" fmla="*/ 703 w 1445"/>
            <a:gd name="T45" fmla="*/ 687 h 3285"/>
            <a:gd name="T46" fmla="*/ 773 w 1445"/>
            <a:gd name="T47" fmla="*/ 666 h 3285"/>
            <a:gd name="T48" fmla="*/ 834 w 1445"/>
            <a:gd name="T49" fmla="*/ 627 h 3285"/>
            <a:gd name="T50" fmla="*/ 881 w 1445"/>
            <a:gd name="T51" fmla="*/ 573 h 3285"/>
            <a:gd name="T52" fmla="*/ 912 w 1445"/>
            <a:gd name="T53" fmla="*/ 507 h 3285"/>
            <a:gd name="T54" fmla="*/ 923 w 1445"/>
            <a:gd name="T55" fmla="*/ 433 h 3285"/>
            <a:gd name="T56" fmla="*/ 912 w 1445"/>
            <a:gd name="T57" fmla="*/ 359 h 3285"/>
            <a:gd name="T58" fmla="*/ 881 w 1445"/>
            <a:gd name="T59" fmla="*/ 293 h 3285"/>
            <a:gd name="T60" fmla="*/ 834 w 1445"/>
            <a:gd name="T61" fmla="*/ 239 h 3285"/>
            <a:gd name="T62" fmla="*/ 773 w 1445"/>
            <a:gd name="T63" fmla="*/ 200 h 3285"/>
            <a:gd name="T64" fmla="*/ 703 w 1445"/>
            <a:gd name="T65" fmla="*/ 179 h 3285"/>
            <a:gd name="T66" fmla="*/ 664 w 1445"/>
            <a:gd name="T67" fmla="*/ 0 h 3285"/>
            <a:gd name="T68" fmla="*/ 764 w 1445"/>
            <a:gd name="T69" fmla="*/ 10 h 3285"/>
            <a:gd name="T70" fmla="*/ 856 w 1445"/>
            <a:gd name="T71" fmla="*/ 44 h 3285"/>
            <a:gd name="T72" fmla="*/ 936 w 1445"/>
            <a:gd name="T73" fmla="*/ 95 h 3285"/>
            <a:gd name="T74" fmla="*/ 1004 w 1445"/>
            <a:gd name="T75" fmla="*/ 162 h 3285"/>
            <a:gd name="T76" fmla="*/ 1055 w 1445"/>
            <a:gd name="T77" fmla="*/ 243 h 3285"/>
            <a:gd name="T78" fmla="*/ 1088 w 1445"/>
            <a:gd name="T79" fmla="*/ 334 h 3285"/>
            <a:gd name="T80" fmla="*/ 1099 w 1445"/>
            <a:gd name="T81" fmla="*/ 433 h 3285"/>
            <a:gd name="T82" fmla="*/ 1088 w 1445"/>
            <a:gd name="T83" fmla="*/ 532 h 3285"/>
            <a:gd name="T84" fmla="*/ 1055 w 1445"/>
            <a:gd name="T85" fmla="*/ 623 h 3285"/>
            <a:gd name="T86" fmla="*/ 1004 w 1445"/>
            <a:gd name="T87" fmla="*/ 704 h 3285"/>
            <a:gd name="T88" fmla="*/ 936 w 1445"/>
            <a:gd name="T89" fmla="*/ 771 h 3285"/>
            <a:gd name="T90" fmla="*/ 856 w 1445"/>
            <a:gd name="T91" fmla="*/ 822 h 3285"/>
            <a:gd name="T92" fmla="*/ 764 w 1445"/>
            <a:gd name="T93" fmla="*/ 856 h 3285"/>
            <a:gd name="T94" fmla="*/ 664 w 1445"/>
            <a:gd name="T95" fmla="*/ 867 h 3285"/>
            <a:gd name="T96" fmla="*/ 565 w 1445"/>
            <a:gd name="T97" fmla="*/ 856 h 3285"/>
            <a:gd name="T98" fmla="*/ 474 w 1445"/>
            <a:gd name="T99" fmla="*/ 822 h 3285"/>
            <a:gd name="T100" fmla="*/ 393 w 1445"/>
            <a:gd name="T101" fmla="*/ 771 h 3285"/>
            <a:gd name="T102" fmla="*/ 326 w 1445"/>
            <a:gd name="T103" fmla="*/ 704 h 3285"/>
            <a:gd name="T104" fmla="*/ 275 w 1445"/>
            <a:gd name="T105" fmla="*/ 623 h 3285"/>
            <a:gd name="T106" fmla="*/ 242 w 1445"/>
            <a:gd name="T107" fmla="*/ 532 h 3285"/>
            <a:gd name="T108" fmla="*/ 231 w 1445"/>
            <a:gd name="T109" fmla="*/ 433 h 3285"/>
            <a:gd name="T110" fmla="*/ 242 w 1445"/>
            <a:gd name="T111" fmla="*/ 334 h 3285"/>
            <a:gd name="T112" fmla="*/ 275 w 1445"/>
            <a:gd name="T113" fmla="*/ 243 h 3285"/>
            <a:gd name="T114" fmla="*/ 326 w 1445"/>
            <a:gd name="T115" fmla="*/ 162 h 3285"/>
            <a:gd name="T116" fmla="*/ 393 w 1445"/>
            <a:gd name="T117" fmla="*/ 95 h 3285"/>
            <a:gd name="T118" fmla="*/ 474 w 1445"/>
            <a:gd name="T119" fmla="*/ 44 h 3285"/>
            <a:gd name="T120" fmla="*/ 565 w 1445"/>
            <a:gd name="T121" fmla="*/ 10 h 3285"/>
            <a:gd name="T122" fmla="*/ 664 w 1445"/>
            <a:gd name="T123" fmla="*/ 0 h 328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45" h="3285">
              <a:moveTo>
                <a:pt x="176" y="1327"/>
              </a:moveTo>
              <a:lnTo>
                <a:pt x="176" y="1521"/>
              </a:lnTo>
              <a:lnTo>
                <a:pt x="522" y="1636"/>
              </a:lnTo>
              <a:lnTo>
                <a:pt x="522" y="2800"/>
              </a:lnTo>
              <a:lnTo>
                <a:pt x="176" y="2915"/>
              </a:lnTo>
              <a:lnTo>
                <a:pt x="176" y="3109"/>
              </a:lnTo>
              <a:lnTo>
                <a:pt x="1269" y="3109"/>
              </a:lnTo>
              <a:lnTo>
                <a:pt x="1269" y="2915"/>
              </a:lnTo>
              <a:lnTo>
                <a:pt x="923" y="2800"/>
              </a:lnTo>
              <a:lnTo>
                <a:pt x="923" y="1327"/>
              </a:lnTo>
              <a:lnTo>
                <a:pt x="176" y="1327"/>
              </a:lnTo>
              <a:close/>
              <a:moveTo>
                <a:pt x="0" y="1151"/>
              </a:moveTo>
              <a:lnTo>
                <a:pt x="1099" y="1151"/>
              </a:lnTo>
              <a:lnTo>
                <a:pt x="1099" y="2672"/>
              </a:lnTo>
              <a:lnTo>
                <a:pt x="1445" y="2787"/>
              </a:lnTo>
              <a:lnTo>
                <a:pt x="1445" y="3285"/>
              </a:lnTo>
              <a:lnTo>
                <a:pt x="0" y="3285"/>
              </a:lnTo>
              <a:lnTo>
                <a:pt x="0" y="2787"/>
              </a:lnTo>
              <a:lnTo>
                <a:pt x="346" y="2672"/>
              </a:lnTo>
              <a:lnTo>
                <a:pt x="346" y="1764"/>
              </a:lnTo>
              <a:lnTo>
                <a:pt x="0" y="1648"/>
              </a:lnTo>
              <a:lnTo>
                <a:pt x="0" y="1151"/>
              </a:lnTo>
              <a:close/>
              <a:moveTo>
                <a:pt x="664" y="176"/>
              </a:moveTo>
              <a:lnTo>
                <a:pt x="627" y="179"/>
              </a:lnTo>
              <a:lnTo>
                <a:pt x="590" y="186"/>
              </a:lnTo>
              <a:lnTo>
                <a:pt x="556" y="200"/>
              </a:lnTo>
              <a:lnTo>
                <a:pt x="524" y="218"/>
              </a:lnTo>
              <a:lnTo>
                <a:pt x="496" y="239"/>
              </a:lnTo>
              <a:lnTo>
                <a:pt x="471" y="264"/>
              </a:lnTo>
              <a:lnTo>
                <a:pt x="449" y="293"/>
              </a:lnTo>
              <a:lnTo>
                <a:pt x="431" y="324"/>
              </a:lnTo>
              <a:lnTo>
                <a:pt x="418" y="359"/>
              </a:lnTo>
              <a:lnTo>
                <a:pt x="410" y="395"/>
              </a:lnTo>
              <a:lnTo>
                <a:pt x="407" y="433"/>
              </a:lnTo>
              <a:lnTo>
                <a:pt x="410" y="471"/>
              </a:lnTo>
              <a:lnTo>
                <a:pt x="418" y="507"/>
              </a:lnTo>
              <a:lnTo>
                <a:pt x="431" y="541"/>
              </a:lnTo>
              <a:lnTo>
                <a:pt x="449" y="573"/>
              </a:lnTo>
              <a:lnTo>
                <a:pt x="471" y="602"/>
              </a:lnTo>
              <a:lnTo>
                <a:pt x="496" y="627"/>
              </a:lnTo>
              <a:lnTo>
                <a:pt x="524" y="649"/>
              </a:lnTo>
              <a:lnTo>
                <a:pt x="556" y="666"/>
              </a:lnTo>
              <a:lnTo>
                <a:pt x="590" y="680"/>
              </a:lnTo>
              <a:lnTo>
                <a:pt x="627" y="687"/>
              </a:lnTo>
              <a:lnTo>
                <a:pt x="664" y="690"/>
              </a:lnTo>
              <a:lnTo>
                <a:pt x="703" y="687"/>
              </a:lnTo>
              <a:lnTo>
                <a:pt x="739" y="680"/>
              </a:lnTo>
              <a:lnTo>
                <a:pt x="773" y="666"/>
              </a:lnTo>
              <a:lnTo>
                <a:pt x="805" y="649"/>
              </a:lnTo>
              <a:lnTo>
                <a:pt x="834" y="627"/>
              </a:lnTo>
              <a:lnTo>
                <a:pt x="859" y="602"/>
              </a:lnTo>
              <a:lnTo>
                <a:pt x="881" y="573"/>
              </a:lnTo>
              <a:lnTo>
                <a:pt x="899" y="541"/>
              </a:lnTo>
              <a:lnTo>
                <a:pt x="912" y="507"/>
              </a:lnTo>
              <a:lnTo>
                <a:pt x="920" y="471"/>
              </a:lnTo>
              <a:lnTo>
                <a:pt x="923" y="433"/>
              </a:lnTo>
              <a:lnTo>
                <a:pt x="920" y="395"/>
              </a:lnTo>
              <a:lnTo>
                <a:pt x="912" y="359"/>
              </a:lnTo>
              <a:lnTo>
                <a:pt x="899" y="324"/>
              </a:lnTo>
              <a:lnTo>
                <a:pt x="881" y="293"/>
              </a:lnTo>
              <a:lnTo>
                <a:pt x="859" y="264"/>
              </a:lnTo>
              <a:lnTo>
                <a:pt x="834" y="239"/>
              </a:lnTo>
              <a:lnTo>
                <a:pt x="805" y="218"/>
              </a:lnTo>
              <a:lnTo>
                <a:pt x="773" y="200"/>
              </a:lnTo>
              <a:lnTo>
                <a:pt x="739" y="186"/>
              </a:lnTo>
              <a:lnTo>
                <a:pt x="703" y="179"/>
              </a:lnTo>
              <a:lnTo>
                <a:pt x="664" y="176"/>
              </a:lnTo>
              <a:close/>
              <a:moveTo>
                <a:pt x="664" y="0"/>
              </a:moveTo>
              <a:lnTo>
                <a:pt x="716" y="2"/>
              </a:lnTo>
              <a:lnTo>
                <a:pt x="764" y="10"/>
              </a:lnTo>
              <a:lnTo>
                <a:pt x="811" y="25"/>
              </a:lnTo>
              <a:lnTo>
                <a:pt x="856" y="44"/>
              </a:lnTo>
              <a:lnTo>
                <a:pt x="897" y="67"/>
              </a:lnTo>
              <a:lnTo>
                <a:pt x="936" y="95"/>
              </a:lnTo>
              <a:lnTo>
                <a:pt x="971" y="126"/>
              </a:lnTo>
              <a:lnTo>
                <a:pt x="1004" y="162"/>
              </a:lnTo>
              <a:lnTo>
                <a:pt x="1031" y="201"/>
              </a:lnTo>
              <a:lnTo>
                <a:pt x="1055" y="243"/>
              </a:lnTo>
              <a:lnTo>
                <a:pt x="1074" y="287"/>
              </a:lnTo>
              <a:lnTo>
                <a:pt x="1088" y="334"/>
              </a:lnTo>
              <a:lnTo>
                <a:pt x="1096" y="382"/>
              </a:lnTo>
              <a:lnTo>
                <a:pt x="1099" y="433"/>
              </a:lnTo>
              <a:lnTo>
                <a:pt x="1096" y="484"/>
              </a:lnTo>
              <a:lnTo>
                <a:pt x="1088" y="532"/>
              </a:lnTo>
              <a:lnTo>
                <a:pt x="1074" y="579"/>
              </a:lnTo>
              <a:lnTo>
                <a:pt x="1055" y="623"/>
              </a:lnTo>
              <a:lnTo>
                <a:pt x="1031" y="665"/>
              </a:lnTo>
              <a:lnTo>
                <a:pt x="1004" y="704"/>
              </a:lnTo>
              <a:lnTo>
                <a:pt x="971" y="739"/>
              </a:lnTo>
              <a:lnTo>
                <a:pt x="936" y="771"/>
              </a:lnTo>
              <a:lnTo>
                <a:pt x="897" y="799"/>
              </a:lnTo>
              <a:lnTo>
                <a:pt x="856" y="822"/>
              </a:lnTo>
              <a:lnTo>
                <a:pt x="811" y="841"/>
              </a:lnTo>
              <a:lnTo>
                <a:pt x="764" y="856"/>
              </a:lnTo>
              <a:lnTo>
                <a:pt x="716" y="864"/>
              </a:lnTo>
              <a:lnTo>
                <a:pt x="664" y="867"/>
              </a:lnTo>
              <a:lnTo>
                <a:pt x="614" y="864"/>
              </a:lnTo>
              <a:lnTo>
                <a:pt x="565" y="856"/>
              </a:lnTo>
              <a:lnTo>
                <a:pt x="519" y="841"/>
              </a:lnTo>
              <a:lnTo>
                <a:pt x="474" y="822"/>
              </a:lnTo>
              <a:lnTo>
                <a:pt x="432" y="799"/>
              </a:lnTo>
              <a:lnTo>
                <a:pt x="393" y="771"/>
              </a:lnTo>
              <a:lnTo>
                <a:pt x="357" y="739"/>
              </a:lnTo>
              <a:lnTo>
                <a:pt x="326" y="704"/>
              </a:lnTo>
              <a:lnTo>
                <a:pt x="299" y="665"/>
              </a:lnTo>
              <a:lnTo>
                <a:pt x="275" y="623"/>
              </a:lnTo>
              <a:lnTo>
                <a:pt x="256" y="579"/>
              </a:lnTo>
              <a:lnTo>
                <a:pt x="242" y="532"/>
              </a:lnTo>
              <a:lnTo>
                <a:pt x="234" y="484"/>
              </a:lnTo>
              <a:lnTo>
                <a:pt x="231" y="433"/>
              </a:lnTo>
              <a:lnTo>
                <a:pt x="234" y="382"/>
              </a:lnTo>
              <a:lnTo>
                <a:pt x="242" y="334"/>
              </a:lnTo>
              <a:lnTo>
                <a:pt x="256" y="287"/>
              </a:lnTo>
              <a:lnTo>
                <a:pt x="275" y="243"/>
              </a:lnTo>
              <a:lnTo>
                <a:pt x="299" y="201"/>
              </a:lnTo>
              <a:lnTo>
                <a:pt x="326" y="162"/>
              </a:lnTo>
              <a:lnTo>
                <a:pt x="357" y="126"/>
              </a:lnTo>
              <a:lnTo>
                <a:pt x="393" y="95"/>
              </a:lnTo>
              <a:lnTo>
                <a:pt x="432" y="67"/>
              </a:lnTo>
              <a:lnTo>
                <a:pt x="474" y="44"/>
              </a:lnTo>
              <a:lnTo>
                <a:pt x="519" y="25"/>
              </a:lnTo>
              <a:lnTo>
                <a:pt x="565" y="10"/>
              </a:lnTo>
              <a:lnTo>
                <a:pt x="614" y="2"/>
              </a:lnTo>
              <a:lnTo>
                <a:pt x="664" y="0"/>
              </a:lnTo>
              <a:close/>
            </a:path>
          </a:pathLst>
        </a:custGeom>
        <a:solidFill xmlns:a="http://schemas.openxmlformats.org/drawingml/2006/main">
          <a:srgbClr val="BD9B08"/>
        </a:solidFill>
        <a:ln xmlns:a="http://schemas.openxmlformats.org/drawingml/2006/main">
          <a:noFill/>
        </a:ln>
        <a:effectLst xmlns:a="http://schemas.openxmlformats.org/drawingml/2006/main"/>
        <a:extLst xmlns:a="http://schemas.openxmlformats.org/drawingml/2006/main"/>
      </cdr:spPr>
      <cdr:txBody>
        <a:bodyPr xmlns:a="http://schemas.openxmlformats.org/drawingml/2006/main" vert="horz" wrap="square" lIns="91440" tIns="45720" rIns="91440" bIns="45720" numCol="1" anchor="t" anchorCtr="0" compatLnSpc="1">
          <a:prstTxWarp prst="textNoShape">
            <a:avLst/>
          </a:prstTxWarp>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endParaRPr lang="en-GB">
            <a:solidFill>
              <a:srgbClr val="BD9B08"/>
            </a:solidFill>
          </a:endParaRPr>
        </a:p>
      </cdr:txBody>
    </cdr:sp>
  </cdr:relSizeAnchor>
  <cdr:relSizeAnchor xmlns:cdr="http://schemas.openxmlformats.org/drawingml/2006/chartDrawing">
    <cdr:from>
      <cdr:x>0.01183</cdr:x>
      <cdr:y>0.8946</cdr:y>
    </cdr:from>
    <cdr:to>
      <cdr:x>0.8148</cdr:x>
      <cdr:y>0.96923</cdr:y>
    </cdr:to>
    <cdr:sp macro="" textlink="">
      <cdr:nvSpPr>
        <cdr:cNvPr id="4" name="Content Placeholder 5">
          <a:extLst xmlns:a="http://schemas.openxmlformats.org/drawingml/2006/main">
            <a:ext uri="{FF2B5EF4-FFF2-40B4-BE49-F238E27FC236}">
              <a16:creationId xmlns:a16="http://schemas.microsoft.com/office/drawing/2014/main" id="{18AEF180-9BBD-480A-BC30-104456B25549}"/>
            </a:ext>
          </a:extLst>
        </cdr:cNvPr>
        <cdr:cNvSpPr txBox="1">
          <a:spLocks xmlns:a="http://schemas.openxmlformats.org/drawingml/2006/main"/>
        </cdr:cNvSpPr>
      </cdr:nvSpPr>
      <cdr:spPr>
        <a:xfrm xmlns:a="http://schemas.openxmlformats.org/drawingml/2006/main">
          <a:off x="71314" y="3090870"/>
          <a:ext cx="4840323" cy="257839"/>
        </a:xfrm>
        <a:prstGeom xmlns:a="http://schemas.openxmlformats.org/drawingml/2006/main" prst="rect">
          <a:avLst/>
        </a:prstGeom>
      </cdr:spPr>
      <cdr:txBody>
        <a:bodyPr xmlns:a="http://schemas.openxmlformats.org/drawingml/2006/main" vert="horz"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spcBef>
              <a:spcPts val="0"/>
            </a:spcBef>
          </a:pPr>
          <a:r>
            <a:rPr lang="lv-LV" sz="1050" dirty="0"/>
            <a:t>Bāze: Uzņēmumi, kuri saņem būvvaldes pakalpojumus, n=31*</a:t>
          </a:r>
        </a:p>
        <a:p xmlns:a="http://schemas.openxmlformats.org/drawingml/2006/main">
          <a:pPr>
            <a:spcBef>
              <a:spcPts val="0"/>
            </a:spcBef>
          </a:pPr>
          <a:r>
            <a:rPr lang="lv-LV" sz="1050" dirty="0"/>
            <a:t>* - maza bāze, lai veiktu statistiski nozīmīgus secinājumus</a:t>
          </a:r>
          <a:endParaRPr lang="en-US" sz="1050" dirty="0"/>
        </a:p>
      </cdr:txBody>
    </cdr:sp>
  </cdr:relSizeAnchor>
</c:userShapes>
</file>

<file path=word/drawings/drawing2.xml><?xml version="1.0" encoding="utf-8"?>
<c:userShapes xmlns:c="http://schemas.openxmlformats.org/drawingml/2006/chart">
  <cdr:relSizeAnchor xmlns:cdr="http://schemas.openxmlformats.org/drawingml/2006/chartDrawing">
    <cdr:from>
      <cdr:x>0.42568</cdr:x>
      <cdr:y>0.02092</cdr:y>
    </cdr:from>
    <cdr:to>
      <cdr:x>0.9848</cdr:x>
      <cdr:y>0.14426</cdr:y>
    </cdr:to>
    <cdr:grpSp>
      <cdr:nvGrpSpPr>
        <cdr:cNvPr id="2" name="Group 1">
          <a:extLst xmlns:a="http://schemas.openxmlformats.org/drawingml/2006/main">
            <a:ext uri="{FF2B5EF4-FFF2-40B4-BE49-F238E27FC236}">
              <a16:creationId xmlns:a16="http://schemas.microsoft.com/office/drawing/2014/main" id="{530B253F-E666-417B-88D2-12B22E7C57CC}"/>
            </a:ext>
          </a:extLst>
        </cdr:cNvPr>
        <cdr:cNvGrpSpPr/>
      </cdr:nvGrpSpPr>
      <cdr:grpSpPr>
        <a:xfrm xmlns:a="http://schemas.openxmlformats.org/drawingml/2006/main">
          <a:off x="2400301" y="78097"/>
          <a:ext cx="3152774" cy="460437"/>
          <a:chOff x="7376415" y="1199924"/>
          <a:chExt cx="2907723" cy="460437"/>
        </a:xfrm>
      </cdr:grpSpPr>
      <cdr:sp macro="" textlink="">
        <cdr:nvSpPr>
          <cdr:cNvPr id="3" name="TextBox 10">
            <a:extLst xmlns:a="http://schemas.openxmlformats.org/drawingml/2006/main">
              <a:ext uri="{FF2B5EF4-FFF2-40B4-BE49-F238E27FC236}">
                <a16:creationId xmlns:a16="http://schemas.microsoft.com/office/drawing/2014/main" id="{3E64B0E2-200D-4C52-A685-446F4AC66F8E}"/>
              </a:ext>
            </a:extLst>
          </cdr:cNvPr>
          <cdr:cNvSpPr txBox="1"/>
        </cdr:nvSpPr>
        <cdr:spPr>
          <a:xfrm xmlns:a="http://schemas.openxmlformats.org/drawingml/2006/main">
            <a:off x="7850986" y="1453894"/>
            <a:ext cx="2433152" cy="206467"/>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400" b="1" dirty="0">
                <a:solidFill>
                  <a:srgbClr val="BD9B08"/>
                </a:solidFill>
              </a:rPr>
              <a:t>Darbinieku skaits </a:t>
            </a:r>
          </a:p>
        </cdr:txBody>
      </cdr:sp>
      <cdr:sp macro="" textlink="">
        <cdr:nvSpPr>
          <cdr:cNvPr id="4" name="Freeform 26">
            <a:extLst xmlns:a="http://schemas.openxmlformats.org/drawingml/2006/main">
              <a:ext uri="{FF2B5EF4-FFF2-40B4-BE49-F238E27FC236}">
                <a16:creationId xmlns:a16="http://schemas.microsoft.com/office/drawing/2014/main" id="{4825AB80-CB49-46EE-8B5C-3469698F7129}"/>
              </a:ext>
            </a:extLst>
          </cdr:cNvPr>
          <cdr:cNvSpPr>
            <a:spLocks xmlns:a="http://schemas.openxmlformats.org/drawingml/2006/main" noEditPoints="1"/>
          </cdr:cNvSpPr>
        </cdr:nvSpPr>
        <cdr:spPr bwMode="auto">
          <a:xfrm xmlns:a="http://schemas.openxmlformats.org/drawingml/2006/main">
            <a:off x="7376415" y="1199924"/>
            <a:ext cx="369950" cy="413123"/>
          </a:xfrm>
          <a:custGeom xmlns:a="http://schemas.openxmlformats.org/drawingml/2006/main">
            <a:avLst/>
            <a:gdLst>
              <a:gd name="T0" fmla="*/ 165 w 1990"/>
              <a:gd name="T1" fmla="*/ 1455 h 2221"/>
              <a:gd name="T2" fmla="*/ 267 w 1990"/>
              <a:gd name="T3" fmla="*/ 1482 h 2221"/>
              <a:gd name="T4" fmla="*/ 665 w 1990"/>
              <a:gd name="T5" fmla="*/ 1469 h 2221"/>
              <a:gd name="T6" fmla="*/ 800 w 1990"/>
              <a:gd name="T7" fmla="*/ 1464 h 2221"/>
              <a:gd name="T8" fmla="*/ 1411 w 1990"/>
              <a:gd name="T9" fmla="*/ 713 h 2221"/>
              <a:gd name="T10" fmla="*/ 1174 w 1990"/>
              <a:gd name="T11" fmla="*/ 1526 h 2221"/>
              <a:gd name="T12" fmla="*/ 1352 w 1990"/>
              <a:gd name="T13" fmla="*/ 1742 h 2221"/>
              <a:gd name="T14" fmla="*/ 1606 w 1990"/>
              <a:gd name="T15" fmla="*/ 1785 h 2221"/>
              <a:gd name="T16" fmla="*/ 1724 w 1990"/>
              <a:gd name="T17" fmla="*/ 1717 h 2221"/>
              <a:gd name="T18" fmla="*/ 1674 w 1990"/>
              <a:gd name="T19" fmla="*/ 1044 h 2221"/>
              <a:gd name="T20" fmla="*/ 464 w 1990"/>
              <a:gd name="T21" fmla="*/ 615 h 2221"/>
              <a:gd name="T22" fmla="*/ 793 w 1990"/>
              <a:gd name="T23" fmla="*/ 675 h 2221"/>
              <a:gd name="T24" fmla="*/ 917 w 1990"/>
              <a:gd name="T25" fmla="*/ 1574 h 2221"/>
              <a:gd name="T26" fmla="*/ 807 w 1990"/>
              <a:gd name="T27" fmla="*/ 1584 h 2221"/>
              <a:gd name="T28" fmla="*/ 626 w 1990"/>
              <a:gd name="T29" fmla="*/ 2219 h 2221"/>
              <a:gd name="T30" fmla="*/ 273 w 1990"/>
              <a:gd name="T31" fmla="*/ 2202 h 2221"/>
              <a:gd name="T32" fmla="*/ 60 w 1990"/>
              <a:gd name="T33" fmla="*/ 1598 h 2221"/>
              <a:gd name="T34" fmla="*/ 0 w 1990"/>
              <a:gd name="T35" fmla="*/ 1547 h 2221"/>
              <a:gd name="T36" fmla="*/ 161 w 1990"/>
              <a:gd name="T37" fmla="*/ 657 h 2221"/>
              <a:gd name="T38" fmla="*/ 1555 w 1990"/>
              <a:gd name="T39" fmla="*/ 594 h 2221"/>
              <a:gd name="T40" fmla="*/ 1727 w 1990"/>
              <a:gd name="T41" fmla="*/ 670 h 2221"/>
              <a:gd name="T42" fmla="*/ 1987 w 1990"/>
              <a:gd name="T43" fmla="*/ 1704 h 2221"/>
              <a:gd name="T44" fmla="*/ 1951 w 1990"/>
              <a:gd name="T45" fmla="*/ 1778 h 2221"/>
              <a:gd name="T46" fmla="*/ 1710 w 1990"/>
              <a:gd name="T47" fmla="*/ 2197 h 2221"/>
              <a:gd name="T48" fmla="*/ 1280 w 1990"/>
              <a:gd name="T49" fmla="*/ 2210 h 2221"/>
              <a:gd name="T50" fmla="*/ 1102 w 1990"/>
              <a:gd name="T51" fmla="*/ 1802 h 2221"/>
              <a:gd name="T52" fmla="*/ 988 w 1990"/>
              <a:gd name="T53" fmla="*/ 1718 h 2221"/>
              <a:gd name="T54" fmla="*/ 1224 w 1990"/>
              <a:gd name="T55" fmla="*/ 842 h 2221"/>
              <a:gd name="T56" fmla="*/ 1355 w 1990"/>
              <a:gd name="T57" fmla="*/ 605 h 2221"/>
              <a:gd name="T58" fmla="*/ 1416 w 1990"/>
              <a:gd name="T59" fmla="*/ 138 h 2221"/>
              <a:gd name="T60" fmla="*/ 1363 w 1990"/>
              <a:gd name="T61" fmla="*/ 271 h 2221"/>
              <a:gd name="T62" fmla="*/ 1463 w 1990"/>
              <a:gd name="T63" fmla="*/ 371 h 2221"/>
              <a:gd name="T64" fmla="*/ 1595 w 1990"/>
              <a:gd name="T65" fmla="*/ 316 h 2221"/>
              <a:gd name="T66" fmla="*/ 1595 w 1990"/>
              <a:gd name="T67" fmla="*/ 173 h 2221"/>
              <a:gd name="T68" fmla="*/ 464 w 1990"/>
              <a:gd name="T69" fmla="*/ 116 h 2221"/>
              <a:gd name="T70" fmla="*/ 345 w 1990"/>
              <a:gd name="T71" fmla="*/ 195 h 2221"/>
              <a:gd name="T72" fmla="*/ 373 w 1990"/>
              <a:gd name="T73" fmla="*/ 335 h 2221"/>
              <a:gd name="T74" fmla="*/ 514 w 1990"/>
              <a:gd name="T75" fmla="*/ 363 h 2221"/>
              <a:gd name="T76" fmla="*/ 592 w 1990"/>
              <a:gd name="T77" fmla="*/ 244 h 2221"/>
              <a:gd name="T78" fmla="*/ 514 w 1990"/>
              <a:gd name="T79" fmla="*/ 125 h 2221"/>
              <a:gd name="T80" fmla="*/ 1600 w 1990"/>
              <a:gd name="T81" fmla="*/ 28 h 2221"/>
              <a:gd name="T82" fmla="*/ 1730 w 1990"/>
              <a:gd name="T83" fmla="*/ 204 h 2221"/>
              <a:gd name="T84" fmla="*/ 1661 w 1990"/>
              <a:gd name="T85" fmla="*/ 417 h 2221"/>
              <a:gd name="T86" fmla="*/ 1449 w 1990"/>
              <a:gd name="T87" fmla="*/ 485 h 2221"/>
              <a:gd name="T88" fmla="*/ 1271 w 1990"/>
              <a:gd name="T89" fmla="*/ 357 h 2221"/>
              <a:gd name="T90" fmla="*/ 1271 w 1990"/>
              <a:gd name="T91" fmla="*/ 132 h 2221"/>
              <a:gd name="T92" fmla="*/ 1449 w 1990"/>
              <a:gd name="T93" fmla="*/ 3 h 2221"/>
              <a:gd name="T94" fmla="*/ 608 w 1990"/>
              <a:gd name="T95" fmla="*/ 48 h 2221"/>
              <a:gd name="T96" fmla="*/ 708 w 1990"/>
              <a:gd name="T97" fmla="*/ 244 h 2221"/>
              <a:gd name="T98" fmla="*/ 608 w 1990"/>
              <a:gd name="T99" fmla="*/ 441 h 2221"/>
              <a:gd name="T100" fmla="*/ 386 w 1990"/>
              <a:gd name="T101" fmla="*/ 476 h 2221"/>
              <a:gd name="T102" fmla="*/ 232 w 1990"/>
              <a:gd name="T103" fmla="*/ 321 h 2221"/>
              <a:gd name="T104" fmla="*/ 266 w 1990"/>
              <a:gd name="T105" fmla="*/ 100 h 2221"/>
              <a:gd name="T106" fmla="*/ 464 w 1990"/>
              <a:gd name="T107" fmla="*/ 0 h 22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1990" h="2221">
                <a:moveTo>
                  <a:pt x="464" y="730"/>
                </a:moveTo>
                <a:lnTo>
                  <a:pt x="385" y="734"/>
                </a:lnTo>
                <a:lnTo>
                  <a:pt x="306" y="743"/>
                </a:lnTo>
                <a:lnTo>
                  <a:pt x="229" y="759"/>
                </a:lnTo>
                <a:lnTo>
                  <a:pt x="127" y="1464"/>
                </a:lnTo>
                <a:lnTo>
                  <a:pt x="165" y="1455"/>
                </a:lnTo>
                <a:lnTo>
                  <a:pt x="204" y="1449"/>
                </a:lnTo>
                <a:lnTo>
                  <a:pt x="215" y="1448"/>
                </a:lnTo>
                <a:lnTo>
                  <a:pt x="233" y="1450"/>
                </a:lnTo>
                <a:lnTo>
                  <a:pt x="248" y="1459"/>
                </a:lnTo>
                <a:lnTo>
                  <a:pt x="260" y="1469"/>
                </a:lnTo>
                <a:lnTo>
                  <a:pt x="267" y="1482"/>
                </a:lnTo>
                <a:lnTo>
                  <a:pt x="272" y="1496"/>
                </a:lnTo>
                <a:lnTo>
                  <a:pt x="366" y="2106"/>
                </a:lnTo>
                <a:lnTo>
                  <a:pt x="560" y="2106"/>
                </a:lnTo>
                <a:lnTo>
                  <a:pt x="652" y="1496"/>
                </a:lnTo>
                <a:lnTo>
                  <a:pt x="657" y="1482"/>
                </a:lnTo>
                <a:lnTo>
                  <a:pt x="665" y="1469"/>
                </a:lnTo>
                <a:lnTo>
                  <a:pt x="677" y="1459"/>
                </a:lnTo>
                <a:lnTo>
                  <a:pt x="689" y="1451"/>
                </a:lnTo>
                <a:lnTo>
                  <a:pt x="705" y="1447"/>
                </a:lnTo>
                <a:lnTo>
                  <a:pt x="720" y="1448"/>
                </a:lnTo>
                <a:lnTo>
                  <a:pt x="761" y="1455"/>
                </a:lnTo>
                <a:lnTo>
                  <a:pt x="800" y="1464"/>
                </a:lnTo>
                <a:lnTo>
                  <a:pt x="698" y="759"/>
                </a:lnTo>
                <a:lnTo>
                  <a:pt x="621" y="743"/>
                </a:lnTo>
                <a:lnTo>
                  <a:pt x="542" y="734"/>
                </a:lnTo>
                <a:lnTo>
                  <a:pt x="464" y="730"/>
                </a:lnTo>
                <a:close/>
                <a:moveTo>
                  <a:pt x="1463" y="706"/>
                </a:moveTo>
                <a:lnTo>
                  <a:pt x="1411" y="713"/>
                </a:lnTo>
                <a:lnTo>
                  <a:pt x="1359" y="723"/>
                </a:lnTo>
                <a:lnTo>
                  <a:pt x="1334" y="883"/>
                </a:lnTo>
                <a:lnTo>
                  <a:pt x="1304" y="1044"/>
                </a:lnTo>
                <a:lnTo>
                  <a:pt x="1266" y="1205"/>
                </a:lnTo>
                <a:lnTo>
                  <a:pt x="1224" y="1366"/>
                </a:lnTo>
                <a:lnTo>
                  <a:pt x="1174" y="1526"/>
                </a:lnTo>
                <a:lnTo>
                  <a:pt x="1121" y="1686"/>
                </a:lnTo>
                <a:lnTo>
                  <a:pt x="1186" y="1704"/>
                </a:lnTo>
                <a:lnTo>
                  <a:pt x="1253" y="1717"/>
                </a:lnTo>
                <a:lnTo>
                  <a:pt x="1322" y="1728"/>
                </a:lnTo>
                <a:lnTo>
                  <a:pt x="1338" y="1732"/>
                </a:lnTo>
                <a:lnTo>
                  <a:pt x="1352" y="1742"/>
                </a:lnTo>
                <a:lnTo>
                  <a:pt x="1363" y="1753"/>
                </a:lnTo>
                <a:lnTo>
                  <a:pt x="1370" y="1768"/>
                </a:lnTo>
                <a:lnTo>
                  <a:pt x="1372" y="1785"/>
                </a:lnTo>
                <a:lnTo>
                  <a:pt x="1372" y="2105"/>
                </a:lnTo>
                <a:lnTo>
                  <a:pt x="1606" y="2105"/>
                </a:lnTo>
                <a:lnTo>
                  <a:pt x="1606" y="1785"/>
                </a:lnTo>
                <a:lnTo>
                  <a:pt x="1608" y="1768"/>
                </a:lnTo>
                <a:lnTo>
                  <a:pt x="1614" y="1753"/>
                </a:lnTo>
                <a:lnTo>
                  <a:pt x="1626" y="1742"/>
                </a:lnTo>
                <a:lnTo>
                  <a:pt x="1639" y="1732"/>
                </a:lnTo>
                <a:lnTo>
                  <a:pt x="1655" y="1728"/>
                </a:lnTo>
                <a:lnTo>
                  <a:pt x="1724" y="1717"/>
                </a:lnTo>
                <a:lnTo>
                  <a:pt x="1791" y="1704"/>
                </a:lnTo>
                <a:lnTo>
                  <a:pt x="1857" y="1686"/>
                </a:lnTo>
                <a:lnTo>
                  <a:pt x="1802" y="1526"/>
                </a:lnTo>
                <a:lnTo>
                  <a:pt x="1754" y="1366"/>
                </a:lnTo>
                <a:lnTo>
                  <a:pt x="1711" y="1205"/>
                </a:lnTo>
                <a:lnTo>
                  <a:pt x="1674" y="1044"/>
                </a:lnTo>
                <a:lnTo>
                  <a:pt x="1643" y="883"/>
                </a:lnTo>
                <a:lnTo>
                  <a:pt x="1617" y="723"/>
                </a:lnTo>
                <a:lnTo>
                  <a:pt x="1566" y="713"/>
                </a:lnTo>
                <a:lnTo>
                  <a:pt x="1514" y="706"/>
                </a:lnTo>
                <a:lnTo>
                  <a:pt x="1463" y="706"/>
                </a:lnTo>
                <a:close/>
                <a:moveTo>
                  <a:pt x="464" y="615"/>
                </a:moveTo>
                <a:lnTo>
                  <a:pt x="540" y="617"/>
                </a:lnTo>
                <a:lnTo>
                  <a:pt x="617" y="625"/>
                </a:lnTo>
                <a:lnTo>
                  <a:pt x="691" y="639"/>
                </a:lnTo>
                <a:lnTo>
                  <a:pt x="766" y="657"/>
                </a:lnTo>
                <a:lnTo>
                  <a:pt x="781" y="664"/>
                </a:lnTo>
                <a:lnTo>
                  <a:pt x="793" y="675"/>
                </a:lnTo>
                <a:lnTo>
                  <a:pt x="803" y="688"/>
                </a:lnTo>
                <a:lnTo>
                  <a:pt x="807" y="704"/>
                </a:lnTo>
                <a:lnTo>
                  <a:pt x="927" y="1532"/>
                </a:lnTo>
                <a:lnTo>
                  <a:pt x="927" y="1547"/>
                </a:lnTo>
                <a:lnTo>
                  <a:pt x="924" y="1561"/>
                </a:lnTo>
                <a:lnTo>
                  <a:pt x="917" y="1574"/>
                </a:lnTo>
                <a:lnTo>
                  <a:pt x="907" y="1585"/>
                </a:lnTo>
                <a:lnTo>
                  <a:pt x="895" y="1593"/>
                </a:lnTo>
                <a:lnTo>
                  <a:pt x="882" y="1597"/>
                </a:lnTo>
                <a:lnTo>
                  <a:pt x="867" y="1598"/>
                </a:lnTo>
                <a:lnTo>
                  <a:pt x="853" y="1596"/>
                </a:lnTo>
                <a:lnTo>
                  <a:pt x="807" y="1584"/>
                </a:lnTo>
                <a:lnTo>
                  <a:pt x="759" y="1573"/>
                </a:lnTo>
                <a:lnTo>
                  <a:pt x="667" y="2172"/>
                </a:lnTo>
                <a:lnTo>
                  <a:pt x="662" y="2189"/>
                </a:lnTo>
                <a:lnTo>
                  <a:pt x="653" y="2201"/>
                </a:lnTo>
                <a:lnTo>
                  <a:pt x="641" y="2212"/>
                </a:lnTo>
                <a:lnTo>
                  <a:pt x="626" y="2219"/>
                </a:lnTo>
                <a:lnTo>
                  <a:pt x="610" y="2221"/>
                </a:lnTo>
                <a:lnTo>
                  <a:pt x="317" y="2221"/>
                </a:lnTo>
                <a:lnTo>
                  <a:pt x="317" y="2221"/>
                </a:lnTo>
                <a:lnTo>
                  <a:pt x="300" y="2219"/>
                </a:lnTo>
                <a:lnTo>
                  <a:pt x="285" y="2213"/>
                </a:lnTo>
                <a:lnTo>
                  <a:pt x="273" y="2202"/>
                </a:lnTo>
                <a:lnTo>
                  <a:pt x="264" y="2189"/>
                </a:lnTo>
                <a:lnTo>
                  <a:pt x="259" y="2173"/>
                </a:lnTo>
                <a:lnTo>
                  <a:pt x="166" y="1573"/>
                </a:lnTo>
                <a:lnTo>
                  <a:pt x="119" y="1585"/>
                </a:lnTo>
                <a:lnTo>
                  <a:pt x="74" y="1596"/>
                </a:lnTo>
                <a:lnTo>
                  <a:pt x="60" y="1598"/>
                </a:lnTo>
                <a:lnTo>
                  <a:pt x="45" y="1597"/>
                </a:lnTo>
                <a:lnTo>
                  <a:pt x="32" y="1592"/>
                </a:lnTo>
                <a:lnTo>
                  <a:pt x="20" y="1585"/>
                </a:lnTo>
                <a:lnTo>
                  <a:pt x="11" y="1574"/>
                </a:lnTo>
                <a:lnTo>
                  <a:pt x="3" y="1561"/>
                </a:lnTo>
                <a:lnTo>
                  <a:pt x="0" y="1547"/>
                </a:lnTo>
                <a:lnTo>
                  <a:pt x="0" y="1532"/>
                </a:lnTo>
                <a:lnTo>
                  <a:pt x="120" y="704"/>
                </a:lnTo>
                <a:lnTo>
                  <a:pt x="125" y="688"/>
                </a:lnTo>
                <a:lnTo>
                  <a:pt x="134" y="675"/>
                </a:lnTo>
                <a:lnTo>
                  <a:pt x="146" y="664"/>
                </a:lnTo>
                <a:lnTo>
                  <a:pt x="161" y="657"/>
                </a:lnTo>
                <a:lnTo>
                  <a:pt x="236" y="639"/>
                </a:lnTo>
                <a:lnTo>
                  <a:pt x="312" y="625"/>
                </a:lnTo>
                <a:lnTo>
                  <a:pt x="387" y="617"/>
                </a:lnTo>
                <a:lnTo>
                  <a:pt x="464" y="615"/>
                </a:lnTo>
                <a:close/>
                <a:moveTo>
                  <a:pt x="1489" y="591"/>
                </a:moveTo>
                <a:lnTo>
                  <a:pt x="1555" y="594"/>
                </a:lnTo>
                <a:lnTo>
                  <a:pt x="1621" y="605"/>
                </a:lnTo>
                <a:lnTo>
                  <a:pt x="1688" y="623"/>
                </a:lnTo>
                <a:lnTo>
                  <a:pt x="1702" y="630"/>
                </a:lnTo>
                <a:lnTo>
                  <a:pt x="1714" y="642"/>
                </a:lnTo>
                <a:lnTo>
                  <a:pt x="1722" y="656"/>
                </a:lnTo>
                <a:lnTo>
                  <a:pt x="1727" y="670"/>
                </a:lnTo>
                <a:lnTo>
                  <a:pt x="1753" y="842"/>
                </a:lnTo>
                <a:lnTo>
                  <a:pt x="1787" y="1015"/>
                </a:lnTo>
                <a:lnTo>
                  <a:pt x="1826" y="1187"/>
                </a:lnTo>
                <a:lnTo>
                  <a:pt x="1873" y="1360"/>
                </a:lnTo>
                <a:lnTo>
                  <a:pt x="1927" y="1532"/>
                </a:lnTo>
                <a:lnTo>
                  <a:pt x="1987" y="1704"/>
                </a:lnTo>
                <a:lnTo>
                  <a:pt x="1990" y="1718"/>
                </a:lnTo>
                <a:lnTo>
                  <a:pt x="1989" y="1734"/>
                </a:lnTo>
                <a:lnTo>
                  <a:pt x="1984" y="1749"/>
                </a:lnTo>
                <a:lnTo>
                  <a:pt x="1976" y="1762"/>
                </a:lnTo>
                <a:lnTo>
                  <a:pt x="1964" y="1771"/>
                </a:lnTo>
                <a:lnTo>
                  <a:pt x="1951" y="1778"/>
                </a:lnTo>
                <a:lnTo>
                  <a:pt x="1876" y="1802"/>
                </a:lnTo>
                <a:lnTo>
                  <a:pt x="1799" y="1820"/>
                </a:lnTo>
                <a:lnTo>
                  <a:pt x="1720" y="1835"/>
                </a:lnTo>
                <a:lnTo>
                  <a:pt x="1720" y="2162"/>
                </a:lnTo>
                <a:lnTo>
                  <a:pt x="1718" y="2181"/>
                </a:lnTo>
                <a:lnTo>
                  <a:pt x="1710" y="2197"/>
                </a:lnTo>
                <a:lnTo>
                  <a:pt x="1697" y="2210"/>
                </a:lnTo>
                <a:lnTo>
                  <a:pt x="1681" y="2217"/>
                </a:lnTo>
                <a:lnTo>
                  <a:pt x="1662" y="2220"/>
                </a:lnTo>
                <a:lnTo>
                  <a:pt x="1314" y="2220"/>
                </a:lnTo>
                <a:lnTo>
                  <a:pt x="1296" y="2217"/>
                </a:lnTo>
                <a:lnTo>
                  <a:pt x="1280" y="2210"/>
                </a:lnTo>
                <a:lnTo>
                  <a:pt x="1268" y="2197"/>
                </a:lnTo>
                <a:lnTo>
                  <a:pt x="1260" y="2181"/>
                </a:lnTo>
                <a:lnTo>
                  <a:pt x="1256" y="2162"/>
                </a:lnTo>
                <a:lnTo>
                  <a:pt x="1256" y="1835"/>
                </a:lnTo>
                <a:lnTo>
                  <a:pt x="1178" y="1820"/>
                </a:lnTo>
                <a:lnTo>
                  <a:pt x="1102" y="1802"/>
                </a:lnTo>
                <a:lnTo>
                  <a:pt x="1027" y="1778"/>
                </a:lnTo>
                <a:lnTo>
                  <a:pt x="1013" y="1771"/>
                </a:lnTo>
                <a:lnTo>
                  <a:pt x="1002" y="1762"/>
                </a:lnTo>
                <a:lnTo>
                  <a:pt x="993" y="1749"/>
                </a:lnTo>
                <a:lnTo>
                  <a:pt x="988" y="1734"/>
                </a:lnTo>
                <a:lnTo>
                  <a:pt x="988" y="1718"/>
                </a:lnTo>
                <a:lnTo>
                  <a:pt x="991" y="1704"/>
                </a:lnTo>
                <a:lnTo>
                  <a:pt x="1051" y="1532"/>
                </a:lnTo>
                <a:lnTo>
                  <a:pt x="1105" y="1360"/>
                </a:lnTo>
                <a:lnTo>
                  <a:pt x="1151" y="1187"/>
                </a:lnTo>
                <a:lnTo>
                  <a:pt x="1191" y="1015"/>
                </a:lnTo>
                <a:lnTo>
                  <a:pt x="1224" y="842"/>
                </a:lnTo>
                <a:lnTo>
                  <a:pt x="1250" y="670"/>
                </a:lnTo>
                <a:lnTo>
                  <a:pt x="1254" y="656"/>
                </a:lnTo>
                <a:lnTo>
                  <a:pt x="1263" y="642"/>
                </a:lnTo>
                <a:lnTo>
                  <a:pt x="1274" y="630"/>
                </a:lnTo>
                <a:lnTo>
                  <a:pt x="1289" y="623"/>
                </a:lnTo>
                <a:lnTo>
                  <a:pt x="1355" y="605"/>
                </a:lnTo>
                <a:lnTo>
                  <a:pt x="1422" y="594"/>
                </a:lnTo>
                <a:lnTo>
                  <a:pt x="1489" y="591"/>
                </a:lnTo>
                <a:close/>
                <a:moveTo>
                  <a:pt x="1489" y="116"/>
                </a:moveTo>
                <a:lnTo>
                  <a:pt x="1463" y="118"/>
                </a:lnTo>
                <a:lnTo>
                  <a:pt x="1438" y="125"/>
                </a:lnTo>
                <a:lnTo>
                  <a:pt x="1416" y="138"/>
                </a:lnTo>
                <a:lnTo>
                  <a:pt x="1397" y="154"/>
                </a:lnTo>
                <a:lnTo>
                  <a:pt x="1382" y="173"/>
                </a:lnTo>
                <a:lnTo>
                  <a:pt x="1370" y="195"/>
                </a:lnTo>
                <a:lnTo>
                  <a:pt x="1363" y="218"/>
                </a:lnTo>
                <a:lnTo>
                  <a:pt x="1361" y="244"/>
                </a:lnTo>
                <a:lnTo>
                  <a:pt x="1363" y="271"/>
                </a:lnTo>
                <a:lnTo>
                  <a:pt x="1370" y="295"/>
                </a:lnTo>
                <a:lnTo>
                  <a:pt x="1382" y="316"/>
                </a:lnTo>
                <a:lnTo>
                  <a:pt x="1397" y="335"/>
                </a:lnTo>
                <a:lnTo>
                  <a:pt x="1416" y="351"/>
                </a:lnTo>
                <a:lnTo>
                  <a:pt x="1438" y="363"/>
                </a:lnTo>
                <a:lnTo>
                  <a:pt x="1463" y="371"/>
                </a:lnTo>
                <a:lnTo>
                  <a:pt x="1489" y="373"/>
                </a:lnTo>
                <a:lnTo>
                  <a:pt x="1514" y="371"/>
                </a:lnTo>
                <a:lnTo>
                  <a:pt x="1538" y="363"/>
                </a:lnTo>
                <a:lnTo>
                  <a:pt x="1560" y="351"/>
                </a:lnTo>
                <a:lnTo>
                  <a:pt x="1579" y="335"/>
                </a:lnTo>
                <a:lnTo>
                  <a:pt x="1595" y="316"/>
                </a:lnTo>
                <a:lnTo>
                  <a:pt x="1607" y="295"/>
                </a:lnTo>
                <a:lnTo>
                  <a:pt x="1614" y="271"/>
                </a:lnTo>
                <a:lnTo>
                  <a:pt x="1617" y="244"/>
                </a:lnTo>
                <a:lnTo>
                  <a:pt x="1614" y="218"/>
                </a:lnTo>
                <a:lnTo>
                  <a:pt x="1607" y="195"/>
                </a:lnTo>
                <a:lnTo>
                  <a:pt x="1595" y="173"/>
                </a:lnTo>
                <a:lnTo>
                  <a:pt x="1579" y="154"/>
                </a:lnTo>
                <a:lnTo>
                  <a:pt x="1560" y="138"/>
                </a:lnTo>
                <a:lnTo>
                  <a:pt x="1538" y="125"/>
                </a:lnTo>
                <a:lnTo>
                  <a:pt x="1514" y="118"/>
                </a:lnTo>
                <a:lnTo>
                  <a:pt x="1489" y="116"/>
                </a:lnTo>
                <a:close/>
                <a:moveTo>
                  <a:pt x="464" y="116"/>
                </a:moveTo>
                <a:lnTo>
                  <a:pt x="438" y="118"/>
                </a:lnTo>
                <a:lnTo>
                  <a:pt x="414" y="125"/>
                </a:lnTo>
                <a:lnTo>
                  <a:pt x="391" y="138"/>
                </a:lnTo>
                <a:lnTo>
                  <a:pt x="373" y="154"/>
                </a:lnTo>
                <a:lnTo>
                  <a:pt x="357" y="173"/>
                </a:lnTo>
                <a:lnTo>
                  <a:pt x="345" y="195"/>
                </a:lnTo>
                <a:lnTo>
                  <a:pt x="338" y="218"/>
                </a:lnTo>
                <a:lnTo>
                  <a:pt x="335" y="244"/>
                </a:lnTo>
                <a:lnTo>
                  <a:pt x="338" y="271"/>
                </a:lnTo>
                <a:lnTo>
                  <a:pt x="345" y="295"/>
                </a:lnTo>
                <a:lnTo>
                  <a:pt x="357" y="316"/>
                </a:lnTo>
                <a:lnTo>
                  <a:pt x="373" y="335"/>
                </a:lnTo>
                <a:lnTo>
                  <a:pt x="391" y="351"/>
                </a:lnTo>
                <a:lnTo>
                  <a:pt x="414" y="363"/>
                </a:lnTo>
                <a:lnTo>
                  <a:pt x="438" y="371"/>
                </a:lnTo>
                <a:lnTo>
                  <a:pt x="464" y="373"/>
                </a:lnTo>
                <a:lnTo>
                  <a:pt x="489" y="371"/>
                </a:lnTo>
                <a:lnTo>
                  <a:pt x="514" y="363"/>
                </a:lnTo>
                <a:lnTo>
                  <a:pt x="536" y="351"/>
                </a:lnTo>
                <a:lnTo>
                  <a:pt x="555" y="335"/>
                </a:lnTo>
                <a:lnTo>
                  <a:pt x="570" y="316"/>
                </a:lnTo>
                <a:lnTo>
                  <a:pt x="582" y="295"/>
                </a:lnTo>
                <a:lnTo>
                  <a:pt x="589" y="271"/>
                </a:lnTo>
                <a:lnTo>
                  <a:pt x="592" y="244"/>
                </a:lnTo>
                <a:lnTo>
                  <a:pt x="589" y="218"/>
                </a:lnTo>
                <a:lnTo>
                  <a:pt x="582" y="195"/>
                </a:lnTo>
                <a:lnTo>
                  <a:pt x="570" y="173"/>
                </a:lnTo>
                <a:lnTo>
                  <a:pt x="555" y="154"/>
                </a:lnTo>
                <a:lnTo>
                  <a:pt x="536" y="138"/>
                </a:lnTo>
                <a:lnTo>
                  <a:pt x="514" y="125"/>
                </a:lnTo>
                <a:lnTo>
                  <a:pt x="489" y="118"/>
                </a:lnTo>
                <a:lnTo>
                  <a:pt x="464" y="116"/>
                </a:lnTo>
                <a:close/>
                <a:moveTo>
                  <a:pt x="1489" y="0"/>
                </a:moveTo>
                <a:lnTo>
                  <a:pt x="1528" y="3"/>
                </a:lnTo>
                <a:lnTo>
                  <a:pt x="1566" y="13"/>
                </a:lnTo>
                <a:lnTo>
                  <a:pt x="1600" y="28"/>
                </a:lnTo>
                <a:lnTo>
                  <a:pt x="1633" y="48"/>
                </a:lnTo>
                <a:lnTo>
                  <a:pt x="1661" y="72"/>
                </a:lnTo>
                <a:lnTo>
                  <a:pt x="1686" y="100"/>
                </a:lnTo>
                <a:lnTo>
                  <a:pt x="1706" y="132"/>
                </a:lnTo>
                <a:lnTo>
                  <a:pt x="1720" y="168"/>
                </a:lnTo>
                <a:lnTo>
                  <a:pt x="1730" y="204"/>
                </a:lnTo>
                <a:lnTo>
                  <a:pt x="1733" y="244"/>
                </a:lnTo>
                <a:lnTo>
                  <a:pt x="1730" y="284"/>
                </a:lnTo>
                <a:lnTo>
                  <a:pt x="1720" y="321"/>
                </a:lnTo>
                <a:lnTo>
                  <a:pt x="1706" y="357"/>
                </a:lnTo>
                <a:lnTo>
                  <a:pt x="1686" y="389"/>
                </a:lnTo>
                <a:lnTo>
                  <a:pt x="1661" y="417"/>
                </a:lnTo>
                <a:lnTo>
                  <a:pt x="1633" y="441"/>
                </a:lnTo>
                <a:lnTo>
                  <a:pt x="1600" y="461"/>
                </a:lnTo>
                <a:lnTo>
                  <a:pt x="1566" y="476"/>
                </a:lnTo>
                <a:lnTo>
                  <a:pt x="1528" y="485"/>
                </a:lnTo>
                <a:lnTo>
                  <a:pt x="1489" y="488"/>
                </a:lnTo>
                <a:lnTo>
                  <a:pt x="1449" y="485"/>
                </a:lnTo>
                <a:lnTo>
                  <a:pt x="1411" y="476"/>
                </a:lnTo>
                <a:lnTo>
                  <a:pt x="1376" y="461"/>
                </a:lnTo>
                <a:lnTo>
                  <a:pt x="1345" y="441"/>
                </a:lnTo>
                <a:lnTo>
                  <a:pt x="1316" y="417"/>
                </a:lnTo>
                <a:lnTo>
                  <a:pt x="1291" y="389"/>
                </a:lnTo>
                <a:lnTo>
                  <a:pt x="1271" y="357"/>
                </a:lnTo>
                <a:lnTo>
                  <a:pt x="1256" y="321"/>
                </a:lnTo>
                <a:lnTo>
                  <a:pt x="1248" y="284"/>
                </a:lnTo>
                <a:lnTo>
                  <a:pt x="1245" y="244"/>
                </a:lnTo>
                <a:lnTo>
                  <a:pt x="1248" y="204"/>
                </a:lnTo>
                <a:lnTo>
                  <a:pt x="1256" y="168"/>
                </a:lnTo>
                <a:lnTo>
                  <a:pt x="1271" y="132"/>
                </a:lnTo>
                <a:lnTo>
                  <a:pt x="1291" y="100"/>
                </a:lnTo>
                <a:lnTo>
                  <a:pt x="1316" y="72"/>
                </a:lnTo>
                <a:lnTo>
                  <a:pt x="1345" y="48"/>
                </a:lnTo>
                <a:lnTo>
                  <a:pt x="1376" y="28"/>
                </a:lnTo>
                <a:lnTo>
                  <a:pt x="1411" y="13"/>
                </a:lnTo>
                <a:lnTo>
                  <a:pt x="1449" y="3"/>
                </a:lnTo>
                <a:lnTo>
                  <a:pt x="1489" y="0"/>
                </a:lnTo>
                <a:close/>
                <a:moveTo>
                  <a:pt x="464" y="0"/>
                </a:moveTo>
                <a:lnTo>
                  <a:pt x="503" y="3"/>
                </a:lnTo>
                <a:lnTo>
                  <a:pt x="541" y="13"/>
                </a:lnTo>
                <a:lnTo>
                  <a:pt x="576" y="28"/>
                </a:lnTo>
                <a:lnTo>
                  <a:pt x="608" y="48"/>
                </a:lnTo>
                <a:lnTo>
                  <a:pt x="637" y="72"/>
                </a:lnTo>
                <a:lnTo>
                  <a:pt x="661" y="100"/>
                </a:lnTo>
                <a:lnTo>
                  <a:pt x="681" y="132"/>
                </a:lnTo>
                <a:lnTo>
                  <a:pt x="696" y="168"/>
                </a:lnTo>
                <a:lnTo>
                  <a:pt x="705" y="204"/>
                </a:lnTo>
                <a:lnTo>
                  <a:pt x="708" y="244"/>
                </a:lnTo>
                <a:lnTo>
                  <a:pt x="705" y="284"/>
                </a:lnTo>
                <a:lnTo>
                  <a:pt x="696" y="321"/>
                </a:lnTo>
                <a:lnTo>
                  <a:pt x="681" y="357"/>
                </a:lnTo>
                <a:lnTo>
                  <a:pt x="661" y="389"/>
                </a:lnTo>
                <a:lnTo>
                  <a:pt x="637" y="417"/>
                </a:lnTo>
                <a:lnTo>
                  <a:pt x="608" y="441"/>
                </a:lnTo>
                <a:lnTo>
                  <a:pt x="576" y="461"/>
                </a:lnTo>
                <a:lnTo>
                  <a:pt x="541" y="476"/>
                </a:lnTo>
                <a:lnTo>
                  <a:pt x="503" y="485"/>
                </a:lnTo>
                <a:lnTo>
                  <a:pt x="464" y="488"/>
                </a:lnTo>
                <a:lnTo>
                  <a:pt x="424" y="485"/>
                </a:lnTo>
                <a:lnTo>
                  <a:pt x="386" y="476"/>
                </a:lnTo>
                <a:lnTo>
                  <a:pt x="351" y="461"/>
                </a:lnTo>
                <a:lnTo>
                  <a:pt x="320" y="441"/>
                </a:lnTo>
                <a:lnTo>
                  <a:pt x="292" y="417"/>
                </a:lnTo>
                <a:lnTo>
                  <a:pt x="266" y="389"/>
                </a:lnTo>
                <a:lnTo>
                  <a:pt x="246" y="357"/>
                </a:lnTo>
                <a:lnTo>
                  <a:pt x="232" y="321"/>
                </a:lnTo>
                <a:lnTo>
                  <a:pt x="222" y="284"/>
                </a:lnTo>
                <a:lnTo>
                  <a:pt x="219" y="244"/>
                </a:lnTo>
                <a:lnTo>
                  <a:pt x="222" y="204"/>
                </a:lnTo>
                <a:lnTo>
                  <a:pt x="232" y="168"/>
                </a:lnTo>
                <a:lnTo>
                  <a:pt x="246" y="132"/>
                </a:lnTo>
                <a:lnTo>
                  <a:pt x="266" y="100"/>
                </a:lnTo>
                <a:lnTo>
                  <a:pt x="292" y="72"/>
                </a:lnTo>
                <a:lnTo>
                  <a:pt x="320" y="48"/>
                </a:lnTo>
                <a:lnTo>
                  <a:pt x="351" y="28"/>
                </a:lnTo>
                <a:lnTo>
                  <a:pt x="386" y="13"/>
                </a:lnTo>
                <a:lnTo>
                  <a:pt x="424" y="3"/>
                </a:lnTo>
                <a:lnTo>
                  <a:pt x="464" y="0"/>
                </a:lnTo>
                <a:close/>
              </a:path>
            </a:pathLst>
          </a:custGeom>
          <a:solidFill xmlns:a="http://schemas.openxmlformats.org/drawingml/2006/main">
            <a:srgbClr val="BD9B08"/>
          </a:solidFill>
          <a:ln xmlns:a="http://schemas.openxmlformats.org/drawingml/2006/main">
            <a:noFill/>
          </a:ln>
          <a:effectLst xmlns:a="http://schemas.openxmlformats.org/drawingml/2006/main"/>
          <a:extLst xmlns:a="http://schemas.openxmlformats.org/drawingml/2006/main"/>
        </cdr:spPr>
        <cdr:txBody>
          <a:bodyPr xmlns:a="http://schemas.openxmlformats.org/drawingml/2006/main" vert="horz" wrap="square" lIns="91440" tIns="45720" rIns="91440" bIns="45720" numCol="1" anchor="t" anchorCtr="0" compatLnSpc="1">
            <a:prstTxWarp prst="textNoShape">
              <a:avLst/>
            </a:prstTxWarp>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endParaRPr lang="en-GB"/>
          </a:p>
        </cdr:txBody>
      </cdr:sp>
    </cdr:grpSp>
  </cdr:relSizeAnchor>
  <cdr:relSizeAnchor xmlns:cdr="http://schemas.openxmlformats.org/drawingml/2006/chartDrawing">
    <cdr:from>
      <cdr:x>0.01091</cdr:x>
      <cdr:y>0.94229</cdr:y>
    </cdr:from>
    <cdr:to>
      <cdr:x>0.37954</cdr:x>
      <cdr:y>0.99274</cdr:y>
    </cdr:to>
    <cdr:sp macro="" textlink="">
      <cdr:nvSpPr>
        <cdr:cNvPr id="5" name="Content Placeholder 5">
          <a:extLst xmlns:a="http://schemas.openxmlformats.org/drawingml/2006/main">
            <a:ext uri="{FF2B5EF4-FFF2-40B4-BE49-F238E27FC236}">
              <a16:creationId xmlns:a16="http://schemas.microsoft.com/office/drawing/2014/main" id="{18AEF180-9BBD-480A-BC30-104456B25549}"/>
            </a:ext>
          </a:extLst>
        </cdr:cNvPr>
        <cdr:cNvSpPr txBox="1">
          <a:spLocks xmlns:a="http://schemas.openxmlformats.org/drawingml/2006/main"/>
        </cdr:cNvSpPr>
      </cdr:nvSpPr>
      <cdr:spPr>
        <a:xfrm xmlns:a="http://schemas.openxmlformats.org/drawingml/2006/main">
          <a:off x="64817" y="3706812"/>
          <a:ext cx="2190068" cy="198438"/>
        </a:xfrm>
        <a:prstGeom xmlns:a="http://schemas.openxmlformats.org/drawingml/2006/main" prst="rect">
          <a:avLst/>
        </a:prstGeom>
      </cdr:spPr>
      <cdr:txBody>
        <a:bodyPr xmlns:a="http://schemas.openxmlformats.org/drawingml/2006/main" vert="horz"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717171"/>
              </a:solidFill>
            </a:rPr>
            <a:t>Bāze: visi uzņēmumi, n=304</a:t>
          </a:r>
          <a:endParaRPr lang="en-US" sz="1100" dirty="0">
            <a:solidFill>
              <a:srgbClr val="717171"/>
            </a:solidFill>
          </a:endParaRPr>
        </a:p>
      </cdr:txBody>
    </cdr:sp>
  </cdr:relSizeAnchor>
  <cdr:relSizeAnchor xmlns:cdr="http://schemas.openxmlformats.org/drawingml/2006/chartDrawing">
    <cdr:from>
      <cdr:x>0.00321</cdr:x>
      <cdr:y>0.18414</cdr:y>
    </cdr:from>
    <cdr:to>
      <cdr:x>1</cdr:x>
      <cdr:y>0.89588</cdr:y>
    </cdr:to>
    <cdr:pic>
      <cdr:nvPicPr>
        <cdr:cNvPr id="7"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19050" y="724394"/>
          <a:ext cx="5922010" cy="2799855"/>
        </a:xfrm>
        <a:prstGeom xmlns:a="http://schemas.openxmlformats.org/drawingml/2006/main" prst="rect">
          <a:avLst/>
        </a:prstGeom>
      </cdr:spPr>
    </cdr:pic>
  </cdr:relSizeAnchor>
</c:userShapes>
</file>

<file path=word/drawings/drawing3.xml><?xml version="1.0" encoding="utf-8"?>
<c:userShapes xmlns:c="http://schemas.openxmlformats.org/drawingml/2006/chart">
  <cdr:relSizeAnchor xmlns:cdr="http://schemas.openxmlformats.org/drawingml/2006/chartDrawing">
    <cdr:from>
      <cdr:x>0.40156</cdr:x>
      <cdr:y>0.02691</cdr:y>
    </cdr:from>
    <cdr:to>
      <cdr:x>0.97271</cdr:x>
      <cdr:y>0.17104</cdr:y>
    </cdr:to>
    <cdr:grpSp>
      <cdr:nvGrpSpPr>
        <cdr:cNvPr id="2" name="Group 1">
          <a:extLst xmlns:a="http://schemas.openxmlformats.org/drawingml/2006/main">
            <a:ext uri="{FF2B5EF4-FFF2-40B4-BE49-F238E27FC236}">
              <a16:creationId xmlns:a16="http://schemas.microsoft.com/office/drawing/2014/main" id="{3D28031D-2A74-4794-8B8E-7E5ABAA643A5}"/>
            </a:ext>
          </a:extLst>
        </cdr:cNvPr>
        <cdr:cNvGrpSpPr/>
      </cdr:nvGrpSpPr>
      <cdr:grpSpPr>
        <a:xfrm xmlns:a="http://schemas.openxmlformats.org/drawingml/2006/main">
          <a:off x="1962151" y="85154"/>
          <a:ext cx="2790825" cy="456154"/>
          <a:chOff x="6268931" y="1063054"/>
          <a:chExt cx="2588506" cy="456154"/>
        </a:xfrm>
      </cdr:grpSpPr>
      <cdr:sp macro="" textlink="">
        <cdr:nvSpPr>
          <cdr:cNvPr id="3" name="TextBox 10">
            <a:extLst xmlns:a="http://schemas.openxmlformats.org/drawingml/2006/main">
              <a:ext uri="{FF2B5EF4-FFF2-40B4-BE49-F238E27FC236}">
                <a16:creationId xmlns:a16="http://schemas.microsoft.com/office/drawing/2014/main" id="{863B4179-5E94-46CC-B4FC-2C7BF510CA87}"/>
              </a:ext>
            </a:extLst>
          </cdr:cNvPr>
          <cdr:cNvSpPr txBox="1"/>
        </cdr:nvSpPr>
        <cdr:spPr>
          <a:xfrm xmlns:a="http://schemas.openxmlformats.org/drawingml/2006/main">
            <a:off x="6839506" y="1302425"/>
            <a:ext cx="2017931" cy="189825"/>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400" b="1" dirty="0">
                <a:solidFill>
                  <a:srgbClr val="BD9B08"/>
                </a:solidFill>
              </a:rPr>
              <a:t>Darbības laiks</a:t>
            </a:r>
          </a:p>
        </cdr:txBody>
      </cdr:sp>
      <cdr:sp macro="" textlink="">
        <cdr:nvSpPr>
          <cdr:cNvPr id="4" name="Freeform 2">
            <a:extLst xmlns:a="http://schemas.openxmlformats.org/drawingml/2006/main">
              <a:ext uri="{FF2B5EF4-FFF2-40B4-BE49-F238E27FC236}">
                <a16:creationId xmlns:a16="http://schemas.microsoft.com/office/drawing/2014/main" id="{05B4DF41-BD84-490B-8A09-7D92C8E39BEF}"/>
              </a:ext>
            </a:extLst>
          </cdr:cNvPr>
          <cdr:cNvSpPr>
            <a:spLocks xmlns:a="http://schemas.openxmlformats.org/drawingml/2006/main" noChangeArrowheads="1"/>
          </cdr:cNvSpPr>
        </cdr:nvSpPr>
        <cdr:spPr bwMode="auto">
          <a:xfrm xmlns:a="http://schemas.openxmlformats.org/drawingml/2006/main">
            <a:off x="6268931" y="1063054"/>
            <a:ext cx="455639" cy="456154"/>
          </a:xfrm>
          <a:custGeom xmlns:a="http://schemas.openxmlformats.org/drawingml/2006/main">
            <a:avLst/>
            <a:gdLst>
              <a:gd name="T0" fmla="*/ 10625 w 11700"/>
              <a:gd name="T1" fmla="*/ 9559 h 11712"/>
              <a:gd name="T2" fmla="*/ 10166 w 11700"/>
              <a:gd name="T3" fmla="*/ 10017 h 11712"/>
              <a:gd name="T4" fmla="*/ 10466 w 11700"/>
              <a:gd name="T5" fmla="*/ 10317 h 11712"/>
              <a:gd name="T6" fmla="*/ 9409 w 11700"/>
              <a:gd name="T7" fmla="*/ 10317 h 11712"/>
              <a:gd name="T8" fmla="*/ 9409 w 11700"/>
              <a:gd name="T9" fmla="*/ 4277 h 11712"/>
              <a:gd name="T10" fmla="*/ 6739 w 11700"/>
              <a:gd name="T11" fmla="*/ 4277 h 11712"/>
              <a:gd name="T12" fmla="*/ 6739 w 11700"/>
              <a:gd name="T13" fmla="*/ 2443 h 11712"/>
              <a:gd name="T14" fmla="*/ 3419 w 11700"/>
              <a:gd name="T15" fmla="*/ 2443 h 11712"/>
              <a:gd name="T16" fmla="*/ 3419 w 11700"/>
              <a:gd name="T17" fmla="*/ 5881 h 11712"/>
              <a:gd name="T18" fmla="*/ 1392 w 11700"/>
              <a:gd name="T19" fmla="*/ 5881 h 11712"/>
              <a:gd name="T20" fmla="*/ 1392 w 11700"/>
              <a:gd name="T21" fmla="*/ 1235 h 11712"/>
              <a:gd name="T22" fmla="*/ 1691 w 11700"/>
              <a:gd name="T23" fmla="*/ 1535 h 11712"/>
              <a:gd name="T24" fmla="*/ 2150 w 11700"/>
              <a:gd name="T25" fmla="*/ 1076 h 11712"/>
              <a:gd name="T26" fmla="*/ 1074 w 11700"/>
              <a:gd name="T27" fmla="*/ 0 h 11712"/>
              <a:gd name="T28" fmla="*/ 0 w 11700"/>
              <a:gd name="T29" fmla="*/ 1076 h 11712"/>
              <a:gd name="T30" fmla="*/ 458 w 11700"/>
              <a:gd name="T31" fmla="*/ 1535 h 11712"/>
              <a:gd name="T32" fmla="*/ 749 w 11700"/>
              <a:gd name="T33" fmla="*/ 1235 h 11712"/>
              <a:gd name="T34" fmla="*/ 749 w 11700"/>
              <a:gd name="T35" fmla="*/ 5881 h 11712"/>
              <a:gd name="T36" fmla="*/ 749 w 11700"/>
              <a:gd name="T37" fmla="*/ 10961 h 11712"/>
              <a:gd name="T38" fmla="*/ 3419 w 11700"/>
              <a:gd name="T39" fmla="*/ 10961 h 11712"/>
              <a:gd name="T40" fmla="*/ 4071 w 11700"/>
              <a:gd name="T41" fmla="*/ 10961 h 11712"/>
              <a:gd name="T42" fmla="*/ 6096 w 11700"/>
              <a:gd name="T43" fmla="*/ 10961 h 11712"/>
              <a:gd name="T44" fmla="*/ 6739 w 11700"/>
              <a:gd name="T45" fmla="*/ 10961 h 11712"/>
              <a:gd name="T46" fmla="*/ 9409 w 11700"/>
              <a:gd name="T47" fmla="*/ 10961 h 11712"/>
              <a:gd name="T48" fmla="*/ 10466 w 11700"/>
              <a:gd name="T49" fmla="*/ 10961 h 11712"/>
              <a:gd name="T50" fmla="*/ 10166 w 11700"/>
              <a:gd name="T51" fmla="*/ 11253 h 11712"/>
              <a:gd name="T52" fmla="*/ 10625 w 11700"/>
              <a:gd name="T53" fmla="*/ 11711 h 11712"/>
              <a:gd name="T54" fmla="*/ 11699 w 11700"/>
              <a:gd name="T55" fmla="*/ 10635 h 11712"/>
              <a:gd name="T56" fmla="*/ 10625 w 11700"/>
              <a:gd name="T57" fmla="*/ 9559 h 11712"/>
              <a:gd name="T58" fmla="*/ 1392 w 11700"/>
              <a:gd name="T59" fmla="*/ 10317 h 11712"/>
              <a:gd name="T60" fmla="*/ 1392 w 11700"/>
              <a:gd name="T61" fmla="*/ 6525 h 11712"/>
              <a:gd name="T62" fmla="*/ 3419 w 11700"/>
              <a:gd name="T63" fmla="*/ 6525 h 11712"/>
              <a:gd name="T64" fmla="*/ 3419 w 11700"/>
              <a:gd name="T65" fmla="*/ 10317 h 11712"/>
              <a:gd name="T66" fmla="*/ 1392 w 11700"/>
              <a:gd name="T67" fmla="*/ 10317 h 11712"/>
              <a:gd name="T68" fmla="*/ 4071 w 11700"/>
              <a:gd name="T69" fmla="*/ 10317 h 11712"/>
              <a:gd name="T70" fmla="*/ 4071 w 11700"/>
              <a:gd name="T71" fmla="*/ 5881 h 11712"/>
              <a:gd name="T72" fmla="*/ 4071 w 11700"/>
              <a:gd name="T73" fmla="*/ 3096 h 11712"/>
              <a:gd name="T74" fmla="*/ 6096 w 11700"/>
              <a:gd name="T75" fmla="*/ 3096 h 11712"/>
              <a:gd name="T76" fmla="*/ 6096 w 11700"/>
              <a:gd name="T77" fmla="*/ 4277 h 11712"/>
              <a:gd name="T78" fmla="*/ 6096 w 11700"/>
              <a:gd name="T79" fmla="*/ 10317 h 11712"/>
              <a:gd name="T80" fmla="*/ 4071 w 11700"/>
              <a:gd name="T81" fmla="*/ 10317 h 11712"/>
              <a:gd name="T82" fmla="*/ 6739 w 11700"/>
              <a:gd name="T83" fmla="*/ 10317 h 11712"/>
              <a:gd name="T84" fmla="*/ 6739 w 11700"/>
              <a:gd name="T85" fmla="*/ 4930 h 11712"/>
              <a:gd name="T86" fmla="*/ 8765 w 11700"/>
              <a:gd name="T87" fmla="*/ 4930 h 11712"/>
              <a:gd name="T88" fmla="*/ 8765 w 11700"/>
              <a:gd name="T89" fmla="*/ 10317 h 11712"/>
              <a:gd name="T90" fmla="*/ 6739 w 11700"/>
              <a:gd name="T91" fmla="*/ 10317 h 117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Lst>
            <a:rect l="0" t="0" r="r" b="b"/>
            <a:pathLst>
              <a:path w="11700" h="11712">
                <a:moveTo>
                  <a:pt x="10625" y="9559"/>
                </a:moveTo>
                <a:lnTo>
                  <a:pt x="10166" y="10017"/>
                </a:lnTo>
                <a:lnTo>
                  <a:pt x="10466" y="10317"/>
                </a:lnTo>
                <a:lnTo>
                  <a:pt x="9409" y="10317"/>
                </a:lnTo>
                <a:lnTo>
                  <a:pt x="9409" y="4277"/>
                </a:lnTo>
                <a:lnTo>
                  <a:pt x="6739" y="4277"/>
                </a:lnTo>
                <a:lnTo>
                  <a:pt x="6739" y="2443"/>
                </a:lnTo>
                <a:lnTo>
                  <a:pt x="3419" y="2443"/>
                </a:lnTo>
                <a:lnTo>
                  <a:pt x="3419" y="5881"/>
                </a:lnTo>
                <a:lnTo>
                  <a:pt x="1392" y="5881"/>
                </a:lnTo>
                <a:lnTo>
                  <a:pt x="1392" y="1235"/>
                </a:lnTo>
                <a:lnTo>
                  <a:pt x="1691" y="1535"/>
                </a:lnTo>
                <a:lnTo>
                  <a:pt x="2150" y="1076"/>
                </a:lnTo>
                <a:lnTo>
                  <a:pt x="1074" y="0"/>
                </a:lnTo>
                <a:lnTo>
                  <a:pt x="0" y="1076"/>
                </a:lnTo>
                <a:lnTo>
                  <a:pt x="458" y="1535"/>
                </a:lnTo>
                <a:lnTo>
                  <a:pt x="749" y="1235"/>
                </a:lnTo>
                <a:lnTo>
                  <a:pt x="749" y="5881"/>
                </a:lnTo>
                <a:lnTo>
                  <a:pt x="749" y="10961"/>
                </a:lnTo>
                <a:lnTo>
                  <a:pt x="3419" y="10961"/>
                </a:lnTo>
                <a:lnTo>
                  <a:pt x="4071" y="10961"/>
                </a:lnTo>
                <a:lnTo>
                  <a:pt x="6096" y="10961"/>
                </a:lnTo>
                <a:lnTo>
                  <a:pt x="6739" y="10961"/>
                </a:lnTo>
                <a:lnTo>
                  <a:pt x="9409" y="10961"/>
                </a:lnTo>
                <a:lnTo>
                  <a:pt x="10466" y="10961"/>
                </a:lnTo>
                <a:lnTo>
                  <a:pt x="10166" y="11253"/>
                </a:lnTo>
                <a:lnTo>
                  <a:pt x="10625" y="11711"/>
                </a:lnTo>
                <a:lnTo>
                  <a:pt x="11699" y="10635"/>
                </a:lnTo>
                <a:lnTo>
                  <a:pt x="10625" y="9559"/>
                </a:lnTo>
                <a:close/>
                <a:moveTo>
                  <a:pt x="1392" y="10317"/>
                </a:moveTo>
                <a:lnTo>
                  <a:pt x="1392" y="6525"/>
                </a:lnTo>
                <a:lnTo>
                  <a:pt x="3419" y="6525"/>
                </a:lnTo>
                <a:lnTo>
                  <a:pt x="3419" y="10317"/>
                </a:lnTo>
                <a:lnTo>
                  <a:pt x="1392" y="10317"/>
                </a:lnTo>
                <a:close/>
                <a:moveTo>
                  <a:pt x="4071" y="10317"/>
                </a:moveTo>
                <a:lnTo>
                  <a:pt x="4071" y="5881"/>
                </a:lnTo>
                <a:lnTo>
                  <a:pt x="4071" y="3096"/>
                </a:lnTo>
                <a:lnTo>
                  <a:pt x="6096" y="3096"/>
                </a:lnTo>
                <a:lnTo>
                  <a:pt x="6096" y="4277"/>
                </a:lnTo>
                <a:lnTo>
                  <a:pt x="6096" y="10317"/>
                </a:lnTo>
                <a:lnTo>
                  <a:pt x="4071" y="10317"/>
                </a:lnTo>
                <a:close/>
                <a:moveTo>
                  <a:pt x="6739" y="10317"/>
                </a:moveTo>
                <a:lnTo>
                  <a:pt x="6739" y="4930"/>
                </a:lnTo>
                <a:lnTo>
                  <a:pt x="8765" y="4930"/>
                </a:lnTo>
                <a:lnTo>
                  <a:pt x="8765" y="10317"/>
                </a:lnTo>
                <a:lnTo>
                  <a:pt x="6739" y="10317"/>
                </a:lnTo>
                <a:close/>
              </a:path>
            </a:pathLst>
          </a:custGeom>
          <a:solidFill xmlns:a="http://schemas.openxmlformats.org/drawingml/2006/main">
            <a:srgbClr val="BD9B08"/>
          </a:solidFill>
          <a:ln xmlns:a="http://schemas.openxmlformats.org/drawingml/2006/main">
            <a:noFill/>
          </a:ln>
          <a:effectLst xmlns:a="http://schemas.openxmlformats.org/drawingml/2006/main"/>
          <a:extLst xmlns:a="http://schemas.openxmlformats.org/drawingml/2006/main"/>
        </cdr:spPr>
        <cdr:txBody>
          <a:bodyPr xmlns:a="http://schemas.openxmlformats.org/drawingml/2006/main" wrap="none" anchor="ct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endParaRPr lang="en-US"/>
          </a:p>
        </cdr:txBody>
      </cdr:sp>
    </cdr:grpSp>
  </cdr:relSizeAnchor>
  <cdr:relSizeAnchor xmlns:cdr="http://schemas.openxmlformats.org/drawingml/2006/chartDrawing">
    <cdr:from>
      <cdr:x>0.01572</cdr:x>
      <cdr:y>0.94348</cdr:y>
    </cdr:from>
    <cdr:to>
      <cdr:x>0.38435</cdr:x>
      <cdr:y>0.99505</cdr:y>
    </cdr:to>
    <cdr:sp macro="" textlink="">
      <cdr:nvSpPr>
        <cdr:cNvPr id="5" name="Content Placeholder 5">
          <a:extLst xmlns:a="http://schemas.openxmlformats.org/drawingml/2006/main">
            <a:ext uri="{FF2B5EF4-FFF2-40B4-BE49-F238E27FC236}">
              <a16:creationId xmlns:a16="http://schemas.microsoft.com/office/drawing/2014/main" id="{18AEF180-9BBD-480A-BC30-104456B25549}"/>
            </a:ext>
          </a:extLst>
        </cdr:cNvPr>
        <cdr:cNvSpPr txBox="1">
          <a:spLocks xmlns:a="http://schemas.openxmlformats.org/drawingml/2006/main"/>
        </cdr:cNvSpPr>
      </cdr:nvSpPr>
      <cdr:spPr>
        <a:xfrm xmlns:a="http://schemas.openxmlformats.org/drawingml/2006/main">
          <a:off x="93392" y="3630612"/>
          <a:ext cx="2190068" cy="198438"/>
        </a:xfrm>
        <a:prstGeom xmlns:a="http://schemas.openxmlformats.org/drawingml/2006/main" prst="rect">
          <a:avLst/>
        </a:prstGeom>
      </cdr:spPr>
      <cdr:txBody>
        <a:bodyPr xmlns:a="http://schemas.openxmlformats.org/drawingml/2006/main" vert="horz"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717171"/>
              </a:solidFill>
            </a:rPr>
            <a:t>Bāze: visi uzņēmumi, n=304</a:t>
          </a:r>
          <a:endParaRPr lang="en-US" sz="1100" dirty="0">
            <a:solidFill>
              <a:srgbClr val="717171"/>
            </a:solidFill>
          </a:endParaRPr>
        </a:p>
      </cdr:txBody>
    </cdr:sp>
  </cdr:relSizeAnchor>
  <cdr:relSizeAnchor xmlns:cdr="http://schemas.openxmlformats.org/drawingml/2006/chartDrawing">
    <cdr:from>
      <cdr:x>0</cdr:x>
      <cdr:y>0.18208</cdr:y>
    </cdr:from>
    <cdr:to>
      <cdr:x>1</cdr:x>
      <cdr:y>0.91089</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700644"/>
          <a:ext cx="5941060" cy="2804555"/>
        </a:xfrm>
        <a:prstGeom xmlns:a="http://schemas.openxmlformats.org/drawingml/2006/main" prst="rect">
          <a:avLst/>
        </a:prstGeom>
      </cdr:spPr>
    </cdr:pic>
  </cdr:relSizeAnchor>
</c:userShapes>
</file>

<file path=word/drawings/drawing4.xml><?xml version="1.0" encoding="utf-8"?>
<c:userShapes xmlns:c="http://schemas.openxmlformats.org/drawingml/2006/chart">
  <cdr:relSizeAnchor xmlns:cdr="http://schemas.openxmlformats.org/drawingml/2006/chartDrawing">
    <cdr:from>
      <cdr:x>0</cdr:x>
      <cdr:y>0.11463</cdr:y>
    </cdr:from>
    <cdr:to>
      <cdr:x>0.20842</cdr:x>
      <cdr:y>0.96829</cdr:y>
    </cdr:to>
    <cdr:sp macro="" textlink="">
      <cdr:nvSpPr>
        <cdr:cNvPr id="2" name="Rectangle 1">
          <a:extLst xmlns:a="http://schemas.openxmlformats.org/drawingml/2006/main">
            <a:ext uri="{FF2B5EF4-FFF2-40B4-BE49-F238E27FC236}">
              <a16:creationId xmlns:a16="http://schemas.microsoft.com/office/drawing/2014/main" id="{3D3E7703-2D8B-4D88-AC2F-02B4AC744E2F}"/>
            </a:ext>
          </a:extLst>
        </cdr:cNvPr>
        <cdr:cNvSpPr/>
      </cdr:nvSpPr>
      <cdr:spPr>
        <a:xfrm xmlns:a="http://schemas.openxmlformats.org/drawingml/2006/main">
          <a:off x="0" y="447675"/>
          <a:ext cx="1238250" cy="3333750"/>
        </a:xfrm>
        <a:prstGeom xmlns:a="http://schemas.openxmlformats.org/drawingml/2006/main" prst="rect">
          <a:avLst/>
        </a:prstGeom>
        <a:noFill xmlns:a="http://schemas.openxmlformats.org/drawingml/2006/main"/>
        <a:ln xmlns:a="http://schemas.openxmlformats.org/drawingml/2006/main">
          <a:solidFill>
            <a:srgbClr val="BD9B08"/>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lv-LV" sz="1600" dirty="0"/>
        </a:p>
      </cdr:txBody>
    </cdr:sp>
  </cdr:relSizeAnchor>
</c:userShapes>
</file>

<file path=word/drawings/drawing5.xml><?xml version="1.0" encoding="utf-8"?>
<c:userShapes xmlns:c="http://schemas.openxmlformats.org/drawingml/2006/chart">
  <cdr:relSizeAnchor xmlns:cdr="http://schemas.openxmlformats.org/drawingml/2006/chartDrawing">
    <cdr:from>
      <cdr:x>0.01386</cdr:x>
      <cdr:y>0.23622</cdr:y>
    </cdr:from>
    <cdr:to>
      <cdr:x>0.34328</cdr:x>
      <cdr:y>0.95405</cdr:y>
    </cdr:to>
    <cdr:sp macro="" textlink="">
      <cdr:nvSpPr>
        <cdr:cNvPr id="2" name="Rectangle 1">
          <a:extLst xmlns:a="http://schemas.openxmlformats.org/drawingml/2006/main">
            <a:ext uri="{FF2B5EF4-FFF2-40B4-BE49-F238E27FC236}">
              <a16:creationId xmlns:a16="http://schemas.microsoft.com/office/drawing/2014/main" id="{3D3E7703-2D8B-4D88-AC2F-02B4AC744E2F}"/>
            </a:ext>
          </a:extLst>
        </cdr:cNvPr>
        <cdr:cNvSpPr/>
      </cdr:nvSpPr>
      <cdr:spPr>
        <a:xfrm xmlns:a="http://schemas.openxmlformats.org/drawingml/2006/main">
          <a:off x="53712" y="998540"/>
          <a:ext cx="1276428" cy="3034411"/>
        </a:xfrm>
        <a:prstGeom xmlns:a="http://schemas.openxmlformats.org/drawingml/2006/main" prst="rect">
          <a:avLst/>
        </a:prstGeom>
        <a:noFill xmlns:a="http://schemas.openxmlformats.org/drawingml/2006/main"/>
        <a:ln xmlns:a="http://schemas.openxmlformats.org/drawingml/2006/main">
          <a:solidFill>
            <a:srgbClr val="BD9B08"/>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lv-LV" sz="1600" dirty="0"/>
        </a:p>
      </cdr:txBody>
    </cdr:sp>
  </cdr:relSizeAnchor>
</c:userShapes>
</file>

<file path=word/drawings/drawing6.xml><?xml version="1.0" encoding="utf-8"?>
<c:userShapes xmlns:c="http://schemas.openxmlformats.org/drawingml/2006/chart">
  <cdr:relSizeAnchor xmlns:cdr="http://schemas.openxmlformats.org/drawingml/2006/chartDrawing">
    <cdr:from>
      <cdr:x>0</cdr:x>
      <cdr:y>0.23146</cdr:y>
    </cdr:from>
    <cdr:to>
      <cdr:x>1</cdr:x>
      <cdr:y>0.98444</cdr:y>
    </cdr:to>
    <cdr:pic>
      <cdr:nvPicPr>
        <cdr:cNvPr id="6"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566592"/>
          <a:ext cx="5941060" cy="1843243"/>
        </a:xfrm>
        <a:prstGeom xmlns:a="http://schemas.openxmlformats.org/drawingml/2006/main" prst="rect">
          <a:avLst/>
        </a:prstGeom>
      </cdr:spPr>
    </cdr:pic>
  </cdr:relSizeAnchor>
  <cdr:relSizeAnchor xmlns:cdr="http://schemas.openxmlformats.org/drawingml/2006/chartDrawing">
    <cdr:from>
      <cdr:x>0</cdr:x>
      <cdr:y>0.2801</cdr:y>
    </cdr:from>
    <cdr:to>
      <cdr:x>0.19824</cdr:x>
      <cdr:y>0.41264</cdr:y>
    </cdr:to>
    <cdr:sp macro="" textlink="">
      <cdr:nvSpPr>
        <cdr:cNvPr id="7" name="TextBox 1">
          <a:extLst xmlns:a="http://schemas.openxmlformats.org/drawingml/2006/main">
            <a:ext uri="{FF2B5EF4-FFF2-40B4-BE49-F238E27FC236}">
              <a16:creationId xmlns:a16="http://schemas.microsoft.com/office/drawing/2014/main" id="{0A38EE64-ABB5-4808-A741-0BCDDFF2DC17}"/>
            </a:ext>
          </a:extLst>
        </cdr:cNvPr>
        <cdr:cNvSpPr txBox="1"/>
      </cdr:nvSpPr>
      <cdr:spPr>
        <a:xfrm xmlns:a="http://schemas.openxmlformats.org/drawingml/2006/main">
          <a:off x="0" y="685669"/>
          <a:ext cx="1177747" cy="324448"/>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100" dirty="0">
              <a:solidFill>
                <a:srgbClr val="717171"/>
              </a:solidFill>
              <a:latin typeface="Arial" panose="020B0604020202020204" pitchFamily="34" charset="0"/>
            </a:rPr>
            <a:t>Būvniecības pasūtītāji</a:t>
          </a:r>
        </a:p>
      </cdr:txBody>
    </cdr:sp>
  </cdr:relSizeAnchor>
  <cdr:relSizeAnchor xmlns:cdr="http://schemas.openxmlformats.org/drawingml/2006/chartDrawing">
    <cdr:from>
      <cdr:x>0.01168</cdr:x>
      <cdr:y>0.62522</cdr:y>
    </cdr:from>
    <cdr:to>
      <cdr:x>0.17211</cdr:x>
      <cdr:y>0.72921</cdr:y>
    </cdr:to>
    <cdr:sp macro="" textlink="">
      <cdr:nvSpPr>
        <cdr:cNvPr id="8" name="Rectangle 7">
          <a:extLst xmlns:a="http://schemas.openxmlformats.org/drawingml/2006/main">
            <a:ext uri="{FF2B5EF4-FFF2-40B4-BE49-F238E27FC236}">
              <a16:creationId xmlns:a16="http://schemas.microsoft.com/office/drawing/2014/main" id="{61A3DF18-21C6-43EA-9E13-D5D5E45A40C6}"/>
            </a:ext>
          </a:extLst>
        </cdr:cNvPr>
        <cdr:cNvSpPr/>
      </cdr:nvSpPr>
      <cdr:spPr>
        <a:xfrm xmlns:a="http://schemas.openxmlformats.org/drawingml/2006/main">
          <a:off x="69385" y="1530484"/>
          <a:ext cx="953145"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100" dirty="0">
              <a:solidFill>
                <a:srgbClr val="717171"/>
              </a:solidFill>
              <a:latin typeface="Arial" panose="020B0604020202020204" pitchFamily="34" charset="0"/>
            </a:rPr>
            <a:t>Priekšizpēte</a:t>
          </a:r>
        </a:p>
      </cdr:txBody>
    </cdr:sp>
  </cdr:relSizeAnchor>
  <cdr:relSizeAnchor xmlns:cdr="http://schemas.openxmlformats.org/drawingml/2006/chartDrawing">
    <cdr:from>
      <cdr:x>0.33429</cdr:x>
      <cdr:y>0.25919</cdr:y>
    </cdr:from>
    <cdr:to>
      <cdr:x>0.41887</cdr:x>
      <cdr:y>0.36318</cdr:y>
    </cdr:to>
    <cdr:sp macro="" textlink="">
      <cdr:nvSpPr>
        <cdr:cNvPr id="9" name="Rectangle 8">
          <a:extLst xmlns:a="http://schemas.openxmlformats.org/drawingml/2006/main">
            <a:ext uri="{FF2B5EF4-FFF2-40B4-BE49-F238E27FC236}">
              <a16:creationId xmlns:a16="http://schemas.microsoft.com/office/drawing/2014/main" id="{01BEA536-532B-4A3C-89A2-A75CEE31CF74}"/>
            </a:ext>
          </a:extLst>
        </cdr:cNvPr>
        <cdr:cNvSpPr/>
      </cdr:nvSpPr>
      <cdr:spPr>
        <a:xfrm xmlns:a="http://schemas.openxmlformats.org/drawingml/2006/main">
          <a:off x="1986020" y="634478"/>
          <a:ext cx="502495" cy="254559"/>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n=34</a:t>
          </a:r>
        </a:p>
      </cdr:txBody>
    </cdr:sp>
  </cdr:relSizeAnchor>
  <cdr:relSizeAnchor xmlns:cdr="http://schemas.openxmlformats.org/drawingml/2006/chartDrawing">
    <cdr:from>
      <cdr:x>0.33429</cdr:x>
      <cdr:y>0.37431</cdr:y>
    </cdr:from>
    <cdr:to>
      <cdr:x>0.41887</cdr:x>
      <cdr:y>0.4783</cdr:y>
    </cdr:to>
    <cdr:sp macro="" textlink="">
      <cdr:nvSpPr>
        <cdr:cNvPr id="10" name="Rectangle 9">
          <a:extLst xmlns:a="http://schemas.openxmlformats.org/drawingml/2006/main">
            <a:ext uri="{FF2B5EF4-FFF2-40B4-BE49-F238E27FC236}">
              <a16:creationId xmlns:a16="http://schemas.microsoft.com/office/drawing/2014/main" id="{541E4FB4-D03E-4E97-828D-983BBD40499C}"/>
            </a:ext>
          </a:extLst>
        </cdr:cNvPr>
        <cdr:cNvSpPr/>
      </cdr:nvSpPr>
      <cdr:spPr>
        <a:xfrm xmlns:a="http://schemas.openxmlformats.org/drawingml/2006/main">
          <a:off x="1986020" y="916283"/>
          <a:ext cx="502495" cy="25456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n=27</a:t>
          </a:r>
        </a:p>
      </cdr:txBody>
    </cdr:sp>
  </cdr:relSizeAnchor>
  <cdr:relSizeAnchor xmlns:cdr="http://schemas.openxmlformats.org/drawingml/2006/chartDrawing">
    <cdr:from>
      <cdr:x>0.33429</cdr:x>
      <cdr:y>0.4963</cdr:y>
    </cdr:from>
    <cdr:to>
      <cdr:x>0.41887</cdr:x>
      <cdr:y>0.60029</cdr:y>
    </cdr:to>
    <cdr:sp macro="" textlink="">
      <cdr:nvSpPr>
        <cdr:cNvPr id="11" name="Rectangle 10">
          <a:extLst xmlns:a="http://schemas.openxmlformats.org/drawingml/2006/main">
            <a:ext uri="{FF2B5EF4-FFF2-40B4-BE49-F238E27FC236}">
              <a16:creationId xmlns:a16="http://schemas.microsoft.com/office/drawing/2014/main" id="{F98521B8-A535-497D-9370-2665DBC7952B}"/>
            </a:ext>
          </a:extLst>
        </cdr:cNvPr>
        <cdr:cNvSpPr/>
      </cdr:nvSpPr>
      <cdr:spPr>
        <a:xfrm xmlns:a="http://schemas.openxmlformats.org/drawingml/2006/main">
          <a:off x="1986020" y="1214893"/>
          <a:ext cx="502495" cy="25456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n=29</a:t>
          </a:r>
        </a:p>
      </cdr:txBody>
    </cdr:sp>
  </cdr:relSizeAnchor>
  <cdr:relSizeAnchor xmlns:cdr="http://schemas.openxmlformats.org/drawingml/2006/chartDrawing">
    <cdr:from>
      <cdr:x>0.33429</cdr:x>
      <cdr:y>0.59995</cdr:y>
    </cdr:from>
    <cdr:to>
      <cdr:x>0.41887</cdr:x>
      <cdr:y>0.70394</cdr:y>
    </cdr:to>
    <cdr:sp macro="" textlink="">
      <cdr:nvSpPr>
        <cdr:cNvPr id="12" name="Rectangle 11">
          <a:extLst xmlns:a="http://schemas.openxmlformats.org/drawingml/2006/main">
            <a:ext uri="{FF2B5EF4-FFF2-40B4-BE49-F238E27FC236}">
              <a16:creationId xmlns:a16="http://schemas.microsoft.com/office/drawing/2014/main" id="{1E624643-4DB3-4528-AEAB-4F81B7058858}"/>
            </a:ext>
          </a:extLst>
        </cdr:cNvPr>
        <cdr:cNvSpPr/>
      </cdr:nvSpPr>
      <cdr:spPr>
        <a:xfrm xmlns:a="http://schemas.openxmlformats.org/drawingml/2006/main">
          <a:off x="1986020" y="1468625"/>
          <a:ext cx="502495" cy="25456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n=13</a:t>
          </a:r>
        </a:p>
      </cdr:txBody>
    </cdr:sp>
  </cdr:relSizeAnchor>
  <cdr:relSizeAnchor xmlns:cdr="http://schemas.openxmlformats.org/drawingml/2006/chartDrawing">
    <cdr:from>
      <cdr:x>0.33429</cdr:x>
      <cdr:y>0.74028</cdr:y>
    </cdr:from>
    <cdr:to>
      <cdr:x>0.41887</cdr:x>
      <cdr:y>0.84427</cdr:y>
    </cdr:to>
    <cdr:sp macro="" textlink="">
      <cdr:nvSpPr>
        <cdr:cNvPr id="13" name="Rectangle 12">
          <a:extLst xmlns:a="http://schemas.openxmlformats.org/drawingml/2006/main">
            <a:ext uri="{FF2B5EF4-FFF2-40B4-BE49-F238E27FC236}">
              <a16:creationId xmlns:a16="http://schemas.microsoft.com/office/drawing/2014/main" id="{D813A620-76FE-4545-8E0F-5352A019D30A}"/>
            </a:ext>
          </a:extLst>
        </cdr:cNvPr>
        <cdr:cNvSpPr/>
      </cdr:nvSpPr>
      <cdr:spPr>
        <a:xfrm xmlns:a="http://schemas.openxmlformats.org/drawingml/2006/main">
          <a:off x="1986020" y="1812138"/>
          <a:ext cx="502495" cy="25456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n=22</a:t>
          </a:r>
        </a:p>
      </cdr:txBody>
    </cdr:sp>
  </cdr:relSizeAnchor>
  <cdr:relSizeAnchor xmlns:cdr="http://schemas.openxmlformats.org/drawingml/2006/chartDrawing">
    <cdr:from>
      <cdr:x>0.33429</cdr:x>
      <cdr:y>0.83476</cdr:y>
    </cdr:from>
    <cdr:to>
      <cdr:x>0.41887</cdr:x>
      <cdr:y>0.93875</cdr:y>
    </cdr:to>
    <cdr:sp macro="" textlink="">
      <cdr:nvSpPr>
        <cdr:cNvPr id="14" name="Rectangle 13">
          <a:extLst xmlns:a="http://schemas.openxmlformats.org/drawingml/2006/main">
            <a:ext uri="{FF2B5EF4-FFF2-40B4-BE49-F238E27FC236}">
              <a16:creationId xmlns:a16="http://schemas.microsoft.com/office/drawing/2014/main" id="{801E61C7-D2F4-4971-A8B4-63AA23C7FDE8}"/>
            </a:ext>
          </a:extLst>
        </cdr:cNvPr>
        <cdr:cNvSpPr/>
      </cdr:nvSpPr>
      <cdr:spPr>
        <a:xfrm xmlns:a="http://schemas.openxmlformats.org/drawingml/2006/main">
          <a:off x="1986020" y="2043430"/>
          <a:ext cx="502495" cy="25456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n=36</a:t>
          </a:r>
        </a:p>
      </cdr:txBody>
    </cdr:sp>
  </cdr:relSizeAnchor>
  <cdr:relSizeAnchor xmlns:cdr="http://schemas.openxmlformats.org/drawingml/2006/chartDrawing">
    <cdr:from>
      <cdr:x>0.41276</cdr:x>
      <cdr:y>0.00346</cdr:y>
    </cdr:from>
    <cdr:to>
      <cdr:x>0.95583</cdr:x>
      <cdr:y>0.17215</cdr:y>
    </cdr:to>
    <cdr:sp macro="" textlink="">
      <cdr:nvSpPr>
        <cdr:cNvPr id="15" name="TextBox 8">
          <a:extLst xmlns:a="http://schemas.openxmlformats.org/drawingml/2006/main">
            <a:ext uri="{FF2B5EF4-FFF2-40B4-BE49-F238E27FC236}">
              <a16:creationId xmlns:a16="http://schemas.microsoft.com/office/drawing/2014/main" id="{EC13FC33-7344-4181-B2E4-14D663FCBD76}"/>
            </a:ext>
          </a:extLst>
        </cdr:cNvPr>
        <cdr:cNvSpPr txBox="1"/>
      </cdr:nvSpPr>
      <cdr:spPr>
        <a:xfrm xmlns:a="http://schemas.openxmlformats.org/drawingml/2006/main">
          <a:off x="2452256" y="8470"/>
          <a:ext cx="3226411" cy="412940"/>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400" b="1" dirty="0">
              <a:solidFill>
                <a:srgbClr val="BD9B08"/>
              </a:solidFill>
            </a:rPr>
            <a:t>Priekšdarbu pakalpojumu grupu kvalitātes vērtējums</a:t>
          </a:r>
        </a:p>
      </cdr:txBody>
    </cdr:sp>
  </cdr:relSizeAnchor>
  <cdr:relSizeAnchor xmlns:cdr="http://schemas.openxmlformats.org/drawingml/2006/chartDrawing">
    <cdr:from>
      <cdr:x>0.66991</cdr:x>
      <cdr:y>0.18493</cdr:y>
    </cdr:from>
    <cdr:to>
      <cdr:x>0.72972</cdr:x>
      <cdr:y>0.26125</cdr:y>
    </cdr:to>
    <cdr:sp macro="" textlink="">
      <cdr:nvSpPr>
        <cdr:cNvPr id="16" name="TextBox 10">
          <a:extLst xmlns:a="http://schemas.openxmlformats.org/drawingml/2006/main">
            <a:ext uri="{FF2B5EF4-FFF2-40B4-BE49-F238E27FC236}">
              <a16:creationId xmlns:a16="http://schemas.microsoft.com/office/drawing/2014/main" id="{99596B24-C943-4B78-BFA8-E5490AF5A546}"/>
            </a:ext>
          </a:extLst>
        </cdr:cNvPr>
        <cdr:cNvSpPr txBox="1"/>
      </cdr:nvSpPr>
      <cdr:spPr>
        <a:xfrm xmlns:a="http://schemas.openxmlformats.org/drawingml/2006/main">
          <a:off x="3979979" y="452685"/>
          <a:ext cx="355336" cy="186834"/>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Min</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0.72664</cdr:x>
      <cdr:y>0.18626</cdr:y>
    </cdr:from>
    <cdr:to>
      <cdr:x>0.8111</cdr:x>
      <cdr:y>0.25667</cdr:y>
    </cdr:to>
    <cdr:sp macro="" textlink="">
      <cdr:nvSpPr>
        <cdr:cNvPr id="17" name="TextBox 12">
          <a:extLst xmlns:a="http://schemas.openxmlformats.org/drawingml/2006/main">
            <a:ext uri="{FF2B5EF4-FFF2-40B4-BE49-F238E27FC236}">
              <a16:creationId xmlns:a16="http://schemas.microsoft.com/office/drawing/2014/main" id="{1D355AE0-9571-4A9C-9941-3BC85D0DC00C}"/>
            </a:ext>
          </a:extLst>
        </cdr:cNvPr>
        <cdr:cNvSpPr txBox="1"/>
      </cdr:nvSpPr>
      <cdr:spPr>
        <a:xfrm xmlns:a="http://schemas.openxmlformats.org/drawingml/2006/main">
          <a:off x="4317014" y="455955"/>
          <a:ext cx="501794" cy="17234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Max</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0.67935</cdr:x>
      <cdr:y>0.27271</cdr:y>
    </cdr:from>
    <cdr:to>
      <cdr:x>0.70724</cdr:x>
      <cdr:y>0.34774</cdr:y>
    </cdr:to>
    <cdr:sp macro="" textlink="">
      <cdr:nvSpPr>
        <cdr:cNvPr id="18" name="TextBox 10">
          <a:extLst xmlns:a="http://schemas.openxmlformats.org/drawingml/2006/main"/>
        </cdr:cNvPr>
        <cdr:cNvSpPr txBox="1"/>
      </cdr:nvSpPr>
      <cdr:spPr>
        <a:xfrm xmlns:a="http://schemas.openxmlformats.org/drawingml/2006/main">
          <a:off x="4036077" y="66756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2</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0.73608</cdr:x>
      <cdr:y>0.26812</cdr:y>
    </cdr:from>
    <cdr:to>
      <cdr:x>0.77523</cdr:x>
      <cdr:y>0.32083</cdr:y>
    </cdr:to>
    <cdr:sp macro="" textlink="">
      <cdr:nvSpPr>
        <cdr:cNvPr id="19" name="TextBox 12">
          <a:extLst xmlns:a="http://schemas.openxmlformats.org/drawingml/2006/main"/>
        </cdr:cNvPr>
        <cdr:cNvSpPr txBox="1"/>
      </cdr:nvSpPr>
      <cdr:spPr>
        <a:xfrm xmlns:a="http://schemas.openxmlformats.org/drawingml/2006/main">
          <a:off x="4373112" y="65634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0.67841</cdr:x>
      <cdr:y>0.37354</cdr:y>
    </cdr:from>
    <cdr:to>
      <cdr:x>0.7063</cdr:x>
      <cdr:y>0.4348</cdr:y>
    </cdr:to>
    <cdr:sp macro="" textlink="">
      <cdr:nvSpPr>
        <cdr:cNvPr id="20" name="TextBox 10">
          <a:extLst xmlns:a="http://schemas.openxmlformats.org/drawingml/2006/main"/>
        </cdr:cNvPr>
        <cdr:cNvSpPr txBox="1"/>
      </cdr:nvSpPr>
      <cdr:spPr>
        <a:xfrm xmlns:a="http://schemas.openxmlformats.org/drawingml/2006/main">
          <a:off x="4030467" y="914399"/>
          <a:ext cx="165675" cy="149947"/>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7</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0.67935</cdr:x>
      <cdr:y>0.52479</cdr:y>
    </cdr:from>
    <cdr:to>
      <cdr:x>0.70724</cdr:x>
      <cdr:y>0.58602</cdr:y>
    </cdr:to>
    <cdr:sp macro="" textlink="">
      <cdr:nvSpPr>
        <cdr:cNvPr id="22" name="TextBox 10">
          <a:extLst xmlns:a="http://schemas.openxmlformats.org/drawingml/2006/main"/>
        </cdr:cNvPr>
        <cdr:cNvSpPr txBox="1"/>
      </cdr:nvSpPr>
      <cdr:spPr>
        <a:xfrm xmlns:a="http://schemas.openxmlformats.org/drawingml/2006/main">
          <a:off x="4036077" y="1284649"/>
          <a:ext cx="165675" cy="1498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0.6803</cdr:x>
      <cdr:y>0.61417</cdr:y>
    </cdr:from>
    <cdr:to>
      <cdr:x>0.70818</cdr:x>
      <cdr:y>0.67307</cdr:y>
    </cdr:to>
    <cdr:sp macro="" textlink="">
      <cdr:nvSpPr>
        <cdr:cNvPr id="24" name="TextBox 10">
          <a:extLst xmlns:a="http://schemas.openxmlformats.org/drawingml/2006/main"/>
        </cdr:cNvPr>
        <cdr:cNvSpPr txBox="1"/>
      </cdr:nvSpPr>
      <cdr:spPr>
        <a:xfrm xmlns:a="http://schemas.openxmlformats.org/drawingml/2006/main">
          <a:off x="4041686" y="1503430"/>
          <a:ext cx="165675" cy="144195"/>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0.68124</cdr:x>
      <cdr:y>0.75396</cdr:y>
    </cdr:from>
    <cdr:to>
      <cdr:x>0.70913</cdr:x>
      <cdr:y>0.81971</cdr:y>
    </cdr:to>
    <cdr:sp macro="" textlink="">
      <cdr:nvSpPr>
        <cdr:cNvPr id="26" name="TextBox 10">
          <a:extLst xmlns:a="http://schemas.openxmlformats.org/drawingml/2006/main"/>
        </cdr:cNvPr>
        <cdr:cNvSpPr txBox="1"/>
      </cdr:nvSpPr>
      <cdr:spPr>
        <a:xfrm xmlns:a="http://schemas.openxmlformats.org/drawingml/2006/main">
          <a:off x="4047296" y="1845630"/>
          <a:ext cx="165675" cy="160953"/>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0.68219</cdr:x>
      <cdr:y>0.85479</cdr:y>
    </cdr:from>
    <cdr:to>
      <cdr:x>0.71007</cdr:x>
      <cdr:y>0.92051</cdr:y>
    </cdr:to>
    <cdr:sp macro="" textlink="">
      <cdr:nvSpPr>
        <cdr:cNvPr id="28" name="TextBox 10">
          <a:extLst xmlns:a="http://schemas.openxmlformats.org/drawingml/2006/main"/>
        </cdr:cNvPr>
        <cdr:cNvSpPr txBox="1"/>
      </cdr:nvSpPr>
      <cdr:spPr>
        <a:xfrm xmlns:a="http://schemas.openxmlformats.org/drawingml/2006/main">
          <a:off x="4052907" y="2092462"/>
          <a:ext cx="165675" cy="160882"/>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0.73608</cdr:x>
      <cdr:y>0.37125</cdr:y>
    </cdr:from>
    <cdr:to>
      <cdr:x>0.77523</cdr:x>
      <cdr:y>0.42396</cdr:y>
    </cdr:to>
    <cdr:sp macro="" textlink="">
      <cdr:nvSpPr>
        <cdr:cNvPr id="30" name="TextBox 12">
          <a:extLst xmlns:a="http://schemas.openxmlformats.org/drawingml/2006/main"/>
        </cdr:cNvPr>
        <cdr:cNvSpPr txBox="1"/>
      </cdr:nvSpPr>
      <cdr:spPr>
        <a:xfrm xmlns:a="http://schemas.openxmlformats.org/drawingml/2006/main">
          <a:off x="4373112" y="90879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0.73514</cdr:x>
      <cdr:y>0.52021</cdr:y>
    </cdr:from>
    <cdr:to>
      <cdr:x>0.77428</cdr:x>
      <cdr:y>0.57292</cdr:y>
    </cdr:to>
    <cdr:sp macro="" textlink="">
      <cdr:nvSpPr>
        <cdr:cNvPr id="31" name="TextBox 12">
          <a:extLst xmlns:a="http://schemas.openxmlformats.org/drawingml/2006/main"/>
        </cdr:cNvPr>
        <cdr:cNvSpPr txBox="1"/>
      </cdr:nvSpPr>
      <cdr:spPr>
        <a:xfrm xmlns:a="http://schemas.openxmlformats.org/drawingml/2006/main">
          <a:off x="4367502" y="1273428"/>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0.73608</cdr:x>
      <cdr:y>0.60958</cdr:y>
    </cdr:from>
    <cdr:to>
      <cdr:x>0.77523</cdr:x>
      <cdr:y>0.66229</cdr:y>
    </cdr:to>
    <cdr:sp macro="" textlink="">
      <cdr:nvSpPr>
        <cdr:cNvPr id="32" name="TextBox 12">
          <a:extLst xmlns:a="http://schemas.openxmlformats.org/drawingml/2006/main"/>
        </cdr:cNvPr>
        <cdr:cNvSpPr txBox="1"/>
      </cdr:nvSpPr>
      <cdr:spPr>
        <a:xfrm xmlns:a="http://schemas.openxmlformats.org/drawingml/2006/main">
          <a:off x="4373112" y="1492212"/>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0.73608</cdr:x>
      <cdr:y>0.75854</cdr:y>
    </cdr:from>
    <cdr:to>
      <cdr:x>0.77523</cdr:x>
      <cdr:y>0.81125</cdr:y>
    </cdr:to>
    <cdr:sp macro="" textlink="">
      <cdr:nvSpPr>
        <cdr:cNvPr id="33" name="TextBox 12">
          <a:extLst xmlns:a="http://schemas.openxmlformats.org/drawingml/2006/main"/>
        </cdr:cNvPr>
        <cdr:cNvSpPr txBox="1"/>
      </cdr:nvSpPr>
      <cdr:spPr>
        <a:xfrm xmlns:a="http://schemas.openxmlformats.org/drawingml/2006/main">
          <a:off x="4373112" y="185684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0.73608</cdr:x>
      <cdr:y>0.85479</cdr:y>
    </cdr:from>
    <cdr:to>
      <cdr:x>0.77523</cdr:x>
      <cdr:y>0.9075</cdr:y>
    </cdr:to>
    <cdr:sp macro="" textlink="">
      <cdr:nvSpPr>
        <cdr:cNvPr id="34" name="TextBox 12">
          <a:extLst xmlns:a="http://schemas.openxmlformats.org/drawingml/2006/main"/>
        </cdr:cNvPr>
        <cdr:cNvSpPr txBox="1"/>
      </cdr:nvSpPr>
      <cdr:spPr>
        <a:xfrm xmlns:a="http://schemas.openxmlformats.org/drawingml/2006/main">
          <a:off x="4373112" y="209246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userShapes>
</file>

<file path=word/drawings/drawing7.xml><?xml version="1.0" encoding="utf-8"?>
<c:userShapes xmlns:c="http://schemas.openxmlformats.org/drawingml/2006/chart">
  <cdr:relSizeAnchor xmlns:cdr="http://schemas.openxmlformats.org/drawingml/2006/chartDrawing">
    <cdr:from>
      <cdr:x>0.38684</cdr:x>
      <cdr:y>0.01776</cdr:y>
    </cdr:from>
    <cdr:to>
      <cdr:x>0.99564</cdr:x>
      <cdr:y>0.10276</cdr:y>
    </cdr:to>
    <cdr:sp macro="" textlink="">
      <cdr:nvSpPr>
        <cdr:cNvPr id="2" name="TextBox 8">
          <a:extLst xmlns:a="http://schemas.openxmlformats.org/drawingml/2006/main">
            <a:ext uri="{FF2B5EF4-FFF2-40B4-BE49-F238E27FC236}">
              <a16:creationId xmlns:a16="http://schemas.microsoft.com/office/drawing/2014/main" id="{5F0E9571-0F6C-4493-82BD-9BE73EE2481B}"/>
            </a:ext>
          </a:extLst>
        </cdr:cNvPr>
        <cdr:cNvSpPr txBox="1"/>
      </cdr:nvSpPr>
      <cdr:spPr>
        <a:xfrm xmlns:a="http://schemas.openxmlformats.org/drawingml/2006/main">
          <a:off x="2298221" y="86265"/>
          <a:ext cx="3616960" cy="412934"/>
        </a:xfrm>
        <a:prstGeom xmlns:a="http://schemas.openxmlformats.org/drawingml/2006/main" prst="rect">
          <a:avLst/>
        </a:prstGeom>
        <a:noFill xmlns:a="http://schemas.openxmlformats.org/drawingml/2006/main"/>
      </cdr:spPr>
      <cdr:txBody>
        <a:bodyPr xmlns:a="http://schemas.openxmlformats.org/drawingml/2006/main" wrap="square" lIns="0" tIns="0" rIns="0" bIns="0" rtlCol="0">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400" b="1" dirty="0">
              <a:solidFill>
                <a:srgbClr val="BD9B08"/>
              </a:solidFill>
            </a:rPr>
            <a:t>Projektēšanas pakalpojumu grupu kvalitātes vērtējums</a:t>
          </a:r>
        </a:p>
      </cdr:txBody>
    </cdr:sp>
  </cdr:relSizeAnchor>
  <cdr:relSizeAnchor xmlns:cdr="http://schemas.openxmlformats.org/drawingml/2006/chartDrawing">
    <cdr:from>
      <cdr:x>0.30729</cdr:x>
      <cdr:y>0.91362</cdr:y>
    </cdr:from>
    <cdr:to>
      <cdr:x>0.37867</cdr:x>
      <cdr:y>0.96602</cdr:y>
    </cdr:to>
    <cdr:sp macro="" textlink="">
      <cdr:nvSpPr>
        <cdr:cNvPr id="5" name="Rectangle 4">
          <a:extLst xmlns:a="http://schemas.openxmlformats.org/drawingml/2006/main">
            <a:ext uri="{FF2B5EF4-FFF2-40B4-BE49-F238E27FC236}">
              <a16:creationId xmlns:a16="http://schemas.microsoft.com/office/drawing/2014/main" id="{769A2FB3-88A3-40C6-9555-FB02B6405642}"/>
            </a:ext>
          </a:extLst>
        </cdr:cNvPr>
        <cdr:cNvSpPr/>
      </cdr:nvSpPr>
      <cdr:spPr>
        <a:xfrm xmlns:a="http://schemas.openxmlformats.org/drawingml/2006/main">
          <a:off x="1825647" y="4438120"/>
          <a:ext cx="424026"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n=6</a:t>
          </a:r>
        </a:p>
      </cdr:txBody>
    </cdr:sp>
  </cdr:relSizeAnchor>
  <cdr:relSizeAnchor xmlns:cdr="http://schemas.openxmlformats.org/drawingml/2006/chartDrawing">
    <cdr:from>
      <cdr:x>0.30729</cdr:x>
      <cdr:y>0.86733</cdr:y>
    </cdr:from>
    <cdr:to>
      <cdr:x>0.37867</cdr:x>
      <cdr:y>0.91974</cdr:y>
    </cdr:to>
    <cdr:sp macro="" textlink="">
      <cdr:nvSpPr>
        <cdr:cNvPr id="6" name="Rectangle 5">
          <a:extLst xmlns:a="http://schemas.openxmlformats.org/drawingml/2006/main">
            <a:ext uri="{FF2B5EF4-FFF2-40B4-BE49-F238E27FC236}">
              <a16:creationId xmlns:a16="http://schemas.microsoft.com/office/drawing/2014/main" id="{04F8C5B3-D9EB-4FB2-9BA6-D7275357868E}"/>
            </a:ext>
          </a:extLst>
        </cdr:cNvPr>
        <cdr:cNvSpPr/>
      </cdr:nvSpPr>
      <cdr:spPr>
        <a:xfrm xmlns:a="http://schemas.openxmlformats.org/drawingml/2006/main">
          <a:off x="1825647" y="4213286"/>
          <a:ext cx="424026"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n=5</a:t>
          </a:r>
        </a:p>
      </cdr:txBody>
    </cdr:sp>
  </cdr:relSizeAnchor>
  <cdr:relSizeAnchor xmlns:cdr="http://schemas.openxmlformats.org/drawingml/2006/chartDrawing">
    <cdr:from>
      <cdr:x>0.30838</cdr:x>
      <cdr:y>0.82105</cdr:y>
    </cdr:from>
    <cdr:to>
      <cdr:x>0.39297</cdr:x>
      <cdr:y>0.87345</cdr:y>
    </cdr:to>
    <cdr:sp macro="" textlink="">
      <cdr:nvSpPr>
        <cdr:cNvPr id="8" name="Rectangle 7">
          <a:extLst xmlns:a="http://schemas.openxmlformats.org/drawingml/2006/main">
            <a:ext uri="{FF2B5EF4-FFF2-40B4-BE49-F238E27FC236}">
              <a16:creationId xmlns:a16="http://schemas.microsoft.com/office/drawing/2014/main" id="{505861E8-7ED3-45A2-933E-264572B169CF}"/>
            </a:ext>
          </a:extLst>
        </cdr:cNvPr>
        <cdr:cNvSpPr/>
      </cdr:nvSpPr>
      <cdr:spPr>
        <a:xfrm xmlns:a="http://schemas.openxmlformats.org/drawingml/2006/main">
          <a:off x="1832123" y="3988447"/>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n=21</a:t>
          </a:r>
        </a:p>
      </cdr:txBody>
    </cdr:sp>
  </cdr:relSizeAnchor>
  <cdr:relSizeAnchor xmlns:cdr="http://schemas.openxmlformats.org/drawingml/2006/chartDrawing">
    <cdr:from>
      <cdr:x>0.30838</cdr:x>
      <cdr:y>0.77476</cdr:y>
    </cdr:from>
    <cdr:to>
      <cdr:x>0.39297</cdr:x>
      <cdr:y>0.82717</cdr:y>
    </cdr:to>
    <cdr:sp macro="" textlink="">
      <cdr:nvSpPr>
        <cdr:cNvPr id="9" name="Rectangle 8">
          <a:extLst xmlns:a="http://schemas.openxmlformats.org/drawingml/2006/main">
            <a:ext uri="{FF2B5EF4-FFF2-40B4-BE49-F238E27FC236}">
              <a16:creationId xmlns:a16="http://schemas.microsoft.com/office/drawing/2014/main" id="{E1632130-8B1D-40F6-A4D7-78BEF74EA601}"/>
            </a:ext>
          </a:extLst>
        </cdr:cNvPr>
        <cdr:cNvSpPr/>
      </cdr:nvSpPr>
      <cdr:spPr>
        <a:xfrm xmlns:a="http://schemas.openxmlformats.org/drawingml/2006/main">
          <a:off x="1832123" y="3763608"/>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n=15</a:t>
          </a:r>
        </a:p>
      </cdr:txBody>
    </cdr:sp>
  </cdr:relSizeAnchor>
  <cdr:relSizeAnchor xmlns:cdr="http://schemas.openxmlformats.org/drawingml/2006/chartDrawing">
    <cdr:from>
      <cdr:x>0.30838</cdr:x>
      <cdr:y>0.72848</cdr:y>
    </cdr:from>
    <cdr:to>
      <cdr:x>0.39297</cdr:x>
      <cdr:y>0.78088</cdr:y>
    </cdr:to>
    <cdr:sp macro="" textlink="">
      <cdr:nvSpPr>
        <cdr:cNvPr id="10" name="Rectangle 9">
          <a:extLst xmlns:a="http://schemas.openxmlformats.org/drawingml/2006/main">
            <a:ext uri="{FF2B5EF4-FFF2-40B4-BE49-F238E27FC236}">
              <a16:creationId xmlns:a16="http://schemas.microsoft.com/office/drawing/2014/main" id="{D80C8C03-16CF-43D7-BE8A-D665B0CD3250}"/>
            </a:ext>
          </a:extLst>
        </cdr:cNvPr>
        <cdr:cNvSpPr/>
      </cdr:nvSpPr>
      <cdr:spPr>
        <a:xfrm xmlns:a="http://schemas.openxmlformats.org/drawingml/2006/main">
          <a:off x="1832123" y="3538769"/>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n=25</a:t>
          </a:r>
        </a:p>
      </cdr:txBody>
    </cdr:sp>
  </cdr:relSizeAnchor>
  <cdr:relSizeAnchor xmlns:cdr="http://schemas.openxmlformats.org/drawingml/2006/chartDrawing">
    <cdr:from>
      <cdr:x>0.30838</cdr:x>
      <cdr:y>0.68219</cdr:y>
    </cdr:from>
    <cdr:to>
      <cdr:x>0.39297</cdr:x>
      <cdr:y>0.7346</cdr:y>
    </cdr:to>
    <cdr:sp macro="" textlink="">
      <cdr:nvSpPr>
        <cdr:cNvPr id="11" name="Rectangle 10">
          <a:extLst xmlns:a="http://schemas.openxmlformats.org/drawingml/2006/main">
            <a:ext uri="{FF2B5EF4-FFF2-40B4-BE49-F238E27FC236}">
              <a16:creationId xmlns:a16="http://schemas.microsoft.com/office/drawing/2014/main" id="{DB2437A0-8509-4D20-89B1-9EF06BC9F191}"/>
            </a:ext>
          </a:extLst>
        </cdr:cNvPr>
        <cdr:cNvSpPr/>
      </cdr:nvSpPr>
      <cdr:spPr>
        <a:xfrm xmlns:a="http://schemas.openxmlformats.org/drawingml/2006/main">
          <a:off x="1832123" y="3313930"/>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n=14</a:t>
          </a:r>
        </a:p>
      </cdr:txBody>
    </cdr:sp>
  </cdr:relSizeAnchor>
  <cdr:relSizeAnchor xmlns:cdr="http://schemas.openxmlformats.org/drawingml/2006/chartDrawing">
    <cdr:from>
      <cdr:x>0.30838</cdr:x>
      <cdr:y>0.63591</cdr:y>
    </cdr:from>
    <cdr:to>
      <cdr:x>0.39297</cdr:x>
      <cdr:y>0.68831</cdr:y>
    </cdr:to>
    <cdr:sp macro="" textlink="">
      <cdr:nvSpPr>
        <cdr:cNvPr id="12" name="Rectangle 11">
          <a:extLst xmlns:a="http://schemas.openxmlformats.org/drawingml/2006/main">
            <a:ext uri="{FF2B5EF4-FFF2-40B4-BE49-F238E27FC236}">
              <a16:creationId xmlns:a16="http://schemas.microsoft.com/office/drawing/2014/main" id="{2C870CF9-B4B1-4802-AD94-DAE6E4DDE279}"/>
            </a:ext>
          </a:extLst>
        </cdr:cNvPr>
        <cdr:cNvSpPr/>
      </cdr:nvSpPr>
      <cdr:spPr>
        <a:xfrm xmlns:a="http://schemas.openxmlformats.org/drawingml/2006/main">
          <a:off x="1832123" y="3089091"/>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n=17</a:t>
          </a:r>
        </a:p>
      </cdr:txBody>
    </cdr:sp>
  </cdr:relSizeAnchor>
  <cdr:relSizeAnchor xmlns:cdr="http://schemas.openxmlformats.org/drawingml/2006/chartDrawing">
    <cdr:from>
      <cdr:x>0.30838</cdr:x>
      <cdr:y>0.58963</cdr:y>
    </cdr:from>
    <cdr:to>
      <cdr:x>0.39297</cdr:x>
      <cdr:y>0.64203</cdr:y>
    </cdr:to>
    <cdr:sp macro="" textlink="">
      <cdr:nvSpPr>
        <cdr:cNvPr id="13" name="Rectangle 12">
          <a:extLst xmlns:a="http://schemas.openxmlformats.org/drawingml/2006/main">
            <a:ext uri="{FF2B5EF4-FFF2-40B4-BE49-F238E27FC236}">
              <a16:creationId xmlns:a16="http://schemas.microsoft.com/office/drawing/2014/main" id="{DF6D2762-C7FC-4637-A8F6-554FAA48F505}"/>
            </a:ext>
          </a:extLst>
        </cdr:cNvPr>
        <cdr:cNvSpPr/>
      </cdr:nvSpPr>
      <cdr:spPr>
        <a:xfrm xmlns:a="http://schemas.openxmlformats.org/drawingml/2006/main">
          <a:off x="1832123" y="2864252"/>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n=14</a:t>
          </a:r>
        </a:p>
      </cdr:txBody>
    </cdr:sp>
  </cdr:relSizeAnchor>
  <cdr:relSizeAnchor xmlns:cdr="http://schemas.openxmlformats.org/drawingml/2006/chartDrawing">
    <cdr:from>
      <cdr:x>0.30838</cdr:x>
      <cdr:y>0.54334</cdr:y>
    </cdr:from>
    <cdr:to>
      <cdr:x>0.39297</cdr:x>
      <cdr:y>0.59574</cdr:y>
    </cdr:to>
    <cdr:sp macro="" textlink="">
      <cdr:nvSpPr>
        <cdr:cNvPr id="14" name="Rectangle 13">
          <a:extLst xmlns:a="http://schemas.openxmlformats.org/drawingml/2006/main">
            <a:ext uri="{FF2B5EF4-FFF2-40B4-BE49-F238E27FC236}">
              <a16:creationId xmlns:a16="http://schemas.microsoft.com/office/drawing/2014/main" id="{3633B924-FC5A-44EE-B56A-50D5144272C5}"/>
            </a:ext>
          </a:extLst>
        </cdr:cNvPr>
        <cdr:cNvSpPr/>
      </cdr:nvSpPr>
      <cdr:spPr>
        <a:xfrm xmlns:a="http://schemas.openxmlformats.org/drawingml/2006/main">
          <a:off x="1832123" y="2639413"/>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n=20</a:t>
          </a:r>
        </a:p>
      </cdr:txBody>
    </cdr:sp>
  </cdr:relSizeAnchor>
  <cdr:relSizeAnchor xmlns:cdr="http://schemas.openxmlformats.org/drawingml/2006/chartDrawing">
    <cdr:from>
      <cdr:x>0.30838</cdr:x>
      <cdr:y>0.49706</cdr:y>
    </cdr:from>
    <cdr:to>
      <cdr:x>0.39297</cdr:x>
      <cdr:y>0.54946</cdr:y>
    </cdr:to>
    <cdr:sp macro="" textlink="">
      <cdr:nvSpPr>
        <cdr:cNvPr id="15" name="Rectangle 14">
          <a:extLst xmlns:a="http://schemas.openxmlformats.org/drawingml/2006/main">
            <a:ext uri="{FF2B5EF4-FFF2-40B4-BE49-F238E27FC236}">
              <a16:creationId xmlns:a16="http://schemas.microsoft.com/office/drawing/2014/main" id="{079BBD6A-EB1E-42C6-ACFF-1224E6A6356C}"/>
            </a:ext>
          </a:extLst>
        </cdr:cNvPr>
        <cdr:cNvSpPr/>
      </cdr:nvSpPr>
      <cdr:spPr>
        <a:xfrm xmlns:a="http://schemas.openxmlformats.org/drawingml/2006/main">
          <a:off x="1832123" y="2414574"/>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n=17</a:t>
          </a:r>
        </a:p>
      </cdr:txBody>
    </cdr:sp>
  </cdr:relSizeAnchor>
  <cdr:relSizeAnchor xmlns:cdr="http://schemas.openxmlformats.org/drawingml/2006/chartDrawing">
    <cdr:from>
      <cdr:x>0.30838</cdr:x>
      <cdr:y>0.45077</cdr:y>
    </cdr:from>
    <cdr:to>
      <cdr:x>0.39297</cdr:x>
      <cdr:y>0.50317</cdr:y>
    </cdr:to>
    <cdr:sp macro="" textlink="">
      <cdr:nvSpPr>
        <cdr:cNvPr id="16" name="Rectangle 15">
          <a:extLst xmlns:a="http://schemas.openxmlformats.org/drawingml/2006/main">
            <a:ext uri="{FF2B5EF4-FFF2-40B4-BE49-F238E27FC236}">
              <a16:creationId xmlns:a16="http://schemas.microsoft.com/office/drawing/2014/main" id="{A471E6C0-109B-4DD3-9E40-50E65F88FED8}"/>
            </a:ext>
          </a:extLst>
        </cdr:cNvPr>
        <cdr:cNvSpPr/>
      </cdr:nvSpPr>
      <cdr:spPr>
        <a:xfrm xmlns:a="http://schemas.openxmlformats.org/drawingml/2006/main">
          <a:off x="1832123" y="2189735"/>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n=13</a:t>
          </a:r>
        </a:p>
      </cdr:txBody>
    </cdr:sp>
  </cdr:relSizeAnchor>
  <cdr:relSizeAnchor xmlns:cdr="http://schemas.openxmlformats.org/drawingml/2006/chartDrawing">
    <cdr:from>
      <cdr:x>0.30838</cdr:x>
      <cdr:y>0.40449</cdr:y>
    </cdr:from>
    <cdr:to>
      <cdr:x>0.39297</cdr:x>
      <cdr:y>0.45689</cdr:y>
    </cdr:to>
    <cdr:sp macro="" textlink="">
      <cdr:nvSpPr>
        <cdr:cNvPr id="17" name="Rectangle 16">
          <a:extLst xmlns:a="http://schemas.openxmlformats.org/drawingml/2006/main">
            <a:ext uri="{FF2B5EF4-FFF2-40B4-BE49-F238E27FC236}">
              <a16:creationId xmlns:a16="http://schemas.microsoft.com/office/drawing/2014/main" id="{A750297B-B705-43C7-B654-1CC1AE7F7397}"/>
            </a:ext>
          </a:extLst>
        </cdr:cNvPr>
        <cdr:cNvSpPr/>
      </cdr:nvSpPr>
      <cdr:spPr>
        <a:xfrm xmlns:a="http://schemas.openxmlformats.org/drawingml/2006/main">
          <a:off x="1832123" y="1964896"/>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n=10</a:t>
          </a:r>
        </a:p>
      </cdr:txBody>
    </cdr:sp>
  </cdr:relSizeAnchor>
  <cdr:relSizeAnchor xmlns:cdr="http://schemas.openxmlformats.org/drawingml/2006/chartDrawing">
    <cdr:from>
      <cdr:x>0.30838</cdr:x>
      <cdr:y>0.3582</cdr:y>
    </cdr:from>
    <cdr:to>
      <cdr:x>0.39297</cdr:x>
      <cdr:y>0.4106</cdr:y>
    </cdr:to>
    <cdr:sp macro="" textlink="">
      <cdr:nvSpPr>
        <cdr:cNvPr id="18" name="Rectangle 17">
          <a:extLst xmlns:a="http://schemas.openxmlformats.org/drawingml/2006/main">
            <a:ext uri="{FF2B5EF4-FFF2-40B4-BE49-F238E27FC236}">
              <a16:creationId xmlns:a16="http://schemas.microsoft.com/office/drawing/2014/main" id="{B0E636B8-77B3-40B5-8AC7-25D92524F5D8}"/>
            </a:ext>
          </a:extLst>
        </cdr:cNvPr>
        <cdr:cNvSpPr/>
      </cdr:nvSpPr>
      <cdr:spPr>
        <a:xfrm xmlns:a="http://schemas.openxmlformats.org/drawingml/2006/main">
          <a:off x="1832123" y="1740057"/>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n=28</a:t>
          </a:r>
        </a:p>
      </cdr:txBody>
    </cdr:sp>
  </cdr:relSizeAnchor>
  <cdr:relSizeAnchor xmlns:cdr="http://schemas.openxmlformats.org/drawingml/2006/chartDrawing">
    <cdr:from>
      <cdr:x>0.30838</cdr:x>
      <cdr:y>0.31192</cdr:y>
    </cdr:from>
    <cdr:to>
      <cdr:x>0.39297</cdr:x>
      <cdr:y>0.36432</cdr:y>
    </cdr:to>
    <cdr:sp macro="" textlink="">
      <cdr:nvSpPr>
        <cdr:cNvPr id="19" name="Rectangle 18">
          <a:extLst xmlns:a="http://schemas.openxmlformats.org/drawingml/2006/main">
            <a:ext uri="{FF2B5EF4-FFF2-40B4-BE49-F238E27FC236}">
              <a16:creationId xmlns:a16="http://schemas.microsoft.com/office/drawing/2014/main" id="{6025024D-7245-417A-89A3-1F73341FF295}"/>
            </a:ext>
          </a:extLst>
        </cdr:cNvPr>
        <cdr:cNvSpPr/>
      </cdr:nvSpPr>
      <cdr:spPr>
        <a:xfrm xmlns:a="http://schemas.openxmlformats.org/drawingml/2006/main">
          <a:off x="1832123" y="1515218"/>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n=16</a:t>
          </a:r>
        </a:p>
      </cdr:txBody>
    </cdr:sp>
  </cdr:relSizeAnchor>
  <cdr:relSizeAnchor xmlns:cdr="http://schemas.openxmlformats.org/drawingml/2006/chartDrawing">
    <cdr:from>
      <cdr:x>0.30838</cdr:x>
      <cdr:y>0.26563</cdr:y>
    </cdr:from>
    <cdr:to>
      <cdr:x>0.39297</cdr:x>
      <cdr:y>0.31804</cdr:y>
    </cdr:to>
    <cdr:sp macro="" textlink="">
      <cdr:nvSpPr>
        <cdr:cNvPr id="20" name="Rectangle 19">
          <a:extLst xmlns:a="http://schemas.openxmlformats.org/drawingml/2006/main">
            <a:ext uri="{FF2B5EF4-FFF2-40B4-BE49-F238E27FC236}">
              <a16:creationId xmlns:a16="http://schemas.microsoft.com/office/drawing/2014/main" id="{F9272D9E-3417-4B99-9967-19492757A399}"/>
            </a:ext>
          </a:extLst>
        </cdr:cNvPr>
        <cdr:cNvSpPr/>
      </cdr:nvSpPr>
      <cdr:spPr>
        <a:xfrm xmlns:a="http://schemas.openxmlformats.org/drawingml/2006/main">
          <a:off x="1832123" y="1290379"/>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n=25</a:t>
          </a:r>
        </a:p>
      </cdr:txBody>
    </cdr:sp>
  </cdr:relSizeAnchor>
  <cdr:relSizeAnchor xmlns:cdr="http://schemas.openxmlformats.org/drawingml/2006/chartDrawing">
    <cdr:from>
      <cdr:x>0.30838</cdr:x>
      <cdr:y>0.21935</cdr:y>
    </cdr:from>
    <cdr:to>
      <cdr:x>0.39297</cdr:x>
      <cdr:y>0.27175</cdr:y>
    </cdr:to>
    <cdr:sp macro="" textlink="">
      <cdr:nvSpPr>
        <cdr:cNvPr id="21" name="Rectangle 20">
          <a:extLst xmlns:a="http://schemas.openxmlformats.org/drawingml/2006/main">
            <a:ext uri="{FF2B5EF4-FFF2-40B4-BE49-F238E27FC236}">
              <a16:creationId xmlns:a16="http://schemas.microsoft.com/office/drawing/2014/main" id="{40CD5550-0DE8-467A-8507-6861B1503BE9}"/>
            </a:ext>
          </a:extLst>
        </cdr:cNvPr>
        <cdr:cNvSpPr/>
      </cdr:nvSpPr>
      <cdr:spPr>
        <a:xfrm xmlns:a="http://schemas.openxmlformats.org/drawingml/2006/main">
          <a:off x="1832123" y="1065540"/>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n=19</a:t>
          </a:r>
        </a:p>
      </cdr:txBody>
    </cdr:sp>
  </cdr:relSizeAnchor>
  <cdr:relSizeAnchor xmlns:cdr="http://schemas.openxmlformats.org/drawingml/2006/chartDrawing">
    <cdr:from>
      <cdr:x>0.30838</cdr:x>
      <cdr:y>0.17306</cdr:y>
    </cdr:from>
    <cdr:to>
      <cdr:x>0.39297</cdr:x>
      <cdr:y>0.22547</cdr:y>
    </cdr:to>
    <cdr:sp macro="" textlink="">
      <cdr:nvSpPr>
        <cdr:cNvPr id="23" name="Rectangle 22">
          <a:extLst xmlns:a="http://schemas.openxmlformats.org/drawingml/2006/main">
            <a:ext uri="{FF2B5EF4-FFF2-40B4-BE49-F238E27FC236}">
              <a16:creationId xmlns:a16="http://schemas.microsoft.com/office/drawing/2014/main" id="{071AFEFA-21D6-4BB7-9866-C204B2AF8848}"/>
            </a:ext>
          </a:extLst>
        </cdr:cNvPr>
        <cdr:cNvSpPr/>
      </cdr:nvSpPr>
      <cdr:spPr>
        <a:xfrm xmlns:a="http://schemas.openxmlformats.org/drawingml/2006/main">
          <a:off x="1832123" y="840701"/>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n=42</a:t>
          </a:r>
        </a:p>
      </cdr:txBody>
    </cdr:sp>
  </cdr:relSizeAnchor>
  <cdr:relSizeAnchor xmlns:cdr="http://schemas.openxmlformats.org/drawingml/2006/chartDrawing">
    <cdr:from>
      <cdr:x>0.30838</cdr:x>
      <cdr:y>0.12678</cdr:y>
    </cdr:from>
    <cdr:to>
      <cdr:x>0.39297</cdr:x>
      <cdr:y>0.17918</cdr:y>
    </cdr:to>
    <cdr:sp macro="" textlink="">
      <cdr:nvSpPr>
        <cdr:cNvPr id="24" name="Rectangle 23">
          <a:extLst xmlns:a="http://schemas.openxmlformats.org/drawingml/2006/main">
            <a:ext uri="{FF2B5EF4-FFF2-40B4-BE49-F238E27FC236}">
              <a16:creationId xmlns:a16="http://schemas.microsoft.com/office/drawing/2014/main" id="{8C15F1EE-7C5D-4344-B4F4-6F0342EDA0C5}"/>
            </a:ext>
          </a:extLst>
        </cdr:cNvPr>
        <cdr:cNvSpPr/>
      </cdr:nvSpPr>
      <cdr:spPr>
        <a:xfrm xmlns:a="http://schemas.openxmlformats.org/drawingml/2006/main">
          <a:off x="1832123" y="615862"/>
          <a:ext cx="502509" cy="254557"/>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n=28</a:t>
          </a:r>
        </a:p>
      </cdr:txBody>
    </cdr:sp>
  </cdr:relSizeAnchor>
  <cdr:relSizeAnchor xmlns:cdr="http://schemas.openxmlformats.org/drawingml/2006/chartDrawing">
    <cdr:from>
      <cdr:x>0.68413</cdr:x>
      <cdr:y>0.08979</cdr:y>
    </cdr:from>
    <cdr:to>
      <cdr:x>0.74394</cdr:x>
      <cdr:y>0.12825</cdr:y>
    </cdr:to>
    <cdr:sp macro="" textlink="">
      <cdr:nvSpPr>
        <cdr:cNvPr id="22" name="TextBox 10">
          <a:extLst xmlns:a="http://schemas.openxmlformats.org/drawingml/2006/main"/>
        </cdr:cNvPr>
        <cdr:cNvSpPr txBox="1"/>
      </cdr:nvSpPr>
      <cdr:spPr>
        <a:xfrm xmlns:a="http://schemas.openxmlformats.org/drawingml/2006/main">
          <a:off x="4064438" y="436167"/>
          <a:ext cx="355336" cy="186834"/>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Min</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0.74086</cdr:x>
      <cdr:y>0.09046</cdr:y>
    </cdr:from>
    <cdr:to>
      <cdr:x>0.82532</cdr:x>
      <cdr:y>0.12594</cdr:y>
    </cdr:to>
    <cdr:sp macro="" textlink="">
      <cdr:nvSpPr>
        <cdr:cNvPr id="25" name="TextBox 12">
          <a:extLst xmlns:a="http://schemas.openxmlformats.org/drawingml/2006/main"/>
        </cdr:cNvPr>
        <cdr:cNvSpPr txBox="1"/>
      </cdr:nvSpPr>
      <cdr:spPr>
        <a:xfrm xmlns:a="http://schemas.openxmlformats.org/drawingml/2006/main">
          <a:off x="4401473" y="439437"/>
          <a:ext cx="501794" cy="17234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Max</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0.1398</cdr:y>
    </cdr:from>
    <cdr:to>
      <cdr:x>0.72146</cdr:x>
      <cdr:y>0.17761</cdr:y>
    </cdr:to>
    <cdr:sp macro="" textlink="">
      <cdr:nvSpPr>
        <cdr:cNvPr id="26" name="TextBox 10">
          <a:extLst xmlns:a="http://schemas.openxmlformats.org/drawingml/2006/main"/>
        </cdr:cNvPr>
        <cdr:cNvSpPr txBox="1"/>
      </cdr:nvSpPr>
      <cdr:spPr>
        <a:xfrm xmlns:a="http://schemas.openxmlformats.org/drawingml/2006/main">
          <a:off x="4120536" y="679100"/>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2</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0.13749</cdr:y>
    </cdr:from>
    <cdr:to>
      <cdr:x>0.78944</cdr:x>
      <cdr:y>0.16405</cdr:y>
    </cdr:to>
    <cdr:sp macro="" textlink="">
      <cdr:nvSpPr>
        <cdr:cNvPr id="27" name="TextBox 12">
          <a:extLst xmlns:a="http://schemas.openxmlformats.org/drawingml/2006/main"/>
        </cdr:cNvPr>
        <cdr:cNvSpPr txBox="1"/>
      </cdr:nvSpPr>
      <cdr:spPr>
        <a:xfrm xmlns:a="http://schemas.openxmlformats.org/drawingml/2006/main">
          <a:off x="4457571" y="667880"/>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0.69451</cdr:x>
      <cdr:y>0.17906</cdr:y>
    </cdr:from>
    <cdr:to>
      <cdr:x>0.7224</cdr:x>
      <cdr:y>0.21687</cdr:y>
    </cdr:to>
    <cdr:sp macro="" textlink="">
      <cdr:nvSpPr>
        <cdr:cNvPr id="28" name="TextBox 10">
          <a:extLst xmlns:a="http://schemas.openxmlformats.org/drawingml/2006/main"/>
        </cdr:cNvPr>
        <cdr:cNvSpPr txBox="1"/>
      </cdr:nvSpPr>
      <cdr:spPr>
        <a:xfrm xmlns:a="http://schemas.openxmlformats.org/drawingml/2006/main">
          <a:off x="4126145" y="869834"/>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0.75124</cdr:x>
      <cdr:y>0.17675</cdr:y>
    </cdr:from>
    <cdr:to>
      <cdr:x>0.79039</cdr:x>
      <cdr:y>0.20331</cdr:y>
    </cdr:to>
    <cdr:sp macro="" textlink="">
      <cdr:nvSpPr>
        <cdr:cNvPr id="29" name="TextBox 12">
          <a:extLst xmlns:a="http://schemas.openxmlformats.org/drawingml/2006/main"/>
        </cdr:cNvPr>
        <cdr:cNvSpPr txBox="1"/>
      </cdr:nvSpPr>
      <cdr:spPr>
        <a:xfrm xmlns:a="http://schemas.openxmlformats.org/drawingml/2006/main">
          <a:off x="4463180" y="858614"/>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0.23218</cdr:y>
    </cdr:from>
    <cdr:to>
      <cdr:x>0.72146</cdr:x>
      <cdr:y>0.26999</cdr:y>
    </cdr:to>
    <cdr:sp macro="" textlink="">
      <cdr:nvSpPr>
        <cdr:cNvPr id="30" name="TextBox 10">
          <a:extLst xmlns:a="http://schemas.openxmlformats.org/drawingml/2006/main"/>
        </cdr:cNvPr>
        <cdr:cNvSpPr txBox="1"/>
      </cdr:nvSpPr>
      <cdr:spPr>
        <a:xfrm xmlns:a="http://schemas.openxmlformats.org/drawingml/2006/main">
          <a:off x="4120536" y="1127886"/>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0.22987</cdr:y>
    </cdr:from>
    <cdr:to>
      <cdr:x>0.78944</cdr:x>
      <cdr:y>0.25643</cdr:y>
    </cdr:to>
    <cdr:sp macro="" textlink="">
      <cdr:nvSpPr>
        <cdr:cNvPr id="31" name="TextBox 12">
          <a:extLst xmlns:a="http://schemas.openxmlformats.org/drawingml/2006/main"/>
        </cdr:cNvPr>
        <cdr:cNvSpPr txBox="1"/>
      </cdr:nvSpPr>
      <cdr:spPr>
        <a:xfrm xmlns:a="http://schemas.openxmlformats.org/drawingml/2006/main">
          <a:off x="4457571" y="1116666"/>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0.2726</cdr:y>
    </cdr:from>
    <cdr:to>
      <cdr:x>0.72146</cdr:x>
      <cdr:y>0.31041</cdr:y>
    </cdr:to>
    <cdr:sp macro="" textlink="">
      <cdr:nvSpPr>
        <cdr:cNvPr id="32" name="TextBox 10">
          <a:extLst xmlns:a="http://schemas.openxmlformats.org/drawingml/2006/main"/>
        </cdr:cNvPr>
        <cdr:cNvSpPr txBox="1"/>
      </cdr:nvSpPr>
      <cdr:spPr>
        <a:xfrm xmlns:a="http://schemas.openxmlformats.org/drawingml/2006/main">
          <a:off x="4120536" y="132422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0.27029</cdr:y>
    </cdr:from>
    <cdr:to>
      <cdr:x>0.78944</cdr:x>
      <cdr:y>0.29685</cdr:y>
    </cdr:to>
    <cdr:sp macro="" textlink="">
      <cdr:nvSpPr>
        <cdr:cNvPr id="33" name="TextBox 12">
          <a:extLst xmlns:a="http://schemas.openxmlformats.org/drawingml/2006/main"/>
        </cdr:cNvPr>
        <cdr:cNvSpPr txBox="1"/>
      </cdr:nvSpPr>
      <cdr:spPr>
        <a:xfrm xmlns:a="http://schemas.openxmlformats.org/drawingml/2006/main">
          <a:off x="4457571" y="131300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0.32919</cdr:y>
    </cdr:from>
    <cdr:to>
      <cdr:x>0.72146</cdr:x>
      <cdr:y>0.367</cdr:y>
    </cdr:to>
    <cdr:sp macro="" textlink="">
      <cdr:nvSpPr>
        <cdr:cNvPr id="34" name="TextBox 10">
          <a:extLst xmlns:a="http://schemas.openxmlformats.org/drawingml/2006/main"/>
        </cdr:cNvPr>
        <cdr:cNvSpPr txBox="1"/>
      </cdr:nvSpPr>
      <cdr:spPr>
        <a:xfrm xmlns:a="http://schemas.openxmlformats.org/drawingml/2006/main">
          <a:off x="4120536" y="1599110"/>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0.32688</cdr:y>
    </cdr:from>
    <cdr:to>
      <cdr:x>0.78944</cdr:x>
      <cdr:y>0.35344</cdr:y>
    </cdr:to>
    <cdr:sp macro="" textlink="">
      <cdr:nvSpPr>
        <cdr:cNvPr id="35" name="TextBox 12">
          <a:extLst xmlns:a="http://schemas.openxmlformats.org/drawingml/2006/main"/>
        </cdr:cNvPr>
        <cdr:cNvSpPr txBox="1"/>
      </cdr:nvSpPr>
      <cdr:spPr>
        <a:xfrm xmlns:a="http://schemas.openxmlformats.org/drawingml/2006/main">
          <a:off x="4457571" y="1587890"/>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0.69263</cdr:x>
      <cdr:y>0.36614</cdr:y>
    </cdr:from>
    <cdr:to>
      <cdr:x>0.72051</cdr:x>
      <cdr:y>0.40395</cdr:y>
    </cdr:to>
    <cdr:sp macro="" textlink="">
      <cdr:nvSpPr>
        <cdr:cNvPr id="36" name="TextBox 10">
          <a:extLst xmlns:a="http://schemas.openxmlformats.org/drawingml/2006/main"/>
        </cdr:cNvPr>
        <cdr:cNvSpPr txBox="1"/>
      </cdr:nvSpPr>
      <cdr:spPr>
        <a:xfrm xmlns:a="http://schemas.openxmlformats.org/drawingml/2006/main">
          <a:off x="4114927" y="1778624"/>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0.74935</cdr:x>
      <cdr:y>0.36383</cdr:y>
    </cdr:from>
    <cdr:to>
      <cdr:x>0.7885</cdr:x>
      <cdr:y>0.39039</cdr:y>
    </cdr:to>
    <cdr:sp macro="" textlink="">
      <cdr:nvSpPr>
        <cdr:cNvPr id="37" name="TextBox 12">
          <a:extLst xmlns:a="http://schemas.openxmlformats.org/drawingml/2006/main"/>
        </cdr:cNvPr>
        <cdr:cNvSpPr txBox="1"/>
      </cdr:nvSpPr>
      <cdr:spPr>
        <a:xfrm xmlns:a="http://schemas.openxmlformats.org/drawingml/2006/main">
          <a:off x="4451962" y="1767404"/>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0.41695</cdr:y>
    </cdr:from>
    <cdr:to>
      <cdr:x>0.72146</cdr:x>
      <cdr:y>0.45476</cdr:y>
    </cdr:to>
    <cdr:sp macro="" textlink="">
      <cdr:nvSpPr>
        <cdr:cNvPr id="38" name="TextBox 10">
          <a:extLst xmlns:a="http://schemas.openxmlformats.org/drawingml/2006/main"/>
        </cdr:cNvPr>
        <cdr:cNvSpPr txBox="1"/>
      </cdr:nvSpPr>
      <cdr:spPr>
        <a:xfrm xmlns:a="http://schemas.openxmlformats.org/drawingml/2006/main">
          <a:off x="4120536" y="2025456"/>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4</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0.41464</cdr:y>
    </cdr:from>
    <cdr:to>
      <cdr:x>0.78944</cdr:x>
      <cdr:y>0.4412</cdr:y>
    </cdr:to>
    <cdr:sp macro="" textlink="">
      <cdr:nvSpPr>
        <cdr:cNvPr id="39" name="TextBox 12">
          <a:extLst xmlns:a="http://schemas.openxmlformats.org/drawingml/2006/main"/>
        </cdr:cNvPr>
        <cdr:cNvSpPr txBox="1"/>
      </cdr:nvSpPr>
      <cdr:spPr>
        <a:xfrm xmlns:a="http://schemas.openxmlformats.org/drawingml/2006/main">
          <a:off x="4457571" y="2014236"/>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0.45737</cdr:y>
    </cdr:from>
    <cdr:to>
      <cdr:x>0.72146</cdr:x>
      <cdr:y>0.49518</cdr:y>
    </cdr:to>
    <cdr:sp macro="" textlink="">
      <cdr:nvSpPr>
        <cdr:cNvPr id="40" name="TextBox 10">
          <a:extLst xmlns:a="http://schemas.openxmlformats.org/drawingml/2006/main"/>
        </cdr:cNvPr>
        <cdr:cNvSpPr txBox="1"/>
      </cdr:nvSpPr>
      <cdr:spPr>
        <a:xfrm xmlns:a="http://schemas.openxmlformats.org/drawingml/2006/main">
          <a:off x="4120536" y="222179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err="1">
              <a:solidFill>
                <a:srgbClr val="333333"/>
              </a:solidFill>
            </a:rPr>
            <a:t>8</a:t>
          </a:r>
        </a:p>
      </cdr:txBody>
    </cdr:sp>
  </cdr:relSizeAnchor>
  <cdr:relSizeAnchor xmlns:cdr="http://schemas.openxmlformats.org/drawingml/2006/chartDrawing">
    <cdr:from>
      <cdr:x>0.7503</cdr:x>
      <cdr:y>0.45506</cdr:y>
    </cdr:from>
    <cdr:to>
      <cdr:x>0.78944</cdr:x>
      <cdr:y>0.48162</cdr:y>
    </cdr:to>
    <cdr:sp macro="" textlink="">
      <cdr:nvSpPr>
        <cdr:cNvPr id="41" name="TextBox 12">
          <a:extLst xmlns:a="http://schemas.openxmlformats.org/drawingml/2006/main"/>
        </cdr:cNvPr>
        <cdr:cNvSpPr txBox="1"/>
      </cdr:nvSpPr>
      <cdr:spPr>
        <a:xfrm xmlns:a="http://schemas.openxmlformats.org/drawingml/2006/main">
          <a:off x="4457571" y="221057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9</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0.51511</cdr:y>
    </cdr:from>
    <cdr:to>
      <cdr:x>0.72146</cdr:x>
      <cdr:y>0.55292</cdr:y>
    </cdr:to>
    <cdr:sp macro="" textlink="">
      <cdr:nvSpPr>
        <cdr:cNvPr id="42" name="TextBox 10">
          <a:extLst xmlns:a="http://schemas.openxmlformats.org/drawingml/2006/main"/>
        </cdr:cNvPr>
        <cdr:cNvSpPr txBox="1"/>
      </cdr:nvSpPr>
      <cdr:spPr>
        <a:xfrm xmlns:a="http://schemas.openxmlformats.org/drawingml/2006/main">
          <a:off x="4120536" y="2502290"/>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4</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0.5128</cdr:y>
    </cdr:from>
    <cdr:to>
      <cdr:x>0.78944</cdr:x>
      <cdr:y>0.53936</cdr:y>
    </cdr:to>
    <cdr:sp macro="" textlink="">
      <cdr:nvSpPr>
        <cdr:cNvPr id="43" name="TextBox 12">
          <a:extLst xmlns:a="http://schemas.openxmlformats.org/drawingml/2006/main"/>
        </cdr:cNvPr>
        <cdr:cNvSpPr txBox="1"/>
      </cdr:nvSpPr>
      <cdr:spPr>
        <a:xfrm xmlns:a="http://schemas.openxmlformats.org/drawingml/2006/main">
          <a:off x="4457571" y="2491070"/>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0.69262</cdr:x>
      <cdr:y>0.55207</cdr:y>
    </cdr:from>
    <cdr:to>
      <cdr:x>0.72051</cdr:x>
      <cdr:y>0.58988</cdr:y>
    </cdr:to>
    <cdr:sp macro="" textlink="">
      <cdr:nvSpPr>
        <cdr:cNvPr id="44" name="TextBox 10">
          <a:extLst xmlns:a="http://schemas.openxmlformats.org/drawingml/2006/main"/>
        </cdr:cNvPr>
        <cdr:cNvSpPr txBox="1"/>
      </cdr:nvSpPr>
      <cdr:spPr>
        <a:xfrm xmlns:a="http://schemas.openxmlformats.org/drawingml/2006/main">
          <a:off x="4114926" y="2681805"/>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0.74935</cdr:x>
      <cdr:y>0.54976</cdr:y>
    </cdr:from>
    <cdr:to>
      <cdr:x>0.7885</cdr:x>
      <cdr:y>0.57632</cdr:y>
    </cdr:to>
    <cdr:sp macro="" textlink="">
      <cdr:nvSpPr>
        <cdr:cNvPr id="45" name="TextBox 12">
          <a:extLst xmlns:a="http://schemas.openxmlformats.org/drawingml/2006/main"/>
        </cdr:cNvPr>
        <cdr:cNvSpPr txBox="1"/>
      </cdr:nvSpPr>
      <cdr:spPr>
        <a:xfrm xmlns:a="http://schemas.openxmlformats.org/drawingml/2006/main">
          <a:off x="4451961" y="2670585"/>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0.60634</cdr:y>
    </cdr:from>
    <cdr:to>
      <cdr:x>0.72146</cdr:x>
      <cdr:y>0.64415</cdr:y>
    </cdr:to>
    <cdr:sp macro="" textlink="">
      <cdr:nvSpPr>
        <cdr:cNvPr id="46" name="TextBox 10">
          <a:extLst xmlns:a="http://schemas.openxmlformats.org/drawingml/2006/main"/>
        </cdr:cNvPr>
        <cdr:cNvSpPr txBox="1"/>
      </cdr:nvSpPr>
      <cdr:spPr>
        <a:xfrm xmlns:a="http://schemas.openxmlformats.org/drawingml/2006/main">
          <a:off x="4120536" y="2945466"/>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2</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0.60403</cdr:y>
    </cdr:from>
    <cdr:to>
      <cdr:x>0.78944</cdr:x>
      <cdr:y>0.63059</cdr:y>
    </cdr:to>
    <cdr:sp macro="" textlink="">
      <cdr:nvSpPr>
        <cdr:cNvPr id="47" name="TextBox 12">
          <a:extLst xmlns:a="http://schemas.openxmlformats.org/drawingml/2006/main"/>
        </cdr:cNvPr>
        <cdr:cNvSpPr txBox="1"/>
      </cdr:nvSpPr>
      <cdr:spPr>
        <a:xfrm xmlns:a="http://schemas.openxmlformats.org/drawingml/2006/main">
          <a:off x="4457571" y="2934246"/>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0.64676</cdr:y>
    </cdr:from>
    <cdr:to>
      <cdr:x>0.72146</cdr:x>
      <cdr:y>0.68457</cdr:y>
    </cdr:to>
    <cdr:sp macro="" textlink="">
      <cdr:nvSpPr>
        <cdr:cNvPr id="48" name="TextBox 10">
          <a:extLst xmlns:a="http://schemas.openxmlformats.org/drawingml/2006/main"/>
        </cdr:cNvPr>
        <cdr:cNvSpPr txBox="1"/>
      </cdr:nvSpPr>
      <cdr:spPr>
        <a:xfrm xmlns:a="http://schemas.openxmlformats.org/drawingml/2006/main">
          <a:off x="4120536" y="314180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0.64445</cdr:y>
    </cdr:from>
    <cdr:to>
      <cdr:x>0.78944</cdr:x>
      <cdr:y>0.67101</cdr:y>
    </cdr:to>
    <cdr:sp macro="" textlink="">
      <cdr:nvSpPr>
        <cdr:cNvPr id="49" name="TextBox 12">
          <a:extLst xmlns:a="http://schemas.openxmlformats.org/drawingml/2006/main"/>
        </cdr:cNvPr>
        <cdr:cNvSpPr txBox="1"/>
      </cdr:nvSpPr>
      <cdr:spPr>
        <a:xfrm xmlns:a="http://schemas.openxmlformats.org/drawingml/2006/main">
          <a:off x="4457571" y="313058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0.70104</cdr:y>
    </cdr:from>
    <cdr:to>
      <cdr:x>0.72146</cdr:x>
      <cdr:y>0.73885</cdr:y>
    </cdr:to>
    <cdr:sp macro="" textlink="">
      <cdr:nvSpPr>
        <cdr:cNvPr id="50" name="TextBox 10">
          <a:extLst xmlns:a="http://schemas.openxmlformats.org/drawingml/2006/main"/>
        </cdr:cNvPr>
        <cdr:cNvSpPr txBox="1"/>
      </cdr:nvSpPr>
      <cdr:spPr>
        <a:xfrm xmlns:a="http://schemas.openxmlformats.org/drawingml/2006/main">
          <a:off x="4120536" y="3405471"/>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0.69873</cdr:y>
    </cdr:from>
    <cdr:to>
      <cdr:x>0.78944</cdr:x>
      <cdr:y>0.72529</cdr:y>
    </cdr:to>
    <cdr:sp macro="" textlink="">
      <cdr:nvSpPr>
        <cdr:cNvPr id="51" name="TextBox 12">
          <a:extLst xmlns:a="http://schemas.openxmlformats.org/drawingml/2006/main"/>
        </cdr:cNvPr>
        <cdr:cNvSpPr txBox="1"/>
      </cdr:nvSpPr>
      <cdr:spPr>
        <a:xfrm xmlns:a="http://schemas.openxmlformats.org/drawingml/2006/main">
          <a:off x="4457571" y="339425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0.73915</cdr:y>
    </cdr:from>
    <cdr:to>
      <cdr:x>0.72146</cdr:x>
      <cdr:y>0.77696</cdr:y>
    </cdr:to>
    <cdr:sp macro="" textlink="">
      <cdr:nvSpPr>
        <cdr:cNvPr id="52" name="TextBox 10">
          <a:extLst xmlns:a="http://schemas.openxmlformats.org/drawingml/2006/main"/>
        </cdr:cNvPr>
        <cdr:cNvSpPr txBox="1"/>
      </cdr:nvSpPr>
      <cdr:spPr>
        <a:xfrm xmlns:a="http://schemas.openxmlformats.org/drawingml/2006/main">
          <a:off x="4120536" y="3590594"/>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0.73684</cdr:y>
    </cdr:from>
    <cdr:to>
      <cdr:x>0.78944</cdr:x>
      <cdr:y>0.7634</cdr:y>
    </cdr:to>
    <cdr:sp macro="" textlink="">
      <cdr:nvSpPr>
        <cdr:cNvPr id="53" name="TextBox 12">
          <a:extLst xmlns:a="http://schemas.openxmlformats.org/drawingml/2006/main"/>
        </cdr:cNvPr>
        <cdr:cNvSpPr txBox="1"/>
      </cdr:nvSpPr>
      <cdr:spPr>
        <a:xfrm xmlns:a="http://schemas.openxmlformats.org/drawingml/2006/main">
          <a:off x="4457571" y="3579374"/>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0.78996</cdr:y>
    </cdr:from>
    <cdr:to>
      <cdr:x>0.72146</cdr:x>
      <cdr:y>0.82777</cdr:y>
    </cdr:to>
    <cdr:sp macro="" textlink="">
      <cdr:nvSpPr>
        <cdr:cNvPr id="54" name="TextBox 10">
          <a:extLst xmlns:a="http://schemas.openxmlformats.org/drawingml/2006/main"/>
        </cdr:cNvPr>
        <cdr:cNvSpPr txBox="1"/>
      </cdr:nvSpPr>
      <cdr:spPr>
        <a:xfrm xmlns:a="http://schemas.openxmlformats.org/drawingml/2006/main">
          <a:off x="4120536" y="3837427"/>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0.78765</cdr:y>
    </cdr:from>
    <cdr:to>
      <cdr:x>0.78944</cdr:x>
      <cdr:y>0.81421</cdr:y>
    </cdr:to>
    <cdr:sp macro="" textlink="">
      <cdr:nvSpPr>
        <cdr:cNvPr id="55" name="TextBox 12">
          <a:extLst xmlns:a="http://schemas.openxmlformats.org/drawingml/2006/main"/>
        </cdr:cNvPr>
        <cdr:cNvSpPr txBox="1"/>
      </cdr:nvSpPr>
      <cdr:spPr>
        <a:xfrm xmlns:a="http://schemas.openxmlformats.org/drawingml/2006/main">
          <a:off x="4457571" y="3826207"/>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0.83038</cdr:y>
    </cdr:from>
    <cdr:to>
      <cdr:x>0.72146</cdr:x>
      <cdr:y>0.86819</cdr:y>
    </cdr:to>
    <cdr:sp macro="" textlink="">
      <cdr:nvSpPr>
        <cdr:cNvPr id="56" name="TextBox 10">
          <a:extLst xmlns:a="http://schemas.openxmlformats.org/drawingml/2006/main"/>
        </cdr:cNvPr>
        <cdr:cNvSpPr txBox="1"/>
      </cdr:nvSpPr>
      <cdr:spPr>
        <a:xfrm xmlns:a="http://schemas.openxmlformats.org/drawingml/2006/main">
          <a:off x="4120536" y="4033771"/>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0.82807</cdr:y>
    </cdr:from>
    <cdr:to>
      <cdr:x>0.78944</cdr:x>
      <cdr:y>0.85463</cdr:y>
    </cdr:to>
    <cdr:sp macro="" textlink="">
      <cdr:nvSpPr>
        <cdr:cNvPr id="57" name="TextBox 12">
          <a:extLst xmlns:a="http://schemas.openxmlformats.org/drawingml/2006/main"/>
        </cdr:cNvPr>
        <cdr:cNvSpPr txBox="1"/>
      </cdr:nvSpPr>
      <cdr:spPr>
        <a:xfrm xmlns:a="http://schemas.openxmlformats.org/drawingml/2006/main">
          <a:off x="4457571" y="402255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0.88581</cdr:y>
    </cdr:from>
    <cdr:to>
      <cdr:x>0.72146</cdr:x>
      <cdr:y>0.92362</cdr:y>
    </cdr:to>
    <cdr:sp macro="" textlink="">
      <cdr:nvSpPr>
        <cdr:cNvPr id="58" name="TextBox 10">
          <a:extLst xmlns:a="http://schemas.openxmlformats.org/drawingml/2006/main"/>
        </cdr:cNvPr>
        <cdr:cNvSpPr txBox="1"/>
      </cdr:nvSpPr>
      <cdr:spPr>
        <a:xfrm xmlns:a="http://schemas.openxmlformats.org/drawingml/2006/main">
          <a:off x="4120536" y="4303041"/>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4</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0.8835</cdr:y>
    </cdr:from>
    <cdr:to>
      <cdr:x>0.78944</cdr:x>
      <cdr:y>0.91006</cdr:y>
    </cdr:to>
    <cdr:sp macro="" textlink="">
      <cdr:nvSpPr>
        <cdr:cNvPr id="59" name="TextBox 12">
          <a:extLst xmlns:a="http://schemas.openxmlformats.org/drawingml/2006/main"/>
        </cdr:cNvPr>
        <cdr:cNvSpPr txBox="1"/>
      </cdr:nvSpPr>
      <cdr:spPr>
        <a:xfrm xmlns:a="http://schemas.openxmlformats.org/drawingml/2006/main">
          <a:off x="4457571" y="429182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0.69357</cdr:x>
      <cdr:y>0.92738</cdr:y>
    </cdr:from>
    <cdr:to>
      <cdr:x>0.72146</cdr:x>
      <cdr:y>0.96519</cdr:y>
    </cdr:to>
    <cdr:sp macro="" textlink="">
      <cdr:nvSpPr>
        <cdr:cNvPr id="60" name="TextBox 10">
          <a:extLst xmlns:a="http://schemas.openxmlformats.org/drawingml/2006/main"/>
        </cdr:cNvPr>
        <cdr:cNvSpPr txBox="1"/>
      </cdr:nvSpPr>
      <cdr:spPr>
        <a:xfrm xmlns:a="http://schemas.openxmlformats.org/drawingml/2006/main">
          <a:off x="4120536" y="4504995"/>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0.7503</cdr:x>
      <cdr:y>0.92507</cdr:y>
    </cdr:from>
    <cdr:to>
      <cdr:x>0.78944</cdr:x>
      <cdr:y>0.95163</cdr:y>
    </cdr:to>
    <cdr:sp macro="" textlink="">
      <cdr:nvSpPr>
        <cdr:cNvPr id="61" name="TextBox 12">
          <a:extLst xmlns:a="http://schemas.openxmlformats.org/drawingml/2006/main"/>
        </cdr:cNvPr>
        <cdr:cNvSpPr txBox="1"/>
      </cdr:nvSpPr>
      <cdr:spPr>
        <a:xfrm xmlns:a="http://schemas.openxmlformats.org/drawingml/2006/main">
          <a:off x="4457571" y="4493775"/>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9</a:t>
          </a:r>
        </a:p>
        <a:p xmlns:a="http://schemas.openxmlformats.org/drawingml/2006/main">
          <a:endParaRPr lang="lv-LV" sz="1100" dirty="0" err="1">
            <a:solidFill>
              <a:srgbClr val="333333"/>
            </a:solidFill>
          </a:endParaRPr>
        </a:p>
      </cdr:txBody>
    </cdr:sp>
  </cdr:relSizeAnchor>
</c:userShapes>
</file>

<file path=word/drawings/drawing8.xml><?xml version="1.0" encoding="utf-8"?>
<c:userShapes xmlns:c="http://schemas.openxmlformats.org/drawingml/2006/chart">
  <cdr:relSizeAnchor xmlns:cdr="http://schemas.openxmlformats.org/drawingml/2006/chartDrawing">
    <cdr:from>
      <cdr:x>0.0386</cdr:x>
      <cdr:y>0.14428</cdr:y>
    </cdr:from>
    <cdr:to>
      <cdr:x>0.27703</cdr:x>
      <cdr:y>0.93873</cdr:y>
    </cdr:to>
    <cdr:sp macro="" textlink="">
      <cdr:nvSpPr>
        <cdr:cNvPr id="2" name="Rectangle 1">
          <a:extLst xmlns:a="http://schemas.openxmlformats.org/drawingml/2006/main">
            <a:ext uri="{FF2B5EF4-FFF2-40B4-BE49-F238E27FC236}">
              <a16:creationId xmlns:a16="http://schemas.microsoft.com/office/drawing/2014/main" id="{3D3E7703-2D8B-4D88-AC2F-02B4AC744E2F}"/>
            </a:ext>
          </a:extLst>
        </cdr:cNvPr>
        <cdr:cNvSpPr/>
      </cdr:nvSpPr>
      <cdr:spPr>
        <a:xfrm xmlns:a="http://schemas.openxmlformats.org/drawingml/2006/main">
          <a:off x="194150" y="581218"/>
          <a:ext cx="1199072" cy="3200400"/>
        </a:xfrm>
        <a:prstGeom xmlns:a="http://schemas.openxmlformats.org/drawingml/2006/main" prst="rect">
          <a:avLst/>
        </a:prstGeom>
        <a:noFill xmlns:a="http://schemas.openxmlformats.org/drawingml/2006/main"/>
        <a:ln xmlns:a="http://schemas.openxmlformats.org/drawingml/2006/main">
          <a:solidFill>
            <a:srgbClr val="BD9B08"/>
          </a:solidFill>
        </a:ln>
      </cdr:spPr>
      <cdr:style>
        <a:lnRef xmlns:a="http://schemas.openxmlformats.org/drawingml/2006/main" idx="2">
          <a:schemeClr val="accent1">
            <a:shade val="50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rot="0" spcFirstLastPara="0" vert="horz" wrap="square" lIns="91440" tIns="45720" rIns="91440" bIns="45720" numCol="1" spcCol="0" rtlCol="0" fromWordArt="0" anchor="t" anchorCtr="0" forceAA="0" compatLnSpc="1">
          <a:prstTxWarp prst="textNoShape">
            <a:avLst/>
          </a:prstTxWarp>
          <a:noAutofit/>
        </a:bodyPr>
        <a:lstStyle xmlns:a="http://schemas.openxmlformats.org/drawingml/2006/main">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xmlns:a="http://schemas.openxmlformats.org/drawingml/2006/main">
          <a:pPr algn="ctr"/>
          <a:endParaRPr lang="lv-LV" sz="1600" dirty="0"/>
        </a:p>
      </cdr:txBody>
    </cdr:sp>
  </cdr:relSizeAnchor>
</c:userShapes>
</file>

<file path=word/drawings/drawing9.xml><?xml version="1.0" encoding="utf-8"?>
<c:userShapes xmlns:c="http://schemas.openxmlformats.org/drawingml/2006/chart">
  <cdr:relSizeAnchor xmlns:cdr="http://schemas.openxmlformats.org/drawingml/2006/chartDrawing">
    <cdr:from>
      <cdr:x>0</cdr:x>
      <cdr:y>0.47819</cdr:y>
    </cdr:from>
    <cdr:to>
      <cdr:x>0.19021</cdr:x>
      <cdr:y>0.56096</cdr:y>
    </cdr:to>
    <cdr:sp macro="" textlink="">
      <cdr:nvSpPr>
        <cdr:cNvPr id="3" name="Rectangle 2">
          <a:extLst xmlns:a="http://schemas.openxmlformats.org/drawingml/2006/main">
            <a:ext uri="{FF2B5EF4-FFF2-40B4-BE49-F238E27FC236}">
              <a16:creationId xmlns:a16="http://schemas.microsoft.com/office/drawing/2014/main" id="{747EE72F-FBF0-4549-8D95-890EBAB55600}"/>
            </a:ext>
          </a:extLst>
        </cdr:cNvPr>
        <cdr:cNvSpPr/>
      </cdr:nvSpPr>
      <cdr:spPr>
        <a:xfrm xmlns:a="http://schemas.openxmlformats.org/drawingml/2006/main">
          <a:off x="0" y="3217496"/>
          <a:ext cx="1130061" cy="556884"/>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050" dirty="0">
              <a:solidFill>
                <a:srgbClr val="717171"/>
              </a:solidFill>
              <a:latin typeface="Arial" panose="020B0604020202020204" pitchFamily="34" charset="0"/>
            </a:rPr>
            <a:t>Būvdarbu vadība &amp; realizācija</a:t>
          </a:r>
        </a:p>
      </cdr:txBody>
    </cdr:sp>
  </cdr:relSizeAnchor>
  <cdr:relSizeAnchor xmlns:cdr="http://schemas.openxmlformats.org/drawingml/2006/chartDrawing">
    <cdr:from>
      <cdr:x>0</cdr:x>
      <cdr:y>0.85383</cdr:y>
    </cdr:from>
    <cdr:to>
      <cdr:x>0.2334</cdr:x>
      <cdr:y>0.91359</cdr:y>
    </cdr:to>
    <cdr:sp macro="" textlink="">
      <cdr:nvSpPr>
        <cdr:cNvPr id="4" name="Rectangle 3">
          <a:extLst xmlns:a="http://schemas.openxmlformats.org/drawingml/2006/main">
            <a:ext uri="{FF2B5EF4-FFF2-40B4-BE49-F238E27FC236}">
              <a16:creationId xmlns:a16="http://schemas.microsoft.com/office/drawing/2014/main" id="{D70174E9-EE9E-41AA-8B04-F5DBFC523808}"/>
            </a:ext>
          </a:extLst>
        </cdr:cNvPr>
        <cdr:cNvSpPr/>
      </cdr:nvSpPr>
      <cdr:spPr>
        <a:xfrm xmlns:a="http://schemas.openxmlformats.org/drawingml/2006/main">
          <a:off x="-793630" y="5744992"/>
          <a:ext cx="1386617" cy="402033"/>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050" dirty="0">
              <a:solidFill>
                <a:srgbClr val="717171"/>
              </a:solidFill>
              <a:latin typeface="Arial" panose="020B0604020202020204" pitchFamily="34" charset="0"/>
            </a:rPr>
            <a:t>Būvmateriāli (ražotāji, tirgotāji)</a:t>
          </a:r>
        </a:p>
      </cdr:txBody>
    </cdr:sp>
  </cdr:relSizeAnchor>
  <cdr:relSizeAnchor xmlns:cdr="http://schemas.openxmlformats.org/drawingml/2006/chartDrawing">
    <cdr:from>
      <cdr:x>0.40653</cdr:x>
      <cdr:y>0.92142</cdr:y>
    </cdr:from>
    <cdr:to>
      <cdr:x>0.49103</cdr:x>
      <cdr:y>0.9603</cdr:y>
    </cdr:to>
    <cdr:sp macro="" textlink="">
      <cdr:nvSpPr>
        <cdr:cNvPr id="7" name="Rectangle 6">
          <a:extLst xmlns:a="http://schemas.openxmlformats.org/drawingml/2006/main">
            <a:ext uri="{FF2B5EF4-FFF2-40B4-BE49-F238E27FC236}">
              <a16:creationId xmlns:a16="http://schemas.microsoft.com/office/drawing/2014/main" id="{1B20C53A-CD3A-4E15-8C52-ABA420712638}"/>
            </a:ext>
          </a:extLst>
        </cdr:cNvPr>
        <cdr:cNvSpPr/>
      </cdr:nvSpPr>
      <cdr:spPr>
        <a:xfrm xmlns:a="http://schemas.openxmlformats.org/drawingml/2006/main">
          <a:off x="2415237" y="6199738"/>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n=26</a:t>
          </a:r>
        </a:p>
      </cdr:txBody>
    </cdr:sp>
  </cdr:relSizeAnchor>
  <cdr:relSizeAnchor xmlns:cdr="http://schemas.openxmlformats.org/drawingml/2006/chartDrawing">
    <cdr:from>
      <cdr:x>0.40653</cdr:x>
      <cdr:y>0.88585</cdr:y>
    </cdr:from>
    <cdr:to>
      <cdr:x>0.49103</cdr:x>
      <cdr:y>0.92473</cdr:y>
    </cdr:to>
    <cdr:sp macro="" textlink="">
      <cdr:nvSpPr>
        <cdr:cNvPr id="8" name="Rectangle 7">
          <a:extLst xmlns:a="http://schemas.openxmlformats.org/drawingml/2006/main">
            <a:ext uri="{FF2B5EF4-FFF2-40B4-BE49-F238E27FC236}">
              <a16:creationId xmlns:a16="http://schemas.microsoft.com/office/drawing/2014/main" id="{59D5DEC0-0A38-470C-89AB-09D7BFCDCD74}"/>
            </a:ext>
          </a:extLst>
        </cdr:cNvPr>
        <cdr:cNvSpPr/>
      </cdr:nvSpPr>
      <cdr:spPr>
        <a:xfrm xmlns:a="http://schemas.openxmlformats.org/drawingml/2006/main">
          <a:off x="2415237" y="5960406"/>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n=76</a:t>
          </a:r>
        </a:p>
      </cdr:txBody>
    </cdr:sp>
  </cdr:relSizeAnchor>
  <cdr:relSizeAnchor xmlns:cdr="http://schemas.openxmlformats.org/drawingml/2006/chartDrawing">
    <cdr:from>
      <cdr:x>0.40653</cdr:x>
      <cdr:y>0.85029</cdr:y>
    </cdr:from>
    <cdr:to>
      <cdr:x>0.49103</cdr:x>
      <cdr:y>0.88917</cdr:y>
    </cdr:to>
    <cdr:sp macro="" textlink="">
      <cdr:nvSpPr>
        <cdr:cNvPr id="9" name="Rectangle 8">
          <a:extLst xmlns:a="http://schemas.openxmlformats.org/drawingml/2006/main">
            <a:ext uri="{FF2B5EF4-FFF2-40B4-BE49-F238E27FC236}">
              <a16:creationId xmlns:a16="http://schemas.microsoft.com/office/drawing/2014/main" id="{F6F0A429-CAC2-4DB0-A645-006A6C4DFA9D}"/>
            </a:ext>
          </a:extLst>
        </cdr:cNvPr>
        <cdr:cNvSpPr/>
      </cdr:nvSpPr>
      <cdr:spPr>
        <a:xfrm xmlns:a="http://schemas.openxmlformats.org/drawingml/2006/main">
          <a:off x="2415237" y="5721142"/>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n=32</a:t>
          </a:r>
        </a:p>
      </cdr:txBody>
    </cdr:sp>
  </cdr:relSizeAnchor>
  <cdr:relSizeAnchor xmlns:cdr="http://schemas.openxmlformats.org/drawingml/2006/chartDrawing">
    <cdr:from>
      <cdr:x>0.40653</cdr:x>
      <cdr:y>0.81472</cdr:y>
    </cdr:from>
    <cdr:to>
      <cdr:x>0.49103</cdr:x>
      <cdr:y>0.85361</cdr:y>
    </cdr:to>
    <cdr:sp macro="" textlink="">
      <cdr:nvSpPr>
        <cdr:cNvPr id="10" name="Rectangle 9">
          <a:extLst xmlns:a="http://schemas.openxmlformats.org/drawingml/2006/main">
            <a:ext uri="{FF2B5EF4-FFF2-40B4-BE49-F238E27FC236}">
              <a16:creationId xmlns:a16="http://schemas.microsoft.com/office/drawing/2014/main" id="{30F6CFAF-7D3A-4641-80EC-A0E993E29451}"/>
            </a:ext>
          </a:extLst>
        </cdr:cNvPr>
        <cdr:cNvSpPr/>
      </cdr:nvSpPr>
      <cdr:spPr>
        <a:xfrm xmlns:a="http://schemas.openxmlformats.org/drawingml/2006/main">
          <a:off x="2415237" y="5481811"/>
          <a:ext cx="502019" cy="26167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n=33</a:t>
          </a:r>
        </a:p>
      </cdr:txBody>
    </cdr:sp>
  </cdr:relSizeAnchor>
  <cdr:relSizeAnchor xmlns:cdr="http://schemas.openxmlformats.org/drawingml/2006/chartDrawing">
    <cdr:from>
      <cdr:x>0.40653</cdr:x>
      <cdr:y>0.77916</cdr:y>
    </cdr:from>
    <cdr:to>
      <cdr:x>0.49103</cdr:x>
      <cdr:y>0.81804</cdr:y>
    </cdr:to>
    <cdr:sp macro="" textlink="">
      <cdr:nvSpPr>
        <cdr:cNvPr id="11" name="Rectangle 10">
          <a:extLst xmlns:a="http://schemas.openxmlformats.org/drawingml/2006/main">
            <a:ext uri="{FF2B5EF4-FFF2-40B4-BE49-F238E27FC236}">
              <a16:creationId xmlns:a16="http://schemas.microsoft.com/office/drawing/2014/main" id="{5F49DEDF-A17A-4956-B41A-0D37605F2E50}"/>
            </a:ext>
          </a:extLst>
        </cdr:cNvPr>
        <cdr:cNvSpPr/>
      </cdr:nvSpPr>
      <cdr:spPr>
        <a:xfrm xmlns:a="http://schemas.openxmlformats.org/drawingml/2006/main">
          <a:off x="2415237" y="5242547"/>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n=43</a:t>
          </a:r>
        </a:p>
      </cdr:txBody>
    </cdr:sp>
  </cdr:relSizeAnchor>
  <cdr:relSizeAnchor xmlns:cdr="http://schemas.openxmlformats.org/drawingml/2006/chartDrawing">
    <cdr:from>
      <cdr:x>0.40653</cdr:x>
      <cdr:y>0.7436</cdr:y>
    </cdr:from>
    <cdr:to>
      <cdr:x>0.49103</cdr:x>
      <cdr:y>0.78248</cdr:y>
    </cdr:to>
    <cdr:sp macro="" textlink="">
      <cdr:nvSpPr>
        <cdr:cNvPr id="12" name="Rectangle 11">
          <a:extLst xmlns:a="http://schemas.openxmlformats.org/drawingml/2006/main">
            <a:ext uri="{FF2B5EF4-FFF2-40B4-BE49-F238E27FC236}">
              <a16:creationId xmlns:a16="http://schemas.microsoft.com/office/drawing/2014/main" id="{803C5466-091D-4291-8FA1-A9EBE897459C}"/>
            </a:ext>
          </a:extLst>
        </cdr:cNvPr>
        <cdr:cNvSpPr/>
      </cdr:nvSpPr>
      <cdr:spPr>
        <a:xfrm xmlns:a="http://schemas.openxmlformats.org/drawingml/2006/main">
          <a:off x="2415237" y="5003283"/>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n=13</a:t>
          </a:r>
        </a:p>
      </cdr:txBody>
    </cdr:sp>
  </cdr:relSizeAnchor>
  <cdr:relSizeAnchor xmlns:cdr="http://schemas.openxmlformats.org/drawingml/2006/chartDrawing">
    <cdr:from>
      <cdr:x>0.40653</cdr:x>
      <cdr:y>0.70803</cdr:y>
    </cdr:from>
    <cdr:to>
      <cdr:x>0.49103</cdr:x>
      <cdr:y>0.74691</cdr:y>
    </cdr:to>
    <cdr:sp macro="" textlink="">
      <cdr:nvSpPr>
        <cdr:cNvPr id="13" name="Rectangle 12">
          <a:extLst xmlns:a="http://schemas.openxmlformats.org/drawingml/2006/main">
            <a:ext uri="{FF2B5EF4-FFF2-40B4-BE49-F238E27FC236}">
              <a16:creationId xmlns:a16="http://schemas.microsoft.com/office/drawing/2014/main" id="{C6CCD9FC-4091-4575-933E-42A09AA20BA7}"/>
            </a:ext>
          </a:extLst>
        </cdr:cNvPr>
        <cdr:cNvSpPr/>
      </cdr:nvSpPr>
      <cdr:spPr>
        <a:xfrm xmlns:a="http://schemas.openxmlformats.org/drawingml/2006/main">
          <a:off x="2415237" y="4763952"/>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n=38</a:t>
          </a:r>
        </a:p>
      </cdr:txBody>
    </cdr:sp>
  </cdr:relSizeAnchor>
  <cdr:relSizeAnchor xmlns:cdr="http://schemas.openxmlformats.org/drawingml/2006/chartDrawing">
    <cdr:from>
      <cdr:x>0.40653</cdr:x>
      <cdr:y>0.67247</cdr:y>
    </cdr:from>
    <cdr:to>
      <cdr:x>0.49103</cdr:x>
      <cdr:y>0.71135</cdr:y>
    </cdr:to>
    <cdr:sp macro="" textlink="">
      <cdr:nvSpPr>
        <cdr:cNvPr id="14" name="Rectangle 13">
          <a:extLst xmlns:a="http://schemas.openxmlformats.org/drawingml/2006/main">
            <a:ext uri="{FF2B5EF4-FFF2-40B4-BE49-F238E27FC236}">
              <a16:creationId xmlns:a16="http://schemas.microsoft.com/office/drawing/2014/main" id="{F0D48182-19B9-401E-A5BA-E3E545CB80EC}"/>
            </a:ext>
          </a:extLst>
        </cdr:cNvPr>
        <cdr:cNvSpPr/>
      </cdr:nvSpPr>
      <cdr:spPr>
        <a:xfrm xmlns:a="http://schemas.openxmlformats.org/drawingml/2006/main">
          <a:off x="2415237" y="4524687"/>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n=13</a:t>
          </a:r>
        </a:p>
      </cdr:txBody>
    </cdr:sp>
  </cdr:relSizeAnchor>
  <cdr:relSizeAnchor xmlns:cdr="http://schemas.openxmlformats.org/drawingml/2006/chartDrawing">
    <cdr:from>
      <cdr:x>0.40653</cdr:x>
      <cdr:y>0.63691</cdr:y>
    </cdr:from>
    <cdr:to>
      <cdr:x>0.49103</cdr:x>
      <cdr:y>0.67579</cdr:y>
    </cdr:to>
    <cdr:sp macro="" textlink="">
      <cdr:nvSpPr>
        <cdr:cNvPr id="15" name="Rectangle 14">
          <a:extLst xmlns:a="http://schemas.openxmlformats.org/drawingml/2006/main">
            <a:ext uri="{FF2B5EF4-FFF2-40B4-BE49-F238E27FC236}">
              <a16:creationId xmlns:a16="http://schemas.microsoft.com/office/drawing/2014/main" id="{9763C6D0-59E2-46FD-8FA0-0939E5AB0482}"/>
            </a:ext>
          </a:extLst>
        </cdr:cNvPr>
        <cdr:cNvSpPr/>
      </cdr:nvSpPr>
      <cdr:spPr>
        <a:xfrm xmlns:a="http://schemas.openxmlformats.org/drawingml/2006/main">
          <a:off x="2415237" y="4285423"/>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n=36</a:t>
          </a:r>
        </a:p>
      </cdr:txBody>
    </cdr:sp>
  </cdr:relSizeAnchor>
  <cdr:relSizeAnchor xmlns:cdr="http://schemas.openxmlformats.org/drawingml/2006/chartDrawing">
    <cdr:from>
      <cdr:x>0.40653</cdr:x>
      <cdr:y>0.60134</cdr:y>
    </cdr:from>
    <cdr:to>
      <cdr:x>0.49103</cdr:x>
      <cdr:y>0.64022</cdr:y>
    </cdr:to>
    <cdr:sp macro="" textlink="">
      <cdr:nvSpPr>
        <cdr:cNvPr id="16" name="Rectangle 15">
          <a:extLst xmlns:a="http://schemas.openxmlformats.org/drawingml/2006/main">
            <a:ext uri="{FF2B5EF4-FFF2-40B4-BE49-F238E27FC236}">
              <a16:creationId xmlns:a16="http://schemas.microsoft.com/office/drawing/2014/main" id="{15AF10AC-4B28-4AF0-AA70-39042E9C07EB}"/>
            </a:ext>
          </a:extLst>
        </cdr:cNvPr>
        <cdr:cNvSpPr/>
      </cdr:nvSpPr>
      <cdr:spPr>
        <a:xfrm xmlns:a="http://schemas.openxmlformats.org/drawingml/2006/main">
          <a:off x="2415237" y="4046092"/>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n=21</a:t>
          </a:r>
        </a:p>
      </cdr:txBody>
    </cdr:sp>
  </cdr:relSizeAnchor>
  <cdr:relSizeAnchor xmlns:cdr="http://schemas.openxmlformats.org/drawingml/2006/chartDrawing">
    <cdr:from>
      <cdr:x>0.40653</cdr:x>
      <cdr:y>0.56578</cdr:y>
    </cdr:from>
    <cdr:to>
      <cdr:x>0.49103</cdr:x>
      <cdr:y>0.60466</cdr:y>
    </cdr:to>
    <cdr:sp macro="" textlink="">
      <cdr:nvSpPr>
        <cdr:cNvPr id="17" name="Rectangle 16">
          <a:extLst xmlns:a="http://schemas.openxmlformats.org/drawingml/2006/main">
            <a:ext uri="{FF2B5EF4-FFF2-40B4-BE49-F238E27FC236}">
              <a16:creationId xmlns:a16="http://schemas.microsoft.com/office/drawing/2014/main" id="{01BD1311-8A99-4297-8AE2-B23E737FF297}"/>
            </a:ext>
          </a:extLst>
        </cdr:cNvPr>
        <cdr:cNvSpPr/>
      </cdr:nvSpPr>
      <cdr:spPr>
        <a:xfrm xmlns:a="http://schemas.openxmlformats.org/drawingml/2006/main">
          <a:off x="2415237" y="3806828"/>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n=58</a:t>
          </a:r>
        </a:p>
      </cdr:txBody>
    </cdr:sp>
  </cdr:relSizeAnchor>
  <cdr:relSizeAnchor xmlns:cdr="http://schemas.openxmlformats.org/drawingml/2006/chartDrawing">
    <cdr:from>
      <cdr:x>0.40653</cdr:x>
      <cdr:y>0.53022</cdr:y>
    </cdr:from>
    <cdr:to>
      <cdr:x>0.49103</cdr:x>
      <cdr:y>0.5691</cdr:y>
    </cdr:to>
    <cdr:sp macro="" textlink="">
      <cdr:nvSpPr>
        <cdr:cNvPr id="18" name="Rectangle 17">
          <a:extLst xmlns:a="http://schemas.openxmlformats.org/drawingml/2006/main">
            <a:ext uri="{FF2B5EF4-FFF2-40B4-BE49-F238E27FC236}">
              <a16:creationId xmlns:a16="http://schemas.microsoft.com/office/drawing/2014/main" id="{444E6E29-9896-41EA-8198-E143860DC78F}"/>
            </a:ext>
          </a:extLst>
        </cdr:cNvPr>
        <cdr:cNvSpPr/>
      </cdr:nvSpPr>
      <cdr:spPr>
        <a:xfrm xmlns:a="http://schemas.openxmlformats.org/drawingml/2006/main">
          <a:off x="2415237" y="3567564"/>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n=36</a:t>
          </a:r>
        </a:p>
      </cdr:txBody>
    </cdr:sp>
  </cdr:relSizeAnchor>
  <cdr:relSizeAnchor xmlns:cdr="http://schemas.openxmlformats.org/drawingml/2006/chartDrawing">
    <cdr:from>
      <cdr:x>0.40653</cdr:x>
      <cdr:y>0.49465</cdr:y>
    </cdr:from>
    <cdr:to>
      <cdr:x>0.49103</cdr:x>
      <cdr:y>0.53353</cdr:y>
    </cdr:to>
    <cdr:sp macro="" textlink="">
      <cdr:nvSpPr>
        <cdr:cNvPr id="19" name="Rectangle 18">
          <a:extLst xmlns:a="http://schemas.openxmlformats.org/drawingml/2006/main">
            <a:ext uri="{FF2B5EF4-FFF2-40B4-BE49-F238E27FC236}">
              <a16:creationId xmlns:a16="http://schemas.microsoft.com/office/drawing/2014/main" id="{3155E30E-FFB1-4FF0-9001-C7C1BE12E49E}"/>
            </a:ext>
          </a:extLst>
        </cdr:cNvPr>
        <cdr:cNvSpPr/>
      </cdr:nvSpPr>
      <cdr:spPr>
        <a:xfrm xmlns:a="http://schemas.openxmlformats.org/drawingml/2006/main">
          <a:off x="2415237" y="3328233"/>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n=48</a:t>
          </a:r>
        </a:p>
      </cdr:txBody>
    </cdr:sp>
  </cdr:relSizeAnchor>
  <cdr:relSizeAnchor xmlns:cdr="http://schemas.openxmlformats.org/drawingml/2006/chartDrawing">
    <cdr:from>
      <cdr:x>0.40653</cdr:x>
      <cdr:y>0.45909</cdr:y>
    </cdr:from>
    <cdr:to>
      <cdr:x>0.49103</cdr:x>
      <cdr:y>0.49797</cdr:y>
    </cdr:to>
    <cdr:sp macro="" textlink="">
      <cdr:nvSpPr>
        <cdr:cNvPr id="20" name="Rectangle 19">
          <a:extLst xmlns:a="http://schemas.openxmlformats.org/drawingml/2006/main">
            <a:ext uri="{FF2B5EF4-FFF2-40B4-BE49-F238E27FC236}">
              <a16:creationId xmlns:a16="http://schemas.microsoft.com/office/drawing/2014/main" id="{BC5D8F7D-7618-4472-8405-BF54E17C8F6B}"/>
            </a:ext>
          </a:extLst>
        </cdr:cNvPr>
        <cdr:cNvSpPr/>
      </cdr:nvSpPr>
      <cdr:spPr>
        <a:xfrm xmlns:a="http://schemas.openxmlformats.org/drawingml/2006/main">
          <a:off x="2415237" y="3088969"/>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n=24</a:t>
          </a:r>
        </a:p>
      </cdr:txBody>
    </cdr:sp>
  </cdr:relSizeAnchor>
  <cdr:relSizeAnchor xmlns:cdr="http://schemas.openxmlformats.org/drawingml/2006/chartDrawing">
    <cdr:from>
      <cdr:x>0.40653</cdr:x>
      <cdr:y>0.42352</cdr:y>
    </cdr:from>
    <cdr:to>
      <cdr:x>0.49103</cdr:x>
      <cdr:y>0.46241</cdr:y>
    </cdr:to>
    <cdr:sp macro="" textlink="">
      <cdr:nvSpPr>
        <cdr:cNvPr id="21" name="Rectangle 20">
          <a:extLst xmlns:a="http://schemas.openxmlformats.org/drawingml/2006/main">
            <a:ext uri="{FF2B5EF4-FFF2-40B4-BE49-F238E27FC236}">
              <a16:creationId xmlns:a16="http://schemas.microsoft.com/office/drawing/2014/main" id="{FE4B2478-CE5A-492F-9409-BB6A6715590B}"/>
            </a:ext>
          </a:extLst>
        </cdr:cNvPr>
        <cdr:cNvSpPr/>
      </cdr:nvSpPr>
      <cdr:spPr>
        <a:xfrm xmlns:a="http://schemas.openxmlformats.org/drawingml/2006/main">
          <a:off x="2415237" y="2849637"/>
          <a:ext cx="502019" cy="26167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n=47</a:t>
          </a:r>
        </a:p>
      </cdr:txBody>
    </cdr:sp>
  </cdr:relSizeAnchor>
  <cdr:relSizeAnchor xmlns:cdr="http://schemas.openxmlformats.org/drawingml/2006/chartDrawing">
    <cdr:from>
      <cdr:x>0.40653</cdr:x>
      <cdr:y>0.38796</cdr:y>
    </cdr:from>
    <cdr:to>
      <cdr:x>0.49103</cdr:x>
      <cdr:y>0.42684</cdr:y>
    </cdr:to>
    <cdr:sp macro="" textlink="">
      <cdr:nvSpPr>
        <cdr:cNvPr id="22" name="Rectangle 21">
          <a:extLst xmlns:a="http://schemas.openxmlformats.org/drawingml/2006/main">
            <a:ext uri="{FF2B5EF4-FFF2-40B4-BE49-F238E27FC236}">
              <a16:creationId xmlns:a16="http://schemas.microsoft.com/office/drawing/2014/main" id="{3A0AD3D0-1E12-4320-9EB3-34344812B24C}"/>
            </a:ext>
          </a:extLst>
        </cdr:cNvPr>
        <cdr:cNvSpPr/>
      </cdr:nvSpPr>
      <cdr:spPr>
        <a:xfrm xmlns:a="http://schemas.openxmlformats.org/drawingml/2006/main">
          <a:off x="2415237" y="2610373"/>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n=17</a:t>
          </a:r>
        </a:p>
      </cdr:txBody>
    </cdr:sp>
  </cdr:relSizeAnchor>
  <cdr:relSizeAnchor xmlns:cdr="http://schemas.openxmlformats.org/drawingml/2006/chartDrawing">
    <cdr:from>
      <cdr:x>0.40653</cdr:x>
      <cdr:y>0.3524</cdr:y>
    </cdr:from>
    <cdr:to>
      <cdr:x>0.49103</cdr:x>
      <cdr:y>0.39128</cdr:y>
    </cdr:to>
    <cdr:sp macro="" textlink="">
      <cdr:nvSpPr>
        <cdr:cNvPr id="23" name="Rectangle 22">
          <a:extLst xmlns:a="http://schemas.openxmlformats.org/drawingml/2006/main">
            <a:ext uri="{FF2B5EF4-FFF2-40B4-BE49-F238E27FC236}">
              <a16:creationId xmlns:a16="http://schemas.microsoft.com/office/drawing/2014/main" id="{BCA4C55E-CEF1-4426-928B-6279D4071D92}"/>
            </a:ext>
          </a:extLst>
        </cdr:cNvPr>
        <cdr:cNvSpPr/>
      </cdr:nvSpPr>
      <cdr:spPr>
        <a:xfrm xmlns:a="http://schemas.openxmlformats.org/drawingml/2006/main">
          <a:off x="2415237" y="2371109"/>
          <a:ext cx="50201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n=39</a:t>
          </a:r>
        </a:p>
      </cdr:txBody>
    </cdr:sp>
  </cdr:relSizeAnchor>
  <cdr:relSizeAnchor xmlns:cdr="http://schemas.openxmlformats.org/drawingml/2006/chartDrawing">
    <cdr:from>
      <cdr:x>0.40653</cdr:x>
      <cdr:y>0.31683</cdr:y>
    </cdr:from>
    <cdr:to>
      <cdr:x>0.47781</cdr:x>
      <cdr:y>0.35571</cdr:y>
    </cdr:to>
    <cdr:sp macro="" textlink="">
      <cdr:nvSpPr>
        <cdr:cNvPr id="24" name="Rectangle 23">
          <a:extLst xmlns:a="http://schemas.openxmlformats.org/drawingml/2006/main">
            <a:ext uri="{FF2B5EF4-FFF2-40B4-BE49-F238E27FC236}">
              <a16:creationId xmlns:a16="http://schemas.microsoft.com/office/drawing/2014/main" id="{C4E29BD7-A624-419D-A1CF-8AC8D350939F}"/>
            </a:ext>
          </a:extLst>
        </cdr:cNvPr>
        <cdr:cNvSpPr/>
      </cdr:nvSpPr>
      <cdr:spPr>
        <a:xfrm xmlns:a="http://schemas.openxmlformats.org/drawingml/2006/main">
          <a:off x="2415237" y="2131778"/>
          <a:ext cx="42347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a:t>
          </a:r>
        </a:p>
      </cdr:txBody>
    </cdr:sp>
  </cdr:relSizeAnchor>
  <cdr:relSizeAnchor xmlns:cdr="http://schemas.openxmlformats.org/drawingml/2006/chartDrawing">
    <cdr:from>
      <cdr:x>0.40653</cdr:x>
      <cdr:y>0.28127</cdr:y>
    </cdr:from>
    <cdr:to>
      <cdr:x>0.49103</cdr:x>
      <cdr:y>0.32015</cdr:y>
    </cdr:to>
    <cdr:sp macro="" textlink="">
      <cdr:nvSpPr>
        <cdr:cNvPr id="25" name="Rectangle 24">
          <a:extLst xmlns:a="http://schemas.openxmlformats.org/drawingml/2006/main">
            <a:ext uri="{FF2B5EF4-FFF2-40B4-BE49-F238E27FC236}">
              <a16:creationId xmlns:a16="http://schemas.microsoft.com/office/drawing/2014/main" id="{A5940F7A-0578-4589-8575-A7A2CE323C93}"/>
            </a:ext>
          </a:extLst>
        </cdr:cNvPr>
        <cdr:cNvSpPr/>
      </cdr:nvSpPr>
      <cdr:spPr>
        <a:xfrm xmlns:a="http://schemas.openxmlformats.org/drawingml/2006/main">
          <a:off x="2415237" y="1892514"/>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n=47</a:t>
          </a:r>
        </a:p>
      </cdr:txBody>
    </cdr:sp>
  </cdr:relSizeAnchor>
  <cdr:relSizeAnchor xmlns:cdr="http://schemas.openxmlformats.org/drawingml/2006/chartDrawing">
    <cdr:from>
      <cdr:x>0.40653</cdr:x>
      <cdr:y>0.24571</cdr:y>
    </cdr:from>
    <cdr:to>
      <cdr:x>0.49103</cdr:x>
      <cdr:y>0.28459</cdr:y>
    </cdr:to>
    <cdr:sp macro="" textlink="">
      <cdr:nvSpPr>
        <cdr:cNvPr id="26" name="Rectangle 25">
          <a:extLst xmlns:a="http://schemas.openxmlformats.org/drawingml/2006/main">
            <a:ext uri="{FF2B5EF4-FFF2-40B4-BE49-F238E27FC236}">
              <a16:creationId xmlns:a16="http://schemas.microsoft.com/office/drawing/2014/main" id="{E4DB07D8-F6F6-47D4-885F-9C56C3CF36B6}"/>
            </a:ext>
          </a:extLst>
        </cdr:cNvPr>
        <cdr:cNvSpPr/>
      </cdr:nvSpPr>
      <cdr:spPr>
        <a:xfrm xmlns:a="http://schemas.openxmlformats.org/drawingml/2006/main">
          <a:off x="2415237" y="1653250"/>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n=19</a:t>
          </a:r>
        </a:p>
      </cdr:txBody>
    </cdr:sp>
  </cdr:relSizeAnchor>
  <cdr:relSizeAnchor xmlns:cdr="http://schemas.openxmlformats.org/drawingml/2006/chartDrawing">
    <cdr:from>
      <cdr:x>0.40653</cdr:x>
      <cdr:y>0.21014</cdr:y>
    </cdr:from>
    <cdr:to>
      <cdr:x>0.49103</cdr:x>
      <cdr:y>0.24902</cdr:y>
    </cdr:to>
    <cdr:sp macro="" textlink="">
      <cdr:nvSpPr>
        <cdr:cNvPr id="27" name="Rectangle 26">
          <a:extLst xmlns:a="http://schemas.openxmlformats.org/drawingml/2006/main">
            <a:ext uri="{FF2B5EF4-FFF2-40B4-BE49-F238E27FC236}">
              <a16:creationId xmlns:a16="http://schemas.microsoft.com/office/drawing/2014/main" id="{E386C6DD-AE9A-4067-9635-251626BD029D}"/>
            </a:ext>
          </a:extLst>
        </cdr:cNvPr>
        <cdr:cNvSpPr/>
      </cdr:nvSpPr>
      <cdr:spPr>
        <a:xfrm xmlns:a="http://schemas.openxmlformats.org/drawingml/2006/main">
          <a:off x="2415237" y="1413919"/>
          <a:ext cx="50201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n=24</a:t>
          </a:r>
        </a:p>
      </cdr:txBody>
    </cdr:sp>
  </cdr:relSizeAnchor>
  <cdr:relSizeAnchor xmlns:cdr="http://schemas.openxmlformats.org/drawingml/2006/chartDrawing">
    <cdr:from>
      <cdr:x>0.40653</cdr:x>
      <cdr:y>0.17458</cdr:y>
    </cdr:from>
    <cdr:to>
      <cdr:x>0.47781</cdr:x>
      <cdr:y>0.21346</cdr:y>
    </cdr:to>
    <cdr:sp macro="" textlink="">
      <cdr:nvSpPr>
        <cdr:cNvPr id="28" name="Rectangle 27">
          <a:extLst xmlns:a="http://schemas.openxmlformats.org/drawingml/2006/main">
            <a:ext uri="{FF2B5EF4-FFF2-40B4-BE49-F238E27FC236}">
              <a16:creationId xmlns:a16="http://schemas.microsoft.com/office/drawing/2014/main" id="{525EFC33-F9F3-4F8A-AEB6-81EAD67EAF0F}"/>
            </a:ext>
          </a:extLst>
        </cdr:cNvPr>
        <cdr:cNvSpPr/>
      </cdr:nvSpPr>
      <cdr:spPr>
        <a:xfrm xmlns:a="http://schemas.openxmlformats.org/drawingml/2006/main">
          <a:off x="2415237" y="1174655"/>
          <a:ext cx="423479" cy="261602"/>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n=3</a:t>
          </a:r>
        </a:p>
      </cdr:txBody>
    </cdr:sp>
  </cdr:relSizeAnchor>
  <cdr:relSizeAnchor xmlns:cdr="http://schemas.openxmlformats.org/drawingml/2006/chartDrawing">
    <cdr:from>
      <cdr:x>0.40653</cdr:x>
      <cdr:y>0.13901</cdr:y>
    </cdr:from>
    <cdr:to>
      <cdr:x>0.49103</cdr:x>
      <cdr:y>0.1779</cdr:y>
    </cdr:to>
    <cdr:sp macro="" textlink="">
      <cdr:nvSpPr>
        <cdr:cNvPr id="29" name="Rectangle 28">
          <a:extLst xmlns:a="http://schemas.openxmlformats.org/drawingml/2006/main">
            <a:ext uri="{FF2B5EF4-FFF2-40B4-BE49-F238E27FC236}">
              <a16:creationId xmlns:a16="http://schemas.microsoft.com/office/drawing/2014/main" id="{D3E2D192-E66D-4B9B-B415-8E59F3CDDEC7}"/>
            </a:ext>
          </a:extLst>
        </cdr:cNvPr>
        <cdr:cNvSpPr/>
      </cdr:nvSpPr>
      <cdr:spPr>
        <a:xfrm xmlns:a="http://schemas.openxmlformats.org/drawingml/2006/main">
          <a:off x="2415237" y="935323"/>
          <a:ext cx="502019" cy="261670"/>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n=43</a:t>
          </a:r>
        </a:p>
      </cdr:txBody>
    </cdr:sp>
  </cdr:relSizeAnchor>
  <cdr:relSizeAnchor xmlns:cdr="http://schemas.openxmlformats.org/drawingml/2006/chartDrawing">
    <cdr:from>
      <cdr:x>0</cdr:x>
      <cdr:y>0.10255</cdr:y>
    </cdr:from>
    <cdr:to>
      <cdr:x>1</cdr:x>
      <cdr:y>0.95899</cdr:y>
    </cdr:to>
    <cdr:pic>
      <cdr:nvPicPr>
        <cdr:cNvPr id="34"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0" y="690008"/>
          <a:ext cx="5941060" cy="5762518"/>
        </a:xfrm>
        <a:prstGeom xmlns:a="http://schemas.openxmlformats.org/drawingml/2006/main" prst="rect">
          <a:avLst/>
        </a:prstGeom>
      </cdr:spPr>
    </cdr:pic>
  </cdr:relSizeAnchor>
  <cdr:relSizeAnchor xmlns:cdr="http://schemas.openxmlformats.org/drawingml/2006/chartDrawing">
    <cdr:from>
      <cdr:x>0.40653</cdr:x>
      <cdr:y>0.10345</cdr:y>
    </cdr:from>
    <cdr:to>
      <cdr:x>0.47781</cdr:x>
      <cdr:y>0.14233</cdr:y>
    </cdr:to>
    <cdr:sp macro="" textlink="">
      <cdr:nvSpPr>
        <cdr:cNvPr id="30" name="Rectangle 29">
          <a:extLst xmlns:a="http://schemas.openxmlformats.org/drawingml/2006/main">
            <a:ext uri="{FF2B5EF4-FFF2-40B4-BE49-F238E27FC236}">
              <a16:creationId xmlns:a16="http://schemas.microsoft.com/office/drawing/2014/main" id="{BA1823CC-EB91-4441-8C97-79AF976ACC4D}"/>
            </a:ext>
          </a:extLst>
        </cdr:cNvPr>
        <cdr:cNvSpPr/>
      </cdr:nvSpPr>
      <cdr:spPr>
        <a:xfrm xmlns:a="http://schemas.openxmlformats.org/drawingml/2006/main">
          <a:off x="2415237" y="696059"/>
          <a:ext cx="423479" cy="261603"/>
        </a:xfrm>
        <a:prstGeom xmlns:a="http://schemas.openxmlformats.org/drawingml/2006/main" prst="rect">
          <a:avLst/>
        </a:prstGeom>
      </cdr:spPr>
      <cdr:txBody>
        <a:bodyPr xmlns:a="http://schemas.openxmlformats.org/drawingml/2006/main" wrap="non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r" fontAlgn="b"/>
          <a:r>
            <a:rPr lang="lv-LV" sz="1100" dirty="0">
              <a:solidFill>
                <a:srgbClr val="717171"/>
              </a:solidFill>
              <a:latin typeface="Arial" panose="020B0604020202020204" pitchFamily="34" charset="0"/>
            </a:rPr>
            <a:t>n=4</a:t>
          </a:r>
        </a:p>
      </cdr:txBody>
    </cdr:sp>
  </cdr:relSizeAnchor>
  <cdr:relSizeAnchor xmlns:cdr="http://schemas.openxmlformats.org/drawingml/2006/chartDrawing">
    <cdr:from>
      <cdr:x>0.48715</cdr:x>
      <cdr:y>0.01274</cdr:y>
    </cdr:from>
    <cdr:to>
      <cdr:x>0.95717</cdr:x>
      <cdr:y>0.07507</cdr:y>
    </cdr:to>
    <cdr:sp macro="" textlink="">
      <cdr:nvSpPr>
        <cdr:cNvPr id="31" name="TextBox 8">
          <a:extLst xmlns:a="http://schemas.openxmlformats.org/drawingml/2006/main">
            <a:ext uri="{FF2B5EF4-FFF2-40B4-BE49-F238E27FC236}">
              <a16:creationId xmlns:a16="http://schemas.microsoft.com/office/drawing/2014/main" id="{4EFD924D-EFDA-4542-9995-AA6EEAF204AC}"/>
            </a:ext>
          </a:extLst>
        </cdr:cNvPr>
        <cdr:cNvSpPr txBox="1"/>
      </cdr:nvSpPr>
      <cdr:spPr>
        <a:xfrm xmlns:a="http://schemas.openxmlformats.org/drawingml/2006/main">
          <a:off x="2894201" y="85706"/>
          <a:ext cx="2792417" cy="419385"/>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r>
            <a:rPr lang="lv-LV" sz="1200" b="1" dirty="0">
              <a:solidFill>
                <a:srgbClr val="BD9B08"/>
              </a:solidFill>
            </a:rPr>
            <a:t>Būvdarbu pakalpojumu grupu kvalitātes vērtējums</a:t>
          </a:r>
        </a:p>
      </cdr:txBody>
    </cdr:sp>
  </cdr:relSizeAnchor>
  <cdr:relSizeAnchor xmlns:cdr="http://schemas.openxmlformats.org/drawingml/2006/chartDrawing">
    <cdr:from>
      <cdr:x>0.71723</cdr:x>
      <cdr:y>0.07237</cdr:y>
    </cdr:from>
    <cdr:to>
      <cdr:x>0.77704</cdr:x>
      <cdr:y>0.10014</cdr:y>
    </cdr:to>
    <cdr:sp macro="" textlink="">
      <cdr:nvSpPr>
        <cdr:cNvPr id="32" name="TextBox 10">
          <a:extLst xmlns:a="http://schemas.openxmlformats.org/drawingml/2006/main"/>
        </cdr:cNvPr>
        <cdr:cNvSpPr txBox="1"/>
      </cdr:nvSpPr>
      <cdr:spPr>
        <a:xfrm xmlns:a="http://schemas.openxmlformats.org/drawingml/2006/main">
          <a:off x="4261094" y="486967"/>
          <a:ext cx="355336" cy="186834"/>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Min</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0.77396</cdr:x>
      <cdr:y>0.07286</cdr:y>
    </cdr:from>
    <cdr:to>
      <cdr:x>0.85842</cdr:x>
      <cdr:y>0.09847</cdr:y>
    </cdr:to>
    <cdr:sp macro="" textlink="">
      <cdr:nvSpPr>
        <cdr:cNvPr id="33" name="TextBox 12">
          <a:extLst xmlns:a="http://schemas.openxmlformats.org/drawingml/2006/main"/>
        </cdr:cNvPr>
        <cdr:cNvSpPr txBox="1"/>
      </cdr:nvSpPr>
      <cdr:spPr>
        <a:xfrm xmlns:a="http://schemas.openxmlformats.org/drawingml/2006/main">
          <a:off x="4598129" y="490237"/>
          <a:ext cx="501794" cy="17234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Max</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0.11265</cdr:y>
    </cdr:from>
    <cdr:to>
      <cdr:x>0.75456</cdr:x>
      <cdr:y>0.13995</cdr:y>
    </cdr:to>
    <cdr:sp macro="" textlink="">
      <cdr:nvSpPr>
        <cdr:cNvPr id="35" name="TextBox 10">
          <a:extLst xmlns:a="http://schemas.openxmlformats.org/drawingml/2006/main"/>
        </cdr:cNvPr>
        <cdr:cNvSpPr txBox="1"/>
      </cdr:nvSpPr>
      <cdr:spPr>
        <a:xfrm xmlns:a="http://schemas.openxmlformats.org/drawingml/2006/main">
          <a:off x="4317192" y="75794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0.11098</cdr:y>
    </cdr:from>
    <cdr:to>
      <cdr:x>0.82254</cdr:x>
      <cdr:y>0.13016</cdr:y>
    </cdr:to>
    <cdr:sp macro="" textlink="">
      <cdr:nvSpPr>
        <cdr:cNvPr id="36" name="TextBox 12">
          <a:extLst xmlns:a="http://schemas.openxmlformats.org/drawingml/2006/main"/>
        </cdr:cNvPr>
        <cdr:cNvSpPr txBox="1"/>
      </cdr:nvSpPr>
      <cdr:spPr>
        <a:xfrm xmlns:a="http://schemas.openxmlformats.org/drawingml/2006/main">
          <a:off x="4654227" y="74672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0.141</cdr:y>
    </cdr:from>
    <cdr:to>
      <cdr:x>0.7555</cdr:x>
      <cdr:y>0.16829</cdr:y>
    </cdr:to>
    <cdr:sp macro="" textlink="">
      <cdr:nvSpPr>
        <cdr:cNvPr id="37" name="TextBox 10">
          <a:extLst xmlns:a="http://schemas.openxmlformats.org/drawingml/2006/main"/>
        </cdr:cNvPr>
        <cdr:cNvSpPr txBox="1"/>
      </cdr:nvSpPr>
      <cdr:spPr>
        <a:xfrm xmlns:a="http://schemas.openxmlformats.org/drawingml/2006/main">
          <a:off x="4322801" y="948683"/>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0.13933</cdr:y>
    </cdr:from>
    <cdr:to>
      <cdr:x>0.82349</cdr:x>
      <cdr:y>0.1585</cdr:y>
    </cdr:to>
    <cdr:sp macro="" textlink="">
      <cdr:nvSpPr>
        <cdr:cNvPr id="38" name="TextBox 12">
          <a:extLst xmlns:a="http://schemas.openxmlformats.org/drawingml/2006/main"/>
        </cdr:cNvPr>
        <cdr:cNvSpPr txBox="1"/>
      </cdr:nvSpPr>
      <cdr:spPr>
        <a:xfrm xmlns:a="http://schemas.openxmlformats.org/drawingml/2006/main">
          <a:off x="4659836" y="937463"/>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0.17935</cdr:y>
    </cdr:from>
    <cdr:to>
      <cdr:x>0.75456</cdr:x>
      <cdr:y>0.20665</cdr:y>
    </cdr:to>
    <cdr:sp macro="" textlink="">
      <cdr:nvSpPr>
        <cdr:cNvPr id="39" name="TextBox 10">
          <a:extLst xmlns:a="http://schemas.openxmlformats.org/drawingml/2006/main"/>
        </cdr:cNvPr>
        <cdr:cNvSpPr txBox="1"/>
      </cdr:nvSpPr>
      <cdr:spPr>
        <a:xfrm xmlns:a="http://schemas.openxmlformats.org/drawingml/2006/main">
          <a:off x="4317192" y="1206734"/>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0.17768</cdr:y>
    </cdr:from>
    <cdr:to>
      <cdr:x>0.82254</cdr:x>
      <cdr:y>0.19686</cdr:y>
    </cdr:to>
    <cdr:sp macro="" textlink="">
      <cdr:nvSpPr>
        <cdr:cNvPr id="40" name="TextBox 12">
          <a:extLst xmlns:a="http://schemas.openxmlformats.org/drawingml/2006/main"/>
        </cdr:cNvPr>
        <cdr:cNvSpPr txBox="1"/>
      </cdr:nvSpPr>
      <cdr:spPr>
        <a:xfrm xmlns:a="http://schemas.openxmlformats.org/drawingml/2006/main">
          <a:off x="4654227" y="1195514"/>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0.2077</cdr:y>
    </cdr:from>
    <cdr:to>
      <cdr:x>0.7555</cdr:x>
      <cdr:y>0.23499</cdr:y>
    </cdr:to>
    <cdr:sp macro="" textlink="">
      <cdr:nvSpPr>
        <cdr:cNvPr id="41" name="TextBox 10">
          <a:extLst xmlns:a="http://schemas.openxmlformats.org/drawingml/2006/main"/>
        </cdr:cNvPr>
        <cdr:cNvSpPr txBox="1"/>
      </cdr:nvSpPr>
      <cdr:spPr>
        <a:xfrm xmlns:a="http://schemas.openxmlformats.org/drawingml/2006/main">
          <a:off x="4322801" y="1397468"/>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7</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0.20603</cdr:y>
    </cdr:from>
    <cdr:to>
      <cdr:x>0.82254</cdr:x>
      <cdr:y>0.2252</cdr:y>
    </cdr:to>
    <cdr:sp macro="" textlink="">
      <cdr:nvSpPr>
        <cdr:cNvPr id="42" name="TextBox 12">
          <a:extLst xmlns:a="http://schemas.openxmlformats.org/drawingml/2006/main"/>
        </cdr:cNvPr>
        <cdr:cNvSpPr txBox="1"/>
      </cdr:nvSpPr>
      <cdr:spPr>
        <a:xfrm xmlns:a="http://schemas.openxmlformats.org/drawingml/2006/main">
          <a:off x="4654226" y="1386248"/>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0.25438</cdr:y>
    </cdr:from>
    <cdr:to>
      <cdr:x>0.75456</cdr:x>
      <cdr:y>0.28168</cdr:y>
    </cdr:to>
    <cdr:sp macro="" textlink="">
      <cdr:nvSpPr>
        <cdr:cNvPr id="43" name="TextBox 10">
          <a:extLst xmlns:a="http://schemas.openxmlformats.org/drawingml/2006/main"/>
        </cdr:cNvPr>
        <cdr:cNvSpPr txBox="1"/>
      </cdr:nvSpPr>
      <cdr:spPr>
        <a:xfrm xmlns:a="http://schemas.openxmlformats.org/drawingml/2006/main">
          <a:off x="4317192" y="1711618"/>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err="1">
              <a:solidFill>
                <a:srgbClr val="333333"/>
              </a:solidFill>
            </a:rPr>
            <a:t>0</a:t>
          </a:r>
        </a:p>
      </cdr:txBody>
    </cdr:sp>
  </cdr:relSizeAnchor>
  <cdr:relSizeAnchor xmlns:cdr="http://schemas.openxmlformats.org/drawingml/2006/chartDrawing">
    <cdr:from>
      <cdr:x>0.7834</cdr:x>
      <cdr:y>0.25272</cdr:y>
    </cdr:from>
    <cdr:to>
      <cdr:x>0.82254</cdr:x>
      <cdr:y>0.27189</cdr:y>
    </cdr:to>
    <cdr:sp macro="" textlink="">
      <cdr:nvSpPr>
        <cdr:cNvPr id="44" name="TextBox 12">
          <a:extLst xmlns:a="http://schemas.openxmlformats.org/drawingml/2006/main"/>
        </cdr:cNvPr>
        <cdr:cNvSpPr txBox="1"/>
      </cdr:nvSpPr>
      <cdr:spPr>
        <a:xfrm xmlns:a="http://schemas.openxmlformats.org/drawingml/2006/main">
          <a:off x="4654227" y="1700398"/>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0.28273</cdr:y>
    </cdr:from>
    <cdr:to>
      <cdr:x>0.7555</cdr:x>
      <cdr:y>0.31003</cdr:y>
    </cdr:to>
    <cdr:sp macro="" textlink="">
      <cdr:nvSpPr>
        <cdr:cNvPr id="45" name="TextBox 10">
          <a:extLst xmlns:a="http://schemas.openxmlformats.org/drawingml/2006/main"/>
        </cdr:cNvPr>
        <cdr:cNvSpPr txBox="1"/>
      </cdr:nvSpPr>
      <cdr:spPr>
        <a:xfrm xmlns:a="http://schemas.openxmlformats.org/drawingml/2006/main">
          <a:off x="4322801" y="1902352"/>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0.28106</cdr:y>
    </cdr:from>
    <cdr:to>
      <cdr:x>0.82349</cdr:x>
      <cdr:y>0.30024</cdr:y>
    </cdr:to>
    <cdr:sp macro="" textlink="">
      <cdr:nvSpPr>
        <cdr:cNvPr id="46" name="TextBox 12">
          <a:extLst xmlns:a="http://schemas.openxmlformats.org/drawingml/2006/main"/>
        </cdr:cNvPr>
        <cdr:cNvSpPr txBox="1"/>
      </cdr:nvSpPr>
      <cdr:spPr>
        <a:xfrm xmlns:a="http://schemas.openxmlformats.org/drawingml/2006/main">
          <a:off x="4659836" y="1891132"/>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0.32775</cdr:y>
    </cdr:from>
    <cdr:to>
      <cdr:x>0.75456</cdr:x>
      <cdr:y>0.35505</cdr:y>
    </cdr:to>
    <cdr:sp macro="" textlink="">
      <cdr:nvSpPr>
        <cdr:cNvPr id="47" name="TextBox 10">
          <a:extLst xmlns:a="http://schemas.openxmlformats.org/drawingml/2006/main"/>
        </cdr:cNvPr>
        <cdr:cNvSpPr txBox="1"/>
      </cdr:nvSpPr>
      <cdr:spPr>
        <a:xfrm xmlns:a="http://schemas.openxmlformats.org/drawingml/2006/main">
          <a:off x="4317192" y="2205282"/>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0.32609</cdr:y>
    </cdr:from>
    <cdr:to>
      <cdr:x>0.82254</cdr:x>
      <cdr:y>0.34526</cdr:y>
    </cdr:to>
    <cdr:sp macro="" textlink="">
      <cdr:nvSpPr>
        <cdr:cNvPr id="48" name="TextBox 12">
          <a:extLst xmlns:a="http://schemas.openxmlformats.org/drawingml/2006/main"/>
        </cdr:cNvPr>
        <cdr:cNvSpPr txBox="1"/>
      </cdr:nvSpPr>
      <cdr:spPr>
        <a:xfrm xmlns:a="http://schemas.openxmlformats.org/drawingml/2006/main">
          <a:off x="4654227" y="2194062"/>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0.3561</cdr:y>
    </cdr:from>
    <cdr:to>
      <cdr:x>0.7555</cdr:x>
      <cdr:y>0.3834</cdr:y>
    </cdr:to>
    <cdr:sp macro="" textlink="">
      <cdr:nvSpPr>
        <cdr:cNvPr id="49" name="TextBox 10">
          <a:extLst xmlns:a="http://schemas.openxmlformats.org/drawingml/2006/main"/>
        </cdr:cNvPr>
        <cdr:cNvSpPr txBox="1"/>
      </cdr:nvSpPr>
      <cdr:spPr>
        <a:xfrm xmlns:a="http://schemas.openxmlformats.org/drawingml/2006/main">
          <a:off x="4322801" y="2396016"/>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3</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0.35443</cdr:y>
    </cdr:from>
    <cdr:to>
      <cdr:x>0.82349</cdr:x>
      <cdr:y>0.37361</cdr:y>
    </cdr:to>
    <cdr:sp macro="" textlink="">
      <cdr:nvSpPr>
        <cdr:cNvPr id="50" name="TextBox 12">
          <a:extLst xmlns:a="http://schemas.openxmlformats.org/drawingml/2006/main"/>
        </cdr:cNvPr>
        <cdr:cNvSpPr txBox="1"/>
      </cdr:nvSpPr>
      <cdr:spPr>
        <a:xfrm xmlns:a="http://schemas.openxmlformats.org/drawingml/2006/main">
          <a:off x="4659836" y="2384796"/>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0.39612</cdr:y>
    </cdr:from>
    <cdr:to>
      <cdr:x>0.75456</cdr:x>
      <cdr:y>0.42342</cdr:y>
    </cdr:to>
    <cdr:sp macro="" textlink="">
      <cdr:nvSpPr>
        <cdr:cNvPr id="51" name="TextBox 10">
          <a:extLst xmlns:a="http://schemas.openxmlformats.org/drawingml/2006/main"/>
        </cdr:cNvPr>
        <cdr:cNvSpPr txBox="1"/>
      </cdr:nvSpPr>
      <cdr:spPr>
        <a:xfrm xmlns:a="http://schemas.openxmlformats.org/drawingml/2006/main">
          <a:off x="4317192" y="2665287"/>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4</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0.39445</cdr:y>
    </cdr:from>
    <cdr:to>
      <cdr:x>0.82254</cdr:x>
      <cdr:y>0.41363</cdr:y>
    </cdr:to>
    <cdr:sp macro="" textlink="">
      <cdr:nvSpPr>
        <cdr:cNvPr id="52" name="TextBox 12">
          <a:extLst xmlns:a="http://schemas.openxmlformats.org/drawingml/2006/main"/>
        </cdr:cNvPr>
        <cdr:cNvSpPr txBox="1"/>
      </cdr:nvSpPr>
      <cdr:spPr>
        <a:xfrm xmlns:a="http://schemas.openxmlformats.org/drawingml/2006/main">
          <a:off x="4654227" y="2654067"/>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0.42447</cdr:y>
    </cdr:from>
    <cdr:to>
      <cdr:x>0.7555</cdr:x>
      <cdr:y>0.45177</cdr:y>
    </cdr:to>
    <cdr:sp macro="" textlink="">
      <cdr:nvSpPr>
        <cdr:cNvPr id="53" name="TextBox 10">
          <a:extLst xmlns:a="http://schemas.openxmlformats.org/drawingml/2006/main"/>
        </cdr:cNvPr>
        <cdr:cNvSpPr txBox="1"/>
      </cdr:nvSpPr>
      <cdr:spPr>
        <a:xfrm xmlns:a="http://schemas.openxmlformats.org/drawingml/2006/main">
          <a:off x="4322801" y="2856021"/>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0.4228</cdr:y>
    </cdr:from>
    <cdr:to>
      <cdr:x>0.82349</cdr:x>
      <cdr:y>0.44198</cdr:y>
    </cdr:to>
    <cdr:sp macro="" textlink="">
      <cdr:nvSpPr>
        <cdr:cNvPr id="54" name="TextBox 12">
          <a:extLst xmlns:a="http://schemas.openxmlformats.org/drawingml/2006/main"/>
        </cdr:cNvPr>
        <cdr:cNvSpPr txBox="1"/>
      </cdr:nvSpPr>
      <cdr:spPr>
        <a:xfrm xmlns:a="http://schemas.openxmlformats.org/drawingml/2006/main">
          <a:off x="4659836" y="284480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0.46949</cdr:y>
    </cdr:from>
    <cdr:to>
      <cdr:x>0.75456</cdr:x>
      <cdr:y>0.49679</cdr:y>
    </cdr:to>
    <cdr:sp macro="" textlink="">
      <cdr:nvSpPr>
        <cdr:cNvPr id="55" name="TextBox 10">
          <a:extLst xmlns:a="http://schemas.openxmlformats.org/drawingml/2006/main"/>
        </cdr:cNvPr>
        <cdr:cNvSpPr txBox="1"/>
      </cdr:nvSpPr>
      <cdr:spPr>
        <a:xfrm xmlns:a="http://schemas.openxmlformats.org/drawingml/2006/main">
          <a:off x="4317192" y="3158951"/>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4</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0.46782</cdr:y>
    </cdr:from>
    <cdr:to>
      <cdr:x>0.82254</cdr:x>
      <cdr:y>0.487</cdr:y>
    </cdr:to>
    <cdr:sp macro="" textlink="">
      <cdr:nvSpPr>
        <cdr:cNvPr id="56" name="TextBox 12">
          <a:extLst xmlns:a="http://schemas.openxmlformats.org/drawingml/2006/main"/>
        </cdr:cNvPr>
        <cdr:cNvSpPr txBox="1"/>
      </cdr:nvSpPr>
      <cdr:spPr>
        <a:xfrm xmlns:a="http://schemas.openxmlformats.org/drawingml/2006/main">
          <a:off x="4654227" y="314773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0.49784</cdr:y>
    </cdr:from>
    <cdr:to>
      <cdr:x>0.7555</cdr:x>
      <cdr:y>0.52514</cdr:y>
    </cdr:to>
    <cdr:sp macro="" textlink="">
      <cdr:nvSpPr>
        <cdr:cNvPr id="57" name="TextBox 10">
          <a:extLst xmlns:a="http://schemas.openxmlformats.org/drawingml/2006/main"/>
        </cdr:cNvPr>
        <cdr:cNvSpPr txBox="1"/>
      </cdr:nvSpPr>
      <cdr:spPr>
        <a:xfrm xmlns:a="http://schemas.openxmlformats.org/drawingml/2006/main">
          <a:off x="4322801" y="3349685"/>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0.49617</cdr:y>
    </cdr:from>
    <cdr:to>
      <cdr:x>0.82349</cdr:x>
      <cdr:y>0.51535</cdr:y>
    </cdr:to>
    <cdr:sp macro="" textlink="">
      <cdr:nvSpPr>
        <cdr:cNvPr id="58" name="TextBox 12">
          <a:extLst xmlns:a="http://schemas.openxmlformats.org/drawingml/2006/main"/>
        </cdr:cNvPr>
        <cdr:cNvSpPr txBox="1"/>
      </cdr:nvSpPr>
      <cdr:spPr>
        <a:xfrm xmlns:a="http://schemas.openxmlformats.org/drawingml/2006/main">
          <a:off x="4659836" y="3338465"/>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0.54119</cdr:y>
    </cdr:from>
    <cdr:to>
      <cdr:x>0.75456</cdr:x>
      <cdr:y>0.56849</cdr:y>
    </cdr:to>
    <cdr:sp macro="" textlink="">
      <cdr:nvSpPr>
        <cdr:cNvPr id="59" name="TextBox 10">
          <a:extLst xmlns:a="http://schemas.openxmlformats.org/drawingml/2006/main"/>
        </cdr:cNvPr>
        <cdr:cNvSpPr txBox="1"/>
      </cdr:nvSpPr>
      <cdr:spPr>
        <a:xfrm xmlns:a="http://schemas.openxmlformats.org/drawingml/2006/main">
          <a:off x="4317192" y="3641395"/>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3</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0.53953</cdr:y>
    </cdr:from>
    <cdr:to>
      <cdr:x>0.82254</cdr:x>
      <cdr:y>0.5587</cdr:y>
    </cdr:to>
    <cdr:sp macro="" textlink="">
      <cdr:nvSpPr>
        <cdr:cNvPr id="60" name="TextBox 12">
          <a:extLst xmlns:a="http://schemas.openxmlformats.org/drawingml/2006/main"/>
        </cdr:cNvPr>
        <cdr:cNvSpPr txBox="1"/>
      </cdr:nvSpPr>
      <cdr:spPr>
        <a:xfrm xmlns:a="http://schemas.openxmlformats.org/drawingml/2006/main">
          <a:off x="4654227" y="3630175"/>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0.56954</cdr:y>
    </cdr:from>
    <cdr:to>
      <cdr:x>0.7555</cdr:x>
      <cdr:y>0.59684</cdr:y>
    </cdr:to>
    <cdr:sp macro="" textlink="">
      <cdr:nvSpPr>
        <cdr:cNvPr id="61" name="TextBox 10">
          <a:extLst xmlns:a="http://schemas.openxmlformats.org/drawingml/2006/main"/>
        </cdr:cNvPr>
        <cdr:cNvSpPr txBox="1"/>
      </cdr:nvSpPr>
      <cdr:spPr>
        <a:xfrm xmlns:a="http://schemas.openxmlformats.org/drawingml/2006/main">
          <a:off x="4322801" y="383212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4</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0.56787</cdr:y>
    </cdr:from>
    <cdr:to>
      <cdr:x>0.82349</cdr:x>
      <cdr:y>0.58705</cdr:y>
    </cdr:to>
    <cdr:sp macro="" textlink="">
      <cdr:nvSpPr>
        <cdr:cNvPr id="62" name="TextBox 12">
          <a:extLst xmlns:a="http://schemas.openxmlformats.org/drawingml/2006/main"/>
        </cdr:cNvPr>
        <cdr:cNvSpPr txBox="1"/>
      </cdr:nvSpPr>
      <cdr:spPr>
        <a:xfrm xmlns:a="http://schemas.openxmlformats.org/drawingml/2006/main">
          <a:off x="4659836" y="382090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0.61039</cdr:y>
    </cdr:from>
    <cdr:to>
      <cdr:x>0.75456</cdr:x>
      <cdr:y>0.63769</cdr:y>
    </cdr:to>
    <cdr:sp macro="" textlink="">
      <cdr:nvSpPr>
        <cdr:cNvPr id="63" name="TextBox 10">
          <a:extLst xmlns:a="http://schemas.openxmlformats.org/drawingml/2006/main"/>
        </cdr:cNvPr>
        <cdr:cNvSpPr txBox="1"/>
      </cdr:nvSpPr>
      <cdr:spPr>
        <a:xfrm xmlns:a="http://schemas.openxmlformats.org/drawingml/2006/main">
          <a:off x="4317192" y="4107010"/>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0.60873</cdr:y>
    </cdr:from>
    <cdr:to>
      <cdr:x>0.82254</cdr:x>
      <cdr:y>0.6279</cdr:y>
    </cdr:to>
    <cdr:sp macro="" textlink="">
      <cdr:nvSpPr>
        <cdr:cNvPr id="64" name="TextBox 12">
          <a:extLst xmlns:a="http://schemas.openxmlformats.org/drawingml/2006/main"/>
        </cdr:cNvPr>
        <cdr:cNvSpPr txBox="1"/>
      </cdr:nvSpPr>
      <cdr:spPr>
        <a:xfrm xmlns:a="http://schemas.openxmlformats.org/drawingml/2006/main">
          <a:off x="4654227" y="4095790"/>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0.63874</cdr:y>
    </cdr:from>
    <cdr:to>
      <cdr:x>0.7555</cdr:x>
      <cdr:y>0.66604</cdr:y>
    </cdr:to>
    <cdr:sp macro="" textlink="">
      <cdr:nvSpPr>
        <cdr:cNvPr id="65" name="TextBox 10">
          <a:extLst xmlns:a="http://schemas.openxmlformats.org/drawingml/2006/main"/>
        </cdr:cNvPr>
        <cdr:cNvSpPr txBox="1"/>
      </cdr:nvSpPr>
      <cdr:spPr>
        <a:xfrm xmlns:a="http://schemas.openxmlformats.org/drawingml/2006/main">
          <a:off x="4322801" y="4297744"/>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0.63707</cdr:y>
    </cdr:from>
    <cdr:to>
      <cdr:x>0.82349</cdr:x>
      <cdr:y>0.65625</cdr:y>
    </cdr:to>
    <cdr:sp macro="" textlink="">
      <cdr:nvSpPr>
        <cdr:cNvPr id="66" name="TextBox 12">
          <a:extLst xmlns:a="http://schemas.openxmlformats.org/drawingml/2006/main"/>
        </cdr:cNvPr>
        <cdr:cNvSpPr txBox="1"/>
      </cdr:nvSpPr>
      <cdr:spPr>
        <a:xfrm xmlns:a="http://schemas.openxmlformats.org/drawingml/2006/main">
          <a:off x="4659836" y="4286524"/>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0.67876</cdr:y>
    </cdr:from>
    <cdr:to>
      <cdr:x>0.75456</cdr:x>
      <cdr:y>0.70606</cdr:y>
    </cdr:to>
    <cdr:sp macro="" textlink="">
      <cdr:nvSpPr>
        <cdr:cNvPr id="67" name="TextBox 10">
          <a:extLst xmlns:a="http://schemas.openxmlformats.org/drawingml/2006/main"/>
        </cdr:cNvPr>
        <cdr:cNvSpPr txBox="1"/>
      </cdr:nvSpPr>
      <cdr:spPr>
        <a:xfrm xmlns:a="http://schemas.openxmlformats.org/drawingml/2006/main">
          <a:off x="4317192" y="4567015"/>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6</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0.67709</cdr:y>
    </cdr:from>
    <cdr:to>
      <cdr:x>0.82254</cdr:x>
      <cdr:y>0.69627</cdr:y>
    </cdr:to>
    <cdr:sp macro="" textlink="">
      <cdr:nvSpPr>
        <cdr:cNvPr id="68" name="TextBox 12">
          <a:extLst xmlns:a="http://schemas.openxmlformats.org/drawingml/2006/main"/>
        </cdr:cNvPr>
        <cdr:cNvSpPr txBox="1"/>
      </cdr:nvSpPr>
      <cdr:spPr>
        <a:xfrm xmlns:a="http://schemas.openxmlformats.org/drawingml/2006/main">
          <a:off x="4654227" y="4555795"/>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0.70711</cdr:y>
    </cdr:from>
    <cdr:to>
      <cdr:x>0.7555</cdr:x>
      <cdr:y>0.73441</cdr:y>
    </cdr:to>
    <cdr:sp macro="" textlink="">
      <cdr:nvSpPr>
        <cdr:cNvPr id="69" name="TextBox 10">
          <a:extLst xmlns:a="http://schemas.openxmlformats.org/drawingml/2006/main"/>
        </cdr:cNvPr>
        <cdr:cNvSpPr txBox="1"/>
      </cdr:nvSpPr>
      <cdr:spPr>
        <a:xfrm xmlns:a="http://schemas.openxmlformats.org/drawingml/2006/main">
          <a:off x="4322801" y="475774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0.70544</cdr:y>
    </cdr:from>
    <cdr:to>
      <cdr:x>0.82349</cdr:x>
      <cdr:y>0.72462</cdr:y>
    </cdr:to>
    <cdr:sp macro="" textlink="">
      <cdr:nvSpPr>
        <cdr:cNvPr id="70" name="TextBox 12">
          <a:extLst xmlns:a="http://schemas.openxmlformats.org/drawingml/2006/main"/>
        </cdr:cNvPr>
        <cdr:cNvSpPr txBox="1"/>
      </cdr:nvSpPr>
      <cdr:spPr>
        <a:xfrm xmlns:a="http://schemas.openxmlformats.org/drawingml/2006/main">
          <a:off x="4659836" y="474652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0.75213</cdr:y>
    </cdr:from>
    <cdr:to>
      <cdr:x>0.75456</cdr:x>
      <cdr:y>0.77943</cdr:y>
    </cdr:to>
    <cdr:sp macro="" textlink="">
      <cdr:nvSpPr>
        <cdr:cNvPr id="71" name="TextBox 10">
          <a:extLst xmlns:a="http://schemas.openxmlformats.org/drawingml/2006/main"/>
        </cdr:cNvPr>
        <cdr:cNvSpPr txBox="1"/>
      </cdr:nvSpPr>
      <cdr:spPr>
        <a:xfrm xmlns:a="http://schemas.openxmlformats.org/drawingml/2006/main">
          <a:off x="4317192" y="5060679"/>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0.75046</cdr:y>
    </cdr:from>
    <cdr:to>
      <cdr:x>0.82254</cdr:x>
      <cdr:y>0.76964</cdr:y>
    </cdr:to>
    <cdr:sp macro="" textlink="">
      <cdr:nvSpPr>
        <cdr:cNvPr id="72" name="TextBox 12">
          <a:extLst xmlns:a="http://schemas.openxmlformats.org/drawingml/2006/main"/>
        </cdr:cNvPr>
        <cdr:cNvSpPr txBox="1"/>
      </cdr:nvSpPr>
      <cdr:spPr>
        <a:xfrm xmlns:a="http://schemas.openxmlformats.org/drawingml/2006/main">
          <a:off x="4654227" y="5049459"/>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0.78048</cdr:y>
    </cdr:from>
    <cdr:to>
      <cdr:x>0.7555</cdr:x>
      <cdr:y>0.80778</cdr:y>
    </cdr:to>
    <cdr:sp macro="" textlink="">
      <cdr:nvSpPr>
        <cdr:cNvPr id="73" name="TextBox 10">
          <a:extLst xmlns:a="http://schemas.openxmlformats.org/drawingml/2006/main"/>
        </cdr:cNvPr>
        <cdr:cNvSpPr txBox="1"/>
      </cdr:nvSpPr>
      <cdr:spPr>
        <a:xfrm xmlns:a="http://schemas.openxmlformats.org/drawingml/2006/main">
          <a:off x="4322801" y="5251413"/>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0.77881</cdr:y>
    </cdr:from>
    <cdr:to>
      <cdr:x>0.82349</cdr:x>
      <cdr:y>0.79799</cdr:y>
    </cdr:to>
    <cdr:sp macro="" textlink="">
      <cdr:nvSpPr>
        <cdr:cNvPr id="74" name="TextBox 12">
          <a:extLst xmlns:a="http://schemas.openxmlformats.org/drawingml/2006/main"/>
        </cdr:cNvPr>
        <cdr:cNvSpPr txBox="1"/>
      </cdr:nvSpPr>
      <cdr:spPr>
        <a:xfrm xmlns:a="http://schemas.openxmlformats.org/drawingml/2006/main">
          <a:off x="4659836" y="5240193"/>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0.82216</cdr:y>
    </cdr:from>
    <cdr:to>
      <cdr:x>0.75456</cdr:x>
      <cdr:y>0.84946</cdr:y>
    </cdr:to>
    <cdr:sp macro="" textlink="">
      <cdr:nvSpPr>
        <cdr:cNvPr id="75" name="TextBox 10">
          <a:extLst xmlns:a="http://schemas.openxmlformats.org/drawingml/2006/main"/>
        </cdr:cNvPr>
        <cdr:cNvSpPr txBox="1"/>
      </cdr:nvSpPr>
      <cdr:spPr>
        <a:xfrm xmlns:a="http://schemas.openxmlformats.org/drawingml/2006/main">
          <a:off x="4317192" y="5531903"/>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0.7834</cdr:x>
      <cdr:y>0.82216</cdr:y>
    </cdr:from>
    <cdr:to>
      <cdr:x>0.82254</cdr:x>
      <cdr:y>0.84134</cdr:y>
    </cdr:to>
    <cdr:sp macro="" textlink="">
      <cdr:nvSpPr>
        <cdr:cNvPr id="76" name="TextBox 12">
          <a:extLst xmlns:a="http://schemas.openxmlformats.org/drawingml/2006/main"/>
        </cdr:cNvPr>
        <cdr:cNvSpPr txBox="1"/>
      </cdr:nvSpPr>
      <cdr:spPr>
        <a:xfrm xmlns:a="http://schemas.openxmlformats.org/drawingml/2006/main">
          <a:off x="4654227" y="5531902"/>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0.85051</cdr:y>
    </cdr:from>
    <cdr:to>
      <cdr:x>0.7555</cdr:x>
      <cdr:y>0.87781</cdr:y>
    </cdr:to>
    <cdr:sp macro="" textlink="">
      <cdr:nvSpPr>
        <cdr:cNvPr id="77" name="TextBox 10">
          <a:extLst xmlns:a="http://schemas.openxmlformats.org/drawingml/2006/main"/>
        </cdr:cNvPr>
        <cdr:cNvSpPr txBox="1"/>
      </cdr:nvSpPr>
      <cdr:spPr>
        <a:xfrm xmlns:a="http://schemas.openxmlformats.org/drawingml/2006/main">
          <a:off x="4322801" y="5722637"/>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0.84884</cdr:y>
    </cdr:from>
    <cdr:to>
      <cdr:x>0.82349</cdr:x>
      <cdr:y>0.86802</cdr:y>
    </cdr:to>
    <cdr:sp macro="" textlink="">
      <cdr:nvSpPr>
        <cdr:cNvPr id="78" name="TextBox 12">
          <a:extLst xmlns:a="http://schemas.openxmlformats.org/drawingml/2006/main"/>
        </cdr:cNvPr>
        <cdr:cNvSpPr txBox="1"/>
      </cdr:nvSpPr>
      <cdr:spPr>
        <a:xfrm xmlns:a="http://schemas.openxmlformats.org/drawingml/2006/main">
          <a:off x="4659836" y="5711417"/>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0.72667</cdr:x>
      <cdr:y>0.8947</cdr:y>
    </cdr:from>
    <cdr:to>
      <cdr:x>0.75456</cdr:x>
      <cdr:y>0.922</cdr:y>
    </cdr:to>
    <cdr:sp macro="" textlink="">
      <cdr:nvSpPr>
        <cdr:cNvPr id="79" name="TextBox 10">
          <a:extLst xmlns:a="http://schemas.openxmlformats.org/drawingml/2006/main"/>
        </cdr:cNvPr>
        <cdr:cNvSpPr txBox="1"/>
      </cdr:nvSpPr>
      <cdr:spPr>
        <a:xfrm xmlns:a="http://schemas.openxmlformats.org/drawingml/2006/main">
          <a:off x="4317192" y="6019957"/>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2</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0.8947</cdr:y>
    </cdr:from>
    <cdr:to>
      <cdr:x>0.82349</cdr:x>
      <cdr:y>0.91388</cdr:y>
    </cdr:to>
    <cdr:sp macro="" textlink="">
      <cdr:nvSpPr>
        <cdr:cNvPr id="80" name="TextBox 12">
          <a:extLst xmlns:a="http://schemas.openxmlformats.org/drawingml/2006/main"/>
        </cdr:cNvPr>
        <cdr:cNvSpPr txBox="1"/>
      </cdr:nvSpPr>
      <cdr:spPr>
        <a:xfrm xmlns:a="http://schemas.openxmlformats.org/drawingml/2006/main">
          <a:off x="4659837" y="6019957"/>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0.72761</cdr:x>
      <cdr:y>0.92305</cdr:y>
    </cdr:from>
    <cdr:to>
      <cdr:x>0.7555</cdr:x>
      <cdr:y>0.95035</cdr:y>
    </cdr:to>
    <cdr:sp macro="" textlink="">
      <cdr:nvSpPr>
        <cdr:cNvPr id="81" name="TextBox 10">
          <a:extLst xmlns:a="http://schemas.openxmlformats.org/drawingml/2006/main"/>
        </cdr:cNvPr>
        <cdr:cNvSpPr txBox="1"/>
      </cdr:nvSpPr>
      <cdr:spPr>
        <a:xfrm xmlns:a="http://schemas.openxmlformats.org/drawingml/2006/main">
          <a:off x="4322801" y="6210691"/>
          <a:ext cx="165675" cy="18367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5</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0.78434</cdr:x>
      <cdr:y>0.92138</cdr:y>
    </cdr:from>
    <cdr:to>
      <cdr:x>0.82349</cdr:x>
      <cdr:y>0.94056</cdr:y>
    </cdr:to>
    <cdr:sp macro="" textlink="">
      <cdr:nvSpPr>
        <cdr:cNvPr id="82" name="TextBox 12">
          <a:extLst xmlns:a="http://schemas.openxmlformats.org/drawingml/2006/main"/>
        </cdr:cNvPr>
        <cdr:cNvSpPr txBox="1"/>
      </cdr:nvSpPr>
      <cdr:spPr>
        <a:xfrm xmlns:a="http://schemas.openxmlformats.org/drawingml/2006/main">
          <a:off x="4659836" y="6199471"/>
          <a:ext cx="232548" cy="129026"/>
        </a:xfrm>
        <a:prstGeom xmlns:a="http://schemas.openxmlformats.org/drawingml/2006/main" prst="rect">
          <a:avLst/>
        </a:prstGeom>
        <a:noFill xmlns:a="http://schemas.openxmlformats.org/drawingml/2006/main"/>
      </cdr:spPr>
      <cdr:txBody>
        <a:bodyPr xmlns:a="http://schemas.openxmlformats.org/drawingml/2006/main" wrap="square" lIns="0" tIns="0" rIns="0" bIns="0" rtlCol="0">
          <a:noAutofit/>
        </a:bodyPr>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lv-LV" sz="1100" dirty="0">
              <a:solidFill>
                <a:srgbClr val="333333"/>
              </a:solidFill>
            </a:rPr>
            <a:t>10</a:t>
          </a:r>
        </a:p>
        <a:p xmlns:a="http://schemas.openxmlformats.org/drawingml/2006/main">
          <a:endParaRPr lang="lv-LV" sz="1100" dirty="0" err="1">
            <a:solidFill>
              <a:srgbClr val="333333"/>
            </a:solidFill>
          </a:endParaRPr>
        </a:p>
      </cdr:txBody>
    </cdr:sp>
  </cdr:relSizeAnchor>
  <cdr:relSizeAnchor xmlns:cdr="http://schemas.openxmlformats.org/drawingml/2006/chartDrawing">
    <cdr:from>
      <cdr:x>0</cdr:x>
      <cdr:y>0.13052</cdr:y>
    </cdr:from>
    <cdr:to>
      <cdr:x>0.19021</cdr:x>
      <cdr:y>0.19027</cdr:y>
    </cdr:to>
    <cdr:sp macro="" textlink="">
      <cdr:nvSpPr>
        <cdr:cNvPr id="83" name="Rectangle 82">
          <a:extLst xmlns:a="http://schemas.openxmlformats.org/drawingml/2006/main"/>
        </cdr:cNvPr>
        <cdr:cNvSpPr/>
      </cdr:nvSpPr>
      <cdr:spPr>
        <a:xfrm xmlns:a="http://schemas.openxmlformats.org/drawingml/2006/main">
          <a:off x="0" y="878189"/>
          <a:ext cx="1130049" cy="402033"/>
        </a:xfrm>
        <a:prstGeom xmlns:a="http://schemas.openxmlformats.org/drawingml/2006/main" prst="rect">
          <a:avLst/>
        </a:prstGeom>
      </cdr:spPr>
      <cdr:txBody>
        <a:bodyPr xmlns:a="http://schemas.openxmlformats.org/drawingml/2006/main" wrap="square">
          <a:spAutoFit/>
        </a:bodyPr>
        <a:lstStyle xmlns:a="http://schemas.openxmlformats.org/drawingml/2006/main">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xmlns:a="http://schemas.openxmlformats.org/drawingml/2006/main">
          <a:pPr algn="ctr" fontAlgn="t"/>
          <a:r>
            <a:rPr lang="lv-LV" sz="1050" dirty="0">
              <a:solidFill>
                <a:srgbClr val="717171"/>
              </a:solidFill>
              <a:latin typeface="Arial" panose="020B0604020202020204" pitchFamily="34" charset="0"/>
            </a:rPr>
            <a:t>Būvniecības projektu vadība</a:t>
          </a:r>
        </a:p>
      </cdr:txBody>
    </cdr:sp>
  </cdr:relSizeAnchor>
</c:userShapes>
</file>

<file path=word/theme/theme1.xml><?xml version="1.0" encoding="utf-8"?>
<a:theme xmlns:a="http://schemas.openxmlformats.org/drawingml/2006/main" name="Office Theme">
  <a:themeElements>
    <a:clrScheme name="TNS Word">
      <a:dk1>
        <a:srgbClr val="717171"/>
      </a:dk1>
      <a:lt1>
        <a:srgbClr val="FFFFFF"/>
      </a:lt1>
      <a:dk2>
        <a:srgbClr val="79D738"/>
      </a:dk2>
      <a:lt2>
        <a:srgbClr val="E5007E"/>
      </a:lt2>
      <a:accent1>
        <a:srgbClr val="C50017"/>
      </a:accent1>
      <a:accent2>
        <a:srgbClr val="F7911E"/>
      </a:accent2>
      <a:accent3>
        <a:srgbClr val="EF5205"/>
      </a:accent3>
      <a:accent4>
        <a:srgbClr val="7A2280"/>
      </a:accent4>
      <a:accent5>
        <a:srgbClr val="3EB1CC"/>
      </a:accent5>
      <a:accent6>
        <a:srgbClr val="4655A5"/>
      </a:accent6>
      <a:hlink>
        <a:srgbClr val="E5007E"/>
      </a:hlink>
      <a:folHlink>
        <a:srgbClr val="E5007E"/>
      </a:folHlink>
    </a:clrScheme>
    <a:fontScheme name="Kantar Master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Custom 403">
    <a:dk1>
      <a:sysClr val="windowText" lastClr="000000"/>
    </a:dk1>
    <a:lt1>
      <a:sysClr val="window" lastClr="FFFFFF"/>
    </a:lt1>
    <a:dk2>
      <a:srgbClr val="BD9B08"/>
    </a:dk2>
    <a:lt2>
      <a:srgbClr val="E7E7E7"/>
    </a:lt2>
    <a:accent1>
      <a:srgbClr val="C0C0C0"/>
    </a:accent1>
    <a:accent2>
      <a:srgbClr val="989898"/>
    </a:accent2>
    <a:accent3>
      <a:srgbClr val="717171"/>
    </a:accent3>
    <a:accent4>
      <a:srgbClr val="93C021"/>
    </a:accent4>
    <a:accent5>
      <a:srgbClr val="00B6ED"/>
    </a:accent5>
    <a:accent6>
      <a:srgbClr val="E5007E"/>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B14D30A66F5C44C8CF3A4D58C13BFD1" ma:contentTypeVersion="3" ma:contentTypeDescription="Create a new document." ma:contentTypeScope="" ma:versionID="bc03b48dc8b329121ba730b0dfed24e9">
  <xsd:schema xmlns:xsd="http://www.w3.org/2001/XMLSchema" xmlns:p="http://schemas.microsoft.com/office/2006/metadata/properties" xmlns:ns1="http://schemas.microsoft.com/sharepoint/v3" xmlns:ns2="e85a65c0-a701-455f-ad42-1d69d303c865" targetNamespace="http://schemas.microsoft.com/office/2006/metadata/properties" ma:root="true" ma:fieldsID="5465a9eeefd516de6d85bd818170c57c" ns1:_="" ns2:_="">
    <xsd:import namespace="http://schemas.microsoft.com/sharepoint/v3"/>
    <xsd:import namespace="e85a65c0-a701-455f-ad42-1d69d303c865"/>
    <xsd:element name="properties">
      <xsd:complexType>
        <xsd:sequence>
          <xsd:element name="documentManagement">
            <xsd:complexType>
              <xsd:all>
                <xsd:element ref="ns1:PublishingStartDate" minOccurs="0"/>
                <xsd:element ref="ns1:PublishingExpirationDate" minOccurs="0"/>
                <xsd:element ref="ns2:Document_x0020_categories" minOccurs="0"/>
                <xsd:element ref="ns2:Description0"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e85a65c0-a701-455f-ad42-1d69d303c865" elementFormDefault="qualified">
    <xsd:import namespace="http://schemas.microsoft.com/office/2006/documentManagement/types"/>
    <xsd:element name="Document_x0020_categories" ma:index="10" nillable="true" ma:displayName="Document categories" ma:internalName="Document_x0020_categories">
      <xsd:complexType>
        <xsd:complexContent>
          <xsd:extension base="dms:MultiChoice">
            <xsd:sequence>
              <xsd:element name="Value" maxOccurs="unbounded" minOccurs="0" nillable="true">
                <xsd:simpleType>
                  <xsd:restriction base="dms:Choice">
                    <xsd:enumeration value="Client logos"/>
                    <xsd:enumeration value="Contact lists"/>
                    <xsd:enumeration value="Font"/>
                    <xsd:enumeration value="Kantar First Day - presentations"/>
                    <xsd:enumeration value="Kantar masterbrand assets"/>
                    <xsd:enumeration value="Kantar masterbrand email signature"/>
                    <xsd:enumeration value="Kantar masterbrand logo"/>
                    <xsd:enumeration value="Kantar masterbrand ppt"/>
                    <xsd:enumeration value="Kantar masterbrand stationery"/>
                    <xsd:enumeration value="Kantar TNS assets"/>
                    <xsd:enumeration value="Kantar TNS email signature"/>
                    <xsd:enumeration value="Kantar TNS logo"/>
                    <xsd:enumeration value="Kantar TNS ppt"/>
                    <xsd:enumeration value="Kantar TNS stationery"/>
                    <xsd:enumeration value="Internal comms"/>
                    <xsd:enumeration value="Operating brand assets"/>
                    <xsd:enumeration value="Operating brand logos"/>
                    <xsd:enumeration value="Webinar decks and recordings"/>
                  </xsd:restriction>
                </xsd:simpleType>
              </xsd:element>
            </xsd:sequence>
          </xsd:extension>
        </xsd:complexContent>
      </xsd:complexType>
    </xsd:element>
    <xsd:element name="Description0" ma:index="11" nillable="true" ma:displayName="Description" ma:internalName="Description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Description0 xmlns="e85a65c0-a701-455f-ad42-1d69d303c865" xsi:nil="true"/>
    <PublishingExpirationDate xmlns="http://schemas.microsoft.com/sharepoint/v3" xsi:nil="true"/>
    <PublishingStartDate xmlns="http://schemas.microsoft.com/sharepoint/v3" xsi:nil="true"/>
    <Document_x0020_categories xmlns="e85a65c0-a701-455f-ad42-1d69d303c865">
      <Value>Kantar TNS stationery</Value>
    </Document_x0020_categorie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186FD6-15F6-4307-8BC3-9372DF0D0776}">
  <ds:schemaRefs>
    <ds:schemaRef ds:uri="http://schemas.microsoft.com/sharepoint/v3/contenttype/forms"/>
  </ds:schemaRefs>
</ds:datastoreItem>
</file>

<file path=customXml/itemProps2.xml><?xml version="1.0" encoding="utf-8"?>
<ds:datastoreItem xmlns:ds="http://schemas.openxmlformats.org/officeDocument/2006/customXml" ds:itemID="{663650E6-DAE5-4B9B-B0DF-A63977282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5a65c0-a701-455f-ad42-1d69d303c865"/>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72364FC-82FC-434F-8705-5CE1F1F2A518}">
  <ds:schemaRefs>
    <ds:schemaRef ds:uri="http://schemas.microsoft.com/office/2006/metadata/properties"/>
    <ds:schemaRef ds:uri="e85a65c0-a701-455f-ad42-1d69d303c865"/>
    <ds:schemaRef ds:uri="http://schemas.microsoft.com/sharepoint/v3"/>
  </ds:schemaRefs>
</ds:datastoreItem>
</file>

<file path=customXml/itemProps4.xml><?xml version="1.0" encoding="utf-8"?>
<ds:datastoreItem xmlns:ds="http://schemas.openxmlformats.org/officeDocument/2006/customXml" ds:itemID="{77802DB6-B7BE-49F6-9B17-7F534F282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1810</TotalTime>
  <Pages>29</Pages>
  <Words>25410</Words>
  <Characters>14484</Characters>
  <Application>Microsoft Office Word</Application>
  <DocSecurity>0</DocSecurity>
  <Lines>120</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Kantar</dc:creator>
  <cp:keywords/>
  <dc:description/>
  <cp:lastModifiedBy>Krecele, Agnese (TSRIG)</cp:lastModifiedBy>
  <cp:revision>411</cp:revision>
  <cp:lastPrinted>2019-04-17T10:40:00Z</cp:lastPrinted>
  <dcterms:created xsi:type="dcterms:W3CDTF">2019-05-21T11:47:00Z</dcterms:created>
  <dcterms:modified xsi:type="dcterms:W3CDTF">2019-10-01T06:28:00Z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0x0101000B14D30A66F5C44C8CF3A4D58C13BFD1</vt:lpwstr>
  </property>
  <property fmtid="{D5CDD505-2E9C-101B-9397-08002B2CF9AE}" pid="3" name="Order">
    <vt:r8>9700</vt:r8>
  </property>
</Properties>
</file>