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2F143" w14:textId="0FAE7D65" w:rsidR="004F6056" w:rsidRPr="00B2521E" w:rsidRDefault="004F6056" w:rsidP="00B13164">
      <w:bookmarkStart w:id="0" w:name="_Hlk10466447"/>
      <w:bookmarkEnd w:id="0"/>
      <w:r w:rsidRPr="00B2521E">
        <w:t xml:space="preserve"> </w:t>
      </w:r>
    </w:p>
    <w:sdt>
      <w:sdtPr>
        <w:id w:val="-837072791"/>
        <w:docPartObj>
          <w:docPartGallery w:val="Cover Pages"/>
          <w:docPartUnique/>
        </w:docPartObj>
      </w:sdtPr>
      <w:sdtEndPr>
        <w:rPr>
          <w:sz w:val="20"/>
        </w:rPr>
      </w:sdtEndPr>
      <w:sdtContent>
        <w:p w14:paraId="54E302F3" w14:textId="4DF8A446" w:rsidR="00696375" w:rsidRPr="00446C16" w:rsidRDefault="00874999" w:rsidP="00B13164">
          <w:r w:rsidRPr="00446C16">
            <w:rPr>
              <w:noProof/>
              <w:lang w:val="en-US"/>
            </w:rPr>
            <mc:AlternateContent>
              <mc:Choice Requires="wpg">
                <w:drawing>
                  <wp:anchor distT="0" distB="0" distL="114300" distR="114300" simplePos="0" relativeHeight="251665408" behindDoc="1" locked="0" layoutInCell="1" allowOverlap="1" wp14:anchorId="23F514D2" wp14:editId="70EF7812">
                    <wp:simplePos x="0" y="0"/>
                    <wp:positionH relativeFrom="page">
                      <wp:posOffset>0</wp:posOffset>
                    </wp:positionH>
                    <wp:positionV relativeFrom="page">
                      <wp:posOffset>-16042</wp:posOffset>
                    </wp:positionV>
                    <wp:extent cx="7668934" cy="10764253"/>
                    <wp:effectExtent l="0" t="0" r="0" b="0"/>
                    <wp:wrapNone/>
                    <wp:docPr id="35" name="Group 35"/>
                    <wp:cNvGraphicFramePr/>
                    <a:graphic xmlns:a="http://schemas.openxmlformats.org/drawingml/2006/main">
                      <a:graphicData uri="http://schemas.microsoft.com/office/word/2010/wordprocessingGroup">
                        <wpg:wgp>
                          <wpg:cNvGrpSpPr/>
                          <wpg:grpSpPr>
                            <a:xfrm>
                              <a:off x="0" y="0"/>
                              <a:ext cx="7668934" cy="10764253"/>
                              <a:chOff x="-192514" y="-497305"/>
                              <a:chExt cx="7669283" cy="10764358"/>
                            </a:xfrm>
                          </wpg:grpSpPr>
                          <wpg:grpSp>
                            <wpg:cNvPr id="38" name="Group 38"/>
                            <wpg:cNvGrpSpPr/>
                            <wpg:grpSpPr>
                              <a:xfrm>
                                <a:off x="-192514" y="-497305"/>
                                <a:ext cx="7539798" cy="10764358"/>
                                <a:chOff x="-192514" y="-497305"/>
                                <a:chExt cx="7539798" cy="10764358"/>
                              </a:xfrm>
                            </wpg:grpSpPr>
                            <wps:wsp>
                              <wps:cNvPr id="44" name="Rectangle 44"/>
                              <wps:cNvSpPr/>
                              <wps:spPr>
                                <a:xfrm>
                                  <a:off x="-192514" y="-497305"/>
                                  <a:ext cx="7539798" cy="10764358"/>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14:paraId="013C31EA" w14:textId="77777777" w:rsidR="00DE666D" w:rsidRDefault="00DE666D" w:rsidP="00874999">
                                    <w:pPr>
                                      <w:pStyle w:val="NoSpacing"/>
                                      <w:jc w:val="center"/>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45" name="Group 2"/>
                              <wpg:cNvGrpSpPr/>
                              <wpg:grpSpPr>
                                <a:xfrm>
                                  <a:off x="2524125" y="0"/>
                                  <a:ext cx="4329113" cy="4491038"/>
                                  <a:chOff x="0" y="0"/>
                                  <a:chExt cx="4329113" cy="4491038"/>
                                </a:xfrm>
                                <a:solidFill>
                                  <a:schemeClr val="bg1"/>
                                </a:solidFill>
                              </wpg:grpSpPr>
                              <wps:wsp>
                                <wps:cNvPr id="47" name="Freeform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9" name="Freeform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0" name="Freeform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 name="Freeform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2" name="Freeform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53" name="Text Box 53"/>
                            <wps:cNvSpPr txBox="1"/>
                            <wps:spPr>
                              <a:xfrm>
                                <a:off x="401071" y="4327829"/>
                                <a:ext cx="7075698" cy="51531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73ED33" w14:textId="40769458" w:rsidR="00DE666D" w:rsidRDefault="00DE666D" w:rsidP="00874999">
                                  <w:pPr>
                                    <w:pStyle w:val="NoSpacing"/>
                                    <w:jc w:val="center"/>
                                    <w:rPr>
                                      <w:rFonts w:asciiTheme="majorHAnsi" w:eastAsiaTheme="majorEastAsia" w:hAnsiTheme="majorHAnsi" w:cstheme="majorBidi"/>
                                      <w:caps/>
                                      <w:color w:val="FFFFFF" w:themeColor="background1"/>
                                      <w:sz w:val="64"/>
                                      <w:szCs w:val="64"/>
                                    </w:rPr>
                                  </w:pPr>
                                  <w:r w:rsidRPr="00696375">
                                    <w:rPr>
                                      <w:rFonts w:asciiTheme="majorHAnsi" w:eastAsiaTheme="majorEastAsia" w:hAnsiTheme="majorHAnsi" w:cstheme="majorBidi"/>
                                      <w:caps/>
                                      <w:color w:val="FFFFFF" w:themeColor="background1"/>
                                      <w:sz w:val="64"/>
                                      <w:szCs w:val="64"/>
                                    </w:rPr>
                                    <w:t>Pētījums par prognozētām izmaiņām darbaspēka un</w:t>
                                  </w:r>
                                  <w:r>
                                    <w:rPr>
                                      <w:rFonts w:asciiTheme="majorHAnsi" w:eastAsiaTheme="majorEastAsia" w:hAnsiTheme="majorHAnsi" w:cstheme="majorBidi"/>
                                      <w:caps/>
                                      <w:color w:val="FFFFFF" w:themeColor="background1"/>
                                      <w:sz w:val="64"/>
                                      <w:szCs w:val="64"/>
                                    </w:rPr>
                                    <w:t xml:space="preserve"> </w:t>
                                  </w:r>
                                  <w:r w:rsidRPr="00696375">
                                    <w:rPr>
                                      <w:rFonts w:asciiTheme="majorHAnsi" w:eastAsiaTheme="majorEastAsia" w:hAnsiTheme="majorHAnsi" w:cstheme="majorBidi"/>
                                      <w:caps/>
                                      <w:color w:val="FFFFFF" w:themeColor="background1"/>
                                      <w:sz w:val="64"/>
                                      <w:szCs w:val="64"/>
                                    </w:rPr>
                                    <w:t>būvmateriālu izmaksās būvniecības nozarē Latvijā</w:t>
                                  </w:r>
                                </w:p>
                                <w:p w14:paraId="1667560C" w14:textId="155CB572" w:rsidR="00DE666D" w:rsidRPr="00874999" w:rsidRDefault="00DE666D" w:rsidP="00696375">
                                  <w:pPr>
                                    <w:pStyle w:val="NoSpacing"/>
                                    <w:jc w:val="center"/>
                                    <w:rPr>
                                      <w:rFonts w:asciiTheme="majorHAnsi" w:eastAsiaTheme="majorEastAsia" w:hAnsiTheme="majorHAnsi" w:cstheme="majorBidi"/>
                                      <w:caps/>
                                      <w:color w:val="FFFFFF" w:themeColor="background1"/>
                                      <w:sz w:val="52"/>
                                      <w:szCs w:val="52"/>
                                    </w:rPr>
                                  </w:pPr>
                                </w:p>
                                <w:p w14:paraId="20A99AE7" w14:textId="25A84425" w:rsidR="00DE666D" w:rsidRPr="00874999" w:rsidRDefault="00DE666D" w:rsidP="00696375">
                                  <w:pPr>
                                    <w:pStyle w:val="NoSpacing"/>
                                    <w:jc w:val="center"/>
                                    <w:rPr>
                                      <w:rFonts w:asciiTheme="majorHAnsi" w:eastAsiaTheme="majorEastAsia" w:hAnsiTheme="majorHAnsi" w:cstheme="majorBidi"/>
                                      <w:caps/>
                                      <w:color w:val="FFFFFF" w:themeColor="background1"/>
                                      <w:sz w:val="48"/>
                                      <w:szCs w:val="48"/>
                                    </w:rPr>
                                  </w:pPr>
                                </w:p>
                                <w:p w14:paraId="49597B35" w14:textId="30CE2B15" w:rsidR="00DE666D" w:rsidRDefault="00DE666D" w:rsidP="00696375">
                                  <w:pPr>
                                    <w:pStyle w:val="NoSpacing"/>
                                    <w:jc w:val="center"/>
                                    <w:rPr>
                                      <w:rFonts w:asciiTheme="majorHAnsi" w:eastAsiaTheme="majorEastAsia" w:hAnsiTheme="majorHAnsi" w:cstheme="majorBidi"/>
                                      <w:b/>
                                      <w:bCs/>
                                      <w:caps/>
                                      <w:color w:val="FFFFFF" w:themeColor="background1"/>
                                      <w:sz w:val="64"/>
                                      <w:szCs w:val="64"/>
                                    </w:rPr>
                                  </w:pPr>
                                  <w:r w:rsidRPr="00696375">
                                    <w:rPr>
                                      <w:rFonts w:asciiTheme="majorHAnsi" w:eastAsiaTheme="majorEastAsia" w:hAnsiTheme="majorHAnsi" w:cstheme="majorBidi"/>
                                      <w:b/>
                                      <w:bCs/>
                                      <w:caps/>
                                      <w:color w:val="FFFFFF" w:themeColor="background1"/>
                                      <w:sz w:val="64"/>
                                      <w:szCs w:val="64"/>
                                    </w:rPr>
                                    <w:t>ZIŅOJUMS</w:t>
                                  </w:r>
                                </w:p>
                                <w:p w14:paraId="70579699" w14:textId="6B3960D8" w:rsidR="00DE666D" w:rsidRDefault="00DE666D" w:rsidP="00696375">
                                  <w:pPr>
                                    <w:pStyle w:val="NoSpacing"/>
                                    <w:jc w:val="center"/>
                                    <w:rPr>
                                      <w:rFonts w:asciiTheme="majorHAnsi" w:eastAsiaTheme="majorEastAsia" w:hAnsiTheme="majorHAnsi" w:cstheme="majorBidi"/>
                                      <w:b/>
                                      <w:bCs/>
                                      <w:caps/>
                                      <w:color w:val="FFFFFF" w:themeColor="background1"/>
                                      <w:sz w:val="64"/>
                                      <w:szCs w:val="64"/>
                                    </w:rPr>
                                  </w:pPr>
                                </w:p>
                                <w:p w14:paraId="088E4468" w14:textId="08D8735A" w:rsidR="00DE666D" w:rsidRPr="00696375" w:rsidRDefault="00DE666D" w:rsidP="00696375">
                                  <w:pPr>
                                    <w:pStyle w:val="NoSpacing"/>
                                    <w:jc w:val="center"/>
                                    <w:rPr>
                                      <w:color w:val="FFFFFF" w:themeColor="background1"/>
                                      <w:sz w:val="36"/>
                                      <w:szCs w:val="36"/>
                                    </w:rPr>
                                  </w:pPr>
                                  <w:sdt>
                                    <w:sdtPr>
                                      <w:rPr>
                                        <w:color w:val="FFFFFF" w:themeColor="background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r w:rsidRPr="00696375">
                                        <w:rPr>
                                          <w:color w:val="FFFFFF" w:themeColor="background1"/>
                                          <w:sz w:val="36"/>
                                          <w:szCs w:val="36"/>
                                        </w:rPr>
                                        <w:t>Rīga, 2019</w:t>
                                      </w:r>
                                    </w:sdtContent>
                                  </w:sdt>
                                </w:p>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3F514D2" id="Group 35" o:spid="_x0000_s1026" style="position:absolute;margin-left:0;margin-top:-1.25pt;width:603.85pt;height:847.6pt;z-index:-251651072;mso-position-horizontal-relative:page;mso-position-vertical-relative:page" coordorigin="-1925,-4973" coordsize="76692,107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">
                    <v:group id="Group 38" o:spid="_x0000_s1027" style="position:absolute;left:-1925;top:-4973;width:75397;height:107643" coordorigin="-1925,-4973" coordsize="75397,107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44" o:spid="_x0000_s1028" style="position:absolute;left:-1925;top:-4973;width:75397;height:107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" fillcolor="#485870 [3122]" stroked="f" strokeweight="1pt">
                        <v:fill color2="#3d4b5f [2882]" angle="348" colors="0 #88acbb;6554f #88acbb" focus="100%" type="gradient"/>
                        <v:textbox inset="54pt,54pt,1in,5in">
                          <w:txbxContent>
                            <w:p w14:paraId="013C31EA" w14:textId="77777777" w:rsidR="00DE666D" w:rsidRDefault="00DE666D" w:rsidP="00874999">
                              <w:pPr>
                                <w:pStyle w:val="NoSpacing"/>
                                <w:jc w:val="center"/>
                                <w:rPr>
                                  <w:color w:val="FFFFFF" w:themeColor="background1"/>
                                  <w:sz w:val="48"/>
                                  <w:szCs w:val="48"/>
                                </w:rPr>
                              </w:pPr>
                            </w:p>
                          </w:txbxContent>
                        </v:textbox>
                      </v:rect>
                      <v:group id="Group 2" o:spid="_x0000_s1029" style="position:absolute;left:25241;width:43291;height:44910"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56" o:spid="_x0000_s1030"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" path="m4,1786l,1782,1776,r5,5l4,1786xe" filled="f" stroked="f">
                          <v:path arrowok="t" o:connecttype="custom" o:connectlocs="6350,2835275;0,2828925;2819400,0;2827338,7938;6350,2835275" o:connectangles="0,0,0,0,0"/>
                        </v:shape>
                        <v:shape id="Freeform 57" o:spid="_x0000_s1031"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" path="m5,2234l,2229,2229,r5,5l5,2234xe" filled="f" stroked="f">
                          <v:path arrowok="t" o:connecttype="custom" o:connectlocs="7938,3546475;0,3538538;3538538,0;3546475,7938;7938,3546475" o:connectangles="0,0,0,0,0"/>
                        </v:shape>
                        <v:shape id="Freeform 58" o:spid="_x0000_s1032"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" path="m9,2197l,2193,2188,r9,10l9,2197xe" filled="f" stroked="f">
                          <v:path arrowok="t" o:connecttype="custom" o:connectlocs="14288,3487738;0,3481388;3473450,0;3487738,15875;14288,3487738" o:connectangles="0,0,0,0,0"/>
                        </v:shape>
                        <v:shape id="Freeform 59" o:spid="_x0000_s1033"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0" o:spid="_x0000_s1034"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Text Box 53" o:spid="_x0000_s1035" type="#_x0000_t202" style="position:absolute;left:4010;top:43278;width:70757;height:5153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" filled="f" stroked="f" strokeweight=".5pt">
                      <v:textbox inset="54pt,0,1in,0">
                        <w:txbxContent>
                          <w:p w14:paraId="1E73ED33" w14:textId="40769458" w:rsidR="00DE666D" w:rsidRDefault="00DE666D" w:rsidP="00874999">
                            <w:pPr>
                              <w:pStyle w:val="NoSpacing"/>
                              <w:jc w:val="center"/>
                              <w:rPr>
                                <w:rFonts w:asciiTheme="majorHAnsi" w:eastAsiaTheme="majorEastAsia" w:hAnsiTheme="majorHAnsi" w:cstheme="majorBidi"/>
                                <w:caps/>
                                <w:color w:val="FFFFFF" w:themeColor="background1"/>
                                <w:sz w:val="64"/>
                                <w:szCs w:val="64"/>
                              </w:rPr>
                            </w:pPr>
                            <w:r w:rsidRPr="00696375">
                              <w:rPr>
                                <w:rFonts w:asciiTheme="majorHAnsi" w:eastAsiaTheme="majorEastAsia" w:hAnsiTheme="majorHAnsi" w:cstheme="majorBidi"/>
                                <w:caps/>
                                <w:color w:val="FFFFFF" w:themeColor="background1"/>
                                <w:sz w:val="64"/>
                                <w:szCs w:val="64"/>
                              </w:rPr>
                              <w:t>Pētījums par prognozētām izmaiņām darbaspēka un</w:t>
                            </w:r>
                            <w:r>
                              <w:rPr>
                                <w:rFonts w:asciiTheme="majorHAnsi" w:eastAsiaTheme="majorEastAsia" w:hAnsiTheme="majorHAnsi" w:cstheme="majorBidi"/>
                                <w:caps/>
                                <w:color w:val="FFFFFF" w:themeColor="background1"/>
                                <w:sz w:val="64"/>
                                <w:szCs w:val="64"/>
                              </w:rPr>
                              <w:t xml:space="preserve"> </w:t>
                            </w:r>
                            <w:r w:rsidRPr="00696375">
                              <w:rPr>
                                <w:rFonts w:asciiTheme="majorHAnsi" w:eastAsiaTheme="majorEastAsia" w:hAnsiTheme="majorHAnsi" w:cstheme="majorBidi"/>
                                <w:caps/>
                                <w:color w:val="FFFFFF" w:themeColor="background1"/>
                                <w:sz w:val="64"/>
                                <w:szCs w:val="64"/>
                              </w:rPr>
                              <w:t>būvmateriālu izmaksās būvniecības nozarē Latvijā</w:t>
                            </w:r>
                          </w:p>
                          <w:p w14:paraId="1667560C" w14:textId="155CB572" w:rsidR="00DE666D" w:rsidRPr="00874999" w:rsidRDefault="00DE666D" w:rsidP="00696375">
                            <w:pPr>
                              <w:pStyle w:val="NoSpacing"/>
                              <w:jc w:val="center"/>
                              <w:rPr>
                                <w:rFonts w:asciiTheme="majorHAnsi" w:eastAsiaTheme="majorEastAsia" w:hAnsiTheme="majorHAnsi" w:cstheme="majorBidi"/>
                                <w:caps/>
                                <w:color w:val="FFFFFF" w:themeColor="background1"/>
                                <w:sz w:val="52"/>
                                <w:szCs w:val="52"/>
                              </w:rPr>
                            </w:pPr>
                          </w:p>
                          <w:p w14:paraId="20A99AE7" w14:textId="25A84425" w:rsidR="00DE666D" w:rsidRPr="00874999" w:rsidRDefault="00DE666D" w:rsidP="00696375">
                            <w:pPr>
                              <w:pStyle w:val="NoSpacing"/>
                              <w:jc w:val="center"/>
                              <w:rPr>
                                <w:rFonts w:asciiTheme="majorHAnsi" w:eastAsiaTheme="majorEastAsia" w:hAnsiTheme="majorHAnsi" w:cstheme="majorBidi"/>
                                <w:caps/>
                                <w:color w:val="FFFFFF" w:themeColor="background1"/>
                                <w:sz w:val="48"/>
                                <w:szCs w:val="48"/>
                              </w:rPr>
                            </w:pPr>
                          </w:p>
                          <w:p w14:paraId="49597B35" w14:textId="30CE2B15" w:rsidR="00DE666D" w:rsidRDefault="00DE666D" w:rsidP="00696375">
                            <w:pPr>
                              <w:pStyle w:val="NoSpacing"/>
                              <w:jc w:val="center"/>
                              <w:rPr>
                                <w:rFonts w:asciiTheme="majorHAnsi" w:eastAsiaTheme="majorEastAsia" w:hAnsiTheme="majorHAnsi" w:cstheme="majorBidi"/>
                                <w:b/>
                                <w:bCs/>
                                <w:caps/>
                                <w:color w:val="FFFFFF" w:themeColor="background1"/>
                                <w:sz w:val="64"/>
                                <w:szCs w:val="64"/>
                              </w:rPr>
                            </w:pPr>
                            <w:r w:rsidRPr="00696375">
                              <w:rPr>
                                <w:rFonts w:asciiTheme="majorHAnsi" w:eastAsiaTheme="majorEastAsia" w:hAnsiTheme="majorHAnsi" w:cstheme="majorBidi"/>
                                <w:b/>
                                <w:bCs/>
                                <w:caps/>
                                <w:color w:val="FFFFFF" w:themeColor="background1"/>
                                <w:sz w:val="64"/>
                                <w:szCs w:val="64"/>
                              </w:rPr>
                              <w:t>ZIŅOJUMS</w:t>
                            </w:r>
                          </w:p>
                          <w:p w14:paraId="70579699" w14:textId="6B3960D8" w:rsidR="00DE666D" w:rsidRDefault="00DE666D" w:rsidP="00696375">
                            <w:pPr>
                              <w:pStyle w:val="NoSpacing"/>
                              <w:jc w:val="center"/>
                              <w:rPr>
                                <w:rFonts w:asciiTheme="majorHAnsi" w:eastAsiaTheme="majorEastAsia" w:hAnsiTheme="majorHAnsi" w:cstheme="majorBidi"/>
                                <w:b/>
                                <w:bCs/>
                                <w:caps/>
                                <w:color w:val="FFFFFF" w:themeColor="background1"/>
                                <w:sz w:val="64"/>
                                <w:szCs w:val="64"/>
                              </w:rPr>
                            </w:pPr>
                          </w:p>
                          <w:p w14:paraId="088E4468" w14:textId="08D8735A" w:rsidR="00DE666D" w:rsidRPr="00696375" w:rsidRDefault="00DE666D" w:rsidP="00696375">
                            <w:pPr>
                              <w:pStyle w:val="NoSpacing"/>
                              <w:jc w:val="center"/>
                              <w:rPr>
                                <w:color w:val="FFFFFF" w:themeColor="background1"/>
                                <w:sz w:val="36"/>
                                <w:szCs w:val="36"/>
                              </w:rPr>
                            </w:pPr>
                            <w:sdt>
                              <w:sdtPr>
                                <w:rPr>
                                  <w:color w:val="FFFFFF" w:themeColor="background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r w:rsidRPr="00696375">
                                  <w:rPr>
                                    <w:color w:val="FFFFFF" w:themeColor="background1"/>
                                    <w:sz w:val="36"/>
                                    <w:szCs w:val="36"/>
                                  </w:rPr>
                                  <w:t>Rīga, 2019</w:t>
                                </w:r>
                              </w:sdtContent>
                            </w:sdt>
                          </w:p>
                        </w:txbxContent>
                      </v:textbox>
                    </v:shape>
                    <w10:wrap anchorx="page" anchory="page"/>
                  </v:group>
                </w:pict>
              </mc:Fallback>
            </mc:AlternateContent>
          </w:r>
        </w:p>
        <w:p w14:paraId="5AD2D381" w14:textId="2038A0DF" w:rsidR="00696375" w:rsidRPr="00446C16" w:rsidRDefault="00696375" w:rsidP="00B13164">
          <w:pPr>
            <w:spacing w:before="100" w:after="200" w:line="276" w:lineRule="auto"/>
            <w:rPr>
              <w:sz w:val="20"/>
            </w:rPr>
          </w:pPr>
          <w:r w:rsidRPr="00446C16">
            <w:rPr>
              <w:sz w:val="20"/>
            </w:rPr>
            <w:br w:type="page"/>
          </w:r>
        </w:p>
      </w:sdtContent>
    </w:sdt>
    <w:p w14:paraId="4C27AB43" w14:textId="77777777" w:rsidR="0064459A" w:rsidRPr="00446C16" w:rsidRDefault="0064459A" w:rsidP="00B13164">
      <w:pPr>
        <w:shd w:val="clear" w:color="auto" w:fill="1F4979"/>
        <w:tabs>
          <w:tab w:val="left" w:pos="1548"/>
        </w:tabs>
        <w:sectPr w:rsidR="0064459A" w:rsidRPr="00446C16" w:rsidSect="000F3110">
          <w:headerReference w:type="default" r:id="rId8"/>
          <w:footerReference w:type="default" r:id="rId9"/>
          <w:pgSz w:w="11906" w:h="16838" w:code="9"/>
          <w:pgMar w:top="0" w:right="0" w:bottom="0" w:left="0" w:header="709" w:footer="709" w:gutter="0"/>
          <w:pgNumType w:start="0"/>
          <w:cols w:space="708"/>
          <w:titlePg/>
          <w:docGrid w:linePitch="360"/>
        </w:sectPr>
      </w:pPr>
    </w:p>
    <w:p w14:paraId="792BED31" w14:textId="77777777" w:rsidR="00741888" w:rsidRPr="00446C16" w:rsidRDefault="00741888" w:rsidP="00B13164">
      <w:pPr>
        <w:jc w:val="both"/>
      </w:pPr>
      <w:bookmarkStart w:id="1" w:name="_Toc505265583"/>
    </w:p>
    <w:p w14:paraId="25375D39" w14:textId="77777777" w:rsidR="00741888" w:rsidRPr="00446C16" w:rsidRDefault="00741888" w:rsidP="00B13164">
      <w:pPr>
        <w:jc w:val="both"/>
      </w:pPr>
    </w:p>
    <w:p w14:paraId="58002740" w14:textId="77777777" w:rsidR="00741888" w:rsidRPr="00446C16" w:rsidRDefault="00741888" w:rsidP="00B13164">
      <w:pPr>
        <w:jc w:val="both"/>
      </w:pPr>
    </w:p>
    <w:p w14:paraId="18EEB066" w14:textId="30868E54" w:rsidR="00741888" w:rsidRPr="00446C16" w:rsidRDefault="00741888" w:rsidP="00B13164">
      <w:pPr>
        <w:jc w:val="both"/>
      </w:pPr>
    </w:p>
    <w:p w14:paraId="350F0874" w14:textId="1CC41F1D" w:rsidR="001C715D" w:rsidRPr="00446C16" w:rsidRDefault="001C715D" w:rsidP="00B13164">
      <w:pPr>
        <w:jc w:val="both"/>
      </w:pPr>
    </w:p>
    <w:p w14:paraId="2AEA4E43" w14:textId="79C9390D" w:rsidR="001C715D" w:rsidRPr="00446C16" w:rsidRDefault="001C715D" w:rsidP="00B13164">
      <w:pPr>
        <w:jc w:val="both"/>
      </w:pPr>
    </w:p>
    <w:p w14:paraId="321DE5AD" w14:textId="77777777" w:rsidR="001C715D" w:rsidRPr="00446C16" w:rsidRDefault="001C715D" w:rsidP="00B13164">
      <w:pPr>
        <w:jc w:val="both"/>
      </w:pPr>
    </w:p>
    <w:p w14:paraId="371D2E4E" w14:textId="77777777" w:rsidR="00741888" w:rsidRPr="00446C16" w:rsidRDefault="00741888" w:rsidP="00B13164">
      <w:pPr>
        <w:jc w:val="both"/>
      </w:pPr>
    </w:p>
    <w:p w14:paraId="6540AB75" w14:textId="4AEB7C2F" w:rsidR="00696375" w:rsidRPr="00446C16" w:rsidRDefault="00696375" w:rsidP="00B13164">
      <w:pPr>
        <w:jc w:val="center"/>
        <w:rPr>
          <w:b/>
          <w:bCs/>
          <w:caps/>
          <w:color w:val="1F4979"/>
          <w:sz w:val="36"/>
          <w:szCs w:val="36"/>
        </w:rPr>
      </w:pPr>
      <w:r w:rsidRPr="00446C16">
        <w:rPr>
          <w:b/>
          <w:bCs/>
          <w:caps/>
          <w:color w:val="1F4979"/>
          <w:sz w:val="36"/>
          <w:szCs w:val="36"/>
        </w:rPr>
        <w:t>Pētījums par prognozētām izmaiņām darbaspēka un</w:t>
      </w:r>
    </w:p>
    <w:p w14:paraId="3692FB79" w14:textId="7CFE82C3" w:rsidR="00741888" w:rsidRPr="00446C16" w:rsidRDefault="00696375" w:rsidP="00B13164">
      <w:pPr>
        <w:jc w:val="center"/>
      </w:pPr>
      <w:r w:rsidRPr="00446C16">
        <w:rPr>
          <w:b/>
          <w:bCs/>
          <w:caps/>
          <w:color w:val="1F4979"/>
          <w:sz w:val="36"/>
          <w:szCs w:val="36"/>
        </w:rPr>
        <w:t>būvmateriālu izmaksās būvniecības nozarē Latvijā</w:t>
      </w:r>
    </w:p>
    <w:p w14:paraId="3FC62E18" w14:textId="3B9F1B9C" w:rsidR="00741888" w:rsidRPr="00446C16" w:rsidRDefault="00741888" w:rsidP="00B13164">
      <w:pPr>
        <w:jc w:val="both"/>
      </w:pPr>
    </w:p>
    <w:p w14:paraId="08A9CB51" w14:textId="415CD8E1" w:rsidR="00D22AB3" w:rsidRPr="00446C16" w:rsidRDefault="00DC7CBD" w:rsidP="00B13164">
      <w:pPr>
        <w:jc w:val="center"/>
      </w:pPr>
      <w:r w:rsidRPr="00446C16">
        <w:t>Pētījums veikts par laika periodu no 2019.</w:t>
      </w:r>
      <w:r w:rsidR="00981D16" w:rsidRPr="00446C16">
        <w:t xml:space="preserve"> </w:t>
      </w:r>
      <w:r w:rsidRPr="00446C16">
        <w:t>gada 1.</w:t>
      </w:r>
      <w:r w:rsidR="00981D16" w:rsidRPr="00446C16">
        <w:t xml:space="preserve"> </w:t>
      </w:r>
      <w:r w:rsidRPr="00446C16">
        <w:t>janvāra līdz 2020.</w:t>
      </w:r>
      <w:r w:rsidR="00981D16" w:rsidRPr="00446C16">
        <w:t xml:space="preserve"> </w:t>
      </w:r>
      <w:r w:rsidRPr="00446C16">
        <w:t>gada 31.</w:t>
      </w:r>
      <w:r w:rsidR="00981D16" w:rsidRPr="00446C16">
        <w:t xml:space="preserve"> </w:t>
      </w:r>
      <w:r w:rsidRPr="00446C16">
        <w:t>decembrim un sniedz tendenču novērtējumu laika periodam no 2021.</w:t>
      </w:r>
      <w:r w:rsidR="00981D16" w:rsidRPr="00446C16">
        <w:t xml:space="preserve"> </w:t>
      </w:r>
      <w:r w:rsidRPr="00446C16">
        <w:t>gada 1.</w:t>
      </w:r>
      <w:r w:rsidR="00981D16" w:rsidRPr="00446C16">
        <w:t xml:space="preserve"> </w:t>
      </w:r>
      <w:r w:rsidRPr="00446C16">
        <w:t>janvāra līdz 2023.</w:t>
      </w:r>
      <w:r w:rsidR="00981D16" w:rsidRPr="00446C16">
        <w:t xml:space="preserve"> </w:t>
      </w:r>
      <w:r w:rsidRPr="00446C16">
        <w:t>gada 31.</w:t>
      </w:r>
      <w:r w:rsidR="00981D16" w:rsidRPr="00446C16">
        <w:t xml:space="preserve"> </w:t>
      </w:r>
      <w:r w:rsidRPr="00446C16">
        <w:t xml:space="preserve">decembrim </w:t>
      </w:r>
      <w:r w:rsidR="00D22AB3" w:rsidRPr="00446C16">
        <w:t>gan par kopējo</w:t>
      </w:r>
      <w:r w:rsidRPr="00446C16">
        <w:t xml:space="preserve"> </w:t>
      </w:r>
      <w:r w:rsidR="00D22AB3" w:rsidRPr="00446C16">
        <w:t xml:space="preserve">būvniecības </w:t>
      </w:r>
      <w:r w:rsidR="00DE7BCB" w:rsidRPr="00446C16">
        <w:t xml:space="preserve">produkcijas </w:t>
      </w:r>
      <w:r w:rsidR="00D22AB3" w:rsidRPr="00446C16">
        <w:t>apjomu un izmaks</w:t>
      </w:r>
      <w:r w:rsidR="00DE7BCB" w:rsidRPr="00446C16">
        <w:t>u izmaiņām</w:t>
      </w:r>
      <w:r w:rsidR="00D22AB3" w:rsidRPr="00446C16">
        <w:t>, gan par</w:t>
      </w:r>
      <w:r w:rsidRPr="00446C16">
        <w:t xml:space="preserve"> </w:t>
      </w:r>
      <w:r w:rsidR="00D22AB3" w:rsidRPr="00446C16">
        <w:t>būvniecības nozares apakšnozarēm.</w:t>
      </w:r>
    </w:p>
    <w:p w14:paraId="74E9923A" w14:textId="77777777" w:rsidR="00D22AB3" w:rsidRPr="00446C16" w:rsidRDefault="00D22AB3" w:rsidP="00B13164">
      <w:pPr>
        <w:jc w:val="both"/>
      </w:pPr>
    </w:p>
    <w:p w14:paraId="3B3F6E50" w14:textId="77777777" w:rsidR="00D22AB3" w:rsidRPr="00446C16" w:rsidRDefault="00D22AB3" w:rsidP="00B13164">
      <w:pPr>
        <w:jc w:val="both"/>
      </w:pPr>
    </w:p>
    <w:p w14:paraId="136485ED" w14:textId="12729AEF" w:rsidR="00F37277" w:rsidRPr="00446C16" w:rsidRDefault="00F37277" w:rsidP="00B13164">
      <w:pPr>
        <w:jc w:val="both"/>
      </w:pPr>
    </w:p>
    <w:p w14:paraId="51AE8163" w14:textId="2EA6A681" w:rsidR="00F37277" w:rsidRPr="00446C16" w:rsidRDefault="00F37277" w:rsidP="00B13164">
      <w:pPr>
        <w:jc w:val="both"/>
      </w:pPr>
    </w:p>
    <w:p w14:paraId="4A4E8026" w14:textId="4097111D" w:rsidR="00F37277" w:rsidRPr="00446C16" w:rsidRDefault="00F37277" w:rsidP="00B13164">
      <w:pPr>
        <w:jc w:val="both"/>
      </w:pPr>
    </w:p>
    <w:p w14:paraId="7E78612B" w14:textId="77777777" w:rsidR="00F37277" w:rsidRPr="00446C16" w:rsidRDefault="00F37277" w:rsidP="00B13164">
      <w:pPr>
        <w:jc w:val="both"/>
      </w:pPr>
    </w:p>
    <w:p w14:paraId="47E1463D" w14:textId="4000E388" w:rsidR="001C715D" w:rsidRPr="00446C16" w:rsidRDefault="001C715D" w:rsidP="00B13164">
      <w:pPr>
        <w:jc w:val="both"/>
      </w:pPr>
    </w:p>
    <w:p w14:paraId="7D25AF65" w14:textId="77777777" w:rsidR="001C715D" w:rsidRPr="00446C16" w:rsidRDefault="001C715D" w:rsidP="00B13164">
      <w:pPr>
        <w:jc w:val="both"/>
      </w:pPr>
    </w:p>
    <w:p w14:paraId="3193BEEE" w14:textId="0C10806A" w:rsidR="001C715D" w:rsidRPr="00446C16" w:rsidRDefault="001C715D" w:rsidP="00B13164">
      <w:pPr>
        <w:jc w:val="both"/>
      </w:pPr>
    </w:p>
    <w:p w14:paraId="701B0EB7" w14:textId="5E8C4F25" w:rsidR="001C715D" w:rsidRPr="00446C16" w:rsidRDefault="001C715D" w:rsidP="00B13164">
      <w:pPr>
        <w:jc w:val="both"/>
      </w:pPr>
    </w:p>
    <w:p w14:paraId="47C51522" w14:textId="77777777" w:rsidR="00696375" w:rsidRPr="00446C16" w:rsidRDefault="00696375" w:rsidP="00B13164">
      <w:pPr>
        <w:jc w:val="both"/>
      </w:pPr>
    </w:p>
    <w:tbl>
      <w:tblPr>
        <w:tblStyle w:val="TableGrid"/>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1"/>
        <w:gridCol w:w="2641"/>
        <w:gridCol w:w="2208"/>
        <w:gridCol w:w="2532"/>
      </w:tblGrid>
      <w:tr w:rsidR="00696375" w:rsidRPr="00446C16" w14:paraId="3B99FE68" w14:textId="77777777" w:rsidTr="005C2880">
        <w:tc>
          <w:tcPr>
            <w:tcW w:w="2411" w:type="dxa"/>
          </w:tcPr>
          <w:p w14:paraId="52598866" w14:textId="77777777" w:rsidR="00F37277" w:rsidRPr="00446C16" w:rsidRDefault="00F37277" w:rsidP="00B13164">
            <w:pPr>
              <w:spacing w:beforeLines="120" w:before="288" w:afterLines="120" w:after="288"/>
              <w:contextualSpacing/>
              <w:jc w:val="both"/>
              <w:rPr>
                <w:color w:val="1F3864"/>
                <w:sz w:val="32"/>
                <w:szCs w:val="32"/>
              </w:rPr>
            </w:pPr>
            <w:r w:rsidRPr="00446C16">
              <w:rPr>
                <w:noProof/>
                <w:lang w:val="en-US"/>
              </w:rPr>
              <w:drawing>
                <wp:inline distT="0" distB="0" distL="0" distR="0" wp14:anchorId="1DC1BC4B" wp14:editId="2C613AED">
                  <wp:extent cx="1338767" cy="5193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8912" cy="534954"/>
                          </a:xfrm>
                          <a:prstGeom prst="rect">
                            <a:avLst/>
                          </a:prstGeom>
                          <a:noFill/>
                          <a:ln>
                            <a:noFill/>
                          </a:ln>
                        </pic:spPr>
                      </pic:pic>
                    </a:graphicData>
                  </a:graphic>
                </wp:inline>
              </w:drawing>
            </w:r>
          </w:p>
          <w:p w14:paraId="5D9FA869" w14:textId="77777777" w:rsidR="00F37277" w:rsidRPr="00446C16" w:rsidRDefault="00F37277" w:rsidP="00B13164">
            <w:pPr>
              <w:spacing w:beforeLines="120" w:before="288" w:afterLines="120" w:after="288"/>
              <w:contextualSpacing/>
              <w:jc w:val="both"/>
              <w:rPr>
                <w:color w:val="1F3864"/>
                <w:sz w:val="32"/>
                <w:szCs w:val="32"/>
              </w:rPr>
            </w:pPr>
          </w:p>
          <w:p w14:paraId="510CAB9F" w14:textId="77777777" w:rsidR="00F37277" w:rsidRPr="00446C16" w:rsidRDefault="00F37277" w:rsidP="00B13164">
            <w:pPr>
              <w:spacing w:beforeLines="120" w:before="288" w:afterLines="120" w:after="288"/>
              <w:contextualSpacing/>
              <w:jc w:val="both"/>
              <w:rPr>
                <w:color w:val="1F3864"/>
                <w:sz w:val="32"/>
                <w:szCs w:val="32"/>
              </w:rPr>
            </w:pPr>
          </w:p>
        </w:tc>
        <w:tc>
          <w:tcPr>
            <w:tcW w:w="2830" w:type="dxa"/>
          </w:tcPr>
          <w:p w14:paraId="6E20C6AE" w14:textId="77777777" w:rsidR="00F37277" w:rsidRPr="00446C16" w:rsidRDefault="00F37277" w:rsidP="00B13164">
            <w:pPr>
              <w:contextualSpacing/>
              <w:jc w:val="both"/>
              <w:rPr>
                <w:b/>
              </w:rPr>
            </w:pPr>
            <w:r w:rsidRPr="00446C16">
              <w:rPr>
                <w:b/>
              </w:rPr>
              <w:t>Izpildītājs:</w:t>
            </w:r>
          </w:p>
          <w:p w14:paraId="7A72EBD5" w14:textId="77777777" w:rsidR="00F37277" w:rsidRPr="00446C16" w:rsidRDefault="00F37277" w:rsidP="00B13164">
            <w:pPr>
              <w:contextualSpacing/>
              <w:jc w:val="both"/>
              <w:rPr>
                <w:szCs w:val="32"/>
              </w:rPr>
            </w:pPr>
            <w:r w:rsidRPr="00446C16">
              <w:rPr>
                <w:szCs w:val="32"/>
              </w:rPr>
              <w:t>SIA “Oxford Research Baltics”</w:t>
            </w:r>
          </w:p>
          <w:p w14:paraId="730DAA88" w14:textId="3109BEC6" w:rsidR="00F37277" w:rsidRPr="00446C16" w:rsidRDefault="00696375" w:rsidP="00B13164">
            <w:pPr>
              <w:contextualSpacing/>
              <w:jc w:val="both"/>
              <w:rPr>
                <w:color w:val="1F3864"/>
                <w:sz w:val="32"/>
                <w:szCs w:val="32"/>
              </w:rPr>
            </w:pPr>
            <w:proofErr w:type="spellStart"/>
            <w:r w:rsidRPr="00446C16">
              <w:rPr>
                <w:rFonts w:eastAsiaTheme="minorHAnsi" w:cstheme="minorHAnsi"/>
              </w:rPr>
              <w:t>Kr</w:t>
            </w:r>
            <w:proofErr w:type="spellEnd"/>
            <w:r w:rsidRPr="00446C16">
              <w:rPr>
                <w:rFonts w:eastAsiaTheme="minorHAnsi" w:cstheme="minorHAnsi"/>
              </w:rPr>
              <w:t xml:space="preserve">. Valdemāra iela 23-37, k.2, </w:t>
            </w:r>
            <w:r w:rsidR="00F37277" w:rsidRPr="00446C16">
              <w:rPr>
                <w:rFonts w:eastAsiaTheme="minorHAnsi" w:cstheme="minorHAnsi"/>
              </w:rPr>
              <w:t>Rīga, LV-1010</w:t>
            </w:r>
          </w:p>
        </w:tc>
        <w:tc>
          <w:tcPr>
            <w:tcW w:w="1847" w:type="dxa"/>
          </w:tcPr>
          <w:p w14:paraId="0AE6D841" w14:textId="77777777" w:rsidR="00F37277" w:rsidRPr="00446C16" w:rsidRDefault="00696375" w:rsidP="00B13164">
            <w:pPr>
              <w:spacing w:beforeLines="120" w:before="288" w:afterLines="120" w:after="288"/>
              <w:contextualSpacing/>
              <w:jc w:val="right"/>
              <w:rPr>
                <w:color w:val="1F3864"/>
                <w:sz w:val="32"/>
                <w:szCs w:val="32"/>
              </w:rPr>
            </w:pPr>
            <w:r w:rsidRPr="00446C16">
              <w:rPr>
                <w:noProof/>
                <w:lang w:val="en-US"/>
              </w:rPr>
              <w:drawing>
                <wp:inline distT="0" distB="0" distL="0" distR="0" wp14:anchorId="3E2F7011" wp14:editId="7DAD75CF">
                  <wp:extent cx="1265544" cy="1043517"/>
                  <wp:effectExtent l="0" t="0" r="0" b="4445"/>
                  <wp:docPr id="54" name="Picture 54" descr="AttÄlu rezultÄti vaicÄjumam âekonomikas ministrija logo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Älu rezultÄti vaicÄjumam âekonomikas ministrija logoâ"/>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7397" b="24"/>
                          <a:stretch/>
                        </pic:blipFill>
                        <pic:spPr bwMode="auto">
                          <a:xfrm>
                            <a:off x="0" y="0"/>
                            <a:ext cx="1284164" cy="1058870"/>
                          </a:xfrm>
                          <a:prstGeom prst="rect">
                            <a:avLst/>
                          </a:prstGeom>
                          <a:noFill/>
                          <a:ln>
                            <a:noFill/>
                          </a:ln>
                          <a:extLst>
                            <a:ext uri="{53640926-AAD7-44D8-BBD7-CCE9431645EC}">
                              <a14:shadowObscured xmlns:a14="http://schemas.microsoft.com/office/drawing/2010/main"/>
                            </a:ext>
                          </a:extLst>
                        </pic:spPr>
                      </pic:pic>
                    </a:graphicData>
                  </a:graphic>
                </wp:inline>
              </w:drawing>
            </w:r>
          </w:p>
          <w:p w14:paraId="6A4AB952" w14:textId="77777777" w:rsidR="00696375" w:rsidRPr="00446C16" w:rsidRDefault="00696375" w:rsidP="00B13164">
            <w:pPr>
              <w:rPr>
                <w:color w:val="1F3864"/>
                <w:sz w:val="32"/>
                <w:szCs w:val="32"/>
              </w:rPr>
            </w:pPr>
          </w:p>
          <w:p w14:paraId="6E542208" w14:textId="5502DFA6" w:rsidR="00696375" w:rsidRPr="00446C16" w:rsidRDefault="00696375" w:rsidP="00B13164">
            <w:pPr>
              <w:rPr>
                <w:sz w:val="32"/>
                <w:szCs w:val="32"/>
              </w:rPr>
            </w:pPr>
          </w:p>
        </w:tc>
        <w:tc>
          <w:tcPr>
            <w:tcW w:w="2694" w:type="dxa"/>
          </w:tcPr>
          <w:p w14:paraId="2CAA8C36" w14:textId="77777777" w:rsidR="00F37277" w:rsidRPr="00446C16" w:rsidRDefault="00F37277" w:rsidP="00B13164">
            <w:pPr>
              <w:spacing w:before="100" w:beforeAutospacing="1"/>
              <w:contextualSpacing/>
              <w:jc w:val="both"/>
              <w:rPr>
                <w:b/>
              </w:rPr>
            </w:pPr>
            <w:r w:rsidRPr="00446C16">
              <w:rPr>
                <w:b/>
              </w:rPr>
              <w:t>Pasūtītājs:</w:t>
            </w:r>
          </w:p>
          <w:p w14:paraId="349FB096" w14:textId="59F62BB9" w:rsidR="00F37277" w:rsidRPr="00446C16" w:rsidRDefault="00F37277" w:rsidP="00B13164">
            <w:pPr>
              <w:contextualSpacing/>
              <w:jc w:val="both"/>
            </w:pPr>
            <w:r w:rsidRPr="00446C16">
              <w:t xml:space="preserve">Latvijas Republikas </w:t>
            </w:r>
            <w:r w:rsidR="00696375" w:rsidRPr="00446C16">
              <w:t>Ekonomikas ministrija</w:t>
            </w:r>
          </w:p>
          <w:p w14:paraId="0DA61165" w14:textId="77777777" w:rsidR="00696375" w:rsidRPr="00446C16" w:rsidRDefault="00696375" w:rsidP="00B13164">
            <w:pPr>
              <w:contextualSpacing/>
              <w:jc w:val="both"/>
            </w:pPr>
            <w:r w:rsidRPr="00446C16">
              <w:t xml:space="preserve">Brīvības iela 55, Rīga, </w:t>
            </w:r>
          </w:p>
          <w:p w14:paraId="5886849A" w14:textId="4447B2E0" w:rsidR="00F37277" w:rsidRPr="00446C16" w:rsidRDefault="00696375" w:rsidP="00B13164">
            <w:pPr>
              <w:contextualSpacing/>
              <w:jc w:val="both"/>
              <w:rPr>
                <w:color w:val="1F3864"/>
              </w:rPr>
            </w:pPr>
            <w:r w:rsidRPr="00446C16">
              <w:t>LV-1519</w:t>
            </w:r>
          </w:p>
        </w:tc>
      </w:tr>
    </w:tbl>
    <w:p w14:paraId="3B99FAB6" w14:textId="77777777" w:rsidR="00DD1CAC" w:rsidRPr="00446C16" w:rsidRDefault="00DD1CAC" w:rsidP="00B13164">
      <w:pPr>
        <w:jc w:val="both"/>
      </w:pPr>
    </w:p>
    <w:p w14:paraId="1D33F6FB" w14:textId="77777777" w:rsidR="00DD1CAC" w:rsidRPr="00446C16" w:rsidRDefault="00DD1CAC" w:rsidP="00B13164">
      <w:pPr>
        <w:sectPr w:rsidR="00DD1CAC" w:rsidRPr="00446C16" w:rsidSect="00741888">
          <w:headerReference w:type="default" r:id="rId12"/>
          <w:footerReference w:type="default" r:id="rId13"/>
          <w:pgSz w:w="11906" w:h="16838"/>
          <w:pgMar w:top="1418" w:right="1134" w:bottom="1418" w:left="1418" w:header="709" w:footer="709" w:gutter="0"/>
          <w:cols w:space="708"/>
          <w:docGrid w:linePitch="360"/>
        </w:sectPr>
      </w:pPr>
    </w:p>
    <w:p w14:paraId="5CCEDDE8" w14:textId="77777777" w:rsidR="00654420" w:rsidRPr="00446C16" w:rsidRDefault="00654420" w:rsidP="00654420">
      <w:pPr>
        <w:pStyle w:val="Heading1"/>
      </w:pPr>
      <w:bookmarkStart w:id="2" w:name="_Toc509311922"/>
      <w:bookmarkStart w:id="3" w:name="_Toc510100700"/>
      <w:bookmarkStart w:id="4" w:name="_Toc512608471"/>
      <w:bookmarkStart w:id="5" w:name="_Toc518053397"/>
      <w:bookmarkStart w:id="6" w:name="_Toc528943262"/>
      <w:bookmarkStart w:id="7" w:name="_Toc533153353"/>
      <w:bookmarkStart w:id="8" w:name="_Toc794801"/>
      <w:bookmarkStart w:id="9" w:name="_Toc799330"/>
      <w:bookmarkStart w:id="10" w:name="_Toc23163495"/>
      <w:bookmarkEnd w:id="1"/>
      <w:r w:rsidRPr="00446C16">
        <w:lastRenderedPageBreak/>
        <w:t>Saturs</w:t>
      </w:r>
      <w:bookmarkEnd w:id="2"/>
      <w:bookmarkEnd w:id="3"/>
      <w:bookmarkEnd w:id="4"/>
      <w:bookmarkEnd w:id="5"/>
      <w:bookmarkEnd w:id="6"/>
      <w:bookmarkEnd w:id="7"/>
      <w:bookmarkEnd w:id="8"/>
      <w:bookmarkEnd w:id="9"/>
      <w:bookmarkEnd w:id="10"/>
    </w:p>
    <w:sdt>
      <w:sdtPr>
        <w:id w:val="-610659766"/>
        <w:docPartObj>
          <w:docPartGallery w:val="Table of Contents"/>
          <w:docPartUnique/>
        </w:docPartObj>
      </w:sdtPr>
      <w:sdtEndPr>
        <w:rPr>
          <w:b/>
          <w:bCs/>
        </w:rPr>
      </w:sdtEndPr>
      <w:sdtContent>
        <w:p w14:paraId="655ADC4A" w14:textId="4A5A5B84" w:rsidR="00E00757" w:rsidRDefault="00654420">
          <w:pPr>
            <w:pStyle w:val="TOC1"/>
            <w:tabs>
              <w:tab w:val="right" w:leader="dot" w:pos="9344"/>
            </w:tabs>
            <w:rPr>
              <w:noProof/>
              <w:szCs w:val="22"/>
              <w:lang w:eastAsia="lv-LV"/>
            </w:rPr>
          </w:pPr>
          <w:r w:rsidRPr="00446C16">
            <w:fldChar w:fldCharType="begin"/>
          </w:r>
          <w:r w:rsidRPr="00446C16">
            <w:instrText xml:space="preserve"> TOC \o "1-2" \h \z \u </w:instrText>
          </w:r>
          <w:r w:rsidRPr="00446C16">
            <w:fldChar w:fldCharType="separate"/>
          </w:r>
          <w:hyperlink w:anchor="_Toc23163495" w:history="1"/>
        </w:p>
        <w:p w14:paraId="69C1E736" w14:textId="77777777" w:rsidR="00E00757" w:rsidRDefault="00DE666D">
          <w:pPr>
            <w:pStyle w:val="TOC1"/>
            <w:tabs>
              <w:tab w:val="right" w:leader="dot" w:pos="9344"/>
            </w:tabs>
            <w:rPr>
              <w:noProof/>
              <w:szCs w:val="22"/>
              <w:lang w:eastAsia="lv-LV"/>
            </w:rPr>
          </w:pPr>
          <w:hyperlink w:anchor="_Toc23163496" w:history="1">
            <w:r w:rsidR="00E00757" w:rsidRPr="007243A1">
              <w:rPr>
                <w:rStyle w:val="Hyperlink"/>
                <w:noProof/>
              </w:rPr>
              <w:t>LIETOTIE SAĪSINĀJUMI</w:t>
            </w:r>
            <w:r w:rsidR="00E00757">
              <w:rPr>
                <w:noProof/>
                <w:webHidden/>
              </w:rPr>
              <w:tab/>
            </w:r>
            <w:r w:rsidR="00E00757">
              <w:rPr>
                <w:noProof/>
                <w:webHidden/>
              </w:rPr>
              <w:fldChar w:fldCharType="begin"/>
            </w:r>
            <w:r w:rsidR="00E00757">
              <w:rPr>
                <w:noProof/>
                <w:webHidden/>
              </w:rPr>
              <w:instrText xml:space="preserve"> PAGEREF _Toc23163496 \h </w:instrText>
            </w:r>
            <w:r w:rsidR="00E00757">
              <w:rPr>
                <w:noProof/>
                <w:webHidden/>
              </w:rPr>
            </w:r>
            <w:r w:rsidR="00E00757">
              <w:rPr>
                <w:noProof/>
                <w:webHidden/>
              </w:rPr>
              <w:fldChar w:fldCharType="separate"/>
            </w:r>
            <w:r w:rsidR="00E00757">
              <w:rPr>
                <w:noProof/>
                <w:webHidden/>
              </w:rPr>
              <w:t>3</w:t>
            </w:r>
            <w:r w:rsidR="00E00757">
              <w:rPr>
                <w:noProof/>
                <w:webHidden/>
              </w:rPr>
              <w:fldChar w:fldCharType="end"/>
            </w:r>
          </w:hyperlink>
        </w:p>
        <w:p w14:paraId="4ECFE4C6" w14:textId="77777777" w:rsidR="00E00757" w:rsidRDefault="00DE666D">
          <w:pPr>
            <w:pStyle w:val="TOC1"/>
            <w:tabs>
              <w:tab w:val="right" w:leader="dot" w:pos="9344"/>
            </w:tabs>
            <w:rPr>
              <w:noProof/>
              <w:szCs w:val="22"/>
              <w:lang w:eastAsia="lv-LV"/>
            </w:rPr>
          </w:pPr>
          <w:hyperlink w:anchor="_Toc23163497" w:history="1">
            <w:r w:rsidR="00E00757" w:rsidRPr="007243A1">
              <w:rPr>
                <w:rStyle w:val="Hyperlink"/>
                <w:noProof/>
              </w:rPr>
              <w:t>KOPSAVILKUMS</w:t>
            </w:r>
            <w:r w:rsidR="00E00757">
              <w:rPr>
                <w:noProof/>
                <w:webHidden/>
              </w:rPr>
              <w:tab/>
            </w:r>
            <w:r w:rsidR="00E00757">
              <w:rPr>
                <w:noProof/>
                <w:webHidden/>
              </w:rPr>
              <w:fldChar w:fldCharType="begin"/>
            </w:r>
            <w:r w:rsidR="00E00757">
              <w:rPr>
                <w:noProof/>
                <w:webHidden/>
              </w:rPr>
              <w:instrText xml:space="preserve"> PAGEREF _Toc23163497 \h </w:instrText>
            </w:r>
            <w:r w:rsidR="00E00757">
              <w:rPr>
                <w:noProof/>
                <w:webHidden/>
              </w:rPr>
            </w:r>
            <w:r w:rsidR="00E00757">
              <w:rPr>
                <w:noProof/>
                <w:webHidden/>
              </w:rPr>
              <w:fldChar w:fldCharType="separate"/>
            </w:r>
            <w:r w:rsidR="00E00757">
              <w:rPr>
                <w:noProof/>
                <w:webHidden/>
              </w:rPr>
              <w:t>4</w:t>
            </w:r>
            <w:r w:rsidR="00E00757">
              <w:rPr>
                <w:noProof/>
                <w:webHidden/>
              </w:rPr>
              <w:fldChar w:fldCharType="end"/>
            </w:r>
          </w:hyperlink>
        </w:p>
        <w:p w14:paraId="188857D3" w14:textId="77777777" w:rsidR="00E00757" w:rsidRDefault="00DE666D">
          <w:pPr>
            <w:pStyle w:val="TOC1"/>
            <w:tabs>
              <w:tab w:val="left" w:pos="440"/>
              <w:tab w:val="right" w:leader="dot" w:pos="9344"/>
            </w:tabs>
            <w:rPr>
              <w:noProof/>
              <w:szCs w:val="22"/>
              <w:lang w:eastAsia="lv-LV"/>
            </w:rPr>
          </w:pPr>
          <w:hyperlink w:anchor="_Toc23163498" w:history="1">
            <w:r w:rsidR="00E00757" w:rsidRPr="007243A1">
              <w:rPr>
                <w:rStyle w:val="Hyperlink"/>
                <w:noProof/>
              </w:rPr>
              <w:t>1.</w:t>
            </w:r>
            <w:r w:rsidR="00E00757">
              <w:rPr>
                <w:noProof/>
                <w:szCs w:val="22"/>
                <w:lang w:eastAsia="lv-LV"/>
              </w:rPr>
              <w:tab/>
            </w:r>
            <w:r w:rsidR="00E00757" w:rsidRPr="007243A1">
              <w:rPr>
                <w:rStyle w:val="Hyperlink"/>
                <w:noProof/>
              </w:rPr>
              <w:t>IEVADS</w:t>
            </w:r>
            <w:r w:rsidR="00E00757">
              <w:rPr>
                <w:noProof/>
                <w:webHidden/>
              </w:rPr>
              <w:tab/>
            </w:r>
            <w:r w:rsidR="00E00757">
              <w:rPr>
                <w:noProof/>
                <w:webHidden/>
              </w:rPr>
              <w:fldChar w:fldCharType="begin"/>
            </w:r>
            <w:r w:rsidR="00E00757">
              <w:rPr>
                <w:noProof/>
                <w:webHidden/>
              </w:rPr>
              <w:instrText xml:space="preserve"> PAGEREF _Toc23163498 \h </w:instrText>
            </w:r>
            <w:r w:rsidR="00E00757">
              <w:rPr>
                <w:noProof/>
                <w:webHidden/>
              </w:rPr>
            </w:r>
            <w:r w:rsidR="00E00757">
              <w:rPr>
                <w:noProof/>
                <w:webHidden/>
              </w:rPr>
              <w:fldChar w:fldCharType="separate"/>
            </w:r>
            <w:r w:rsidR="00E00757">
              <w:rPr>
                <w:noProof/>
                <w:webHidden/>
              </w:rPr>
              <w:t>6</w:t>
            </w:r>
            <w:r w:rsidR="00E00757">
              <w:rPr>
                <w:noProof/>
                <w:webHidden/>
              </w:rPr>
              <w:fldChar w:fldCharType="end"/>
            </w:r>
          </w:hyperlink>
        </w:p>
        <w:p w14:paraId="419DEF9A" w14:textId="77777777" w:rsidR="00E00757" w:rsidRDefault="00DE666D">
          <w:pPr>
            <w:pStyle w:val="TOC1"/>
            <w:tabs>
              <w:tab w:val="left" w:pos="440"/>
              <w:tab w:val="right" w:leader="dot" w:pos="9344"/>
            </w:tabs>
            <w:rPr>
              <w:noProof/>
              <w:szCs w:val="22"/>
              <w:lang w:eastAsia="lv-LV"/>
            </w:rPr>
          </w:pPr>
          <w:hyperlink w:anchor="_Toc23163499" w:history="1">
            <w:r w:rsidR="00E00757" w:rsidRPr="007243A1">
              <w:rPr>
                <w:rStyle w:val="Hyperlink"/>
                <w:noProof/>
              </w:rPr>
              <w:t>2.</w:t>
            </w:r>
            <w:r w:rsidR="00E00757">
              <w:rPr>
                <w:noProof/>
                <w:szCs w:val="22"/>
                <w:lang w:eastAsia="lv-LV"/>
              </w:rPr>
              <w:tab/>
            </w:r>
            <w:r w:rsidR="00E00757" w:rsidRPr="007243A1">
              <w:rPr>
                <w:rStyle w:val="Hyperlink"/>
                <w:noProof/>
              </w:rPr>
              <w:t>KOPĒJĀS BŪVNIECĪBAS PRODUKCIJAS APJOMA UN IZMAKSU IZMAIŅU PROGNOZES</w:t>
            </w:r>
            <w:r w:rsidR="00E00757">
              <w:rPr>
                <w:noProof/>
                <w:webHidden/>
              </w:rPr>
              <w:tab/>
            </w:r>
            <w:r w:rsidR="00E00757">
              <w:rPr>
                <w:noProof/>
                <w:webHidden/>
              </w:rPr>
              <w:fldChar w:fldCharType="begin"/>
            </w:r>
            <w:r w:rsidR="00E00757">
              <w:rPr>
                <w:noProof/>
                <w:webHidden/>
              </w:rPr>
              <w:instrText xml:space="preserve"> PAGEREF _Toc23163499 \h </w:instrText>
            </w:r>
            <w:r w:rsidR="00E00757">
              <w:rPr>
                <w:noProof/>
                <w:webHidden/>
              </w:rPr>
            </w:r>
            <w:r w:rsidR="00E00757">
              <w:rPr>
                <w:noProof/>
                <w:webHidden/>
              </w:rPr>
              <w:fldChar w:fldCharType="separate"/>
            </w:r>
            <w:r w:rsidR="00E00757">
              <w:rPr>
                <w:noProof/>
                <w:webHidden/>
              </w:rPr>
              <w:t>8</w:t>
            </w:r>
            <w:r w:rsidR="00E00757">
              <w:rPr>
                <w:noProof/>
                <w:webHidden/>
              </w:rPr>
              <w:fldChar w:fldCharType="end"/>
            </w:r>
          </w:hyperlink>
        </w:p>
        <w:p w14:paraId="62FDB864" w14:textId="77777777" w:rsidR="00E00757" w:rsidRDefault="00DE666D">
          <w:pPr>
            <w:pStyle w:val="TOC2"/>
            <w:tabs>
              <w:tab w:val="left" w:pos="880"/>
              <w:tab w:val="right" w:leader="dot" w:pos="9344"/>
            </w:tabs>
            <w:rPr>
              <w:noProof/>
              <w:szCs w:val="22"/>
              <w:lang w:eastAsia="lv-LV"/>
            </w:rPr>
          </w:pPr>
          <w:hyperlink w:anchor="_Toc23163500" w:history="1">
            <w:r w:rsidR="00E00757" w:rsidRPr="007243A1">
              <w:rPr>
                <w:rStyle w:val="Hyperlink"/>
                <w:noProof/>
              </w:rPr>
              <w:t>2.1.</w:t>
            </w:r>
            <w:r w:rsidR="00E00757">
              <w:rPr>
                <w:noProof/>
                <w:szCs w:val="22"/>
                <w:lang w:eastAsia="lv-LV"/>
              </w:rPr>
              <w:tab/>
            </w:r>
            <w:r w:rsidR="00E00757" w:rsidRPr="007243A1">
              <w:rPr>
                <w:rStyle w:val="Hyperlink"/>
                <w:noProof/>
              </w:rPr>
              <w:t>Kopējā būvniecības produkcijas apjoma izmaiņu prognozes</w:t>
            </w:r>
            <w:r w:rsidR="00E00757">
              <w:rPr>
                <w:noProof/>
                <w:webHidden/>
              </w:rPr>
              <w:tab/>
            </w:r>
            <w:r w:rsidR="00E00757">
              <w:rPr>
                <w:noProof/>
                <w:webHidden/>
              </w:rPr>
              <w:fldChar w:fldCharType="begin"/>
            </w:r>
            <w:r w:rsidR="00E00757">
              <w:rPr>
                <w:noProof/>
                <w:webHidden/>
              </w:rPr>
              <w:instrText xml:space="preserve"> PAGEREF _Toc23163500 \h </w:instrText>
            </w:r>
            <w:r w:rsidR="00E00757">
              <w:rPr>
                <w:noProof/>
                <w:webHidden/>
              </w:rPr>
            </w:r>
            <w:r w:rsidR="00E00757">
              <w:rPr>
                <w:noProof/>
                <w:webHidden/>
              </w:rPr>
              <w:fldChar w:fldCharType="separate"/>
            </w:r>
            <w:r w:rsidR="00E00757">
              <w:rPr>
                <w:noProof/>
                <w:webHidden/>
              </w:rPr>
              <w:t>8</w:t>
            </w:r>
            <w:r w:rsidR="00E00757">
              <w:rPr>
                <w:noProof/>
                <w:webHidden/>
              </w:rPr>
              <w:fldChar w:fldCharType="end"/>
            </w:r>
          </w:hyperlink>
        </w:p>
        <w:p w14:paraId="3A97BF2D" w14:textId="77777777" w:rsidR="00E00757" w:rsidRDefault="00DE666D">
          <w:pPr>
            <w:pStyle w:val="TOC2"/>
            <w:tabs>
              <w:tab w:val="left" w:pos="880"/>
              <w:tab w:val="right" w:leader="dot" w:pos="9344"/>
            </w:tabs>
            <w:rPr>
              <w:noProof/>
              <w:szCs w:val="22"/>
              <w:lang w:eastAsia="lv-LV"/>
            </w:rPr>
          </w:pPr>
          <w:hyperlink w:anchor="_Toc23163501" w:history="1">
            <w:r w:rsidR="00E00757" w:rsidRPr="007243A1">
              <w:rPr>
                <w:rStyle w:val="Hyperlink"/>
                <w:noProof/>
              </w:rPr>
              <w:t>2.2.</w:t>
            </w:r>
            <w:r w:rsidR="00E00757">
              <w:rPr>
                <w:noProof/>
                <w:szCs w:val="22"/>
                <w:lang w:eastAsia="lv-LV"/>
              </w:rPr>
              <w:tab/>
            </w:r>
            <w:r w:rsidR="00E00757" w:rsidRPr="007243A1">
              <w:rPr>
                <w:rStyle w:val="Hyperlink"/>
                <w:noProof/>
              </w:rPr>
              <w:t>Kopējās būvniecības izmaksu izmaiņu prognozes</w:t>
            </w:r>
            <w:r w:rsidR="00E00757">
              <w:rPr>
                <w:noProof/>
                <w:webHidden/>
              </w:rPr>
              <w:tab/>
            </w:r>
            <w:r w:rsidR="00E00757">
              <w:rPr>
                <w:noProof/>
                <w:webHidden/>
              </w:rPr>
              <w:fldChar w:fldCharType="begin"/>
            </w:r>
            <w:r w:rsidR="00E00757">
              <w:rPr>
                <w:noProof/>
                <w:webHidden/>
              </w:rPr>
              <w:instrText xml:space="preserve"> PAGEREF _Toc23163501 \h </w:instrText>
            </w:r>
            <w:r w:rsidR="00E00757">
              <w:rPr>
                <w:noProof/>
                <w:webHidden/>
              </w:rPr>
            </w:r>
            <w:r w:rsidR="00E00757">
              <w:rPr>
                <w:noProof/>
                <w:webHidden/>
              </w:rPr>
              <w:fldChar w:fldCharType="separate"/>
            </w:r>
            <w:r w:rsidR="00E00757">
              <w:rPr>
                <w:noProof/>
                <w:webHidden/>
              </w:rPr>
              <w:t>9</w:t>
            </w:r>
            <w:r w:rsidR="00E00757">
              <w:rPr>
                <w:noProof/>
                <w:webHidden/>
              </w:rPr>
              <w:fldChar w:fldCharType="end"/>
            </w:r>
          </w:hyperlink>
        </w:p>
        <w:p w14:paraId="6A8DFBEF" w14:textId="77777777" w:rsidR="00E00757" w:rsidRDefault="00DE666D">
          <w:pPr>
            <w:pStyle w:val="TOC1"/>
            <w:tabs>
              <w:tab w:val="left" w:pos="440"/>
              <w:tab w:val="right" w:leader="dot" w:pos="9344"/>
            </w:tabs>
            <w:rPr>
              <w:noProof/>
              <w:szCs w:val="22"/>
              <w:lang w:eastAsia="lv-LV"/>
            </w:rPr>
          </w:pPr>
          <w:hyperlink w:anchor="_Toc23163502" w:history="1">
            <w:r w:rsidR="00E00757" w:rsidRPr="007243A1">
              <w:rPr>
                <w:rStyle w:val="Hyperlink"/>
                <w:noProof/>
              </w:rPr>
              <w:t>3.</w:t>
            </w:r>
            <w:r w:rsidR="00E00757">
              <w:rPr>
                <w:noProof/>
                <w:szCs w:val="22"/>
                <w:lang w:eastAsia="lv-LV"/>
              </w:rPr>
              <w:tab/>
            </w:r>
            <w:r w:rsidR="00E00757" w:rsidRPr="007243A1">
              <w:rPr>
                <w:rStyle w:val="Hyperlink"/>
                <w:noProof/>
              </w:rPr>
              <w:t>BŪVNIECĪBAS RESURSU IZMAKSU IZMAIŅU PROGNOZES</w:t>
            </w:r>
            <w:r w:rsidR="00E00757">
              <w:rPr>
                <w:noProof/>
                <w:webHidden/>
              </w:rPr>
              <w:tab/>
            </w:r>
            <w:r w:rsidR="00E00757">
              <w:rPr>
                <w:noProof/>
                <w:webHidden/>
              </w:rPr>
              <w:fldChar w:fldCharType="begin"/>
            </w:r>
            <w:r w:rsidR="00E00757">
              <w:rPr>
                <w:noProof/>
                <w:webHidden/>
              </w:rPr>
              <w:instrText xml:space="preserve"> PAGEREF _Toc23163502 \h </w:instrText>
            </w:r>
            <w:r w:rsidR="00E00757">
              <w:rPr>
                <w:noProof/>
                <w:webHidden/>
              </w:rPr>
            </w:r>
            <w:r w:rsidR="00E00757">
              <w:rPr>
                <w:noProof/>
                <w:webHidden/>
              </w:rPr>
              <w:fldChar w:fldCharType="separate"/>
            </w:r>
            <w:r w:rsidR="00E00757">
              <w:rPr>
                <w:noProof/>
                <w:webHidden/>
              </w:rPr>
              <w:t>14</w:t>
            </w:r>
            <w:r w:rsidR="00E00757">
              <w:rPr>
                <w:noProof/>
                <w:webHidden/>
              </w:rPr>
              <w:fldChar w:fldCharType="end"/>
            </w:r>
          </w:hyperlink>
        </w:p>
        <w:p w14:paraId="6406F0D0" w14:textId="77777777" w:rsidR="00E00757" w:rsidRDefault="00DE666D">
          <w:pPr>
            <w:pStyle w:val="TOC2"/>
            <w:tabs>
              <w:tab w:val="left" w:pos="880"/>
              <w:tab w:val="right" w:leader="dot" w:pos="9344"/>
            </w:tabs>
            <w:rPr>
              <w:noProof/>
              <w:szCs w:val="22"/>
              <w:lang w:eastAsia="lv-LV"/>
            </w:rPr>
          </w:pPr>
          <w:hyperlink w:anchor="_Toc23163503" w:history="1">
            <w:r w:rsidR="00E00757" w:rsidRPr="007243A1">
              <w:rPr>
                <w:rStyle w:val="Hyperlink"/>
                <w:noProof/>
              </w:rPr>
              <w:t>3.1.</w:t>
            </w:r>
            <w:r w:rsidR="00E00757">
              <w:rPr>
                <w:noProof/>
                <w:szCs w:val="22"/>
                <w:lang w:eastAsia="lv-LV"/>
              </w:rPr>
              <w:tab/>
            </w:r>
            <w:r w:rsidR="00E00757" w:rsidRPr="007243A1">
              <w:rPr>
                <w:rStyle w:val="Hyperlink"/>
                <w:noProof/>
              </w:rPr>
              <w:t>Darbaspēka un būvmateriālu izmaksu izmaiņas ietekmējošie faktori</w:t>
            </w:r>
            <w:r w:rsidR="00E00757">
              <w:rPr>
                <w:noProof/>
                <w:webHidden/>
              </w:rPr>
              <w:tab/>
            </w:r>
            <w:r w:rsidR="00E00757">
              <w:rPr>
                <w:noProof/>
                <w:webHidden/>
              </w:rPr>
              <w:fldChar w:fldCharType="begin"/>
            </w:r>
            <w:r w:rsidR="00E00757">
              <w:rPr>
                <w:noProof/>
                <w:webHidden/>
              </w:rPr>
              <w:instrText xml:space="preserve"> PAGEREF _Toc23163503 \h </w:instrText>
            </w:r>
            <w:r w:rsidR="00E00757">
              <w:rPr>
                <w:noProof/>
                <w:webHidden/>
              </w:rPr>
            </w:r>
            <w:r w:rsidR="00E00757">
              <w:rPr>
                <w:noProof/>
                <w:webHidden/>
              </w:rPr>
              <w:fldChar w:fldCharType="separate"/>
            </w:r>
            <w:r w:rsidR="00E00757">
              <w:rPr>
                <w:noProof/>
                <w:webHidden/>
              </w:rPr>
              <w:t>14</w:t>
            </w:r>
            <w:r w:rsidR="00E00757">
              <w:rPr>
                <w:noProof/>
                <w:webHidden/>
              </w:rPr>
              <w:fldChar w:fldCharType="end"/>
            </w:r>
          </w:hyperlink>
        </w:p>
        <w:p w14:paraId="79515877" w14:textId="77777777" w:rsidR="00E00757" w:rsidRDefault="00DE666D">
          <w:pPr>
            <w:pStyle w:val="TOC2"/>
            <w:tabs>
              <w:tab w:val="left" w:pos="880"/>
              <w:tab w:val="right" w:leader="dot" w:pos="9344"/>
            </w:tabs>
            <w:rPr>
              <w:noProof/>
              <w:szCs w:val="22"/>
              <w:lang w:eastAsia="lv-LV"/>
            </w:rPr>
          </w:pPr>
          <w:hyperlink w:anchor="_Toc23163504" w:history="1">
            <w:r w:rsidR="00E00757" w:rsidRPr="007243A1">
              <w:rPr>
                <w:rStyle w:val="Hyperlink"/>
                <w:noProof/>
              </w:rPr>
              <w:t>3.2.</w:t>
            </w:r>
            <w:r w:rsidR="00E00757">
              <w:rPr>
                <w:noProof/>
                <w:szCs w:val="22"/>
                <w:lang w:eastAsia="lv-LV"/>
              </w:rPr>
              <w:tab/>
            </w:r>
            <w:r w:rsidR="00E00757" w:rsidRPr="007243A1">
              <w:rPr>
                <w:rStyle w:val="Hyperlink"/>
                <w:noProof/>
              </w:rPr>
              <w:t>Apkopojums būvniecības resursu izmaksu izmaiņu prognozēm</w:t>
            </w:r>
            <w:r w:rsidR="00E00757">
              <w:rPr>
                <w:noProof/>
                <w:webHidden/>
              </w:rPr>
              <w:tab/>
            </w:r>
            <w:r w:rsidR="00E00757">
              <w:rPr>
                <w:noProof/>
                <w:webHidden/>
              </w:rPr>
              <w:fldChar w:fldCharType="begin"/>
            </w:r>
            <w:r w:rsidR="00E00757">
              <w:rPr>
                <w:noProof/>
                <w:webHidden/>
              </w:rPr>
              <w:instrText xml:space="preserve"> PAGEREF _Toc23163504 \h </w:instrText>
            </w:r>
            <w:r w:rsidR="00E00757">
              <w:rPr>
                <w:noProof/>
                <w:webHidden/>
              </w:rPr>
            </w:r>
            <w:r w:rsidR="00E00757">
              <w:rPr>
                <w:noProof/>
                <w:webHidden/>
              </w:rPr>
              <w:fldChar w:fldCharType="separate"/>
            </w:r>
            <w:r w:rsidR="00E00757">
              <w:rPr>
                <w:noProof/>
                <w:webHidden/>
              </w:rPr>
              <w:t>17</w:t>
            </w:r>
            <w:r w:rsidR="00E00757">
              <w:rPr>
                <w:noProof/>
                <w:webHidden/>
              </w:rPr>
              <w:fldChar w:fldCharType="end"/>
            </w:r>
          </w:hyperlink>
        </w:p>
        <w:p w14:paraId="40BBC591" w14:textId="77777777" w:rsidR="00E00757" w:rsidRDefault="00DE666D">
          <w:pPr>
            <w:pStyle w:val="TOC1"/>
            <w:tabs>
              <w:tab w:val="left" w:pos="440"/>
              <w:tab w:val="right" w:leader="dot" w:pos="9344"/>
            </w:tabs>
            <w:rPr>
              <w:noProof/>
              <w:szCs w:val="22"/>
              <w:lang w:eastAsia="lv-LV"/>
            </w:rPr>
          </w:pPr>
          <w:hyperlink w:anchor="_Toc23163505" w:history="1">
            <w:r w:rsidR="00E00757" w:rsidRPr="007243A1">
              <w:rPr>
                <w:rStyle w:val="Hyperlink"/>
                <w:noProof/>
              </w:rPr>
              <w:t>4.</w:t>
            </w:r>
            <w:r w:rsidR="00E00757">
              <w:rPr>
                <w:noProof/>
                <w:szCs w:val="22"/>
                <w:lang w:eastAsia="lv-LV"/>
              </w:rPr>
              <w:tab/>
            </w:r>
            <w:r w:rsidR="00E00757" w:rsidRPr="007243A1">
              <w:rPr>
                <w:rStyle w:val="Hyperlink"/>
                <w:noProof/>
              </w:rPr>
              <w:t>BŪVNIECĪBAS PRODUKCIJAS APJOMA UN RESURSU IZMAKSU IZMAIŅU PROGNOZES PA BŪVNIECĪBAS APAKŠNOZARĒM</w:t>
            </w:r>
            <w:r w:rsidR="00E00757">
              <w:rPr>
                <w:noProof/>
                <w:webHidden/>
              </w:rPr>
              <w:tab/>
            </w:r>
            <w:r w:rsidR="00E00757">
              <w:rPr>
                <w:noProof/>
                <w:webHidden/>
              </w:rPr>
              <w:fldChar w:fldCharType="begin"/>
            </w:r>
            <w:r w:rsidR="00E00757">
              <w:rPr>
                <w:noProof/>
                <w:webHidden/>
              </w:rPr>
              <w:instrText xml:space="preserve"> PAGEREF _Toc23163505 \h </w:instrText>
            </w:r>
            <w:r w:rsidR="00E00757">
              <w:rPr>
                <w:noProof/>
                <w:webHidden/>
              </w:rPr>
            </w:r>
            <w:r w:rsidR="00E00757">
              <w:rPr>
                <w:noProof/>
                <w:webHidden/>
              </w:rPr>
              <w:fldChar w:fldCharType="separate"/>
            </w:r>
            <w:r w:rsidR="00E00757">
              <w:rPr>
                <w:noProof/>
                <w:webHidden/>
              </w:rPr>
              <w:t>19</w:t>
            </w:r>
            <w:r w:rsidR="00E00757">
              <w:rPr>
                <w:noProof/>
                <w:webHidden/>
              </w:rPr>
              <w:fldChar w:fldCharType="end"/>
            </w:r>
          </w:hyperlink>
        </w:p>
        <w:p w14:paraId="7E971AB9" w14:textId="77777777" w:rsidR="00E00757" w:rsidRDefault="00DE666D">
          <w:pPr>
            <w:pStyle w:val="TOC2"/>
            <w:tabs>
              <w:tab w:val="left" w:pos="880"/>
              <w:tab w:val="right" w:leader="dot" w:pos="9344"/>
            </w:tabs>
            <w:rPr>
              <w:noProof/>
              <w:szCs w:val="22"/>
              <w:lang w:eastAsia="lv-LV"/>
            </w:rPr>
          </w:pPr>
          <w:hyperlink w:anchor="_Toc23163506" w:history="1">
            <w:r w:rsidR="00E00757" w:rsidRPr="007243A1">
              <w:rPr>
                <w:rStyle w:val="Hyperlink"/>
                <w:noProof/>
              </w:rPr>
              <w:t>4.1.</w:t>
            </w:r>
            <w:r w:rsidR="00E00757">
              <w:rPr>
                <w:noProof/>
                <w:szCs w:val="22"/>
                <w:lang w:eastAsia="lv-LV"/>
              </w:rPr>
              <w:tab/>
            </w:r>
            <w:r w:rsidR="00E00757" w:rsidRPr="007243A1">
              <w:rPr>
                <w:rStyle w:val="Hyperlink"/>
                <w:noProof/>
              </w:rPr>
              <w:t>Dzīvojamo un nedzīvojamo ēku būvniecības apakšnozares izmaksu izmaiņu prognozes</w:t>
            </w:r>
            <w:r w:rsidR="00E00757">
              <w:rPr>
                <w:noProof/>
                <w:webHidden/>
              </w:rPr>
              <w:tab/>
            </w:r>
            <w:r w:rsidR="00E00757">
              <w:rPr>
                <w:noProof/>
                <w:webHidden/>
              </w:rPr>
              <w:fldChar w:fldCharType="begin"/>
            </w:r>
            <w:r w:rsidR="00E00757">
              <w:rPr>
                <w:noProof/>
                <w:webHidden/>
              </w:rPr>
              <w:instrText xml:space="preserve"> PAGEREF _Toc23163506 \h </w:instrText>
            </w:r>
            <w:r w:rsidR="00E00757">
              <w:rPr>
                <w:noProof/>
                <w:webHidden/>
              </w:rPr>
            </w:r>
            <w:r w:rsidR="00E00757">
              <w:rPr>
                <w:noProof/>
                <w:webHidden/>
              </w:rPr>
              <w:fldChar w:fldCharType="separate"/>
            </w:r>
            <w:r w:rsidR="00E00757">
              <w:rPr>
                <w:noProof/>
                <w:webHidden/>
              </w:rPr>
              <w:t>19</w:t>
            </w:r>
            <w:r w:rsidR="00E00757">
              <w:rPr>
                <w:noProof/>
                <w:webHidden/>
              </w:rPr>
              <w:fldChar w:fldCharType="end"/>
            </w:r>
          </w:hyperlink>
        </w:p>
        <w:p w14:paraId="05E91D40" w14:textId="77777777" w:rsidR="00E00757" w:rsidRDefault="00DE666D">
          <w:pPr>
            <w:pStyle w:val="TOC2"/>
            <w:tabs>
              <w:tab w:val="left" w:pos="880"/>
              <w:tab w:val="right" w:leader="dot" w:pos="9344"/>
            </w:tabs>
            <w:rPr>
              <w:noProof/>
              <w:szCs w:val="22"/>
              <w:lang w:eastAsia="lv-LV"/>
            </w:rPr>
          </w:pPr>
          <w:hyperlink w:anchor="_Toc23163507" w:history="1">
            <w:r w:rsidR="00E00757" w:rsidRPr="007243A1">
              <w:rPr>
                <w:rStyle w:val="Hyperlink"/>
                <w:rFonts w:eastAsia="Times New Roman"/>
                <w:noProof/>
                <w:lang w:eastAsia="en-GB"/>
              </w:rPr>
              <w:t>4.2.</w:t>
            </w:r>
            <w:r w:rsidR="00E00757">
              <w:rPr>
                <w:noProof/>
                <w:szCs w:val="22"/>
                <w:lang w:eastAsia="lv-LV"/>
              </w:rPr>
              <w:tab/>
            </w:r>
            <w:r w:rsidR="00E00757" w:rsidRPr="007243A1">
              <w:rPr>
                <w:rStyle w:val="Hyperlink"/>
                <w:rFonts w:eastAsia="Times New Roman"/>
                <w:noProof/>
                <w:lang w:eastAsia="en-GB"/>
              </w:rPr>
              <w:t xml:space="preserve">Transporta objektu būvniecības apakšnozares </w:t>
            </w:r>
            <w:r w:rsidR="00E00757" w:rsidRPr="007243A1">
              <w:rPr>
                <w:rStyle w:val="Hyperlink"/>
                <w:noProof/>
              </w:rPr>
              <w:t>izmaksu izmaiņu prognozes</w:t>
            </w:r>
            <w:r w:rsidR="00E00757">
              <w:rPr>
                <w:noProof/>
                <w:webHidden/>
              </w:rPr>
              <w:tab/>
            </w:r>
            <w:r w:rsidR="00E00757">
              <w:rPr>
                <w:noProof/>
                <w:webHidden/>
              </w:rPr>
              <w:fldChar w:fldCharType="begin"/>
            </w:r>
            <w:r w:rsidR="00E00757">
              <w:rPr>
                <w:noProof/>
                <w:webHidden/>
              </w:rPr>
              <w:instrText xml:space="preserve"> PAGEREF _Toc23163507 \h </w:instrText>
            </w:r>
            <w:r w:rsidR="00E00757">
              <w:rPr>
                <w:noProof/>
                <w:webHidden/>
              </w:rPr>
            </w:r>
            <w:r w:rsidR="00E00757">
              <w:rPr>
                <w:noProof/>
                <w:webHidden/>
              </w:rPr>
              <w:fldChar w:fldCharType="separate"/>
            </w:r>
            <w:r w:rsidR="00E00757">
              <w:rPr>
                <w:noProof/>
                <w:webHidden/>
              </w:rPr>
              <w:t>25</w:t>
            </w:r>
            <w:r w:rsidR="00E00757">
              <w:rPr>
                <w:noProof/>
                <w:webHidden/>
              </w:rPr>
              <w:fldChar w:fldCharType="end"/>
            </w:r>
          </w:hyperlink>
        </w:p>
        <w:p w14:paraId="5B13E568" w14:textId="77777777" w:rsidR="00E00757" w:rsidRDefault="00DE666D">
          <w:pPr>
            <w:pStyle w:val="TOC2"/>
            <w:tabs>
              <w:tab w:val="left" w:pos="880"/>
              <w:tab w:val="right" w:leader="dot" w:pos="9344"/>
            </w:tabs>
            <w:rPr>
              <w:noProof/>
              <w:szCs w:val="22"/>
              <w:lang w:eastAsia="lv-LV"/>
            </w:rPr>
          </w:pPr>
          <w:hyperlink w:anchor="_Toc23163508" w:history="1">
            <w:r w:rsidR="00E00757" w:rsidRPr="007243A1">
              <w:rPr>
                <w:rStyle w:val="Hyperlink"/>
                <w:rFonts w:eastAsia="Times New Roman"/>
                <w:noProof/>
                <w:lang w:eastAsia="en-GB"/>
              </w:rPr>
              <w:t>4.3.</w:t>
            </w:r>
            <w:r w:rsidR="00E00757">
              <w:rPr>
                <w:noProof/>
                <w:szCs w:val="22"/>
                <w:lang w:eastAsia="lv-LV"/>
              </w:rPr>
              <w:tab/>
            </w:r>
            <w:r w:rsidR="00E00757" w:rsidRPr="007243A1">
              <w:rPr>
                <w:rStyle w:val="Hyperlink"/>
                <w:rFonts w:eastAsia="Times New Roman"/>
                <w:noProof/>
                <w:lang w:eastAsia="en-GB"/>
              </w:rPr>
              <w:t>Maģistrālo pazemes cauruļvadu būvniecības apakšnozares</w:t>
            </w:r>
            <w:r w:rsidR="00E00757" w:rsidRPr="007243A1">
              <w:rPr>
                <w:rStyle w:val="Hyperlink"/>
                <w:noProof/>
              </w:rPr>
              <w:t xml:space="preserve"> izmaksu izmaiņu prognozes</w:t>
            </w:r>
            <w:r w:rsidR="00E00757">
              <w:rPr>
                <w:noProof/>
                <w:webHidden/>
              </w:rPr>
              <w:tab/>
            </w:r>
            <w:r w:rsidR="00E00757">
              <w:rPr>
                <w:noProof/>
                <w:webHidden/>
              </w:rPr>
              <w:fldChar w:fldCharType="begin"/>
            </w:r>
            <w:r w:rsidR="00E00757">
              <w:rPr>
                <w:noProof/>
                <w:webHidden/>
              </w:rPr>
              <w:instrText xml:space="preserve"> PAGEREF _Toc23163508 \h </w:instrText>
            </w:r>
            <w:r w:rsidR="00E00757">
              <w:rPr>
                <w:noProof/>
                <w:webHidden/>
              </w:rPr>
            </w:r>
            <w:r w:rsidR="00E00757">
              <w:rPr>
                <w:noProof/>
                <w:webHidden/>
              </w:rPr>
              <w:fldChar w:fldCharType="separate"/>
            </w:r>
            <w:r w:rsidR="00E00757">
              <w:rPr>
                <w:noProof/>
                <w:webHidden/>
              </w:rPr>
              <w:t>30</w:t>
            </w:r>
            <w:r w:rsidR="00E00757">
              <w:rPr>
                <w:noProof/>
                <w:webHidden/>
              </w:rPr>
              <w:fldChar w:fldCharType="end"/>
            </w:r>
          </w:hyperlink>
        </w:p>
        <w:p w14:paraId="2554B9B9" w14:textId="77777777" w:rsidR="00E00757" w:rsidRDefault="00DE666D">
          <w:pPr>
            <w:pStyle w:val="TOC2"/>
            <w:tabs>
              <w:tab w:val="left" w:pos="880"/>
              <w:tab w:val="right" w:leader="dot" w:pos="9344"/>
            </w:tabs>
            <w:rPr>
              <w:noProof/>
              <w:szCs w:val="22"/>
              <w:lang w:eastAsia="lv-LV"/>
            </w:rPr>
          </w:pPr>
          <w:hyperlink w:anchor="_Toc23163509" w:history="1">
            <w:r w:rsidR="00E00757" w:rsidRPr="007243A1">
              <w:rPr>
                <w:rStyle w:val="Hyperlink"/>
                <w:rFonts w:eastAsia="Times New Roman"/>
                <w:noProof/>
                <w:lang w:eastAsia="en-GB"/>
              </w:rPr>
              <w:t>4.4.</w:t>
            </w:r>
            <w:r w:rsidR="00E00757">
              <w:rPr>
                <w:noProof/>
                <w:szCs w:val="22"/>
                <w:lang w:eastAsia="lv-LV"/>
              </w:rPr>
              <w:tab/>
            </w:r>
            <w:r w:rsidR="00E00757" w:rsidRPr="007243A1">
              <w:rPr>
                <w:rStyle w:val="Hyperlink"/>
                <w:rFonts w:eastAsia="Times New Roman"/>
                <w:noProof/>
                <w:lang w:eastAsia="en-GB"/>
              </w:rPr>
              <w:t xml:space="preserve">Pārējo inženierbūvju apakšnozares </w:t>
            </w:r>
            <w:r w:rsidR="00E00757" w:rsidRPr="007243A1">
              <w:rPr>
                <w:rStyle w:val="Hyperlink"/>
                <w:noProof/>
              </w:rPr>
              <w:t>izmaksu izmaiņu prognozes</w:t>
            </w:r>
            <w:r w:rsidR="00E00757">
              <w:rPr>
                <w:noProof/>
                <w:webHidden/>
              </w:rPr>
              <w:tab/>
            </w:r>
            <w:r w:rsidR="00E00757">
              <w:rPr>
                <w:noProof/>
                <w:webHidden/>
              </w:rPr>
              <w:fldChar w:fldCharType="begin"/>
            </w:r>
            <w:r w:rsidR="00E00757">
              <w:rPr>
                <w:noProof/>
                <w:webHidden/>
              </w:rPr>
              <w:instrText xml:space="preserve"> PAGEREF _Toc23163509 \h </w:instrText>
            </w:r>
            <w:r w:rsidR="00E00757">
              <w:rPr>
                <w:noProof/>
                <w:webHidden/>
              </w:rPr>
            </w:r>
            <w:r w:rsidR="00E00757">
              <w:rPr>
                <w:noProof/>
                <w:webHidden/>
              </w:rPr>
              <w:fldChar w:fldCharType="separate"/>
            </w:r>
            <w:r w:rsidR="00E00757">
              <w:rPr>
                <w:noProof/>
                <w:webHidden/>
              </w:rPr>
              <w:t>33</w:t>
            </w:r>
            <w:r w:rsidR="00E00757">
              <w:rPr>
                <w:noProof/>
                <w:webHidden/>
              </w:rPr>
              <w:fldChar w:fldCharType="end"/>
            </w:r>
          </w:hyperlink>
        </w:p>
        <w:p w14:paraId="3E65BA1C" w14:textId="77777777" w:rsidR="00E00757" w:rsidRDefault="00DE666D">
          <w:pPr>
            <w:pStyle w:val="TOC2"/>
            <w:tabs>
              <w:tab w:val="left" w:pos="880"/>
              <w:tab w:val="right" w:leader="dot" w:pos="9344"/>
            </w:tabs>
            <w:rPr>
              <w:noProof/>
              <w:szCs w:val="22"/>
              <w:lang w:eastAsia="lv-LV"/>
            </w:rPr>
          </w:pPr>
          <w:hyperlink w:anchor="_Toc23163510" w:history="1">
            <w:r w:rsidR="00E00757" w:rsidRPr="007243A1">
              <w:rPr>
                <w:rStyle w:val="Hyperlink"/>
                <w:noProof/>
              </w:rPr>
              <w:t>4.5.</w:t>
            </w:r>
            <w:r w:rsidR="00E00757">
              <w:rPr>
                <w:noProof/>
                <w:szCs w:val="22"/>
                <w:lang w:eastAsia="lv-LV"/>
              </w:rPr>
              <w:tab/>
            </w:r>
            <w:r w:rsidR="00E00757" w:rsidRPr="007243A1">
              <w:rPr>
                <w:rStyle w:val="Hyperlink"/>
                <w:rFonts w:eastAsia="Times New Roman"/>
                <w:noProof/>
                <w:lang w:eastAsia="en-GB"/>
              </w:rPr>
              <w:t>Komplekso būvju rūpnieciskās ražošanas būvniecības apakšnozares</w:t>
            </w:r>
            <w:r w:rsidR="00E00757" w:rsidRPr="007243A1">
              <w:rPr>
                <w:rStyle w:val="Hyperlink"/>
                <w:noProof/>
              </w:rPr>
              <w:t xml:space="preserve"> izmaksu izmaiņu prognozes</w:t>
            </w:r>
            <w:r w:rsidR="00E00757">
              <w:rPr>
                <w:noProof/>
                <w:webHidden/>
              </w:rPr>
              <w:tab/>
            </w:r>
            <w:r w:rsidR="00E00757">
              <w:rPr>
                <w:noProof/>
                <w:webHidden/>
              </w:rPr>
              <w:fldChar w:fldCharType="begin"/>
            </w:r>
            <w:r w:rsidR="00E00757">
              <w:rPr>
                <w:noProof/>
                <w:webHidden/>
              </w:rPr>
              <w:instrText xml:space="preserve"> PAGEREF _Toc23163510 \h </w:instrText>
            </w:r>
            <w:r w:rsidR="00E00757">
              <w:rPr>
                <w:noProof/>
                <w:webHidden/>
              </w:rPr>
            </w:r>
            <w:r w:rsidR="00E00757">
              <w:rPr>
                <w:noProof/>
                <w:webHidden/>
              </w:rPr>
              <w:fldChar w:fldCharType="separate"/>
            </w:r>
            <w:r w:rsidR="00E00757">
              <w:rPr>
                <w:noProof/>
                <w:webHidden/>
              </w:rPr>
              <w:t>35</w:t>
            </w:r>
            <w:r w:rsidR="00E00757">
              <w:rPr>
                <w:noProof/>
                <w:webHidden/>
              </w:rPr>
              <w:fldChar w:fldCharType="end"/>
            </w:r>
          </w:hyperlink>
        </w:p>
        <w:p w14:paraId="5FA19E16" w14:textId="77777777" w:rsidR="00E00757" w:rsidRDefault="00DE666D">
          <w:pPr>
            <w:pStyle w:val="TOC2"/>
            <w:tabs>
              <w:tab w:val="left" w:pos="880"/>
              <w:tab w:val="right" w:leader="dot" w:pos="9344"/>
            </w:tabs>
            <w:rPr>
              <w:noProof/>
              <w:szCs w:val="22"/>
              <w:lang w:eastAsia="lv-LV"/>
            </w:rPr>
          </w:pPr>
          <w:hyperlink w:anchor="_Toc23163511" w:history="1">
            <w:r w:rsidR="00E00757" w:rsidRPr="007243A1">
              <w:rPr>
                <w:rStyle w:val="Hyperlink"/>
                <w:noProof/>
              </w:rPr>
              <w:t>4.6.</w:t>
            </w:r>
            <w:r w:rsidR="00E00757">
              <w:rPr>
                <w:noProof/>
                <w:szCs w:val="22"/>
                <w:lang w:eastAsia="lv-LV"/>
              </w:rPr>
              <w:tab/>
            </w:r>
            <w:r w:rsidR="00E00757" w:rsidRPr="007243A1">
              <w:rPr>
                <w:rStyle w:val="Hyperlink"/>
                <w:noProof/>
              </w:rPr>
              <w:t>Apkopojums izmaksu izmaiņu prognozēm pa apakšnozarēm</w:t>
            </w:r>
            <w:r w:rsidR="00E00757">
              <w:rPr>
                <w:noProof/>
                <w:webHidden/>
              </w:rPr>
              <w:tab/>
            </w:r>
            <w:r w:rsidR="00E00757">
              <w:rPr>
                <w:noProof/>
                <w:webHidden/>
              </w:rPr>
              <w:fldChar w:fldCharType="begin"/>
            </w:r>
            <w:r w:rsidR="00E00757">
              <w:rPr>
                <w:noProof/>
                <w:webHidden/>
              </w:rPr>
              <w:instrText xml:space="preserve"> PAGEREF _Toc23163511 \h </w:instrText>
            </w:r>
            <w:r w:rsidR="00E00757">
              <w:rPr>
                <w:noProof/>
                <w:webHidden/>
              </w:rPr>
            </w:r>
            <w:r w:rsidR="00E00757">
              <w:rPr>
                <w:noProof/>
                <w:webHidden/>
              </w:rPr>
              <w:fldChar w:fldCharType="separate"/>
            </w:r>
            <w:r w:rsidR="00E00757">
              <w:rPr>
                <w:noProof/>
                <w:webHidden/>
              </w:rPr>
              <w:t>38</w:t>
            </w:r>
            <w:r w:rsidR="00E00757">
              <w:rPr>
                <w:noProof/>
                <w:webHidden/>
              </w:rPr>
              <w:fldChar w:fldCharType="end"/>
            </w:r>
          </w:hyperlink>
        </w:p>
        <w:p w14:paraId="563A8AA2" w14:textId="77777777" w:rsidR="00E00757" w:rsidRDefault="00DE666D">
          <w:pPr>
            <w:pStyle w:val="TOC1"/>
            <w:tabs>
              <w:tab w:val="right" w:leader="dot" w:pos="9344"/>
            </w:tabs>
            <w:rPr>
              <w:noProof/>
              <w:szCs w:val="22"/>
              <w:lang w:eastAsia="lv-LV"/>
            </w:rPr>
          </w:pPr>
          <w:hyperlink w:anchor="_Toc23163512" w:history="1">
            <w:r w:rsidR="00E00757" w:rsidRPr="007243A1">
              <w:rPr>
                <w:rStyle w:val="Hyperlink"/>
                <w:noProof/>
              </w:rPr>
              <w:t>GALVENIE REZULTĀTI</w:t>
            </w:r>
            <w:r w:rsidR="00E00757">
              <w:rPr>
                <w:noProof/>
                <w:webHidden/>
              </w:rPr>
              <w:tab/>
            </w:r>
            <w:r w:rsidR="00E00757">
              <w:rPr>
                <w:noProof/>
                <w:webHidden/>
              </w:rPr>
              <w:fldChar w:fldCharType="begin"/>
            </w:r>
            <w:r w:rsidR="00E00757">
              <w:rPr>
                <w:noProof/>
                <w:webHidden/>
              </w:rPr>
              <w:instrText xml:space="preserve"> PAGEREF _Toc23163512 \h </w:instrText>
            </w:r>
            <w:r w:rsidR="00E00757">
              <w:rPr>
                <w:noProof/>
                <w:webHidden/>
              </w:rPr>
            </w:r>
            <w:r w:rsidR="00E00757">
              <w:rPr>
                <w:noProof/>
                <w:webHidden/>
              </w:rPr>
              <w:fldChar w:fldCharType="separate"/>
            </w:r>
            <w:r w:rsidR="00E00757">
              <w:rPr>
                <w:noProof/>
                <w:webHidden/>
              </w:rPr>
              <w:t>40</w:t>
            </w:r>
            <w:r w:rsidR="00E00757">
              <w:rPr>
                <w:noProof/>
                <w:webHidden/>
              </w:rPr>
              <w:fldChar w:fldCharType="end"/>
            </w:r>
          </w:hyperlink>
        </w:p>
        <w:p w14:paraId="1EE53E1F" w14:textId="77777777" w:rsidR="00E00757" w:rsidRDefault="00DE666D">
          <w:pPr>
            <w:pStyle w:val="TOC1"/>
            <w:tabs>
              <w:tab w:val="right" w:leader="dot" w:pos="9344"/>
            </w:tabs>
            <w:rPr>
              <w:noProof/>
              <w:szCs w:val="22"/>
              <w:lang w:eastAsia="lv-LV"/>
            </w:rPr>
          </w:pPr>
          <w:hyperlink w:anchor="_Toc23163513" w:history="1">
            <w:r w:rsidR="00E00757" w:rsidRPr="007243A1">
              <w:rPr>
                <w:rStyle w:val="Hyperlink"/>
                <w:noProof/>
              </w:rPr>
              <w:t>SECINĀJUMI</w:t>
            </w:r>
            <w:r w:rsidR="00E00757">
              <w:rPr>
                <w:noProof/>
                <w:webHidden/>
              </w:rPr>
              <w:tab/>
            </w:r>
            <w:r w:rsidR="00E00757">
              <w:rPr>
                <w:noProof/>
                <w:webHidden/>
              </w:rPr>
              <w:fldChar w:fldCharType="begin"/>
            </w:r>
            <w:r w:rsidR="00E00757">
              <w:rPr>
                <w:noProof/>
                <w:webHidden/>
              </w:rPr>
              <w:instrText xml:space="preserve"> PAGEREF _Toc23163513 \h </w:instrText>
            </w:r>
            <w:r w:rsidR="00E00757">
              <w:rPr>
                <w:noProof/>
                <w:webHidden/>
              </w:rPr>
            </w:r>
            <w:r w:rsidR="00E00757">
              <w:rPr>
                <w:noProof/>
                <w:webHidden/>
              </w:rPr>
              <w:fldChar w:fldCharType="separate"/>
            </w:r>
            <w:r w:rsidR="00E00757">
              <w:rPr>
                <w:noProof/>
                <w:webHidden/>
              </w:rPr>
              <w:t>42</w:t>
            </w:r>
            <w:r w:rsidR="00E00757">
              <w:rPr>
                <w:noProof/>
                <w:webHidden/>
              </w:rPr>
              <w:fldChar w:fldCharType="end"/>
            </w:r>
          </w:hyperlink>
        </w:p>
        <w:p w14:paraId="5B8CF9DC" w14:textId="77777777" w:rsidR="00E00757" w:rsidRDefault="00DE666D">
          <w:pPr>
            <w:pStyle w:val="TOC1"/>
            <w:tabs>
              <w:tab w:val="right" w:leader="dot" w:pos="9344"/>
            </w:tabs>
            <w:rPr>
              <w:noProof/>
              <w:szCs w:val="22"/>
              <w:lang w:eastAsia="lv-LV"/>
            </w:rPr>
          </w:pPr>
          <w:hyperlink w:anchor="_Toc23163514" w:history="1">
            <w:r w:rsidR="00E00757" w:rsidRPr="007243A1">
              <w:rPr>
                <w:rStyle w:val="Hyperlink"/>
                <w:noProof/>
              </w:rPr>
              <w:t>PIELIKUMI</w:t>
            </w:r>
            <w:r w:rsidR="00E00757">
              <w:rPr>
                <w:noProof/>
                <w:webHidden/>
              </w:rPr>
              <w:tab/>
            </w:r>
            <w:r w:rsidR="00E00757">
              <w:rPr>
                <w:noProof/>
                <w:webHidden/>
              </w:rPr>
              <w:fldChar w:fldCharType="begin"/>
            </w:r>
            <w:r w:rsidR="00E00757">
              <w:rPr>
                <w:noProof/>
                <w:webHidden/>
              </w:rPr>
              <w:instrText xml:space="preserve"> PAGEREF _Toc23163514 \h </w:instrText>
            </w:r>
            <w:r w:rsidR="00E00757">
              <w:rPr>
                <w:noProof/>
                <w:webHidden/>
              </w:rPr>
            </w:r>
            <w:r w:rsidR="00E00757">
              <w:rPr>
                <w:noProof/>
                <w:webHidden/>
              </w:rPr>
              <w:fldChar w:fldCharType="separate"/>
            </w:r>
            <w:r w:rsidR="00E00757">
              <w:rPr>
                <w:noProof/>
                <w:webHidden/>
              </w:rPr>
              <w:t>43</w:t>
            </w:r>
            <w:r w:rsidR="00E00757">
              <w:rPr>
                <w:noProof/>
                <w:webHidden/>
              </w:rPr>
              <w:fldChar w:fldCharType="end"/>
            </w:r>
          </w:hyperlink>
        </w:p>
        <w:p w14:paraId="0F310550" w14:textId="5E2C3EAC" w:rsidR="00654420" w:rsidRPr="00446C16" w:rsidRDefault="00654420" w:rsidP="00654420">
          <w:pPr>
            <w:pStyle w:val="TOC1"/>
            <w:tabs>
              <w:tab w:val="right" w:leader="dot" w:pos="9344"/>
            </w:tabs>
            <w:sectPr w:rsidR="00654420" w:rsidRPr="00446C16" w:rsidSect="00741888">
              <w:footerReference w:type="default" r:id="rId14"/>
              <w:pgSz w:w="11906" w:h="16838"/>
              <w:pgMar w:top="1418" w:right="1134" w:bottom="1418" w:left="1418" w:header="709" w:footer="709" w:gutter="0"/>
              <w:cols w:space="708"/>
              <w:docGrid w:linePitch="360"/>
            </w:sectPr>
          </w:pPr>
          <w:r w:rsidRPr="00446C16">
            <w:fldChar w:fldCharType="end"/>
          </w:r>
        </w:p>
      </w:sdtContent>
    </w:sdt>
    <w:p w14:paraId="3296BBDF" w14:textId="13980B59" w:rsidR="00705505" w:rsidRPr="00446C16" w:rsidRDefault="00E8087D" w:rsidP="00654420">
      <w:pPr>
        <w:pStyle w:val="Heading1"/>
      </w:pPr>
      <w:bookmarkStart w:id="11" w:name="_Toc23163496"/>
      <w:r w:rsidRPr="00446C16">
        <w:rPr>
          <w:caps w:val="0"/>
        </w:rPr>
        <w:lastRenderedPageBreak/>
        <w:t>LIETOTIE SAĪSINĀJUMI</w:t>
      </w:r>
      <w:bookmarkEnd w:id="11"/>
    </w:p>
    <w:p w14:paraId="0D4A9D61" w14:textId="77777777" w:rsidR="00D64A25" w:rsidRPr="00446C16" w:rsidRDefault="00D64A25" w:rsidP="00B13164"/>
    <w:tbl>
      <w:tblPr>
        <w:tblStyle w:val="TableGrid"/>
        <w:tblW w:w="0" w:type="auto"/>
        <w:tblInd w:w="-5" w:type="dxa"/>
        <w:tblBorders>
          <w:top w:val="dashSmallGap" w:sz="4" w:space="0" w:color="1F4979"/>
          <w:left w:val="dashSmallGap" w:sz="4" w:space="0" w:color="1F4979"/>
          <w:bottom w:val="dashSmallGap" w:sz="4" w:space="0" w:color="1F4979"/>
          <w:right w:val="dashSmallGap" w:sz="4" w:space="0" w:color="1F4979"/>
          <w:insideH w:val="dashSmallGap" w:sz="4" w:space="0" w:color="1F4979"/>
          <w:insideV w:val="dashSmallGap" w:sz="4" w:space="0" w:color="1F4979"/>
        </w:tblBorders>
        <w:tblCellMar>
          <w:left w:w="57" w:type="dxa"/>
          <w:right w:w="57" w:type="dxa"/>
        </w:tblCellMar>
        <w:tblLook w:val="04A0" w:firstRow="1" w:lastRow="0" w:firstColumn="1" w:lastColumn="0" w:noHBand="0" w:noVBand="1"/>
      </w:tblPr>
      <w:tblGrid>
        <w:gridCol w:w="3464"/>
        <w:gridCol w:w="5880"/>
      </w:tblGrid>
      <w:tr w:rsidR="00242D63" w:rsidRPr="00446C16" w14:paraId="2176918D" w14:textId="77777777" w:rsidTr="00DC7CBD">
        <w:tc>
          <w:tcPr>
            <w:tcW w:w="3464" w:type="dxa"/>
          </w:tcPr>
          <w:p w14:paraId="0184F282" w14:textId="396D975F" w:rsidR="00242D63" w:rsidRPr="00446C16" w:rsidRDefault="00DC7CBD" w:rsidP="00B13164">
            <w:pPr>
              <w:spacing w:before="0" w:after="0"/>
              <w:jc w:val="center"/>
              <w:rPr>
                <w:b/>
                <w:bCs/>
              </w:rPr>
            </w:pPr>
            <w:bookmarkStart w:id="12" w:name="_Toc509311925"/>
            <w:bookmarkStart w:id="13" w:name="_Toc510100703"/>
            <w:bookmarkStart w:id="14" w:name="_Toc512608474"/>
            <w:r w:rsidRPr="00446C16">
              <w:rPr>
                <w:b/>
                <w:bCs/>
              </w:rPr>
              <w:t>Saīsinājums</w:t>
            </w:r>
          </w:p>
        </w:tc>
        <w:tc>
          <w:tcPr>
            <w:tcW w:w="5880" w:type="dxa"/>
          </w:tcPr>
          <w:p w14:paraId="6458104F" w14:textId="167C9B90" w:rsidR="00242D63" w:rsidRPr="00446C16" w:rsidRDefault="00DC7CBD" w:rsidP="00B13164">
            <w:pPr>
              <w:spacing w:before="0" w:after="0"/>
              <w:jc w:val="center"/>
              <w:rPr>
                <w:b/>
                <w:bCs/>
              </w:rPr>
            </w:pPr>
            <w:r w:rsidRPr="00446C16">
              <w:rPr>
                <w:b/>
                <w:bCs/>
              </w:rPr>
              <w:t>Skaidrojums</w:t>
            </w:r>
          </w:p>
        </w:tc>
      </w:tr>
      <w:tr w:rsidR="003755CB" w:rsidRPr="00446C16" w14:paraId="2480BD29" w14:textId="77777777" w:rsidTr="00DC7CBD">
        <w:tc>
          <w:tcPr>
            <w:tcW w:w="3464" w:type="dxa"/>
          </w:tcPr>
          <w:p w14:paraId="4D34726B" w14:textId="77777777" w:rsidR="003755CB" w:rsidRPr="00446C16" w:rsidRDefault="003755CB" w:rsidP="00B13164">
            <w:pPr>
              <w:spacing w:before="0" w:after="0"/>
            </w:pPr>
            <w:r w:rsidRPr="00446C16">
              <w:t xml:space="preserve">CAGR  </w:t>
            </w:r>
          </w:p>
        </w:tc>
        <w:tc>
          <w:tcPr>
            <w:tcW w:w="5880" w:type="dxa"/>
          </w:tcPr>
          <w:p w14:paraId="701659D2" w14:textId="77777777" w:rsidR="003755CB" w:rsidRPr="00446C16" w:rsidRDefault="003755CB" w:rsidP="00B13164">
            <w:pPr>
              <w:spacing w:before="0" w:after="0"/>
              <w:jc w:val="both"/>
            </w:pPr>
            <w:r w:rsidRPr="00446C16">
              <w:t>Aprēķināts saliktais vairāku gadu pieaugums</w:t>
            </w:r>
          </w:p>
        </w:tc>
      </w:tr>
      <w:tr w:rsidR="003755CB" w:rsidRPr="00446C16" w14:paraId="135FCCC0" w14:textId="77777777" w:rsidTr="00DC7CBD">
        <w:tc>
          <w:tcPr>
            <w:tcW w:w="3464" w:type="dxa"/>
          </w:tcPr>
          <w:p w14:paraId="79E588B6" w14:textId="77777777" w:rsidR="003755CB" w:rsidRPr="00446C16" w:rsidRDefault="003755CB" w:rsidP="00B13164">
            <w:pPr>
              <w:spacing w:before="0" w:after="0"/>
            </w:pPr>
            <w:r w:rsidRPr="00446C16">
              <w:t xml:space="preserve">CFLA  </w:t>
            </w:r>
          </w:p>
        </w:tc>
        <w:tc>
          <w:tcPr>
            <w:tcW w:w="5880" w:type="dxa"/>
          </w:tcPr>
          <w:p w14:paraId="75BA9E82" w14:textId="77777777" w:rsidR="003755CB" w:rsidRPr="00446C16" w:rsidRDefault="003755CB" w:rsidP="00B13164">
            <w:pPr>
              <w:spacing w:before="0" w:after="0"/>
              <w:jc w:val="both"/>
            </w:pPr>
            <w:r w:rsidRPr="00446C16">
              <w:t>Centrālā finanšu un līgumu aģentūra</w:t>
            </w:r>
          </w:p>
        </w:tc>
      </w:tr>
      <w:tr w:rsidR="003755CB" w:rsidRPr="00446C16" w14:paraId="74D484AC" w14:textId="77777777" w:rsidTr="00DC7CBD">
        <w:tc>
          <w:tcPr>
            <w:tcW w:w="3464" w:type="dxa"/>
          </w:tcPr>
          <w:p w14:paraId="5D3EAE66" w14:textId="77777777" w:rsidR="003755CB" w:rsidRPr="00446C16" w:rsidRDefault="003755CB" w:rsidP="00B13164">
            <w:pPr>
              <w:spacing w:before="0" w:after="0"/>
            </w:pPr>
            <w:r w:rsidRPr="00446C16">
              <w:t xml:space="preserve">CSP  </w:t>
            </w:r>
          </w:p>
        </w:tc>
        <w:tc>
          <w:tcPr>
            <w:tcW w:w="5880" w:type="dxa"/>
          </w:tcPr>
          <w:p w14:paraId="48B5784A" w14:textId="77777777" w:rsidR="003755CB" w:rsidRPr="00446C16" w:rsidRDefault="003755CB" w:rsidP="00B13164">
            <w:pPr>
              <w:spacing w:before="0" w:after="0"/>
              <w:jc w:val="both"/>
            </w:pPr>
            <w:r w:rsidRPr="00446C16">
              <w:t>Centrālā statistikas pārvalde</w:t>
            </w:r>
          </w:p>
        </w:tc>
      </w:tr>
      <w:tr w:rsidR="003755CB" w:rsidRPr="00446C16" w14:paraId="53868443" w14:textId="77777777" w:rsidTr="00DC7CBD">
        <w:tc>
          <w:tcPr>
            <w:tcW w:w="3464" w:type="dxa"/>
          </w:tcPr>
          <w:p w14:paraId="17F2B9DE" w14:textId="77777777" w:rsidR="003755CB" w:rsidRPr="00446C16" w:rsidRDefault="003755CB" w:rsidP="00B13164">
            <w:pPr>
              <w:spacing w:before="0" w:after="0"/>
            </w:pPr>
            <w:r w:rsidRPr="00446C16">
              <w:t xml:space="preserve">Dzīvojamo un nedzīvojamo ēku būvniecības </w:t>
            </w:r>
            <w:proofErr w:type="spellStart"/>
            <w:r w:rsidRPr="00446C16">
              <w:t>apakšnozare</w:t>
            </w:r>
            <w:proofErr w:type="spellEnd"/>
            <w:r w:rsidRPr="00446C16">
              <w:t xml:space="preserve"> </w:t>
            </w:r>
          </w:p>
        </w:tc>
        <w:tc>
          <w:tcPr>
            <w:tcW w:w="5880" w:type="dxa"/>
          </w:tcPr>
          <w:p w14:paraId="55D12508" w14:textId="77777777" w:rsidR="003755CB" w:rsidRPr="00446C16" w:rsidRDefault="003755CB" w:rsidP="00B13164">
            <w:pPr>
              <w:spacing w:before="0" w:after="0"/>
              <w:jc w:val="both"/>
            </w:pPr>
            <w:r w:rsidRPr="00446C16">
              <w:t>Šajā grupā ietilpst pilna cikla dzīvojamo vai nedzīvojamo ēku būvniecība uz sava rēķina, kā arī par atlīdzību vai uz līguma pamata. Daļu būvdarbu vai pat visu būvdarbu apjomu var realizēt apakšuzņēmēji</w:t>
            </w:r>
          </w:p>
        </w:tc>
      </w:tr>
      <w:tr w:rsidR="003755CB" w:rsidRPr="00446C16" w14:paraId="416729F9" w14:textId="77777777" w:rsidTr="00DC7CBD">
        <w:tc>
          <w:tcPr>
            <w:tcW w:w="3464" w:type="dxa"/>
          </w:tcPr>
          <w:p w14:paraId="6A8CEECE" w14:textId="77777777" w:rsidR="003755CB" w:rsidRPr="00446C16" w:rsidRDefault="003755CB" w:rsidP="00B13164">
            <w:pPr>
              <w:spacing w:before="0" w:after="0"/>
            </w:pPr>
            <w:r w:rsidRPr="00446C16">
              <w:t xml:space="preserve">EM </w:t>
            </w:r>
          </w:p>
        </w:tc>
        <w:tc>
          <w:tcPr>
            <w:tcW w:w="5880" w:type="dxa"/>
          </w:tcPr>
          <w:p w14:paraId="3BB24754" w14:textId="77777777" w:rsidR="003755CB" w:rsidRPr="00446C16" w:rsidRDefault="003755CB" w:rsidP="00B13164">
            <w:pPr>
              <w:spacing w:before="0" w:after="0"/>
              <w:jc w:val="both"/>
            </w:pPr>
            <w:r w:rsidRPr="00446C16">
              <w:t>Latvijas Republikas Ekonomikas ministrija</w:t>
            </w:r>
          </w:p>
        </w:tc>
      </w:tr>
      <w:tr w:rsidR="003755CB" w:rsidRPr="00446C16" w14:paraId="7668CD55" w14:textId="77777777" w:rsidTr="00DC7CBD">
        <w:tc>
          <w:tcPr>
            <w:tcW w:w="3464" w:type="dxa"/>
          </w:tcPr>
          <w:p w14:paraId="2DC201BC" w14:textId="77777777" w:rsidR="003755CB" w:rsidRPr="00446C16" w:rsidRDefault="003755CB" w:rsidP="00B13164">
            <w:pPr>
              <w:spacing w:before="0" w:after="0"/>
            </w:pPr>
            <w:r w:rsidRPr="00446C16">
              <w:t xml:space="preserve">ES  </w:t>
            </w:r>
          </w:p>
        </w:tc>
        <w:tc>
          <w:tcPr>
            <w:tcW w:w="5880" w:type="dxa"/>
          </w:tcPr>
          <w:p w14:paraId="06C95FB1" w14:textId="77777777" w:rsidR="003755CB" w:rsidRPr="00446C16" w:rsidRDefault="003755CB" w:rsidP="00B13164">
            <w:pPr>
              <w:spacing w:before="0" w:after="0"/>
              <w:jc w:val="both"/>
            </w:pPr>
            <w:r w:rsidRPr="00446C16">
              <w:t>Eiropas Savienība</w:t>
            </w:r>
          </w:p>
        </w:tc>
      </w:tr>
      <w:tr w:rsidR="003755CB" w:rsidRPr="00446C16" w14:paraId="3E9D802B" w14:textId="77777777" w:rsidTr="00DC7CBD">
        <w:tc>
          <w:tcPr>
            <w:tcW w:w="3464" w:type="dxa"/>
          </w:tcPr>
          <w:p w14:paraId="2D9A3363" w14:textId="77777777" w:rsidR="003755CB" w:rsidRPr="00446C16" w:rsidRDefault="003755CB" w:rsidP="00B13164">
            <w:pPr>
              <w:spacing w:before="0" w:after="0"/>
            </w:pPr>
            <w:proofErr w:type="spellStart"/>
            <w:r w:rsidRPr="00446C16">
              <w:t>Eurostat</w:t>
            </w:r>
            <w:proofErr w:type="spellEnd"/>
            <w:r w:rsidRPr="00446C16">
              <w:t xml:space="preserve">  </w:t>
            </w:r>
          </w:p>
        </w:tc>
        <w:tc>
          <w:tcPr>
            <w:tcW w:w="5880" w:type="dxa"/>
          </w:tcPr>
          <w:p w14:paraId="0FB21A09" w14:textId="77777777" w:rsidR="003755CB" w:rsidRPr="00446C16" w:rsidRDefault="003755CB" w:rsidP="00B13164">
            <w:pPr>
              <w:spacing w:before="0" w:after="0"/>
              <w:jc w:val="both"/>
            </w:pPr>
            <w:r w:rsidRPr="00446C16">
              <w:t>Eiropas Komisijas Statistikas birojs</w:t>
            </w:r>
          </w:p>
        </w:tc>
      </w:tr>
      <w:tr w:rsidR="003755CB" w:rsidRPr="00446C16" w14:paraId="49B9EC2A" w14:textId="77777777" w:rsidTr="00DC7CBD">
        <w:tc>
          <w:tcPr>
            <w:tcW w:w="3464" w:type="dxa"/>
          </w:tcPr>
          <w:p w14:paraId="470C4453" w14:textId="052631D3" w:rsidR="003755CB" w:rsidRPr="00446C16" w:rsidRDefault="003755CB" w:rsidP="003755CB">
            <w:pPr>
              <w:spacing w:before="0" w:after="0"/>
            </w:pPr>
            <w:r w:rsidRPr="00446C16">
              <w:t>FM</w:t>
            </w:r>
          </w:p>
        </w:tc>
        <w:tc>
          <w:tcPr>
            <w:tcW w:w="5880" w:type="dxa"/>
          </w:tcPr>
          <w:p w14:paraId="3CA60FD3" w14:textId="2148F602" w:rsidR="003755CB" w:rsidRPr="00446C16" w:rsidRDefault="003755CB" w:rsidP="003755CB">
            <w:pPr>
              <w:spacing w:before="0" w:after="0"/>
              <w:jc w:val="both"/>
            </w:pPr>
            <w:r w:rsidRPr="00446C16">
              <w:t>Latvijas Republikas Finanšu ministrija</w:t>
            </w:r>
          </w:p>
        </w:tc>
      </w:tr>
      <w:tr w:rsidR="003755CB" w:rsidRPr="00446C16" w14:paraId="445CE12F" w14:textId="77777777" w:rsidTr="00DC7CBD">
        <w:tc>
          <w:tcPr>
            <w:tcW w:w="3464" w:type="dxa"/>
          </w:tcPr>
          <w:p w14:paraId="3B4AD49A" w14:textId="77777777" w:rsidR="003755CB" w:rsidRPr="00446C16" w:rsidRDefault="003755CB" w:rsidP="003755CB">
            <w:pPr>
              <w:spacing w:before="0" w:after="0"/>
            </w:pPr>
            <w:r w:rsidRPr="00446C16">
              <w:t xml:space="preserve">IKP  </w:t>
            </w:r>
          </w:p>
        </w:tc>
        <w:tc>
          <w:tcPr>
            <w:tcW w:w="5880" w:type="dxa"/>
          </w:tcPr>
          <w:p w14:paraId="40CAEFC3" w14:textId="77777777" w:rsidR="003755CB" w:rsidRPr="00446C16" w:rsidRDefault="003755CB" w:rsidP="003755CB">
            <w:pPr>
              <w:spacing w:before="0" w:after="0"/>
              <w:jc w:val="both"/>
            </w:pPr>
            <w:r w:rsidRPr="00446C16">
              <w:t>Iekšzemes kopprodukts</w:t>
            </w:r>
          </w:p>
        </w:tc>
      </w:tr>
      <w:tr w:rsidR="003755CB" w:rsidRPr="00446C16" w14:paraId="6FF4DBD4" w14:textId="77777777" w:rsidTr="00DC7CBD">
        <w:tc>
          <w:tcPr>
            <w:tcW w:w="3464" w:type="dxa"/>
          </w:tcPr>
          <w:p w14:paraId="3A379DA5" w14:textId="77777777" w:rsidR="003755CB" w:rsidRPr="00446C16" w:rsidRDefault="003755CB" w:rsidP="003755CB">
            <w:pPr>
              <w:spacing w:before="0" w:after="0"/>
            </w:pPr>
            <w:r w:rsidRPr="00446C16">
              <w:t>Izpildītājs</w:t>
            </w:r>
          </w:p>
        </w:tc>
        <w:tc>
          <w:tcPr>
            <w:tcW w:w="5880" w:type="dxa"/>
          </w:tcPr>
          <w:p w14:paraId="02A7870E" w14:textId="77777777" w:rsidR="003755CB" w:rsidRPr="00446C16" w:rsidRDefault="003755CB" w:rsidP="003755CB">
            <w:pPr>
              <w:contextualSpacing/>
              <w:jc w:val="both"/>
            </w:pPr>
            <w:r w:rsidRPr="00446C16">
              <w:rPr>
                <w:szCs w:val="32"/>
              </w:rPr>
              <w:t>SIA “Oxford Research Baltics”</w:t>
            </w:r>
          </w:p>
        </w:tc>
      </w:tr>
      <w:tr w:rsidR="003755CB" w:rsidRPr="00446C16" w14:paraId="797E4544" w14:textId="77777777" w:rsidTr="00DC7CBD">
        <w:tc>
          <w:tcPr>
            <w:tcW w:w="3464" w:type="dxa"/>
          </w:tcPr>
          <w:p w14:paraId="1FA2599E" w14:textId="77777777" w:rsidR="003755CB" w:rsidRPr="00446C16" w:rsidRDefault="003755CB" w:rsidP="003755CB">
            <w:pPr>
              <w:spacing w:before="0" w:after="0"/>
            </w:pPr>
            <w:r w:rsidRPr="00446C16">
              <w:t xml:space="preserve">Komplekso būvju ražošanas uzņēmumos būvniecības </w:t>
            </w:r>
            <w:proofErr w:type="spellStart"/>
            <w:r w:rsidRPr="00446C16">
              <w:t>apakšnozare</w:t>
            </w:r>
            <w:proofErr w:type="spellEnd"/>
            <w:r w:rsidRPr="00446C16">
              <w:t xml:space="preserve"> </w:t>
            </w:r>
          </w:p>
        </w:tc>
        <w:tc>
          <w:tcPr>
            <w:tcW w:w="5880" w:type="dxa"/>
          </w:tcPr>
          <w:p w14:paraId="3254C7B5" w14:textId="77777777" w:rsidR="003755CB" w:rsidRPr="00446C16" w:rsidRDefault="003755CB" w:rsidP="003755CB">
            <w:pPr>
              <w:spacing w:before="0" w:after="0"/>
              <w:jc w:val="both"/>
            </w:pPr>
            <w:r w:rsidRPr="00446C16">
              <w:t>Būves, kurām nav ēku pazīmju – ieguves rūpniecības vai iežieguves, spēkstaciju, ķīmiskās rūpniecības uzņēmumu būves</w:t>
            </w:r>
          </w:p>
        </w:tc>
      </w:tr>
      <w:tr w:rsidR="003755CB" w:rsidRPr="00446C16" w14:paraId="22350457" w14:textId="77777777" w:rsidTr="00DC7CBD">
        <w:tc>
          <w:tcPr>
            <w:tcW w:w="3464" w:type="dxa"/>
          </w:tcPr>
          <w:p w14:paraId="7C342BB9" w14:textId="77777777" w:rsidR="003755CB" w:rsidRPr="00446C16" w:rsidRDefault="003755CB" w:rsidP="003755CB">
            <w:pPr>
              <w:spacing w:before="0" w:after="0"/>
            </w:pPr>
            <w:r w:rsidRPr="00446C16">
              <w:t xml:space="preserve">Pasūtītājs </w:t>
            </w:r>
          </w:p>
        </w:tc>
        <w:tc>
          <w:tcPr>
            <w:tcW w:w="5880" w:type="dxa"/>
          </w:tcPr>
          <w:p w14:paraId="787E594E" w14:textId="77777777" w:rsidR="003755CB" w:rsidRPr="00446C16" w:rsidRDefault="003755CB" w:rsidP="003755CB">
            <w:pPr>
              <w:spacing w:before="0" w:after="0"/>
              <w:jc w:val="both"/>
            </w:pPr>
            <w:r w:rsidRPr="00446C16">
              <w:t xml:space="preserve">Latvijas Republikas Ekonomikas ministrija  </w:t>
            </w:r>
          </w:p>
        </w:tc>
      </w:tr>
      <w:tr w:rsidR="003755CB" w:rsidRPr="00446C16" w14:paraId="2FC98DF1" w14:textId="77777777" w:rsidTr="00DC7CBD">
        <w:tc>
          <w:tcPr>
            <w:tcW w:w="3464" w:type="dxa"/>
          </w:tcPr>
          <w:p w14:paraId="66F452F2" w14:textId="77777777" w:rsidR="003755CB" w:rsidRPr="00446C16" w:rsidRDefault="003755CB" w:rsidP="003755CB">
            <w:pPr>
              <w:spacing w:before="0" w:after="0"/>
              <w:jc w:val="both"/>
            </w:pPr>
            <w:r w:rsidRPr="00446C16">
              <w:t xml:space="preserve">Pārējās </w:t>
            </w:r>
            <w:proofErr w:type="spellStart"/>
            <w:r w:rsidRPr="00446C16">
              <w:t>inženierbūvniecības</w:t>
            </w:r>
            <w:proofErr w:type="spellEnd"/>
            <w:r w:rsidRPr="00446C16">
              <w:t xml:space="preserve"> </w:t>
            </w:r>
            <w:proofErr w:type="spellStart"/>
            <w:r w:rsidRPr="00446C16">
              <w:t>apakšnozare</w:t>
            </w:r>
            <w:proofErr w:type="spellEnd"/>
            <w:r w:rsidRPr="00446C16">
              <w:t xml:space="preserve"> </w:t>
            </w:r>
          </w:p>
        </w:tc>
        <w:tc>
          <w:tcPr>
            <w:tcW w:w="5880" w:type="dxa"/>
          </w:tcPr>
          <w:p w14:paraId="461F09D8" w14:textId="77777777" w:rsidR="003755CB" w:rsidRPr="00446C16" w:rsidRDefault="003755CB" w:rsidP="003755CB">
            <w:pPr>
              <w:spacing w:before="0" w:after="0"/>
              <w:jc w:val="both"/>
            </w:pPr>
            <w:r w:rsidRPr="00446C16">
              <w:t>Ūdensceļu, ostu un upju piestātņu, slūžu, aizsprostu un dambju būvniecība; ūdensceļu bagarēšana. Rūpniecības komplekso (pārstrādes rūpnīcas, ķīmiskās rūpnīcas) būvju, izņemot ēkas, būve, brīvdabas sporta laukumu būvniecība. Zemes iedalīšana gabalos ar zemes uzlabošanu</w:t>
            </w:r>
          </w:p>
        </w:tc>
      </w:tr>
      <w:tr w:rsidR="003755CB" w:rsidRPr="00446C16" w14:paraId="074CF329" w14:textId="77777777" w:rsidTr="00DC7CBD">
        <w:tc>
          <w:tcPr>
            <w:tcW w:w="3464" w:type="dxa"/>
          </w:tcPr>
          <w:p w14:paraId="625734A9" w14:textId="77777777" w:rsidR="003755CB" w:rsidRPr="00446C16" w:rsidRDefault="003755CB" w:rsidP="003755CB">
            <w:pPr>
              <w:spacing w:before="0" w:after="0"/>
              <w:jc w:val="both"/>
            </w:pPr>
            <w:r w:rsidRPr="00446C16">
              <w:t xml:space="preserve">Peļņas norma (profit margin) </w:t>
            </w:r>
          </w:p>
        </w:tc>
        <w:tc>
          <w:tcPr>
            <w:tcW w:w="5880" w:type="dxa"/>
          </w:tcPr>
          <w:p w14:paraId="468C16A1" w14:textId="77777777" w:rsidR="003755CB" w:rsidRPr="00446C16" w:rsidRDefault="003755CB" w:rsidP="003755CB">
            <w:pPr>
              <w:spacing w:before="0" w:after="0"/>
              <w:jc w:val="both"/>
            </w:pPr>
            <w:r w:rsidRPr="00446C16">
              <w:t>Peļņas norma (profit margin) šajā pētījumā tiek aplūkota kā peļņas pēc nodokļiem procentuālais īpatsvars no apgrozījuma.</w:t>
            </w:r>
          </w:p>
        </w:tc>
      </w:tr>
      <w:tr w:rsidR="003755CB" w:rsidRPr="00446C16" w14:paraId="565A1740" w14:textId="77777777" w:rsidTr="00DC7CBD">
        <w:tc>
          <w:tcPr>
            <w:tcW w:w="3464" w:type="dxa"/>
          </w:tcPr>
          <w:p w14:paraId="2E19291D" w14:textId="77777777" w:rsidR="003755CB" w:rsidRPr="00446C16" w:rsidRDefault="003755CB" w:rsidP="003755CB">
            <w:pPr>
              <w:spacing w:before="0" w:after="0"/>
            </w:pPr>
            <w:r w:rsidRPr="00446C16">
              <w:t xml:space="preserve">Pētījums </w:t>
            </w:r>
          </w:p>
        </w:tc>
        <w:tc>
          <w:tcPr>
            <w:tcW w:w="5880" w:type="dxa"/>
          </w:tcPr>
          <w:p w14:paraId="164B0060" w14:textId="77777777" w:rsidR="003755CB" w:rsidRPr="00446C16" w:rsidRDefault="003755CB" w:rsidP="003755CB">
            <w:pPr>
              <w:spacing w:before="0" w:after="0"/>
              <w:jc w:val="both"/>
            </w:pPr>
            <w:r w:rsidRPr="00446C16">
              <w:t>Gala nodevums, ziņojums “Pētījums par prognozētām izmaiņām darbaspēka un būvmateriālu izmaksās būvniecības nozarē Latvijā”</w:t>
            </w:r>
          </w:p>
        </w:tc>
      </w:tr>
      <w:tr w:rsidR="003755CB" w:rsidRPr="00446C16" w14:paraId="3327BDCB" w14:textId="77777777" w:rsidTr="00DC7CBD">
        <w:tc>
          <w:tcPr>
            <w:tcW w:w="3464" w:type="dxa"/>
          </w:tcPr>
          <w:p w14:paraId="593ACAD0" w14:textId="77777777" w:rsidR="003755CB" w:rsidRPr="00446C16" w:rsidRDefault="003755CB" w:rsidP="003755CB">
            <w:pPr>
              <w:spacing w:before="0" w:after="0"/>
            </w:pPr>
            <w:r w:rsidRPr="00446C16">
              <w:t xml:space="preserve">Pilsētsaimniecības infrastruktūras objektu būvniecības  </w:t>
            </w:r>
            <w:proofErr w:type="spellStart"/>
            <w:r w:rsidRPr="00446C16">
              <w:t>apakšnozare</w:t>
            </w:r>
            <w:proofErr w:type="spellEnd"/>
            <w:r w:rsidRPr="00446C16">
              <w:t xml:space="preserve"> </w:t>
            </w:r>
          </w:p>
        </w:tc>
        <w:tc>
          <w:tcPr>
            <w:tcW w:w="5880" w:type="dxa"/>
          </w:tcPr>
          <w:p w14:paraId="3F83823A" w14:textId="77777777" w:rsidR="003755CB" w:rsidRPr="00446C16" w:rsidRDefault="003755CB" w:rsidP="003755CB">
            <w:pPr>
              <w:spacing w:before="0" w:after="0"/>
              <w:jc w:val="both"/>
            </w:pPr>
            <w:r w:rsidRPr="00446C16">
              <w:t>Sadales līniju šķidrumu transportēšanai un ar tām saistīto ēku un objektu, kuri ir šo sistēmu sastāvdaļa, būvniecība (maģistrālie un pilsētu cauruļvadi; ūdensvadu un ūdenslīniju būve; apūdeņošanas sistēmas; rezervuāri; notekūdeņu attīrīšanas iekārtas; sūkņu stacijas, ūdens aku urbšana). Elektropārvades un sakaru sadales līniju un ar tām saistīto ēku un objektu (piem. spēkstacijas), kuri ir šo sistēmu sastāvdaļa, būvniecība.</w:t>
            </w:r>
          </w:p>
        </w:tc>
      </w:tr>
      <w:tr w:rsidR="003755CB" w:rsidRPr="00446C16" w14:paraId="668358E3" w14:textId="77777777" w:rsidTr="00DC7CBD">
        <w:tc>
          <w:tcPr>
            <w:tcW w:w="3464" w:type="dxa"/>
          </w:tcPr>
          <w:p w14:paraId="16A8DC9B" w14:textId="77777777" w:rsidR="003755CB" w:rsidRPr="00446C16" w:rsidRDefault="003755CB" w:rsidP="003755CB">
            <w:pPr>
              <w:spacing w:before="0" w:after="0"/>
              <w:jc w:val="both"/>
            </w:pPr>
            <w:r w:rsidRPr="00446C16">
              <w:t xml:space="preserve">Transporta objektu būvniecības </w:t>
            </w:r>
            <w:proofErr w:type="spellStart"/>
            <w:r w:rsidRPr="00446C16">
              <w:t>apakšnozare</w:t>
            </w:r>
            <w:proofErr w:type="spellEnd"/>
            <w:r w:rsidRPr="00446C16">
              <w:t xml:space="preserve"> </w:t>
            </w:r>
          </w:p>
        </w:tc>
        <w:tc>
          <w:tcPr>
            <w:tcW w:w="5880" w:type="dxa"/>
          </w:tcPr>
          <w:p w14:paraId="6723E133" w14:textId="77777777" w:rsidR="003755CB" w:rsidRPr="00446C16" w:rsidRDefault="003755CB" w:rsidP="003755CB">
            <w:pPr>
              <w:spacing w:before="0" w:after="0"/>
              <w:jc w:val="both"/>
            </w:pPr>
            <w:r w:rsidRPr="00446C16">
              <w:t>Automaģistrāļu, ielu, ceļu, citu ceļu būve; lidlauku skrejceļu būvniecība. Dzelzceļu un metro sliežu ceļu būve. Tiltu būve, ieskaitot savienojošus tiltus un estakādes uz virszemes automaģistrālēm; tuneļu būve</w:t>
            </w:r>
          </w:p>
        </w:tc>
      </w:tr>
      <w:tr w:rsidR="00665164" w:rsidRPr="00446C16" w14:paraId="4018F159" w14:textId="77777777" w:rsidTr="00DC7CBD">
        <w:tc>
          <w:tcPr>
            <w:tcW w:w="3464" w:type="dxa"/>
          </w:tcPr>
          <w:p w14:paraId="7A12D3D2" w14:textId="63877780" w:rsidR="00665164" w:rsidRPr="00446C16" w:rsidRDefault="00665164" w:rsidP="003755CB">
            <w:pPr>
              <w:spacing w:before="0" w:after="0"/>
              <w:jc w:val="both"/>
            </w:pPr>
            <w:r w:rsidRPr="00446C16">
              <w:t>UIN</w:t>
            </w:r>
          </w:p>
        </w:tc>
        <w:tc>
          <w:tcPr>
            <w:tcW w:w="5880" w:type="dxa"/>
          </w:tcPr>
          <w:p w14:paraId="3F55227D" w14:textId="59FFEA67" w:rsidR="00665164" w:rsidRPr="00446C16" w:rsidRDefault="00665164" w:rsidP="003755CB">
            <w:pPr>
              <w:spacing w:before="0" w:after="0"/>
              <w:jc w:val="both"/>
            </w:pPr>
            <w:r w:rsidRPr="00446C16">
              <w:t>Uzņēmumu ienākumu nodoklis</w:t>
            </w:r>
          </w:p>
        </w:tc>
      </w:tr>
      <w:tr w:rsidR="00053E59" w:rsidRPr="00446C16" w14:paraId="7C9C18A1" w14:textId="77777777" w:rsidTr="00DC7CBD">
        <w:tc>
          <w:tcPr>
            <w:tcW w:w="3464" w:type="dxa"/>
          </w:tcPr>
          <w:p w14:paraId="5D3077DA" w14:textId="7053B753" w:rsidR="00053E59" w:rsidRPr="00446C16" w:rsidRDefault="00053E59" w:rsidP="003755CB">
            <w:pPr>
              <w:spacing w:before="0" w:after="0"/>
              <w:jc w:val="both"/>
            </w:pPr>
            <w:r w:rsidRPr="00446C16">
              <w:t>VID</w:t>
            </w:r>
          </w:p>
        </w:tc>
        <w:tc>
          <w:tcPr>
            <w:tcW w:w="5880" w:type="dxa"/>
          </w:tcPr>
          <w:p w14:paraId="2772DD2F" w14:textId="4AEACAA1" w:rsidR="00053E59" w:rsidRPr="00446C16" w:rsidRDefault="00053E59" w:rsidP="003755CB">
            <w:pPr>
              <w:spacing w:before="0" w:after="0"/>
              <w:jc w:val="both"/>
            </w:pPr>
            <w:r w:rsidRPr="00446C16">
              <w:t>Valsts ieņēmumu dienests</w:t>
            </w:r>
          </w:p>
        </w:tc>
      </w:tr>
    </w:tbl>
    <w:p w14:paraId="45476260" w14:textId="088108BF" w:rsidR="00671716" w:rsidRPr="00446C16" w:rsidRDefault="00671716" w:rsidP="00B13164">
      <w:pPr>
        <w:pStyle w:val="Default"/>
        <w:sectPr w:rsidR="00671716" w:rsidRPr="00446C16" w:rsidSect="00741888">
          <w:footerReference w:type="default" r:id="rId15"/>
          <w:pgSz w:w="11906" w:h="16838"/>
          <w:pgMar w:top="1418" w:right="1134" w:bottom="1418" w:left="1418" w:header="709" w:footer="709" w:gutter="0"/>
          <w:cols w:space="708"/>
          <w:docGrid w:linePitch="360"/>
        </w:sectPr>
      </w:pPr>
    </w:p>
    <w:p w14:paraId="016FADB4" w14:textId="47A7B2B1" w:rsidR="00AD41D9" w:rsidRPr="00446C16" w:rsidRDefault="00AE4716" w:rsidP="00B13164">
      <w:pPr>
        <w:pStyle w:val="Heading1"/>
        <w:jc w:val="both"/>
      </w:pPr>
      <w:bookmarkStart w:id="15" w:name="_Toc23163497"/>
      <w:bookmarkEnd w:id="12"/>
      <w:bookmarkEnd w:id="13"/>
      <w:bookmarkEnd w:id="14"/>
      <w:r w:rsidRPr="00446C16">
        <w:lastRenderedPageBreak/>
        <w:t>KOPSAVILKUMS</w:t>
      </w:r>
      <w:bookmarkEnd w:id="15"/>
    </w:p>
    <w:p w14:paraId="541632ED" w14:textId="1680086D" w:rsidR="00E8087D" w:rsidRPr="00446C16" w:rsidRDefault="00E8087D" w:rsidP="00D046E8">
      <w:pPr>
        <w:ind w:firstLine="851"/>
        <w:jc w:val="both"/>
        <w:rPr>
          <w:rFonts w:cstheme="minorHAnsi"/>
          <w:szCs w:val="22"/>
        </w:rPr>
      </w:pPr>
      <w:r w:rsidRPr="00446C16">
        <w:rPr>
          <w:rFonts w:cstheme="minorHAnsi"/>
          <w:szCs w:val="22"/>
        </w:rPr>
        <w:t>„</w:t>
      </w:r>
      <w:r w:rsidR="00BB506F" w:rsidRPr="00446C16">
        <w:rPr>
          <w:rFonts w:cstheme="minorHAnsi"/>
          <w:szCs w:val="22"/>
        </w:rPr>
        <w:t>Pētījums par prognozētām izmaiņām darbaspēka un būvmateriālu izmaksās būvniecības nozarē Latvijā</w:t>
      </w:r>
      <w:r w:rsidRPr="00446C16">
        <w:rPr>
          <w:rFonts w:cstheme="minorHAnsi"/>
          <w:szCs w:val="22"/>
        </w:rPr>
        <w:t>” sagatavots atbilstoši 201</w:t>
      </w:r>
      <w:r w:rsidR="00BB506F" w:rsidRPr="00446C16">
        <w:rPr>
          <w:rFonts w:cstheme="minorHAnsi"/>
          <w:szCs w:val="22"/>
        </w:rPr>
        <w:t>9</w:t>
      </w:r>
      <w:r w:rsidRPr="00446C16">
        <w:rPr>
          <w:rFonts w:cstheme="minorHAnsi"/>
          <w:szCs w:val="22"/>
        </w:rPr>
        <w:t xml:space="preserve">. gada </w:t>
      </w:r>
      <w:r w:rsidR="00BB506F" w:rsidRPr="00446C16">
        <w:rPr>
          <w:rFonts w:cstheme="minorHAnsi"/>
          <w:szCs w:val="22"/>
        </w:rPr>
        <w:t>14</w:t>
      </w:r>
      <w:r w:rsidRPr="00446C16">
        <w:rPr>
          <w:rFonts w:cstheme="minorHAnsi"/>
          <w:szCs w:val="22"/>
        </w:rPr>
        <w:t>. maija noslēgtajam līgumam starp Latvijas Republikas</w:t>
      </w:r>
      <w:r w:rsidR="002C0192" w:rsidRPr="00446C16">
        <w:rPr>
          <w:rFonts w:cstheme="minorHAnsi"/>
          <w:szCs w:val="22"/>
        </w:rPr>
        <w:t xml:space="preserve"> </w:t>
      </w:r>
      <w:r w:rsidRPr="00446C16">
        <w:rPr>
          <w:rFonts w:cstheme="minorHAnsi"/>
          <w:szCs w:val="22"/>
        </w:rPr>
        <w:t xml:space="preserve">Ekonomikas Ministriju un </w:t>
      </w:r>
      <w:r w:rsidR="00BB506F" w:rsidRPr="00446C16">
        <w:rPr>
          <w:rFonts w:cstheme="minorHAnsi"/>
          <w:szCs w:val="22"/>
        </w:rPr>
        <w:t>pētniecības uzņēmumu</w:t>
      </w:r>
      <w:r w:rsidRPr="00446C16">
        <w:rPr>
          <w:rFonts w:cstheme="minorHAnsi"/>
          <w:szCs w:val="22"/>
        </w:rPr>
        <w:t xml:space="preserve"> SIA “</w:t>
      </w:r>
      <w:r w:rsidR="00BB506F" w:rsidRPr="00446C16">
        <w:rPr>
          <w:rFonts w:cstheme="minorHAnsi"/>
          <w:szCs w:val="22"/>
        </w:rPr>
        <w:t>Oxford Research Baltics</w:t>
      </w:r>
      <w:r w:rsidRPr="00446C16">
        <w:rPr>
          <w:rFonts w:cstheme="minorHAnsi"/>
          <w:szCs w:val="22"/>
        </w:rPr>
        <w:t>”.</w:t>
      </w:r>
    </w:p>
    <w:p w14:paraId="47DB33F8" w14:textId="1A2A439C" w:rsidR="00EA5D47" w:rsidRPr="00446C16" w:rsidRDefault="00F3031D" w:rsidP="00D046E8">
      <w:pPr>
        <w:ind w:firstLine="851"/>
        <w:jc w:val="both"/>
        <w:rPr>
          <w:rFonts w:cstheme="minorHAnsi"/>
          <w:szCs w:val="22"/>
        </w:rPr>
      </w:pPr>
      <w:r w:rsidRPr="00446C16">
        <w:rPr>
          <w:rFonts w:cstheme="minorHAnsi"/>
          <w:szCs w:val="22"/>
        </w:rPr>
        <w:t>Lai varētu efektīvāk plānot publisko būvniecības iepirkumu potenciālās izmaksas un novērtētu iespējamās cenu izmaiņas tuvākajos gados, saskaņā ar Ministru kabineta 2017.</w:t>
      </w:r>
      <w:r w:rsidR="008259AC" w:rsidRPr="00446C16">
        <w:rPr>
          <w:rFonts w:cstheme="minorHAnsi"/>
          <w:szCs w:val="22"/>
        </w:rPr>
        <w:t xml:space="preserve"> </w:t>
      </w:r>
      <w:r w:rsidRPr="00446C16">
        <w:rPr>
          <w:rFonts w:cstheme="minorHAnsi"/>
          <w:szCs w:val="22"/>
        </w:rPr>
        <w:t>gada 28.</w:t>
      </w:r>
      <w:r w:rsidR="008259AC" w:rsidRPr="00446C16">
        <w:rPr>
          <w:rFonts w:cstheme="minorHAnsi"/>
          <w:szCs w:val="22"/>
        </w:rPr>
        <w:t xml:space="preserve"> </w:t>
      </w:r>
      <w:r w:rsidRPr="00446C16">
        <w:rPr>
          <w:rFonts w:cstheme="minorHAnsi"/>
          <w:szCs w:val="22"/>
        </w:rPr>
        <w:t>augusta sēdes protokola Nr. 41 1.§ 7.punktā doto uzdevumu, veikts pētījums par prognozētām izmaiņām darbaspēka un būvmateriālu izmaksās būvniecības nozarē.</w:t>
      </w:r>
    </w:p>
    <w:p w14:paraId="47C29F24" w14:textId="62708885" w:rsidR="00F3031D" w:rsidRPr="00446C16" w:rsidRDefault="00F3031D" w:rsidP="00D046E8">
      <w:pPr>
        <w:ind w:firstLine="851"/>
        <w:jc w:val="both"/>
        <w:rPr>
          <w:rFonts w:cstheme="minorHAnsi"/>
          <w:szCs w:val="22"/>
        </w:rPr>
      </w:pPr>
      <w:r w:rsidRPr="00446C16">
        <w:rPr>
          <w:rFonts w:cstheme="minorHAnsi"/>
          <w:szCs w:val="22"/>
        </w:rPr>
        <w:t>Pētījums veikts pamatojoties uz 2018.</w:t>
      </w:r>
      <w:r w:rsidR="008259AC" w:rsidRPr="00446C16">
        <w:rPr>
          <w:rFonts w:cstheme="minorHAnsi"/>
          <w:szCs w:val="22"/>
        </w:rPr>
        <w:t xml:space="preserve"> </w:t>
      </w:r>
      <w:r w:rsidRPr="00446C16">
        <w:rPr>
          <w:rFonts w:cstheme="minorHAnsi"/>
          <w:szCs w:val="22"/>
        </w:rPr>
        <w:t>gadā veikto pētījumu par prognozētām izmaiņām darbaspēka un būvmateriālu izmaksās būvniecības nozarē Latvijā un izstrādāto metodoloģiju</w:t>
      </w:r>
      <w:r w:rsidRPr="00446C16">
        <w:rPr>
          <w:rStyle w:val="FootnoteReference"/>
          <w:rFonts w:cstheme="minorHAnsi"/>
          <w:szCs w:val="22"/>
        </w:rPr>
        <w:footnoteReference w:id="1"/>
      </w:r>
      <w:r w:rsidRPr="00446C16">
        <w:rPr>
          <w:rFonts w:cstheme="minorHAnsi"/>
          <w:szCs w:val="22"/>
        </w:rPr>
        <w:t xml:space="preserve"> (turpmāk – Metodoloģija), lai nodrošinātu vienādu pieeju un iegūto rezultātu salīdzināšanu. </w:t>
      </w:r>
    </w:p>
    <w:p w14:paraId="2CCDFD44" w14:textId="41A499D5" w:rsidR="00F3031D" w:rsidRPr="00446C16" w:rsidRDefault="00F3031D" w:rsidP="00D046E8">
      <w:pPr>
        <w:ind w:firstLine="851"/>
        <w:jc w:val="both"/>
        <w:rPr>
          <w:rFonts w:cstheme="minorHAnsi"/>
          <w:szCs w:val="22"/>
        </w:rPr>
      </w:pPr>
      <w:r w:rsidRPr="00446C16">
        <w:rPr>
          <w:rFonts w:cstheme="minorHAnsi"/>
          <w:szCs w:val="22"/>
        </w:rPr>
        <w:t>Pētījums veikts par laika periodu no 2019.</w:t>
      </w:r>
      <w:r w:rsidR="008259AC" w:rsidRPr="00446C16">
        <w:rPr>
          <w:rFonts w:cstheme="minorHAnsi"/>
          <w:szCs w:val="22"/>
        </w:rPr>
        <w:t xml:space="preserve"> </w:t>
      </w:r>
      <w:r w:rsidRPr="00446C16">
        <w:rPr>
          <w:rFonts w:cstheme="minorHAnsi"/>
          <w:szCs w:val="22"/>
        </w:rPr>
        <w:t>gada 1.</w:t>
      </w:r>
      <w:r w:rsidR="008259AC" w:rsidRPr="00446C16">
        <w:rPr>
          <w:rFonts w:cstheme="minorHAnsi"/>
          <w:szCs w:val="22"/>
        </w:rPr>
        <w:t xml:space="preserve"> </w:t>
      </w:r>
      <w:r w:rsidRPr="00446C16">
        <w:rPr>
          <w:rFonts w:cstheme="minorHAnsi"/>
          <w:szCs w:val="22"/>
        </w:rPr>
        <w:t>janvāra līdz 2020.</w:t>
      </w:r>
      <w:r w:rsidR="008259AC" w:rsidRPr="00446C16">
        <w:rPr>
          <w:rFonts w:cstheme="minorHAnsi"/>
          <w:szCs w:val="22"/>
        </w:rPr>
        <w:t xml:space="preserve"> </w:t>
      </w:r>
      <w:r w:rsidRPr="00446C16">
        <w:rPr>
          <w:rFonts w:cstheme="minorHAnsi"/>
          <w:szCs w:val="22"/>
        </w:rPr>
        <w:t>gada 31.</w:t>
      </w:r>
      <w:r w:rsidR="008259AC" w:rsidRPr="00446C16">
        <w:rPr>
          <w:rFonts w:cstheme="minorHAnsi"/>
          <w:szCs w:val="22"/>
        </w:rPr>
        <w:t xml:space="preserve"> </w:t>
      </w:r>
      <w:r w:rsidRPr="00446C16">
        <w:rPr>
          <w:rFonts w:cstheme="minorHAnsi"/>
          <w:szCs w:val="22"/>
        </w:rPr>
        <w:t>decembrim un sniedz tendenču novērtējumu laika periodam no 2021.</w:t>
      </w:r>
      <w:r w:rsidR="008259AC" w:rsidRPr="00446C16">
        <w:rPr>
          <w:rFonts w:cstheme="minorHAnsi"/>
          <w:szCs w:val="22"/>
        </w:rPr>
        <w:t xml:space="preserve"> </w:t>
      </w:r>
      <w:r w:rsidRPr="00446C16">
        <w:rPr>
          <w:rFonts w:cstheme="minorHAnsi"/>
          <w:szCs w:val="22"/>
        </w:rPr>
        <w:t>gada 1.</w:t>
      </w:r>
      <w:r w:rsidR="008259AC" w:rsidRPr="00446C16">
        <w:rPr>
          <w:rFonts w:cstheme="minorHAnsi"/>
          <w:szCs w:val="22"/>
        </w:rPr>
        <w:t xml:space="preserve"> </w:t>
      </w:r>
      <w:r w:rsidRPr="00446C16">
        <w:rPr>
          <w:rFonts w:cstheme="minorHAnsi"/>
          <w:szCs w:val="22"/>
        </w:rPr>
        <w:t>janvāra līdz 2023.</w:t>
      </w:r>
      <w:r w:rsidR="008259AC" w:rsidRPr="00446C16">
        <w:rPr>
          <w:rFonts w:cstheme="minorHAnsi"/>
          <w:szCs w:val="22"/>
        </w:rPr>
        <w:t xml:space="preserve"> </w:t>
      </w:r>
      <w:r w:rsidRPr="00446C16">
        <w:rPr>
          <w:rFonts w:cstheme="minorHAnsi"/>
          <w:szCs w:val="22"/>
        </w:rPr>
        <w:t>gada 31.</w:t>
      </w:r>
      <w:r w:rsidR="008259AC" w:rsidRPr="00446C16">
        <w:rPr>
          <w:rFonts w:cstheme="minorHAnsi"/>
          <w:szCs w:val="22"/>
        </w:rPr>
        <w:t xml:space="preserve"> </w:t>
      </w:r>
      <w:r w:rsidRPr="00446C16">
        <w:rPr>
          <w:rFonts w:cstheme="minorHAnsi"/>
          <w:szCs w:val="22"/>
        </w:rPr>
        <w:t>decembrim.</w:t>
      </w:r>
    </w:p>
    <w:p w14:paraId="5CE00CBE" w14:textId="0DCC7C2E" w:rsidR="00F3031D" w:rsidRPr="00446C16" w:rsidRDefault="00F3031D" w:rsidP="00D046E8">
      <w:pPr>
        <w:ind w:firstLine="851"/>
        <w:jc w:val="both"/>
        <w:rPr>
          <w:rFonts w:cstheme="minorHAnsi"/>
          <w:szCs w:val="22"/>
        </w:rPr>
      </w:pPr>
      <w:r w:rsidRPr="00446C16">
        <w:rPr>
          <w:rFonts w:cstheme="minorHAnsi"/>
          <w:szCs w:val="22"/>
        </w:rPr>
        <w:t>Pētījums sevī ietver detalizētu izvērtējumu un prognozes laika periodam no 2021.</w:t>
      </w:r>
      <w:r w:rsidR="00563DBB" w:rsidRPr="00446C16">
        <w:rPr>
          <w:rFonts w:cstheme="minorHAnsi"/>
          <w:szCs w:val="22"/>
        </w:rPr>
        <w:t xml:space="preserve"> gada</w:t>
      </w:r>
      <w:r w:rsidRPr="00446C16">
        <w:rPr>
          <w:rFonts w:cstheme="minorHAnsi"/>
          <w:szCs w:val="22"/>
        </w:rPr>
        <w:t xml:space="preserve"> līdz 2023.</w:t>
      </w:r>
      <w:r w:rsidR="00563DBB" w:rsidRPr="00446C16">
        <w:rPr>
          <w:rFonts w:cstheme="minorHAnsi"/>
          <w:szCs w:val="22"/>
        </w:rPr>
        <w:t xml:space="preserve"> </w:t>
      </w:r>
      <w:r w:rsidRPr="00446C16">
        <w:rPr>
          <w:rFonts w:cstheme="minorHAnsi"/>
          <w:szCs w:val="22"/>
        </w:rPr>
        <w:t>gadam gan par kopēj</w:t>
      </w:r>
      <w:r w:rsidR="0074218A" w:rsidRPr="00446C16">
        <w:rPr>
          <w:rFonts w:cstheme="minorHAnsi"/>
          <w:szCs w:val="22"/>
        </w:rPr>
        <w:t>ām</w:t>
      </w:r>
      <w:r w:rsidRPr="00446C16">
        <w:rPr>
          <w:rFonts w:cstheme="minorHAnsi"/>
          <w:szCs w:val="22"/>
        </w:rPr>
        <w:t xml:space="preserve"> būvniecības </w:t>
      </w:r>
      <w:r w:rsidR="00B42C20" w:rsidRPr="00446C16">
        <w:rPr>
          <w:rFonts w:cstheme="minorHAnsi"/>
          <w:szCs w:val="22"/>
        </w:rPr>
        <w:t xml:space="preserve">produkcijas </w:t>
      </w:r>
      <w:r w:rsidRPr="00446C16">
        <w:rPr>
          <w:rFonts w:cstheme="minorHAnsi"/>
          <w:szCs w:val="22"/>
        </w:rPr>
        <w:t>apjom</w:t>
      </w:r>
      <w:r w:rsidR="0074218A" w:rsidRPr="00446C16">
        <w:rPr>
          <w:rFonts w:cstheme="minorHAnsi"/>
          <w:szCs w:val="22"/>
        </w:rPr>
        <w:t>a izmaiņām</w:t>
      </w:r>
      <w:r w:rsidRPr="00446C16">
        <w:rPr>
          <w:rFonts w:cstheme="minorHAnsi"/>
          <w:szCs w:val="22"/>
        </w:rPr>
        <w:t xml:space="preserve"> un izmaks</w:t>
      </w:r>
      <w:r w:rsidR="00DE7BCB" w:rsidRPr="00446C16">
        <w:rPr>
          <w:rFonts w:cstheme="minorHAnsi"/>
          <w:szCs w:val="22"/>
        </w:rPr>
        <w:t>u izmaiņām</w:t>
      </w:r>
      <w:r w:rsidRPr="00446C16">
        <w:rPr>
          <w:rFonts w:cstheme="minorHAnsi"/>
          <w:szCs w:val="22"/>
        </w:rPr>
        <w:t xml:space="preserve">, gan par sekojošām būvniecības nozares apakšnozarēm - dzīvojamās ēkas, nedzīvojamās ēkas, </w:t>
      </w:r>
      <w:r w:rsidR="00400A56" w:rsidRPr="00446C16">
        <w:rPr>
          <w:rFonts w:cstheme="minorHAnsi"/>
          <w:szCs w:val="22"/>
        </w:rPr>
        <w:t xml:space="preserve">pārējās </w:t>
      </w:r>
      <w:r w:rsidRPr="00446C16">
        <w:rPr>
          <w:rFonts w:cstheme="minorHAnsi"/>
          <w:szCs w:val="22"/>
        </w:rPr>
        <w:t>inženierbūves, transporta objekti, pazemes maģistrālie cauruļvadi, komplekso būvju rūpnieciskās ražošanas uzņēmumi būvniecībā un citu inženierbūvju būvniecībā.</w:t>
      </w:r>
    </w:p>
    <w:p w14:paraId="30B6A404" w14:textId="2B45F253" w:rsidR="00F3031D" w:rsidRPr="00446C16" w:rsidRDefault="00F3031D" w:rsidP="00D046E8">
      <w:pPr>
        <w:ind w:firstLine="851"/>
        <w:jc w:val="both"/>
        <w:rPr>
          <w:rFonts w:cstheme="minorHAnsi"/>
          <w:szCs w:val="22"/>
        </w:rPr>
      </w:pPr>
      <w:r w:rsidRPr="00446C16">
        <w:rPr>
          <w:rFonts w:cstheme="minorHAnsi"/>
          <w:szCs w:val="22"/>
        </w:rPr>
        <w:t>Pētījuma</w:t>
      </w:r>
      <w:r w:rsidR="00A251EA" w:rsidRPr="00446C16">
        <w:rPr>
          <w:rFonts w:cstheme="minorHAnsi"/>
          <w:szCs w:val="22"/>
        </w:rPr>
        <w:t xml:space="preserve"> izstrādes </w:t>
      </w:r>
      <w:r w:rsidRPr="00446C16">
        <w:rPr>
          <w:rFonts w:cstheme="minorHAnsi"/>
          <w:szCs w:val="22"/>
        </w:rPr>
        <w:t xml:space="preserve">gaitā tika </w:t>
      </w:r>
      <w:r w:rsidR="00A251EA" w:rsidRPr="00446C16">
        <w:rPr>
          <w:rFonts w:cstheme="minorHAnsi"/>
          <w:szCs w:val="22"/>
        </w:rPr>
        <w:t>īstenots</w:t>
      </w:r>
      <w:r w:rsidRPr="00446C16">
        <w:rPr>
          <w:rFonts w:cstheme="minorHAnsi"/>
          <w:szCs w:val="22"/>
        </w:rPr>
        <w:t xml:space="preserve"> darbaspēka un būvmateriālu izmaks</w:t>
      </w:r>
      <w:r w:rsidR="00B42C20" w:rsidRPr="00446C16">
        <w:rPr>
          <w:rFonts w:cstheme="minorHAnsi"/>
          <w:szCs w:val="22"/>
        </w:rPr>
        <w:t>u izmaiņas</w:t>
      </w:r>
      <w:r w:rsidRPr="00446C16">
        <w:rPr>
          <w:rFonts w:cstheme="minorHAnsi"/>
          <w:szCs w:val="22"/>
        </w:rPr>
        <w:t xml:space="preserve"> ietekmējošo faktoru novērtējums un analīze, </w:t>
      </w:r>
      <w:r w:rsidR="00400A56" w:rsidRPr="00446C16">
        <w:rPr>
          <w:rFonts w:cstheme="minorHAnsi"/>
          <w:szCs w:val="22"/>
        </w:rPr>
        <w:t>kā arī</w:t>
      </w:r>
      <w:r w:rsidRPr="00446C16">
        <w:rPr>
          <w:rFonts w:cstheme="minorHAnsi"/>
          <w:szCs w:val="22"/>
        </w:rPr>
        <w:t xml:space="preserve"> ēnu ekonomikas apkarošanas pasākumu</w:t>
      </w:r>
      <w:r w:rsidR="00400A56" w:rsidRPr="00446C16">
        <w:rPr>
          <w:rFonts w:cstheme="minorHAnsi"/>
          <w:szCs w:val="22"/>
        </w:rPr>
        <w:t xml:space="preserve"> potenciālā ietekme.</w:t>
      </w:r>
      <w:r w:rsidRPr="00446C16">
        <w:rPr>
          <w:rFonts w:cstheme="minorHAnsi"/>
          <w:szCs w:val="22"/>
        </w:rPr>
        <w:t xml:space="preserve">  </w:t>
      </w:r>
    </w:p>
    <w:p w14:paraId="0ACDD347" w14:textId="356E3497" w:rsidR="0002521C" w:rsidRPr="00446C16" w:rsidRDefault="00A37A04" w:rsidP="00D046E8">
      <w:pPr>
        <w:ind w:firstLine="851"/>
        <w:jc w:val="both"/>
        <w:rPr>
          <w:rFonts w:cstheme="minorHAnsi"/>
          <w:szCs w:val="22"/>
        </w:rPr>
      </w:pPr>
      <w:r w:rsidRPr="00446C16">
        <w:rPr>
          <w:rFonts w:cstheme="minorHAnsi"/>
          <w:szCs w:val="22"/>
        </w:rPr>
        <w:t xml:space="preserve">Pētījuma izstrādes gaitā </w:t>
      </w:r>
      <w:r w:rsidR="0002521C" w:rsidRPr="00446C16">
        <w:rPr>
          <w:rFonts w:cstheme="minorHAnsi"/>
          <w:szCs w:val="22"/>
        </w:rPr>
        <w:t xml:space="preserve">tika </w:t>
      </w:r>
      <w:r w:rsidR="00F3031D" w:rsidRPr="00446C16">
        <w:rPr>
          <w:rFonts w:cstheme="minorHAnsi"/>
          <w:szCs w:val="22"/>
        </w:rPr>
        <w:t>ņem</w:t>
      </w:r>
      <w:r w:rsidR="0002521C" w:rsidRPr="00446C16">
        <w:rPr>
          <w:rFonts w:cstheme="minorHAnsi"/>
          <w:szCs w:val="22"/>
        </w:rPr>
        <w:t>ta</w:t>
      </w:r>
      <w:r w:rsidR="00F3031D" w:rsidRPr="00446C16">
        <w:rPr>
          <w:rFonts w:cstheme="minorHAnsi"/>
          <w:szCs w:val="22"/>
        </w:rPr>
        <w:t xml:space="preserve"> vērā valdības ieviesto un plānoto</w:t>
      </w:r>
      <w:r w:rsidR="004862A1" w:rsidRPr="00446C16">
        <w:rPr>
          <w:rFonts w:cstheme="minorHAnsi"/>
          <w:szCs w:val="22"/>
        </w:rPr>
        <w:t xml:space="preserve"> ēnu ekonomikas apkarošanas</w:t>
      </w:r>
      <w:r w:rsidR="00F3031D" w:rsidRPr="00446C16">
        <w:rPr>
          <w:rFonts w:cstheme="minorHAnsi"/>
          <w:szCs w:val="22"/>
        </w:rPr>
        <w:t xml:space="preserve"> pasākumu ietekme uz būvniecības nozari. </w:t>
      </w:r>
    </w:p>
    <w:p w14:paraId="19C12701" w14:textId="18C6BB57" w:rsidR="0002521C" w:rsidRPr="00446C16" w:rsidRDefault="00F3031D" w:rsidP="00D046E8">
      <w:pPr>
        <w:ind w:firstLine="851"/>
        <w:jc w:val="both"/>
        <w:rPr>
          <w:rFonts w:cstheme="minorHAnsi"/>
          <w:szCs w:val="22"/>
        </w:rPr>
      </w:pPr>
      <w:r w:rsidRPr="00446C16">
        <w:rPr>
          <w:rFonts w:cstheme="minorHAnsi"/>
          <w:szCs w:val="22"/>
        </w:rPr>
        <w:t>Pētījuma rezultātu sasniegšanai</w:t>
      </w:r>
      <w:r w:rsidR="0002521C" w:rsidRPr="00446C16">
        <w:rPr>
          <w:rFonts w:cstheme="minorHAnsi"/>
          <w:szCs w:val="22"/>
        </w:rPr>
        <w:t xml:space="preserve">, atbilstoši Metodoloģijai, tika </w:t>
      </w:r>
      <w:r w:rsidRPr="00446C16">
        <w:rPr>
          <w:rFonts w:cstheme="minorHAnsi"/>
          <w:szCs w:val="22"/>
        </w:rPr>
        <w:t>izmanto</w:t>
      </w:r>
      <w:r w:rsidR="0002521C" w:rsidRPr="00446C16">
        <w:rPr>
          <w:rFonts w:cstheme="minorHAnsi"/>
          <w:szCs w:val="22"/>
        </w:rPr>
        <w:t>tas gan</w:t>
      </w:r>
      <w:r w:rsidRPr="00446C16">
        <w:rPr>
          <w:rFonts w:cstheme="minorHAnsi"/>
          <w:szCs w:val="22"/>
        </w:rPr>
        <w:t xml:space="preserve"> </w:t>
      </w:r>
      <w:r w:rsidR="0002521C" w:rsidRPr="00446C16">
        <w:rPr>
          <w:rFonts w:cstheme="minorHAnsi"/>
          <w:szCs w:val="22"/>
        </w:rPr>
        <w:t xml:space="preserve">statistiskās </w:t>
      </w:r>
      <w:r w:rsidRPr="00446C16">
        <w:rPr>
          <w:rFonts w:cstheme="minorHAnsi"/>
          <w:szCs w:val="22"/>
        </w:rPr>
        <w:t>metodes</w:t>
      </w:r>
      <w:r w:rsidR="0002521C" w:rsidRPr="00446C16">
        <w:rPr>
          <w:rFonts w:cstheme="minorHAnsi"/>
          <w:szCs w:val="22"/>
        </w:rPr>
        <w:t>, gan</w:t>
      </w:r>
      <w:r w:rsidRPr="00446C16">
        <w:rPr>
          <w:rFonts w:cstheme="minorHAnsi"/>
          <w:szCs w:val="22"/>
        </w:rPr>
        <w:t xml:space="preserve"> ekspertu intervijas, </w:t>
      </w:r>
      <w:r w:rsidR="0002521C" w:rsidRPr="00446C16">
        <w:rPr>
          <w:rFonts w:cstheme="minorHAnsi"/>
          <w:szCs w:val="22"/>
        </w:rPr>
        <w:t xml:space="preserve">gan </w:t>
      </w:r>
      <w:r w:rsidR="00C83ADE" w:rsidRPr="00446C16">
        <w:rPr>
          <w:rFonts w:cstheme="minorHAnsi"/>
          <w:szCs w:val="22"/>
        </w:rPr>
        <w:t xml:space="preserve">pētniecības </w:t>
      </w:r>
      <w:r w:rsidRPr="00446C16">
        <w:rPr>
          <w:rFonts w:cstheme="minorHAnsi"/>
          <w:szCs w:val="22"/>
        </w:rPr>
        <w:t>metožu kombinēšana.</w:t>
      </w:r>
      <w:r w:rsidR="0002521C" w:rsidRPr="00446C16">
        <w:rPr>
          <w:rFonts w:cstheme="minorHAnsi"/>
          <w:szCs w:val="22"/>
        </w:rPr>
        <w:t xml:space="preserve"> Pētījuma datu masīvu veido statistiskie dati. Ekspertu interviju ietvaros tika identificēti būvniecības izmaksu izmaiņas ietekmējošie faktori, to ietekmes līmenis, </w:t>
      </w:r>
      <w:proofErr w:type="spellStart"/>
      <w:r w:rsidR="0002521C" w:rsidRPr="00446C16">
        <w:rPr>
          <w:rFonts w:cstheme="minorHAnsi"/>
          <w:szCs w:val="22"/>
        </w:rPr>
        <w:t>ekspertvērtējumi</w:t>
      </w:r>
      <w:proofErr w:type="spellEnd"/>
      <w:r w:rsidR="0002521C" w:rsidRPr="00446C16">
        <w:rPr>
          <w:rFonts w:cstheme="minorHAnsi"/>
          <w:szCs w:val="22"/>
        </w:rPr>
        <w:t xml:space="preserve"> par cenu izmaiņu tendencēm. Identificētajiem faktoriem tika izgūtas dinamikas rindas ar to līdzšinējo attīstību. </w:t>
      </w:r>
    </w:p>
    <w:p w14:paraId="4EC04F63" w14:textId="56AF312F" w:rsidR="00E8087D" w:rsidRPr="00446C16" w:rsidRDefault="00C83ADE" w:rsidP="00D046E8">
      <w:pPr>
        <w:ind w:firstLine="851"/>
        <w:jc w:val="both"/>
        <w:rPr>
          <w:rFonts w:cstheme="minorHAnsi"/>
          <w:szCs w:val="22"/>
        </w:rPr>
      </w:pPr>
      <w:r w:rsidRPr="00446C16">
        <w:rPr>
          <w:rFonts w:cstheme="minorHAnsi"/>
          <w:szCs w:val="22"/>
        </w:rPr>
        <w:t>K</w:t>
      </w:r>
      <w:r w:rsidR="00E8087D" w:rsidRPr="00446C16">
        <w:rPr>
          <w:rFonts w:cstheme="minorHAnsi"/>
          <w:szCs w:val="22"/>
        </w:rPr>
        <w:t>ā informācijas avoti</w:t>
      </w:r>
      <w:r w:rsidRPr="00446C16">
        <w:rPr>
          <w:rFonts w:cstheme="minorHAnsi"/>
          <w:szCs w:val="22"/>
        </w:rPr>
        <w:t xml:space="preserve"> pētījumā</w:t>
      </w:r>
      <w:r w:rsidR="00E8087D" w:rsidRPr="00446C16">
        <w:rPr>
          <w:rFonts w:cstheme="minorHAnsi"/>
          <w:szCs w:val="22"/>
        </w:rPr>
        <w:t xml:space="preserve"> tika izm</w:t>
      </w:r>
      <w:r w:rsidR="00795258" w:rsidRPr="00446C16">
        <w:rPr>
          <w:rFonts w:cstheme="minorHAnsi"/>
          <w:szCs w:val="22"/>
        </w:rPr>
        <w:t>antoti CSP dati, kā arī</w:t>
      </w:r>
      <w:r w:rsidR="00E8087D" w:rsidRPr="00446C16">
        <w:rPr>
          <w:rFonts w:cstheme="minorHAnsi"/>
          <w:szCs w:val="22"/>
        </w:rPr>
        <w:t xml:space="preserve"> </w:t>
      </w:r>
      <w:r w:rsidRPr="00446C16">
        <w:rPr>
          <w:rFonts w:cstheme="minorHAnsi"/>
          <w:szCs w:val="22"/>
        </w:rPr>
        <w:t xml:space="preserve">tika īstenotas </w:t>
      </w:r>
      <w:r w:rsidR="00E8087D" w:rsidRPr="00446C16">
        <w:rPr>
          <w:rFonts w:cstheme="minorHAnsi"/>
          <w:szCs w:val="22"/>
        </w:rPr>
        <w:t>ekspertu intervijas ar būvniecības nozares pārstāvjiem un būvniecības nozares</w:t>
      </w:r>
      <w:r w:rsidR="002C0192" w:rsidRPr="00446C16">
        <w:rPr>
          <w:rFonts w:cstheme="minorHAnsi"/>
          <w:szCs w:val="22"/>
        </w:rPr>
        <w:t xml:space="preserve"> </w:t>
      </w:r>
      <w:r w:rsidR="00E8087D" w:rsidRPr="00446C16">
        <w:rPr>
          <w:rFonts w:cstheme="minorHAnsi"/>
          <w:szCs w:val="22"/>
        </w:rPr>
        <w:t xml:space="preserve">apakšnozaru ekspertiem. </w:t>
      </w:r>
      <w:r w:rsidRPr="00446C16">
        <w:rPr>
          <w:rFonts w:cstheme="minorHAnsi"/>
          <w:szCs w:val="22"/>
        </w:rPr>
        <w:t>Pētījumā tika iekļautas arī makroekonomikas ekspertu prognozes v</w:t>
      </w:r>
      <w:r w:rsidR="00E8087D" w:rsidRPr="00446C16">
        <w:rPr>
          <w:rFonts w:cstheme="minorHAnsi"/>
          <w:szCs w:val="22"/>
        </w:rPr>
        <w:t>ispārējo faktoru ietekmes novērtēšanai. Katrā ekspertu grupā tika piesaistīti ne mazāk kā četri</w:t>
      </w:r>
      <w:r w:rsidR="002C0192" w:rsidRPr="00446C16">
        <w:rPr>
          <w:rFonts w:cstheme="minorHAnsi"/>
          <w:szCs w:val="22"/>
        </w:rPr>
        <w:t xml:space="preserve"> </w:t>
      </w:r>
      <w:r w:rsidR="00E8087D" w:rsidRPr="00446C16">
        <w:rPr>
          <w:rFonts w:cstheme="minorHAnsi"/>
          <w:szCs w:val="22"/>
        </w:rPr>
        <w:t xml:space="preserve">eksperti. Ekspertu grupas komplektēšana un izvēle notika </w:t>
      </w:r>
      <w:r w:rsidR="006249AC" w:rsidRPr="00446C16">
        <w:rPr>
          <w:rFonts w:cstheme="minorHAnsi"/>
          <w:szCs w:val="22"/>
        </w:rPr>
        <w:t xml:space="preserve">vairākās </w:t>
      </w:r>
      <w:r w:rsidR="00E8087D" w:rsidRPr="00446C16">
        <w:rPr>
          <w:rFonts w:cstheme="minorHAnsi"/>
          <w:szCs w:val="22"/>
        </w:rPr>
        <w:t>pakāpēs, uzņēmumus identificējot pēc</w:t>
      </w:r>
      <w:r w:rsidR="002C0192" w:rsidRPr="00446C16">
        <w:rPr>
          <w:rFonts w:cstheme="minorHAnsi"/>
          <w:szCs w:val="22"/>
        </w:rPr>
        <w:t xml:space="preserve"> </w:t>
      </w:r>
      <w:r w:rsidR="00E8087D" w:rsidRPr="00446C16">
        <w:rPr>
          <w:rFonts w:cstheme="minorHAnsi"/>
          <w:szCs w:val="22"/>
        </w:rPr>
        <w:t>galvenā</w:t>
      </w:r>
      <w:r w:rsidR="006249AC" w:rsidRPr="00446C16">
        <w:rPr>
          <w:rFonts w:cstheme="minorHAnsi"/>
          <w:szCs w:val="22"/>
        </w:rPr>
        <w:t>s</w:t>
      </w:r>
      <w:r w:rsidR="00E8087D" w:rsidRPr="00446C16">
        <w:rPr>
          <w:rFonts w:cstheme="minorHAnsi"/>
          <w:szCs w:val="22"/>
        </w:rPr>
        <w:t xml:space="preserve"> darbības </w:t>
      </w:r>
      <w:r w:rsidR="006249AC" w:rsidRPr="00446C16">
        <w:rPr>
          <w:rFonts w:cstheme="minorHAnsi"/>
          <w:szCs w:val="22"/>
        </w:rPr>
        <w:t xml:space="preserve">jomas būvniecības nozarē, darbības </w:t>
      </w:r>
      <w:r w:rsidR="00E8087D" w:rsidRPr="00446C16">
        <w:rPr>
          <w:rFonts w:cstheme="minorHAnsi"/>
          <w:szCs w:val="22"/>
        </w:rPr>
        <w:t>reģiona</w:t>
      </w:r>
      <w:r w:rsidR="006249AC" w:rsidRPr="00446C16">
        <w:rPr>
          <w:rFonts w:cstheme="minorHAnsi"/>
          <w:szCs w:val="22"/>
        </w:rPr>
        <w:t>, apgrozījuma ranga, un</w:t>
      </w:r>
      <w:r w:rsidR="00E8087D" w:rsidRPr="00446C16">
        <w:rPr>
          <w:rFonts w:cstheme="minorHAnsi"/>
          <w:szCs w:val="22"/>
        </w:rPr>
        <w:t xml:space="preserve"> kompetences līmeņa</w:t>
      </w:r>
      <w:r w:rsidR="006249AC" w:rsidRPr="00446C16">
        <w:rPr>
          <w:rFonts w:cstheme="minorHAnsi"/>
          <w:szCs w:val="22"/>
        </w:rPr>
        <w:t>.</w:t>
      </w:r>
      <w:r w:rsidR="00E8087D" w:rsidRPr="00446C16">
        <w:rPr>
          <w:rFonts w:cstheme="minorHAnsi"/>
          <w:szCs w:val="22"/>
        </w:rPr>
        <w:t xml:space="preserve"> </w:t>
      </w:r>
    </w:p>
    <w:p w14:paraId="63709CAB" w14:textId="026D1604" w:rsidR="00E8087D" w:rsidRPr="00446C16" w:rsidRDefault="00B704D6" w:rsidP="00D046E8">
      <w:pPr>
        <w:ind w:firstLine="851"/>
        <w:jc w:val="both"/>
        <w:rPr>
          <w:rFonts w:cstheme="minorHAnsi"/>
          <w:szCs w:val="22"/>
        </w:rPr>
      </w:pPr>
      <w:r w:rsidRPr="00446C16">
        <w:rPr>
          <w:rFonts w:cstheme="minorHAnsi"/>
          <w:szCs w:val="22"/>
        </w:rPr>
        <w:t xml:space="preserve">Pētījuma gaitā </w:t>
      </w:r>
      <w:r w:rsidR="00E8087D" w:rsidRPr="00446C16">
        <w:rPr>
          <w:rFonts w:cstheme="minorHAnsi"/>
          <w:szCs w:val="22"/>
        </w:rPr>
        <w:t>iegūto statistisko datu un ekspertvērtējumu analīzei tika izmantotas dažādas</w:t>
      </w:r>
      <w:r w:rsidR="00BB506F" w:rsidRPr="00446C16">
        <w:rPr>
          <w:rFonts w:cstheme="minorHAnsi"/>
          <w:szCs w:val="22"/>
        </w:rPr>
        <w:t xml:space="preserve"> </w:t>
      </w:r>
      <w:r w:rsidR="00E8087D" w:rsidRPr="00446C16">
        <w:rPr>
          <w:rFonts w:cstheme="minorHAnsi"/>
          <w:szCs w:val="22"/>
        </w:rPr>
        <w:t>analīzes metodes, atbilstoši pētāmajam uzdevumam, datu attīstības tendencēm un ekspertvērtējumu</w:t>
      </w:r>
      <w:r w:rsidR="00BB506F" w:rsidRPr="00446C16">
        <w:rPr>
          <w:rFonts w:cstheme="minorHAnsi"/>
          <w:szCs w:val="22"/>
        </w:rPr>
        <w:t xml:space="preserve"> </w:t>
      </w:r>
      <w:r w:rsidR="00E8087D" w:rsidRPr="00446C16">
        <w:rPr>
          <w:rFonts w:cstheme="minorHAnsi"/>
          <w:szCs w:val="22"/>
        </w:rPr>
        <w:t>skalai. Izmaksu izmaiņu tālākās attīstības noteikšanai tika izmantoti dažāda veida modeļi, kas raksturo</w:t>
      </w:r>
      <w:r w:rsidR="00BB506F" w:rsidRPr="00446C16">
        <w:rPr>
          <w:rFonts w:cstheme="minorHAnsi"/>
          <w:szCs w:val="22"/>
        </w:rPr>
        <w:t xml:space="preserve"> </w:t>
      </w:r>
      <w:r w:rsidR="00E8087D" w:rsidRPr="00446C16">
        <w:rPr>
          <w:rFonts w:cstheme="minorHAnsi"/>
          <w:szCs w:val="22"/>
        </w:rPr>
        <w:t xml:space="preserve">dinamikas rindu </w:t>
      </w:r>
      <w:proofErr w:type="spellStart"/>
      <w:r w:rsidR="00E8087D" w:rsidRPr="00446C16">
        <w:rPr>
          <w:rFonts w:cstheme="minorHAnsi"/>
          <w:szCs w:val="22"/>
        </w:rPr>
        <w:t>pamattendenču</w:t>
      </w:r>
      <w:proofErr w:type="spellEnd"/>
      <w:r w:rsidR="00E8087D" w:rsidRPr="00446C16">
        <w:rPr>
          <w:rFonts w:cstheme="minorHAnsi"/>
          <w:szCs w:val="22"/>
        </w:rPr>
        <w:t xml:space="preserve"> tālāku attīstību laikā, balstoties uz iepriekšējo tendenču</w:t>
      </w:r>
      <w:r w:rsidR="00BB506F" w:rsidRPr="00446C16">
        <w:rPr>
          <w:rFonts w:cstheme="minorHAnsi"/>
          <w:szCs w:val="22"/>
        </w:rPr>
        <w:t xml:space="preserve"> </w:t>
      </w:r>
      <w:r w:rsidR="00E8087D" w:rsidRPr="00446C16">
        <w:rPr>
          <w:rFonts w:cstheme="minorHAnsi"/>
          <w:szCs w:val="22"/>
        </w:rPr>
        <w:t>ekstrapolāciju. Iegūtajiem modeļiem tika veikta kvalitātes novērtēšana ar dispersijas rādītājiem.</w:t>
      </w:r>
    </w:p>
    <w:p w14:paraId="2CFBC854" w14:textId="5A66B667" w:rsidR="00E8087D" w:rsidRPr="00446C16" w:rsidRDefault="008C13B5" w:rsidP="00D046E8">
      <w:pPr>
        <w:ind w:firstLine="851"/>
        <w:jc w:val="both"/>
        <w:rPr>
          <w:rFonts w:cstheme="minorHAnsi"/>
          <w:szCs w:val="22"/>
        </w:rPr>
      </w:pPr>
      <w:r w:rsidRPr="00446C16">
        <w:rPr>
          <w:rFonts w:cstheme="minorHAnsi"/>
          <w:szCs w:val="22"/>
        </w:rPr>
        <w:t>Intervijās iegūto e</w:t>
      </w:r>
      <w:r w:rsidR="00E8087D" w:rsidRPr="00446C16">
        <w:rPr>
          <w:rFonts w:cstheme="minorHAnsi"/>
          <w:szCs w:val="22"/>
        </w:rPr>
        <w:t>kspertvērtējumu apstrādē, atkarībā no izmantotās jautājumu formas un skalas, tika izmantota</w:t>
      </w:r>
      <w:r w:rsidR="00BB506F" w:rsidRPr="00446C16">
        <w:rPr>
          <w:rFonts w:cstheme="minorHAnsi"/>
          <w:szCs w:val="22"/>
        </w:rPr>
        <w:t xml:space="preserve"> </w:t>
      </w:r>
      <w:r w:rsidR="00E8087D" w:rsidRPr="00446C16">
        <w:rPr>
          <w:rFonts w:cstheme="minorHAnsi"/>
          <w:szCs w:val="22"/>
        </w:rPr>
        <w:t>summāro vidējo, struktūras vidējo un izkliedes rādītāju aprēķini. Papildus atsevišķai statistiskās</w:t>
      </w:r>
      <w:r w:rsidR="00BB506F" w:rsidRPr="00446C16">
        <w:rPr>
          <w:rFonts w:cstheme="minorHAnsi"/>
          <w:szCs w:val="22"/>
        </w:rPr>
        <w:t xml:space="preserve"> </w:t>
      </w:r>
      <w:r w:rsidR="00E8087D" w:rsidRPr="00446C16">
        <w:rPr>
          <w:rFonts w:cstheme="minorHAnsi"/>
          <w:szCs w:val="22"/>
        </w:rPr>
        <w:t xml:space="preserve">informācijas un ekspertvērtējumu analīzei, kā gala prognozes instruments tika izmantotas </w:t>
      </w:r>
      <w:r w:rsidR="00E8087D" w:rsidRPr="00446C16">
        <w:rPr>
          <w:rFonts w:cstheme="minorHAnsi"/>
          <w:szCs w:val="22"/>
        </w:rPr>
        <w:lastRenderedPageBreak/>
        <w:t>kombinētās</w:t>
      </w:r>
      <w:r w:rsidR="00BB506F" w:rsidRPr="00446C16">
        <w:rPr>
          <w:rFonts w:cstheme="minorHAnsi"/>
          <w:szCs w:val="22"/>
        </w:rPr>
        <w:t xml:space="preserve"> </w:t>
      </w:r>
      <w:r w:rsidR="00E8087D" w:rsidRPr="00446C16">
        <w:rPr>
          <w:rFonts w:cstheme="minorHAnsi"/>
          <w:szCs w:val="22"/>
        </w:rPr>
        <w:t>prognozes, kas apvienoja dažād</w:t>
      </w:r>
      <w:r w:rsidR="005A7044" w:rsidRPr="00446C16">
        <w:rPr>
          <w:rFonts w:cstheme="minorHAnsi"/>
          <w:szCs w:val="22"/>
        </w:rPr>
        <w:t>u</w:t>
      </w:r>
      <w:r w:rsidR="00E8087D" w:rsidRPr="00446C16">
        <w:rPr>
          <w:rFonts w:cstheme="minorHAnsi"/>
          <w:szCs w:val="22"/>
        </w:rPr>
        <w:t xml:space="preserve">s pētījumā </w:t>
      </w:r>
      <w:r w:rsidRPr="00446C16">
        <w:rPr>
          <w:rFonts w:cstheme="minorHAnsi"/>
          <w:szCs w:val="22"/>
        </w:rPr>
        <w:t>izmantotos prognozēšanas veidus, kas</w:t>
      </w:r>
      <w:r w:rsidR="00E8087D" w:rsidRPr="00446C16">
        <w:rPr>
          <w:rFonts w:cstheme="minorHAnsi"/>
          <w:szCs w:val="22"/>
        </w:rPr>
        <w:t xml:space="preserve"> tika darīts ar mērķi</w:t>
      </w:r>
      <w:r w:rsidR="00BB506F" w:rsidRPr="00446C16">
        <w:rPr>
          <w:rFonts w:cstheme="minorHAnsi"/>
          <w:szCs w:val="22"/>
        </w:rPr>
        <w:t xml:space="preserve"> </w:t>
      </w:r>
      <w:r w:rsidR="00E8087D" w:rsidRPr="00446C16">
        <w:rPr>
          <w:rFonts w:cstheme="minorHAnsi"/>
          <w:szCs w:val="22"/>
        </w:rPr>
        <w:t xml:space="preserve">kompensēt kļūdas un uzlabot gala prognozes </w:t>
      </w:r>
      <w:r w:rsidRPr="00446C16">
        <w:rPr>
          <w:rFonts w:cstheme="minorHAnsi"/>
          <w:szCs w:val="22"/>
        </w:rPr>
        <w:t xml:space="preserve">un datu </w:t>
      </w:r>
      <w:r w:rsidR="00E8087D" w:rsidRPr="00446C16">
        <w:rPr>
          <w:rFonts w:cstheme="minorHAnsi"/>
          <w:szCs w:val="22"/>
        </w:rPr>
        <w:t xml:space="preserve">ticamību. </w:t>
      </w:r>
    </w:p>
    <w:p w14:paraId="1993FC51" w14:textId="17B086A4" w:rsidR="00630795" w:rsidRPr="00446C16" w:rsidRDefault="00630795" w:rsidP="00D046E8">
      <w:pPr>
        <w:ind w:firstLine="851"/>
        <w:jc w:val="both"/>
        <w:rPr>
          <w:rFonts w:cstheme="minorHAnsi"/>
          <w:szCs w:val="22"/>
        </w:rPr>
      </w:pPr>
      <w:r w:rsidRPr="00446C16">
        <w:rPr>
          <w:rFonts w:cstheme="minorHAnsi"/>
          <w:szCs w:val="22"/>
        </w:rPr>
        <w:t>Galvenie secinājumi:</w:t>
      </w:r>
    </w:p>
    <w:p w14:paraId="590C87D6" w14:textId="1C6CF58D" w:rsidR="008D3981" w:rsidRPr="00446C16" w:rsidRDefault="008D3981" w:rsidP="008D3981">
      <w:pPr>
        <w:jc w:val="both"/>
        <w:rPr>
          <w:rFonts w:cstheme="minorHAnsi"/>
          <w:szCs w:val="22"/>
        </w:rPr>
      </w:pPr>
      <w:r w:rsidRPr="00446C16">
        <w:rPr>
          <w:rFonts w:cstheme="minorHAnsi"/>
          <w:szCs w:val="22"/>
        </w:rPr>
        <w:t>1. Prognozes paredz, ka 2019. un 2020</w:t>
      </w:r>
      <w:r w:rsidR="00100D75" w:rsidRPr="00446C16">
        <w:rPr>
          <w:rFonts w:cstheme="minorHAnsi"/>
          <w:szCs w:val="22"/>
        </w:rPr>
        <w:t>. gad</w:t>
      </w:r>
      <w:r w:rsidR="007532AF" w:rsidRPr="00446C16">
        <w:rPr>
          <w:rFonts w:cstheme="minorHAnsi"/>
          <w:szCs w:val="22"/>
        </w:rPr>
        <w:t>ā</w:t>
      </w:r>
      <w:r w:rsidRPr="00446C16">
        <w:rPr>
          <w:rFonts w:cstheme="minorHAnsi"/>
          <w:szCs w:val="22"/>
        </w:rPr>
        <w:t xml:space="preserve"> </w:t>
      </w:r>
      <w:r w:rsidR="007532AF" w:rsidRPr="00446C16">
        <w:rPr>
          <w:rFonts w:cstheme="minorHAnsi"/>
          <w:szCs w:val="22"/>
        </w:rPr>
        <w:t xml:space="preserve">kopējais </w:t>
      </w:r>
      <w:r w:rsidRPr="00446C16">
        <w:rPr>
          <w:rFonts w:cstheme="minorHAnsi"/>
          <w:szCs w:val="22"/>
        </w:rPr>
        <w:t>būvniecības produkcijas apjoms pieaugs virs 10% pret iepriekšējo gadu, bet pēc 2021</w:t>
      </w:r>
      <w:r w:rsidR="00100D75" w:rsidRPr="00446C16">
        <w:rPr>
          <w:rFonts w:cstheme="minorHAnsi"/>
          <w:szCs w:val="22"/>
        </w:rPr>
        <w:t>. gad</w:t>
      </w:r>
      <w:r w:rsidRPr="00446C16">
        <w:rPr>
          <w:rFonts w:cstheme="minorHAnsi"/>
          <w:szCs w:val="22"/>
        </w:rPr>
        <w:t>a paredzams pieauguma samazinājums un apjomu kritums.</w:t>
      </w:r>
    </w:p>
    <w:p w14:paraId="50C40737" w14:textId="0C9B8012" w:rsidR="008D3981" w:rsidRPr="00446C16" w:rsidRDefault="008D3981" w:rsidP="008D3981">
      <w:pPr>
        <w:jc w:val="both"/>
        <w:rPr>
          <w:rFonts w:cstheme="minorHAnsi"/>
          <w:szCs w:val="22"/>
        </w:rPr>
      </w:pPr>
      <w:r w:rsidRPr="00446C16">
        <w:rPr>
          <w:rFonts w:cstheme="minorHAnsi"/>
          <w:szCs w:val="22"/>
        </w:rPr>
        <w:t>2. Būvniecības produkcijas kopējā apjoma pieaugums tiešā veidā ietekmēs izmaks</w:t>
      </w:r>
      <w:r w:rsidR="00B42C20" w:rsidRPr="00446C16">
        <w:rPr>
          <w:rFonts w:cstheme="minorHAnsi"/>
          <w:szCs w:val="22"/>
        </w:rPr>
        <w:t>u izmaiņas</w:t>
      </w:r>
      <w:r w:rsidRPr="00446C16">
        <w:rPr>
          <w:rFonts w:cstheme="minorHAnsi"/>
          <w:szCs w:val="22"/>
        </w:rPr>
        <w:t>, kas 2019. un 2020</w:t>
      </w:r>
      <w:r w:rsidR="00100D75" w:rsidRPr="00446C16">
        <w:rPr>
          <w:rFonts w:cstheme="minorHAnsi"/>
          <w:szCs w:val="22"/>
        </w:rPr>
        <w:t>. gad</w:t>
      </w:r>
      <w:r w:rsidRPr="00446C16">
        <w:rPr>
          <w:rFonts w:cstheme="minorHAnsi"/>
          <w:szCs w:val="22"/>
        </w:rPr>
        <w:t>ā pieaugs par aptuveni 5% pret iepriekšējo gadu, bet 2022</w:t>
      </w:r>
      <w:r w:rsidR="00100D75" w:rsidRPr="00446C16">
        <w:rPr>
          <w:rFonts w:cstheme="minorHAnsi"/>
          <w:szCs w:val="22"/>
        </w:rPr>
        <w:t>. gad</w:t>
      </w:r>
      <w:r w:rsidRPr="00446C16">
        <w:rPr>
          <w:rFonts w:cstheme="minorHAnsi"/>
          <w:szCs w:val="22"/>
        </w:rPr>
        <w:t>ā varētu pat samazināties.</w:t>
      </w:r>
    </w:p>
    <w:p w14:paraId="0B55A718" w14:textId="3B7D4DA5" w:rsidR="008D3981" w:rsidRPr="00446C16" w:rsidRDefault="008D3981" w:rsidP="008D3981">
      <w:pPr>
        <w:jc w:val="both"/>
        <w:rPr>
          <w:rFonts w:cstheme="minorHAnsi"/>
          <w:szCs w:val="22"/>
        </w:rPr>
      </w:pPr>
      <w:r w:rsidRPr="00446C16">
        <w:rPr>
          <w:rFonts w:cstheme="minorHAnsi"/>
          <w:szCs w:val="22"/>
        </w:rPr>
        <w:t>3. Prognozes paredz, ka no resursu veidiem visvairāk pieaugs strādnieku darba samaksa, kas 2023</w:t>
      </w:r>
      <w:r w:rsidR="00100D75" w:rsidRPr="00446C16">
        <w:rPr>
          <w:rFonts w:cstheme="minorHAnsi"/>
          <w:szCs w:val="22"/>
        </w:rPr>
        <w:t>. gad</w:t>
      </w:r>
      <w:r w:rsidRPr="00446C16">
        <w:rPr>
          <w:rFonts w:cstheme="minorHAnsi"/>
          <w:szCs w:val="22"/>
        </w:rPr>
        <w:t>ā var sasniegt 20% kumulatīvo pieaugumu pret 2018</w:t>
      </w:r>
      <w:r w:rsidR="00100D75" w:rsidRPr="00446C16">
        <w:rPr>
          <w:rFonts w:cstheme="minorHAnsi"/>
          <w:szCs w:val="22"/>
        </w:rPr>
        <w:t>. gad</w:t>
      </w:r>
      <w:r w:rsidRPr="00446C16">
        <w:rPr>
          <w:rFonts w:cstheme="minorHAnsi"/>
          <w:szCs w:val="22"/>
        </w:rPr>
        <w:t>a līmeni, bet arhitektūras un inženiertehniskie pakalpojumu un tehniskās pārbaudes un analīzes izmaks</w:t>
      </w:r>
      <w:r w:rsidR="00B42C20" w:rsidRPr="00446C16">
        <w:rPr>
          <w:rFonts w:cstheme="minorHAnsi"/>
          <w:szCs w:val="22"/>
        </w:rPr>
        <w:t>u izmaiņas</w:t>
      </w:r>
      <w:r w:rsidRPr="00446C16">
        <w:rPr>
          <w:rFonts w:cstheme="minorHAnsi"/>
          <w:szCs w:val="22"/>
        </w:rPr>
        <w:t>: 15% pieaugumu. Būvmateriālu un mašīnu un mehānismu uzturēšanas un ekspluatācijas izmaks</w:t>
      </w:r>
      <w:r w:rsidR="0077315B" w:rsidRPr="00446C16">
        <w:rPr>
          <w:rFonts w:cstheme="minorHAnsi"/>
          <w:szCs w:val="22"/>
        </w:rPr>
        <w:t>u izmaiņas</w:t>
      </w:r>
      <w:r w:rsidRPr="00446C16">
        <w:rPr>
          <w:rFonts w:cstheme="minorHAnsi"/>
          <w:szCs w:val="22"/>
        </w:rPr>
        <w:t xml:space="preserve"> 2020</w:t>
      </w:r>
      <w:r w:rsidR="00100D75" w:rsidRPr="00446C16">
        <w:rPr>
          <w:rFonts w:cstheme="minorHAnsi"/>
          <w:szCs w:val="22"/>
        </w:rPr>
        <w:t>. gad</w:t>
      </w:r>
      <w:r w:rsidRPr="00446C16">
        <w:rPr>
          <w:rFonts w:cstheme="minorHAnsi"/>
          <w:szCs w:val="22"/>
        </w:rPr>
        <w:t>ā sasniegs 6-7% kumulatīvo pieaugumu pret 2018</w:t>
      </w:r>
      <w:r w:rsidR="00100D75" w:rsidRPr="00446C16">
        <w:rPr>
          <w:rFonts w:cstheme="minorHAnsi"/>
          <w:szCs w:val="22"/>
        </w:rPr>
        <w:t>. gad</w:t>
      </w:r>
      <w:r w:rsidRPr="00446C16">
        <w:rPr>
          <w:rFonts w:cstheme="minorHAnsi"/>
          <w:szCs w:val="22"/>
        </w:rPr>
        <w:t>a līmeni un saglabāsies gandrīz nemainīgas.</w:t>
      </w:r>
    </w:p>
    <w:p w14:paraId="6FF7FC96" w14:textId="3479365E" w:rsidR="008D3981" w:rsidRPr="00446C16" w:rsidRDefault="008D3981" w:rsidP="008D3981">
      <w:pPr>
        <w:jc w:val="both"/>
        <w:rPr>
          <w:rFonts w:cstheme="minorHAnsi"/>
          <w:szCs w:val="22"/>
        </w:rPr>
      </w:pPr>
      <w:r w:rsidRPr="00446C16">
        <w:rPr>
          <w:rFonts w:cstheme="minorHAnsi"/>
          <w:szCs w:val="22"/>
        </w:rPr>
        <w:t xml:space="preserve">4. Apakšnozares, kurās prognozes paredz vislielāko izmaksu </w:t>
      </w:r>
      <w:r w:rsidR="0077315B" w:rsidRPr="00446C16">
        <w:rPr>
          <w:rFonts w:cstheme="minorHAnsi"/>
          <w:szCs w:val="22"/>
        </w:rPr>
        <w:t xml:space="preserve">izmaiņu </w:t>
      </w:r>
      <w:r w:rsidRPr="00446C16">
        <w:rPr>
          <w:rFonts w:cstheme="minorHAnsi"/>
          <w:szCs w:val="22"/>
        </w:rPr>
        <w:t>pieaugumu ir ēkas un kompleksās būves, kurās straujāku pieaugumu 2019. un 2020</w:t>
      </w:r>
      <w:r w:rsidR="00100D75" w:rsidRPr="00446C16">
        <w:rPr>
          <w:rFonts w:cstheme="minorHAnsi"/>
          <w:szCs w:val="22"/>
        </w:rPr>
        <w:t>. gad</w:t>
      </w:r>
      <w:r w:rsidRPr="00446C16">
        <w:rPr>
          <w:rFonts w:cstheme="minorHAnsi"/>
          <w:szCs w:val="22"/>
        </w:rPr>
        <w:t>ā nomaina lēnāks pieaugums. Otrā grupā ir transporta objekti,</w:t>
      </w:r>
      <w:r w:rsidR="0077315B" w:rsidRPr="00446C16">
        <w:rPr>
          <w:rFonts w:cstheme="minorHAnsi"/>
          <w:szCs w:val="22"/>
        </w:rPr>
        <w:t xml:space="preserve"> </w:t>
      </w:r>
      <w:r w:rsidRPr="00446C16">
        <w:rPr>
          <w:rFonts w:cstheme="minorHAnsi"/>
          <w:szCs w:val="22"/>
        </w:rPr>
        <w:t xml:space="preserve">pazemes maģistrālie cauruļvadi un pārējā </w:t>
      </w:r>
      <w:proofErr w:type="spellStart"/>
      <w:r w:rsidRPr="00446C16">
        <w:rPr>
          <w:rFonts w:cstheme="minorHAnsi"/>
          <w:szCs w:val="22"/>
        </w:rPr>
        <w:t>inženierbūvniecība</w:t>
      </w:r>
      <w:proofErr w:type="spellEnd"/>
      <w:r w:rsidRPr="00446C16">
        <w:rPr>
          <w:rFonts w:cstheme="minorHAnsi"/>
          <w:szCs w:val="22"/>
        </w:rPr>
        <w:t>, kurā pēc pieauguma 2019. un 2020</w:t>
      </w:r>
      <w:r w:rsidR="00100D75" w:rsidRPr="00446C16">
        <w:rPr>
          <w:rFonts w:cstheme="minorHAnsi"/>
          <w:szCs w:val="22"/>
        </w:rPr>
        <w:t>. gad</w:t>
      </w:r>
      <w:r w:rsidRPr="00446C16">
        <w:rPr>
          <w:rFonts w:cstheme="minorHAnsi"/>
          <w:szCs w:val="22"/>
        </w:rPr>
        <w:t xml:space="preserve">ā seko izmaksu </w:t>
      </w:r>
      <w:r w:rsidR="0077315B" w:rsidRPr="00446C16">
        <w:rPr>
          <w:rFonts w:cstheme="minorHAnsi"/>
          <w:szCs w:val="22"/>
        </w:rPr>
        <w:t xml:space="preserve">izmaiņu </w:t>
      </w:r>
      <w:r w:rsidRPr="00446C16">
        <w:rPr>
          <w:rFonts w:cstheme="minorHAnsi"/>
          <w:szCs w:val="22"/>
        </w:rPr>
        <w:t>lejupslīde vai svārstības ap nulli.</w:t>
      </w:r>
    </w:p>
    <w:p w14:paraId="17A20187" w14:textId="5C97F918" w:rsidR="008D3981" w:rsidRPr="00446C16" w:rsidRDefault="008D3981" w:rsidP="008D3981">
      <w:pPr>
        <w:jc w:val="both"/>
        <w:rPr>
          <w:rFonts w:cstheme="minorHAnsi"/>
          <w:szCs w:val="22"/>
        </w:rPr>
      </w:pPr>
      <w:r w:rsidRPr="00446C16">
        <w:rPr>
          <w:rFonts w:cstheme="minorHAnsi"/>
          <w:szCs w:val="22"/>
        </w:rPr>
        <w:t>5. Galvenais faktors, kas ietekmē darbaspēka un būvniecības izmaks</w:t>
      </w:r>
      <w:r w:rsidR="0077315B" w:rsidRPr="00446C16">
        <w:rPr>
          <w:rFonts w:cstheme="minorHAnsi"/>
          <w:szCs w:val="22"/>
        </w:rPr>
        <w:t>u izmaiņas</w:t>
      </w:r>
      <w:r w:rsidRPr="00446C16">
        <w:rPr>
          <w:rFonts w:cstheme="minorHAnsi"/>
          <w:szCs w:val="22"/>
        </w:rPr>
        <w:t xml:space="preserve"> ir būvniecības </w:t>
      </w:r>
      <w:r w:rsidR="00DA5EF2" w:rsidRPr="00446C16">
        <w:rPr>
          <w:rFonts w:cstheme="minorHAnsi"/>
          <w:szCs w:val="22"/>
        </w:rPr>
        <w:t xml:space="preserve">produkcijas </w:t>
      </w:r>
      <w:r w:rsidRPr="00446C16">
        <w:rPr>
          <w:rFonts w:cstheme="minorHAnsi"/>
          <w:szCs w:val="22"/>
        </w:rPr>
        <w:t xml:space="preserve">apjoms Latvijā. </w:t>
      </w:r>
    </w:p>
    <w:p w14:paraId="3D215569" w14:textId="29277377" w:rsidR="008D3981" w:rsidRPr="00446C16" w:rsidRDefault="008D3981" w:rsidP="008D3981">
      <w:pPr>
        <w:jc w:val="both"/>
        <w:rPr>
          <w:rFonts w:cstheme="minorHAnsi"/>
          <w:szCs w:val="22"/>
        </w:rPr>
      </w:pPr>
      <w:r w:rsidRPr="00446C16">
        <w:rPr>
          <w:rFonts w:cstheme="minorHAnsi"/>
          <w:szCs w:val="22"/>
        </w:rPr>
        <w:t>6. Publisko iepirkumu būvniecības apjomam ir būtiska ietekme uz būvniecības nozari tā īpatsvara dēļ. Publisko iepirkumu būvniecības apjomam prognozējams risks būtiski samazināties pēc 2020</w:t>
      </w:r>
      <w:r w:rsidR="00100D75" w:rsidRPr="00446C16">
        <w:rPr>
          <w:rFonts w:cstheme="minorHAnsi"/>
          <w:szCs w:val="22"/>
        </w:rPr>
        <w:t>. gad</w:t>
      </w:r>
      <w:r w:rsidRPr="00446C16">
        <w:rPr>
          <w:rFonts w:cstheme="minorHAnsi"/>
          <w:szCs w:val="22"/>
        </w:rPr>
        <w:t xml:space="preserve">a, ja </w:t>
      </w:r>
      <w:r w:rsidR="00FE364C" w:rsidRPr="00446C16">
        <w:rPr>
          <w:rFonts w:cstheme="minorHAnsi"/>
          <w:szCs w:val="22"/>
        </w:rPr>
        <w:t xml:space="preserve">apjoma dinamika būs līdzīga, kā iepriekšējā ES fondu plānošanas periodā pēc 2014.gada un </w:t>
      </w:r>
      <w:r w:rsidRPr="00446C16">
        <w:rPr>
          <w:rFonts w:cstheme="minorHAnsi"/>
          <w:szCs w:val="22"/>
        </w:rPr>
        <w:t>ES fondu līdzfinansēto projektu apjom</w:t>
      </w:r>
      <w:r w:rsidR="00FE364C" w:rsidRPr="00446C16">
        <w:rPr>
          <w:rFonts w:cstheme="minorHAnsi"/>
          <w:szCs w:val="22"/>
        </w:rPr>
        <w:t>a kritums</w:t>
      </w:r>
      <w:r w:rsidRPr="00446C16">
        <w:rPr>
          <w:rFonts w:cstheme="minorHAnsi"/>
          <w:szCs w:val="22"/>
        </w:rPr>
        <w:t xml:space="preserve"> netiks aizvietots ar valsts, pašvaldību</w:t>
      </w:r>
      <w:r w:rsidR="00FE364C" w:rsidRPr="00446C16">
        <w:rPr>
          <w:rFonts w:cstheme="minorHAnsi"/>
          <w:szCs w:val="22"/>
        </w:rPr>
        <w:t xml:space="preserve">, </w:t>
      </w:r>
      <w:r w:rsidRPr="00446C16">
        <w:rPr>
          <w:rFonts w:cstheme="minorHAnsi"/>
          <w:szCs w:val="22"/>
        </w:rPr>
        <w:t>privātā sektora projektiem un jaunā ES fondu plānošanas perioda savlaicīgi uzsāktiem projektiem.</w:t>
      </w:r>
    </w:p>
    <w:p w14:paraId="42D66DEB" w14:textId="6985625C" w:rsidR="008D3981" w:rsidRPr="00446C16" w:rsidRDefault="008D3981" w:rsidP="008D3981">
      <w:pPr>
        <w:jc w:val="both"/>
        <w:rPr>
          <w:rFonts w:cstheme="minorHAnsi"/>
          <w:szCs w:val="22"/>
        </w:rPr>
      </w:pPr>
      <w:r w:rsidRPr="00446C16">
        <w:rPr>
          <w:rFonts w:cstheme="minorHAnsi"/>
          <w:szCs w:val="22"/>
        </w:rPr>
        <w:t>7. Kopējais būvniecības produkcijas apjoms būs atkarīgs arī no tirgus elastības, pielāgojoties 2018.-2020</w:t>
      </w:r>
      <w:r w:rsidR="00100D75" w:rsidRPr="00446C16">
        <w:rPr>
          <w:rFonts w:cstheme="minorHAnsi"/>
          <w:szCs w:val="22"/>
        </w:rPr>
        <w:t>. gad</w:t>
      </w:r>
      <w:r w:rsidRPr="00446C16">
        <w:rPr>
          <w:rFonts w:cstheme="minorHAnsi"/>
          <w:szCs w:val="22"/>
        </w:rPr>
        <w:t>a periodā atliktajam privātajam pieprasījumam.</w:t>
      </w:r>
    </w:p>
    <w:p w14:paraId="3743A2DE" w14:textId="5EE0C1C3" w:rsidR="008D3981" w:rsidRPr="00446C16" w:rsidRDefault="008D3981" w:rsidP="008D3981">
      <w:pPr>
        <w:jc w:val="both"/>
        <w:rPr>
          <w:rFonts w:cstheme="minorHAnsi"/>
          <w:szCs w:val="22"/>
        </w:rPr>
      </w:pPr>
      <w:r w:rsidRPr="00446C16">
        <w:rPr>
          <w:rFonts w:cstheme="minorHAnsi"/>
          <w:szCs w:val="22"/>
        </w:rPr>
        <w:t xml:space="preserve">8. Izmaksu </w:t>
      </w:r>
      <w:r w:rsidR="00B42C20" w:rsidRPr="00446C16">
        <w:t>izmaiņu</w:t>
      </w:r>
      <w:r w:rsidR="00B42C20" w:rsidRPr="00446C16">
        <w:rPr>
          <w:rFonts w:cstheme="minorHAnsi"/>
          <w:szCs w:val="22"/>
        </w:rPr>
        <w:t xml:space="preserve"> </w:t>
      </w:r>
      <w:r w:rsidRPr="00446C16">
        <w:rPr>
          <w:rFonts w:cstheme="minorHAnsi"/>
          <w:szCs w:val="22"/>
        </w:rPr>
        <w:t>prognozes liecina, ka pēc 2020</w:t>
      </w:r>
      <w:r w:rsidR="00100D75" w:rsidRPr="00446C16">
        <w:rPr>
          <w:rFonts w:cstheme="minorHAnsi"/>
          <w:szCs w:val="22"/>
        </w:rPr>
        <w:t>. gad</w:t>
      </w:r>
      <w:r w:rsidRPr="00446C16">
        <w:rPr>
          <w:rFonts w:cstheme="minorHAnsi"/>
          <w:szCs w:val="22"/>
        </w:rPr>
        <w:t>a</w:t>
      </w:r>
      <w:r w:rsidR="000B2287" w:rsidRPr="00446C16">
        <w:rPr>
          <w:rFonts w:cstheme="minorHAnsi"/>
          <w:szCs w:val="22"/>
        </w:rPr>
        <w:t>,</w:t>
      </w:r>
      <w:r w:rsidRPr="00446C16">
        <w:rPr>
          <w:rFonts w:cstheme="minorHAnsi"/>
          <w:szCs w:val="22"/>
        </w:rPr>
        <w:t xml:space="preserve"> būvniecības izmaksu līmenis paredzams praktiski nemainīgs, līdzīgi kā 2014.-2016</w:t>
      </w:r>
      <w:r w:rsidR="00100D75" w:rsidRPr="00446C16">
        <w:rPr>
          <w:rFonts w:cstheme="minorHAnsi"/>
          <w:szCs w:val="22"/>
        </w:rPr>
        <w:t>. gad</w:t>
      </w:r>
      <w:r w:rsidRPr="00446C16">
        <w:rPr>
          <w:rFonts w:cstheme="minorHAnsi"/>
          <w:szCs w:val="22"/>
        </w:rPr>
        <w:t>ā. Tādēļ pastāv būtisks risks, ka privātais pieprasījums uzreiz neaizvietos publisko iepirkumu apjoma kritumu un iespējams būtisks būvniecības apjomu samazinājums.</w:t>
      </w:r>
    </w:p>
    <w:p w14:paraId="38CBF7F7" w14:textId="38382C02" w:rsidR="008D3981" w:rsidRPr="00446C16" w:rsidRDefault="008D3981" w:rsidP="008D3981">
      <w:pPr>
        <w:jc w:val="both"/>
        <w:rPr>
          <w:rFonts w:cstheme="minorHAnsi"/>
          <w:szCs w:val="22"/>
        </w:rPr>
      </w:pPr>
      <w:r w:rsidRPr="00446C16">
        <w:rPr>
          <w:rFonts w:cstheme="minorHAnsi"/>
          <w:szCs w:val="22"/>
        </w:rPr>
        <w:t xml:space="preserve">9. Ieteicams publisko </w:t>
      </w:r>
      <w:r w:rsidR="0008358D" w:rsidRPr="00446C16">
        <w:rPr>
          <w:rFonts w:cstheme="minorHAnsi"/>
          <w:szCs w:val="22"/>
        </w:rPr>
        <w:t>pasūtījumu</w:t>
      </w:r>
      <w:r w:rsidRPr="00446C16">
        <w:rPr>
          <w:rFonts w:cstheme="minorHAnsi"/>
          <w:szCs w:val="22"/>
        </w:rPr>
        <w:t xml:space="preserve"> </w:t>
      </w:r>
      <w:r w:rsidR="0008358D" w:rsidRPr="00446C16">
        <w:rPr>
          <w:rFonts w:cstheme="minorHAnsi"/>
          <w:szCs w:val="22"/>
        </w:rPr>
        <w:t>izmantot</w:t>
      </w:r>
      <w:r w:rsidRPr="00446C16">
        <w:rPr>
          <w:rFonts w:cstheme="minorHAnsi"/>
          <w:szCs w:val="22"/>
        </w:rPr>
        <w:t xml:space="preserve"> arī kā instrumentu tirgus svārstību izlīdzināšanai.</w:t>
      </w:r>
    </w:p>
    <w:p w14:paraId="03F485FE" w14:textId="4BE73756" w:rsidR="008D3981" w:rsidRPr="00446C16" w:rsidRDefault="008D3981" w:rsidP="008D3981">
      <w:pPr>
        <w:jc w:val="both"/>
        <w:rPr>
          <w:rFonts w:cstheme="minorHAnsi"/>
          <w:szCs w:val="22"/>
        </w:rPr>
      </w:pPr>
      <w:r w:rsidRPr="00446C16">
        <w:rPr>
          <w:rFonts w:cstheme="minorHAnsi"/>
          <w:szCs w:val="22"/>
        </w:rPr>
        <w:t>10. Ēnu ekonomikas apkarošanas pasākumu īstenošana palielina gan būvmateriālu, gan darbaspēka izmaks</w:t>
      </w:r>
      <w:r w:rsidR="0077315B" w:rsidRPr="00446C16">
        <w:rPr>
          <w:rFonts w:cstheme="minorHAnsi"/>
          <w:szCs w:val="22"/>
        </w:rPr>
        <w:t>u izmaiņas</w:t>
      </w:r>
      <w:r w:rsidRPr="00446C16">
        <w:rPr>
          <w:rFonts w:cstheme="minorHAnsi"/>
          <w:szCs w:val="22"/>
        </w:rPr>
        <w:t>. Tomēr šis efekts ir daudz izteiktāks ietekmei uz darbaspēka izmaks</w:t>
      </w:r>
      <w:r w:rsidR="0077315B" w:rsidRPr="00446C16">
        <w:rPr>
          <w:rFonts w:cstheme="minorHAnsi"/>
          <w:szCs w:val="22"/>
        </w:rPr>
        <w:t>u izmaiņām</w:t>
      </w:r>
      <w:r w:rsidRPr="00446C16">
        <w:rPr>
          <w:rFonts w:cstheme="minorHAnsi"/>
          <w:szCs w:val="22"/>
        </w:rPr>
        <w:t>, to visvairāk ietekmē divi ēnu ekonomikas apkarošanas pasākumi: elektroniskās darba laika uzskaites sistēmas pilna ieviešana, t.sk. datu nodošana VID un minimālā atalgojuma līmeņa noteikšana būvniecības nozarē, izmantojot ģenerālvienošanos. Pretēji ēnu ekonomikas apkarošanas pasākumu ietekmei uz darbaspēka izmaks</w:t>
      </w:r>
      <w:r w:rsidR="0077315B" w:rsidRPr="00446C16">
        <w:rPr>
          <w:rFonts w:cstheme="minorHAnsi"/>
          <w:szCs w:val="22"/>
        </w:rPr>
        <w:t>u izmaiņām</w:t>
      </w:r>
      <w:r w:rsidRPr="00446C16">
        <w:rPr>
          <w:rFonts w:cstheme="minorHAnsi"/>
          <w:szCs w:val="22"/>
        </w:rPr>
        <w:t xml:space="preserve">, būvmateriālu izmaksu </w:t>
      </w:r>
      <w:r w:rsidR="000B2287" w:rsidRPr="00446C16">
        <w:rPr>
          <w:rFonts w:cstheme="minorHAnsi"/>
          <w:szCs w:val="22"/>
        </w:rPr>
        <w:t xml:space="preserve">izmaiņu </w:t>
      </w:r>
      <w:r w:rsidRPr="00446C16">
        <w:rPr>
          <w:rFonts w:cstheme="minorHAnsi"/>
          <w:szCs w:val="22"/>
        </w:rPr>
        <w:t>gadījumā kādu konkrētu viennozīmīgi būtiskāko faktoru noteikt nav iespējams, vērtējumu līdzīgo vidējo vērtību dēļ.</w:t>
      </w:r>
    </w:p>
    <w:p w14:paraId="56C50AC8" w14:textId="24CDAF59" w:rsidR="008D3981" w:rsidRPr="00446C16" w:rsidRDefault="008D3981" w:rsidP="008D3981">
      <w:pPr>
        <w:jc w:val="both"/>
        <w:rPr>
          <w:rFonts w:cstheme="minorHAnsi"/>
          <w:szCs w:val="22"/>
        </w:rPr>
      </w:pPr>
      <w:r w:rsidRPr="00446C16">
        <w:rPr>
          <w:rFonts w:cstheme="minorHAnsi"/>
          <w:szCs w:val="22"/>
        </w:rPr>
        <w:t>11. Salīdzinot 201</w:t>
      </w:r>
      <w:r w:rsidR="00A551F9" w:rsidRPr="00446C16">
        <w:rPr>
          <w:rFonts w:cstheme="minorHAnsi"/>
          <w:szCs w:val="22"/>
        </w:rPr>
        <w:t>9</w:t>
      </w:r>
      <w:r w:rsidR="00100D75" w:rsidRPr="00446C16">
        <w:rPr>
          <w:rFonts w:cstheme="minorHAnsi"/>
          <w:szCs w:val="22"/>
        </w:rPr>
        <w:t>. gad</w:t>
      </w:r>
      <w:r w:rsidRPr="00446C16">
        <w:rPr>
          <w:rFonts w:cstheme="minorHAnsi"/>
          <w:szCs w:val="22"/>
        </w:rPr>
        <w:t>a pētījuma prognozes ar 201</w:t>
      </w:r>
      <w:r w:rsidR="00A551F9" w:rsidRPr="00446C16">
        <w:rPr>
          <w:rFonts w:cstheme="minorHAnsi"/>
          <w:szCs w:val="22"/>
        </w:rPr>
        <w:t>8</w:t>
      </w:r>
      <w:r w:rsidR="00100D75" w:rsidRPr="00446C16">
        <w:rPr>
          <w:rFonts w:cstheme="minorHAnsi"/>
          <w:szCs w:val="22"/>
        </w:rPr>
        <w:t>. gad</w:t>
      </w:r>
      <w:r w:rsidRPr="00446C16">
        <w:rPr>
          <w:rFonts w:cstheme="minorHAnsi"/>
          <w:szCs w:val="22"/>
        </w:rPr>
        <w:t xml:space="preserve">a pētījumu, </w:t>
      </w:r>
      <w:r w:rsidR="00510A43" w:rsidRPr="00446C16">
        <w:rPr>
          <w:rFonts w:cstheme="minorHAnsi"/>
          <w:szCs w:val="22"/>
        </w:rPr>
        <w:t>būvniecības produkcijas apjoma pieauguma prognozes kļuvušas ievērojami piesardzīgākas</w:t>
      </w:r>
      <w:r w:rsidR="00A551F9" w:rsidRPr="00446C16">
        <w:rPr>
          <w:rFonts w:cstheme="minorHAnsi"/>
          <w:szCs w:val="22"/>
        </w:rPr>
        <w:t xml:space="preserve"> visa prognožu perioda kontekstā</w:t>
      </w:r>
      <w:r w:rsidR="00510A43" w:rsidRPr="00446C16">
        <w:rPr>
          <w:rFonts w:cstheme="minorHAnsi"/>
          <w:szCs w:val="22"/>
        </w:rPr>
        <w:t xml:space="preserve">, kā rezultātā arī </w:t>
      </w:r>
      <w:r w:rsidR="00A551F9" w:rsidRPr="00446C16">
        <w:rPr>
          <w:rFonts w:cstheme="minorHAnsi"/>
          <w:szCs w:val="22"/>
        </w:rPr>
        <w:t>būvniecības izmaksu pieaugums tiek prognozēts zemāks – piecu gadu prognožu vidējais ikgadējais būvniecības izmaksu pieaugums samazinājās no 4,3% uz 2,1%.</w:t>
      </w:r>
    </w:p>
    <w:p w14:paraId="7329072C" w14:textId="77777777" w:rsidR="00C5262F" w:rsidRPr="00446C16" w:rsidRDefault="00C5262F" w:rsidP="00D046E8">
      <w:pPr>
        <w:ind w:firstLine="851"/>
        <w:jc w:val="both"/>
        <w:rPr>
          <w:rFonts w:cstheme="minorHAnsi"/>
          <w:i/>
          <w:iCs/>
          <w:szCs w:val="22"/>
        </w:rPr>
      </w:pPr>
    </w:p>
    <w:p w14:paraId="3146F499" w14:textId="77777777" w:rsidR="0048102C" w:rsidRPr="00446C16" w:rsidRDefault="0048102C" w:rsidP="00D046E8">
      <w:pPr>
        <w:ind w:firstLine="851"/>
        <w:jc w:val="both"/>
        <w:rPr>
          <w:i/>
          <w:iCs/>
          <w:szCs w:val="22"/>
        </w:rPr>
      </w:pPr>
      <w:r w:rsidRPr="00446C16">
        <w:rPr>
          <w:i/>
          <w:iCs/>
          <w:szCs w:val="22"/>
        </w:rPr>
        <w:t xml:space="preserve">Pētījumu nedrīkst pavairot, pārsūtīt, pārrakstīt, uzglabāt elektroniskā meklēšanas sistēmā vai tulkot kādā citā valodā bez iepriekš saņemtas EM atļaujas. </w:t>
      </w:r>
    </w:p>
    <w:p w14:paraId="52410266" w14:textId="53FCBCC3" w:rsidR="00E8087D" w:rsidRPr="00446C16" w:rsidRDefault="0048102C" w:rsidP="00895643">
      <w:pPr>
        <w:ind w:firstLine="851"/>
        <w:jc w:val="both"/>
        <w:rPr>
          <w:rFonts w:cstheme="minorHAnsi"/>
          <w:i/>
          <w:iCs/>
          <w:szCs w:val="22"/>
        </w:rPr>
      </w:pPr>
      <w:r w:rsidRPr="00446C16">
        <w:rPr>
          <w:i/>
          <w:iCs/>
          <w:szCs w:val="22"/>
        </w:rPr>
        <w:t xml:space="preserve">Nav pieļaujama dokumentā ietvertās informācijas satura pārveidošana. Pievienojot norādi uz oriģinālo dokumentu, atļauta dokumentā ietvertās informācijas citēšana. </w:t>
      </w:r>
    </w:p>
    <w:p w14:paraId="4F834AE0" w14:textId="1B6B2702" w:rsidR="00536D32" w:rsidRPr="00446C16" w:rsidRDefault="00536D32" w:rsidP="00B13164">
      <w:pPr>
        <w:jc w:val="both"/>
      </w:pPr>
    </w:p>
    <w:p w14:paraId="528348ED" w14:textId="21E2681F" w:rsidR="00556CFC" w:rsidRPr="00446C16" w:rsidRDefault="00515FED" w:rsidP="00A35997">
      <w:pPr>
        <w:pStyle w:val="Heading1"/>
        <w:numPr>
          <w:ilvl w:val="0"/>
          <w:numId w:val="5"/>
        </w:numPr>
        <w:ind w:left="0" w:firstLine="0"/>
        <w:jc w:val="both"/>
        <w:rPr>
          <w:caps w:val="0"/>
          <w:sz w:val="30"/>
          <w:szCs w:val="30"/>
        </w:rPr>
      </w:pPr>
      <w:bookmarkStart w:id="16" w:name="_Toc23163498"/>
      <w:bookmarkStart w:id="17" w:name="_Hlk536008333"/>
      <w:r w:rsidRPr="00446C16">
        <w:rPr>
          <w:caps w:val="0"/>
          <w:sz w:val="30"/>
          <w:szCs w:val="30"/>
        </w:rPr>
        <w:t>IEVADS</w:t>
      </w:r>
      <w:bookmarkEnd w:id="16"/>
    </w:p>
    <w:p w14:paraId="4B5446CC" w14:textId="1E259D40" w:rsidR="00654420" w:rsidRPr="00446C16" w:rsidRDefault="00654420" w:rsidP="00654420">
      <w:pPr>
        <w:ind w:firstLine="851"/>
        <w:jc w:val="both"/>
      </w:pPr>
      <w:bookmarkStart w:id="18" w:name="_Hlk776145"/>
      <w:r w:rsidRPr="00446C16">
        <w:t>Pētījums par prognozētām izmaiņām darbaspēka un būvmateriālu izmaks</w:t>
      </w:r>
      <w:r w:rsidR="00C10E46" w:rsidRPr="00446C16">
        <w:t xml:space="preserve">ās </w:t>
      </w:r>
      <w:r w:rsidRPr="00446C16">
        <w:t>būvniecības nozarē Latvijā tiek veikts par laika periodu no 2019.</w:t>
      </w:r>
      <w:r w:rsidR="00943DF7" w:rsidRPr="00446C16">
        <w:t xml:space="preserve"> </w:t>
      </w:r>
      <w:r w:rsidRPr="00446C16">
        <w:t>gada 1.</w:t>
      </w:r>
      <w:r w:rsidR="00943DF7" w:rsidRPr="00446C16">
        <w:t xml:space="preserve"> </w:t>
      </w:r>
      <w:r w:rsidRPr="00446C16">
        <w:t>janvāra līdz 2020.</w:t>
      </w:r>
      <w:r w:rsidR="00943DF7" w:rsidRPr="00446C16">
        <w:t xml:space="preserve"> </w:t>
      </w:r>
      <w:r w:rsidRPr="00446C16">
        <w:t>gada 31.</w:t>
      </w:r>
      <w:r w:rsidR="00943DF7" w:rsidRPr="00446C16">
        <w:t xml:space="preserve"> </w:t>
      </w:r>
      <w:r w:rsidRPr="00446C16">
        <w:t>decembrim un sniedz tendenču novērtējumu laika periodam no 2021.</w:t>
      </w:r>
      <w:r w:rsidR="00943DF7" w:rsidRPr="00446C16">
        <w:t xml:space="preserve"> </w:t>
      </w:r>
      <w:r w:rsidRPr="00446C16">
        <w:t>gada 1.</w:t>
      </w:r>
      <w:r w:rsidR="00943DF7" w:rsidRPr="00446C16">
        <w:t xml:space="preserve"> </w:t>
      </w:r>
      <w:r w:rsidRPr="00446C16">
        <w:t>janvāra līdz 2023.</w:t>
      </w:r>
      <w:r w:rsidR="00943DF7" w:rsidRPr="00446C16">
        <w:t xml:space="preserve"> </w:t>
      </w:r>
      <w:r w:rsidRPr="00446C16">
        <w:t>gada 31.</w:t>
      </w:r>
      <w:r w:rsidR="00943DF7" w:rsidRPr="00446C16">
        <w:t xml:space="preserve"> </w:t>
      </w:r>
      <w:r w:rsidRPr="00446C16">
        <w:t>decembrim. Tas ir otrs šāda tipa pētījums un balstās uz 2018.</w:t>
      </w:r>
      <w:r w:rsidR="00943DF7" w:rsidRPr="00446C16">
        <w:t xml:space="preserve"> </w:t>
      </w:r>
      <w:r w:rsidRPr="00446C16">
        <w:t>gada pētījuma izstrādāto metodoloģiju</w:t>
      </w:r>
      <w:r w:rsidRPr="00446C16">
        <w:rPr>
          <w:rStyle w:val="FootnoteReference"/>
          <w:rFonts w:cstheme="minorHAnsi"/>
          <w:szCs w:val="22"/>
        </w:rPr>
        <w:footnoteReference w:id="2"/>
      </w:r>
      <w:r w:rsidR="00880ED9" w:rsidRPr="00446C16">
        <w:t>.</w:t>
      </w:r>
      <w:r w:rsidRPr="00446C16">
        <w:t xml:space="preserve"> </w:t>
      </w:r>
      <w:r w:rsidR="00880ED9" w:rsidRPr="00446C16">
        <w:t>2018.</w:t>
      </w:r>
      <w:r w:rsidR="00943DF7" w:rsidRPr="00446C16">
        <w:t xml:space="preserve"> </w:t>
      </w:r>
      <w:r w:rsidR="00880ED9" w:rsidRPr="00446C16">
        <w:t>gada pētījumā</w:t>
      </w:r>
      <w:r w:rsidRPr="00446C16">
        <w:t xml:space="preserve"> prognozētas darbaspēka un būvmateriālu izmaksu izmaiņas būvniecības nozarē Latvijā laika periodā no 2018.</w:t>
      </w:r>
      <w:r w:rsidR="00943DF7" w:rsidRPr="00446C16">
        <w:t xml:space="preserve"> gada līdz </w:t>
      </w:r>
      <w:r w:rsidRPr="00446C16">
        <w:t>2022.</w:t>
      </w:r>
      <w:r w:rsidR="00943DF7" w:rsidRPr="00446C16">
        <w:t xml:space="preserve"> </w:t>
      </w:r>
      <w:r w:rsidRPr="00446C16">
        <w:t xml:space="preserve">gadam. </w:t>
      </w:r>
    </w:p>
    <w:p w14:paraId="38E6E481" w14:textId="06F118FB" w:rsidR="006E796A" w:rsidRPr="00446C16" w:rsidRDefault="22E04E7E" w:rsidP="0010773A">
      <w:pPr>
        <w:ind w:firstLine="851"/>
        <w:jc w:val="both"/>
        <w:rPr>
          <w:szCs w:val="22"/>
        </w:rPr>
      </w:pPr>
      <w:r w:rsidRPr="00446C16">
        <w:t>Pētījums sevī ietver detalizētu izvērtējumu un prognozes par kopēj</w:t>
      </w:r>
      <w:r w:rsidR="00CE7D3B" w:rsidRPr="00446C16">
        <w:t>ām</w:t>
      </w:r>
      <w:r w:rsidRPr="00446C16">
        <w:t xml:space="preserve"> būvniecības </w:t>
      </w:r>
      <w:r w:rsidR="0077315B" w:rsidRPr="00446C16">
        <w:t xml:space="preserve">produkcijas </w:t>
      </w:r>
      <w:r w:rsidRPr="00446C16">
        <w:t>apjom</w:t>
      </w:r>
      <w:r w:rsidR="00CE7D3B" w:rsidRPr="00446C16">
        <w:t>a izmaiņām</w:t>
      </w:r>
      <w:r w:rsidRPr="00446C16">
        <w:t xml:space="preserve"> un izmaks</w:t>
      </w:r>
      <w:r w:rsidR="0077315B" w:rsidRPr="00446C16">
        <w:t>u izmaiņām</w:t>
      </w:r>
      <w:r w:rsidRPr="00446C16">
        <w:t xml:space="preserve">, un atsevišķi par sekojošām būvniecības nozares apakšnozarēm: dzīvojamās ēkas, nedzīvojamās ēkas, transporta objekti, pazemes maģistrālie cauruļvadi, komplekso būvju rūpnieciskā ražošana un pārējā </w:t>
      </w:r>
      <w:proofErr w:type="spellStart"/>
      <w:r w:rsidRPr="00446C16">
        <w:t>inženierbūvniecība</w:t>
      </w:r>
      <w:proofErr w:type="spellEnd"/>
      <w:r w:rsidRPr="00446C16">
        <w:t>. Kā arī, detalizētu izvērtējumu un prognozes par resursu veidiem: būvmateriāl</w:t>
      </w:r>
      <w:r w:rsidR="00AB56A2" w:rsidRPr="00446C16">
        <w:t>u izmaksu izmaiņas</w:t>
      </w:r>
      <w:r w:rsidRPr="00446C16">
        <w:t>, strādnieku darba samaksa, izmaks</w:t>
      </w:r>
      <w:r w:rsidR="00DE7BCB" w:rsidRPr="00446C16">
        <w:t>u izmaiņas</w:t>
      </w:r>
      <w:r w:rsidRPr="00446C16">
        <w:t xml:space="preserve"> mašīnu un mehānismu uzturēšanai un ekspluatācijai, kā arī projektēšana (arhitektūra, būvinženieri u.c.). Tāpat, pētījuma gaitā veikts darbaspēka un būvmateriālu izmaks</w:t>
      </w:r>
      <w:r w:rsidR="0077315B" w:rsidRPr="00446C16">
        <w:t>u izmaiņas</w:t>
      </w:r>
      <w:r w:rsidRPr="00446C16">
        <w:t xml:space="preserve"> ietekmējošo faktoru novērtējums un analīze, t.sk. ēnu</w:t>
      </w:r>
      <w:r w:rsidR="009705F9" w:rsidRPr="00446C16">
        <w:t xml:space="preserve"> ekonomikas apkarošanas pasākumu ietekme</w:t>
      </w:r>
      <w:r w:rsidRPr="00446C16">
        <w:t>.</w:t>
      </w:r>
    </w:p>
    <w:p w14:paraId="3D2F30A8" w14:textId="04774E3F" w:rsidR="001F2426" w:rsidRPr="00446C16" w:rsidRDefault="006E796A" w:rsidP="00654420">
      <w:pPr>
        <w:ind w:firstLine="851"/>
        <w:jc w:val="both"/>
      </w:pPr>
      <w:r w:rsidRPr="00446C16">
        <w:t>Pētījumā kā inform</w:t>
      </w:r>
      <w:r w:rsidR="00795258" w:rsidRPr="00446C16">
        <w:t xml:space="preserve">ācijas avoti tika izmantoti CSP </w:t>
      </w:r>
      <w:r w:rsidRPr="00446C16">
        <w:t xml:space="preserve">dati un ekspertu intervijas ar būvniecības nozares pārstāvjiem un būvniecības nozares apakšnozaru ekspertiem. Vispārējo faktoru ietekmes novērtēšanai pētījumā tika iekļautas arī makroekonomikas ekspertu prognozes. </w:t>
      </w:r>
      <w:r w:rsidR="001F2426" w:rsidRPr="00446C16">
        <w:t xml:space="preserve">Pētījumā </w:t>
      </w:r>
      <w:r w:rsidR="00066F21" w:rsidRPr="00446C16">
        <w:t xml:space="preserve">kā datu ieguves metodes </w:t>
      </w:r>
      <w:r w:rsidR="001F2426" w:rsidRPr="00446C16">
        <w:t>izmantota</w:t>
      </w:r>
      <w:r w:rsidR="00066F21" w:rsidRPr="00446C16">
        <w:t>s</w:t>
      </w:r>
      <w:r w:rsidR="001F2426" w:rsidRPr="00446C16">
        <w:t xml:space="preserve"> </w:t>
      </w:r>
      <w:r w:rsidRPr="00446C16">
        <w:t>statistiskā trenda analīze, ekspertu intervijas un metožu kombinēšana</w:t>
      </w:r>
      <w:r w:rsidR="004B6B6E" w:rsidRPr="00446C16">
        <w:t xml:space="preserve"> (skatīt attēlu Nr. 1)</w:t>
      </w:r>
      <w:r w:rsidR="00066F21" w:rsidRPr="00446C16">
        <w:t>.</w:t>
      </w:r>
      <w:r w:rsidRPr="00446C16">
        <w:t xml:space="preserve"> </w:t>
      </w:r>
    </w:p>
    <w:p w14:paraId="19D91340" w14:textId="2BBF2594" w:rsidR="004B6B6E" w:rsidRPr="00446C16" w:rsidRDefault="00066F21" w:rsidP="00106A22">
      <w:pPr>
        <w:pStyle w:val="Caption"/>
      </w:pPr>
      <w:r w:rsidRPr="00446C16">
        <w:rPr>
          <w:rFonts w:cstheme="minorHAnsi"/>
          <w:noProof/>
          <w:szCs w:val="24"/>
          <w:lang w:val="en-US"/>
        </w:rPr>
        <w:drawing>
          <wp:anchor distT="0" distB="0" distL="114300" distR="114300" simplePos="0" relativeHeight="251666432" behindDoc="0" locked="0" layoutInCell="1" allowOverlap="1" wp14:anchorId="2DB94027" wp14:editId="02BAE2EF">
            <wp:simplePos x="0" y="0"/>
            <wp:positionH relativeFrom="column">
              <wp:posOffset>451485</wp:posOffset>
            </wp:positionH>
            <wp:positionV relativeFrom="paragraph">
              <wp:posOffset>158750</wp:posOffset>
            </wp:positionV>
            <wp:extent cx="5486400" cy="3268980"/>
            <wp:effectExtent l="0" t="0" r="19050" b="7620"/>
            <wp:wrapSquare wrapText="bothSides"/>
            <wp:docPr id="4"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sidR="00813C83" w:rsidRPr="00446C16">
        <w:t>Att</w:t>
      </w:r>
      <w:r w:rsidR="00631BE3" w:rsidRPr="00446C16">
        <w:t xml:space="preserve">ēls Nr. </w:t>
      </w:r>
      <w:r w:rsidR="007614D9" w:rsidRPr="00446C16">
        <w:rPr>
          <w:noProof/>
        </w:rPr>
        <w:fldChar w:fldCharType="begin"/>
      </w:r>
      <w:r w:rsidR="007614D9" w:rsidRPr="00446C16">
        <w:rPr>
          <w:noProof/>
        </w:rPr>
        <w:instrText xml:space="preserve"> SEQ Attēls \* ARABIC </w:instrText>
      </w:r>
      <w:r w:rsidR="007614D9" w:rsidRPr="00446C16">
        <w:rPr>
          <w:noProof/>
        </w:rPr>
        <w:fldChar w:fldCharType="separate"/>
      </w:r>
      <w:r w:rsidR="000B1E8B" w:rsidRPr="00446C16">
        <w:rPr>
          <w:noProof/>
        </w:rPr>
        <w:t>1</w:t>
      </w:r>
      <w:r w:rsidR="007614D9" w:rsidRPr="00446C16">
        <w:rPr>
          <w:noProof/>
        </w:rPr>
        <w:fldChar w:fldCharType="end"/>
      </w:r>
      <w:r w:rsidR="00631BE3" w:rsidRPr="00446C16">
        <w:t>. Izmantotās datu ieguves metodes</w:t>
      </w:r>
      <w:r w:rsidR="00EF1B5A" w:rsidRPr="00446C16">
        <w:t xml:space="preserve"> un to secība</w:t>
      </w:r>
    </w:p>
    <w:p w14:paraId="2AE82E4A" w14:textId="77777777" w:rsidR="004B6B6E" w:rsidRPr="00446C16" w:rsidRDefault="004B6B6E">
      <w:pPr>
        <w:spacing w:before="100" w:after="200" w:line="276" w:lineRule="auto"/>
        <w:rPr>
          <w:b/>
          <w:bCs/>
          <w:color w:val="1F4979"/>
          <w:sz w:val="20"/>
        </w:rPr>
      </w:pPr>
      <w:r w:rsidRPr="00446C16">
        <w:br w:type="page"/>
      </w:r>
    </w:p>
    <w:p w14:paraId="617983C6" w14:textId="4FC61856" w:rsidR="004B6B6E" w:rsidRPr="00446C16" w:rsidRDefault="004B6B6E" w:rsidP="00B13164">
      <w:pPr>
        <w:jc w:val="center"/>
        <w:rPr>
          <w:rFonts w:cstheme="minorHAnsi"/>
          <w:sz w:val="20"/>
          <w:szCs w:val="22"/>
        </w:rPr>
      </w:pPr>
      <w:r w:rsidRPr="00446C16">
        <w:rPr>
          <w:rFonts w:cstheme="minorHAnsi"/>
          <w:noProof/>
          <w:szCs w:val="24"/>
          <w:lang w:val="en-US"/>
        </w:rPr>
        <w:lastRenderedPageBreak/>
        <w:drawing>
          <wp:anchor distT="0" distB="0" distL="114300" distR="114300" simplePos="0" relativeHeight="251668480" behindDoc="0" locked="0" layoutInCell="1" allowOverlap="1" wp14:anchorId="619194D1" wp14:editId="5FCABF98">
            <wp:simplePos x="0" y="0"/>
            <wp:positionH relativeFrom="column">
              <wp:posOffset>513715</wp:posOffset>
            </wp:positionH>
            <wp:positionV relativeFrom="paragraph">
              <wp:posOffset>223520</wp:posOffset>
            </wp:positionV>
            <wp:extent cx="5486400" cy="2387600"/>
            <wp:effectExtent l="0" t="0" r="19050" b="0"/>
            <wp:wrapSquare wrapText="bothSides"/>
            <wp:docPr id="14"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page">
              <wp14:pctWidth>0</wp14:pctWidth>
            </wp14:sizeRelH>
            <wp14:sizeRelV relativeFrom="page">
              <wp14:pctHeight>0</wp14:pctHeight>
            </wp14:sizeRelV>
          </wp:anchor>
        </w:drawing>
      </w:r>
    </w:p>
    <w:p w14:paraId="46DAE7D2" w14:textId="77777777" w:rsidR="004B6B6E" w:rsidRPr="00446C16" w:rsidRDefault="004B6B6E" w:rsidP="00B13164">
      <w:pPr>
        <w:jc w:val="center"/>
        <w:rPr>
          <w:rFonts w:cstheme="minorHAnsi"/>
          <w:sz w:val="20"/>
          <w:szCs w:val="22"/>
        </w:rPr>
      </w:pPr>
    </w:p>
    <w:p w14:paraId="26FE1E70" w14:textId="77777777" w:rsidR="004B6B6E" w:rsidRPr="00446C16" w:rsidRDefault="004B6B6E" w:rsidP="00B13164">
      <w:pPr>
        <w:jc w:val="center"/>
        <w:rPr>
          <w:rFonts w:cstheme="minorHAnsi"/>
          <w:sz w:val="20"/>
          <w:szCs w:val="22"/>
        </w:rPr>
      </w:pPr>
    </w:p>
    <w:p w14:paraId="71D9AB8C" w14:textId="77777777" w:rsidR="004B6B6E" w:rsidRPr="00446C16" w:rsidRDefault="004B6B6E" w:rsidP="00B13164">
      <w:pPr>
        <w:jc w:val="center"/>
        <w:rPr>
          <w:rFonts w:cstheme="minorHAnsi"/>
          <w:sz w:val="20"/>
          <w:szCs w:val="22"/>
        </w:rPr>
      </w:pPr>
    </w:p>
    <w:p w14:paraId="2B294815" w14:textId="77777777" w:rsidR="004B6B6E" w:rsidRPr="00446C16" w:rsidRDefault="004B6B6E" w:rsidP="00B13164">
      <w:pPr>
        <w:jc w:val="center"/>
        <w:rPr>
          <w:rFonts w:cstheme="minorHAnsi"/>
          <w:sz w:val="20"/>
          <w:szCs w:val="22"/>
        </w:rPr>
      </w:pPr>
    </w:p>
    <w:p w14:paraId="6299B7F3" w14:textId="77777777" w:rsidR="004B6B6E" w:rsidRPr="00446C16" w:rsidRDefault="004B6B6E" w:rsidP="00B13164">
      <w:pPr>
        <w:jc w:val="center"/>
        <w:rPr>
          <w:rFonts w:cstheme="minorHAnsi"/>
          <w:sz w:val="20"/>
          <w:szCs w:val="22"/>
        </w:rPr>
      </w:pPr>
    </w:p>
    <w:p w14:paraId="3D9DFF44" w14:textId="77777777" w:rsidR="004B6B6E" w:rsidRPr="00446C16" w:rsidRDefault="004B6B6E" w:rsidP="00B13164">
      <w:pPr>
        <w:jc w:val="center"/>
        <w:rPr>
          <w:rFonts w:cstheme="minorHAnsi"/>
          <w:sz w:val="20"/>
          <w:szCs w:val="22"/>
        </w:rPr>
      </w:pPr>
    </w:p>
    <w:p w14:paraId="26019706" w14:textId="77777777" w:rsidR="004B6B6E" w:rsidRPr="00446C16" w:rsidRDefault="004B6B6E" w:rsidP="00B13164">
      <w:pPr>
        <w:jc w:val="center"/>
        <w:rPr>
          <w:rFonts w:cstheme="minorHAnsi"/>
          <w:sz w:val="20"/>
          <w:szCs w:val="22"/>
        </w:rPr>
      </w:pPr>
    </w:p>
    <w:p w14:paraId="21CED3F6" w14:textId="77777777" w:rsidR="004B6B6E" w:rsidRPr="00446C16" w:rsidRDefault="004B6B6E" w:rsidP="00B13164">
      <w:pPr>
        <w:jc w:val="center"/>
        <w:rPr>
          <w:rFonts w:cstheme="minorHAnsi"/>
          <w:sz w:val="20"/>
          <w:szCs w:val="22"/>
        </w:rPr>
      </w:pPr>
    </w:p>
    <w:p w14:paraId="05FD7A00" w14:textId="77777777" w:rsidR="004B6B6E" w:rsidRPr="00446C16" w:rsidRDefault="004B6B6E" w:rsidP="00B13164">
      <w:pPr>
        <w:jc w:val="center"/>
        <w:rPr>
          <w:rFonts w:cstheme="minorHAnsi"/>
          <w:sz w:val="20"/>
          <w:szCs w:val="22"/>
        </w:rPr>
      </w:pPr>
    </w:p>
    <w:p w14:paraId="2F5C1FDF" w14:textId="11C9B74D" w:rsidR="004B6B6E" w:rsidRPr="00446C16" w:rsidRDefault="004B6B6E" w:rsidP="00B13164">
      <w:pPr>
        <w:jc w:val="center"/>
        <w:rPr>
          <w:rFonts w:cstheme="minorHAnsi"/>
          <w:sz w:val="20"/>
          <w:szCs w:val="22"/>
        </w:rPr>
      </w:pPr>
    </w:p>
    <w:p w14:paraId="0289ACFD" w14:textId="77777777" w:rsidR="00EF1B5A" w:rsidRPr="00446C16" w:rsidRDefault="00EF1B5A" w:rsidP="00B13164">
      <w:pPr>
        <w:jc w:val="center"/>
        <w:rPr>
          <w:rFonts w:cstheme="minorHAnsi"/>
          <w:sz w:val="20"/>
          <w:szCs w:val="22"/>
        </w:rPr>
      </w:pPr>
    </w:p>
    <w:p w14:paraId="7FF0DF6E" w14:textId="039D9503" w:rsidR="00EF1B5A" w:rsidRPr="00446C16" w:rsidRDefault="00EF1B5A" w:rsidP="00B13164">
      <w:pPr>
        <w:jc w:val="center"/>
        <w:rPr>
          <w:rFonts w:cstheme="minorHAnsi"/>
          <w:sz w:val="20"/>
          <w:szCs w:val="22"/>
        </w:rPr>
      </w:pPr>
      <w:r w:rsidRPr="00446C16">
        <w:rPr>
          <w:rFonts w:cstheme="minorHAnsi"/>
          <w:noProof/>
          <w:lang w:val="en-US"/>
        </w:rPr>
        <w:drawing>
          <wp:inline distT="0" distB="0" distL="0" distR="0" wp14:anchorId="7E7A856F" wp14:editId="3D5DE750">
            <wp:extent cx="5760720" cy="2171700"/>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KMIN bilde 2. slaidam.pdf"/>
                    <pic:cNvPicPr/>
                  </pic:nvPicPr>
                  <pic:blipFill>
                    <a:blip r:embed="rId26">
                      <a:extLst>
                        <a:ext uri="{28A0092B-C50C-407E-A947-70E740481C1C}">
                          <a14:useLocalDpi xmlns:a14="http://schemas.microsoft.com/office/drawing/2010/main" val="0"/>
                        </a:ext>
                      </a:extLst>
                    </a:blip>
                    <a:stretch>
                      <a:fillRect/>
                    </a:stretch>
                  </pic:blipFill>
                  <pic:spPr>
                    <a:xfrm>
                      <a:off x="0" y="0"/>
                      <a:ext cx="5760720" cy="2171700"/>
                    </a:xfrm>
                    <a:prstGeom prst="rect">
                      <a:avLst/>
                    </a:prstGeom>
                  </pic:spPr>
                </pic:pic>
              </a:graphicData>
            </a:graphic>
          </wp:inline>
        </w:drawing>
      </w:r>
    </w:p>
    <w:p w14:paraId="358D88E6" w14:textId="77777777" w:rsidR="00EF1B5A" w:rsidRPr="00446C16" w:rsidRDefault="00EF1B5A" w:rsidP="00EF1B5A">
      <w:pPr>
        <w:jc w:val="center"/>
        <w:rPr>
          <w:rFonts w:cstheme="minorHAnsi"/>
          <w:sz w:val="20"/>
          <w:szCs w:val="22"/>
        </w:rPr>
      </w:pPr>
      <w:r w:rsidRPr="00446C16">
        <w:rPr>
          <w:rFonts w:cstheme="minorHAnsi"/>
          <w:sz w:val="20"/>
          <w:szCs w:val="22"/>
        </w:rPr>
        <w:t>Avots: autoru veidots</w:t>
      </w:r>
    </w:p>
    <w:p w14:paraId="45B669CB" w14:textId="52F24627" w:rsidR="00B13164" w:rsidRPr="00446C16" w:rsidRDefault="00066F21" w:rsidP="00066F21">
      <w:pPr>
        <w:ind w:firstLine="851"/>
        <w:jc w:val="both"/>
      </w:pPr>
      <w:r w:rsidRPr="00446C16">
        <w:t>Ziņojum</w:t>
      </w:r>
      <w:r w:rsidR="00897AC4" w:rsidRPr="00446C16">
        <w:t>a</w:t>
      </w:r>
      <w:r w:rsidRPr="00446C16">
        <w:t xml:space="preserve"> </w:t>
      </w:r>
      <w:r w:rsidR="007E732A" w:rsidRPr="00446C16">
        <w:t>sākumā</w:t>
      </w:r>
      <w:r w:rsidRPr="00446C16">
        <w:t xml:space="preserve"> ir analizētas un aprakstītas kopējās izmaksu izmaiņu prognozes visā nozarē, īpašu uzmanību pievēršot darbaspēka un būvmateriālu izmaksu izmaiņas ietekmējošiem faktoriem, būvniecības produkcijas apjoma un izmaksu izmaiņu prognozēm, kā arī būvniecības produkcijas apjoma ietekmes uz izmaks</w:t>
      </w:r>
      <w:r w:rsidR="0077315B" w:rsidRPr="00446C16">
        <w:t>u izmaiņām</w:t>
      </w:r>
      <w:r w:rsidRPr="00446C16">
        <w:t xml:space="preserve"> un nozares vidējo peļņas normu. Turpinājumā analīze veikta dalījumā pa būvniecības apakšnozarēm</w:t>
      </w:r>
      <w:r w:rsidR="00047B16" w:rsidRPr="00446C16">
        <w:t xml:space="preserve"> un resursu veidiem</w:t>
      </w:r>
      <w:r w:rsidRPr="00446C16">
        <w:t>.</w:t>
      </w:r>
      <w:r w:rsidR="00047B16" w:rsidRPr="00446C16">
        <w:t xml:space="preserve"> </w:t>
      </w:r>
      <w:r w:rsidR="00295C19" w:rsidRPr="00446C16">
        <w:t>Ziņojums ietver galvenos rezultātus, bet pielikumā Nr. 1 izvērsta detalizēta analīze.</w:t>
      </w:r>
    </w:p>
    <w:p w14:paraId="560083AD" w14:textId="1C8AC5DE" w:rsidR="00047B16" w:rsidRPr="00446C16" w:rsidRDefault="00047B16" w:rsidP="00066F21">
      <w:pPr>
        <w:ind w:firstLine="851"/>
        <w:jc w:val="both"/>
      </w:pPr>
      <w:r w:rsidRPr="00446C16">
        <w:t xml:space="preserve">Iegūtie rezultāti uzrāda precīzas prognozēto būvniecības izmaksu izmaiņu vērtības, taču rezultātu interpretācijā jāņem vērā, ka iegūtie rezultāti vairāk norāda uz kopējām tendencēm un praksē var mainīties atkarībā no lielo būvniecības projektu faktiskās gaitas, tirgus reakcijas uz būvniecības apjoma izmaiņām un virknes citu faktoru, kurus precīzi nav iespējams prognozēt. </w:t>
      </w:r>
    </w:p>
    <w:p w14:paraId="7088A6A1" w14:textId="456D65D9" w:rsidR="00D91DBE" w:rsidRPr="00446C16" w:rsidRDefault="00D91DBE" w:rsidP="00066F21">
      <w:pPr>
        <w:ind w:firstLine="851"/>
        <w:jc w:val="both"/>
      </w:pPr>
    </w:p>
    <w:p w14:paraId="10E91D50" w14:textId="5A16339E" w:rsidR="00D91DBE" w:rsidRPr="00446C16" w:rsidRDefault="00D91DBE" w:rsidP="00066F21">
      <w:pPr>
        <w:ind w:firstLine="851"/>
        <w:jc w:val="both"/>
      </w:pPr>
    </w:p>
    <w:p w14:paraId="20C71F06" w14:textId="11FDEEDE" w:rsidR="00D91DBE" w:rsidRPr="00446C16" w:rsidRDefault="00D91DBE" w:rsidP="00066F21">
      <w:pPr>
        <w:ind w:firstLine="851"/>
        <w:jc w:val="both"/>
      </w:pPr>
    </w:p>
    <w:p w14:paraId="55C16B47" w14:textId="783D5835" w:rsidR="00D91DBE" w:rsidRPr="00446C16" w:rsidRDefault="00D91DBE" w:rsidP="00066F21">
      <w:pPr>
        <w:ind w:firstLine="851"/>
        <w:jc w:val="both"/>
      </w:pPr>
    </w:p>
    <w:p w14:paraId="646DEC27" w14:textId="68097A98" w:rsidR="00D91DBE" w:rsidRPr="00446C16" w:rsidRDefault="00D91DBE" w:rsidP="00066F21">
      <w:pPr>
        <w:ind w:firstLine="851"/>
        <w:jc w:val="both"/>
      </w:pPr>
    </w:p>
    <w:p w14:paraId="4EB0FEAC" w14:textId="7726E413" w:rsidR="00D91DBE" w:rsidRPr="00446C16" w:rsidRDefault="00D91DBE" w:rsidP="00066F21">
      <w:pPr>
        <w:ind w:firstLine="851"/>
        <w:jc w:val="both"/>
      </w:pPr>
    </w:p>
    <w:p w14:paraId="2A0893B5" w14:textId="26174253" w:rsidR="00D91DBE" w:rsidRPr="00446C16" w:rsidRDefault="00D91DBE" w:rsidP="00066F21">
      <w:pPr>
        <w:ind w:firstLine="851"/>
        <w:jc w:val="both"/>
      </w:pPr>
    </w:p>
    <w:p w14:paraId="7EE6CA91" w14:textId="40F6DBC1" w:rsidR="00515FED" w:rsidRPr="00446C16" w:rsidRDefault="00515FED" w:rsidP="00515FED">
      <w:pPr>
        <w:pStyle w:val="Heading1"/>
        <w:numPr>
          <w:ilvl w:val="0"/>
          <w:numId w:val="5"/>
        </w:numPr>
        <w:ind w:left="0" w:firstLine="0"/>
        <w:jc w:val="both"/>
        <w:rPr>
          <w:caps w:val="0"/>
          <w:sz w:val="30"/>
          <w:szCs w:val="30"/>
        </w:rPr>
      </w:pPr>
      <w:bookmarkStart w:id="19" w:name="_Toc13492534"/>
      <w:bookmarkStart w:id="20" w:name="_Toc13574574"/>
      <w:bookmarkStart w:id="21" w:name="_Toc13576361"/>
      <w:bookmarkStart w:id="22" w:name="_Toc13580114"/>
      <w:bookmarkStart w:id="23" w:name="_Toc13673296"/>
      <w:bookmarkStart w:id="24" w:name="_Toc13673612"/>
      <w:bookmarkStart w:id="25" w:name="_Toc13492535"/>
      <w:bookmarkStart w:id="26" w:name="_Toc13574575"/>
      <w:bookmarkStart w:id="27" w:name="_Toc13576362"/>
      <w:bookmarkStart w:id="28" w:name="_Toc13580115"/>
      <w:bookmarkStart w:id="29" w:name="_Toc13673297"/>
      <w:bookmarkStart w:id="30" w:name="_Toc13673613"/>
      <w:bookmarkStart w:id="31" w:name="_Toc13492536"/>
      <w:bookmarkStart w:id="32" w:name="_Toc13574576"/>
      <w:bookmarkStart w:id="33" w:name="_Toc13576363"/>
      <w:bookmarkStart w:id="34" w:name="_Toc13580116"/>
      <w:bookmarkStart w:id="35" w:name="_Toc13673298"/>
      <w:bookmarkStart w:id="36" w:name="_Toc13673614"/>
      <w:bookmarkStart w:id="37" w:name="_Toc13492537"/>
      <w:bookmarkStart w:id="38" w:name="_Toc13574577"/>
      <w:bookmarkStart w:id="39" w:name="_Toc13576364"/>
      <w:bookmarkStart w:id="40" w:name="_Toc13580117"/>
      <w:bookmarkStart w:id="41" w:name="_Toc13673299"/>
      <w:bookmarkStart w:id="42" w:name="_Toc13673615"/>
      <w:bookmarkStart w:id="43" w:name="_Toc13492538"/>
      <w:bookmarkStart w:id="44" w:name="_Toc13574578"/>
      <w:bookmarkStart w:id="45" w:name="_Toc13576365"/>
      <w:bookmarkStart w:id="46" w:name="_Toc13580118"/>
      <w:bookmarkStart w:id="47" w:name="_Toc13673300"/>
      <w:bookmarkStart w:id="48" w:name="_Toc13673616"/>
      <w:bookmarkStart w:id="49" w:name="_Toc13492539"/>
      <w:bookmarkStart w:id="50" w:name="_Toc13574579"/>
      <w:bookmarkStart w:id="51" w:name="_Toc13576366"/>
      <w:bookmarkStart w:id="52" w:name="_Toc13580119"/>
      <w:bookmarkStart w:id="53" w:name="_Toc13673301"/>
      <w:bookmarkStart w:id="54" w:name="_Toc13673617"/>
      <w:bookmarkStart w:id="55" w:name="_Toc23163499"/>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446C16">
        <w:rPr>
          <w:caps w:val="0"/>
          <w:sz w:val="30"/>
          <w:szCs w:val="30"/>
        </w:rPr>
        <w:lastRenderedPageBreak/>
        <w:t xml:space="preserve">KOPĒJĀS BŪVNIECĪBAS PRODUKCIJAS APJOMA UN IZMAKSU </w:t>
      </w:r>
      <w:r w:rsidR="00D17547" w:rsidRPr="00446C16">
        <w:rPr>
          <w:caps w:val="0"/>
          <w:sz w:val="30"/>
          <w:szCs w:val="30"/>
        </w:rPr>
        <w:t xml:space="preserve">IZMAIŅU </w:t>
      </w:r>
      <w:r w:rsidRPr="00446C16">
        <w:rPr>
          <w:caps w:val="0"/>
          <w:sz w:val="30"/>
          <w:szCs w:val="30"/>
        </w:rPr>
        <w:t>PROGNOZES</w:t>
      </w:r>
      <w:bookmarkEnd w:id="55"/>
    </w:p>
    <w:p w14:paraId="0F5AB77D" w14:textId="0E9A06A2" w:rsidR="000E0072" w:rsidRPr="00446C16" w:rsidRDefault="00F70523" w:rsidP="00AE5D75">
      <w:pPr>
        <w:pStyle w:val="Heading2"/>
      </w:pPr>
      <w:bookmarkStart w:id="56" w:name="_Toc13475933"/>
      <w:bookmarkStart w:id="57" w:name="_Toc13492541"/>
      <w:bookmarkStart w:id="58" w:name="_Toc13574581"/>
      <w:bookmarkStart w:id="59" w:name="_Toc13576368"/>
      <w:bookmarkStart w:id="60" w:name="_Toc13580121"/>
      <w:bookmarkStart w:id="61" w:name="_Toc13673303"/>
      <w:bookmarkStart w:id="62" w:name="_Toc13673619"/>
      <w:bookmarkStart w:id="63" w:name="_Toc23163500"/>
      <w:bookmarkEnd w:id="18"/>
      <w:bookmarkEnd w:id="56"/>
      <w:bookmarkEnd w:id="57"/>
      <w:bookmarkEnd w:id="58"/>
      <w:bookmarkEnd w:id="59"/>
      <w:bookmarkEnd w:id="60"/>
      <w:bookmarkEnd w:id="61"/>
      <w:bookmarkEnd w:id="62"/>
      <w:r w:rsidRPr="00446C16">
        <w:t>Kopējā b</w:t>
      </w:r>
      <w:r w:rsidR="001D2359" w:rsidRPr="00446C16">
        <w:t>ūvniecības</w:t>
      </w:r>
      <w:r w:rsidR="008563CF" w:rsidRPr="00446C16">
        <w:t xml:space="preserve"> produkcijas</w:t>
      </w:r>
      <w:r w:rsidR="001D2359" w:rsidRPr="00446C16">
        <w:t xml:space="preserve"> </w:t>
      </w:r>
      <w:r w:rsidR="00515FED" w:rsidRPr="00446C16">
        <w:t>apjoma</w:t>
      </w:r>
      <w:r w:rsidR="001D2359" w:rsidRPr="00446C16">
        <w:t xml:space="preserve"> izmaiņu </w:t>
      </w:r>
      <w:r w:rsidRPr="00446C16">
        <w:t>prognozes</w:t>
      </w:r>
      <w:bookmarkStart w:id="64" w:name="_Hlk536008099"/>
      <w:bookmarkEnd w:id="63"/>
    </w:p>
    <w:p w14:paraId="5ED6E69E" w14:textId="03235933" w:rsidR="00AA6075" w:rsidRPr="00446C16" w:rsidRDefault="008F18FA" w:rsidP="00CD203D">
      <w:pPr>
        <w:ind w:firstLine="851"/>
        <w:jc w:val="both"/>
        <w:rPr>
          <w:rStyle w:val="st"/>
        </w:rPr>
      </w:pPr>
      <w:bookmarkStart w:id="65" w:name="_Hlk536008167"/>
      <w:bookmarkStart w:id="66" w:name="_Hlk536008129"/>
      <w:r w:rsidRPr="00446C16">
        <w:rPr>
          <w:rStyle w:val="st"/>
        </w:rPr>
        <w:t xml:space="preserve">Saskaņā ar izmaksu </w:t>
      </w:r>
      <w:r w:rsidR="00783454" w:rsidRPr="00446C16">
        <w:rPr>
          <w:rStyle w:val="st"/>
        </w:rPr>
        <w:t xml:space="preserve">izmaiņas </w:t>
      </w:r>
      <w:r w:rsidRPr="00446C16">
        <w:rPr>
          <w:rStyle w:val="st"/>
        </w:rPr>
        <w:t>ietekmējošo faktoru un statistisko datu analīzes rezultātiem</w:t>
      </w:r>
      <w:r w:rsidR="000C2E28" w:rsidRPr="00446C16">
        <w:rPr>
          <w:rStyle w:val="st"/>
        </w:rPr>
        <w:t>,</w:t>
      </w:r>
      <w:r w:rsidRPr="00446C16">
        <w:rPr>
          <w:rStyle w:val="st"/>
        </w:rPr>
        <w:t xml:space="preserve"> b</w:t>
      </w:r>
      <w:r w:rsidR="22E04E7E" w:rsidRPr="00446C16">
        <w:rPr>
          <w:rStyle w:val="st"/>
        </w:rPr>
        <w:t>ūvniecības izmaks</w:t>
      </w:r>
      <w:r w:rsidR="0077315B" w:rsidRPr="00446C16">
        <w:rPr>
          <w:rStyle w:val="st"/>
        </w:rPr>
        <w:t>u izmaiņas</w:t>
      </w:r>
      <w:r w:rsidR="22E04E7E" w:rsidRPr="00446C16">
        <w:rPr>
          <w:rStyle w:val="st"/>
        </w:rPr>
        <w:t xml:space="preserve"> lielā mērā ietekmē būvniecības produkcijas </w:t>
      </w:r>
      <w:r w:rsidR="005E33CA" w:rsidRPr="00446C16">
        <w:rPr>
          <w:rStyle w:val="st"/>
        </w:rPr>
        <w:t xml:space="preserve">apjoma </w:t>
      </w:r>
      <w:r w:rsidR="22E04E7E" w:rsidRPr="00446C16">
        <w:rPr>
          <w:rStyle w:val="st"/>
        </w:rPr>
        <w:t>pieprasījums un realizētais apjoms</w:t>
      </w:r>
      <w:r w:rsidR="00813C83" w:rsidRPr="00446C16">
        <w:rPr>
          <w:rStyle w:val="st"/>
        </w:rPr>
        <w:t xml:space="preserve">/piedāvājums, </w:t>
      </w:r>
      <w:r w:rsidR="22E04E7E" w:rsidRPr="00446C16">
        <w:rPr>
          <w:rStyle w:val="st"/>
        </w:rPr>
        <w:t xml:space="preserve">uz ko reaģē tirgus cenas, tādēļ būtiski ir apzināt iespējamās apjoma tendences un svārstības. </w:t>
      </w:r>
      <w:r w:rsidR="00AA6075" w:rsidRPr="00446C16">
        <w:rPr>
          <w:rStyle w:val="st"/>
        </w:rPr>
        <w:t xml:space="preserve">Pēc būvniecības produkcijas </w:t>
      </w:r>
      <w:r w:rsidR="005E33CA" w:rsidRPr="00446C16">
        <w:rPr>
          <w:rStyle w:val="st"/>
        </w:rPr>
        <w:t xml:space="preserve">apjoma </w:t>
      </w:r>
      <w:r w:rsidR="00AA6075" w:rsidRPr="00446C16">
        <w:rPr>
          <w:rStyle w:val="st"/>
        </w:rPr>
        <w:t>krituma 2016.</w:t>
      </w:r>
      <w:r w:rsidR="007614D9" w:rsidRPr="00446C16">
        <w:rPr>
          <w:rStyle w:val="st"/>
        </w:rPr>
        <w:t xml:space="preserve"> </w:t>
      </w:r>
      <w:r w:rsidR="00AA6075" w:rsidRPr="00446C16">
        <w:rPr>
          <w:rStyle w:val="st"/>
        </w:rPr>
        <w:t>gadā (-16,60%, pret iepriekšējo gadu) sekoja straujš pieaugums 2017.</w:t>
      </w:r>
      <w:r w:rsidR="008165C0" w:rsidRPr="00446C16">
        <w:rPr>
          <w:rStyle w:val="st"/>
        </w:rPr>
        <w:t xml:space="preserve"> </w:t>
      </w:r>
      <w:r w:rsidR="00AA6075" w:rsidRPr="00446C16">
        <w:rPr>
          <w:rStyle w:val="st"/>
        </w:rPr>
        <w:t>gadā (18,71%, pret iepriekšējo gadu) un 2018.</w:t>
      </w:r>
      <w:r w:rsidR="008165C0" w:rsidRPr="00446C16">
        <w:rPr>
          <w:rStyle w:val="st"/>
        </w:rPr>
        <w:t xml:space="preserve"> </w:t>
      </w:r>
      <w:r w:rsidR="00AA6075" w:rsidRPr="00446C16">
        <w:rPr>
          <w:rStyle w:val="st"/>
        </w:rPr>
        <w:t>gadā (21,82%, pret iepriekšējo gadu).</w:t>
      </w:r>
      <w:r w:rsidR="00AA6075" w:rsidRPr="00446C16">
        <w:rPr>
          <w:rStyle w:val="FootnoteReference"/>
        </w:rPr>
        <w:footnoteReference w:id="3"/>
      </w:r>
      <w:r w:rsidR="00AA6075" w:rsidRPr="00446C16">
        <w:rPr>
          <w:rStyle w:val="st"/>
        </w:rPr>
        <w:t xml:space="preserve"> Galvenais iemesls pieaugumam bija </w:t>
      </w:r>
      <w:r w:rsidR="00DD4950" w:rsidRPr="00446C16">
        <w:rPr>
          <w:rStyle w:val="st"/>
        </w:rPr>
        <w:t>ES fondu būvniecības projektu</w:t>
      </w:r>
      <w:r w:rsidR="00AA6075" w:rsidRPr="00446C16">
        <w:rPr>
          <w:rStyle w:val="st"/>
        </w:rPr>
        <w:t xml:space="preserve"> apjoma pieaugums.</w:t>
      </w:r>
      <w:r w:rsidR="00AA6075" w:rsidRPr="00446C16">
        <w:rPr>
          <w:rStyle w:val="FootnoteReference"/>
        </w:rPr>
        <w:footnoteReference w:id="4"/>
      </w:r>
      <w:r w:rsidR="00AA6075" w:rsidRPr="00446C16">
        <w:rPr>
          <w:rStyle w:val="st"/>
        </w:rPr>
        <w:t xml:space="preserve"> </w:t>
      </w:r>
    </w:p>
    <w:p w14:paraId="1ED79D9C" w14:textId="6A6A4E64" w:rsidR="00CE1763" w:rsidRPr="00446C16" w:rsidRDefault="006811AC" w:rsidP="00E173D7">
      <w:pPr>
        <w:spacing w:before="100" w:after="200"/>
        <w:ind w:firstLine="850"/>
        <w:jc w:val="both"/>
        <w:rPr>
          <w:rStyle w:val="st"/>
        </w:rPr>
      </w:pPr>
      <w:r w:rsidRPr="00446C16">
        <w:rPr>
          <w:rStyle w:val="st"/>
        </w:rPr>
        <w:t xml:space="preserve">Nozares </w:t>
      </w:r>
      <w:r w:rsidR="004F3639" w:rsidRPr="00446C16">
        <w:rPr>
          <w:rStyle w:val="st"/>
        </w:rPr>
        <w:t>ekspertu</w:t>
      </w:r>
      <w:r w:rsidRPr="00446C16">
        <w:rPr>
          <w:rStyle w:val="st"/>
        </w:rPr>
        <w:t xml:space="preserve"> vērtējum</w:t>
      </w:r>
      <w:r w:rsidR="00AA1591" w:rsidRPr="00446C16">
        <w:rPr>
          <w:rStyle w:val="st"/>
        </w:rPr>
        <w:t>u apkopojums</w:t>
      </w:r>
      <w:r w:rsidR="00AA1591" w:rsidRPr="00446C16">
        <w:rPr>
          <w:rStyle w:val="FootnoteReference"/>
        </w:rPr>
        <w:footnoteReference w:id="5"/>
      </w:r>
      <w:r w:rsidRPr="00446C16">
        <w:rPr>
          <w:rStyle w:val="st"/>
        </w:rPr>
        <w:t xml:space="preserve"> norāda, ka 2019.</w:t>
      </w:r>
      <w:r w:rsidR="00BD5C38" w:rsidRPr="00446C16">
        <w:rPr>
          <w:rStyle w:val="st"/>
        </w:rPr>
        <w:t xml:space="preserve"> </w:t>
      </w:r>
      <w:r w:rsidRPr="00446C16">
        <w:rPr>
          <w:rStyle w:val="st"/>
        </w:rPr>
        <w:t>-</w:t>
      </w:r>
      <w:r w:rsidR="00BD5C38" w:rsidRPr="00446C16">
        <w:rPr>
          <w:rStyle w:val="st"/>
        </w:rPr>
        <w:t xml:space="preserve"> </w:t>
      </w:r>
      <w:r w:rsidRPr="00446C16">
        <w:rPr>
          <w:rStyle w:val="st"/>
        </w:rPr>
        <w:t>202</w:t>
      </w:r>
      <w:r w:rsidR="00AA1591" w:rsidRPr="00446C16">
        <w:rPr>
          <w:rStyle w:val="st"/>
        </w:rPr>
        <w:t>1</w:t>
      </w:r>
      <w:r w:rsidRPr="00446C16">
        <w:rPr>
          <w:rStyle w:val="st"/>
        </w:rPr>
        <w:t>.</w:t>
      </w:r>
      <w:r w:rsidR="00405861" w:rsidRPr="00446C16">
        <w:rPr>
          <w:rStyle w:val="st"/>
        </w:rPr>
        <w:t xml:space="preserve"> </w:t>
      </w:r>
      <w:r w:rsidRPr="00446C16">
        <w:rPr>
          <w:rStyle w:val="st"/>
        </w:rPr>
        <w:t>g</w:t>
      </w:r>
      <w:r w:rsidR="00BD5C38" w:rsidRPr="00446C16">
        <w:rPr>
          <w:rStyle w:val="st"/>
        </w:rPr>
        <w:t>ad</w:t>
      </w:r>
      <w:r w:rsidR="00405861" w:rsidRPr="00446C16">
        <w:rPr>
          <w:rStyle w:val="st"/>
        </w:rPr>
        <w:t>os</w:t>
      </w:r>
      <w:r w:rsidR="00AA1591" w:rsidRPr="00446C16">
        <w:rPr>
          <w:rStyle w:val="st"/>
        </w:rPr>
        <w:t xml:space="preserve"> gaidāms būvniecības produkcijas apjoma pieaugums, kumulatīvi sasniedzot </w:t>
      </w:r>
      <w:r w:rsidR="006347CD" w:rsidRPr="00446C16">
        <w:rPr>
          <w:rStyle w:val="st"/>
        </w:rPr>
        <w:t>38</w:t>
      </w:r>
      <w:r w:rsidR="00AA1591" w:rsidRPr="00446C16">
        <w:rPr>
          <w:rStyle w:val="st"/>
        </w:rPr>
        <w:t>%</w:t>
      </w:r>
      <w:r w:rsidRPr="00446C16">
        <w:rPr>
          <w:rStyle w:val="st"/>
        </w:rPr>
        <w:t xml:space="preserve"> </w:t>
      </w:r>
      <w:r w:rsidR="00AA1591" w:rsidRPr="00446C16">
        <w:rPr>
          <w:rStyle w:val="st"/>
        </w:rPr>
        <w:t>pret 2018.</w:t>
      </w:r>
      <w:r w:rsidR="00405861" w:rsidRPr="00446C16">
        <w:rPr>
          <w:rStyle w:val="st"/>
        </w:rPr>
        <w:t xml:space="preserve"> </w:t>
      </w:r>
      <w:r w:rsidR="00AA1591" w:rsidRPr="00446C16">
        <w:rPr>
          <w:rStyle w:val="st"/>
        </w:rPr>
        <w:t>gada līmeni.</w:t>
      </w:r>
      <w:r w:rsidR="00B13A00" w:rsidRPr="00446C16">
        <w:rPr>
          <w:rStyle w:val="st"/>
        </w:rPr>
        <w:t xml:space="preserve"> </w:t>
      </w:r>
      <w:r w:rsidR="00670BB5" w:rsidRPr="00446C16">
        <w:rPr>
          <w:rStyle w:val="st"/>
        </w:rPr>
        <w:t>N</w:t>
      </w:r>
      <w:r w:rsidR="00CE1763" w:rsidRPr="00446C16">
        <w:rPr>
          <w:rStyle w:val="st"/>
        </w:rPr>
        <w:t>ovērojamas diezgan būtiskas</w:t>
      </w:r>
      <w:r w:rsidR="004F3639" w:rsidRPr="00446C16">
        <w:rPr>
          <w:rStyle w:val="st"/>
        </w:rPr>
        <w:t xml:space="preserve"> dažādu ekspertu vērtējum</w:t>
      </w:r>
      <w:r w:rsidR="00CE1763" w:rsidRPr="00446C16">
        <w:rPr>
          <w:rStyle w:val="st"/>
        </w:rPr>
        <w:t>u atšķirības</w:t>
      </w:r>
      <w:r w:rsidR="00670BB5" w:rsidRPr="00446C16">
        <w:rPr>
          <w:rStyle w:val="st"/>
        </w:rPr>
        <w:t>, taču vidējais vērtējums norāda, ka pēc 2021.</w:t>
      </w:r>
      <w:r w:rsidR="00405861" w:rsidRPr="00446C16">
        <w:rPr>
          <w:rStyle w:val="st"/>
        </w:rPr>
        <w:t xml:space="preserve"> </w:t>
      </w:r>
      <w:r w:rsidR="00670BB5" w:rsidRPr="00446C16">
        <w:rPr>
          <w:rStyle w:val="st"/>
        </w:rPr>
        <w:t xml:space="preserve">gada būvniecības </w:t>
      </w:r>
      <w:r w:rsidR="00DA5EF2" w:rsidRPr="00446C16">
        <w:rPr>
          <w:rFonts w:cstheme="minorHAnsi"/>
          <w:szCs w:val="22"/>
        </w:rPr>
        <w:t>produkcijas</w:t>
      </w:r>
      <w:r w:rsidR="00DA5EF2" w:rsidRPr="00446C16">
        <w:rPr>
          <w:rStyle w:val="st"/>
        </w:rPr>
        <w:t xml:space="preserve"> </w:t>
      </w:r>
      <w:r w:rsidR="00670BB5" w:rsidRPr="00446C16">
        <w:rPr>
          <w:rStyle w:val="st"/>
        </w:rPr>
        <w:t>apjoms saglabāsies gandrīz nemainīgs</w:t>
      </w:r>
      <w:r w:rsidR="00462DB7" w:rsidRPr="00446C16">
        <w:rPr>
          <w:rStyle w:val="st"/>
        </w:rPr>
        <w:t xml:space="preserve"> </w:t>
      </w:r>
      <w:r w:rsidR="004A2D70" w:rsidRPr="00446C16">
        <w:rPr>
          <w:rStyle w:val="st"/>
        </w:rPr>
        <w:t>(s</w:t>
      </w:r>
      <w:r w:rsidR="00462DB7" w:rsidRPr="00446C16">
        <w:rPr>
          <w:rStyle w:val="st"/>
        </w:rPr>
        <w:t>katīt a</w:t>
      </w:r>
      <w:r w:rsidRPr="00446C16">
        <w:rPr>
          <w:rStyle w:val="st"/>
        </w:rPr>
        <w:t>tt</w:t>
      </w:r>
      <w:r w:rsidR="008838EE" w:rsidRPr="00446C16">
        <w:rPr>
          <w:rStyle w:val="st"/>
        </w:rPr>
        <w:t>ē</w:t>
      </w:r>
      <w:r w:rsidRPr="00446C16">
        <w:rPr>
          <w:rStyle w:val="st"/>
        </w:rPr>
        <w:t>l</w:t>
      </w:r>
      <w:r w:rsidR="00462DB7" w:rsidRPr="00446C16">
        <w:rPr>
          <w:rStyle w:val="st"/>
        </w:rPr>
        <w:t>u</w:t>
      </w:r>
      <w:r w:rsidRPr="00446C16">
        <w:rPr>
          <w:rStyle w:val="st"/>
        </w:rPr>
        <w:t xml:space="preserve"> Nr.</w:t>
      </w:r>
      <w:r w:rsidR="00230A5D" w:rsidRPr="00446C16">
        <w:rPr>
          <w:rStyle w:val="st"/>
        </w:rPr>
        <w:t>2</w:t>
      </w:r>
      <w:r w:rsidRPr="00446C16">
        <w:rPr>
          <w:rStyle w:val="st"/>
        </w:rPr>
        <w:t xml:space="preserve">.). </w:t>
      </w:r>
    </w:p>
    <w:p w14:paraId="2EFD9286" w14:textId="771AB56A" w:rsidR="00303979" w:rsidRPr="00446C16" w:rsidRDefault="006811AC" w:rsidP="22E04E7E">
      <w:pPr>
        <w:ind w:firstLine="851"/>
        <w:jc w:val="both"/>
        <w:rPr>
          <w:rStyle w:val="st"/>
        </w:rPr>
      </w:pPr>
      <w:r w:rsidRPr="00446C16">
        <w:rPr>
          <w:rStyle w:val="st"/>
        </w:rPr>
        <w:t xml:space="preserve">Statistiskais trends, kas balstīts </w:t>
      </w:r>
      <w:r w:rsidR="00303979" w:rsidRPr="00446C16">
        <w:rPr>
          <w:rStyle w:val="st"/>
        </w:rPr>
        <w:t xml:space="preserve">uz </w:t>
      </w:r>
      <w:r w:rsidR="004A2D70" w:rsidRPr="00446C16">
        <w:rPr>
          <w:rStyle w:val="st"/>
        </w:rPr>
        <w:t>ciklisk</w:t>
      </w:r>
      <w:r w:rsidR="00303979" w:rsidRPr="00446C16">
        <w:rPr>
          <w:rStyle w:val="st"/>
        </w:rPr>
        <w:t>as</w:t>
      </w:r>
      <w:r w:rsidR="004A2D70" w:rsidRPr="00446C16">
        <w:rPr>
          <w:rStyle w:val="st"/>
        </w:rPr>
        <w:t xml:space="preserve"> dinamik</w:t>
      </w:r>
      <w:r w:rsidR="00303979" w:rsidRPr="00446C16">
        <w:rPr>
          <w:rStyle w:val="st"/>
        </w:rPr>
        <w:t>as modeli</w:t>
      </w:r>
      <w:r w:rsidR="00230A5D" w:rsidRPr="00446C16">
        <w:rPr>
          <w:rStyle w:val="st"/>
        </w:rPr>
        <w:t>,</w:t>
      </w:r>
      <w:r w:rsidR="004A2D70" w:rsidRPr="00446C16">
        <w:rPr>
          <w:rStyle w:val="st"/>
        </w:rPr>
        <w:t xml:space="preserve"> kopš 2010.</w:t>
      </w:r>
      <w:r w:rsidR="00FC2A08" w:rsidRPr="00446C16">
        <w:rPr>
          <w:rStyle w:val="st"/>
        </w:rPr>
        <w:t xml:space="preserve"> </w:t>
      </w:r>
      <w:r w:rsidR="004A2D70" w:rsidRPr="00446C16">
        <w:rPr>
          <w:rStyle w:val="st"/>
        </w:rPr>
        <w:t>g</w:t>
      </w:r>
      <w:r w:rsidR="00303979" w:rsidRPr="00446C16">
        <w:rPr>
          <w:rStyle w:val="st"/>
        </w:rPr>
        <w:t>ada</w:t>
      </w:r>
      <w:r w:rsidR="00230A5D" w:rsidRPr="00446C16">
        <w:rPr>
          <w:rStyle w:val="st"/>
        </w:rPr>
        <w:t>,</w:t>
      </w:r>
      <w:r w:rsidR="004A2D70" w:rsidRPr="00446C16">
        <w:rPr>
          <w:rStyle w:val="st"/>
        </w:rPr>
        <w:t xml:space="preserve"> </w:t>
      </w:r>
      <w:r w:rsidR="00303979" w:rsidRPr="00446C16">
        <w:rPr>
          <w:rStyle w:val="st"/>
        </w:rPr>
        <w:t xml:space="preserve">tādējādi </w:t>
      </w:r>
      <w:r w:rsidR="004A2D70" w:rsidRPr="00446C16">
        <w:rPr>
          <w:rStyle w:val="st"/>
        </w:rPr>
        <w:t>neņem</w:t>
      </w:r>
      <w:r w:rsidR="00303979" w:rsidRPr="00446C16">
        <w:rPr>
          <w:rStyle w:val="st"/>
        </w:rPr>
        <w:t>ot</w:t>
      </w:r>
      <w:r w:rsidR="004A2D70" w:rsidRPr="00446C16">
        <w:rPr>
          <w:rStyle w:val="st"/>
        </w:rPr>
        <w:t xml:space="preserve"> vērā ekonomiskās krīzes kritum</w:t>
      </w:r>
      <w:r w:rsidR="00303979" w:rsidRPr="00446C16">
        <w:rPr>
          <w:rStyle w:val="st"/>
        </w:rPr>
        <w:t>a efektu</w:t>
      </w:r>
      <w:r w:rsidR="004A2D70" w:rsidRPr="00446C16">
        <w:rPr>
          <w:rStyle w:val="st"/>
        </w:rPr>
        <w:t>, uzrāda, ka 2022.</w:t>
      </w:r>
      <w:r w:rsidR="00FC2A08" w:rsidRPr="00446C16">
        <w:rPr>
          <w:rStyle w:val="st"/>
        </w:rPr>
        <w:t xml:space="preserve"> </w:t>
      </w:r>
      <w:r w:rsidR="004A2D70" w:rsidRPr="00446C16">
        <w:rPr>
          <w:rStyle w:val="st"/>
        </w:rPr>
        <w:t>g</w:t>
      </w:r>
      <w:r w:rsidR="007F28AF" w:rsidRPr="00446C16">
        <w:rPr>
          <w:rStyle w:val="st"/>
        </w:rPr>
        <w:t>adā</w:t>
      </w:r>
      <w:r w:rsidR="004A2D70" w:rsidRPr="00446C16">
        <w:rPr>
          <w:rStyle w:val="st"/>
        </w:rPr>
        <w:t xml:space="preserve"> iespējams līdzīgs apjoma kritums, kāds tika pieredzēts 2016</w:t>
      </w:r>
      <w:r w:rsidR="00100D75" w:rsidRPr="00446C16">
        <w:rPr>
          <w:rStyle w:val="st"/>
        </w:rPr>
        <w:t>. gad</w:t>
      </w:r>
      <w:r w:rsidR="00230A5D" w:rsidRPr="00446C16">
        <w:rPr>
          <w:rStyle w:val="st"/>
        </w:rPr>
        <w:t>ā</w:t>
      </w:r>
      <w:r w:rsidRPr="00446C16">
        <w:rPr>
          <w:rStyle w:val="st"/>
        </w:rPr>
        <w:t xml:space="preserve">. </w:t>
      </w:r>
      <w:r w:rsidR="00E2762D" w:rsidRPr="00446C16">
        <w:rPr>
          <w:rStyle w:val="st"/>
        </w:rPr>
        <w:t xml:space="preserve">Taču </w:t>
      </w:r>
      <w:r w:rsidR="00CE1763" w:rsidRPr="00446C16">
        <w:rPr>
          <w:rStyle w:val="st"/>
        </w:rPr>
        <w:t xml:space="preserve">kopējais būvniecības </w:t>
      </w:r>
      <w:r w:rsidR="00DA5EF2" w:rsidRPr="00446C16">
        <w:rPr>
          <w:rFonts w:cstheme="minorHAnsi"/>
          <w:szCs w:val="22"/>
        </w:rPr>
        <w:t>produkcijas</w:t>
      </w:r>
      <w:r w:rsidR="00DA5EF2" w:rsidRPr="00446C16">
        <w:rPr>
          <w:rStyle w:val="st"/>
        </w:rPr>
        <w:t xml:space="preserve"> </w:t>
      </w:r>
      <w:r w:rsidR="00CE1763" w:rsidRPr="00446C16">
        <w:rPr>
          <w:rStyle w:val="st"/>
        </w:rPr>
        <w:t>apjoms šī modeļa ietvaros pat zemākajā punktā, 2022</w:t>
      </w:r>
      <w:r w:rsidR="00100D75" w:rsidRPr="00446C16">
        <w:rPr>
          <w:rStyle w:val="st"/>
        </w:rPr>
        <w:t>. gad</w:t>
      </w:r>
      <w:r w:rsidR="00CE1763" w:rsidRPr="00446C16">
        <w:rPr>
          <w:rStyle w:val="st"/>
        </w:rPr>
        <w:t>ā</w:t>
      </w:r>
      <w:r w:rsidR="009969D5" w:rsidRPr="00446C16">
        <w:rPr>
          <w:rStyle w:val="st"/>
        </w:rPr>
        <w:t>,</w:t>
      </w:r>
      <w:r w:rsidR="00CE1763" w:rsidRPr="00446C16">
        <w:rPr>
          <w:rStyle w:val="st"/>
        </w:rPr>
        <w:t xml:space="preserve"> būtu 7,8% no</w:t>
      </w:r>
      <w:r w:rsidR="00230A5D" w:rsidRPr="00446C16">
        <w:rPr>
          <w:rStyle w:val="st"/>
        </w:rPr>
        <w:t xml:space="preserve"> </w:t>
      </w:r>
      <w:r w:rsidR="00CE1763" w:rsidRPr="00446C16">
        <w:rPr>
          <w:rStyle w:val="st"/>
        </w:rPr>
        <w:t>2018</w:t>
      </w:r>
      <w:r w:rsidR="00100D75" w:rsidRPr="00446C16">
        <w:rPr>
          <w:rStyle w:val="st"/>
        </w:rPr>
        <w:t>. gad</w:t>
      </w:r>
      <w:r w:rsidR="00CE1763" w:rsidRPr="00446C16">
        <w:rPr>
          <w:rStyle w:val="st"/>
        </w:rPr>
        <w:t xml:space="preserve">a līmeņa. </w:t>
      </w:r>
    </w:p>
    <w:p w14:paraId="0EE1950D" w14:textId="3EAF8B1B" w:rsidR="00E51A20" w:rsidRPr="00446C16" w:rsidRDefault="00E51A20" w:rsidP="00B13164">
      <w:pPr>
        <w:jc w:val="center"/>
        <w:rPr>
          <w:b/>
          <w:sz w:val="20"/>
        </w:rPr>
      </w:pPr>
      <w:r w:rsidRPr="00446C16">
        <w:rPr>
          <w:b/>
          <w:sz w:val="20"/>
        </w:rPr>
        <w:t>At</w:t>
      </w:r>
      <w:bookmarkStart w:id="67" w:name="_Hlk10810290"/>
      <w:r w:rsidR="00795258" w:rsidRPr="00446C16">
        <w:rPr>
          <w:b/>
          <w:sz w:val="20"/>
        </w:rPr>
        <w:t>tēls Nr. 2</w:t>
      </w:r>
      <w:r w:rsidR="00AD7D17" w:rsidRPr="00446C16">
        <w:rPr>
          <w:b/>
          <w:sz w:val="20"/>
        </w:rPr>
        <w:t xml:space="preserve">. Būvniecības </w:t>
      </w:r>
      <w:r w:rsidRPr="00446C16">
        <w:rPr>
          <w:b/>
          <w:sz w:val="20"/>
        </w:rPr>
        <w:t>produkcijas apjoma izmaiņas līdz 2018.</w:t>
      </w:r>
      <w:r w:rsidR="00BD6BAC" w:rsidRPr="00446C16">
        <w:rPr>
          <w:b/>
          <w:sz w:val="20"/>
        </w:rPr>
        <w:t xml:space="preserve"> </w:t>
      </w:r>
      <w:r w:rsidRPr="00446C16">
        <w:rPr>
          <w:b/>
          <w:sz w:val="20"/>
        </w:rPr>
        <w:t>gadam un prognozes no 2019. līdz 2023.</w:t>
      </w:r>
      <w:r w:rsidR="00C232A3" w:rsidRPr="00446C16">
        <w:rPr>
          <w:b/>
          <w:sz w:val="20"/>
        </w:rPr>
        <w:t xml:space="preserve"> </w:t>
      </w:r>
      <w:r w:rsidRPr="00446C16">
        <w:rPr>
          <w:b/>
          <w:sz w:val="20"/>
        </w:rPr>
        <w:t>gadam</w:t>
      </w:r>
      <w:bookmarkEnd w:id="67"/>
      <w:r w:rsidR="00C232A3" w:rsidRPr="00446C16">
        <w:rPr>
          <w:b/>
          <w:sz w:val="20"/>
        </w:rPr>
        <w:t xml:space="preserve">, </w:t>
      </w:r>
      <w:r w:rsidR="00F6421B" w:rsidRPr="00446C16">
        <w:rPr>
          <w:b/>
          <w:sz w:val="20"/>
        </w:rPr>
        <w:t>kumulatīvās izmaiņas pret 2018.</w:t>
      </w:r>
      <w:r w:rsidR="00BD6BAC" w:rsidRPr="00446C16">
        <w:rPr>
          <w:b/>
          <w:sz w:val="20"/>
        </w:rPr>
        <w:t xml:space="preserve"> </w:t>
      </w:r>
      <w:r w:rsidR="00F6421B" w:rsidRPr="00446C16">
        <w:rPr>
          <w:b/>
          <w:sz w:val="20"/>
        </w:rPr>
        <w:t>gadu, %</w:t>
      </w:r>
    </w:p>
    <w:p w14:paraId="6F785D61" w14:textId="31DFA3F8" w:rsidR="00BE3152" w:rsidRPr="00446C16" w:rsidRDefault="00E74C9F" w:rsidP="00B13164">
      <w:pPr>
        <w:jc w:val="center"/>
        <w:rPr>
          <w:bCs/>
          <w:sz w:val="20"/>
        </w:rPr>
      </w:pPr>
      <w:r w:rsidRPr="00446C16">
        <w:rPr>
          <w:bCs/>
          <w:noProof/>
          <w:sz w:val="20"/>
          <w:lang w:val="en-US"/>
        </w:rPr>
        <w:drawing>
          <wp:inline distT="0" distB="0" distL="0" distR="0" wp14:anchorId="26A0CF86" wp14:editId="78FA48DF">
            <wp:extent cx="4961200" cy="33340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67538" cy="3338302"/>
                    </a:xfrm>
                    <a:prstGeom prst="rect">
                      <a:avLst/>
                    </a:prstGeom>
                    <a:noFill/>
                  </pic:spPr>
                </pic:pic>
              </a:graphicData>
            </a:graphic>
          </wp:inline>
        </w:drawing>
      </w:r>
    </w:p>
    <w:p w14:paraId="64B287C8" w14:textId="3ECC23DF" w:rsidR="00DA58EF" w:rsidRPr="00446C16" w:rsidRDefault="00E51A20">
      <w:pPr>
        <w:jc w:val="center"/>
        <w:rPr>
          <w:sz w:val="20"/>
        </w:rPr>
      </w:pPr>
      <w:r w:rsidRPr="00446C16">
        <w:rPr>
          <w:sz w:val="20"/>
        </w:rPr>
        <w:t xml:space="preserve">Avots: </w:t>
      </w:r>
      <w:bookmarkStart w:id="68" w:name="_Hlk10810282"/>
      <w:r w:rsidRPr="00446C16">
        <w:rPr>
          <w:sz w:val="20"/>
        </w:rPr>
        <w:t>CSP vēsturiskie dati līdz 2018. gadam (ieskaitot) un autoru veikt</w:t>
      </w:r>
      <w:r w:rsidR="00C232A3" w:rsidRPr="00446C16">
        <w:rPr>
          <w:sz w:val="20"/>
        </w:rPr>
        <w:t xml:space="preserve">i aprēķini, balstoties uz ekspertu vērtējumiem un </w:t>
      </w:r>
      <w:r w:rsidR="009C6C13" w:rsidRPr="00446C16">
        <w:rPr>
          <w:sz w:val="20"/>
        </w:rPr>
        <w:t>izstrādāt</w:t>
      </w:r>
      <w:r w:rsidR="000B416B" w:rsidRPr="00446C16">
        <w:rPr>
          <w:sz w:val="20"/>
        </w:rPr>
        <w:t>ā statistisk</w:t>
      </w:r>
      <w:r w:rsidR="00546796" w:rsidRPr="00446C16">
        <w:rPr>
          <w:sz w:val="20"/>
        </w:rPr>
        <w:t>ā</w:t>
      </w:r>
      <w:r w:rsidR="000B416B" w:rsidRPr="00446C16">
        <w:rPr>
          <w:sz w:val="20"/>
        </w:rPr>
        <w:t xml:space="preserve"> trenda rezultātiem</w:t>
      </w:r>
      <w:r w:rsidR="009C6C13" w:rsidRPr="00446C16">
        <w:rPr>
          <w:sz w:val="20"/>
        </w:rPr>
        <w:t xml:space="preserve"> </w:t>
      </w:r>
      <w:r w:rsidR="00C232A3" w:rsidRPr="00446C16">
        <w:rPr>
          <w:sz w:val="20"/>
        </w:rPr>
        <w:t xml:space="preserve">- </w:t>
      </w:r>
      <w:r w:rsidRPr="00446C16">
        <w:rPr>
          <w:sz w:val="20"/>
        </w:rPr>
        <w:t xml:space="preserve">prognoze 2019.-2023. </w:t>
      </w:r>
      <w:r w:rsidR="00430C86" w:rsidRPr="00446C16">
        <w:rPr>
          <w:sz w:val="20"/>
        </w:rPr>
        <w:t>gadiem</w:t>
      </w:r>
      <w:bookmarkEnd w:id="68"/>
    </w:p>
    <w:p w14:paraId="38CA1573" w14:textId="421F3E45" w:rsidR="00F75DC7" w:rsidRPr="00446C16" w:rsidRDefault="22E04E7E" w:rsidP="22E04E7E">
      <w:pPr>
        <w:ind w:firstLine="851"/>
        <w:jc w:val="both"/>
        <w:rPr>
          <w:rStyle w:val="st"/>
        </w:rPr>
      </w:pPr>
      <w:r w:rsidRPr="00446C16">
        <w:rPr>
          <w:rStyle w:val="st"/>
        </w:rPr>
        <w:lastRenderedPageBreak/>
        <w:t xml:space="preserve">Salīdzinot </w:t>
      </w:r>
      <w:r w:rsidR="000B416B" w:rsidRPr="00446C16">
        <w:rPr>
          <w:rStyle w:val="st"/>
        </w:rPr>
        <w:t>abus</w:t>
      </w:r>
      <w:r w:rsidRPr="00446C16">
        <w:rPr>
          <w:rStyle w:val="st"/>
        </w:rPr>
        <w:t xml:space="preserve"> prognožu datu avotus</w:t>
      </w:r>
      <w:r w:rsidR="006347CD" w:rsidRPr="00446C16">
        <w:rPr>
          <w:rStyle w:val="st"/>
        </w:rPr>
        <w:t>,</w:t>
      </w:r>
      <w:r w:rsidRPr="00446C16">
        <w:rPr>
          <w:rStyle w:val="st"/>
        </w:rPr>
        <w:t xml:space="preserve"> secināms, ka ekspertu redzējums ir optimistiskāks un tas var būt saistīts ar </w:t>
      </w:r>
      <w:r w:rsidR="000B416B" w:rsidRPr="00446C16">
        <w:rPr>
          <w:rStyle w:val="st"/>
        </w:rPr>
        <w:t xml:space="preserve">reālā pieprasījuma izpratni, taču </w:t>
      </w:r>
      <w:r w:rsidRPr="00446C16">
        <w:rPr>
          <w:rStyle w:val="st"/>
        </w:rPr>
        <w:t>pēdējo gadu straujā kāpuma pieredz</w:t>
      </w:r>
      <w:r w:rsidR="000B416B" w:rsidRPr="00446C16">
        <w:rPr>
          <w:rStyle w:val="st"/>
        </w:rPr>
        <w:t>e var būt radījusi pārspīlētu optimismu</w:t>
      </w:r>
      <w:r w:rsidRPr="00446C16">
        <w:rPr>
          <w:rStyle w:val="st"/>
        </w:rPr>
        <w:t>. Statistiskais modelis norāda uz krituma risku, kas iestātos, ja, sarūkot publisko būvniecības iepirkumu apjomam, tirgus nebūtu pietiekoši elastīgs, lai reaģētu ar cenu samazinājumu, kā rezultātā privātais pieprasījums neaizvietotu publisko</w:t>
      </w:r>
      <w:r w:rsidR="001A08E5" w:rsidRPr="00446C16">
        <w:rPr>
          <w:rStyle w:val="st"/>
        </w:rPr>
        <w:t>, kā arī uz situāciju, kurā pirmajos ES fondu plānošanas perioda gados būvniecības projekti praksē vēl netiek īstenoti būtiskos apmēros</w:t>
      </w:r>
      <w:r w:rsidRPr="00446C16">
        <w:rPr>
          <w:rStyle w:val="st"/>
        </w:rPr>
        <w:t>.</w:t>
      </w:r>
    </w:p>
    <w:p w14:paraId="3B542422" w14:textId="21125391" w:rsidR="000B416B" w:rsidRPr="00446C16" w:rsidRDefault="000B416B" w:rsidP="000B416B">
      <w:pPr>
        <w:ind w:firstLine="851"/>
        <w:jc w:val="both"/>
        <w:rPr>
          <w:rStyle w:val="st"/>
        </w:rPr>
      </w:pPr>
      <w:r w:rsidRPr="00446C16">
        <w:t>Tādēļ metodoloģijā noteiktā pieeja ņemt vērā abu avotu datus uzskatāma par pamatotu</w:t>
      </w:r>
      <w:r w:rsidR="009D4F33" w:rsidRPr="00446C16">
        <w:t>,</w:t>
      </w:r>
      <w:r w:rsidRPr="00446C16">
        <w:t xml:space="preserve"> un kombinētā prognoze, kas veidota kā aritmētiskais vidējais no abu avotu datiem uzrāda pieaugumu katrā prognožu perioda gadā, izņemot 2022</w:t>
      </w:r>
      <w:r w:rsidR="00100D75" w:rsidRPr="00446C16">
        <w:t>. gad</w:t>
      </w:r>
      <w:r w:rsidRPr="00446C16">
        <w:t xml:space="preserve">u (skatīt </w:t>
      </w:r>
      <w:r w:rsidR="00D91DBE" w:rsidRPr="00446C16">
        <w:t>tabulu</w:t>
      </w:r>
      <w:r w:rsidR="006347CD" w:rsidRPr="00446C16">
        <w:t xml:space="preserve"> Nr.</w:t>
      </w:r>
      <w:r w:rsidR="00312B9B" w:rsidRPr="00446C16">
        <w:t xml:space="preserve"> 1</w:t>
      </w:r>
      <w:r w:rsidRPr="00446C16">
        <w:t>).</w:t>
      </w:r>
    </w:p>
    <w:p w14:paraId="1DC08CE9" w14:textId="5D9DA9AE" w:rsidR="00DA58EF" w:rsidRPr="00446C16" w:rsidRDefault="00DA58EF" w:rsidP="00DA58EF">
      <w:pPr>
        <w:jc w:val="center"/>
        <w:rPr>
          <w:b/>
          <w:bCs/>
          <w:sz w:val="20"/>
        </w:rPr>
      </w:pPr>
      <w:r w:rsidRPr="00446C16">
        <w:rPr>
          <w:b/>
          <w:bCs/>
          <w:sz w:val="20"/>
        </w:rPr>
        <w:t xml:space="preserve">Tabula </w:t>
      </w:r>
      <w:r w:rsidR="00312B9B" w:rsidRPr="00446C16">
        <w:rPr>
          <w:b/>
          <w:bCs/>
          <w:sz w:val="20"/>
        </w:rPr>
        <w:t>Nr. 1</w:t>
      </w:r>
      <w:r w:rsidRPr="00446C16">
        <w:rPr>
          <w:b/>
          <w:bCs/>
          <w:sz w:val="20"/>
        </w:rPr>
        <w:t xml:space="preserve">. </w:t>
      </w:r>
      <w:r w:rsidR="000B416B" w:rsidRPr="00446C16">
        <w:rPr>
          <w:b/>
          <w:bCs/>
          <w:sz w:val="20"/>
        </w:rPr>
        <w:t>Kombinētā prognoze</w:t>
      </w:r>
      <w:r w:rsidRPr="00446C16">
        <w:rPr>
          <w:b/>
          <w:bCs/>
          <w:sz w:val="20"/>
        </w:rPr>
        <w:t xml:space="preserve"> –</w:t>
      </w:r>
      <w:r w:rsidRPr="00446C16">
        <w:rPr>
          <w:b/>
          <w:bCs/>
        </w:rPr>
        <w:t xml:space="preserve"> </w:t>
      </w:r>
      <w:r w:rsidRPr="00446C16">
        <w:rPr>
          <w:b/>
          <w:bCs/>
          <w:sz w:val="20"/>
        </w:rPr>
        <w:t>bū</w:t>
      </w:r>
      <w:r w:rsidR="000B416B" w:rsidRPr="00446C16">
        <w:rPr>
          <w:b/>
          <w:bCs/>
          <w:sz w:val="20"/>
        </w:rPr>
        <w:t xml:space="preserve">vniecības produkcijas </w:t>
      </w:r>
      <w:r w:rsidR="000B416B" w:rsidRPr="00446C16">
        <w:rPr>
          <w:b/>
          <w:bCs/>
          <w:sz w:val="20"/>
          <w:u w:val="single"/>
        </w:rPr>
        <w:t>apjoma</w:t>
      </w:r>
      <w:r w:rsidRPr="00446C16">
        <w:rPr>
          <w:b/>
          <w:bCs/>
          <w:sz w:val="20"/>
        </w:rPr>
        <w:t xml:space="preserve"> izmaiņas pret iepriekšējo gadu, %</w:t>
      </w:r>
    </w:p>
    <w:tbl>
      <w:tblPr>
        <w:tblStyle w:val="PlainTable1"/>
        <w:tblW w:w="8964" w:type="dxa"/>
        <w:jc w:val="center"/>
        <w:tblLook w:val="04A0" w:firstRow="1" w:lastRow="0" w:firstColumn="1" w:lastColumn="0" w:noHBand="0" w:noVBand="1"/>
      </w:tblPr>
      <w:tblGrid>
        <w:gridCol w:w="2474"/>
        <w:gridCol w:w="1298"/>
        <w:gridCol w:w="1298"/>
        <w:gridCol w:w="1298"/>
        <w:gridCol w:w="1298"/>
        <w:gridCol w:w="1298"/>
      </w:tblGrid>
      <w:tr w:rsidR="00DA58EF" w:rsidRPr="00446C16" w14:paraId="4A09A31D" w14:textId="77777777" w:rsidTr="00D91DBE">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1F3864"/>
            <w:vAlign w:val="center"/>
          </w:tcPr>
          <w:p w14:paraId="7EEA832F" w14:textId="77777777" w:rsidR="00DA58EF" w:rsidRPr="00446C16" w:rsidRDefault="00DA58EF" w:rsidP="00D91DBE">
            <w:pPr>
              <w:spacing w:before="0" w:after="0"/>
              <w:jc w:val="center"/>
              <w:rPr>
                <w:rFonts w:eastAsia="Times New Roman" w:cstheme="minorHAnsi"/>
                <w:b w:val="0"/>
                <w:bCs w:val="0"/>
                <w:color w:val="FFFFFF" w:themeColor="background1"/>
                <w:sz w:val="18"/>
                <w:szCs w:val="16"/>
                <w:lang w:eastAsia="en-GB"/>
              </w:rPr>
            </w:pPr>
            <w:r w:rsidRPr="00446C16">
              <w:rPr>
                <w:rFonts w:ascii="Calibri" w:hAnsi="Calibri" w:cs="Calibri"/>
                <w:color w:val="FFFFFF" w:themeColor="background1"/>
                <w:sz w:val="18"/>
                <w:szCs w:val="16"/>
              </w:rPr>
              <w:t>Gads</w:t>
            </w:r>
          </w:p>
        </w:tc>
        <w:tc>
          <w:tcPr>
            <w:tcW w:w="0" w:type="dxa"/>
            <w:shd w:val="clear" w:color="auto" w:fill="1F3864"/>
            <w:vAlign w:val="center"/>
          </w:tcPr>
          <w:p w14:paraId="05B7994A" w14:textId="77777777" w:rsidR="00DA58EF" w:rsidRPr="00446C16" w:rsidRDefault="00DA58EF"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2019</w:t>
            </w:r>
          </w:p>
        </w:tc>
        <w:tc>
          <w:tcPr>
            <w:tcW w:w="0" w:type="dxa"/>
            <w:shd w:val="clear" w:color="auto" w:fill="1F3864"/>
            <w:vAlign w:val="center"/>
          </w:tcPr>
          <w:p w14:paraId="6F805F0E" w14:textId="77777777" w:rsidR="00DA58EF" w:rsidRPr="00446C16" w:rsidRDefault="00DA58EF"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2020</w:t>
            </w:r>
          </w:p>
        </w:tc>
        <w:tc>
          <w:tcPr>
            <w:tcW w:w="0" w:type="dxa"/>
            <w:shd w:val="clear" w:color="auto" w:fill="1F3864"/>
            <w:vAlign w:val="center"/>
          </w:tcPr>
          <w:p w14:paraId="2ACB9E9D" w14:textId="77777777" w:rsidR="00DA58EF" w:rsidRPr="00446C16" w:rsidRDefault="00DA58EF"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2021</w:t>
            </w:r>
          </w:p>
        </w:tc>
        <w:tc>
          <w:tcPr>
            <w:tcW w:w="0" w:type="dxa"/>
            <w:shd w:val="clear" w:color="auto" w:fill="1F3864"/>
            <w:vAlign w:val="center"/>
          </w:tcPr>
          <w:p w14:paraId="6090B0B2" w14:textId="77777777" w:rsidR="00DA58EF" w:rsidRPr="00446C16" w:rsidRDefault="00DA58EF"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2022</w:t>
            </w:r>
          </w:p>
        </w:tc>
        <w:tc>
          <w:tcPr>
            <w:tcW w:w="0" w:type="dxa"/>
            <w:shd w:val="clear" w:color="auto" w:fill="1F3864"/>
            <w:vAlign w:val="center"/>
          </w:tcPr>
          <w:p w14:paraId="29D77754" w14:textId="77777777" w:rsidR="00DA58EF" w:rsidRPr="00446C16" w:rsidRDefault="00DA58EF"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2023</w:t>
            </w:r>
          </w:p>
        </w:tc>
      </w:tr>
      <w:tr w:rsidR="00DA58EF" w:rsidRPr="00446C16" w14:paraId="4B8DAE7B" w14:textId="77777777" w:rsidTr="00D91DB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6EC361F4" w14:textId="5A737E31" w:rsidR="00DA58EF" w:rsidRPr="00446C16" w:rsidRDefault="00CF05E4" w:rsidP="00D91DBE">
            <w:pPr>
              <w:spacing w:before="0" w:after="0"/>
              <w:rPr>
                <w:rFonts w:eastAsia="Times New Roman" w:cstheme="minorHAnsi"/>
                <w:b w:val="0"/>
                <w:bCs w:val="0"/>
                <w:color w:val="000000"/>
                <w:sz w:val="18"/>
                <w:szCs w:val="16"/>
                <w:lang w:eastAsia="en-GB"/>
              </w:rPr>
            </w:pPr>
            <w:r w:rsidRPr="00446C16">
              <w:rPr>
                <w:rFonts w:ascii="Calibri" w:hAnsi="Calibri" w:cs="Calibri"/>
                <w:color w:val="000000"/>
                <w:sz w:val="18"/>
                <w:szCs w:val="16"/>
              </w:rPr>
              <w:t>B</w:t>
            </w:r>
            <w:r w:rsidR="00DA58EF" w:rsidRPr="00446C16">
              <w:rPr>
                <w:rFonts w:ascii="Calibri" w:hAnsi="Calibri" w:cs="Calibri"/>
                <w:color w:val="000000"/>
                <w:sz w:val="18"/>
                <w:szCs w:val="16"/>
              </w:rPr>
              <w:t xml:space="preserve">ūvniecības produkcijas </w:t>
            </w:r>
            <w:r w:rsidRPr="00446C16">
              <w:rPr>
                <w:rFonts w:ascii="Calibri" w:hAnsi="Calibri" w:cs="Calibri"/>
                <w:color w:val="000000"/>
                <w:sz w:val="18"/>
                <w:szCs w:val="16"/>
              </w:rPr>
              <w:t>apjoma</w:t>
            </w:r>
            <w:r w:rsidR="00DA58EF" w:rsidRPr="00446C16">
              <w:rPr>
                <w:rFonts w:ascii="Calibri" w:hAnsi="Calibri" w:cs="Calibri"/>
                <w:color w:val="000000"/>
                <w:sz w:val="18"/>
                <w:szCs w:val="16"/>
              </w:rPr>
              <w:t xml:space="preserve"> izmaiņ</w:t>
            </w:r>
            <w:r w:rsidRPr="00446C16">
              <w:rPr>
                <w:rFonts w:ascii="Calibri" w:hAnsi="Calibri" w:cs="Calibri"/>
                <w:color w:val="000000"/>
                <w:sz w:val="18"/>
                <w:szCs w:val="16"/>
              </w:rPr>
              <w:t>as</w:t>
            </w:r>
            <w:r w:rsidR="00DA58EF" w:rsidRPr="00446C16">
              <w:rPr>
                <w:rFonts w:ascii="Calibri" w:hAnsi="Calibri" w:cs="Calibri"/>
                <w:color w:val="000000"/>
                <w:sz w:val="18"/>
                <w:szCs w:val="16"/>
              </w:rPr>
              <w:t xml:space="preserve"> pret iepriekšējo gadu, %</w:t>
            </w:r>
          </w:p>
        </w:tc>
        <w:tc>
          <w:tcPr>
            <w:tcW w:w="0" w:type="dxa"/>
            <w:noWrap/>
            <w:vAlign w:val="center"/>
          </w:tcPr>
          <w:p w14:paraId="5891C659" w14:textId="10B6A265" w:rsidR="00DA58EF" w:rsidRPr="00446C16" w:rsidRDefault="00DA58EF" w:rsidP="00D91DB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6"/>
                <w:lang w:eastAsia="en-GB"/>
              </w:rPr>
            </w:pPr>
            <w:r w:rsidRPr="00446C16">
              <w:rPr>
                <w:sz w:val="18"/>
                <w:szCs w:val="16"/>
              </w:rPr>
              <w:t>1</w:t>
            </w:r>
            <w:r w:rsidR="000B416B" w:rsidRPr="00446C16">
              <w:rPr>
                <w:sz w:val="18"/>
                <w:szCs w:val="16"/>
              </w:rPr>
              <w:t>2,5</w:t>
            </w:r>
          </w:p>
        </w:tc>
        <w:tc>
          <w:tcPr>
            <w:tcW w:w="0" w:type="dxa"/>
            <w:vAlign w:val="center"/>
          </w:tcPr>
          <w:p w14:paraId="6B733625" w14:textId="51DECA3E" w:rsidR="00DA58EF" w:rsidRPr="00446C16" w:rsidRDefault="000B416B" w:rsidP="00D91DB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6"/>
                <w:lang w:eastAsia="en-GB"/>
              </w:rPr>
            </w:pPr>
            <w:r w:rsidRPr="00446C16">
              <w:rPr>
                <w:rFonts w:eastAsia="Times New Roman" w:cstheme="minorHAnsi"/>
                <w:color w:val="000000"/>
                <w:sz w:val="18"/>
                <w:szCs w:val="16"/>
                <w:lang w:eastAsia="en-GB"/>
              </w:rPr>
              <w:t>14,8</w:t>
            </w:r>
          </w:p>
        </w:tc>
        <w:tc>
          <w:tcPr>
            <w:tcW w:w="0" w:type="dxa"/>
            <w:noWrap/>
            <w:vAlign w:val="center"/>
          </w:tcPr>
          <w:p w14:paraId="3DF12646" w14:textId="66F8FE1D" w:rsidR="00DA58EF" w:rsidRPr="00446C16" w:rsidRDefault="000B416B" w:rsidP="00D91DB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6"/>
                <w:lang w:eastAsia="en-GB"/>
              </w:rPr>
            </w:pPr>
            <w:r w:rsidRPr="00446C16">
              <w:rPr>
                <w:sz w:val="18"/>
                <w:szCs w:val="16"/>
              </w:rPr>
              <w:t>4,1</w:t>
            </w:r>
          </w:p>
        </w:tc>
        <w:tc>
          <w:tcPr>
            <w:tcW w:w="0" w:type="dxa"/>
            <w:noWrap/>
            <w:vAlign w:val="center"/>
          </w:tcPr>
          <w:p w14:paraId="67561695" w14:textId="3D98E128" w:rsidR="00DA58EF" w:rsidRPr="00446C16" w:rsidRDefault="00DA58EF" w:rsidP="00D91DB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6"/>
                <w:lang w:eastAsia="en-GB"/>
              </w:rPr>
            </w:pPr>
            <w:r w:rsidRPr="00446C16">
              <w:rPr>
                <w:sz w:val="18"/>
                <w:szCs w:val="16"/>
              </w:rPr>
              <w:t>-</w:t>
            </w:r>
            <w:r w:rsidR="000B416B" w:rsidRPr="00446C16">
              <w:rPr>
                <w:sz w:val="18"/>
                <w:szCs w:val="16"/>
              </w:rPr>
              <w:t>9,2</w:t>
            </w:r>
          </w:p>
        </w:tc>
        <w:tc>
          <w:tcPr>
            <w:tcW w:w="0" w:type="dxa"/>
            <w:noWrap/>
            <w:vAlign w:val="center"/>
          </w:tcPr>
          <w:p w14:paraId="6CAD3315" w14:textId="77BB864E" w:rsidR="00DA58EF" w:rsidRPr="00446C16" w:rsidRDefault="000B416B" w:rsidP="00D91DBE">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6"/>
                <w:lang w:eastAsia="en-GB"/>
              </w:rPr>
            </w:pPr>
            <w:r w:rsidRPr="00446C16">
              <w:rPr>
                <w:rFonts w:eastAsia="Times New Roman" w:cstheme="minorHAnsi"/>
                <w:color w:val="000000"/>
                <w:sz w:val="18"/>
                <w:szCs w:val="16"/>
                <w:lang w:eastAsia="en-GB"/>
              </w:rPr>
              <w:t>2,2</w:t>
            </w:r>
          </w:p>
        </w:tc>
      </w:tr>
    </w:tbl>
    <w:p w14:paraId="156B7649" w14:textId="0266FEBE" w:rsidR="00DA58EF" w:rsidRPr="00446C16" w:rsidRDefault="00DA58EF" w:rsidP="00DA58EF">
      <w:pPr>
        <w:jc w:val="center"/>
        <w:rPr>
          <w:sz w:val="20"/>
        </w:rPr>
      </w:pPr>
      <w:r w:rsidRPr="00446C16">
        <w:rPr>
          <w:sz w:val="20"/>
        </w:rPr>
        <w:t xml:space="preserve">Avots: autoru aprēķini, balstoties </w:t>
      </w:r>
      <w:r w:rsidR="00E124CB" w:rsidRPr="00446C16">
        <w:rPr>
          <w:sz w:val="20"/>
        </w:rPr>
        <w:t>uz ekspertu vērtējumiem un izstrādātā statistisk</w:t>
      </w:r>
      <w:r w:rsidR="00F91407" w:rsidRPr="00446C16">
        <w:rPr>
          <w:sz w:val="20"/>
        </w:rPr>
        <w:t>o datu</w:t>
      </w:r>
      <w:r w:rsidR="00E124CB" w:rsidRPr="00446C16">
        <w:rPr>
          <w:sz w:val="20"/>
        </w:rPr>
        <w:t xml:space="preserve"> trenda rezultātiem</w:t>
      </w:r>
    </w:p>
    <w:p w14:paraId="3AB9CEF7" w14:textId="7A4C846E" w:rsidR="00F75DC7" w:rsidRPr="00446C16" w:rsidRDefault="001A08E5" w:rsidP="006557A7">
      <w:pPr>
        <w:ind w:firstLine="851"/>
        <w:jc w:val="both"/>
        <w:rPr>
          <w:rStyle w:val="st"/>
        </w:rPr>
      </w:pPr>
      <w:r w:rsidRPr="00446C16">
        <w:rPr>
          <w:rStyle w:val="st"/>
        </w:rPr>
        <w:t>Rezultātu interpretācijā j</w:t>
      </w:r>
      <w:r w:rsidR="00F75DC7" w:rsidRPr="00446C16">
        <w:rPr>
          <w:rStyle w:val="st"/>
        </w:rPr>
        <w:t>āņem vērā arī vairāki specifiski faktori:</w:t>
      </w:r>
    </w:p>
    <w:p w14:paraId="6948999B" w14:textId="29253A4F" w:rsidR="00F75DC7" w:rsidRPr="00446C16" w:rsidRDefault="00F75DC7" w:rsidP="006F595A">
      <w:pPr>
        <w:pStyle w:val="ListParagraph"/>
        <w:numPr>
          <w:ilvl w:val="0"/>
          <w:numId w:val="28"/>
        </w:numPr>
        <w:ind w:left="0" w:firstLine="0"/>
        <w:jc w:val="both"/>
        <w:rPr>
          <w:rStyle w:val="st"/>
        </w:rPr>
      </w:pPr>
      <w:r w:rsidRPr="00446C16">
        <w:rPr>
          <w:rStyle w:val="st"/>
        </w:rPr>
        <w:t>liela ietekme ir lielajiem publiskajiem iepirkumiem, piem</w:t>
      </w:r>
      <w:r w:rsidR="006F595A" w:rsidRPr="00446C16">
        <w:rPr>
          <w:rStyle w:val="st"/>
        </w:rPr>
        <w:t>ēram,</w:t>
      </w:r>
      <w:r w:rsidRPr="00446C16">
        <w:rPr>
          <w:rStyle w:val="st"/>
        </w:rPr>
        <w:t xml:space="preserve"> Rail </w:t>
      </w:r>
      <w:proofErr w:type="spellStart"/>
      <w:r w:rsidRPr="00446C16">
        <w:rPr>
          <w:rStyle w:val="st"/>
        </w:rPr>
        <w:t>Baltica</w:t>
      </w:r>
      <w:proofErr w:type="spellEnd"/>
      <w:r w:rsidRPr="00446C16">
        <w:rPr>
          <w:rStyle w:val="st"/>
        </w:rPr>
        <w:t xml:space="preserve"> u.c., kuru īstenošana, pārcelšana un atlikšana var būtiski ietekmēt </w:t>
      </w:r>
      <w:r w:rsidR="00E124CB" w:rsidRPr="00446C16">
        <w:rPr>
          <w:rStyle w:val="st"/>
        </w:rPr>
        <w:t xml:space="preserve">būvniecības produkcijas </w:t>
      </w:r>
      <w:r w:rsidRPr="00446C16">
        <w:rPr>
          <w:rStyle w:val="st"/>
        </w:rPr>
        <w:t>apjomus</w:t>
      </w:r>
      <w:r w:rsidR="003A4A3A" w:rsidRPr="00446C16">
        <w:rPr>
          <w:rStyle w:val="st"/>
        </w:rPr>
        <w:t>;</w:t>
      </w:r>
    </w:p>
    <w:p w14:paraId="1EC6ABB9" w14:textId="555FB19E" w:rsidR="00486F98" w:rsidRPr="00446C16" w:rsidRDefault="00486F98" w:rsidP="006F595A">
      <w:pPr>
        <w:pStyle w:val="ListParagraph"/>
        <w:numPr>
          <w:ilvl w:val="0"/>
          <w:numId w:val="28"/>
        </w:numPr>
        <w:ind w:left="0" w:firstLine="0"/>
        <w:jc w:val="both"/>
        <w:rPr>
          <w:rStyle w:val="st"/>
        </w:rPr>
      </w:pPr>
      <w:r w:rsidRPr="00446C16">
        <w:rPr>
          <w:rStyle w:val="st"/>
        </w:rPr>
        <w:t xml:space="preserve">saskaņā ar ekspertu vērtējumiem pēdējos gados </w:t>
      </w:r>
      <w:proofErr w:type="spellStart"/>
      <w:r w:rsidRPr="00446C16">
        <w:rPr>
          <w:rStyle w:val="st"/>
        </w:rPr>
        <w:t>novērjoma</w:t>
      </w:r>
      <w:proofErr w:type="spellEnd"/>
      <w:r w:rsidRPr="00446C16">
        <w:rPr>
          <w:rStyle w:val="st"/>
        </w:rPr>
        <w:t xml:space="preserve"> tendence daļai publisko pasūtījumu plānu tikt atliktiem uz nākamo gadu.</w:t>
      </w:r>
    </w:p>
    <w:p w14:paraId="760CAD06" w14:textId="4D141CE4" w:rsidR="00F75DC7" w:rsidRPr="00446C16" w:rsidRDefault="003A4A3A" w:rsidP="006F595A">
      <w:pPr>
        <w:pStyle w:val="ListParagraph"/>
        <w:numPr>
          <w:ilvl w:val="0"/>
          <w:numId w:val="28"/>
        </w:numPr>
        <w:ind w:left="0" w:firstLine="0"/>
        <w:jc w:val="both"/>
        <w:rPr>
          <w:rStyle w:val="st"/>
        </w:rPr>
      </w:pPr>
      <w:r w:rsidRPr="00446C16">
        <w:rPr>
          <w:rStyle w:val="st"/>
        </w:rPr>
        <w:t>tirgū ir pretrunīga informācija par to, cik lielā mērā privātais būvniecības pieprasījums tik</w:t>
      </w:r>
      <w:r w:rsidR="006347CD" w:rsidRPr="00446C16">
        <w:rPr>
          <w:rStyle w:val="st"/>
        </w:rPr>
        <w:t>s</w:t>
      </w:r>
      <w:r w:rsidRPr="00446C16">
        <w:rPr>
          <w:rStyle w:val="st"/>
        </w:rPr>
        <w:t xml:space="preserve"> atlikts uz vēlāku laiku</w:t>
      </w:r>
      <w:r w:rsidR="00BF036D" w:rsidRPr="00446C16">
        <w:rPr>
          <w:rStyle w:val="st"/>
        </w:rPr>
        <w:t>, jo</w:t>
      </w:r>
      <w:r w:rsidRPr="00446C16">
        <w:rPr>
          <w:rStyle w:val="st"/>
        </w:rPr>
        <w:t xml:space="preserve"> publisk</w:t>
      </w:r>
      <w:r w:rsidR="00BF036D" w:rsidRPr="00446C16">
        <w:rPr>
          <w:rStyle w:val="st"/>
        </w:rPr>
        <w:t>ais</w:t>
      </w:r>
      <w:r w:rsidRPr="00446C16">
        <w:rPr>
          <w:rStyle w:val="st"/>
        </w:rPr>
        <w:t xml:space="preserve"> pieprasījum</w:t>
      </w:r>
      <w:r w:rsidR="00BF036D" w:rsidRPr="00446C16">
        <w:rPr>
          <w:rStyle w:val="st"/>
        </w:rPr>
        <w:t>s ir strauji</w:t>
      </w:r>
      <w:r w:rsidRPr="00446C16">
        <w:rPr>
          <w:rStyle w:val="st"/>
        </w:rPr>
        <w:t xml:space="preserve"> pieau</w:t>
      </w:r>
      <w:r w:rsidR="00BF036D" w:rsidRPr="00446C16">
        <w:rPr>
          <w:rStyle w:val="st"/>
        </w:rPr>
        <w:t xml:space="preserve">dzis </w:t>
      </w:r>
      <w:r w:rsidRPr="00446C16">
        <w:rPr>
          <w:rStyle w:val="st"/>
        </w:rPr>
        <w:t>kopš 2018</w:t>
      </w:r>
      <w:r w:rsidR="00100D75" w:rsidRPr="00446C16">
        <w:rPr>
          <w:rStyle w:val="st"/>
        </w:rPr>
        <w:t>. gad</w:t>
      </w:r>
      <w:r w:rsidRPr="00446C16">
        <w:rPr>
          <w:rStyle w:val="st"/>
        </w:rPr>
        <w:t>a;</w:t>
      </w:r>
    </w:p>
    <w:p w14:paraId="738C1825" w14:textId="58AF945C" w:rsidR="00AD67F5" w:rsidRPr="00446C16" w:rsidRDefault="00F75DC7" w:rsidP="006F595A">
      <w:pPr>
        <w:pStyle w:val="ListParagraph"/>
        <w:numPr>
          <w:ilvl w:val="0"/>
          <w:numId w:val="28"/>
        </w:numPr>
        <w:ind w:left="0" w:firstLine="0"/>
        <w:jc w:val="both"/>
        <w:rPr>
          <w:rStyle w:val="st"/>
        </w:rPr>
      </w:pPr>
      <w:r w:rsidRPr="00446C16">
        <w:rPr>
          <w:rStyle w:val="st"/>
        </w:rPr>
        <w:t xml:space="preserve">modelis neietver ES fondu atbalstītus projektus jaunajā </w:t>
      </w:r>
      <w:r w:rsidR="00F91407" w:rsidRPr="00446C16">
        <w:rPr>
          <w:rStyle w:val="st"/>
        </w:rPr>
        <w:t xml:space="preserve">plānošanas </w:t>
      </w:r>
      <w:r w:rsidRPr="00446C16">
        <w:rPr>
          <w:rStyle w:val="st"/>
        </w:rPr>
        <w:t>periodā pēc 2020.</w:t>
      </w:r>
      <w:r w:rsidR="004E5C4B" w:rsidRPr="00446C16">
        <w:rPr>
          <w:rStyle w:val="st"/>
        </w:rPr>
        <w:t xml:space="preserve"> </w:t>
      </w:r>
      <w:r w:rsidRPr="00446C16">
        <w:rPr>
          <w:rStyle w:val="st"/>
        </w:rPr>
        <w:t>g</w:t>
      </w:r>
      <w:r w:rsidR="00115B1D" w:rsidRPr="00446C16">
        <w:rPr>
          <w:rStyle w:val="st"/>
        </w:rPr>
        <w:t>ada</w:t>
      </w:r>
      <w:r w:rsidR="00F91407" w:rsidRPr="00446C16">
        <w:rPr>
          <w:rStyle w:val="st"/>
        </w:rPr>
        <w:t>, taču</w:t>
      </w:r>
      <w:r w:rsidRPr="00446C16">
        <w:rPr>
          <w:rStyle w:val="st"/>
        </w:rPr>
        <w:t xml:space="preserve"> iepriekšējā </w:t>
      </w:r>
      <w:r w:rsidR="00F91407" w:rsidRPr="00446C16">
        <w:rPr>
          <w:rStyle w:val="st"/>
        </w:rPr>
        <w:t xml:space="preserve">ES fondu plānošanas </w:t>
      </w:r>
      <w:r w:rsidRPr="00446C16">
        <w:rPr>
          <w:rStyle w:val="st"/>
        </w:rPr>
        <w:t>perioda pieredze norāda, ka līdz 2023.</w:t>
      </w:r>
      <w:r w:rsidR="00925BC9" w:rsidRPr="00446C16">
        <w:rPr>
          <w:rStyle w:val="st"/>
        </w:rPr>
        <w:t xml:space="preserve"> </w:t>
      </w:r>
      <w:r w:rsidRPr="00446C16">
        <w:rPr>
          <w:rStyle w:val="st"/>
        </w:rPr>
        <w:t>g</w:t>
      </w:r>
      <w:r w:rsidR="00115B1D" w:rsidRPr="00446C16">
        <w:rPr>
          <w:rStyle w:val="st"/>
        </w:rPr>
        <w:t>adam</w:t>
      </w:r>
      <w:r w:rsidRPr="00446C16">
        <w:rPr>
          <w:rStyle w:val="st"/>
        </w:rPr>
        <w:t xml:space="preserve"> </w:t>
      </w:r>
      <w:r w:rsidR="00F91407" w:rsidRPr="00446C16">
        <w:rPr>
          <w:rStyle w:val="st"/>
        </w:rPr>
        <w:t>nebūtu</w:t>
      </w:r>
      <w:r w:rsidRPr="00446C16">
        <w:rPr>
          <w:rStyle w:val="st"/>
        </w:rPr>
        <w:t xml:space="preserve"> gaidāmi būtiski būvniecības projekti</w:t>
      </w:r>
      <w:r w:rsidR="00F91407" w:rsidRPr="00446C16">
        <w:rPr>
          <w:rStyle w:val="st"/>
        </w:rPr>
        <w:t xml:space="preserve">. No otras puses, no </w:t>
      </w:r>
      <w:r w:rsidR="003A4A3A" w:rsidRPr="00446C16">
        <w:rPr>
          <w:rStyle w:val="st"/>
        </w:rPr>
        <w:t xml:space="preserve">FM </w:t>
      </w:r>
      <w:r w:rsidR="00F91407" w:rsidRPr="00446C16">
        <w:rPr>
          <w:rStyle w:val="st"/>
        </w:rPr>
        <w:t xml:space="preserve">puses novērojamas indikācijas par </w:t>
      </w:r>
      <w:r w:rsidR="003A4A3A" w:rsidRPr="00446C16">
        <w:rPr>
          <w:rStyle w:val="st"/>
        </w:rPr>
        <w:t>plān</w:t>
      </w:r>
      <w:r w:rsidR="00F91407" w:rsidRPr="00446C16">
        <w:rPr>
          <w:rStyle w:val="st"/>
        </w:rPr>
        <w:t>iem savlaicīgākam ES fondu apguves procesam</w:t>
      </w:r>
      <w:r w:rsidR="003A4A3A" w:rsidRPr="00446C16">
        <w:rPr>
          <w:rStyle w:val="st"/>
        </w:rPr>
        <w:t xml:space="preserve"> nākamajā plānošanas periodā</w:t>
      </w:r>
      <w:r w:rsidRPr="00446C16">
        <w:rPr>
          <w:rStyle w:val="st"/>
        </w:rPr>
        <w:t>.</w:t>
      </w:r>
      <w:r w:rsidR="006557A7" w:rsidRPr="00446C16">
        <w:rPr>
          <w:rStyle w:val="st"/>
        </w:rPr>
        <w:t xml:space="preserve"> </w:t>
      </w:r>
    </w:p>
    <w:p w14:paraId="77AB8355" w14:textId="3D3C6B39" w:rsidR="00E86BA1" w:rsidRPr="00446C16" w:rsidRDefault="00294D1F" w:rsidP="00813C83">
      <w:pPr>
        <w:ind w:firstLine="851"/>
        <w:jc w:val="both"/>
      </w:pPr>
      <w:r w:rsidRPr="00446C16">
        <w:rPr>
          <w:rStyle w:val="st"/>
        </w:rPr>
        <w:t>Ņemot vērā riskus, kas saistīti ar ES fondu līdzfinansēto projektu apjomu</w:t>
      </w:r>
      <w:r w:rsidR="00F91407" w:rsidRPr="00446C16">
        <w:rPr>
          <w:rStyle w:val="st"/>
        </w:rPr>
        <w:t xml:space="preserve"> un</w:t>
      </w:r>
      <w:r w:rsidRPr="00446C16">
        <w:rPr>
          <w:rStyle w:val="st"/>
        </w:rPr>
        <w:t xml:space="preserve"> paredzamo kritumu prognožu perioda beigās, liela nozīme ir tam, vai valsts un pašvaldības budžetu pasūtījumu dinamika tiks pielāgota situācijai, lielākos darbus ieplānojot tieši šajā</w:t>
      </w:r>
      <w:r w:rsidR="00F91407" w:rsidRPr="00446C16">
        <w:rPr>
          <w:rStyle w:val="st"/>
        </w:rPr>
        <w:t>, paredzamā būvniecības produkcijas apjoma</w:t>
      </w:r>
      <w:r w:rsidRPr="00446C16">
        <w:rPr>
          <w:rStyle w:val="st"/>
        </w:rPr>
        <w:t xml:space="preserve"> krituma periodā.</w:t>
      </w:r>
      <w:r w:rsidR="00AD67F5" w:rsidRPr="00446C16">
        <w:rPr>
          <w:rStyle w:val="st"/>
        </w:rPr>
        <w:t xml:space="preserve"> </w:t>
      </w:r>
    </w:p>
    <w:p w14:paraId="7F73A357" w14:textId="3CB1A2A9" w:rsidR="00515FED" w:rsidRPr="00446C16" w:rsidRDefault="00515FED" w:rsidP="00515FED">
      <w:pPr>
        <w:pStyle w:val="Heading2"/>
      </w:pPr>
      <w:bookmarkStart w:id="69" w:name="_Toc13475935"/>
      <w:bookmarkStart w:id="70" w:name="_Toc13492543"/>
      <w:bookmarkStart w:id="71" w:name="_Toc13574583"/>
      <w:bookmarkStart w:id="72" w:name="_Toc13576370"/>
      <w:bookmarkStart w:id="73" w:name="_Toc13580123"/>
      <w:bookmarkStart w:id="74" w:name="_Toc13673305"/>
      <w:bookmarkStart w:id="75" w:name="_Toc13673621"/>
      <w:bookmarkStart w:id="76" w:name="_Toc23163501"/>
      <w:bookmarkEnd w:id="69"/>
      <w:bookmarkEnd w:id="70"/>
      <w:bookmarkEnd w:id="71"/>
      <w:bookmarkEnd w:id="72"/>
      <w:bookmarkEnd w:id="73"/>
      <w:bookmarkEnd w:id="74"/>
      <w:bookmarkEnd w:id="75"/>
      <w:r w:rsidRPr="00446C16">
        <w:t>Kopējās būvniecības izmaksu izmaiņu prognozes</w:t>
      </w:r>
      <w:bookmarkEnd w:id="76"/>
    </w:p>
    <w:p w14:paraId="53C9F7B5" w14:textId="395F60F6" w:rsidR="00725BEA" w:rsidRPr="00446C16" w:rsidRDefault="00725BEA" w:rsidP="00895643">
      <w:pPr>
        <w:pStyle w:val="ListParagraph"/>
        <w:numPr>
          <w:ilvl w:val="2"/>
          <w:numId w:val="5"/>
        </w:numPr>
        <w:rPr>
          <w:b/>
          <w:bCs/>
          <w:color w:val="002060"/>
        </w:rPr>
      </w:pPr>
      <w:r w:rsidRPr="00446C16">
        <w:rPr>
          <w:b/>
          <w:bCs/>
          <w:color w:val="002060"/>
        </w:rPr>
        <w:t xml:space="preserve">Izmaksu </w:t>
      </w:r>
      <w:r w:rsidR="00783454" w:rsidRPr="00446C16">
        <w:rPr>
          <w:b/>
          <w:bCs/>
          <w:color w:val="002060"/>
        </w:rPr>
        <w:t xml:space="preserve">izmaiņu </w:t>
      </w:r>
      <w:r w:rsidRPr="00446C16">
        <w:rPr>
          <w:b/>
          <w:bCs/>
          <w:color w:val="002060"/>
        </w:rPr>
        <w:t>elastība atkarībā no būvniecības produkcijas apjoma</w:t>
      </w:r>
      <w:r w:rsidR="009C4AC8" w:rsidRPr="00446C16">
        <w:rPr>
          <w:b/>
          <w:bCs/>
          <w:color w:val="002060"/>
        </w:rPr>
        <w:t xml:space="preserve"> izmaiņām</w:t>
      </w:r>
      <w:r w:rsidRPr="00446C16">
        <w:rPr>
          <w:b/>
          <w:bCs/>
          <w:color w:val="002060"/>
        </w:rPr>
        <w:t xml:space="preserve"> </w:t>
      </w:r>
    </w:p>
    <w:p w14:paraId="6EBA7C58" w14:textId="77777777" w:rsidR="00486F98" w:rsidRPr="00446C16" w:rsidRDefault="00486F98" w:rsidP="00486F98">
      <w:pPr>
        <w:spacing w:before="100" w:after="200" w:line="276" w:lineRule="auto"/>
        <w:ind w:firstLine="851"/>
        <w:rPr>
          <w:rStyle w:val="st"/>
        </w:rPr>
      </w:pPr>
      <w:r w:rsidRPr="00446C16">
        <w:rPr>
          <w:rStyle w:val="st"/>
        </w:rPr>
        <w:t>Pētījuma ietvaros tika aprēķināta vidējā izmaksu izmaiņu elastība pret apjoma izmaiņām, kas turpmāk ļāva precīzāk prognozēt izmaksu izmaiņas, ņemot vērā apjoma izmaiņu prognozes. Vidējā elastība tika aprēķināta izmantojot:</w:t>
      </w:r>
    </w:p>
    <w:p w14:paraId="03412193" w14:textId="77777777" w:rsidR="00486F98" w:rsidRPr="00446C16" w:rsidRDefault="00486F98" w:rsidP="00486F98">
      <w:pPr>
        <w:pStyle w:val="ListParagraph"/>
        <w:numPr>
          <w:ilvl w:val="0"/>
          <w:numId w:val="26"/>
        </w:numPr>
        <w:spacing w:before="100" w:after="200" w:line="276" w:lineRule="auto"/>
        <w:jc w:val="both"/>
        <w:rPr>
          <w:rStyle w:val="st"/>
        </w:rPr>
      </w:pPr>
      <w:r w:rsidRPr="00446C16">
        <w:rPr>
          <w:rStyle w:val="st"/>
        </w:rPr>
        <w:t>izmaksu izmaiņu elastību pret produkcijas apjoma izmaiņām, kas tika iegūta intervējot ekspertus pirmajā un otrajā interviju kārtā;</w:t>
      </w:r>
    </w:p>
    <w:p w14:paraId="74B1C390" w14:textId="77777777" w:rsidR="00486F98" w:rsidRPr="00446C16" w:rsidRDefault="00486F98" w:rsidP="00486F98">
      <w:pPr>
        <w:pStyle w:val="ListParagraph"/>
        <w:numPr>
          <w:ilvl w:val="0"/>
          <w:numId w:val="26"/>
        </w:numPr>
        <w:spacing w:before="100" w:after="200" w:line="276" w:lineRule="auto"/>
        <w:jc w:val="both"/>
        <w:rPr>
          <w:rStyle w:val="st"/>
        </w:rPr>
      </w:pPr>
      <w:r w:rsidRPr="00446C16">
        <w:rPr>
          <w:rStyle w:val="st"/>
        </w:rPr>
        <w:t>izmaksu izmaiņu elastību pret produkcijas apjoma izmaiņām, kas tika iegūta no vēsturiskajiem būvniecības produkcijas apjoma un izmaksu izmaiņu datiem;</w:t>
      </w:r>
    </w:p>
    <w:p w14:paraId="62A8703C" w14:textId="77777777" w:rsidR="00486F98" w:rsidRPr="00446C16" w:rsidRDefault="00486F98" w:rsidP="00486F98">
      <w:pPr>
        <w:pStyle w:val="ListParagraph"/>
        <w:numPr>
          <w:ilvl w:val="0"/>
          <w:numId w:val="26"/>
        </w:numPr>
        <w:spacing w:before="100" w:after="200" w:line="276" w:lineRule="auto"/>
        <w:jc w:val="both"/>
        <w:rPr>
          <w:rStyle w:val="st"/>
        </w:rPr>
      </w:pPr>
      <w:r w:rsidRPr="00446C16">
        <w:rPr>
          <w:rStyle w:val="st"/>
        </w:rPr>
        <w:t>izmaksu izmaiņu elastību pret produkcijas apjoma izmaiņām, kas tika iegūta no vēsturiskajiem būvniecības produkcijas apjoma un izmaksu izmaiņu datiem, izņemot 2006. - 2009. gadu vērtības.</w:t>
      </w:r>
    </w:p>
    <w:p w14:paraId="72E6A78D" w14:textId="6522BF97" w:rsidR="00486F98" w:rsidRPr="00446C16" w:rsidRDefault="00486F98" w:rsidP="00FD6E1F">
      <w:pPr>
        <w:ind w:firstLine="851"/>
        <w:jc w:val="both"/>
      </w:pPr>
      <w:r w:rsidRPr="00446C16">
        <w:t>Nozares ekspertiem tika vaicāts, kā viņi prognozē izmaksu izmaiņas, atkarībā no apjoma izmaiņām piecos dažādos intervālos (skatīt tabulu Nr.2).</w:t>
      </w:r>
    </w:p>
    <w:p w14:paraId="011D026A" w14:textId="77777777" w:rsidR="001F432D" w:rsidRPr="00446C16" w:rsidRDefault="001F432D" w:rsidP="00486F98">
      <w:pPr>
        <w:ind w:left="360"/>
        <w:jc w:val="both"/>
      </w:pPr>
    </w:p>
    <w:p w14:paraId="15B6D2CC" w14:textId="3624AEA5" w:rsidR="00486F98" w:rsidRPr="00446C16" w:rsidRDefault="00486F98" w:rsidP="001F432D">
      <w:pPr>
        <w:pStyle w:val="ListParagraph"/>
        <w:rPr>
          <w:b/>
          <w:bCs/>
          <w:sz w:val="20"/>
        </w:rPr>
      </w:pPr>
      <w:r w:rsidRPr="00446C16">
        <w:rPr>
          <w:b/>
          <w:bCs/>
          <w:sz w:val="20"/>
        </w:rPr>
        <w:lastRenderedPageBreak/>
        <w:t>Tabula Nr. 2. Ekspertu intervijas rezultāti – izmaksu izmaiņas atkarībā no apjoma izmaiņām, %</w:t>
      </w:r>
    </w:p>
    <w:tbl>
      <w:tblPr>
        <w:tblStyle w:val="PlainTable1"/>
        <w:tblW w:w="8964" w:type="dxa"/>
        <w:jc w:val="center"/>
        <w:tblLook w:val="04A0" w:firstRow="1" w:lastRow="0" w:firstColumn="1" w:lastColumn="0" w:noHBand="0" w:noVBand="1"/>
      </w:tblPr>
      <w:tblGrid>
        <w:gridCol w:w="2746"/>
        <w:gridCol w:w="1293"/>
        <w:gridCol w:w="1124"/>
        <w:gridCol w:w="1207"/>
        <w:gridCol w:w="1293"/>
        <w:gridCol w:w="1301"/>
      </w:tblGrid>
      <w:tr w:rsidR="00486F98" w:rsidRPr="00446C16" w14:paraId="22B8FFD0" w14:textId="77777777" w:rsidTr="00486F9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46" w:type="dxa"/>
            <w:shd w:val="clear" w:color="auto" w:fill="1F3864"/>
            <w:vAlign w:val="center"/>
          </w:tcPr>
          <w:p w14:paraId="21C19847" w14:textId="77777777" w:rsidR="00486F98" w:rsidRPr="00446C16" w:rsidRDefault="00486F98" w:rsidP="00486F98">
            <w:pPr>
              <w:spacing w:before="0" w:after="0"/>
              <w:contextualSpacing/>
              <w:jc w:val="center"/>
              <w:rPr>
                <w:rFonts w:eastAsia="Times New Roman" w:cstheme="minorHAnsi"/>
                <w:b w:val="0"/>
                <w:bCs w:val="0"/>
                <w:color w:val="FFFFFF" w:themeColor="background1"/>
                <w:sz w:val="18"/>
                <w:szCs w:val="16"/>
                <w:lang w:eastAsia="en-GB"/>
              </w:rPr>
            </w:pPr>
            <w:r w:rsidRPr="00446C16">
              <w:rPr>
                <w:rFonts w:ascii="Calibri" w:hAnsi="Calibri" w:cs="Calibri"/>
                <w:color w:val="FFFFFF" w:themeColor="background1"/>
                <w:sz w:val="18"/>
                <w:szCs w:val="16"/>
              </w:rPr>
              <w:t>Apjoma izmaiņu līmenis</w:t>
            </w:r>
          </w:p>
        </w:tc>
        <w:tc>
          <w:tcPr>
            <w:tcW w:w="1293" w:type="dxa"/>
            <w:shd w:val="clear" w:color="auto" w:fill="1F3864"/>
            <w:vAlign w:val="center"/>
          </w:tcPr>
          <w:p w14:paraId="1AFBB02A" w14:textId="77777777" w:rsidR="00486F98" w:rsidRPr="00446C16" w:rsidRDefault="00486F98" w:rsidP="00486F98">
            <w:pPr>
              <w:spacing w:before="0" w:after="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 līdz -10%</w:t>
            </w:r>
          </w:p>
        </w:tc>
        <w:tc>
          <w:tcPr>
            <w:tcW w:w="1124" w:type="dxa"/>
            <w:shd w:val="clear" w:color="auto" w:fill="1F3864"/>
            <w:vAlign w:val="center"/>
          </w:tcPr>
          <w:p w14:paraId="44A202F7" w14:textId="77777777" w:rsidR="00486F98" w:rsidRPr="00446C16" w:rsidRDefault="00486F98" w:rsidP="00486F98">
            <w:pPr>
              <w:spacing w:before="0" w:after="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-10% līdz 0%</w:t>
            </w:r>
          </w:p>
        </w:tc>
        <w:tc>
          <w:tcPr>
            <w:tcW w:w="1207" w:type="dxa"/>
            <w:shd w:val="clear" w:color="auto" w:fill="1F3864"/>
            <w:vAlign w:val="center"/>
          </w:tcPr>
          <w:p w14:paraId="1658910E" w14:textId="77777777" w:rsidR="00486F98" w:rsidRPr="00446C16" w:rsidRDefault="00486F98" w:rsidP="00486F98">
            <w:pPr>
              <w:spacing w:before="0" w:after="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0% līdz +10%</w:t>
            </w:r>
          </w:p>
        </w:tc>
        <w:tc>
          <w:tcPr>
            <w:tcW w:w="1293" w:type="dxa"/>
            <w:shd w:val="clear" w:color="auto" w:fill="1F3864"/>
            <w:vAlign w:val="center"/>
          </w:tcPr>
          <w:p w14:paraId="5EC178F6" w14:textId="77777777" w:rsidR="00486F98" w:rsidRPr="00446C16" w:rsidRDefault="00486F98" w:rsidP="00486F98">
            <w:pPr>
              <w:spacing w:before="0" w:after="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+10% līdz +20%</w:t>
            </w:r>
          </w:p>
        </w:tc>
        <w:tc>
          <w:tcPr>
            <w:tcW w:w="1301" w:type="dxa"/>
            <w:shd w:val="clear" w:color="auto" w:fill="1F3864"/>
            <w:vAlign w:val="center"/>
          </w:tcPr>
          <w:p w14:paraId="3F4A5C05" w14:textId="77777777" w:rsidR="00486F98" w:rsidRPr="00446C16" w:rsidRDefault="00486F98" w:rsidP="00486F98">
            <w:pPr>
              <w:spacing w:before="0" w:after="0"/>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 līdz +30%</w:t>
            </w:r>
          </w:p>
        </w:tc>
      </w:tr>
      <w:tr w:rsidR="00486F98" w:rsidRPr="00446C16" w14:paraId="2915CC30" w14:textId="77777777" w:rsidTr="00486F9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46" w:type="dxa"/>
            <w:vAlign w:val="center"/>
          </w:tcPr>
          <w:p w14:paraId="2E3A99CB" w14:textId="77777777" w:rsidR="00486F98" w:rsidRPr="00446C16" w:rsidRDefault="00486F98" w:rsidP="00486F98">
            <w:pPr>
              <w:spacing w:before="0" w:after="0"/>
              <w:contextualSpacing/>
              <w:rPr>
                <w:rFonts w:eastAsia="Times New Roman" w:cstheme="minorHAnsi"/>
                <w:b w:val="0"/>
                <w:bCs w:val="0"/>
                <w:color w:val="000000"/>
                <w:sz w:val="18"/>
                <w:szCs w:val="16"/>
                <w:lang w:eastAsia="en-GB"/>
              </w:rPr>
            </w:pPr>
            <w:r w:rsidRPr="00446C16">
              <w:rPr>
                <w:rFonts w:ascii="Calibri" w:hAnsi="Calibri" w:cs="Calibri"/>
                <w:color w:val="000000"/>
                <w:sz w:val="18"/>
                <w:szCs w:val="16"/>
              </w:rPr>
              <w:t>Vidējais vērtējums</w:t>
            </w:r>
          </w:p>
        </w:tc>
        <w:tc>
          <w:tcPr>
            <w:tcW w:w="1293" w:type="dxa"/>
            <w:noWrap/>
            <w:vAlign w:val="center"/>
          </w:tcPr>
          <w:p w14:paraId="192AC250" w14:textId="77777777" w:rsidR="00486F98" w:rsidRPr="00446C16"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lang w:eastAsia="en-GB"/>
              </w:rPr>
            </w:pPr>
            <w:r w:rsidRPr="00446C16">
              <w:rPr>
                <w:b/>
                <w:bCs/>
                <w:sz w:val="18"/>
                <w:szCs w:val="16"/>
              </w:rPr>
              <w:t>-3,1%</w:t>
            </w:r>
          </w:p>
        </w:tc>
        <w:tc>
          <w:tcPr>
            <w:tcW w:w="1124" w:type="dxa"/>
            <w:vAlign w:val="center"/>
          </w:tcPr>
          <w:p w14:paraId="186D2811" w14:textId="77777777" w:rsidR="00486F98" w:rsidRPr="00446C16"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lang w:eastAsia="en-GB"/>
              </w:rPr>
            </w:pPr>
            <w:r w:rsidRPr="00446C16">
              <w:rPr>
                <w:b/>
                <w:bCs/>
                <w:sz w:val="18"/>
                <w:szCs w:val="16"/>
              </w:rPr>
              <w:t>-0,8%</w:t>
            </w:r>
          </w:p>
        </w:tc>
        <w:tc>
          <w:tcPr>
            <w:tcW w:w="1207" w:type="dxa"/>
            <w:noWrap/>
            <w:vAlign w:val="center"/>
          </w:tcPr>
          <w:p w14:paraId="2EA6E613" w14:textId="77777777" w:rsidR="00486F98" w:rsidRPr="00446C16"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lang w:eastAsia="en-GB"/>
              </w:rPr>
            </w:pPr>
            <w:r w:rsidRPr="00446C16">
              <w:rPr>
                <w:b/>
                <w:bCs/>
                <w:sz w:val="18"/>
                <w:szCs w:val="16"/>
              </w:rPr>
              <w:t>4,5%</w:t>
            </w:r>
          </w:p>
        </w:tc>
        <w:tc>
          <w:tcPr>
            <w:tcW w:w="1293" w:type="dxa"/>
            <w:noWrap/>
            <w:vAlign w:val="center"/>
          </w:tcPr>
          <w:p w14:paraId="53D52ED5" w14:textId="77777777" w:rsidR="00486F98" w:rsidRPr="00446C16"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lang w:eastAsia="en-GB"/>
              </w:rPr>
            </w:pPr>
            <w:r w:rsidRPr="00446C16">
              <w:rPr>
                <w:b/>
                <w:bCs/>
                <w:sz w:val="18"/>
                <w:szCs w:val="16"/>
              </w:rPr>
              <w:t>8,8%</w:t>
            </w:r>
          </w:p>
        </w:tc>
        <w:tc>
          <w:tcPr>
            <w:tcW w:w="1301" w:type="dxa"/>
            <w:noWrap/>
            <w:vAlign w:val="center"/>
          </w:tcPr>
          <w:p w14:paraId="3472899B" w14:textId="77777777" w:rsidR="00486F98" w:rsidRPr="00446C16"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lang w:eastAsia="en-GB"/>
              </w:rPr>
            </w:pPr>
            <w:r w:rsidRPr="00446C16">
              <w:rPr>
                <w:b/>
                <w:bCs/>
                <w:sz w:val="18"/>
                <w:szCs w:val="16"/>
              </w:rPr>
              <w:t>12,6%</w:t>
            </w:r>
          </w:p>
        </w:tc>
      </w:tr>
      <w:tr w:rsidR="00486F98" w:rsidRPr="00446C16" w14:paraId="69722C07" w14:textId="77777777" w:rsidTr="00486F98">
        <w:trPr>
          <w:trHeight w:val="20"/>
          <w:jc w:val="center"/>
        </w:trPr>
        <w:tc>
          <w:tcPr>
            <w:cnfStyle w:val="001000000000" w:firstRow="0" w:lastRow="0" w:firstColumn="1" w:lastColumn="0" w:oddVBand="0" w:evenVBand="0" w:oddHBand="0" w:evenHBand="0" w:firstRowFirstColumn="0" w:firstRowLastColumn="0" w:lastRowFirstColumn="0" w:lastRowLastColumn="0"/>
            <w:tcW w:w="2746" w:type="dxa"/>
            <w:vAlign w:val="center"/>
          </w:tcPr>
          <w:p w14:paraId="44470EDA" w14:textId="77777777" w:rsidR="00486F98" w:rsidRPr="00446C16" w:rsidRDefault="00486F98" w:rsidP="00486F98">
            <w:pPr>
              <w:spacing w:before="0" w:after="0"/>
              <w:contextualSpacing/>
              <w:rPr>
                <w:b w:val="0"/>
                <w:bCs w:val="0"/>
                <w:sz w:val="18"/>
                <w:szCs w:val="16"/>
              </w:rPr>
            </w:pPr>
            <w:r w:rsidRPr="00446C16">
              <w:rPr>
                <w:rFonts w:ascii="Calibri" w:hAnsi="Calibri" w:cs="Calibri"/>
                <w:color w:val="000000"/>
                <w:sz w:val="18"/>
                <w:szCs w:val="16"/>
              </w:rPr>
              <w:t>Standartnovirze</w:t>
            </w:r>
          </w:p>
        </w:tc>
        <w:tc>
          <w:tcPr>
            <w:tcW w:w="1293" w:type="dxa"/>
            <w:noWrap/>
            <w:vAlign w:val="center"/>
          </w:tcPr>
          <w:p w14:paraId="75118A9F" w14:textId="77777777" w:rsidR="00486F98" w:rsidRPr="00446C16" w:rsidRDefault="00486F98" w:rsidP="00486F98">
            <w:pPr>
              <w:spacing w:before="0" w:after="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sidRPr="00446C16">
              <w:rPr>
                <w:sz w:val="18"/>
                <w:szCs w:val="16"/>
              </w:rPr>
              <w:t>7,5%</w:t>
            </w:r>
          </w:p>
        </w:tc>
        <w:tc>
          <w:tcPr>
            <w:tcW w:w="1124" w:type="dxa"/>
            <w:vAlign w:val="center"/>
          </w:tcPr>
          <w:p w14:paraId="3CFFF644" w14:textId="77777777" w:rsidR="00486F98" w:rsidRPr="00446C16" w:rsidRDefault="00486F98" w:rsidP="00486F98">
            <w:pPr>
              <w:spacing w:before="0" w:after="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sidRPr="00446C16">
              <w:rPr>
                <w:sz w:val="18"/>
                <w:szCs w:val="16"/>
              </w:rPr>
              <w:t>4,7%</w:t>
            </w:r>
          </w:p>
        </w:tc>
        <w:tc>
          <w:tcPr>
            <w:tcW w:w="1207" w:type="dxa"/>
            <w:noWrap/>
            <w:vAlign w:val="center"/>
          </w:tcPr>
          <w:p w14:paraId="429755F6" w14:textId="77777777" w:rsidR="00486F98" w:rsidRPr="00446C16" w:rsidRDefault="00486F98" w:rsidP="00486F98">
            <w:pPr>
              <w:spacing w:before="0" w:after="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sidRPr="00446C16">
              <w:rPr>
                <w:sz w:val="18"/>
                <w:szCs w:val="16"/>
              </w:rPr>
              <w:t>7,1%</w:t>
            </w:r>
          </w:p>
        </w:tc>
        <w:tc>
          <w:tcPr>
            <w:tcW w:w="1293" w:type="dxa"/>
            <w:noWrap/>
            <w:vAlign w:val="center"/>
          </w:tcPr>
          <w:p w14:paraId="42C98E3E" w14:textId="77777777" w:rsidR="00486F98" w:rsidRPr="00446C16" w:rsidRDefault="00486F98" w:rsidP="00486F98">
            <w:pPr>
              <w:spacing w:before="0" w:after="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sidRPr="00446C16">
              <w:rPr>
                <w:sz w:val="18"/>
                <w:szCs w:val="16"/>
              </w:rPr>
              <w:t>7,3%</w:t>
            </w:r>
          </w:p>
        </w:tc>
        <w:tc>
          <w:tcPr>
            <w:tcW w:w="1301" w:type="dxa"/>
            <w:noWrap/>
            <w:vAlign w:val="center"/>
          </w:tcPr>
          <w:p w14:paraId="4962AC20" w14:textId="77777777" w:rsidR="00486F98" w:rsidRPr="00446C16" w:rsidRDefault="00486F98" w:rsidP="00486F98">
            <w:pPr>
              <w:spacing w:before="0" w:after="0"/>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sidRPr="00446C16">
              <w:rPr>
                <w:sz w:val="18"/>
                <w:szCs w:val="16"/>
              </w:rPr>
              <w:t>8,1%</w:t>
            </w:r>
          </w:p>
        </w:tc>
      </w:tr>
      <w:tr w:rsidR="00486F98" w:rsidRPr="00446C16" w14:paraId="5AC2E353" w14:textId="77777777" w:rsidTr="00486F9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46" w:type="dxa"/>
            <w:vAlign w:val="center"/>
          </w:tcPr>
          <w:p w14:paraId="5C0FF1AA" w14:textId="77777777" w:rsidR="00486F98" w:rsidRPr="00446C16" w:rsidRDefault="00486F98" w:rsidP="00486F98">
            <w:pPr>
              <w:spacing w:before="0" w:after="0"/>
              <w:contextualSpacing/>
              <w:rPr>
                <w:b w:val="0"/>
                <w:bCs w:val="0"/>
                <w:sz w:val="18"/>
                <w:szCs w:val="16"/>
              </w:rPr>
            </w:pPr>
            <w:r w:rsidRPr="00446C16">
              <w:rPr>
                <w:rFonts w:ascii="Calibri" w:hAnsi="Calibri" w:cs="Calibri"/>
                <w:color w:val="000000"/>
                <w:sz w:val="18"/>
                <w:szCs w:val="16"/>
              </w:rPr>
              <w:t>Standartkļūda</w:t>
            </w:r>
          </w:p>
        </w:tc>
        <w:tc>
          <w:tcPr>
            <w:tcW w:w="1293" w:type="dxa"/>
            <w:noWrap/>
            <w:vAlign w:val="center"/>
          </w:tcPr>
          <w:p w14:paraId="6AB700E3" w14:textId="77777777" w:rsidR="00486F98" w:rsidRPr="00446C16"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sidRPr="00446C16">
              <w:rPr>
                <w:sz w:val="18"/>
                <w:szCs w:val="16"/>
              </w:rPr>
              <w:t>1,3%</w:t>
            </w:r>
          </w:p>
        </w:tc>
        <w:tc>
          <w:tcPr>
            <w:tcW w:w="1124" w:type="dxa"/>
            <w:vAlign w:val="center"/>
          </w:tcPr>
          <w:p w14:paraId="09AA0785" w14:textId="77777777" w:rsidR="00486F98" w:rsidRPr="00446C16"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sidRPr="00446C16">
              <w:rPr>
                <w:sz w:val="18"/>
                <w:szCs w:val="16"/>
              </w:rPr>
              <w:t>0,8%</w:t>
            </w:r>
          </w:p>
        </w:tc>
        <w:tc>
          <w:tcPr>
            <w:tcW w:w="1207" w:type="dxa"/>
            <w:noWrap/>
            <w:vAlign w:val="center"/>
          </w:tcPr>
          <w:p w14:paraId="5AEF20E1" w14:textId="77777777" w:rsidR="00486F98" w:rsidRPr="00446C16"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sidRPr="00446C16">
              <w:rPr>
                <w:sz w:val="18"/>
                <w:szCs w:val="16"/>
              </w:rPr>
              <w:t>1,3%</w:t>
            </w:r>
          </w:p>
        </w:tc>
        <w:tc>
          <w:tcPr>
            <w:tcW w:w="1293" w:type="dxa"/>
            <w:noWrap/>
            <w:vAlign w:val="center"/>
          </w:tcPr>
          <w:p w14:paraId="22CD2DFC" w14:textId="77777777" w:rsidR="00486F98" w:rsidRPr="00446C16"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sidRPr="00446C16">
              <w:rPr>
                <w:sz w:val="18"/>
                <w:szCs w:val="16"/>
              </w:rPr>
              <w:t>1,3%</w:t>
            </w:r>
          </w:p>
        </w:tc>
        <w:tc>
          <w:tcPr>
            <w:tcW w:w="1301" w:type="dxa"/>
            <w:noWrap/>
            <w:vAlign w:val="center"/>
          </w:tcPr>
          <w:p w14:paraId="3469D2A5" w14:textId="77777777" w:rsidR="00486F98" w:rsidRPr="00446C16" w:rsidRDefault="00486F98" w:rsidP="00486F98">
            <w:pPr>
              <w:spacing w:before="0" w:after="0"/>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sidRPr="00446C16">
              <w:rPr>
                <w:sz w:val="18"/>
                <w:szCs w:val="16"/>
              </w:rPr>
              <w:t>1,4%</w:t>
            </w:r>
          </w:p>
        </w:tc>
      </w:tr>
    </w:tbl>
    <w:p w14:paraId="0197C9C3" w14:textId="77777777" w:rsidR="00486F98" w:rsidRPr="00446C16" w:rsidRDefault="00486F98" w:rsidP="00486F98">
      <w:pPr>
        <w:pStyle w:val="ListParagraph"/>
        <w:jc w:val="center"/>
      </w:pPr>
      <w:r w:rsidRPr="00446C16">
        <w:rPr>
          <w:sz w:val="20"/>
        </w:rPr>
        <w:t>Avots: autoru aprēķini, balstoties uz interviju rezultātiem</w:t>
      </w:r>
    </w:p>
    <w:p w14:paraId="3723F2D1" w14:textId="1A808142" w:rsidR="00486F98" w:rsidRPr="00446C16" w:rsidRDefault="00486F98" w:rsidP="00486F98">
      <w:pPr>
        <w:ind w:firstLine="851"/>
        <w:jc w:val="both"/>
        <w:rPr>
          <w:rStyle w:val="st"/>
        </w:rPr>
      </w:pPr>
      <w:r w:rsidRPr="00446C16">
        <w:rPr>
          <w:rStyle w:val="st"/>
        </w:rPr>
        <w:t>Vēsturiskie elastības rādītāji no datiem, kuros bija izņemts “būvniecības buma” periods 2006. -2009. gados, uzrādīja aptuveni uz pusi mazāku ietekmi uz izmaksu izmaiņu pieaugumu, palielinoties būvniecības produkcijas apjomam, nekā no visas datu rindas kopš 2004. gada. Savukārt, ekspertu vērtējumi uzrādīja augstāku ietekmi. Prognozēšanas vajadzībām tika izmantota formula, ko veido aritmētiskais vidējais no visiem trīs modeļiem ar elastības koeficientu 0,2594</w:t>
      </w:r>
      <w:r w:rsidR="00FD6E1F" w:rsidRPr="00446C16">
        <w:rPr>
          <w:rStyle w:val="st"/>
        </w:rPr>
        <w:t xml:space="preserve"> </w:t>
      </w:r>
      <w:r w:rsidRPr="00446C16">
        <w:rPr>
          <w:rStyle w:val="st"/>
        </w:rPr>
        <w:t>- katrā izmaksu prognožu sadaļā kombinētā prognoze būvniecības produkcijas apjomam tika ievietota sekojošā formulā:</w:t>
      </w:r>
    </w:p>
    <w:p w14:paraId="7926FF82" w14:textId="77777777" w:rsidR="00486F98" w:rsidRPr="00446C16" w:rsidRDefault="00486F98" w:rsidP="00486F98">
      <w:pPr>
        <w:jc w:val="both"/>
        <w:rPr>
          <w:rStyle w:val="st"/>
        </w:rPr>
      </w:pPr>
      <w:r w:rsidRPr="00446C16">
        <w:rPr>
          <w:rStyle w:val="st"/>
        </w:rPr>
        <w:t>I=0,2594 x A + 0,0183, kur</w:t>
      </w:r>
    </w:p>
    <w:p w14:paraId="682523BF" w14:textId="77777777" w:rsidR="00486F98" w:rsidRPr="00446C16" w:rsidRDefault="00486F98" w:rsidP="00486F98">
      <w:pPr>
        <w:jc w:val="both"/>
        <w:rPr>
          <w:rStyle w:val="st"/>
        </w:rPr>
      </w:pPr>
      <w:r w:rsidRPr="00446C16">
        <w:rPr>
          <w:rStyle w:val="st"/>
        </w:rPr>
        <w:t>I – elastības modeļa ietvaros prognozējamās izmaksu izmaiņas pret iepriekšējo gadu, %;</w:t>
      </w:r>
    </w:p>
    <w:p w14:paraId="73D94A99" w14:textId="4EEB6F35" w:rsidR="00486F98" w:rsidRPr="00446C16" w:rsidRDefault="00486F98" w:rsidP="00486F98">
      <w:pPr>
        <w:jc w:val="both"/>
        <w:rPr>
          <w:rStyle w:val="st"/>
        </w:rPr>
      </w:pPr>
      <w:r w:rsidRPr="00446C16">
        <w:rPr>
          <w:rStyle w:val="st"/>
        </w:rPr>
        <w:t>A- kombinētā prognoze būvniecības produkcijas apjoma izmaiņām pret iepriekšējo gadu, %</w:t>
      </w:r>
      <w:r w:rsidR="00FD6E1F" w:rsidRPr="00446C16">
        <w:rPr>
          <w:rStyle w:val="st"/>
        </w:rPr>
        <w:t>.</w:t>
      </w:r>
    </w:p>
    <w:p w14:paraId="720FC537" w14:textId="77777777" w:rsidR="00486F98" w:rsidRPr="00446C16" w:rsidRDefault="00486F98" w:rsidP="001F432D">
      <w:pPr>
        <w:ind w:firstLine="720"/>
        <w:jc w:val="both"/>
        <w:rPr>
          <w:rStyle w:val="st"/>
        </w:rPr>
      </w:pPr>
      <w:r w:rsidRPr="00446C16">
        <w:rPr>
          <w:rStyle w:val="st"/>
        </w:rPr>
        <w:t>Rezultātā tika iegūtas izmaksu izmaiņu prognozes, kādas veidotos, ņemot vērā tikai likumsakarību starp izmaksu izmaiņām, atkarībā no būvniecības produkcijas apjoma izmaiņām. Šis tika izmantots kā viens no trijiem avotiem kombinētās izmaksu prognozes veidošanā.</w:t>
      </w:r>
    </w:p>
    <w:p w14:paraId="620DD613" w14:textId="77777777" w:rsidR="00486F98" w:rsidRPr="00446C16" w:rsidRDefault="00486F98" w:rsidP="001F432D">
      <w:pPr>
        <w:ind w:firstLine="720"/>
        <w:jc w:val="both"/>
        <w:rPr>
          <w:rStyle w:val="st"/>
        </w:rPr>
      </w:pPr>
      <w:r w:rsidRPr="00446C16">
        <w:rPr>
          <w:rStyle w:val="st"/>
        </w:rPr>
        <w:t>Šo rezultātu interpretācijā būtiski ņemt vērā, ka starp apjoma un izmaksu izmaiņām praksē iespējams zināms reakcijas laiks. Statistiski pārbaudot izmaksu atkarību no iepriekšējā, nevis esošā gada būvniecības produkcijas apjoma, netika identificēta lielāka korelācija, tādēļ šajā modelī tiek ņemts vērā analizējamā gada būvniecības produkcijas apjoms.</w:t>
      </w:r>
    </w:p>
    <w:p w14:paraId="47DA83EC" w14:textId="77777777" w:rsidR="00486F98" w:rsidRPr="00446C16" w:rsidRDefault="00486F98" w:rsidP="00486F98">
      <w:pPr>
        <w:ind w:firstLine="851"/>
        <w:jc w:val="both"/>
        <w:rPr>
          <w:rStyle w:val="st"/>
        </w:rPr>
      </w:pPr>
      <w:r w:rsidRPr="00446C16">
        <w:rPr>
          <w:rStyle w:val="st"/>
        </w:rPr>
        <w:t xml:space="preserve">Lai pārbaudītu peļņas normas ietekmes nozīmīgumu, analoģiski tika vērtēta peļņas normas elastība atkarībā no būvniecības produkcijas apjoma. Gan ekspertu vērtējumiem, gan vēsturiskajiem datiem, izņemot 2006. - 2009. gadu vērtības, elastības koeficients sakrīt – 0,19. Taču atšķiras līmenis – ekspertu vērtējumā pieņemamā peļņas norma ir par 3 procentpunktiem lielāka. </w:t>
      </w:r>
    </w:p>
    <w:p w14:paraId="2503D997" w14:textId="77777777" w:rsidR="00486F98" w:rsidRPr="00446C16" w:rsidRDefault="00486F98" w:rsidP="00486F98">
      <w:pPr>
        <w:ind w:firstLine="851"/>
        <w:jc w:val="both"/>
        <w:rPr>
          <w:rStyle w:val="st"/>
        </w:rPr>
      </w:pPr>
      <w:r w:rsidRPr="00446C16">
        <w:rPr>
          <w:rStyle w:val="st"/>
        </w:rPr>
        <w:t xml:space="preserve">Rezultāti rāda, ka pat 20% būvniecības produkcijas apjoma pieauguma gadījumā vēsturiskie dati uzrāda ap 4% peļņas normu, bet ekspertu vērtējumi – ap 7%. </w:t>
      </w:r>
      <w:r w:rsidRPr="00446C16">
        <w:rPr>
          <w:rFonts w:cs="Arial"/>
          <w:color w:val="222222"/>
        </w:rPr>
        <w:t xml:space="preserve">Tas skaidrojums ar to, ka ekspertiem tika jautāta viņiem pieņemamā nevis faktiskā peļņas normas atkarība no būvniecības apjoma izmaiņām. Ņemot vērā to, ka gūt peļņu ir uzņēmumu primārais uzdevums, šādi visai optimistiski ekspertu vērtējumi salīdzinot ar faktiskajiem datiem ir pašsaprotami. </w:t>
      </w:r>
      <w:r w:rsidRPr="00446C16">
        <w:rPr>
          <w:rStyle w:val="st"/>
        </w:rPr>
        <w:t xml:space="preserve">Abas vērtības uzskatāmas par samērīgām un pieņemams, ka pat strauja būvniecības produkcijas apjoma pieauguma gadījumā, cenas un izmaksas netiek neadekvāti mainītas. Taču jāņem vērā, ka šī analīze nenodala uzņēmumu praksē pielietotu risinājumu samazināt peļņu uz izmaksu izmaiņu pieauguma rēķina, lai samazinātu nomaksājamā UIN apmēru. Paredzams, ka 2019. gadā veiktās izmaiņas likumdošanā, kas veicina uzņēmumu peļņas ieguldīšanu attīstībā, nākotnē varētu mainīt peļņas normas elastības rādītājus, taču uzlabojumu ietekmi būs iespējams novērtēt pēc vairākiem gadiem. </w:t>
      </w:r>
    </w:p>
    <w:p w14:paraId="1FBF3C11" w14:textId="384CB16E" w:rsidR="00486F98" w:rsidRPr="00446C16" w:rsidRDefault="00486F98" w:rsidP="00486F98">
      <w:pPr>
        <w:jc w:val="center"/>
        <w:rPr>
          <w:b/>
          <w:bCs/>
          <w:sz w:val="20"/>
        </w:rPr>
      </w:pPr>
      <w:r w:rsidRPr="00446C16">
        <w:rPr>
          <w:b/>
          <w:bCs/>
          <w:sz w:val="20"/>
        </w:rPr>
        <w:t>Tabula Nr. 3. Nozares ekspertu intervijas rezultāti – pieņemamā peļņas norma atkarībā no apjoma izmaiņām, %</w:t>
      </w:r>
    </w:p>
    <w:tbl>
      <w:tblPr>
        <w:tblStyle w:val="PlainTable1"/>
        <w:tblW w:w="8964" w:type="dxa"/>
        <w:jc w:val="center"/>
        <w:tblLook w:val="04A0" w:firstRow="1" w:lastRow="0" w:firstColumn="1" w:lastColumn="0" w:noHBand="0" w:noVBand="1"/>
      </w:tblPr>
      <w:tblGrid>
        <w:gridCol w:w="2828"/>
        <w:gridCol w:w="1158"/>
        <w:gridCol w:w="1158"/>
        <w:gridCol w:w="1244"/>
        <w:gridCol w:w="1244"/>
        <w:gridCol w:w="1332"/>
      </w:tblGrid>
      <w:tr w:rsidR="00486F98" w:rsidRPr="00446C16" w14:paraId="072EAB28" w14:textId="77777777" w:rsidTr="00486F9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8" w:type="dxa"/>
            <w:shd w:val="clear" w:color="auto" w:fill="1F3864"/>
            <w:vAlign w:val="center"/>
          </w:tcPr>
          <w:p w14:paraId="06701339" w14:textId="77777777" w:rsidR="00486F98" w:rsidRPr="00446C16" w:rsidRDefault="00486F98" w:rsidP="00486F98">
            <w:pPr>
              <w:spacing w:before="0" w:after="0"/>
              <w:jc w:val="center"/>
              <w:rPr>
                <w:rFonts w:eastAsia="Times New Roman" w:cstheme="minorHAnsi"/>
                <w:b w:val="0"/>
                <w:bCs w:val="0"/>
                <w:color w:val="FFFFFF" w:themeColor="background1"/>
                <w:sz w:val="18"/>
                <w:szCs w:val="16"/>
                <w:lang w:eastAsia="en-GB"/>
              </w:rPr>
            </w:pPr>
            <w:r w:rsidRPr="00446C16">
              <w:rPr>
                <w:rFonts w:ascii="Calibri" w:hAnsi="Calibri" w:cs="Calibri"/>
                <w:color w:val="FFFFFF" w:themeColor="background1"/>
                <w:sz w:val="18"/>
                <w:szCs w:val="16"/>
              </w:rPr>
              <w:t>Apjoma izmaiņu līmenis</w:t>
            </w:r>
          </w:p>
        </w:tc>
        <w:tc>
          <w:tcPr>
            <w:tcW w:w="1158" w:type="dxa"/>
            <w:shd w:val="clear" w:color="auto" w:fill="1F3864"/>
            <w:vAlign w:val="center"/>
          </w:tcPr>
          <w:p w14:paraId="149E2A48" w14:textId="77777777" w:rsidR="00486F98" w:rsidRPr="00446C16"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 līdz -10%</w:t>
            </w:r>
          </w:p>
        </w:tc>
        <w:tc>
          <w:tcPr>
            <w:tcW w:w="1158" w:type="dxa"/>
            <w:shd w:val="clear" w:color="auto" w:fill="1F3864"/>
            <w:vAlign w:val="center"/>
          </w:tcPr>
          <w:p w14:paraId="12C8C4F4" w14:textId="77777777" w:rsidR="00486F98" w:rsidRPr="00446C16"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-10% līdz 0%</w:t>
            </w:r>
          </w:p>
        </w:tc>
        <w:tc>
          <w:tcPr>
            <w:tcW w:w="1244" w:type="dxa"/>
            <w:shd w:val="clear" w:color="auto" w:fill="1F3864"/>
            <w:vAlign w:val="center"/>
          </w:tcPr>
          <w:p w14:paraId="3B389258" w14:textId="77777777" w:rsidR="00486F98" w:rsidRPr="00446C16"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0% līdz +10%</w:t>
            </w:r>
          </w:p>
        </w:tc>
        <w:tc>
          <w:tcPr>
            <w:tcW w:w="1244" w:type="dxa"/>
            <w:shd w:val="clear" w:color="auto" w:fill="1F3864"/>
            <w:vAlign w:val="center"/>
          </w:tcPr>
          <w:p w14:paraId="0452FB4F" w14:textId="77777777" w:rsidR="00486F98" w:rsidRPr="00446C16"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+10% līdz +20%</w:t>
            </w:r>
          </w:p>
        </w:tc>
        <w:tc>
          <w:tcPr>
            <w:tcW w:w="1332" w:type="dxa"/>
            <w:shd w:val="clear" w:color="auto" w:fill="1F3864"/>
            <w:vAlign w:val="center"/>
          </w:tcPr>
          <w:p w14:paraId="7E7FC828" w14:textId="77777777" w:rsidR="00486F98" w:rsidRPr="00446C16"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 līdz +30%</w:t>
            </w:r>
          </w:p>
        </w:tc>
      </w:tr>
      <w:tr w:rsidR="00486F98" w:rsidRPr="00446C16" w14:paraId="12FE399A" w14:textId="77777777" w:rsidTr="00486F9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8" w:type="dxa"/>
            <w:vAlign w:val="center"/>
          </w:tcPr>
          <w:p w14:paraId="2468E47E" w14:textId="77777777" w:rsidR="00486F98" w:rsidRPr="00446C16" w:rsidRDefault="00486F98" w:rsidP="00486F98">
            <w:pPr>
              <w:spacing w:before="0" w:after="0"/>
              <w:rPr>
                <w:rFonts w:eastAsia="Times New Roman" w:cstheme="minorHAnsi"/>
                <w:b w:val="0"/>
                <w:bCs w:val="0"/>
                <w:color w:val="000000"/>
                <w:sz w:val="18"/>
                <w:szCs w:val="16"/>
                <w:lang w:eastAsia="en-GB"/>
              </w:rPr>
            </w:pPr>
            <w:r w:rsidRPr="00446C16">
              <w:rPr>
                <w:rFonts w:ascii="Calibri" w:hAnsi="Calibri" w:cs="Calibri"/>
                <w:color w:val="000000"/>
                <w:sz w:val="18"/>
                <w:szCs w:val="16"/>
              </w:rPr>
              <w:t>Vidējais vērtējums</w:t>
            </w:r>
          </w:p>
        </w:tc>
        <w:tc>
          <w:tcPr>
            <w:tcW w:w="1158" w:type="dxa"/>
            <w:noWrap/>
            <w:vAlign w:val="center"/>
          </w:tcPr>
          <w:p w14:paraId="671269C6"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lang w:eastAsia="en-GB"/>
              </w:rPr>
            </w:pPr>
            <w:r w:rsidRPr="00446C16">
              <w:rPr>
                <w:b/>
                <w:bCs/>
                <w:sz w:val="18"/>
                <w:szCs w:val="16"/>
              </w:rPr>
              <w:t>0,9%</w:t>
            </w:r>
          </w:p>
        </w:tc>
        <w:tc>
          <w:tcPr>
            <w:tcW w:w="1158" w:type="dxa"/>
            <w:vAlign w:val="center"/>
          </w:tcPr>
          <w:p w14:paraId="4870AD04"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lang w:eastAsia="en-GB"/>
              </w:rPr>
            </w:pPr>
            <w:r w:rsidRPr="00446C16">
              <w:rPr>
                <w:b/>
                <w:bCs/>
                <w:sz w:val="18"/>
                <w:szCs w:val="16"/>
              </w:rPr>
              <w:t>2,1%</w:t>
            </w:r>
          </w:p>
        </w:tc>
        <w:tc>
          <w:tcPr>
            <w:tcW w:w="1244" w:type="dxa"/>
            <w:noWrap/>
            <w:vAlign w:val="center"/>
          </w:tcPr>
          <w:p w14:paraId="25AA555C"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lang w:eastAsia="en-GB"/>
              </w:rPr>
            </w:pPr>
            <w:r w:rsidRPr="00446C16">
              <w:rPr>
                <w:b/>
                <w:bCs/>
                <w:sz w:val="18"/>
                <w:szCs w:val="16"/>
              </w:rPr>
              <w:t>4,6%</w:t>
            </w:r>
          </w:p>
        </w:tc>
        <w:tc>
          <w:tcPr>
            <w:tcW w:w="1244" w:type="dxa"/>
            <w:noWrap/>
            <w:vAlign w:val="center"/>
          </w:tcPr>
          <w:p w14:paraId="12997B46"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lang w:eastAsia="en-GB"/>
              </w:rPr>
            </w:pPr>
            <w:r w:rsidRPr="00446C16">
              <w:rPr>
                <w:b/>
                <w:bCs/>
                <w:sz w:val="18"/>
                <w:szCs w:val="16"/>
              </w:rPr>
              <w:t>6,1%</w:t>
            </w:r>
          </w:p>
        </w:tc>
        <w:tc>
          <w:tcPr>
            <w:tcW w:w="1332" w:type="dxa"/>
            <w:noWrap/>
            <w:vAlign w:val="center"/>
          </w:tcPr>
          <w:p w14:paraId="251ADF88"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6"/>
                <w:lang w:eastAsia="en-GB"/>
              </w:rPr>
            </w:pPr>
            <w:r w:rsidRPr="00446C16">
              <w:rPr>
                <w:b/>
                <w:bCs/>
                <w:sz w:val="18"/>
                <w:szCs w:val="16"/>
              </w:rPr>
              <w:t>8,5%</w:t>
            </w:r>
          </w:p>
        </w:tc>
      </w:tr>
      <w:tr w:rsidR="00486F98" w:rsidRPr="00446C16" w14:paraId="66B4D86A" w14:textId="77777777" w:rsidTr="00486F98">
        <w:trPr>
          <w:trHeight w:val="20"/>
          <w:jc w:val="center"/>
        </w:trPr>
        <w:tc>
          <w:tcPr>
            <w:cnfStyle w:val="001000000000" w:firstRow="0" w:lastRow="0" w:firstColumn="1" w:lastColumn="0" w:oddVBand="0" w:evenVBand="0" w:oddHBand="0" w:evenHBand="0" w:firstRowFirstColumn="0" w:firstRowLastColumn="0" w:lastRowFirstColumn="0" w:lastRowLastColumn="0"/>
            <w:tcW w:w="2828" w:type="dxa"/>
            <w:vAlign w:val="center"/>
          </w:tcPr>
          <w:p w14:paraId="3DF49094" w14:textId="77777777" w:rsidR="00486F98" w:rsidRPr="00446C16" w:rsidRDefault="00486F98" w:rsidP="00486F98">
            <w:pPr>
              <w:spacing w:before="0" w:after="0"/>
              <w:rPr>
                <w:b w:val="0"/>
                <w:bCs w:val="0"/>
                <w:sz w:val="18"/>
                <w:szCs w:val="16"/>
              </w:rPr>
            </w:pPr>
            <w:r w:rsidRPr="00446C16">
              <w:rPr>
                <w:rFonts w:ascii="Calibri" w:hAnsi="Calibri" w:cs="Calibri"/>
                <w:color w:val="000000"/>
                <w:sz w:val="18"/>
                <w:szCs w:val="16"/>
              </w:rPr>
              <w:t>Standartnovirze</w:t>
            </w:r>
          </w:p>
        </w:tc>
        <w:tc>
          <w:tcPr>
            <w:tcW w:w="1158" w:type="dxa"/>
            <w:noWrap/>
            <w:vAlign w:val="center"/>
          </w:tcPr>
          <w:p w14:paraId="6A5B4A1E"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sidRPr="00446C16">
              <w:rPr>
                <w:sz w:val="18"/>
                <w:szCs w:val="16"/>
              </w:rPr>
              <w:t>6,6%</w:t>
            </w:r>
          </w:p>
        </w:tc>
        <w:tc>
          <w:tcPr>
            <w:tcW w:w="1158" w:type="dxa"/>
            <w:vAlign w:val="center"/>
          </w:tcPr>
          <w:p w14:paraId="4B373E42"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sidRPr="00446C16">
              <w:rPr>
                <w:sz w:val="18"/>
                <w:szCs w:val="16"/>
              </w:rPr>
              <w:t>5,2%</w:t>
            </w:r>
          </w:p>
        </w:tc>
        <w:tc>
          <w:tcPr>
            <w:tcW w:w="1244" w:type="dxa"/>
            <w:noWrap/>
            <w:vAlign w:val="center"/>
          </w:tcPr>
          <w:p w14:paraId="215C5042"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sidRPr="00446C16">
              <w:rPr>
                <w:sz w:val="18"/>
                <w:szCs w:val="16"/>
              </w:rPr>
              <w:t>3,0%</w:t>
            </w:r>
          </w:p>
        </w:tc>
        <w:tc>
          <w:tcPr>
            <w:tcW w:w="1244" w:type="dxa"/>
            <w:noWrap/>
            <w:vAlign w:val="center"/>
          </w:tcPr>
          <w:p w14:paraId="6D7FA521"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sidRPr="00446C16">
              <w:rPr>
                <w:sz w:val="18"/>
                <w:szCs w:val="16"/>
              </w:rPr>
              <w:t>2,9%</w:t>
            </w:r>
          </w:p>
        </w:tc>
        <w:tc>
          <w:tcPr>
            <w:tcW w:w="1332" w:type="dxa"/>
            <w:noWrap/>
            <w:vAlign w:val="center"/>
          </w:tcPr>
          <w:p w14:paraId="54EEC2D2"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6"/>
              </w:rPr>
            </w:pPr>
            <w:r w:rsidRPr="00446C16">
              <w:rPr>
                <w:sz w:val="18"/>
                <w:szCs w:val="16"/>
              </w:rPr>
              <w:t>4,7%</w:t>
            </w:r>
          </w:p>
        </w:tc>
      </w:tr>
      <w:tr w:rsidR="00486F98" w:rsidRPr="00446C16" w14:paraId="6F944C64" w14:textId="77777777" w:rsidTr="00486F9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8" w:type="dxa"/>
            <w:vAlign w:val="center"/>
          </w:tcPr>
          <w:p w14:paraId="42DF4A73" w14:textId="77777777" w:rsidR="00486F98" w:rsidRPr="00446C16" w:rsidRDefault="00486F98" w:rsidP="00486F98">
            <w:pPr>
              <w:spacing w:before="0" w:after="0"/>
              <w:rPr>
                <w:b w:val="0"/>
                <w:bCs w:val="0"/>
                <w:sz w:val="18"/>
                <w:szCs w:val="16"/>
              </w:rPr>
            </w:pPr>
            <w:r w:rsidRPr="00446C16">
              <w:rPr>
                <w:rFonts w:ascii="Calibri" w:hAnsi="Calibri" w:cs="Calibri"/>
                <w:color w:val="000000"/>
                <w:sz w:val="18"/>
                <w:szCs w:val="16"/>
              </w:rPr>
              <w:t>Standartkļūda</w:t>
            </w:r>
          </w:p>
        </w:tc>
        <w:tc>
          <w:tcPr>
            <w:tcW w:w="1158" w:type="dxa"/>
            <w:noWrap/>
            <w:vAlign w:val="center"/>
          </w:tcPr>
          <w:p w14:paraId="0B3805DB"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sidRPr="00446C16">
              <w:rPr>
                <w:sz w:val="18"/>
                <w:szCs w:val="16"/>
              </w:rPr>
              <w:t>1,2%</w:t>
            </w:r>
          </w:p>
        </w:tc>
        <w:tc>
          <w:tcPr>
            <w:tcW w:w="1158" w:type="dxa"/>
            <w:vAlign w:val="center"/>
          </w:tcPr>
          <w:p w14:paraId="7F45617F"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sidRPr="00446C16">
              <w:rPr>
                <w:sz w:val="18"/>
                <w:szCs w:val="16"/>
              </w:rPr>
              <w:t>0,9%</w:t>
            </w:r>
          </w:p>
        </w:tc>
        <w:tc>
          <w:tcPr>
            <w:tcW w:w="1244" w:type="dxa"/>
            <w:noWrap/>
            <w:vAlign w:val="center"/>
          </w:tcPr>
          <w:p w14:paraId="23BA3528"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sidRPr="00446C16">
              <w:rPr>
                <w:sz w:val="18"/>
                <w:szCs w:val="16"/>
              </w:rPr>
              <w:t>0,5%</w:t>
            </w:r>
          </w:p>
        </w:tc>
        <w:tc>
          <w:tcPr>
            <w:tcW w:w="1244" w:type="dxa"/>
            <w:noWrap/>
            <w:vAlign w:val="center"/>
          </w:tcPr>
          <w:p w14:paraId="3996084A"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sidRPr="00446C16">
              <w:rPr>
                <w:sz w:val="18"/>
                <w:szCs w:val="16"/>
              </w:rPr>
              <w:t>0,5%</w:t>
            </w:r>
          </w:p>
        </w:tc>
        <w:tc>
          <w:tcPr>
            <w:tcW w:w="1332" w:type="dxa"/>
            <w:noWrap/>
            <w:vAlign w:val="center"/>
          </w:tcPr>
          <w:p w14:paraId="4BC8C0AB"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6"/>
              </w:rPr>
            </w:pPr>
            <w:r w:rsidRPr="00446C16">
              <w:rPr>
                <w:sz w:val="18"/>
                <w:szCs w:val="16"/>
              </w:rPr>
              <w:t>0,8%</w:t>
            </w:r>
          </w:p>
        </w:tc>
      </w:tr>
    </w:tbl>
    <w:p w14:paraId="79BFB60E" w14:textId="77777777" w:rsidR="001F432D" w:rsidRPr="00446C16" w:rsidRDefault="001F432D" w:rsidP="001F432D">
      <w:pPr>
        <w:jc w:val="center"/>
      </w:pPr>
      <w:r w:rsidRPr="00446C16">
        <w:rPr>
          <w:sz w:val="20"/>
        </w:rPr>
        <w:t>Avots: autoru aprēķini, balstoties uz interviju rezultātiem</w:t>
      </w:r>
    </w:p>
    <w:p w14:paraId="2743843A" w14:textId="77777777" w:rsidR="00486F98" w:rsidRPr="00446C16" w:rsidRDefault="00486F98" w:rsidP="00486F98">
      <w:pPr>
        <w:jc w:val="center"/>
        <w:rPr>
          <w:sz w:val="20"/>
        </w:rPr>
      </w:pPr>
    </w:p>
    <w:p w14:paraId="64346E20" w14:textId="713F995B" w:rsidR="00486F98" w:rsidRPr="00446C16" w:rsidRDefault="00486F98" w:rsidP="00486F98">
      <w:pPr>
        <w:jc w:val="center"/>
        <w:rPr>
          <w:b/>
          <w:bCs/>
          <w:sz w:val="20"/>
        </w:rPr>
      </w:pPr>
      <w:r w:rsidRPr="00446C16">
        <w:rPr>
          <w:b/>
          <w:bCs/>
          <w:sz w:val="20"/>
        </w:rPr>
        <w:lastRenderedPageBreak/>
        <w:t>Tabula Nr.4 . Ekspertu intervijas rezultāti – pieņemamā peļņas norma apakšnozarēs atkarībā no apjoma izmaiņām, %</w:t>
      </w:r>
    </w:p>
    <w:tbl>
      <w:tblPr>
        <w:tblStyle w:val="PlainTable1"/>
        <w:tblW w:w="8964" w:type="dxa"/>
        <w:jc w:val="center"/>
        <w:tblLook w:val="04A0" w:firstRow="1" w:lastRow="0" w:firstColumn="1" w:lastColumn="0" w:noHBand="0" w:noVBand="1"/>
      </w:tblPr>
      <w:tblGrid>
        <w:gridCol w:w="1938"/>
        <w:gridCol w:w="1275"/>
        <w:gridCol w:w="1275"/>
        <w:gridCol w:w="1492"/>
        <w:gridCol w:w="1492"/>
        <w:gridCol w:w="1492"/>
      </w:tblGrid>
      <w:tr w:rsidR="00486F98" w:rsidRPr="00446C16" w14:paraId="4B7A7881" w14:textId="77777777" w:rsidTr="00486F9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38" w:type="dxa"/>
            <w:shd w:val="clear" w:color="auto" w:fill="1F3864"/>
            <w:vAlign w:val="center"/>
          </w:tcPr>
          <w:p w14:paraId="4A719F49" w14:textId="77777777" w:rsidR="00486F98" w:rsidRPr="00446C16" w:rsidRDefault="00486F98" w:rsidP="00486F98">
            <w:pPr>
              <w:spacing w:before="0" w:after="0"/>
              <w:jc w:val="center"/>
              <w:rPr>
                <w:rFonts w:eastAsia="Times New Roman" w:cstheme="minorHAnsi"/>
                <w:b w:val="0"/>
                <w:bCs w:val="0"/>
                <w:color w:val="FFFFFF" w:themeColor="background1"/>
                <w:sz w:val="18"/>
                <w:szCs w:val="16"/>
                <w:lang w:eastAsia="en-GB"/>
              </w:rPr>
            </w:pPr>
            <w:r w:rsidRPr="00446C16">
              <w:rPr>
                <w:rFonts w:ascii="Calibri" w:hAnsi="Calibri" w:cs="Calibri"/>
                <w:color w:val="FFFFFF" w:themeColor="background1"/>
                <w:sz w:val="18"/>
                <w:szCs w:val="16"/>
              </w:rPr>
              <w:t>Apjoma izmaiņu līmenis</w:t>
            </w:r>
          </w:p>
        </w:tc>
        <w:tc>
          <w:tcPr>
            <w:tcW w:w="1275" w:type="dxa"/>
            <w:shd w:val="clear" w:color="auto" w:fill="1F3864"/>
            <w:vAlign w:val="center"/>
          </w:tcPr>
          <w:p w14:paraId="03F88F50" w14:textId="77777777" w:rsidR="00486F98" w:rsidRPr="00446C16"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 līdz -10%</w:t>
            </w:r>
          </w:p>
        </w:tc>
        <w:tc>
          <w:tcPr>
            <w:tcW w:w="1275" w:type="dxa"/>
            <w:shd w:val="clear" w:color="auto" w:fill="1F3864"/>
            <w:vAlign w:val="center"/>
          </w:tcPr>
          <w:p w14:paraId="719E90BB" w14:textId="77777777" w:rsidR="00486F98" w:rsidRPr="00446C16"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-10% līdz 0%</w:t>
            </w:r>
          </w:p>
        </w:tc>
        <w:tc>
          <w:tcPr>
            <w:tcW w:w="1492" w:type="dxa"/>
            <w:shd w:val="clear" w:color="auto" w:fill="1F3864"/>
            <w:vAlign w:val="center"/>
          </w:tcPr>
          <w:p w14:paraId="6B233743" w14:textId="77777777" w:rsidR="00486F98" w:rsidRPr="00446C16"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0% līdz +10%</w:t>
            </w:r>
          </w:p>
        </w:tc>
        <w:tc>
          <w:tcPr>
            <w:tcW w:w="1492" w:type="dxa"/>
            <w:shd w:val="clear" w:color="auto" w:fill="1F3864"/>
            <w:vAlign w:val="center"/>
          </w:tcPr>
          <w:p w14:paraId="410C03BE" w14:textId="77777777" w:rsidR="00486F98" w:rsidRPr="00446C16"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+10% līdz +20%</w:t>
            </w:r>
          </w:p>
        </w:tc>
        <w:tc>
          <w:tcPr>
            <w:tcW w:w="1492" w:type="dxa"/>
            <w:shd w:val="clear" w:color="auto" w:fill="1F3864"/>
            <w:vAlign w:val="center"/>
          </w:tcPr>
          <w:p w14:paraId="04F87A5A" w14:textId="77777777" w:rsidR="00486F98" w:rsidRPr="00446C16" w:rsidRDefault="00486F98" w:rsidP="00486F9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 līdz +30%</w:t>
            </w:r>
          </w:p>
        </w:tc>
      </w:tr>
      <w:tr w:rsidR="00486F98" w:rsidRPr="00446C16" w14:paraId="2B8E9C24" w14:textId="77777777" w:rsidTr="00486F9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346DD457" w14:textId="77777777" w:rsidR="00486F98" w:rsidRPr="00446C16" w:rsidRDefault="00486F98" w:rsidP="00486F98">
            <w:pPr>
              <w:spacing w:before="0" w:after="0"/>
              <w:rPr>
                <w:rFonts w:eastAsia="Times New Roman" w:cstheme="minorHAnsi"/>
                <w:b w:val="0"/>
                <w:bCs w:val="0"/>
                <w:color w:val="000000"/>
                <w:sz w:val="18"/>
                <w:szCs w:val="18"/>
                <w:lang w:eastAsia="en-GB"/>
              </w:rPr>
            </w:pPr>
            <w:r w:rsidRPr="00446C16">
              <w:rPr>
                <w:sz w:val="18"/>
                <w:szCs w:val="18"/>
              </w:rPr>
              <w:t>Dzīvojamo ēku būvniecība</w:t>
            </w:r>
          </w:p>
        </w:tc>
        <w:tc>
          <w:tcPr>
            <w:tcW w:w="1275" w:type="dxa"/>
            <w:noWrap/>
            <w:vAlign w:val="center"/>
          </w:tcPr>
          <w:p w14:paraId="7477E186"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446C16">
              <w:rPr>
                <w:sz w:val="18"/>
                <w:szCs w:val="18"/>
              </w:rPr>
              <w:t>6,25</w:t>
            </w:r>
          </w:p>
        </w:tc>
        <w:tc>
          <w:tcPr>
            <w:tcW w:w="1275" w:type="dxa"/>
            <w:vAlign w:val="center"/>
          </w:tcPr>
          <w:p w14:paraId="3613BC4E"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446C16">
              <w:rPr>
                <w:sz w:val="18"/>
                <w:szCs w:val="18"/>
              </w:rPr>
              <w:t>6,63</w:t>
            </w:r>
          </w:p>
        </w:tc>
        <w:tc>
          <w:tcPr>
            <w:tcW w:w="1492" w:type="dxa"/>
            <w:noWrap/>
            <w:vAlign w:val="center"/>
          </w:tcPr>
          <w:p w14:paraId="2E2BC218"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446C16">
              <w:rPr>
                <w:sz w:val="18"/>
                <w:szCs w:val="18"/>
              </w:rPr>
              <w:t>7,13</w:t>
            </w:r>
          </w:p>
        </w:tc>
        <w:tc>
          <w:tcPr>
            <w:tcW w:w="1492" w:type="dxa"/>
            <w:noWrap/>
            <w:vAlign w:val="center"/>
          </w:tcPr>
          <w:p w14:paraId="5FC1F0AD"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446C16">
              <w:rPr>
                <w:sz w:val="18"/>
                <w:szCs w:val="18"/>
              </w:rPr>
              <w:t>7,75</w:t>
            </w:r>
          </w:p>
        </w:tc>
        <w:tc>
          <w:tcPr>
            <w:tcW w:w="1492" w:type="dxa"/>
            <w:noWrap/>
            <w:vAlign w:val="center"/>
          </w:tcPr>
          <w:p w14:paraId="2E3B1482"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en-GB"/>
              </w:rPr>
            </w:pPr>
            <w:r w:rsidRPr="00446C16">
              <w:rPr>
                <w:sz w:val="18"/>
                <w:szCs w:val="18"/>
              </w:rPr>
              <w:t>10,67</w:t>
            </w:r>
          </w:p>
        </w:tc>
      </w:tr>
      <w:tr w:rsidR="00486F98" w:rsidRPr="00446C16" w14:paraId="7352A914" w14:textId="77777777" w:rsidTr="00486F98">
        <w:trPr>
          <w:trHeight w:val="20"/>
          <w:jc w:val="center"/>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1908CD8C" w14:textId="77777777" w:rsidR="00486F98" w:rsidRPr="00446C16" w:rsidRDefault="00486F98" w:rsidP="00486F98">
            <w:pPr>
              <w:spacing w:before="0" w:after="0"/>
              <w:rPr>
                <w:b w:val="0"/>
                <w:bCs w:val="0"/>
                <w:sz w:val="18"/>
                <w:szCs w:val="18"/>
              </w:rPr>
            </w:pPr>
            <w:r w:rsidRPr="00446C16">
              <w:rPr>
                <w:sz w:val="18"/>
                <w:szCs w:val="18"/>
              </w:rPr>
              <w:t>Nedzīvojamo ēku būvniecība</w:t>
            </w:r>
          </w:p>
        </w:tc>
        <w:tc>
          <w:tcPr>
            <w:tcW w:w="1275" w:type="dxa"/>
            <w:noWrap/>
            <w:vAlign w:val="center"/>
          </w:tcPr>
          <w:p w14:paraId="01C23DBE"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446C16">
              <w:rPr>
                <w:sz w:val="18"/>
                <w:szCs w:val="18"/>
              </w:rPr>
              <w:t>6,13</w:t>
            </w:r>
          </w:p>
        </w:tc>
        <w:tc>
          <w:tcPr>
            <w:tcW w:w="1275" w:type="dxa"/>
            <w:vAlign w:val="center"/>
          </w:tcPr>
          <w:p w14:paraId="13C75940"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446C16">
              <w:rPr>
                <w:sz w:val="18"/>
                <w:szCs w:val="18"/>
              </w:rPr>
              <w:t>6,50</w:t>
            </w:r>
          </w:p>
        </w:tc>
        <w:tc>
          <w:tcPr>
            <w:tcW w:w="1492" w:type="dxa"/>
            <w:noWrap/>
            <w:vAlign w:val="center"/>
          </w:tcPr>
          <w:p w14:paraId="61B79AB5"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446C16">
              <w:rPr>
                <w:sz w:val="18"/>
                <w:szCs w:val="18"/>
              </w:rPr>
              <w:t>7,13</w:t>
            </w:r>
          </w:p>
        </w:tc>
        <w:tc>
          <w:tcPr>
            <w:tcW w:w="1492" w:type="dxa"/>
            <w:noWrap/>
            <w:vAlign w:val="center"/>
          </w:tcPr>
          <w:p w14:paraId="5BB6F3E9"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446C16">
              <w:rPr>
                <w:sz w:val="18"/>
                <w:szCs w:val="18"/>
              </w:rPr>
              <w:t>7,75</w:t>
            </w:r>
          </w:p>
        </w:tc>
        <w:tc>
          <w:tcPr>
            <w:tcW w:w="1492" w:type="dxa"/>
            <w:noWrap/>
            <w:vAlign w:val="center"/>
          </w:tcPr>
          <w:p w14:paraId="14B8098A"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446C16">
              <w:rPr>
                <w:sz w:val="18"/>
                <w:szCs w:val="18"/>
              </w:rPr>
              <w:t>10,67</w:t>
            </w:r>
          </w:p>
        </w:tc>
      </w:tr>
      <w:tr w:rsidR="00486F98" w:rsidRPr="00446C16" w14:paraId="172629FB" w14:textId="77777777" w:rsidTr="00486F9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452D5C13" w14:textId="77777777" w:rsidR="00486F98" w:rsidRPr="00446C16" w:rsidRDefault="00486F98" w:rsidP="00486F98">
            <w:pPr>
              <w:spacing w:before="0" w:after="0"/>
              <w:rPr>
                <w:rFonts w:ascii="Calibri" w:hAnsi="Calibri" w:cs="Calibri"/>
                <w:b w:val="0"/>
                <w:bCs w:val="0"/>
                <w:color w:val="000000"/>
                <w:sz w:val="18"/>
                <w:szCs w:val="18"/>
              </w:rPr>
            </w:pPr>
            <w:r w:rsidRPr="00446C16">
              <w:rPr>
                <w:sz w:val="18"/>
                <w:szCs w:val="18"/>
              </w:rPr>
              <w:t>Transporta objektu būvniecība</w:t>
            </w:r>
          </w:p>
        </w:tc>
        <w:tc>
          <w:tcPr>
            <w:tcW w:w="1275" w:type="dxa"/>
            <w:noWrap/>
            <w:vAlign w:val="center"/>
          </w:tcPr>
          <w:p w14:paraId="78322FD2"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446C16">
              <w:rPr>
                <w:sz w:val="18"/>
                <w:szCs w:val="18"/>
              </w:rPr>
              <w:t>4,33</w:t>
            </w:r>
          </w:p>
        </w:tc>
        <w:tc>
          <w:tcPr>
            <w:tcW w:w="1275" w:type="dxa"/>
            <w:vAlign w:val="center"/>
          </w:tcPr>
          <w:p w14:paraId="38619336"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446C16">
              <w:rPr>
                <w:sz w:val="18"/>
                <w:szCs w:val="18"/>
              </w:rPr>
              <w:t>3,67</w:t>
            </w:r>
          </w:p>
        </w:tc>
        <w:tc>
          <w:tcPr>
            <w:tcW w:w="1492" w:type="dxa"/>
            <w:noWrap/>
            <w:vAlign w:val="center"/>
          </w:tcPr>
          <w:p w14:paraId="12594547"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446C16">
              <w:rPr>
                <w:sz w:val="18"/>
                <w:szCs w:val="18"/>
              </w:rPr>
              <w:t>5,33</w:t>
            </w:r>
          </w:p>
        </w:tc>
        <w:tc>
          <w:tcPr>
            <w:tcW w:w="1492" w:type="dxa"/>
            <w:noWrap/>
            <w:vAlign w:val="center"/>
          </w:tcPr>
          <w:p w14:paraId="05C37349"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446C16">
              <w:rPr>
                <w:sz w:val="18"/>
                <w:szCs w:val="18"/>
              </w:rPr>
              <w:t>7,67</w:t>
            </w:r>
          </w:p>
        </w:tc>
        <w:tc>
          <w:tcPr>
            <w:tcW w:w="1492" w:type="dxa"/>
            <w:noWrap/>
            <w:vAlign w:val="center"/>
          </w:tcPr>
          <w:p w14:paraId="362A7DBA"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446C16">
              <w:rPr>
                <w:sz w:val="18"/>
                <w:szCs w:val="18"/>
              </w:rPr>
              <w:t>8,33</w:t>
            </w:r>
          </w:p>
        </w:tc>
      </w:tr>
      <w:tr w:rsidR="00486F98" w:rsidRPr="00446C16" w14:paraId="275EA041" w14:textId="77777777" w:rsidTr="00486F98">
        <w:trPr>
          <w:trHeight w:val="20"/>
          <w:jc w:val="center"/>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E253AC2" w14:textId="77777777" w:rsidR="00486F98" w:rsidRPr="00446C16" w:rsidRDefault="00486F98" w:rsidP="00486F98">
            <w:pPr>
              <w:spacing w:before="0" w:after="0"/>
              <w:rPr>
                <w:b w:val="0"/>
                <w:bCs w:val="0"/>
                <w:sz w:val="18"/>
                <w:szCs w:val="18"/>
              </w:rPr>
            </w:pPr>
            <w:r w:rsidRPr="00446C16">
              <w:rPr>
                <w:sz w:val="18"/>
                <w:szCs w:val="18"/>
              </w:rPr>
              <w:t>Pilsētas infrastruktūras objektu būvniecība</w:t>
            </w:r>
          </w:p>
        </w:tc>
        <w:tc>
          <w:tcPr>
            <w:tcW w:w="1275" w:type="dxa"/>
            <w:noWrap/>
            <w:vAlign w:val="center"/>
          </w:tcPr>
          <w:p w14:paraId="654BDD45"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446C16">
              <w:rPr>
                <w:sz w:val="18"/>
                <w:szCs w:val="18"/>
              </w:rPr>
              <w:t>1,00</w:t>
            </w:r>
          </w:p>
        </w:tc>
        <w:tc>
          <w:tcPr>
            <w:tcW w:w="1275" w:type="dxa"/>
            <w:vAlign w:val="center"/>
          </w:tcPr>
          <w:p w14:paraId="2A749422"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446C16">
              <w:rPr>
                <w:sz w:val="18"/>
                <w:szCs w:val="18"/>
              </w:rPr>
              <w:t>2,67</w:t>
            </w:r>
          </w:p>
        </w:tc>
        <w:tc>
          <w:tcPr>
            <w:tcW w:w="1492" w:type="dxa"/>
            <w:noWrap/>
            <w:vAlign w:val="center"/>
          </w:tcPr>
          <w:p w14:paraId="55639DB0"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446C16">
              <w:rPr>
                <w:sz w:val="18"/>
                <w:szCs w:val="18"/>
              </w:rPr>
              <w:t>5,67</w:t>
            </w:r>
          </w:p>
        </w:tc>
        <w:tc>
          <w:tcPr>
            <w:tcW w:w="1492" w:type="dxa"/>
            <w:noWrap/>
            <w:vAlign w:val="center"/>
          </w:tcPr>
          <w:p w14:paraId="69A551C3"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446C16">
              <w:rPr>
                <w:sz w:val="18"/>
                <w:szCs w:val="18"/>
              </w:rPr>
              <w:t>7,00</w:t>
            </w:r>
          </w:p>
        </w:tc>
        <w:tc>
          <w:tcPr>
            <w:tcW w:w="1492" w:type="dxa"/>
            <w:noWrap/>
            <w:vAlign w:val="center"/>
          </w:tcPr>
          <w:p w14:paraId="063E841A"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446C16">
              <w:rPr>
                <w:sz w:val="18"/>
                <w:szCs w:val="18"/>
              </w:rPr>
              <w:t>8,00</w:t>
            </w:r>
          </w:p>
        </w:tc>
      </w:tr>
      <w:tr w:rsidR="00486F98" w:rsidRPr="00446C16" w14:paraId="375A76CC" w14:textId="77777777" w:rsidTr="00486F9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7436AA0A" w14:textId="77777777" w:rsidR="00486F98" w:rsidRPr="00446C16" w:rsidRDefault="00486F98" w:rsidP="00486F98">
            <w:pPr>
              <w:spacing w:before="0" w:after="0"/>
              <w:rPr>
                <w:b w:val="0"/>
                <w:bCs w:val="0"/>
                <w:sz w:val="18"/>
                <w:szCs w:val="18"/>
              </w:rPr>
            </w:pPr>
            <w:r w:rsidRPr="00446C16">
              <w:rPr>
                <w:sz w:val="18"/>
                <w:szCs w:val="18"/>
              </w:rPr>
              <w:t xml:space="preserve">Pārējā </w:t>
            </w:r>
            <w:proofErr w:type="spellStart"/>
            <w:r w:rsidRPr="00446C16">
              <w:rPr>
                <w:sz w:val="18"/>
                <w:szCs w:val="18"/>
              </w:rPr>
              <w:t>inženierbūvniecība</w:t>
            </w:r>
            <w:proofErr w:type="spellEnd"/>
          </w:p>
        </w:tc>
        <w:tc>
          <w:tcPr>
            <w:tcW w:w="1275" w:type="dxa"/>
            <w:noWrap/>
            <w:vAlign w:val="center"/>
          </w:tcPr>
          <w:p w14:paraId="702625F6"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446C16">
              <w:rPr>
                <w:sz w:val="18"/>
                <w:szCs w:val="18"/>
              </w:rPr>
              <w:t>-1,00</w:t>
            </w:r>
          </w:p>
        </w:tc>
        <w:tc>
          <w:tcPr>
            <w:tcW w:w="1275" w:type="dxa"/>
            <w:vAlign w:val="center"/>
          </w:tcPr>
          <w:p w14:paraId="028B309A"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446C16">
              <w:rPr>
                <w:sz w:val="18"/>
                <w:szCs w:val="18"/>
              </w:rPr>
              <w:t>-1,67</w:t>
            </w:r>
          </w:p>
        </w:tc>
        <w:tc>
          <w:tcPr>
            <w:tcW w:w="1492" w:type="dxa"/>
            <w:noWrap/>
            <w:vAlign w:val="center"/>
          </w:tcPr>
          <w:p w14:paraId="30D43C84"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446C16">
              <w:rPr>
                <w:sz w:val="18"/>
                <w:szCs w:val="18"/>
              </w:rPr>
              <w:t>3,33</w:t>
            </w:r>
          </w:p>
        </w:tc>
        <w:tc>
          <w:tcPr>
            <w:tcW w:w="1492" w:type="dxa"/>
            <w:noWrap/>
            <w:vAlign w:val="center"/>
          </w:tcPr>
          <w:p w14:paraId="5922731D"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446C16">
              <w:rPr>
                <w:sz w:val="18"/>
                <w:szCs w:val="18"/>
              </w:rPr>
              <w:t>4,00</w:t>
            </w:r>
          </w:p>
        </w:tc>
        <w:tc>
          <w:tcPr>
            <w:tcW w:w="1492" w:type="dxa"/>
            <w:noWrap/>
            <w:vAlign w:val="center"/>
          </w:tcPr>
          <w:p w14:paraId="19A7043E" w14:textId="77777777" w:rsidR="00486F98" w:rsidRPr="00446C16" w:rsidRDefault="00486F98" w:rsidP="00486F9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446C16">
              <w:rPr>
                <w:sz w:val="18"/>
                <w:szCs w:val="18"/>
              </w:rPr>
              <w:t>5,67</w:t>
            </w:r>
          </w:p>
        </w:tc>
      </w:tr>
      <w:tr w:rsidR="00486F98" w:rsidRPr="00446C16" w14:paraId="1174C27D" w14:textId="77777777" w:rsidTr="00486F98">
        <w:trPr>
          <w:trHeight w:val="20"/>
          <w:jc w:val="center"/>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8C3366" w14:textId="77777777" w:rsidR="00486F98" w:rsidRPr="00446C16" w:rsidRDefault="00486F98" w:rsidP="00486F98">
            <w:pPr>
              <w:spacing w:before="0" w:after="0"/>
              <w:rPr>
                <w:b w:val="0"/>
                <w:bCs w:val="0"/>
                <w:sz w:val="18"/>
                <w:szCs w:val="18"/>
              </w:rPr>
            </w:pPr>
            <w:r w:rsidRPr="00446C16">
              <w:rPr>
                <w:sz w:val="18"/>
                <w:szCs w:val="18"/>
              </w:rPr>
              <w:t>Komplekso būvju ražošanas uzņēmumos būvniecība</w:t>
            </w:r>
          </w:p>
        </w:tc>
        <w:tc>
          <w:tcPr>
            <w:tcW w:w="1275" w:type="dxa"/>
            <w:noWrap/>
            <w:vAlign w:val="center"/>
          </w:tcPr>
          <w:p w14:paraId="319C87E1"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446C16">
              <w:rPr>
                <w:sz w:val="18"/>
                <w:szCs w:val="18"/>
              </w:rPr>
              <w:t>1,00</w:t>
            </w:r>
          </w:p>
        </w:tc>
        <w:tc>
          <w:tcPr>
            <w:tcW w:w="1275" w:type="dxa"/>
            <w:vAlign w:val="center"/>
          </w:tcPr>
          <w:p w14:paraId="5D158293"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446C16">
              <w:rPr>
                <w:sz w:val="18"/>
                <w:szCs w:val="18"/>
              </w:rPr>
              <w:t>1,00</w:t>
            </w:r>
          </w:p>
        </w:tc>
        <w:tc>
          <w:tcPr>
            <w:tcW w:w="1492" w:type="dxa"/>
            <w:noWrap/>
            <w:vAlign w:val="center"/>
          </w:tcPr>
          <w:p w14:paraId="1D3F3851"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446C16">
              <w:rPr>
                <w:sz w:val="18"/>
                <w:szCs w:val="18"/>
              </w:rPr>
              <w:t>6,00</w:t>
            </w:r>
          </w:p>
        </w:tc>
        <w:tc>
          <w:tcPr>
            <w:tcW w:w="1492" w:type="dxa"/>
            <w:noWrap/>
            <w:vAlign w:val="center"/>
          </w:tcPr>
          <w:p w14:paraId="1D603905"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446C16">
              <w:rPr>
                <w:sz w:val="18"/>
                <w:szCs w:val="18"/>
              </w:rPr>
              <w:t>7,00</w:t>
            </w:r>
          </w:p>
        </w:tc>
        <w:tc>
          <w:tcPr>
            <w:tcW w:w="1492" w:type="dxa"/>
            <w:noWrap/>
            <w:vAlign w:val="center"/>
          </w:tcPr>
          <w:p w14:paraId="0F783422" w14:textId="77777777" w:rsidR="00486F98" w:rsidRPr="00446C16" w:rsidRDefault="00486F98" w:rsidP="00486F9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446C16">
              <w:rPr>
                <w:sz w:val="18"/>
                <w:szCs w:val="18"/>
              </w:rPr>
              <w:t>7,00</w:t>
            </w:r>
          </w:p>
        </w:tc>
      </w:tr>
    </w:tbl>
    <w:p w14:paraId="4755E97C" w14:textId="77777777" w:rsidR="00486F98" w:rsidRPr="00446C16" w:rsidRDefault="00486F98" w:rsidP="00486F98">
      <w:pPr>
        <w:jc w:val="center"/>
      </w:pPr>
      <w:r w:rsidRPr="00446C16">
        <w:rPr>
          <w:sz w:val="20"/>
        </w:rPr>
        <w:t>Avots: autoru aprēķini, balstoties uz interviju rezultātiem</w:t>
      </w:r>
    </w:p>
    <w:p w14:paraId="0A47A1A9" w14:textId="0AB3EE3C" w:rsidR="00486F98" w:rsidRPr="00446C16" w:rsidRDefault="00486F98" w:rsidP="001F432D">
      <w:pPr>
        <w:ind w:firstLine="720"/>
        <w:jc w:val="both"/>
      </w:pPr>
      <w:r w:rsidRPr="00446C16">
        <w:t>Ekspertiem tika vaicāts arī kāda ir pieņemamā peļņas norma tieši viņu apakšnozarē (skatīt tabulu Nr.4). Kopumā vērtējams, ka ēku un transporta apakšnozarēs pieņemamā peļņas norma ir augstāka, it īpaši būvniecības produkcijas apjomu samazināšanās gadījumā. Negatīva pieņemamā peļņas norma apjoma samazināšanās gadījumā tiek norādīta tikai pārējās inženierbūvniecības apakšnozarē.</w:t>
      </w:r>
    </w:p>
    <w:p w14:paraId="2B342919" w14:textId="3004865D" w:rsidR="00A31629" w:rsidRPr="00446C16" w:rsidRDefault="00A31629" w:rsidP="00882C59">
      <w:pPr>
        <w:jc w:val="both"/>
        <w:rPr>
          <w:b/>
          <w:bCs/>
          <w:color w:val="002060"/>
        </w:rPr>
      </w:pPr>
      <w:r w:rsidRPr="00446C16">
        <w:rPr>
          <w:b/>
          <w:bCs/>
          <w:color w:val="002060"/>
        </w:rPr>
        <w:t xml:space="preserve">2.2.2. </w:t>
      </w:r>
      <w:r w:rsidR="002A6CAC" w:rsidRPr="00446C16">
        <w:rPr>
          <w:b/>
          <w:bCs/>
          <w:color w:val="002060"/>
        </w:rPr>
        <w:t>S</w:t>
      </w:r>
      <w:r w:rsidRPr="00446C16">
        <w:rPr>
          <w:b/>
          <w:bCs/>
          <w:color w:val="002060"/>
        </w:rPr>
        <w:t>tatistiskais trends</w:t>
      </w:r>
    </w:p>
    <w:p w14:paraId="633B24E4" w14:textId="6859F6AC" w:rsidR="00350C54" w:rsidRPr="00446C16" w:rsidRDefault="005D392E" w:rsidP="00350C54">
      <w:pPr>
        <w:ind w:firstLine="851"/>
        <w:jc w:val="both"/>
      </w:pPr>
      <w:r w:rsidRPr="00446C16">
        <w:t>V</w:t>
      </w:r>
      <w:r w:rsidR="00350C54" w:rsidRPr="00446C16">
        <w:t>ēsturiskie būvniecības izmaksu</w:t>
      </w:r>
      <w:r w:rsidR="005B6720" w:rsidRPr="00446C16">
        <w:t xml:space="preserve"> izmaiņu</w:t>
      </w:r>
      <w:r w:rsidR="00350C54" w:rsidRPr="00446C16">
        <w:t xml:space="preserve"> rādītāji tika analizēti ar dažādām statistiskā trenda metodēm. Sākotnēji </w:t>
      </w:r>
      <w:r w:rsidRPr="00446C16">
        <w:t xml:space="preserve">tika </w:t>
      </w:r>
      <w:r w:rsidR="00350C54" w:rsidRPr="00446C16">
        <w:t>pārbaud</w:t>
      </w:r>
      <w:r w:rsidRPr="00446C16">
        <w:t>īti</w:t>
      </w:r>
      <w:r w:rsidR="00350C54" w:rsidRPr="00446C16">
        <w:t xml:space="preserve"> 2018</w:t>
      </w:r>
      <w:r w:rsidR="00100D75" w:rsidRPr="00446C16">
        <w:t>. gad</w:t>
      </w:r>
      <w:r w:rsidR="00350C54" w:rsidRPr="00446C16">
        <w:t>a pētījuma</w:t>
      </w:r>
      <w:r w:rsidRPr="00446C16">
        <w:t xml:space="preserve"> ietvaros izmantotie</w:t>
      </w:r>
      <w:r w:rsidR="00350C54" w:rsidRPr="00446C16">
        <w:t xml:space="preserve"> modeļ</w:t>
      </w:r>
      <w:r w:rsidRPr="00446C16">
        <w:t>i.</w:t>
      </w:r>
      <w:r w:rsidR="00350C54" w:rsidRPr="00446C16">
        <w:t xml:space="preserve"> </w:t>
      </w:r>
      <w:r w:rsidRPr="00446C16">
        <w:t>Ņ</w:t>
      </w:r>
      <w:r w:rsidR="00350C54" w:rsidRPr="00446C16">
        <w:t xml:space="preserve">emot vērā nepieciešamību pēc ticamākām īstermiņa prognozēm, </w:t>
      </w:r>
      <w:r w:rsidRPr="00446C16">
        <w:t xml:space="preserve">tika </w:t>
      </w:r>
      <w:r w:rsidR="00350C54" w:rsidRPr="00446C16">
        <w:t>meklēti precīzāki modeļi, kas ietver īstermiņa svārstības.</w:t>
      </w:r>
      <w:r w:rsidRPr="00446C16">
        <w:t xml:space="preserve"> Iteratīvā ceļā tika piemeklēts trigonometriskais modelis, kas labi atbilst vēsturiskajai </w:t>
      </w:r>
      <w:proofErr w:type="spellStart"/>
      <w:r w:rsidRPr="00446C16">
        <w:t>viļņveida</w:t>
      </w:r>
      <w:proofErr w:type="spellEnd"/>
      <w:r w:rsidRPr="00446C16">
        <w:t xml:space="preserve"> tendencei. Tādējādi modeļa korelācijas koeficients tika uzlabots no 43% uz 93%.</w:t>
      </w:r>
    </w:p>
    <w:p w14:paraId="20B4F4DC" w14:textId="5E590CDC" w:rsidR="00350C54" w:rsidRPr="00446C16" w:rsidRDefault="00350C54" w:rsidP="00895643">
      <w:pPr>
        <w:ind w:firstLine="851"/>
        <w:jc w:val="both"/>
      </w:pPr>
      <w:r w:rsidRPr="00446C16">
        <w:t xml:space="preserve">Modeļa izvēles pamatojums ir būvniecības izmaksu </w:t>
      </w:r>
      <w:r w:rsidR="005B6720" w:rsidRPr="00446C16">
        <w:t xml:space="preserve">izmaiņu </w:t>
      </w:r>
      <w:r w:rsidRPr="00446C16">
        <w:t>vēsturiskās cikliskās svārstības, ko, saskaņā ar vēsturisko datu analīzi lielā mērā ietekmēja publisko būvniecības pasūtījumu sasaiste ar ES fondu plānošanas perioda ciklu</w:t>
      </w:r>
      <w:r w:rsidR="005D392E" w:rsidRPr="00446C16">
        <w:t>.</w:t>
      </w:r>
    </w:p>
    <w:p w14:paraId="65301CD5" w14:textId="2F7EB4A0" w:rsidR="005D392E" w:rsidRPr="00446C16" w:rsidRDefault="005D392E" w:rsidP="005D392E">
      <w:pPr>
        <w:jc w:val="both"/>
        <w:rPr>
          <w:b/>
          <w:bCs/>
          <w:color w:val="002060"/>
        </w:rPr>
      </w:pPr>
      <w:r w:rsidRPr="00446C16">
        <w:rPr>
          <w:b/>
          <w:bCs/>
          <w:color w:val="002060"/>
        </w:rPr>
        <w:t>2.2.3. Ekspertu vērtējumi</w:t>
      </w:r>
    </w:p>
    <w:p w14:paraId="594B8F68" w14:textId="5D6D0FB1" w:rsidR="00D91DBE" w:rsidRPr="00446C16" w:rsidRDefault="00D91DBE" w:rsidP="00D91DBE">
      <w:pPr>
        <w:ind w:firstLine="851"/>
        <w:jc w:val="both"/>
        <w:rPr>
          <w:rStyle w:val="st"/>
        </w:rPr>
      </w:pPr>
      <w:r w:rsidRPr="00446C16">
        <w:rPr>
          <w:rStyle w:val="st"/>
        </w:rPr>
        <w:t xml:space="preserve">Divdesmit vispārējās būvniecības intervijas ekspertiem tika lūgts prognozēt būvmateriālu izmaksu izmaiņas. Eksperti tika iepazīstināti ar iepriekšējo gadu statistisko datu dinamiku. Vidējais ekspertu vērtējums norāda, ka tuvākajos gados paredzams </w:t>
      </w:r>
      <w:r w:rsidRPr="00446C16">
        <w:t>būvmateriālu</w:t>
      </w:r>
      <w:r w:rsidRPr="00446C16">
        <w:rPr>
          <w:rStyle w:val="st"/>
        </w:rPr>
        <w:t xml:space="preserve"> izmaksu </w:t>
      </w:r>
      <w:r w:rsidR="00DE7BCB" w:rsidRPr="00446C16">
        <w:rPr>
          <w:rStyle w:val="st"/>
        </w:rPr>
        <w:t xml:space="preserve">izmaiņu </w:t>
      </w:r>
      <w:r w:rsidRPr="00446C16">
        <w:rPr>
          <w:rStyle w:val="st"/>
        </w:rPr>
        <w:t>kāpums: par 4,6% 2019.gadā, 3,9% 2020.gadā un 2,1% 2021.gadā. Pēc tam</w:t>
      </w:r>
      <w:r w:rsidR="00F646B6" w:rsidRPr="00446C16">
        <w:rPr>
          <w:rStyle w:val="st"/>
        </w:rPr>
        <w:t>,</w:t>
      </w:r>
      <w:r w:rsidRPr="00446C16">
        <w:rPr>
          <w:rStyle w:val="st"/>
        </w:rPr>
        <w:t xml:space="preserve"> 2022. un 2023. gad</w:t>
      </w:r>
      <w:r w:rsidR="00F646B6" w:rsidRPr="00446C16">
        <w:rPr>
          <w:rStyle w:val="st"/>
        </w:rPr>
        <w:t>ā</w:t>
      </w:r>
      <w:r w:rsidRPr="00446C16">
        <w:rPr>
          <w:rStyle w:val="st"/>
        </w:rPr>
        <w:t xml:space="preserve"> prognozes uzrāda mazāku pieaugumu</w:t>
      </w:r>
      <w:r w:rsidR="00F646B6" w:rsidRPr="00446C16">
        <w:rPr>
          <w:rStyle w:val="st"/>
        </w:rPr>
        <w:t>,</w:t>
      </w:r>
      <w:r w:rsidRPr="00446C16">
        <w:rPr>
          <w:rStyle w:val="st"/>
        </w:rPr>
        <w:t xml:space="preserve"> attiecīgi 0,6% un 0,7% apmērā. Taču atsevišķu ekspertu vērtējumi diezgan būtiski atšķiras un standartkļūda liecina, ka palielinot ekspertu kopu vidējie vērtējumi varētu svārstīties vien procenta robežās.</w:t>
      </w:r>
    </w:p>
    <w:p w14:paraId="280FD92C" w14:textId="3BFFEC51" w:rsidR="005D392E" w:rsidRPr="00446C16" w:rsidRDefault="00D91DBE" w:rsidP="005D392E">
      <w:pPr>
        <w:jc w:val="both"/>
      </w:pPr>
      <w:r w:rsidRPr="00446C16">
        <w:rPr>
          <w:b/>
          <w:bCs/>
          <w:color w:val="002060"/>
        </w:rPr>
        <w:t xml:space="preserve">2.2.4. Kopsavilkums par </w:t>
      </w:r>
      <w:r w:rsidRPr="00446C16">
        <w:rPr>
          <w:b/>
          <w:color w:val="1F3864" w:themeColor="accent1" w:themeShade="80"/>
          <w:szCs w:val="22"/>
        </w:rPr>
        <w:t xml:space="preserve">būvniecības izmaksu </w:t>
      </w:r>
      <w:r w:rsidR="00783454" w:rsidRPr="00446C16">
        <w:rPr>
          <w:b/>
          <w:color w:val="1F3864" w:themeColor="accent1" w:themeShade="80"/>
          <w:szCs w:val="22"/>
        </w:rPr>
        <w:t xml:space="preserve">izmaiņu </w:t>
      </w:r>
      <w:r w:rsidRPr="00446C16">
        <w:rPr>
          <w:b/>
          <w:color w:val="1F3864" w:themeColor="accent1" w:themeShade="80"/>
          <w:szCs w:val="22"/>
        </w:rPr>
        <w:t>prognozēm</w:t>
      </w:r>
    </w:p>
    <w:p w14:paraId="0A0C0699" w14:textId="68DEE9C6" w:rsidR="006811AC" w:rsidRPr="00446C16" w:rsidRDefault="006811AC" w:rsidP="0011595E">
      <w:pPr>
        <w:ind w:firstLine="851"/>
        <w:jc w:val="both"/>
      </w:pPr>
      <w:r w:rsidRPr="00446C16">
        <w:t>Saistībā ar būvniecības produkcijas apjoma pieaugumu 2017</w:t>
      </w:r>
      <w:r w:rsidR="00100D75" w:rsidRPr="00446C16">
        <w:t>. gad</w:t>
      </w:r>
      <w:r w:rsidR="0011595E" w:rsidRPr="00446C16">
        <w:t>ā</w:t>
      </w:r>
      <w:r w:rsidRPr="00446C16">
        <w:t xml:space="preserve"> un 2018</w:t>
      </w:r>
      <w:r w:rsidR="00100D75" w:rsidRPr="00446C16">
        <w:t>. gad</w:t>
      </w:r>
      <w:r w:rsidR="0011595E" w:rsidRPr="00446C16">
        <w:t>ā</w:t>
      </w:r>
      <w:r w:rsidRPr="00446C16">
        <w:t xml:space="preserve"> bija novērojams arī būvniecības izmaksu </w:t>
      </w:r>
      <w:r w:rsidR="00DE7BCB" w:rsidRPr="00446C16">
        <w:rPr>
          <w:rStyle w:val="st"/>
        </w:rPr>
        <w:t>izmaiņu</w:t>
      </w:r>
      <w:r w:rsidR="00DE7BCB" w:rsidRPr="00446C16">
        <w:t xml:space="preserve"> </w:t>
      </w:r>
      <w:r w:rsidRPr="00446C16">
        <w:t>pieaugums (</w:t>
      </w:r>
      <w:r w:rsidR="0011595E" w:rsidRPr="00446C16">
        <w:t>skatīt a</w:t>
      </w:r>
      <w:r w:rsidRPr="00446C16">
        <w:t>ttēl</w:t>
      </w:r>
      <w:r w:rsidR="0011595E" w:rsidRPr="00446C16">
        <w:t>u</w:t>
      </w:r>
      <w:r w:rsidRPr="00446C16">
        <w:t xml:space="preserve"> Nr. </w:t>
      </w:r>
      <w:r w:rsidR="00352785" w:rsidRPr="00446C16">
        <w:t>3</w:t>
      </w:r>
      <w:r w:rsidRPr="00446C16">
        <w:t xml:space="preserve">.). </w:t>
      </w:r>
      <w:r w:rsidR="00004CCC" w:rsidRPr="00446C16">
        <w:t>I</w:t>
      </w:r>
      <w:r w:rsidRPr="00446C16">
        <w:t xml:space="preserve">zmaksu </w:t>
      </w:r>
      <w:r w:rsidR="00783454" w:rsidRPr="00446C16">
        <w:t xml:space="preserve">izmaiņu </w:t>
      </w:r>
      <w:r w:rsidRPr="00446C16">
        <w:t>prognozes uzrāda tendenci, ka ikgadējais pieaugums pret iepriekšējo gadu kļūs lēnāks,</w:t>
      </w:r>
      <w:r w:rsidR="00BD00FE" w:rsidRPr="00446C16">
        <w:t xml:space="preserve"> 2022</w:t>
      </w:r>
      <w:r w:rsidR="00100D75" w:rsidRPr="00446C16">
        <w:t>. gad</w:t>
      </w:r>
      <w:r w:rsidR="00BD00FE" w:rsidRPr="00446C16">
        <w:t xml:space="preserve">ā </w:t>
      </w:r>
      <w:r w:rsidR="00DE7BCB" w:rsidRPr="00446C16">
        <w:t xml:space="preserve">izmaksu </w:t>
      </w:r>
      <w:r w:rsidR="00DE7BCB" w:rsidRPr="00446C16">
        <w:rPr>
          <w:rStyle w:val="st"/>
        </w:rPr>
        <w:t>izmaiņām</w:t>
      </w:r>
      <w:r w:rsidR="00DE7BCB" w:rsidRPr="00446C16">
        <w:t xml:space="preserve"> </w:t>
      </w:r>
      <w:r w:rsidR="00BD00FE" w:rsidRPr="00446C16">
        <w:t>nedaudz samazinoties.</w:t>
      </w:r>
    </w:p>
    <w:p w14:paraId="5E2DB41D" w14:textId="1A63B253" w:rsidR="0071000E" w:rsidRPr="00446C16" w:rsidRDefault="0071000E" w:rsidP="0011595E">
      <w:pPr>
        <w:ind w:firstLine="851"/>
        <w:jc w:val="both"/>
      </w:pPr>
    </w:p>
    <w:p w14:paraId="7DBCE24E" w14:textId="5242C777" w:rsidR="0071000E" w:rsidRPr="00446C16" w:rsidRDefault="0071000E" w:rsidP="0011595E">
      <w:pPr>
        <w:ind w:firstLine="851"/>
        <w:jc w:val="both"/>
      </w:pPr>
    </w:p>
    <w:p w14:paraId="66EB0741" w14:textId="77777777" w:rsidR="0071000E" w:rsidRPr="00446C16" w:rsidRDefault="0071000E" w:rsidP="0011595E">
      <w:pPr>
        <w:ind w:firstLine="851"/>
        <w:jc w:val="both"/>
      </w:pPr>
    </w:p>
    <w:p w14:paraId="0D1CEFEA" w14:textId="3E10D440" w:rsidR="00CF3B81" w:rsidRPr="00446C16" w:rsidRDefault="00CF3B81" w:rsidP="00CF3B81">
      <w:pPr>
        <w:jc w:val="center"/>
        <w:rPr>
          <w:b/>
          <w:sz w:val="20"/>
        </w:rPr>
      </w:pPr>
      <w:r w:rsidRPr="00446C16">
        <w:rPr>
          <w:b/>
          <w:sz w:val="20"/>
        </w:rPr>
        <w:lastRenderedPageBreak/>
        <w:t xml:space="preserve">Attēls Nr. </w:t>
      </w:r>
      <w:r w:rsidR="00352785" w:rsidRPr="00446C16">
        <w:rPr>
          <w:b/>
          <w:sz w:val="20"/>
        </w:rPr>
        <w:t>3</w:t>
      </w:r>
      <w:r w:rsidRPr="00446C16">
        <w:rPr>
          <w:b/>
          <w:sz w:val="20"/>
        </w:rPr>
        <w:t>. Būvniecības izmaksu izmaiņas līdz 2018</w:t>
      </w:r>
      <w:r w:rsidR="00100D75" w:rsidRPr="00446C16">
        <w:rPr>
          <w:b/>
          <w:sz w:val="20"/>
        </w:rPr>
        <w:t>. gad</w:t>
      </w:r>
      <w:r w:rsidRPr="00446C16">
        <w:rPr>
          <w:b/>
          <w:sz w:val="20"/>
        </w:rPr>
        <w:t>am un prognozes no 2019. līdz 2023. gadam, kumulatīvās izmaiņas pret 2018</w:t>
      </w:r>
      <w:r w:rsidR="00100D75" w:rsidRPr="00446C16">
        <w:rPr>
          <w:b/>
          <w:sz w:val="20"/>
        </w:rPr>
        <w:t>. gad</w:t>
      </w:r>
      <w:r w:rsidRPr="00446C16">
        <w:rPr>
          <w:b/>
          <w:sz w:val="20"/>
        </w:rPr>
        <w:t xml:space="preserve">u, % </w:t>
      </w:r>
    </w:p>
    <w:p w14:paraId="2A2CA0ED" w14:textId="6C7D3347" w:rsidR="00CF3B81" w:rsidRPr="00446C16" w:rsidRDefault="00036B9D" w:rsidP="00CF3B81">
      <w:pPr>
        <w:jc w:val="center"/>
        <w:rPr>
          <w:bCs/>
          <w:sz w:val="20"/>
        </w:rPr>
      </w:pPr>
      <w:r w:rsidRPr="00446C16">
        <w:rPr>
          <w:bCs/>
          <w:noProof/>
          <w:sz w:val="20"/>
          <w:lang w:val="en-US"/>
        </w:rPr>
        <w:drawing>
          <wp:inline distT="0" distB="0" distL="0" distR="0" wp14:anchorId="6F91A6FC" wp14:editId="085268A7">
            <wp:extent cx="4961455" cy="360000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61455" cy="3600000"/>
                    </a:xfrm>
                    <a:prstGeom prst="rect">
                      <a:avLst/>
                    </a:prstGeom>
                    <a:noFill/>
                  </pic:spPr>
                </pic:pic>
              </a:graphicData>
            </a:graphic>
          </wp:inline>
        </w:drawing>
      </w:r>
    </w:p>
    <w:p w14:paraId="0D26716D" w14:textId="2C9033B1" w:rsidR="00CF3B81" w:rsidRPr="00446C16" w:rsidRDefault="00CF3B81" w:rsidP="00CF3B81">
      <w:pPr>
        <w:spacing w:before="100" w:after="200" w:line="276" w:lineRule="auto"/>
        <w:jc w:val="center"/>
        <w:rPr>
          <w:sz w:val="24"/>
          <w:szCs w:val="22"/>
        </w:rPr>
      </w:pPr>
      <w:r w:rsidRPr="00446C16">
        <w:rPr>
          <w:sz w:val="20"/>
        </w:rPr>
        <w:t>Avots: CSP vēsturiskie dati līdz 2018. gadam (ieskaitot) un autoru veikti aprēķini, balstoties uz ekspertu vērtējumiem, statistisko datu trendu un elastības modelēšanu - prognoze 2019.-2023. gad</w:t>
      </w:r>
      <w:r w:rsidR="00175139" w:rsidRPr="00446C16">
        <w:rPr>
          <w:sz w:val="20"/>
        </w:rPr>
        <w:t>ie</w:t>
      </w:r>
      <w:r w:rsidRPr="00446C16">
        <w:rPr>
          <w:sz w:val="20"/>
        </w:rPr>
        <w:t>m.</w:t>
      </w:r>
    </w:p>
    <w:p w14:paraId="3F9CDEAC" w14:textId="149C5AC5" w:rsidR="00F9583C" w:rsidRPr="00446C16" w:rsidRDefault="00560081" w:rsidP="0011595E">
      <w:pPr>
        <w:ind w:firstLine="851"/>
        <w:jc w:val="both"/>
      </w:pPr>
      <w:r w:rsidRPr="00446C16">
        <w:t xml:space="preserve">Nozares pārstāvju vērtējumi uzrāda, ka izmaksu </w:t>
      </w:r>
      <w:r w:rsidR="00DE7BCB" w:rsidRPr="00446C16">
        <w:rPr>
          <w:rStyle w:val="st"/>
        </w:rPr>
        <w:t>izmaiņu</w:t>
      </w:r>
      <w:r w:rsidR="00DE7BCB" w:rsidRPr="00446C16">
        <w:t xml:space="preserve"> </w:t>
      </w:r>
      <w:r w:rsidRPr="00446C16">
        <w:t>pieaugums 2019.</w:t>
      </w:r>
      <w:r w:rsidR="004559C0" w:rsidRPr="00446C16">
        <w:t xml:space="preserve"> gadā</w:t>
      </w:r>
      <w:r w:rsidR="0011595E" w:rsidRPr="00446C16">
        <w:t xml:space="preserve"> </w:t>
      </w:r>
      <w:r w:rsidRPr="00446C16">
        <w:t>un 2020</w:t>
      </w:r>
      <w:r w:rsidR="00100D75" w:rsidRPr="00446C16">
        <w:t>. gad</w:t>
      </w:r>
      <w:r w:rsidR="004559C0" w:rsidRPr="00446C16">
        <w:t>ā</w:t>
      </w:r>
      <w:r w:rsidR="00BD00FE" w:rsidRPr="00446C16">
        <w:t xml:space="preserve"> (pret iepriekšējo gadu)</w:t>
      </w:r>
      <w:r w:rsidR="0011595E" w:rsidRPr="00446C16">
        <w:t xml:space="preserve"> </w:t>
      </w:r>
      <w:r w:rsidRPr="00446C16">
        <w:t>gaidāms lielāks, nekā 2018</w:t>
      </w:r>
      <w:r w:rsidR="00100D75" w:rsidRPr="00446C16">
        <w:t>. gad</w:t>
      </w:r>
      <w:r w:rsidR="0011595E" w:rsidRPr="00446C16">
        <w:t>ā</w:t>
      </w:r>
      <w:r w:rsidR="00F646B6" w:rsidRPr="00446C16">
        <w:t>.</w:t>
      </w:r>
      <w:r w:rsidR="00F9583C" w:rsidRPr="00446C16">
        <w:t xml:space="preserve"> </w:t>
      </w:r>
      <w:r w:rsidR="00F646B6" w:rsidRPr="00446C16">
        <w:t>S</w:t>
      </w:r>
      <w:r w:rsidR="00F9583C" w:rsidRPr="00446C16">
        <w:t>avukārt</w:t>
      </w:r>
      <w:r w:rsidR="00BD00FE" w:rsidRPr="00446C16">
        <w:t xml:space="preserve"> 2023</w:t>
      </w:r>
      <w:r w:rsidR="00100D75" w:rsidRPr="00446C16">
        <w:t>. gad</w:t>
      </w:r>
      <w:r w:rsidR="00BD00FE" w:rsidRPr="00446C16">
        <w:t>ā, salīdzinot ar 2018</w:t>
      </w:r>
      <w:r w:rsidR="00100D75" w:rsidRPr="00446C16">
        <w:t>. gad</w:t>
      </w:r>
      <w:r w:rsidR="00BD00FE" w:rsidRPr="00446C16">
        <w:t xml:space="preserve">u, </w:t>
      </w:r>
      <w:r w:rsidR="00DE7BCB" w:rsidRPr="00446C16">
        <w:t xml:space="preserve">izmaksu </w:t>
      </w:r>
      <w:r w:rsidR="00DE7BCB" w:rsidRPr="00446C16">
        <w:rPr>
          <w:rStyle w:val="st"/>
        </w:rPr>
        <w:t>izmaiņas</w:t>
      </w:r>
      <w:r w:rsidR="00DE7BCB" w:rsidRPr="00446C16">
        <w:t xml:space="preserve"> </w:t>
      </w:r>
      <w:r w:rsidR="00BD00FE" w:rsidRPr="00446C16">
        <w:t xml:space="preserve">kopumā būs pieaugušas gandrīz par 20%. </w:t>
      </w:r>
    </w:p>
    <w:p w14:paraId="6014F87D" w14:textId="4DA4D0A8" w:rsidR="00BD00FE" w:rsidRPr="00446C16" w:rsidRDefault="00BD00FE" w:rsidP="0011595E">
      <w:pPr>
        <w:ind w:firstLine="851"/>
        <w:jc w:val="both"/>
        <w:rPr>
          <w:rStyle w:val="st"/>
        </w:rPr>
      </w:pPr>
      <w:r w:rsidRPr="00446C16">
        <w:rPr>
          <w:rStyle w:val="st"/>
        </w:rPr>
        <w:t xml:space="preserve">Statistiskais trends, kas balstīts </w:t>
      </w:r>
      <w:r w:rsidR="00CF3B81" w:rsidRPr="00446C16">
        <w:rPr>
          <w:rStyle w:val="st"/>
        </w:rPr>
        <w:t xml:space="preserve">uz </w:t>
      </w:r>
      <w:r w:rsidRPr="00446C16">
        <w:rPr>
          <w:rStyle w:val="st"/>
        </w:rPr>
        <w:t>ciklisku dinamiku kopš 2010</w:t>
      </w:r>
      <w:r w:rsidR="00100D75" w:rsidRPr="00446C16">
        <w:rPr>
          <w:rStyle w:val="st"/>
        </w:rPr>
        <w:t>. gad</w:t>
      </w:r>
      <w:r w:rsidR="00004CCC" w:rsidRPr="00446C16">
        <w:rPr>
          <w:rStyle w:val="st"/>
        </w:rPr>
        <w:t>a</w:t>
      </w:r>
      <w:r w:rsidRPr="00446C16">
        <w:rPr>
          <w:rStyle w:val="st"/>
        </w:rPr>
        <w:t>, neņemot vērā ekonomiskās krīzes kritumu, uzrāda daudz piesardzīgāku prognozi</w:t>
      </w:r>
      <w:r w:rsidR="00F646B6" w:rsidRPr="00446C16">
        <w:rPr>
          <w:rStyle w:val="st"/>
        </w:rPr>
        <w:t>,</w:t>
      </w:r>
      <w:r w:rsidRPr="00446C16">
        <w:rPr>
          <w:rStyle w:val="st"/>
        </w:rPr>
        <w:t xml:space="preserve"> ar izmaksu </w:t>
      </w:r>
      <w:r w:rsidR="00DE7BCB" w:rsidRPr="00446C16">
        <w:rPr>
          <w:rStyle w:val="st"/>
        </w:rPr>
        <w:t>izmaiņu</w:t>
      </w:r>
      <w:r w:rsidR="00DE7BCB" w:rsidRPr="00446C16" w:rsidDel="00F646B6">
        <w:rPr>
          <w:rStyle w:val="st"/>
        </w:rPr>
        <w:t xml:space="preserve"> </w:t>
      </w:r>
      <w:r w:rsidR="00F646B6" w:rsidRPr="00446C16">
        <w:rPr>
          <w:rStyle w:val="st"/>
        </w:rPr>
        <w:t xml:space="preserve">pieauguma samazinājumu </w:t>
      </w:r>
      <w:r w:rsidRPr="00446C16">
        <w:rPr>
          <w:rStyle w:val="st"/>
        </w:rPr>
        <w:t>2021. un 2022</w:t>
      </w:r>
      <w:r w:rsidR="00100D75" w:rsidRPr="00446C16">
        <w:rPr>
          <w:rStyle w:val="st"/>
        </w:rPr>
        <w:t>. gad</w:t>
      </w:r>
      <w:r w:rsidR="00F646B6" w:rsidRPr="00446C16">
        <w:rPr>
          <w:rStyle w:val="st"/>
        </w:rPr>
        <w:t>ā</w:t>
      </w:r>
      <w:r w:rsidRPr="00446C16">
        <w:rPr>
          <w:rStyle w:val="st"/>
        </w:rPr>
        <w:t>, kas 2023</w:t>
      </w:r>
      <w:r w:rsidR="00100D75" w:rsidRPr="00446C16">
        <w:rPr>
          <w:rStyle w:val="st"/>
        </w:rPr>
        <w:t>. gad</w:t>
      </w:r>
      <w:r w:rsidRPr="00446C16">
        <w:rPr>
          <w:rStyle w:val="st"/>
        </w:rPr>
        <w:t xml:space="preserve">ā rezultējas ar izmaksu </w:t>
      </w:r>
      <w:r w:rsidR="005B6720" w:rsidRPr="00446C16">
        <w:rPr>
          <w:rStyle w:val="st"/>
        </w:rPr>
        <w:t xml:space="preserve">izmaiņu </w:t>
      </w:r>
      <w:r w:rsidRPr="00446C16">
        <w:rPr>
          <w:rStyle w:val="st"/>
        </w:rPr>
        <w:t>līmeni, kas ir par 6% lielāks, nekā 2018</w:t>
      </w:r>
      <w:r w:rsidR="00100D75" w:rsidRPr="00446C16">
        <w:rPr>
          <w:rStyle w:val="st"/>
        </w:rPr>
        <w:t>. gad</w:t>
      </w:r>
      <w:r w:rsidRPr="00446C16">
        <w:rPr>
          <w:rStyle w:val="st"/>
        </w:rPr>
        <w:t xml:space="preserve">ā. Prognožu precizitātes uzlabošanai tika izmantots arī </w:t>
      </w:r>
      <w:r w:rsidR="00F9583C" w:rsidRPr="00446C16">
        <w:rPr>
          <w:rStyle w:val="st"/>
        </w:rPr>
        <w:t>izmaksu-</w:t>
      </w:r>
      <w:r w:rsidRPr="00446C16">
        <w:rPr>
          <w:rStyle w:val="st"/>
        </w:rPr>
        <w:t xml:space="preserve">apjoma elastības modelis, kas </w:t>
      </w:r>
      <w:r w:rsidR="00366850" w:rsidRPr="00446C16">
        <w:rPr>
          <w:rStyle w:val="st"/>
        </w:rPr>
        <w:t xml:space="preserve">ietver gan nozares pārstāvju vērtējumus par to kā mainīsies izmaksas, mainoties </w:t>
      </w:r>
      <w:r w:rsidR="005B6720" w:rsidRPr="00446C16">
        <w:rPr>
          <w:rStyle w:val="st"/>
        </w:rPr>
        <w:t xml:space="preserve">produkcijas </w:t>
      </w:r>
      <w:r w:rsidR="00366850" w:rsidRPr="00446C16">
        <w:rPr>
          <w:rStyle w:val="st"/>
        </w:rPr>
        <w:t>apjomam, gan arī šīs sasaistes vēsturisko datu likumsakarības</w:t>
      </w:r>
      <w:r w:rsidR="00F9583C" w:rsidRPr="00446C16">
        <w:rPr>
          <w:rStyle w:val="st"/>
        </w:rPr>
        <w:t xml:space="preserve"> (detalizētāku analīzes izvērsumu par izmaksu-apjoma un peļņas normas-apjoma elastības modeļiem skatīt pielikumā Nr. 1)</w:t>
      </w:r>
      <w:r w:rsidR="00366850" w:rsidRPr="00446C16">
        <w:rPr>
          <w:rStyle w:val="st"/>
        </w:rPr>
        <w:t xml:space="preserve">. Šis modelis uzrāda piesardzīgas prognozes, kas ir ļoti tuvas izmaksu izmaiņu statistiskajam trendam, sasniedzot vien </w:t>
      </w:r>
      <w:r w:rsidR="00CF3B81" w:rsidRPr="00446C16">
        <w:rPr>
          <w:rStyle w:val="st"/>
        </w:rPr>
        <w:t>6,5</w:t>
      </w:r>
      <w:r w:rsidR="00366850" w:rsidRPr="00446C16">
        <w:rPr>
          <w:rStyle w:val="st"/>
        </w:rPr>
        <w:t>% pieaugumu 2023</w:t>
      </w:r>
      <w:r w:rsidR="00100D75" w:rsidRPr="00446C16">
        <w:rPr>
          <w:rStyle w:val="st"/>
        </w:rPr>
        <w:t>. gad</w:t>
      </w:r>
      <w:r w:rsidR="00366850" w:rsidRPr="00446C16">
        <w:rPr>
          <w:rStyle w:val="st"/>
        </w:rPr>
        <w:t>ā pret 2018</w:t>
      </w:r>
      <w:r w:rsidR="00100D75" w:rsidRPr="00446C16">
        <w:rPr>
          <w:rStyle w:val="st"/>
        </w:rPr>
        <w:t>. gad</w:t>
      </w:r>
      <w:r w:rsidR="00366850" w:rsidRPr="00446C16">
        <w:rPr>
          <w:rStyle w:val="st"/>
        </w:rPr>
        <w:t>u.</w:t>
      </w:r>
    </w:p>
    <w:p w14:paraId="12A5D7BA" w14:textId="6A4CCE73" w:rsidR="00B47383" w:rsidRPr="00446C16" w:rsidRDefault="22E04E7E" w:rsidP="00B47383">
      <w:pPr>
        <w:ind w:firstLine="851"/>
        <w:jc w:val="both"/>
        <w:rPr>
          <w:rStyle w:val="st"/>
        </w:rPr>
      </w:pPr>
      <w:r w:rsidRPr="00446C16">
        <w:rPr>
          <w:rStyle w:val="st"/>
        </w:rPr>
        <w:t>Pēdējo gadu straujais būvniecības produkcijas apjoma pieaugums</w:t>
      </w:r>
      <w:r w:rsidR="00F9583C" w:rsidRPr="00446C16">
        <w:rPr>
          <w:rStyle w:val="st"/>
        </w:rPr>
        <w:t>,</w:t>
      </w:r>
      <w:r w:rsidRPr="00446C16">
        <w:rPr>
          <w:rStyle w:val="st"/>
        </w:rPr>
        <w:t xml:space="preserve"> pateicoties ES fondu līdzfinansēto projektu realizācijai</w:t>
      </w:r>
      <w:r w:rsidR="00F9583C" w:rsidRPr="00446C16">
        <w:rPr>
          <w:rStyle w:val="st"/>
        </w:rPr>
        <w:t>,</w:t>
      </w:r>
      <w:r w:rsidRPr="00446C16">
        <w:rPr>
          <w:rStyle w:val="st"/>
        </w:rPr>
        <w:t xml:space="preserve"> var palielināt resursu deficītu arī 2019.</w:t>
      </w:r>
      <w:r w:rsidR="00E65216" w:rsidRPr="00446C16">
        <w:rPr>
          <w:rStyle w:val="st"/>
        </w:rPr>
        <w:t xml:space="preserve"> </w:t>
      </w:r>
      <w:r w:rsidRPr="00446C16">
        <w:rPr>
          <w:rStyle w:val="st"/>
        </w:rPr>
        <w:t>-</w:t>
      </w:r>
      <w:r w:rsidR="00E65216" w:rsidRPr="00446C16">
        <w:rPr>
          <w:rStyle w:val="st"/>
        </w:rPr>
        <w:t xml:space="preserve"> </w:t>
      </w:r>
      <w:r w:rsidRPr="00446C16">
        <w:rPr>
          <w:rStyle w:val="st"/>
        </w:rPr>
        <w:t>2021</w:t>
      </w:r>
      <w:r w:rsidR="00100D75" w:rsidRPr="00446C16">
        <w:rPr>
          <w:rStyle w:val="st"/>
        </w:rPr>
        <w:t>. gad</w:t>
      </w:r>
      <w:r w:rsidR="00E65216" w:rsidRPr="00446C16">
        <w:rPr>
          <w:rStyle w:val="st"/>
        </w:rPr>
        <w:t>os</w:t>
      </w:r>
      <w:r w:rsidRPr="00446C16">
        <w:rPr>
          <w:rStyle w:val="st"/>
        </w:rPr>
        <w:t xml:space="preserve">, kas var atstāt neprognozējamu ietekmi uz izmaksu </w:t>
      </w:r>
      <w:r w:rsidR="00DE7BCB" w:rsidRPr="00446C16">
        <w:rPr>
          <w:rStyle w:val="st"/>
        </w:rPr>
        <w:t xml:space="preserve">izmaiņu </w:t>
      </w:r>
      <w:r w:rsidRPr="00446C16">
        <w:rPr>
          <w:rStyle w:val="st"/>
        </w:rPr>
        <w:t xml:space="preserve">pieaugumu. Tādēļ nevar viennozīmīgi apgalvot, ka nozares pārstāvju prognožu vērtējumi būtu pārspīlēti. Tāpat arī grūti prognozēt, vai izmaksu </w:t>
      </w:r>
      <w:r w:rsidR="00DE7BCB" w:rsidRPr="00446C16">
        <w:rPr>
          <w:rStyle w:val="st"/>
        </w:rPr>
        <w:t xml:space="preserve">izmaiņu </w:t>
      </w:r>
      <w:r w:rsidRPr="00446C16">
        <w:rPr>
          <w:rStyle w:val="st"/>
        </w:rPr>
        <w:t xml:space="preserve">kritums pēc ES fondu līdzfinansēto projektu realizācijas varētu būt tik mazs, kā statistiskā trenda un elastības prognozēs. Vai arī tieši pretēji – izmaksu </w:t>
      </w:r>
      <w:r w:rsidR="00DE7BCB" w:rsidRPr="00446C16">
        <w:rPr>
          <w:rStyle w:val="st"/>
        </w:rPr>
        <w:t xml:space="preserve">izmaiņu </w:t>
      </w:r>
      <w:r w:rsidRPr="00446C16">
        <w:rPr>
          <w:rStyle w:val="st"/>
        </w:rPr>
        <w:t>kritums inerces efekta dēļ var aizkavēties pēc apjoma pieprasījuma krituma. Faktiskās izmaks</w:t>
      </w:r>
      <w:r w:rsidR="005B6720" w:rsidRPr="00446C16">
        <w:rPr>
          <w:rStyle w:val="st"/>
        </w:rPr>
        <w:t>u izmaiņas</w:t>
      </w:r>
      <w:r w:rsidRPr="00446C16">
        <w:rPr>
          <w:rStyle w:val="st"/>
        </w:rPr>
        <w:t xml:space="preserve"> ļoti lielā mērā var būt atkarīgas no  publisko pasūtījumu apjoma svārstībām un tā, cik lielā mērā </w:t>
      </w:r>
      <w:r w:rsidR="00F9583C" w:rsidRPr="00446C16">
        <w:rPr>
          <w:rStyle w:val="st"/>
        </w:rPr>
        <w:t xml:space="preserve">valsts un pašvaldības </w:t>
      </w:r>
      <w:r w:rsidRPr="00446C16">
        <w:rPr>
          <w:rStyle w:val="st"/>
        </w:rPr>
        <w:t>projekti bez ES fondu līdzfinansējuma izlīdzinās līdzfinansēto projektu apjoma kritumu.</w:t>
      </w:r>
    </w:p>
    <w:p w14:paraId="70673877" w14:textId="4E8199C9" w:rsidR="00F9583C" w:rsidRPr="00446C16" w:rsidRDefault="00F9583C" w:rsidP="00F9583C">
      <w:pPr>
        <w:ind w:firstLine="851"/>
        <w:jc w:val="both"/>
      </w:pPr>
      <w:r w:rsidRPr="00446C16">
        <w:t>Tādēļ uzlabotajā metodoloģijā noteiktā pieeja ņemt vērā trīs avotu dat</w:t>
      </w:r>
      <w:r w:rsidR="00CF05E4" w:rsidRPr="00446C16">
        <w:t>us gala prognozes noteikšanā</w:t>
      </w:r>
      <w:r w:rsidRPr="00446C16">
        <w:t xml:space="preserve"> uzskatāma par pamatotu un kombinētā prognoze, kas veidota kā aritmētiskais vidējais no </w:t>
      </w:r>
      <w:r w:rsidR="00CF05E4" w:rsidRPr="00446C16">
        <w:t>trīs</w:t>
      </w:r>
      <w:r w:rsidRPr="00446C16">
        <w:t xml:space="preserve"> avotu datiem</w:t>
      </w:r>
      <w:r w:rsidR="00CF05E4" w:rsidRPr="00446C16">
        <w:t>,</w:t>
      </w:r>
      <w:r w:rsidRPr="00446C16">
        <w:t xml:space="preserve"> uzrāda pieaugumu katrā prognožu perioda gadā, izņemot 2022</w:t>
      </w:r>
      <w:r w:rsidR="00100D75" w:rsidRPr="00446C16">
        <w:t>. gad</w:t>
      </w:r>
      <w:r w:rsidRPr="00446C16">
        <w:t xml:space="preserve">u (skatīt </w:t>
      </w:r>
      <w:r w:rsidR="00CF05E4" w:rsidRPr="00446C16">
        <w:t>tabulu</w:t>
      </w:r>
      <w:r w:rsidR="00312B9B" w:rsidRPr="00446C16">
        <w:t xml:space="preserve"> Nr. </w:t>
      </w:r>
      <w:r w:rsidR="00E76FAA" w:rsidRPr="00446C16">
        <w:t>5</w:t>
      </w:r>
      <w:r w:rsidRPr="00446C16">
        <w:t>).</w:t>
      </w:r>
    </w:p>
    <w:p w14:paraId="42EE2E42" w14:textId="5CF59832" w:rsidR="00F9583C" w:rsidRPr="00446C16" w:rsidRDefault="00F9583C" w:rsidP="00F9583C">
      <w:pPr>
        <w:jc w:val="center"/>
        <w:rPr>
          <w:b/>
          <w:bCs/>
          <w:sz w:val="20"/>
        </w:rPr>
      </w:pPr>
      <w:r w:rsidRPr="00446C16">
        <w:rPr>
          <w:b/>
          <w:bCs/>
          <w:sz w:val="20"/>
        </w:rPr>
        <w:lastRenderedPageBreak/>
        <w:t xml:space="preserve">Tabula </w:t>
      </w:r>
      <w:r w:rsidR="00312B9B" w:rsidRPr="00446C16">
        <w:rPr>
          <w:b/>
          <w:bCs/>
          <w:sz w:val="20"/>
        </w:rPr>
        <w:t xml:space="preserve">Nr. </w:t>
      </w:r>
      <w:r w:rsidR="00311831" w:rsidRPr="00446C16">
        <w:rPr>
          <w:b/>
          <w:bCs/>
          <w:sz w:val="20"/>
        </w:rPr>
        <w:t>5</w:t>
      </w:r>
      <w:r w:rsidRPr="00446C16">
        <w:rPr>
          <w:b/>
          <w:bCs/>
          <w:sz w:val="20"/>
        </w:rPr>
        <w:t>. Kombinētā prognoze –</w:t>
      </w:r>
      <w:r w:rsidRPr="00446C16">
        <w:rPr>
          <w:b/>
          <w:bCs/>
        </w:rPr>
        <w:t xml:space="preserve"> </w:t>
      </w:r>
      <w:r w:rsidRPr="00446C16">
        <w:rPr>
          <w:b/>
          <w:bCs/>
          <w:sz w:val="20"/>
        </w:rPr>
        <w:t xml:space="preserve">būvniecības </w:t>
      </w:r>
      <w:r w:rsidR="00CF05E4" w:rsidRPr="00446C16">
        <w:rPr>
          <w:b/>
          <w:bCs/>
          <w:sz w:val="20"/>
        </w:rPr>
        <w:t>izmaksu</w:t>
      </w:r>
      <w:r w:rsidRPr="00446C16">
        <w:rPr>
          <w:b/>
          <w:bCs/>
          <w:sz w:val="20"/>
        </w:rPr>
        <w:t xml:space="preserve"> izmaiņas pret iepriekšējo gadu, %</w:t>
      </w:r>
    </w:p>
    <w:tbl>
      <w:tblPr>
        <w:tblStyle w:val="PlainTable1"/>
        <w:tblW w:w="8964" w:type="dxa"/>
        <w:jc w:val="center"/>
        <w:tblLook w:val="04A0" w:firstRow="1" w:lastRow="0" w:firstColumn="1" w:lastColumn="0" w:noHBand="0" w:noVBand="1"/>
      </w:tblPr>
      <w:tblGrid>
        <w:gridCol w:w="2468"/>
        <w:gridCol w:w="1300"/>
        <w:gridCol w:w="1299"/>
        <w:gridCol w:w="1299"/>
        <w:gridCol w:w="1299"/>
        <w:gridCol w:w="1299"/>
      </w:tblGrid>
      <w:tr w:rsidR="00F9583C" w:rsidRPr="00446C16" w14:paraId="05D51721" w14:textId="77777777" w:rsidTr="00895643">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1F3864"/>
            <w:vAlign w:val="center"/>
          </w:tcPr>
          <w:p w14:paraId="46716BB9" w14:textId="77777777" w:rsidR="00F9583C" w:rsidRPr="00446C16" w:rsidRDefault="00F9583C" w:rsidP="00D91DBE">
            <w:pPr>
              <w:spacing w:before="0" w:after="0"/>
              <w:jc w:val="center"/>
              <w:rPr>
                <w:rFonts w:eastAsia="Times New Roman" w:cstheme="minorHAnsi"/>
                <w:b w:val="0"/>
                <w:bCs w:val="0"/>
                <w:color w:val="FFFFFF" w:themeColor="background1"/>
                <w:sz w:val="18"/>
                <w:szCs w:val="16"/>
                <w:lang w:eastAsia="en-GB"/>
              </w:rPr>
            </w:pPr>
            <w:r w:rsidRPr="00446C16">
              <w:rPr>
                <w:rFonts w:ascii="Calibri" w:hAnsi="Calibri" w:cs="Calibri"/>
                <w:color w:val="FFFFFF" w:themeColor="background1"/>
                <w:sz w:val="18"/>
                <w:szCs w:val="16"/>
              </w:rPr>
              <w:t>Gads</w:t>
            </w:r>
          </w:p>
        </w:tc>
        <w:tc>
          <w:tcPr>
            <w:tcW w:w="0" w:type="dxa"/>
            <w:shd w:val="clear" w:color="auto" w:fill="1F3864"/>
            <w:vAlign w:val="center"/>
          </w:tcPr>
          <w:p w14:paraId="083E7892" w14:textId="77777777" w:rsidR="00F9583C" w:rsidRPr="00446C16" w:rsidRDefault="00F9583C"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2019</w:t>
            </w:r>
          </w:p>
        </w:tc>
        <w:tc>
          <w:tcPr>
            <w:tcW w:w="0" w:type="dxa"/>
            <w:shd w:val="clear" w:color="auto" w:fill="1F3864"/>
            <w:vAlign w:val="center"/>
          </w:tcPr>
          <w:p w14:paraId="5FA41CC7" w14:textId="77777777" w:rsidR="00F9583C" w:rsidRPr="00446C16" w:rsidRDefault="00F9583C"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2020</w:t>
            </w:r>
          </w:p>
        </w:tc>
        <w:tc>
          <w:tcPr>
            <w:tcW w:w="0" w:type="dxa"/>
            <w:shd w:val="clear" w:color="auto" w:fill="1F3864"/>
            <w:vAlign w:val="center"/>
          </w:tcPr>
          <w:p w14:paraId="35F0F0C9" w14:textId="77777777" w:rsidR="00F9583C" w:rsidRPr="00446C16" w:rsidRDefault="00F9583C"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2021</w:t>
            </w:r>
          </w:p>
        </w:tc>
        <w:tc>
          <w:tcPr>
            <w:tcW w:w="0" w:type="dxa"/>
            <w:shd w:val="clear" w:color="auto" w:fill="1F3864"/>
            <w:vAlign w:val="center"/>
          </w:tcPr>
          <w:p w14:paraId="77521779" w14:textId="77777777" w:rsidR="00F9583C" w:rsidRPr="00446C16" w:rsidRDefault="00F9583C"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2022</w:t>
            </w:r>
          </w:p>
        </w:tc>
        <w:tc>
          <w:tcPr>
            <w:tcW w:w="0" w:type="dxa"/>
            <w:shd w:val="clear" w:color="auto" w:fill="1F3864"/>
            <w:vAlign w:val="center"/>
          </w:tcPr>
          <w:p w14:paraId="235B6F99" w14:textId="77777777" w:rsidR="00F9583C" w:rsidRPr="00446C16" w:rsidRDefault="00F9583C" w:rsidP="00D91DB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2023</w:t>
            </w:r>
          </w:p>
        </w:tc>
      </w:tr>
      <w:tr w:rsidR="00CF05E4" w:rsidRPr="00446C16" w14:paraId="32E0F3A6" w14:textId="77777777" w:rsidTr="008956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68" w:type="dxa"/>
            <w:vAlign w:val="center"/>
          </w:tcPr>
          <w:p w14:paraId="5AE4F898" w14:textId="54DCB0BF" w:rsidR="00CF05E4" w:rsidRPr="00446C16" w:rsidRDefault="00CF05E4" w:rsidP="00CF05E4">
            <w:pPr>
              <w:spacing w:before="0" w:after="0"/>
              <w:rPr>
                <w:rFonts w:eastAsia="Times New Roman" w:cstheme="minorHAnsi"/>
                <w:b w:val="0"/>
                <w:bCs w:val="0"/>
                <w:color w:val="000000"/>
                <w:sz w:val="18"/>
                <w:szCs w:val="16"/>
                <w:lang w:eastAsia="en-GB"/>
              </w:rPr>
            </w:pPr>
            <w:r w:rsidRPr="00446C16">
              <w:rPr>
                <w:rFonts w:ascii="Calibri" w:hAnsi="Calibri" w:cs="Calibri"/>
                <w:color w:val="000000"/>
                <w:sz w:val="18"/>
                <w:szCs w:val="16"/>
              </w:rPr>
              <w:t>Būvniecības izmaksu izmaiņas pret iepriekšējo gadu, %</w:t>
            </w:r>
          </w:p>
        </w:tc>
        <w:tc>
          <w:tcPr>
            <w:tcW w:w="1300" w:type="dxa"/>
            <w:noWrap/>
            <w:vAlign w:val="center"/>
          </w:tcPr>
          <w:p w14:paraId="1D21D47C" w14:textId="4BE60B5A" w:rsidR="00CF05E4" w:rsidRPr="00446C16" w:rsidRDefault="00CF05E4" w:rsidP="00CF05E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GB"/>
              </w:rPr>
            </w:pPr>
            <w:r w:rsidRPr="00446C16">
              <w:rPr>
                <w:sz w:val="18"/>
                <w:szCs w:val="18"/>
              </w:rPr>
              <w:t>4,9</w:t>
            </w:r>
          </w:p>
        </w:tc>
        <w:tc>
          <w:tcPr>
            <w:tcW w:w="1299" w:type="dxa"/>
            <w:vAlign w:val="center"/>
          </w:tcPr>
          <w:p w14:paraId="35E156CA" w14:textId="0289FF80" w:rsidR="00CF05E4" w:rsidRPr="00446C16" w:rsidRDefault="00CF05E4" w:rsidP="00CF05E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GB"/>
              </w:rPr>
            </w:pPr>
            <w:r w:rsidRPr="00446C16">
              <w:rPr>
                <w:sz w:val="18"/>
                <w:szCs w:val="18"/>
              </w:rPr>
              <w:t>4,4</w:t>
            </w:r>
          </w:p>
        </w:tc>
        <w:tc>
          <w:tcPr>
            <w:tcW w:w="1299" w:type="dxa"/>
            <w:noWrap/>
            <w:vAlign w:val="center"/>
          </w:tcPr>
          <w:p w14:paraId="20CB50A3" w14:textId="511144C5" w:rsidR="00CF05E4" w:rsidRPr="00446C16" w:rsidRDefault="00CF05E4" w:rsidP="00CF05E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GB"/>
              </w:rPr>
            </w:pPr>
            <w:r w:rsidRPr="00446C16">
              <w:rPr>
                <w:sz w:val="18"/>
                <w:szCs w:val="18"/>
              </w:rPr>
              <w:t>1,5</w:t>
            </w:r>
          </w:p>
        </w:tc>
        <w:tc>
          <w:tcPr>
            <w:tcW w:w="1299" w:type="dxa"/>
            <w:noWrap/>
            <w:vAlign w:val="center"/>
          </w:tcPr>
          <w:p w14:paraId="32E13B1B" w14:textId="57E2A906" w:rsidR="00CF05E4" w:rsidRPr="00446C16" w:rsidRDefault="00CF05E4" w:rsidP="00CF05E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GB"/>
              </w:rPr>
            </w:pPr>
            <w:r w:rsidRPr="00446C16">
              <w:rPr>
                <w:sz w:val="18"/>
                <w:szCs w:val="18"/>
              </w:rPr>
              <w:t>-1,1</w:t>
            </w:r>
          </w:p>
        </w:tc>
        <w:tc>
          <w:tcPr>
            <w:tcW w:w="1299" w:type="dxa"/>
            <w:noWrap/>
            <w:vAlign w:val="center"/>
          </w:tcPr>
          <w:p w14:paraId="05A55600" w14:textId="681A048E" w:rsidR="00CF05E4" w:rsidRPr="00446C16" w:rsidRDefault="00CF05E4" w:rsidP="00CF05E4">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GB"/>
              </w:rPr>
            </w:pPr>
            <w:r w:rsidRPr="00446C16">
              <w:rPr>
                <w:sz w:val="18"/>
                <w:szCs w:val="18"/>
              </w:rPr>
              <w:t>0,7</w:t>
            </w:r>
          </w:p>
        </w:tc>
      </w:tr>
    </w:tbl>
    <w:p w14:paraId="468305C3" w14:textId="7EA93961" w:rsidR="00F9583C" w:rsidRPr="00446C16" w:rsidRDefault="00F9583C" w:rsidP="00CF05E4">
      <w:pPr>
        <w:ind w:firstLine="851"/>
        <w:jc w:val="center"/>
        <w:rPr>
          <w:sz w:val="20"/>
        </w:rPr>
      </w:pPr>
      <w:r w:rsidRPr="00446C16">
        <w:rPr>
          <w:sz w:val="20"/>
        </w:rPr>
        <w:t xml:space="preserve">Avots: autoru aprēķini, </w:t>
      </w:r>
      <w:r w:rsidR="00CF05E4" w:rsidRPr="00446C16">
        <w:rPr>
          <w:sz w:val="20"/>
        </w:rPr>
        <w:t>balstoties uz ekspertu vērtējumiem, statistisko datu trendu un elastības modelēšanu</w:t>
      </w:r>
    </w:p>
    <w:p w14:paraId="3D9740F2" w14:textId="667189DD" w:rsidR="00477D15" w:rsidRPr="00446C16" w:rsidRDefault="00884DAD" w:rsidP="00B47383">
      <w:pPr>
        <w:ind w:firstLine="851"/>
        <w:jc w:val="both"/>
      </w:pPr>
      <w:r w:rsidRPr="00446C16">
        <w:t>Kopējā tendence būvniecības izmaks</w:t>
      </w:r>
      <w:r w:rsidR="005B6720" w:rsidRPr="00446C16">
        <w:t>u izmaiņām</w:t>
      </w:r>
      <w:r w:rsidRPr="00446C16">
        <w:t xml:space="preserve"> ir ikgadējs pieaugums līdz 2020</w:t>
      </w:r>
      <w:r w:rsidR="00100D75" w:rsidRPr="00446C16">
        <w:t>. gad</w:t>
      </w:r>
      <w:r w:rsidRPr="00446C16">
        <w:t>am aptuveni 5% apjomā, kam sekos nelielas izmaiņu svārstības ap nulli līdz 2023</w:t>
      </w:r>
      <w:r w:rsidR="00100D75" w:rsidRPr="00446C16">
        <w:t>. gad</w:t>
      </w:r>
      <w:r w:rsidRPr="00446C16">
        <w:t>am. 2019</w:t>
      </w:r>
      <w:r w:rsidR="00100D75" w:rsidRPr="00446C16">
        <w:t>. gad</w:t>
      </w:r>
      <w:r w:rsidRPr="00446C16">
        <w:t>a prognozi apliecina arī CSP dati: 2019</w:t>
      </w:r>
      <w:r w:rsidR="00100D75" w:rsidRPr="00446C16">
        <w:t>. gad</w:t>
      </w:r>
      <w:r w:rsidRPr="00446C16">
        <w:t>a 1.ceturksnī, salīdzinot ar 2018</w:t>
      </w:r>
      <w:r w:rsidR="00100D75" w:rsidRPr="00446C16">
        <w:t>. gad</w:t>
      </w:r>
      <w:r w:rsidRPr="00446C16">
        <w:t>a 1.ceturksni, kopējais būvniecības izmaksu</w:t>
      </w:r>
      <w:r w:rsidR="005B6720" w:rsidRPr="00446C16">
        <w:t xml:space="preserve"> izmaiņu</w:t>
      </w:r>
      <w:r w:rsidRPr="00446C16">
        <w:t xml:space="preserve"> līmenis pieauga par 5,0%.</w:t>
      </w:r>
      <w:r w:rsidRPr="00446C16">
        <w:rPr>
          <w:rStyle w:val="FootnoteReference"/>
        </w:rPr>
        <w:footnoteReference w:id="6"/>
      </w:r>
    </w:p>
    <w:p w14:paraId="08CCCF45" w14:textId="644331D9" w:rsidR="00477D15" w:rsidRPr="00446C16" w:rsidRDefault="00477D15" w:rsidP="00B47383">
      <w:pPr>
        <w:ind w:firstLine="851"/>
        <w:jc w:val="both"/>
      </w:pPr>
      <w:r w:rsidRPr="00446C16">
        <w:t>Taču jāņem vērā, ka faktiskās būvniecības izmaks</w:t>
      </w:r>
      <w:r w:rsidR="005B6720" w:rsidRPr="00446C16">
        <w:t>u izmaiņas</w:t>
      </w:r>
      <w:r w:rsidRPr="00446C16">
        <w:t xml:space="preserve"> būtiski var ietekmēt specifiski faktori, kas saistīti gan ar resursu deficītu lielo projektu straujas realizācijas gadījumā, piemēram, </w:t>
      </w:r>
      <w:r w:rsidR="00EE7323" w:rsidRPr="00446C16">
        <w:t xml:space="preserve">pieprasījums pēc </w:t>
      </w:r>
      <w:r w:rsidR="008E3436" w:rsidRPr="00446C16">
        <w:t>vietējo</w:t>
      </w:r>
      <w:r w:rsidR="00EE7323" w:rsidRPr="00446C16">
        <w:t xml:space="preserve"> grants </w:t>
      </w:r>
      <w:r w:rsidR="008E3436" w:rsidRPr="00446C16">
        <w:t xml:space="preserve">karjeru </w:t>
      </w:r>
      <w:r w:rsidR="00EE7323" w:rsidRPr="00446C16">
        <w:t xml:space="preserve">resursiem </w:t>
      </w:r>
      <w:r w:rsidRPr="00446C16">
        <w:t xml:space="preserve">Rail </w:t>
      </w:r>
      <w:proofErr w:type="spellStart"/>
      <w:r w:rsidRPr="00446C16">
        <w:t>Baltica</w:t>
      </w:r>
      <w:proofErr w:type="spellEnd"/>
      <w:r w:rsidR="00EE7323" w:rsidRPr="00446C16">
        <w:t xml:space="preserve"> īstenošanas gadījumā</w:t>
      </w:r>
      <w:r w:rsidRPr="00446C16">
        <w:t>, gan ar specifiskiem</w:t>
      </w:r>
      <w:r w:rsidR="003A2005" w:rsidRPr="00446C16">
        <w:t xml:space="preserve"> tirgus</w:t>
      </w:r>
      <w:r w:rsidRPr="00446C16">
        <w:t xml:space="preserve"> risinājumiem, piemēram, “trešo valstu” darbaspēka piesaiste</w:t>
      </w:r>
      <w:r w:rsidR="003A2005" w:rsidRPr="00446C16">
        <w:t>, gan valsts iniciatīvām būvniecības sektora attīstībā un ēnu ekonomikas apkarošanas pasākumu ieviešanā</w:t>
      </w:r>
      <w:r w:rsidRPr="00446C16">
        <w:t xml:space="preserve">. </w:t>
      </w:r>
      <w:r w:rsidR="003A2005" w:rsidRPr="00446C16">
        <w:t>Tādēļ prognozes interpretējamas kā kopējā tirgus tendence, reālo būvniecības izmaksu izmaiņu dinamiku var ietekmēt specifisku faktoru un apstākļu realizēšanās.</w:t>
      </w:r>
    </w:p>
    <w:p w14:paraId="051F7BA5" w14:textId="134E2CAA" w:rsidR="00515FED" w:rsidRPr="00446C16" w:rsidRDefault="00515FED" w:rsidP="00B47383">
      <w:pPr>
        <w:ind w:firstLine="851"/>
        <w:jc w:val="both"/>
      </w:pPr>
    </w:p>
    <w:p w14:paraId="39142809" w14:textId="77777777" w:rsidR="00725BEA" w:rsidRPr="00446C16" w:rsidRDefault="00725BEA" w:rsidP="00B47383">
      <w:pPr>
        <w:ind w:firstLine="851"/>
        <w:jc w:val="both"/>
      </w:pPr>
    </w:p>
    <w:p w14:paraId="6DB05092" w14:textId="200FD871" w:rsidR="003A2005" w:rsidRPr="00446C16" w:rsidRDefault="003A2005" w:rsidP="003C707C">
      <w:pPr>
        <w:ind w:firstLine="851"/>
        <w:jc w:val="both"/>
      </w:pPr>
    </w:p>
    <w:p w14:paraId="1AEF3401" w14:textId="65AAD2BE" w:rsidR="003A2005" w:rsidRPr="00446C16" w:rsidRDefault="003A2005" w:rsidP="003C707C">
      <w:pPr>
        <w:ind w:firstLine="851"/>
        <w:jc w:val="both"/>
      </w:pPr>
    </w:p>
    <w:p w14:paraId="6563AEB2" w14:textId="3C31BD2E" w:rsidR="003A2005" w:rsidRPr="00446C16" w:rsidRDefault="003A2005" w:rsidP="003C707C">
      <w:pPr>
        <w:ind w:firstLine="851"/>
        <w:jc w:val="both"/>
      </w:pPr>
    </w:p>
    <w:p w14:paraId="5B33515F" w14:textId="5AC5842C" w:rsidR="003A2005" w:rsidRPr="00446C16" w:rsidRDefault="003A2005" w:rsidP="003C707C">
      <w:pPr>
        <w:ind w:firstLine="851"/>
        <w:jc w:val="both"/>
      </w:pPr>
    </w:p>
    <w:p w14:paraId="666C83F1" w14:textId="6C0EAD55" w:rsidR="003A2005" w:rsidRPr="00446C16" w:rsidRDefault="003A2005" w:rsidP="003C707C">
      <w:pPr>
        <w:ind w:firstLine="851"/>
        <w:jc w:val="both"/>
      </w:pPr>
    </w:p>
    <w:p w14:paraId="0A1C8E98" w14:textId="04970250" w:rsidR="003A2005" w:rsidRPr="00446C16" w:rsidRDefault="003A2005" w:rsidP="003C707C">
      <w:pPr>
        <w:ind w:firstLine="851"/>
        <w:jc w:val="both"/>
      </w:pPr>
    </w:p>
    <w:p w14:paraId="3040672B" w14:textId="31C2A7A0" w:rsidR="003A2005" w:rsidRPr="00446C16" w:rsidRDefault="003A2005" w:rsidP="003C707C">
      <w:pPr>
        <w:ind w:firstLine="851"/>
        <w:jc w:val="both"/>
      </w:pPr>
    </w:p>
    <w:p w14:paraId="13A57826" w14:textId="4DFF072C" w:rsidR="003A2005" w:rsidRPr="00446C16" w:rsidRDefault="003A2005" w:rsidP="003C707C">
      <w:pPr>
        <w:ind w:firstLine="851"/>
        <w:jc w:val="both"/>
      </w:pPr>
    </w:p>
    <w:p w14:paraId="4BC2F3C2" w14:textId="110E2BFA" w:rsidR="003A2005" w:rsidRPr="00446C16" w:rsidRDefault="003A2005" w:rsidP="003C707C">
      <w:pPr>
        <w:ind w:firstLine="851"/>
        <w:jc w:val="both"/>
      </w:pPr>
    </w:p>
    <w:p w14:paraId="67B9C8C5" w14:textId="5D581B2F" w:rsidR="003A2005" w:rsidRPr="00446C16" w:rsidRDefault="003A2005" w:rsidP="003C707C">
      <w:pPr>
        <w:ind w:firstLine="851"/>
        <w:jc w:val="both"/>
      </w:pPr>
    </w:p>
    <w:p w14:paraId="1817D050" w14:textId="649F58AA" w:rsidR="003A2005" w:rsidRPr="00446C16" w:rsidRDefault="003A2005" w:rsidP="003C707C">
      <w:pPr>
        <w:ind w:firstLine="851"/>
        <w:jc w:val="both"/>
      </w:pPr>
    </w:p>
    <w:p w14:paraId="50195629" w14:textId="770B4C04" w:rsidR="003A2005" w:rsidRPr="00446C16" w:rsidRDefault="003A2005" w:rsidP="003C707C">
      <w:pPr>
        <w:ind w:firstLine="851"/>
        <w:jc w:val="both"/>
      </w:pPr>
    </w:p>
    <w:p w14:paraId="07702F97" w14:textId="75DE6A53" w:rsidR="003A2005" w:rsidRPr="00446C16" w:rsidRDefault="003A2005" w:rsidP="003C707C">
      <w:pPr>
        <w:ind w:firstLine="851"/>
        <w:jc w:val="both"/>
      </w:pPr>
    </w:p>
    <w:p w14:paraId="70A1F460" w14:textId="1028FB64" w:rsidR="003A2005" w:rsidRPr="00446C16" w:rsidRDefault="003A2005" w:rsidP="003C707C">
      <w:pPr>
        <w:ind w:firstLine="851"/>
        <w:jc w:val="both"/>
      </w:pPr>
    </w:p>
    <w:p w14:paraId="0F40F031" w14:textId="77777777" w:rsidR="003A2005" w:rsidRPr="00446C16" w:rsidRDefault="003A2005" w:rsidP="003C707C">
      <w:pPr>
        <w:ind w:firstLine="851"/>
        <w:jc w:val="both"/>
      </w:pPr>
    </w:p>
    <w:p w14:paraId="5A63F843" w14:textId="77777777" w:rsidR="00B34894" w:rsidRPr="00446C16" w:rsidRDefault="00B34894" w:rsidP="00B47383">
      <w:pPr>
        <w:ind w:firstLine="851"/>
        <w:jc w:val="both"/>
        <w:sectPr w:rsidR="00B34894" w:rsidRPr="00446C16" w:rsidSect="00741888">
          <w:headerReference w:type="default" r:id="rId29"/>
          <w:footerReference w:type="default" r:id="rId30"/>
          <w:pgSz w:w="11906" w:h="16838"/>
          <w:pgMar w:top="1418" w:right="851" w:bottom="1418" w:left="1701" w:header="709" w:footer="709" w:gutter="0"/>
          <w:cols w:space="708"/>
          <w:docGrid w:linePitch="360"/>
        </w:sectPr>
      </w:pPr>
    </w:p>
    <w:p w14:paraId="55C67638" w14:textId="6D9D5E6E" w:rsidR="00515FED" w:rsidRPr="00446C16" w:rsidRDefault="00515FED" w:rsidP="00515FED">
      <w:pPr>
        <w:pStyle w:val="Heading1"/>
        <w:numPr>
          <w:ilvl w:val="0"/>
          <w:numId w:val="5"/>
        </w:numPr>
        <w:ind w:left="0" w:firstLine="0"/>
        <w:jc w:val="both"/>
        <w:rPr>
          <w:caps w:val="0"/>
          <w:sz w:val="30"/>
          <w:szCs w:val="30"/>
        </w:rPr>
      </w:pPr>
      <w:bookmarkStart w:id="77" w:name="_Toc13475937"/>
      <w:bookmarkStart w:id="78" w:name="_Toc13492545"/>
      <w:bookmarkStart w:id="79" w:name="_Toc13574585"/>
      <w:bookmarkStart w:id="80" w:name="_Toc13576372"/>
      <w:bookmarkStart w:id="81" w:name="_Toc13580125"/>
      <w:bookmarkStart w:id="82" w:name="_Toc13673307"/>
      <w:bookmarkStart w:id="83" w:name="_Toc13673623"/>
      <w:bookmarkStart w:id="84" w:name="_Toc23163502"/>
      <w:bookmarkEnd w:id="77"/>
      <w:bookmarkEnd w:id="78"/>
      <w:bookmarkEnd w:id="79"/>
      <w:bookmarkEnd w:id="80"/>
      <w:bookmarkEnd w:id="81"/>
      <w:bookmarkEnd w:id="82"/>
      <w:bookmarkEnd w:id="83"/>
      <w:r w:rsidRPr="00446C16">
        <w:rPr>
          <w:caps w:val="0"/>
          <w:sz w:val="30"/>
          <w:szCs w:val="30"/>
        </w:rPr>
        <w:lastRenderedPageBreak/>
        <w:t xml:space="preserve">BŪVNIECĪBAS RESURSU IZMAKSU </w:t>
      </w:r>
      <w:r w:rsidR="00783454" w:rsidRPr="00446C16">
        <w:rPr>
          <w:caps w:val="0"/>
          <w:sz w:val="30"/>
          <w:szCs w:val="30"/>
        </w:rPr>
        <w:t xml:space="preserve">IZMAIŅU </w:t>
      </w:r>
      <w:r w:rsidRPr="00446C16">
        <w:rPr>
          <w:caps w:val="0"/>
          <w:sz w:val="30"/>
          <w:szCs w:val="30"/>
        </w:rPr>
        <w:t>PROGNOZES</w:t>
      </w:r>
      <w:bookmarkEnd w:id="84"/>
    </w:p>
    <w:p w14:paraId="20D1C360" w14:textId="7947F6D3" w:rsidR="00515FED" w:rsidRPr="00446C16" w:rsidRDefault="00515FED" w:rsidP="00515FED">
      <w:pPr>
        <w:pStyle w:val="Heading2"/>
      </w:pPr>
      <w:bookmarkStart w:id="85" w:name="_Toc13475939"/>
      <w:bookmarkStart w:id="86" w:name="_Toc13492547"/>
      <w:bookmarkStart w:id="87" w:name="_Toc13574587"/>
      <w:bookmarkStart w:id="88" w:name="_Toc13576374"/>
      <w:bookmarkStart w:id="89" w:name="_Toc13580127"/>
      <w:bookmarkStart w:id="90" w:name="_Toc13673309"/>
      <w:bookmarkStart w:id="91" w:name="_Toc13673625"/>
      <w:bookmarkStart w:id="92" w:name="_Toc13475940"/>
      <w:bookmarkStart w:id="93" w:name="_Toc13492548"/>
      <w:bookmarkStart w:id="94" w:name="_Toc13574588"/>
      <w:bookmarkStart w:id="95" w:name="_Toc13576375"/>
      <w:bookmarkStart w:id="96" w:name="_Toc13580128"/>
      <w:bookmarkStart w:id="97" w:name="_Toc13673310"/>
      <w:bookmarkStart w:id="98" w:name="_Toc13673626"/>
      <w:bookmarkStart w:id="99" w:name="_Toc13475941"/>
      <w:bookmarkStart w:id="100" w:name="_Toc13492549"/>
      <w:bookmarkStart w:id="101" w:name="_Toc13574589"/>
      <w:bookmarkStart w:id="102" w:name="_Toc13576376"/>
      <w:bookmarkStart w:id="103" w:name="_Toc13580129"/>
      <w:bookmarkStart w:id="104" w:name="_Toc13673311"/>
      <w:bookmarkStart w:id="105" w:name="_Toc13673627"/>
      <w:bookmarkStart w:id="106" w:name="_Toc13475942"/>
      <w:bookmarkStart w:id="107" w:name="_Toc13492550"/>
      <w:bookmarkStart w:id="108" w:name="_Toc13574590"/>
      <w:bookmarkStart w:id="109" w:name="_Toc13576377"/>
      <w:bookmarkStart w:id="110" w:name="_Toc13580130"/>
      <w:bookmarkStart w:id="111" w:name="_Toc13673312"/>
      <w:bookmarkStart w:id="112" w:name="_Toc13673628"/>
      <w:bookmarkStart w:id="113" w:name="_Toc13475943"/>
      <w:bookmarkStart w:id="114" w:name="_Toc13492551"/>
      <w:bookmarkStart w:id="115" w:name="_Toc13574591"/>
      <w:bookmarkStart w:id="116" w:name="_Toc13576378"/>
      <w:bookmarkStart w:id="117" w:name="_Toc13580131"/>
      <w:bookmarkStart w:id="118" w:name="_Toc13673313"/>
      <w:bookmarkStart w:id="119" w:name="_Toc13673629"/>
      <w:bookmarkStart w:id="120" w:name="_Toc13475944"/>
      <w:bookmarkStart w:id="121" w:name="_Toc13492552"/>
      <w:bookmarkStart w:id="122" w:name="_Toc13574592"/>
      <w:bookmarkStart w:id="123" w:name="_Toc13576379"/>
      <w:bookmarkStart w:id="124" w:name="_Toc13580132"/>
      <w:bookmarkStart w:id="125" w:name="_Toc13673314"/>
      <w:bookmarkStart w:id="126" w:name="_Toc13673630"/>
      <w:bookmarkStart w:id="127" w:name="_Toc13475945"/>
      <w:bookmarkStart w:id="128" w:name="_Toc13492553"/>
      <w:bookmarkStart w:id="129" w:name="_Toc13574593"/>
      <w:bookmarkStart w:id="130" w:name="_Toc13576380"/>
      <w:bookmarkStart w:id="131" w:name="_Toc13580133"/>
      <w:bookmarkStart w:id="132" w:name="_Toc13673315"/>
      <w:bookmarkStart w:id="133" w:name="_Toc13673631"/>
      <w:bookmarkStart w:id="134" w:name="_Toc13475946"/>
      <w:bookmarkStart w:id="135" w:name="_Toc13492554"/>
      <w:bookmarkStart w:id="136" w:name="_Toc13574594"/>
      <w:bookmarkStart w:id="137" w:name="_Toc13576381"/>
      <w:bookmarkStart w:id="138" w:name="_Toc13580134"/>
      <w:bookmarkStart w:id="139" w:name="_Toc13673316"/>
      <w:bookmarkStart w:id="140" w:name="_Toc13673632"/>
      <w:bookmarkStart w:id="141" w:name="_Toc13475947"/>
      <w:bookmarkStart w:id="142" w:name="_Toc13492555"/>
      <w:bookmarkStart w:id="143" w:name="_Toc13574595"/>
      <w:bookmarkStart w:id="144" w:name="_Toc13576382"/>
      <w:bookmarkStart w:id="145" w:name="_Toc13580135"/>
      <w:bookmarkStart w:id="146" w:name="_Toc13673317"/>
      <w:bookmarkStart w:id="147" w:name="_Toc13673633"/>
      <w:bookmarkStart w:id="148" w:name="_Toc2316350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446C16">
        <w:t xml:space="preserve">Darbaspēka </w:t>
      </w:r>
      <w:r w:rsidR="00725BEA" w:rsidRPr="00446C16">
        <w:t xml:space="preserve">un būvmateriālu </w:t>
      </w:r>
      <w:r w:rsidRPr="00446C16">
        <w:t>izmaks</w:t>
      </w:r>
      <w:r w:rsidR="005B6720" w:rsidRPr="00446C16">
        <w:t>u izmaiņas</w:t>
      </w:r>
      <w:r w:rsidRPr="00446C16">
        <w:t xml:space="preserve"> ietekmējošie faktori</w:t>
      </w:r>
      <w:bookmarkEnd w:id="148"/>
    </w:p>
    <w:bookmarkEnd w:id="65"/>
    <w:bookmarkEnd w:id="66"/>
    <w:p w14:paraId="551D35A2" w14:textId="040BC4A2" w:rsidR="00445A1A" w:rsidRPr="00446C16" w:rsidRDefault="00725BEA" w:rsidP="00895643">
      <w:pPr>
        <w:ind w:firstLine="851"/>
        <w:jc w:val="both"/>
        <w:rPr>
          <w:bCs/>
          <w:szCs w:val="22"/>
        </w:rPr>
      </w:pPr>
      <w:r w:rsidRPr="00446C16">
        <w:rPr>
          <w:b/>
          <w:bCs/>
          <w:color w:val="002060"/>
          <w:szCs w:val="22"/>
        </w:rPr>
        <w:t>3</w:t>
      </w:r>
      <w:r w:rsidR="00CC65CA" w:rsidRPr="00446C16">
        <w:rPr>
          <w:b/>
          <w:bCs/>
          <w:color w:val="002060"/>
          <w:szCs w:val="22"/>
        </w:rPr>
        <w:t>.</w:t>
      </w:r>
      <w:r w:rsidR="00E55546" w:rsidRPr="00446C16">
        <w:rPr>
          <w:b/>
          <w:bCs/>
          <w:color w:val="002060"/>
          <w:szCs w:val="22"/>
        </w:rPr>
        <w:t>2</w:t>
      </w:r>
      <w:r w:rsidR="00CC65CA" w:rsidRPr="00446C16">
        <w:rPr>
          <w:b/>
          <w:bCs/>
          <w:color w:val="002060"/>
          <w:szCs w:val="22"/>
        </w:rPr>
        <w:t>.</w:t>
      </w:r>
      <w:r w:rsidRPr="00446C16">
        <w:rPr>
          <w:b/>
          <w:bCs/>
          <w:color w:val="002060"/>
          <w:szCs w:val="22"/>
        </w:rPr>
        <w:t>1</w:t>
      </w:r>
      <w:r w:rsidR="00CC65CA" w:rsidRPr="00446C16">
        <w:rPr>
          <w:b/>
          <w:bCs/>
          <w:color w:val="002060"/>
          <w:szCs w:val="22"/>
        </w:rPr>
        <w:t xml:space="preserve">. </w:t>
      </w:r>
      <w:r w:rsidR="00364C7D" w:rsidRPr="00446C16">
        <w:rPr>
          <w:b/>
          <w:bCs/>
          <w:color w:val="002060"/>
          <w:szCs w:val="22"/>
        </w:rPr>
        <w:t>Darbaspēka un būvmateriālu izmaksu izmaiņas ietekmējošie faktori</w:t>
      </w:r>
    </w:p>
    <w:p w14:paraId="6F9E7B44" w14:textId="71A4AC6C" w:rsidR="00E86BE3" w:rsidRPr="00446C16" w:rsidRDefault="00E86BE3" w:rsidP="00E55546">
      <w:pPr>
        <w:ind w:firstLine="851"/>
        <w:jc w:val="both"/>
        <w:rPr>
          <w:rStyle w:val="st"/>
        </w:rPr>
      </w:pPr>
      <w:r w:rsidRPr="00446C16">
        <w:rPr>
          <w:rStyle w:val="st"/>
        </w:rPr>
        <w:t>Lai noskaidrotu būtiskākos būvniecības izmaks</w:t>
      </w:r>
      <w:r w:rsidR="003521D3" w:rsidRPr="00446C16">
        <w:rPr>
          <w:rStyle w:val="st"/>
        </w:rPr>
        <w:t>u izmaiņas</w:t>
      </w:r>
      <w:r w:rsidRPr="00446C16">
        <w:rPr>
          <w:rStyle w:val="st"/>
        </w:rPr>
        <w:t xml:space="preserve"> ietekmējošos faktorus, tika apkopoti pirmās un otrās interviju kārtas ekspertu vērtējumi 10 ballu skalā, kur lielāks vērtējums nozīmē lielāku faktora ietekmi uz izmaks</w:t>
      </w:r>
      <w:r w:rsidR="003521D3" w:rsidRPr="00446C16">
        <w:rPr>
          <w:rStyle w:val="st"/>
        </w:rPr>
        <w:t>u izmaiņām</w:t>
      </w:r>
      <w:r w:rsidRPr="00446C16">
        <w:rPr>
          <w:rStyle w:val="st"/>
        </w:rPr>
        <w:t>. Pēc pirmās kārtas ekspertu intervijām tika atlasīti 10 būtiskākie faktori ar lielāko vidējo vērtējumu, kurus tālāk vērtēja otrās kārtas intervējamie eksperti. Tādejādi tika iegūts kopējais vērtējums 10 faktoru ietekmei uz darbaspēka un būvmateriālu izmaks</w:t>
      </w:r>
      <w:r w:rsidR="003521D3" w:rsidRPr="00446C16">
        <w:rPr>
          <w:rStyle w:val="st"/>
        </w:rPr>
        <w:t>u izmaiņām</w:t>
      </w:r>
      <w:r w:rsidRPr="00446C16">
        <w:rPr>
          <w:rStyle w:val="st"/>
        </w:rPr>
        <w:t>.</w:t>
      </w:r>
    </w:p>
    <w:p w14:paraId="2DEBDF28" w14:textId="55779435" w:rsidR="00E86BE3" w:rsidRPr="00446C16" w:rsidRDefault="00E86BE3" w:rsidP="00E55546">
      <w:pPr>
        <w:ind w:firstLine="851"/>
        <w:jc w:val="both"/>
        <w:rPr>
          <w:rStyle w:val="st"/>
        </w:rPr>
      </w:pPr>
      <w:r w:rsidRPr="00446C16">
        <w:rPr>
          <w:rStyle w:val="st"/>
        </w:rPr>
        <w:t xml:space="preserve">Būvniecības </w:t>
      </w:r>
      <w:r w:rsidR="00DA5EF2" w:rsidRPr="00446C16">
        <w:rPr>
          <w:rFonts w:cstheme="minorHAnsi"/>
          <w:szCs w:val="22"/>
        </w:rPr>
        <w:t>produkcijas</w:t>
      </w:r>
      <w:r w:rsidR="00DA5EF2" w:rsidRPr="00446C16">
        <w:rPr>
          <w:rStyle w:val="st"/>
        </w:rPr>
        <w:t xml:space="preserve"> </w:t>
      </w:r>
      <w:r w:rsidRPr="00446C16">
        <w:rPr>
          <w:rStyle w:val="st"/>
        </w:rPr>
        <w:t xml:space="preserve">apjoms bija darbaspēka izmaksu </w:t>
      </w:r>
      <w:r w:rsidR="00783454" w:rsidRPr="00446C16">
        <w:rPr>
          <w:rStyle w:val="st"/>
        </w:rPr>
        <w:t xml:space="preserve">izmaiņas </w:t>
      </w:r>
      <w:r w:rsidRPr="00446C16">
        <w:rPr>
          <w:rStyle w:val="st"/>
        </w:rPr>
        <w:t>būtiskākais ietekmējošais faktors Latvijā ar vidējo vērtējumu 8,72 (</w:t>
      </w:r>
      <w:r w:rsidR="00AE5D75" w:rsidRPr="00446C16">
        <w:rPr>
          <w:rStyle w:val="st"/>
        </w:rPr>
        <w:t>skatīt a</w:t>
      </w:r>
      <w:r w:rsidRPr="00446C16">
        <w:rPr>
          <w:rStyle w:val="st"/>
        </w:rPr>
        <w:t>ttēl</w:t>
      </w:r>
      <w:r w:rsidR="00AE5D75" w:rsidRPr="00446C16">
        <w:rPr>
          <w:rStyle w:val="st"/>
        </w:rPr>
        <w:t>u</w:t>
      </w:r>
      <w:r w:rsidRPr="00446C16">
        <w:rPr>
          <w:rStyle w:val="st"/>
        </w:rPr>
        <w:t xml:space="preserve"> Nr. </w:t>
      </w:r>
      <w:r w:rsidR="00312B9B" w:rsidRPr="00446C16">
        <w:rPr>
          <w:rStyle w:val="st"/>
        </w:rPr>
        <w:t>4</w:t>
      </w:r>
      <w:r w:rsidRPr="00446C16">
        <w:rPr>
          <w:rStyle w:val="st"/>
        </w:rPr>
        <w:t xml:space="preserve">.). </w:t>
      </w:r>
    </w:p>
    <w:p w14:paraId="1147A235" w14:textId="59AA7D93" w:rsidR="00E86BE3" w:rsidRPr="00446C16" w:rsidRDefault="00E86BE3" w:rsidP="00E86BE3">
      <w:pPr>
        <w:jc w:val="center"/>
        <w:rPr>
          <w:b/>
          <w:sz w:val="20"/>
        </w:rPr>
      </w:pPr>
      <w:r w:rsidRPr="00446C16">
        <w:rPr>
          <w:b/>
          <w:sz w:val="20"/>
        </w:rPr>
        <w:t xml:space="preserve">Attēls Nr. </w:t>
      </w:r>
      <w:r w:rsidR="00312B9B" w:rsidRPr="00446C16">
        <w:rPr>
          <w:b/>
          <w:sz w:val="20"/>
        </w:rPr>
        <w:t>4</w:t>
      </w:r>
      <w:r w:rsidRPr="00446C16">
        <w:rPr>
          <w:b/>
          <w:sz w:val="20"/>
        </w:rPr>
        <w:t>. Darbaspēka izmaksu izmaiņas ietekmējošo faktoru būtiskums (10 ballu skalā) un ekspertu vērtējumu variācija (standartnovirze)</w:t>
      </w:r>
    </w:p>
    <w:p w14:paraId="042682C8" w14:textId="77777777" w:rsidR="00E86BE3" w:rsidRPr="00446C16" w:rsidRDefault="00E86BE3" w:rsidP="00E86BE3">
      <w:pPr>
        <w:pStyle w:val="ListParagraph"/>
        <w:ind w:left="0"/>
        <w:rPr>
          <w:rFonts w:cs="Arial"/>
          <w:color w:val="222222"/>
        </w:rPr>
      </w:pPr>
      <w:r w:rsidRPr="00446C16">
        <w:rPr>
          <w:noProof/>
          <w:lang w:val="en-US"/>
        </w:rPr>
        <w:drawing>
          <wp:inline distT="0" distB="0" distL="0" distR="0" wp14:anchorId="0935FC05" wp14:editId="7711F83F">
            <wp:extent cx="5939790" cy="3467735"/>
            <wp:effectExtent l="0" t="0" r="381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9790" cy="3467735"/>
                    </a:xfrm>
                    <a:prstGeom prst="rect">
                      <a:avLst/>
                    </a:prstGeom>
                  </pic:spPr>
                </pic:pic>
              </a:graphicData>
            </a:graphic>
          </wp:inline>
        </w:drawing>
      </w:r>
    </w:p>
    <w:p w14:paraId="5473D69F" w14:textId="7CA05FD1" w:rsidR="00E86BE3" w:rsidRPr="00446C16" w:rsidRDefault="00E86BE3" w:rsidP="00E86BE3">
      <w:pPr>
        <w:jc w:val="center"/>
        <w:rPr>
          <w:sz w:val="20"/>
          <w:szCs w:val="18"/>
        </w:rPr>
      </w:pPr>
      <w:r w:rsidRPr="00446C16">
        <w:rPr>
          <w:sz w:val="20"/>
          <w:szCs w:val="18"/>
        </w:rPr>
        <w:t>Avots: Ekspertu intervijas</w:t>
      </w:r>
    </w:p>
    <w:p w14:paraId="05E87037" w14:textId="77777777" w:rsidR="00AE5D75" w:rsidRPr="00446C16" w:rsidRDefault="00AE5D75" w:rsidP="00AE5D75">
      <w:pPr>
        <w:ind w:firstLine="851"/>
        <w:jc w:val="both"/>
        <w:rPr>
          <w:rStyle w:val="st"/>
        </w:rPr>
      </w:pPr>
      <w:r w:rsidRPr="00446C16">
        <w:rPr>
          <w:rStyle w:val="st"/>
        </w:rPr>
        <w:t>Kā nākamie būtiskākie uzskatāmi 5 faktori, kuru vidējais vērtējums ir no 7 līdz 8 ballēm:</w:t>
      </w:r>
    </w:p>
    <w:p w14:paraId="4125AE0B" w14:textId="77777777" w:rsidR="00AE5D75" w:rsidRPr="00446C16" w:rsidRDefault="00AE5D75" w:rsidP="00AE5D75">
      <w:pPr>
        <w:pStyle w:val="ListParagraph"/>
        <w:numPr>
          <w:ilvl w:val="0"/>
          <w:numId w:val="23"/>
        </w:numPr>
        <w:ind w:left="0" w:firstLine="0"/>
        <w:rPr>
          <w:rStyle w:val="st"/>
        </w:rPr>
      </w:pPr>
      <w:r w:rsidRPr="00446C16">
        <w:rPr>
          <w:rStyle w:val="st"/>
        </w:rPr>
        <w:t>Darbaspēka nodokļu līmenis Latvijā;</w:t>
      </w:r>
    </w:p>
    <w:p w14:paraId="5D92C173" w14:textId="77777777" w:rsidR="00AE5D75" w:rsidRPr="00446C16" w:rsidRDefault="00AE5D75" w:rsidP="00AE5D75">
      <w:pPr>
        <w:pStyle w:val="ListParagraph"/>
        <w:numPr>
          <w:ilvl w:val="0"/>
          <w:numId w:val="23"/>
        </w:numPr>
        <w:ind w:left="0" w:firstLine="0"/>
        <w:rPr>
          <w:rStyle w:val="st"/>
        </w:rPr>
      </w:pPr>
      <w:r w:rsidRPr="00446C16">
        <w:rPr>
          <w:rStyle w:val="st"/>
        </w:rPr>
        <w:t>Par publiskiem līdzekļiem īstenoto būvniecības ieceru apjoms;</w:t>
      </w:r>
    </w:p>
    <w:p w14:paraId="6214305E" w14:textId="77777777" w:rsidR="00AE5D75" w:rsidRPr="00446C16" w:rsidRDefault="00AE5D75" w:rsidP="00AE5D75">
      <w:pPr>
        <w:pStyle w:val="ListParagraph"/>
        <w:numPr>
          <w:ilvl w:val="0"/>
          <w:numId w:val="23"/>
        </w:numPr>
        <w:ind w:left="0" w:firstLine="0"/>
        <w:rPr>
          <w:rStyle w:val="st"/>
        </w:rPr>
      </w:pPr>
      <w:r w:rsidRPr="00446C16">
        <w:rPr>
          <w:rStyle w:val="st"/>
        </w:rPr>
        <w:t>ES darbaspēka pieprasījums būvniecības nozarē;</w:t>
      </w:r>
    </w:p>
    <w:p w14:paraId="3B906CF3" w14:textId="77777777" w:rsidR="00AE5D75" w:rsidRPr="00446C16" w:rsidRDefault="00AE5D75" w:rsidP="00AE5D75">
      <w:pPr>
        <w:pStyle w:val="ListParagraph"/>
        <w:numPr>
          <w:ilvl w:val="0"/>
          <w:numId w:val="23"/>
        </w:numPr>
        <w:ind w:left="0" w:firstLine="0"/>
        <w:rPr>
          <w:rStyle w:val="st"/>
        </w:rPr>
      </w:pPr>
      <w:r w:rsidRPr="00446C16">
        <w:rPr>
          <w:rStyle w:val="st"/>
        </w:rPr>
        <w:t>Darbaspēka samaksas līmenis ES valstīs būvniecības nozarē;</w:t>
      </w:r>
    </w:p>
    <w:p w14:paraId="2EB08836" w14:textId="77777777" w:rsidR="00AE5D75" w:rsidRPr="00446C16" w:rsidRDefault="00AE5D75" w:rsidP="00AE5D75">
      <w:pPr>
        <w:pStyle w:val="ListParagraph"/>
        <w:numPr>
          <w:ilvl w:val="0"/>
          <w:numId w:val="23"/>
        </w:numPr>
        <w:spacing w:line="360" w:lineRule="auto"/>
        <w:ind w:left="0" w:firstLine="0"/>
        <w:rPr>
          <w:rStyle w:val="st"/>
        </w:rPr>
      </w:pPr>
      <w:r w:rsidRPr="00446C16">
        <w:rPr>
          <w:rStyle w:val="st"/>
        </w:rPr>
        <w:t>Darbaspēka migrācijas saldo Latvijā.</w:t>
      </w:r>
    </w:p>
    <w:p w14:paraId="4566429A" w14:textId="7093D50A" w:rsidR="00AE5D75" w:rsidRPr="00446C16" w:rsidRDefault="00AE5D75" w:rsidP="00AE5D75">
      <w:pPr>
        <w:pStyle w:val="ListParagraph"/>
        <w:ind w:left="0" w:firstLine="851"/>
        <w:jc w:val="both"/>
        <w:rPr>
          <w:rStyle w:val="st"/>
        </w:rPr>
      </w:pPr>
      <w:r w:rsidRPr="00446C16">
        <w:rPr>
          <w:rStyle w:val="st"/>
        </w:rPr>
        <w:t xml:space="preserve">Taču jāatzīmē, ka faktoru nozīmības secība nav vērtējama kā stabila, jo ekspertu viedokļiem bija salīdzinoši liela variācija, par ko liecina standartnovirzes intervāls ap vidējo vērtību. Piemēram, bezdarba līmenis, kas pēc vidējiem vērtējumiem ievietojas tikai 13 vietā, atsevišķu ekspertu vērtējumā būtu ierindojams 3 būtiskāko faktoru sarakstā. </w:t>
      </w:r>
    </w:p>
    <w:p w14:paraId="7F15F69E" w14:textId="2FF7BE37" w:rsidR="00AE5D75" w:rsidRPr="00446C16" w:rsidRDefault="00AE5D75" w:rsidP="00AE5D75">
      <w:pPr>
        <w:pStyle w:val="ListParagraph"/>
        <w:ind w:left="0" w:firstLine="851"/>
        <w:jc w:val="both"/>
        <w:rPr>
          <w:rStyle w:val="st"/>
        </w:rPr>
      </w:pPr>
      <w:r w:rsidRPr="00446C16">
        <w:rPr>
          <w:rStyle w:val="st"/>
        </w:rPr>
        <w:t xml:space="preserve">Arī ņemot vērā gan darbaspēka, gan būvmateriālu izmaksu </w:t>
      </w:r>
      <w:r w:rsidR="00783454" w:rsidRPr="00446C16">
        <w:rPr>
          <w:rStyle w:val="st"/>
        </w:rPr>
        <w:t xml:space="preserve">izmaiņas </w:t>
      </w:r>
      <w:r w:rsidRPr="00446C16">
        <w:rPr>
          <w:rStyle w:val="st"/>
        </w:rPr>
        <w:t xml:space="preserve">ietekmējošo faktoru vidējā vērtējuma izlases aritmētisko vidējo standartkļūdu, tiek secināts, ka atsevišķu faktoru kārtas numurs vērtējumu </w:t>
      </w:r>
      <w:proofErr w:type="spellStart"/>
      <w:r w:rsidRPr="00446C16">
        <w:rPr>
          <w:rStyle w:val="st"/>
        </w:rPr>
        <w:t>ranžējumā</w:t>
      </w:r>
      <w:proofErr w:type="spellEnd"/>
      <w:r w:rsidRPr="00446C16">
        <w:rPr>
          <w:rStyle w:val="st"/>
        </w:rPr>
        <w:t xml:space="preserve"> varētu atšķirties. Tomēr ir iespējams nodalīt faktorus kopumā, kas visvairāk un </w:t>
      </w:r>
      <w:r w:rsidRPr="00446C16">
        <w:rPr>
          <w:rStyle w:val="st"/>
        </w:rPr>
        <w:lastRenderedPageBreak/>
        <w:t>vismazāk ietekmē gan darbaspēka, gan būvmateriālu izmaks</w:t>
      </w:r>
      <w:r w:rsidR="003521D3" w:rsidRPr="00446C16">
        <w:rPr>
          <w:rStyle w:val="st"/>
        </w:rPr>
        <w:t>u izmaiņas</w:t>
      </w:r>
      <w:r w:rsidRPr="00446C16">
        <w:rPr>
          <w:rStyle w:val="st"/>
        </w:rPr>
        <w:t>, t.i. faktori, kas norādīti kā būtiskākie, visticamāk tādi arī ir.</w:t>
      </w:r>
    </w:p>
    <w:p w14:paraId="6A0B67D9" w14:textId="4E4918F3" w:rsidR="00E86BE3" w:rsidRPr="00446C16" w:rsidRDefault="00E86BE3" w:rsidP="00AE5D75">
      <w:pPr>
        <w:ind w:firstLine="851"/>
        <w:jc w:val="both"/>
        <w:rPr>
          <w:rStyle w:val="st"/>
        </w:rPr>
      </w:pPr>
      <w:r w:rsidRPr="00446C16">
        <w:rPr>
          <w:rStyle w:val="st"/>
        </w:rPr>
        <w:t xml:space="preserve">Būvniecības </w:t>
      </w:r>
      <w:r w:rsidR="00DA5EF2" w:rsidRPr="00446C16">
        <w:rPr>
          <w:rFonts w:cstheme="minorHAnsi"/>
          <w:szCs w:val="22"/>
        </w:rPr>
        <w:t>produkcijas</w:t>
      </w:r>
      <w:r w:rsidR="00DA5EF2" w:rsidRPr="00446C16">
        <w:rPr>
          <w:rStyle w:val="st"/>
        </w:rPr>
        <w:t xml:space="preserve"> </w:t>
      </w:r>
      <w:r w:rsidRPr="00446C16">
        <w:rPr>
          <w:rStyle w:val="st"/>
        </w:rPr>
        <w:t xml:space="preserve">apjoms bija arī būvmateriālu izmaksu </w:t>
      </w:r>
      <w:r w:rsidR="00783454" w:rsidRPr="00446C16">
        <w:rPr>
          <w:rStyle w:val="st"/>
        </w:rPr>
        <w:t xml:space="preserve">izmaiņas </w:t>
      </w:r>
      <w:r w:rsidRPr="00446C16">
        <w:rPr>
          <w:rStyle w:val="st"/>
        </w:rPr>
        <w:t>būtiskākais ietekmējošais faktors Latvijā ar vidējo vērtējumu 7,93 (</w:t>
      </w:r>
      <w:r w:rsidR="00AE5D75" w:rsidRPr="00446C16">
        <w:rPr>
          <w:rStyle w:val="st"/>
        </w:rPr>
        <w:t>skatīt a</w:t>
      </w:r>
      <w:r w:rsidRPr="00446C16">
        <w:rPr>
          <w:rStyle w:val="st"/>
        </w:rPr>
        <w:t>ttēl</w:t>
      </w:r>
      <w:r w:rsidR="00AE5D75" w:rsidRPr="00446C16">
        <w:rPr>
          <w:rStyle w:val="st"/>
        </w:rPr>
        <w:t>u</w:t>
      </w:r>
      <w:r w:rsidRPr="00446C16">
        <w:rPr>
          <w:rStyle w:val="st"/>
        </w:rPr>
        <w:t xml:space="preserve"> Nr. </w:t>
      </w:r>
      <w:r w:rsidR="00312B9B" w:rsidRPr="00446C16">
        <w:rPr>
          <w:rStyle w:val="st"/>
        </w:rPr>
        <w:t>5</w:t>
      </w:r>
      <w:r w:rsidRPr="00446C16">
        <w:rPr>
          <w:rStyle w:val="st"/>
        </w:rPr>
        <w:t xml:space="preserve">.). Tomēr, lai arī darbaspēka izmaksu </w:t>
      </w:r>
      <w:r w:rsidR="00783454" w:rsidRPr="00446C16">
        <w:rPr>
          <w:rStyle w:val="st"/>
        </w:rPr>
        <w:t xml:space="preserve">izmaiņu </w:t>
      </w:r>
      <w:r w:rsidRPr="00446C16">
        <w:rPr>
          <w:rStyle w:val="st"/>
        </w:rPr>
        <w:t xml:space="preserve">gadījumā būvniecības </w:t>
      </w:r>
      <w:r w:rsidR="00DA5EF2" w:rsidRPr="00446C16">
        <w:rPr>
          <w:rFonts w:cstheme="minorHAnsi"/>
          <w:szCs w:val="22"/>
        </w:rPr>
        <w:t>produkcijas</w:t>
      </w:r>
      <w:r w:rsidR="00DA5EF2" w:rsidRPr="00446C16">
        <w:rPr>
          <w:rStyle w:val="st"/>
        </w:rPr>
        <w:t xml:space="preserve"> </w:t>
      </w:r>
      <w:r w:rsidRPr="00446C16">
        <w:rPr>
          <w:rStyle w:val="st"/>
        </w:rPr>
        <w:t xml:space="preserve">apjoms pārliecinoši ierindojas pirmajā vietā, būvmateriālu izmaksu </w:t>
      </w:r>
      <w:r w:rsidR="00783454" w:rsidRPr="00446C16">
        <w:rPr>
          <w:rStyle w:val="st"/>
        </w:rPr>
        <w:t xml:space="preserve">izmaiņu </w:t>
      </w:r>
      <w:r w:rsidRPr="00446C16">
        <w:rPr>
          <w:rStyle w:val="st"/>
        </w:rPr>
        <w:t xml:space="preserve">gadījumā ir iespējama variācija. </w:t>
      </w:r>
    </w:p>
    <w:p w14:paraId="41BF0D2D" w14:textId="220E1DDE" w:rsidR="00E86BE3" w:rsidRPr="00446C16" w:rsidRDefault="00E86BE3" w:rsidP="00E86BE3">
      <w:pPr>
        <w:jc w:val="center"/>
        <w:rPr>
          <w:b/>
          <w:sz w:val="20"/>
        </w:rPr>
      </w:pPr>
      <w:r w:rsidRPr="00446C16">
        <w:rPr>
          <w:b/>
          <w:sz w:val="20"/>
        </w:rPr>
        <w:t>Attēls Nr.</w:t>
      </w:r>
      <w:r w:rsidR="001A4AC1" w:rsidRPr="00446C16">
        <w:rPr>
          <w:b/>
          <w:sz w:val="20"/>
        </w:rPr>
        <w:t xml:space="preserve"> </w:t>
      </w:r>
      <w:r w:rsidR="00312B9B" w:rsidRPr="00446C16">
        <w:rPr>
          <w:b/>
          <w:sz w:val="20"/>
        </w:rPr>
        <w:t>5</w:t>
      </w:r>
      <w:r w:rsidRPr="00446C16">
        <w:rPr>
          <w:b/>
          <w:sz w:val="20"/>
        </w:rPr>
        <w:t>. Būvmateriālu izmaksu izmaiņas ietekmējošo faktoru būtiskums (10 ballu skalā) un ekspertu vērtējumu variācija (standartnovirze)</w:t>
      </w:r>
    </w:p>
    <w:p w14:paraId="5969565B" w14:textId="77777777" w:rsidR="00E86BE3" w:rsidRPr="00446C16" w:rsidRDefault="00E86BE3" w:rsidP="00E86BE3">
      <w:r w:rsidRPr="00446C16">
        <w:rPr>
          <w:noProof/>
          <w:lang w:val="en-US"/>
        </w:rPr>
        <w:drawing>
          <wp:inline distT="0" distB="0" distL="0" distR="0" wp14:anchorId="076D7E14" wp14:editId="0E8A7C0B">
            <wp:extent cx="5939790" cy="346773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39790" cy="3467735"/>
                    </a:xfrm>
                    <a:prstGeom prst="rect">
                      <a:avLst/>
                    </a:prstGeom>
                  </pic:spPr>
                </pic:pic>
              </a:graphicData>
            </a:graphic>
          </wp:inline>
        </w:drawing>
      </w:r>
    </w:p>
    <w:p w14:paraId="3922C730" w14:textId="129C8386" w:rsidR="00E86BE3" w:rsidRPr="00446C16" w:rsidRDefault="00E86BE3" w:rsidP="00E86BE3">
      <w:pPr>
        <w:jc w:val="center"/>
        <w:rPr>
          <w:sz w:val="20"/>
          <w:szCs w:val="18"/>
        </w:rPr>
      </w:pPr>
      <w:r w:rsidRPr="00446C16">
        <w:rPr>
          <w:sz w:val="20"/>
          <w:szCs w:val="18"/>
        </w:rPr>
        <w:t>Avots: Ekspertu intervijas</w:t>
      </w:r>
    </w:p>
    <w:p w14:paraId="607E50A2" w14:textId="3DB7CB80" w:rsidR="00AE5D75" w:rsidRPr="00446C16" w:rsidRDefault="00AE5D75" w:rsidP="00AE5D75">
      <w:pPr>
        <w:ind w:firstLine="851"/>
        <w:jc w:val="both"/>
        <w:rPr>
          <w:rStyle w:val="st"/>
        </w:rPr>
      </w:pPr>
      <w:r w:rsidRPr="00446C16">
        <w:rPr>
          <w:rStyle w:val="st"/>
        </w:rPr>
        <w:t>Aplūkojot izlases aritmētiskās vidējās standartkļūdas, tiek secināts, ka ES kopējais būvniecības tirgus pieprasījums varētu ierindoties pirmajā vietā kā būtiskākais būvmateriālu izmaks</w:t>
      </w:r>
      <w:r w:rsidR="003521D3" w:rsidRPr="00446C16">
        <w:rPr>
          <w:rStyle w:val="st"/>
        </w:rPr>
        <w:t>u izmaiņas</w:t>
      </w:r>
      <w:r w:rsidRPr="00446C16">
        <w:rPr>
          <w:rStyle w:val="st"/>
        </w:rPr>
        <w:t xml:space="preserve"> ietekmējošais faktors, ja tiktu palielināts novērojumu skaits, t.i. intervijās tiktu uzrunāti vairāk eksperti. Tāpat kā tika minēts iepriekš, analizējot darbaspēku izmaksu izmaiņas ietekmējošos faktorus, arī citu atsevišķu faktoru secība var atšķirties, taču droši var apgalvot, ka būtiskākie pieci faktori un mazāk būtiskie pieci faktori tādi arī ir.</w:t>
      </w:r>
    </w:p>
    <w:p w14:paraId="68E83376" w14:textId="77777777" w:rsidR="00AE5D75" w:rsidRPr="00446C16" w:rsidRDefault="00AE5D75" w:rsidP="00AE5D75">
      <w:pPr>
        <w:ind w:firstLine="851"/>
        <w:jc w:val="both"/>
        <w:rPr>
          <w:rStyle w:val="st"/>
        </w:rPr>
      </w:pPr>
      <w:r w:rsidRPr="00446C16">
        <w:rPr>
          <w:rStyle w:val="st"/>
        </w:rPr>
        <w:t>Pēc būvniecības apjoma, kā nākamie 5 būtiskākie faktori uzskatāmi sekojošie faktori:</w:t>
      </w:r>
    </w:p>
    <w:p w14:paraId="2F0B2330" w14:textId="34045F3F" w:rsidR="00AE5D75" w:rsidRPr="00446C16" w:rsidRDefault="00AE5D75" w:rsidP="00AE5D75">
      <w:pPr>
        <w:pStyle w:val="ListParagraph"/>
        <w:numPr>
          <w:ilvl w:val="0"/>
          <w:numId w:val="24"/>
        </w:numPr>
        <w:jc w:val="both"/>
        <w:rPr>
          <w:rStyle w:val="st"/>
        </w:rPr>
      </w:pPr>
      <w:r w:rsidRPr="00446C16">
        <w:rPr>
          <w:rStyle w:val="st"/>
        </w:rPr>
        <w:t>ES kopējais būvniecības tirgus pieprasījums;</w:t>
      </w:r>
    </w:p>
    <w:p w14:paraId="5951C2CD" w14:textId="26C6C915" w:rsidR="00AE5D75" w:rsidRPr="00446C16" w:rsidRDefault="00AE5D75" w:rsidP="00AE5D75">
      <w:pPr>
        <w:pStyle w:val="ListParagraph"/>
        <w:numPr>
          <w:ilvl w:val="0"/>
          <w:numId w:val="24"/>
        </w:numPr>
        <w:jc w:val="both"/>
        <w:rPr>
          <w:rStyle w:val="st"/>
        </w:rPr>
      </w:pPr>
      <w:r w:rsidRPr="00446C16">
        <w:rPr>
          <w:rStyle w:val="st"/>
        </w:rPr>
        <w:t>Par publiskiem līdzekļiem īstenoto būvniecības ieceru apjoms;</w:t>
      </w:r>
    </w:p>
    <w:p w14:paraId="30AB0E90" w14:textId="331D00A6" w:rsidR="00AE5D75" w:rsidRPr="00446C16" w:rsidRDefault="00AE5D75" w:rsidP="00AE5D75">
      <w:pPr>
        <w:pStyle w:val="ListParagraph"/>
        <w:numPr>
          <w:ilvl w:val="0"/>
          <w:numId w:val="24"/>
        </w:numPr>
        <w:jc w:val="both"/>
        <w:rPr>
          <w:rStyle w:val="st"/>
        </w:rPr>
      </w:pPr>
      <w:r w:rsidRPr="00446C16">
        <w:rPr>
          <w:rStyle w:val="st"/>
        </w:rPr>
        <w:t>Konkurences koncentrācijas rādītāji būvmateriālu tirgū valstī;</w:t>
      </w:r>
    </w:p>
    <w:p w14:paraId="2D5A66DB" w14:textId="7AAEA7DC" w:rsidR="00AE5D75" w:rsidRPr="00446C16" w:rsidRDefault="00AE5D75" w:rsidP="00AE5D75">
      <w:pPr>
        <w:pStyle w:val="ListParagraph"/>
        <w:numPr>
          <w:ilvl w:val="0"/>
          <w:numId w:val="24"/>
        </w:numPr>
        <w:jc w:val="both"/>
        <w:rPr>
          <w:rStyle w:val="st"/>
        </w:rPr>
      </w:pPr>
      <w:r w:rsidRPr="00446C16">
        <w:rPr>
          <w:rStyle w:val="st"/>
        </w:rPr>
        <w:t>Nekustamā īpašuma kreditēšanas apjomi valstī;</w:t>
      </w:r>
    </w:p>
    <w:p w14:paraId="0028B069" w14:textId="196A8EAC" w:rsidR="00AE5D75" w:rsidRPr="00446C16" w:rsidRDefault="00AE5D75" w:rsidP="00AE5D75">
      <w:pPr>
        <w:pStyle w:val="ListParagraph"/>
        <w:numPr>
          <w:ilvl w:val="0"/>
          <w:numId w:val="24"/>
        </w:numPr>
        <w:jc w:val="both"/>
        <w:rPr>
          <w:rStyle w:val="st"/>
        </w:rPr>
      </w:pPr>
      <w:r w:rsidRPr="00446C16">
        <w:rPr>
          <w:rStyle w:val="st"/>
        </w:rPr>
        <w:t>ES ēku būvniecības kvalitātes tehniskās prasības.</w:t>
      </w:r>
    </w:p>
    <w:p w14:paraId="6ACAEF87" w14:textId="4F06C7B7" w:rsidR="00E86BE3" w:rsidRPr="00446C16" w:rsidRDefault="00725BEA" w:rsidP="00FD6E1F">
      <w:pPr>
        <w:jc w:val="both"/>
        <w:rPr>
          <w:b/>
          <w:color w:val="002060"/>
        </w:rPr>
      </w:pPr>
      <w:r w:rsidRPr="00446C16">
        <w:rPr>
          <w:b/>
          <w:color w:val="002060"/>
        </w:rPr>
        <w:t xml:space="preserve">3.2.2. </w:t>
      </w:r>
      <w:r w:rsidR="00E86BE3" w:rsidRPr="00446C16">
        <w:rPr>
          <w:b/>
          <w:color w:val="002060"/>
        </w:rPr>
        <w:t>Ēnu ekonomikas apkarošanas pasākumu ietekme</w:t>
      </w:r>
      <w:r w:rsidRPr="00446C16">
        <w:rPr>
          <w:b/>
          <w:color w:val="002060"/>
        </w:rPr>
        <w:t xml:space="preserve"> uz būvmateriālu un darbaspēka izmaks</w:t>
      </w:r>
      <w:r w:rsidR="003521D3" w:rsidRPr="00446C16">
        <w:rPr>
          <w:b/>
          <w:color w:val="002060"/>
        </w:rPr>
        <w:t>u izmaiņām</w:t>
      </w:r>
    </w:p>
    <w:p w14:paraId="0653F35A" w14:textId="1F545A68" w:rsidR="00E86BE3" w:rsidRPr="00446C16" w:rsidRDefault="00E86BE3" w:rsidP="00E55546">
      <w:pPr>
        <w:ind w:firstLine="851"/>
        <w:jc w:val="both"/>
        <w:rPr>
          <w:rStyle w:val="st"/>
        </w:rPr>
      </w:pPr>
      <w:r w:rsidRPr="00446C16">
        <w:rPr>
          <w:rStyle w:val="st"/>
        </w:rPr>
        <w:t>Pēc ekspertu interviju pirmās un otrās kārtas tika apkopoti kopējie vidējie vērtējumi ēnu ekonomikas apkarošanas pasākumu ietekmei uz darbaspēka (</w:t>
      </w:r>
      <w:r w:rsidR="00AE5D75" w:rsidRPr="00446C16">
        <w:rPr>
          <w:rStyle w:val="st"/>
        </w:rPr>
        <w:t>skatīt a</w:t>
      </w:r>
      <w:r w:rsidRPr="00446C16">
        <w:rPr>
          <w:rStyle w:val="st"/>
        </w:rPr>
        <w:t>ttēl</w:t>
      </w:r>
      <w:r w:rsidR="00AE5D75" w:rsidRPr="00446C16">
        <w:rPr>
          <w:rStyle w:val="st"/>
        </w:rPr>
        <w:t>u</w:t>
      </w:r>
      <w:r w:rsidRPr="00446C16">
        <w:rPr>
          <w:rStyle w:val="st"/>
        </w:rPr>
        <w:t xml:space="preserve"> Nr. </w:t>
      </w:r>
      <w:r w:rsidR="00312B9B" w:rsidRPr="00446C16">
        <w:rPr>
          <w:rStyle w:val="st"/>
        </w:rPr>
        <w:t>6</w:t>
      </w:r>
      <w:r w:rsidRPr="00446C16">
        <w:rPr>
          <w:rStyle w:val="st"/>
        </w:rPr>
        <w:t>.) un būvmateriālu (</w:t>
      </w:r>
      <w:r w:rsidR="00AE5D75" w:rsidRPr="00446C16">
        <w:rPr>
          <w:rStyle w:val="st"/>
        </w:rPr>
        <w:t>skatīt a</w:t>
      </w:r>
      <w:r w:rsidRPr="00446C16">
        <w:rPr>
          <w:rStyle w:val="st"/>
        </w:rPr>
        <w:t>ttēl</w:t>
      </w:r>
      <w:r w:rsidR="00AE5D75" w:rsidRPr="00446C16">
        <w:rPr>
          <w:rStyle w:val="st"/>
        </w:rPr>
        <w:t>u</w:t>
      </w:r>
      <w:r w:rsidRPr="00446C16">
        <w:rPr>
          <w:rStyle w:val="st"/>
        </w:rPr>
        <w:t xml:space="preserve"> Nr. </w:t>
      </w:r>
      <w:r w:rsidR="00312B9B" w:rsidRPr="00446C16">
        <w:rPr>
          <w:rStyle w:val="st"/>
        </w:rPr>
        <w:t>7</w:t>
      </w:r>
      <w:r w:rsidRPr="00446C16">
        <w:rPr>
          <w:rStyle w:val="st"/>
        </w:rPr>
        <w:t>.) izmaks</w:t>
      </w:r>
      <w:r w:rsidR="003521D3" w:rsidRPr="00446C16">
        <w:rPr>
          <w:rStyle w:val="st"/>
        </w:rPr>
        <w:t>u izmaiņām</w:t>
      </w:r>
      <w:r w:rsidRPr="00446C16">
        <w:rPr>
          <w:rStyle w:val="st"/>
        </w:rPr>
        <w:t xml:space="preserve">. </w:t>
      </w:r>
      <w:bookmarkStart w:id="149" w:name="_Hlk13490196"/>
      <w:r w:rsidRPr="00446C16">
        <w:rPr>
          <w:rStyle w:val="st"/>
        </w:rPr>
        <w:t>Kopumā, visiem ēnu ekonomikas apkarošanas pasākumiem ir pozitīvs efekts uz darbaspēka un būvmateriālu izmaks</w:t>
      </w:r>
      <w:r w:rsidR="003521D3" w:rsidRPr="00446C16">
        <w:rPr>
          <w:rStyle w:val="st"/>
        </w:rPr>
        <w:t>u izmaiņām</w:t>
      </w:r>
      <w:r w:rsidRPr="00446C16">
        <w:rPr>
          <w:rStyle w:val="st"/>
        </w:rPr>
        <w:t>, t.i. pasākumu īstenošana palielina gan būvmateriālu, gan darbaspēka izmaks</w:t>
      </w:r>
      <w:r w:rsidR="003521D3" w:rsidRPr="00446C16">
        <w:rPr>
          <w:rStyle w:val="st"/>
        </w:rPr>
        <w:t>u izmaiņas</w:t>
      </w:r>
      <w:r w:rsidRPr="00446C16">
        <w:rPr>
          <w:rStyle w:val="st"/>
        </w:rPr>
        <w:t xml:space="preserve">. Tomēr šis efekts ir daudz izteiktāks ietekmei uz </w:t>
      </w:r>
      <w:r w:rsidRPr="00446C16">
        <w:rPr>
          <w:rStyle w:val="st"/>
        </w:rPr>
        <w:lastRenderedPageBreak/>
        <w:t>darbaspēka izmaks</w:t>
      </w:r>
      <w:r w:rsidR="003521D3" w:rsidRPr="00446C16">
        <w:rPr>
          <w:rStyle w:val="st"/>
        </w:rPr>
        <w:t>u izmaiņām</w:t>
      </w:r>
      <w:r w:rsidRPr="00446C16">
        <w:rPr>
          <w:rStyle w:val="st"/>
        </w:rPr>
        <w:t>, kur atsevišķu ēnu ekonomikas apkarošanas pasākumu ietekmes būtiskums atšķiras vairākkārtīgi.</w:t>
      </w:r>
      <w:bookmarkEnd w:id="149"/>
    </w:p>
    <w:p w14:paraId="5DAB66FC" w14:textId="25BDFD56" w:rsidR="00E86BE3" w:rsidRPr="00446C16" w:rsidRDefault="00E86BE3" w:rsidP="00895643">
      <w:pPr>
        <w:spacing w:before="100" w:after="200" w:line="276" w:lineRule="auto"/>
        <w:jc w:val="center"/>
        <w:rPr>
          <w:b/>
          <w:sz w:val="20"/>
        </w:rPr>
      </w:pPr>
      <w:r w:rsidRPr="00446C16">
        <w:rPr>
          <w:b/>
          <w:sz w:val="20"/>
        </w:rPr>
        <w:t xml:space="preserve">Attēls Nr. </w:t>
      </w:r>
      <w:r w:rsidR="00312B9B" w:rsidRPr="00446C16">
        <w:rPr>
          <w:b/>
          <w:sz w:val="20"/>
        </w:rPr>
        <w:t>6</w:t>
      </w:r>
      <w:r w:rsidRPr="00446C16">
        <w:rPr>
          <w:b/>
          <w:sz w:val="20"/>
        </w:rPr>
        <w:t>. Ēnu ekonomikas apkarošanas pasākumu ietekmes uz darbaspēka izmaks</w:t>
      </w:r>
      <w:r w:rsidR="003521D3" w:rsidRPr="00446C16">
        <w:rPr>
          <w:b/>
          <w:sz w:val="20"/>
        </w:rPr>
        <w:t>u izmaiņām</w:t>
      </w:r>
      <w:r w:rsidRPr="00446C16">
        <w:rPr>
          <w:b/>
          <w:sz w:val="20"/>
        </w:rPr>
        <w:t xml:space="preserve"> būtiskums (no -10 līdz 10 ballu skalā) un ekspertu vērtējumu variācija (standartnovirze)</w:t>
      </w:r>
    </w:p>
    <w:p w14:paraId="139AC098" w14:textId="77777777" w:rsidR="00E86BE3" w:rsidRPr="00446C16" w:rsidRDefault="00E86BE3" w:rsidP="00E86BE3">
      <w:pPr>
        <w:rPr>
          <w:sz w:val="20"/>
        </w:rPr>
      </w:pPr>
      <w:r w:rsidRPr="00446C16">
        <w:rPr>
          <w:noProof/>
          <w:lang w:val="en-US"/>
        </w:rPr>
        <w:drawing>
          <wp:inline distT="0" distB="0" distL="0" distR="0" wp14:anchorId="71C55D01" wp14:editId="3B8DD33E">
            <wp:extent cx="5939790" cy="3086735"/>
            <wp:effectExtent l="0" t="0" r="381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39790" cy="3086735"/>
                    </a:xfrm>
                    <a:prstGeom prst="rect">
                      <a:avLst/>
                    </a:prstGeom>
                  </pic:spPr>
                </pic:pic>
              </a:graphicData>
            </a:graphic>
          </wp:inline>
        </w:drawing>
      </w:r>
    </w:p>
    <w:p w14:paraId="32DB420A" w14:textId="04AC86EA" w:rsidR="00E86BE3" w:rsidRPr="00446C16" w:rsidRDefault="00E86BE3" w:rsidP="00E86BE3">
      <w:pPr>
        <w:jc w:val="center"/>
        <w:rPr>
          <w:sz w:val="20"/>
          <w:szCs w:val="18"/>
        </w:rPr>
      </w:pPr>
      <w:r w:rsidRPr="00446C16">
        <w:rPr>
          <w:sz w:val="20"/>
          <w:szCs w:val="18"/>
        </w:rPr>
        <w:t>Avots: Ekspertu intervijas</w:t>
      </w:r>
    </w:p>
    <w:p w14:paraId="208143AA" w14:textId="69C07B19" w:rsidR="00E86BE3" w:rsidRPr="00446C16" w:rsidRDefault="00E86BE3" w:rsidP="00E55546">
      <w:pPr>
        <w:ind w:firstLine="851"/>
        <w:jc w:val="both"/>
        <w:rPr>
          <w:rStyle w:val="st"/>
        </w:rPr>
      </w:pPr>
      <w:bookmarkStart w:id="150" w:name="_Hlk13490149"/>
      <w:r w:rsidRPr="00446C16">
        <w:rPr>
          <w:rStyle w:val="st"/>
        </w:rPr>
        <w:t>Darbaspēka izmaks</w:t>
      </w:r>
      <w:r w:rsidR="003521D3" w:rsidRPr="00446C16">
        <w:rPr>
          <w:rStyle w:val="st"/>
        </w:rPr>
        <w:t>u izmaiņas</w:t>
      </w:r>
      <w:r w:rsidRPr="00446C16">
        <w:rPr>
          <w:rStyle w:val="st"/>
        </w:rPr>
        <w:t xml:space="preserve"> visvairāk ietekmē divi ēnu ekonomikas apkarošanas pasākumi:</w:t>
      </w:r>
    </w:p>
    <w:p w14:paraId="1A0D95EB" w14:textId="1197BC66" w:rsidR="00E86BE3" w:rsidRPr="00446C16" w:rsidRDefault="00E86BE3" w:rsidP="00AE5D75">
      <w:pPr>
        <w:pStyle w:val="ListParagraph"/>
        <w:numPr>
          <w:ilvl w:val="0"/>
          <w:numId w:val="25"/>
        </w:numPr>
        <w:jc w:val="both"/>
        <w:rPr>
          <w:rStyle w:val="st"/>
        </w:rPr>
      </w:pPr>
      <w:r w:rsidRPr="00446C16">
        <w:rPr>
          <w:rStyle w:val="st"/>
        </w:rPr>
        <w:t>Elektroniskās darba laika uzskaites sistēmas pilna ieviešana, t.sk. datu nodošana VID</w:t>
      </w:r>
      <w:r w:rsidR="00AE5D75" w:rsidRPr="00446C16">
        <w:rPr>
          <w:rStyle w:val="st"/>
        </w:rPr>
        <w:t>;</w:t>
      </w:r>
    </w:p>
    <w:p w14:paraId="163D24F3" w14:textId="05233ECB" w:rsidR="00E86BE3" w:rsidRPr="00446C16" w:rsidRDefault="00E86BE3" w:rsidP="00AE5D75">
      <w:pPr>
        <w:pStyle w:val="ListParagraph"/>
        <w:numPr>
          <w:ilvl w:val="0"/>
          <w:numId w:val="25"/>
        </w:numPr>
        <w:jc w:val="both"/>
        <w:rPr>
          <w:rStyle w:val="st"/>
        </w:rPr>
      </w:pPr>
      <w:r w:rsidRPr="00446C16">
        <w:rPr>
          <w:rStyle w:val="st"/>
        </w:rPr>
        <w:t>Minimālā atalgojuma līmeņa noteikšana būvniecības nozarē, izmantojot ģenerālvienošanos</w:t>
      </w:r>
      <w:r w:rsidR="00AE5D75" w:rsidRPr="00446C16">
        <w:rPr>
          <w:rStyle w:val="st"/>
        </w:rPr>
        <w:t>.</w:t>
      </w:r>
    </w:p>
    <w:bookmarkEnd w:id="150"/>
    <w:p w14:paraId="42BF4A2E" w14:textId="52998DA9" w:rsidR="00E86BE3" w:rsidRPr="00446C16" w:rsidRDefault="00E86BE3" w:rsidP="00E55546">
      <w:pPr>
        <w:ind w:firstLine="851"/>
        <w:jc w:val="both"/>
        <w:rPr>
          <w:rStyle w:val="st"/>
        </w:rPr>
      </w:pPr>
      <w:r w:rsidRPr="00446C16">
        <w:rPr>
          <w:rStyle w:val="st"/>
        </w:rPr>
        <w:t>Šiem pasākumiem, kā arī nākošajiem diviem pasākumiem, kuru ietekmes būtiskums ir ievērojami zemāks, vairākums ekspertu devuši pozitīvu vērtējumu, taču, lai arī to vidējais vērtējums ir pozitīvs, pēdējo piecu ēnu ekonomikas apkarošanas pasākumu ietekmi uz darbaspēka izmaks</w:t>
      </w:r>
      <w:r w:rsidR="003521D3" w:rsidRPr="00446C16">
        <w:rPr>
          <w:rStyle w:val="st"/>
        </w:rPr>
        <w:t>u izmaiņām</w:t>
      </w:r>
      <w:r w:rsidRPr="00446C16">
        <w:rPr>
          <w:rStyle w:val="st"/>
        </w:rPr>
        <w:t xml:space="preserve"> atsevišķi eksperti vērtējuši negatīvi, t.i. pasākuma īstenošana samazina darbaspēka izmaks</w:t>
      </w:r>
      <w:r w:rsidR="003521D3" w:rsidRPr="00446C16">
        <w:rPr>
          <w:rStyle w:val="st"/>
        </w:rPr>
        <w:t>u izmaiņas</w:t>
      </w:r>
      <w:r w:rsidRPr="00446C16">
        <w:rPr>
          <w:rStyle w:val="st"/>
        </w:rPr>
        <w:t>.</w:t>
      </w:r>
    </w:p>
    <w:p w14:paraId="45ACCF02" w14:textId="77777777" w:rsidR="00B34894" w:rsidRPr="00446C16" w:rsidRDefault="00B34894">
      <w:pPr>
        <w:spacing w:before="100" w:after="200" w:line="276" w:lineRule="auto"/>
        <w:rPr>
          <w:b/>
          <w:sz w:val="20"/>
        </w:rPr>
      </w:pPr>
      <w:r w:rsidRPr="00446C16">
        <w:rPr>
          <w:b/>
          <w:sz w:val="20"/>
        </w:rPr>
        <w:br w:type="page"/>
      </w:r>
    </w:p>
    <w:p w14:paraId="44091E79" w14:textId="0C42695F" w:rsidR="00E86BE3" w:rsidRPr="00446C16" w:rsidRDefault="00E86BE3" w:rsidP="00E86BE3">
      <w:pPr>
        <w:jc w:val="center"/>
        <w:rPr>
          <w:b/>
          <w:sz w:val="18"/>
          <w:szCs w:val="18"/>
        </w:rPr>
      </w:pPr>
      <w:r w:rsidRPr="00446C16">
        <w:rPr>
          <w:b/>
          <w:sz w:val="20"/>
        </w:rPr>
        <w:lastRenderedPageBreak/>
        <w:t>Attēls Nr.</w:t>
      </w:r>
      <w:r w:rsidR="001A4AC1" w:rsidRPr="00446C16">
        <w:rPr>
          <w:b/>
          <w:sz w:val="20"/>
        </w:rPr>
        <w:t xml:space="preserve"> </w:t>
      </w:r>
      <w:r w:rsidR="00312B9B" w:rsidRPr="00446C16">
        <w:rPr>
          <w:b/>
          <w:sz w:val="20"/>
        </w:rPr>
        <w:t>7</w:t>
      </w:r>
      <w:r w:rsidRPr="00446C16">
        <w:rPr>
          <w:b/>
          <w:sz w:val="20"/>
        </w:rPr>
        <w:t xml:space="preserve">. Ēnu ekonomikas apkarošanas pasākumu ietekmes uz </w:t>
      </w:r>
      <w:r w:rsidRPr="00446C16">
        <w:rPr>
          <w:rFonts w:cs="Arial"/>
          <w:b/>
          <w:color w:val="222222"/>
          <w:sz w:val="20"/>
        </w:rPr>
        <w:t>būvmateriālu</w:t>
      </w:r>
      <w:r w:rsidRPr="00446C16">
        <w:rPr>
          <w:b/>
          <w:sz w:val="20"/>
        </w:rPr>
        <w:t xml:space="preserve"> izmaks</w:t>
      </w:r>
      <w:r w:rsidR="003521D3" w:rsidRPr="00446C16">
        <w:rPr>
          <w:b/>
          <w:sz w:val="20"/>
        </w:rPr>
        <w:t>u izmaiņām</w:t>
      </w:r>
      <w:r w:rsidRPr="00446C16">
        <w:rPr>
          <w:b/>
          <w:sz w:val="20"/>
        </w:rPr>
        <w:t xml:space="preserve"> būtiskums (no -10 līdz 10 ballu skalā) un ekspertu vērtējumu variācija (standartnovirze)</w:t>
      </w:r>
    </w:p>
    <w:p w14:paraId="2CE2D68F" w14:textId="77777777" w:rsidR="00E86BE3" w:rsidRPr="00446C16" w:rsidRDefault="00E86BE3" w:rsidP="00E86BE3">
      <w:pPr>
        <w:jc w:val="center"/>
        <w:rPr>
          <w:sz w:val="20"/>
        </w:rPr>
      </w:pPr>
      <w:r w:rsidRPr="00446C16">
        <w:rPr>
          <w:noProof/>
          <w:lang w:val="en-US"/>
        </w:rPr>
        <w:drawing>
          <wp:inline distT="0" distB="0" distL="0" distR="0" wp14:anchorId="4AEDD04F" wp14:editId="205D37EC">
            <wp:extent cx="5939790" cy="3086735"/>
            <wp:effectExtent l="0" t="0" r="3810"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39790" cy="3086735"/>
                    </a:xfrm>
                    <a:prstGeom prst="rect">
                      <a:avLst/>
                    </a:prstGeom>
                  </pic:spPr>
                </pic:pic>
              </a:graphicData>
            </a:graphic>
          </wp:inline>
        </w:drawing>
      </w:r>
    </w:p>
    <w:p w14:paraId="154DF42F" w14:textId="6AD1100A" w:rsidR="00E86BE3" w:rsidRPr="00446C16" w:rsidRDefault="00E86BE3" w:rsidP="00E86BE3">
      <w:pPr>
        <w:jc w:val="center"/>
        <w:rPr>
          <w:sz w:val="20"/>
          <w:szCs w:val="18"/>
        </w:rPr>
      </w:pPr>
      <w:r w:rsidRPr="00446C16">
        <w:rPr>
          <w:sz w:val="20"/>
          <w:szCs w:val="18"/>
        </w:rPr>
        <w:t>Avots: Ekspertu intervijas</w:t>
      </w:r>
    </w:p>
    <w:p w14:paraId="521D8EB6" w14:textId="46AF6AF6" w:rsidR="00725BEA" w:rsidRPr="00446C16" w:rsidRDefault="00E86BE3" w:rsidP="00E55546">
      <w:pPr>
        <w:ind w:firstLine="851"/>
        <w:jc w:val="both"/>
      </w:pPr>
      <w:bookmarkStart w:id="151" w:name="_Hlk13490242"/>
      <w:r w:rsidRPr="00446C16">
        <w:t>Pretēji ēnu ekonomikas apkarošanas pasākumu ietekmei uz darbaspēka izmaks</w:t>
      </w:r>
      <w:r w:rsidR="003521D3" w:rsidRPr="00446C16">
        <w:t>u izmaiņām</w:t>
      </w:r>
      <w:r w:rsidRPr="00446C16">
        <w:t xml:space="preserve">, būvmateriālu izmaksu </w:t>
      </w:r>
      <w:r w:rsidR="00783454" w:rsidRPr="00446C16">
        <w:t xml:space="preserve">izmaiņu </w:t>
      </w:r>
      <w:r w:rsidRPr="00446C16">
        <w:t>gadījumā kādu konkrētu viennozīmīgi būtiskāko faktoru noteikt nav iespējams vērtējumu līdzīgo vidējo vērtību dēļ. Kā arī pasākumu ietekmes uz būvmateriālu izmaks</w:t>
      </w:r>
      <w:r w:rsidR="003521D3" w:rsidRPr="00446C16">
        <w:t>u izmaiņām</w:t>
      </w:r>
      <w:r w:rsidRPr="00446C16">
        <w:t xml:space="preserve"> vērtēšanā ir novērojama lielāka ekspertu viedokļu dažādība, t.i. vairāk</w:t>
      </w:r>
      <w:r w:rsidR="002B4DAC" w:rsidRPr="00446C16">
        <w:t>i</w:t>
      </w:r>
      <w:r w:rsidRPr="00446C16">
        <w:t xml:space="preserve"> ekspert</w:t>
      </w:r>
      <w:r w:rsidR="002B4DAC" w:rsidRPr="00446C16">
        <w:t>i</w:t>
      </w:r>
      <w:r w:rsidRPr="00446C16">
        <w:t xml:space="preserve"> vērtē pasākumu ietekmi kā negatīvu, lai arī vidējie vērtējumi ir pozitīvi</w:t>
      </w:r>
      <w:bookmarkEnd w:id="151"/>
      <w:r w:rsidRPr="00446C16">
        <w:t>.</w:t>
      </w:r>
    </w:p>
    <w:p w14:paraId="1E6881F1" w14:textId="42726290" w:rsidR="00725BEA" w:rsidRPr="00446C16" w:rsidRDefault="00725BEA" w:rsidP="00725BEA">
      <w:pPr>
        <w:pStyle w:val="Heading2"/>
      </w:pPr>
      <w:bookmarkStart w:id="152" w:name="_Toc23163504"/>
      <w:r w:rsidRPr="00446C16">
        <w:t xml:space="preserve">Apkopojums būvniecības resursu </w:t>
      </w:r>
      <w:r w:rsidR="00894441" w:rsidRPr="00446C16">
        <w:t xml:space="preserve">izmaksu </w:t>
      </w:r>
      <w:r w:rsidRPr="00446C16">
        <w:t>izmaiņu prognozēm</w:t>
      </w:r>
      <w:bookmarkEnd w:id="152"/>
    </w:p>
    <w:p w14:paraId="2A4DB8AB" w14:textId="5E8A65F4" w:rsidR="00725BEA" w:rsidRPr="00446C16" w:rsidRDefault="00725BEA" w:rsidP="00725BEA">
      <w:pPr>
        <w:ind w:firstLine="851"/>
        <w:jc w:val="both"/>
        <w:rPr>
          <w:szCs w:val="22"/>
        </w:rPr>
      </w:pPr>
      <w:r w:rsidRPr="00446C16">
        <w:rPr>
          <w:szCs w:val="22"/>
        </w:rPr>
        <w:t>2018</w:t>
      </w:r>
      <w:r w:rsidR="00100D75" w:rsidRPr="00446C16">
        <w:rPr>
          <w:szCs w:val="22"/>
        </w:rPr>
        <w:t>. gad</w:t>
      </w:r>
      <w:r w:rsidRPr="00446C16">
        <w:rPr>
          <w:szCs w:val="22"/>
        </w:rPr>
        <w:t xml:space="preserve">ā bija vērojams būvniecības izmaksu </w:t>
      </w:r>
      <w:r w:rsidR="007E6482" w:rsidRPr="00446C16">
        <w:rPr>
          <w:rStyle w:val="st"/>
        </w:rPr>
        <w:t>izmaiņu</w:t>
      </w:r>
      <w:r w:rsidR="007E6482" w:rsidRPr="00446C16">
        <w:rPr>
          <w:szCs w:val="22"/>
        </w:rPr>
        <w:t xml:space="preserve"> </w:t>
      </w:r>
      <w:r w:rsidRPr="00446C16">
        <w:rPr>
          <w:szCs w:val="22"/>
        </w:rPr>
        <w:t>pieaugums visos resursu veidos, un izstrādātās prognozes liecina, ka tas turpināsies arī 2019. un 2020</w:t>
      </w:r>
      <w:r w:rsidR="00100D75" w:rsidRPr="00446C16">
        <w:rPr>
          <w:szCs w:val="22"/>
        </w:rPr>
        <w:t>. gad</w:t>
      </w:r>
      <w:r w:rsidRPr="00446C16">
        <w:rPr>
          <w:szCs w:val="22"/>
        </w:rPr>
        <w:t xml:space="preserve">ā (skatīt attēlu Nr. </w:t>
      </w:r>
      <w:r w:rsidR="00312B9B" w:rsidRPr="00446C16">
        <w:rPr>
          <w:szCs w:val="22"/>
        </w:rPr>
        <w:t>8</w:t>
      </w:r>
      <w:r w:rsidRPr="00446C16">
        <w:rPr>
          <w:szCs w:val="22"/>
        </w:rPr>
        <w:t>). No 2021</w:t>
      </w:r>
      <w:r w:rsidR="00100D75" w:rsidRPr="00446C16">
        <w:rPr>
          <w:szCs w:val="22"/>
        </w:rPr>
        <w:t>. gad</w:t>
      </w:r>
      <w:r w:rsidRPr="00446C16">
        <w:rPr>
          <w:szCs w:val="22"/>
        </w:rPr>
        <w:t>a paredzams, ka būvmateriālu un mašīnu un mehānismu uzturēšanas izmaks</w:t>
      </w:r>
      <w:r w:rsidR="003521D3" w:rsidRPr="00446C16">
        <w:rPr>
          <w:szCs w:val="22"/>
        </w:rPr>
        <w:t>u izmaiņas</w:t>
      </w:r>
      <w:r w:rsidRPr="00446C16">
        <w:rPr>
          <w:szCs w:val="22"/>
        </w:rPr>
        <w:t xml:space="preserve"> nostabilizēsies līmenī zem 8%, salīdzinot ar 2018</w:t>
      </w:r>
      <w:r w:rsidR="00100D75" w:rsidRPr="00446C16">
        <w:rPr>
          <w:szCs w:val="22"/>
        </w:rPr>
        <w:t>. gad</w:t>
      </w:r>
      <w:r w:rsidRPr="00446C16">
        <w:rPr>
          <w:szCs w:val="22"/>
        </w:rPr>
        <w:t>u. Arhitektūras un inženiertehnisk</w:t>
      </w:r>
      <w:r w:rsidR="005F771D" w:rsidRPr="00446C16">
        <w:rPr>
          <w:szCs w:val="22"/>
        </w:rPr>
        <w:t>o</w:t>
      </w:r>
      <w:r w:rsidRPr="00446C16">
        <w:rPr>
          <w:szCs w:val="22"/>
        </w:rPr>
        <w:t xml:space="preserve"> pakalpojumu izmaks</w:t>
      </w:r>
      <w:r w:rsidR="003521D3" w:rsidRPr="00446C16">
        <w:rPr>
          <w:szCs w:val="22"/>
        </w:rPr>
        <w:t>u izmaiņas</w:t>
      </w:r>
      <w:r w:rsidRPr="00446C16">
        <w:rPr>
          <w:szCs w:val="22"/>
        </w:rPr>
        <w:t xml:space="preserve"> turpinās kumulatīvi pieaugt līdz 15,18% 2023</w:t>
      </w:r>
      <w:r w:rsidR="00100D75" w:rsidRPr="00446C16">
        <w:rPr>
          <w:szCs w:val="22"/>
        </w:rPr>
        <w:t>. gad</w:t>
      </w:r>
      <w:r w:rsidRPr="00446C16">
        <w:rPr>
          <w:szCs w:val="22"/>
        </w:rPr>
        <w:t>ā, salīdzinot ar 2018</w:t>
      </w:r>
      <w:r w:rsidR="00100D75" w:rsidRPr="00446C16">
        <w:rPr>
          <w:szCs w:val="22"/>
        </w:rPr>
        <w:t>. gad</w:t>
      </w:r>
      <w:r w:rsidRPr="00446C16">
        <w:rPr>
          <w:szCs w:val="22"/>
        </w:rPr>
        <w:t>u. Savukārt strādnieku darba samaksai prognozēts stabils pastāvīgs kāpums, sasniedzot 20,39% 2023</w:t>
      </w:r>
      <w:r w:rsidR="00100D75" w:rsidRPr="00446C16">
        <w:rPr>
          <w:szCs w:val="22"/>
        </w:rPr>
        <w:t>. gad</w:t>
      </w:r>
      <w:r w:rsidRPr="00446C16">
        <w:rPr>
          <w:szCs w:val="22"/>
        </w:rPr>
        <w:t>ā, salīdzinot ar 2018</w:t>
      </w:r>
      <w:r w:rsidR="00100D75" w:rsidRPr="00446C16">
        <w:rPr>
          <w:szCs w:val="22"/>
        </w:rPr>
        <w:t>. gad</w:t>
      </w:r>
      <w:r w:rsidRPr="00446C16">
        <w:rPr>
          <w:szCs w:val="22"/>
        </w:rPr>
        <w:t xml:space="preserve">a līmeni. </w:t>
      </w:r>
    </w:p>
    <w:p w14:paraId="3A9BC656" w14:textId="1567BF95" w:rsidR="0071000E" w:rsidRPr="00446C16" w:rsidRDefault="0071000E" w:rsidP="0071000E">
      <w:pPr>
        <w:ind w:firstLine="851"/>
        <w:jc w:val="both"/>
      </w:pPr>
      <w:r w:rsidRPr="00446C16">
        <w:t xml:space="preserve">Atsevišķo trīs avotu datiem, līdzīgi, kā būvniecības izmaksu izmaiņām kopumā, raksturīgi, ka nozares ekspertu vērtējumi kopumā uzrāda lielāku izmaksu </w:t>
      </w:r>
      <w:r w:rsidRPr="00446C16">
        <w:rPr>
          <w:rStyle w:val="st"/>
        </w:rPr>
        <w:t>izmaiņu</w:t>
      </w:r>
      <w:r w:rsidRPr="00446C16">
        <w:t xml:space="preserve"> pieaugumu, nekā statistisko datu trends un izmaksu-apjoma elastības modelis. Ņemot vērā ekspertu viedokļu salīdzinoši lielās variācijas, iemesls tam var būt saasinātā uztvere pret atsevišķām izmaksu izmaiņu pozīcijām, kas pēdējā laikā sadārdzinājušās visvairāk. Taču, ņemot vērā tirgus attīstību un modifikācijas pēdējo gadu laikā, nevar arī apgalvot, ka statistisko datu trends un izmaksu-apjoma vēsturiskās likumsakarības uzrādītu precīzāku prognozi. Tādēļ visos resursu veidos kā kombinētā prognoze izvēlēta metodoloģijā izvēlētais aritmētiskais vidējais no visu trīs prognožu avotu datiem (skatīt tabulu Nr. 6).</w:t>
      </w:r>
    </w:p>
    <w:p w14:paraId="256F51A4" w14:textId="0514AF35" w:rsidR="0071000E" w:rsidRPr="00446C16" w:rsidRDefault="0071000E" w:rsidP="00725BEA">
      <w:pPr>
        <w:ind w:firstLine="851"/>
        <w:jc w:val="both"/>
        <w:rPr>
          <w:szCs w:val="22"/>
        </w:rPr>
      </w:pPr>
    </w:p>
    <w:p w14:paraId="05922F31" w14:textId="54292159" w:rsidR="0071000E" w:rsidRPr="00446C16" w:rsidRDefault="0071000E" w:rsidP="00725BEA">
      <w:pPr>
        <w:ind w:firstLine="851"/>
        <w:jc w:val="both"/>
        <w:rPr>
          <w:szCs w:val="22"/>
        </w:rPr>
      </w:pPr>
    </w:p>
    <w:p w14:paraId="48F1362A" w14:textId="68B7B323" w:rsidR="0071000E" w:rsidRPr="00446C16" w:rsidRDefault="0071000E" w:rsidP="00725BEA">
      <w:pPr>
        <w:ind w:firstLine="851"/>
        <w:jc w:val="both"/>
        <w:rPr>
          <w:szCs w:val="22"/>
        </w:rPr>
      </w:pPr>
    </w:p>
    <w:p w14:paraId="6A60234C" w14:textId="77777777" w:rsidR="0071000E" w:rsidRPr="00446C16" w:rsidRDefault="0071000E" w:rsidP="00725BEA">
      <w:pPr>
        <w:ind w:firstLine="851"/>
        <w:jc w:val="both"/>
        <w:rPr>
          <w:szCs w:val="22"/>
        </w:rPr>
      </w:pPr>
    </w:p>
    <w:p w14:paraId="02B241DB" w14:textId="4155DE22" w:rsidR="00725BEA" w:rsidRPr="00446C16" w:rsidRDefault="00725BEA" w:rsidP="00725BEA">
      <w:pPr>
        <w:jc w:val="center"/>
        <w:rPr>
          <w:b/>
          <w:sz w:val="20"/>
        </w:rPr>
      </w:pPr>
      <w:r w:rsidRPr="00446C16">
        <w:rPr>
          <w:b/>
          <w:sz w:val="20"/>
        </w:rPr>
        <w:lastRenderedPageBreak/>
        <w:t xml:space="preserve">Attēls Nr. </w:t>
      </w:r>
      <w:r w:rsidR="00312B9B" w:rsidRPr="00446C16">
        <w:rPr>
          <w:b/>
          <w:sz w:val="20"/>
        </w:rPr>
        <w:t>8</w:t>
      </w:r>
      <w:r w:rsidRPr="00446C16">
        <w:rPr>
          <w:b/>
          <w:sz w:val="20"/>
        </w:rPr>
        <w:t>. Būvniecības izmaksu izmaiņas līdz 2018</w:t>
      </w:r>
      <w:r w:rsidR="00100D75" w:rsidRPr="00446C16">
        <w:rPr>
          <w:b/>
          <w:sz w:val="20"/>
        </w:rPr>
        <w:t>. gad</w:t>
      </w:r>
      <w:r w:rsidRPr="00446C16">
        <w:rPr>
          <w:b/>
          <w:sz w:val="20"/>
        </w:rPr>
        <w:t>am un prognozes pa resursu veidiem no 2019. līdz 2023. gadam, kumulatīvās izmaiņas pret 2018. gadu, %</w:t>
      </w:r>
    </w:p>
    <w:p w14:paraId="0B9517D9" w14:textId="77777777" w:rsidR="00725BEA" w:rsidRPr="00446C16" w:rsidRDefault="00725BEA" w:rsidP="00725BEA">
      <w:pPr>
        <w:jc w:val="center"/>
        <w:rPr>
          <w:bCs/>
          <w:sz w:val="20"/>
        </w:rPr>
      </w:pPr>
      <w:r w:rsidRPr="00446C16">
        <w:rPr>
          <w:bCs/>
          <w:noProof/>
          <w:sz w:val="20"/>
          <w:lang w:val="en-US"/>
        </w:rPr>
        <w:drawing>
          <wp:inline distT="0" distB="0" distL="0" distR="0" wp14:anchorId="6782985B" wp14:editId="181BC3D0">
            <wp:extent cx="5512194" cy="3600000"/>
            <wp:effectExtent l="0" t="0" r="0" b="635"/>
            <wp:docPr id="2" name="Picture 100667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12194" cy="3600000"/>
                    </a:xfrm>
                    <a:prstGeom prst="rect">
                      <a:avLst/>
                    </a:prstGeom>
                    <a:noFill/>
                  </pic:spPr>
                </pic:pic>
              </a:graphicData>
            </a:graphic>
          </wp:inline>
        </w:drawing>
      </w:r>
    </w:p>
    <w:p w14:paraId="71C09688" w14:textId="6213CC1D" w:rsidR="00725BEA" w:rsidRPr="00446C16" w:rsidRDefault="00725BEA" w:rsidP="00725BEA">
      <w:pPr>
        <w:jc w:val="center"/>
        <w:rPr>
          <w:sz w:val="20"/>
        </w:rPr>
      </w:pPr>
      <w:r w:rsidRPr="00446C16">
        <w:rPr>
          <w:sz w:val="20"/>
        </w:rPr>
        <w:t>Avots: CSP - vēsturiskie dati līdz 2018. gadam (ieskaitot) un autoru veikti aprēķini, balstoties uz ekspertu vērtējumiem, statistisko datu trendu un elastības modelēšanu  - prognoze 2019.-2023. gad</w:t>
      </w:r>
      <w:r w:rsidR="00435DAC" w:rsidRPr="00446C16">
        <w:rPr>
          <w:sz w:val="20"/>
        </w:rPr>
        <w:t>iem</w:t>
      </w:r>
    </w:p>
    <w:p w14:paraId="5895ABBB" w14:textId="2C8A5844" w:rsidR="00894441" w:rsidRPr="00446C16" w:rsidRDefault="00894441" w:rsidP="00894441">
      <w:pPr>
        <w:jc w:val="center"/>
        <w:rPr>
          <w:b/>
          <w:bCs/>
          <w:sz w:val="20"/>
        </w:rPr>
      </w:pPr>
      <w:r w:rsidRPr="00446C16">
        <w:rPr>
          <w:b/>
          <w:bCs/>
          <w:sz w:val="20"/>
        </w:rPr>
        <w:t xml:space="preserve">Tabula </w:t>
      </w:r>
      <w:r w:rsidR="00312B9B" w:rsidRPr="00446C16">
        <w:rPr>
          <w:b/>
          <w:bCs/>
          <w:sz w:val="20"/>
        </w:rPr>
        <w:t>Nr</w:t>
      </w:r>
      <w:r w:rsidRPr="00446C16">
        <w:rPr>
          <w:b/>
          <w:bCs/>
          <w:sz w:val="20"/>
        </w:rPr>
        <w:t>.</w:t>
      </w:r>
      <w:r w:rsidR="00312B9B" w:rsidRPr="00446C16">
        <w:rPr>
          <w:b/>
          <w:bCs/>
          <w:sz w:val="20"/>
        </w:rPr>
        <w:t xml:space="preserve"> </w:t>
      </w:r>
      <w:r w:rsidR="00E76FAA" w:rsidRPr="00446C16">
        <w:rPr>
          <w:b/>
          <w:bCs/>
          <w:sz w:val="20"/>
        </w:rPr>
        <w:t>6</w:t>
      </w:r>
      <w:r w:rsidR="00312B9B" w:rsidRPr="00446C16">
        <w:rPr>
          <w:b/>
          <w:bCs/>
          <w:sz w:val="20"/>
        </w:rPr>
        <w:t>.</w:t>
      </w:r>
      <w:r w:rsidRPr="00446C16">
        <w:rPr>
          <w:b/>
          <w:bCs/>
          <w:sz w:val="20"/>
        </w:rPr>
        <w:t xml:space="preserve"> Kombinētā prognoze –</w:t>
      </w:r>
      <w:r w:rsidRPr="00446C16">
        <w:rPr>
          <w:b/>
          <w:bCs/>
        </w:rPr>
        <w:t xml:space="preserve"> </w:t>
      </w:r>
      <w:r w:rsidRPr="00446C16">
        <w:rPr>
          <w:b/>
          <w:bCs/>
          <w:sz w:val="20"/>
        </w:rPr>
        <w:t>būvniecības izmaksu izmaiņas pret iepriekšējo gadu, %</w:t>
      </w:r>
    </w:p>
    <w:tbl>
      <w:tblPr>
        <w:tblStyle w:val="PlainTable1"/>
        <w:tblW w:w="8964" w:type="dxa"/>
        <w:jc w:val="center"/>
        <w:tblLook w:val="04A0" w:firstRow="1" w:lastRow="0" w:firstColumn="1" w:lastColumn="0" w:noHBand="0" w:noVBand="1"/>
      </w:tblPr>
      <w:tblGrid>
        <w:gridCol w:w="2468"/>
        <w:gridCol w:w="1300"/>
        <w:gridCol w:w="1299"/>
        <w:gridCol w:w="1299"/>
        <w:gridCol w:w="1299"/>
        <w:gridCol w:w="1299"/>
      </w:tblGrid>
      <w:tr w:rsidR="00894441" w:rsidRPr="00446C16" w14:paraId="1AE968A7" w14:textId="77777777" w:rsidTr="000C2E2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1F3864"/>
            <w:vAlign w:val="center"/>
          </w:tcPr>
          <w:p w14:paraId="00EA07FE" w14:textId="77777777" w:rsidR="00894441" w:rsidRPr="00446C16" w:rsidRDefault="00894441" w:rsidP="000C2E28">
            <w:pPr>
              <w:spacing w:before="0" w:after="0"/>
              <w:jc w:val="center"/>
              <w:rPr>
                <w:rFonts w:eastAsia="Times New Roman" w:cstheme="minorHAnsi"/>
                <w:b w:val="0"/>
                <w:bCs w:val="0"/>
                <w:color w:val="FFFFFF" w:themeColor="background1"/>
                <w:sz w:val="18"/>
                <w:szCs w:val="16"/>
                <w:lang w:eastAsia="en-GB"/>
              </w:rPr>
            </w:pPr>
            <w:r w:rsidRPr="00446C16">
              <w:rPr>
                <w:rFonts w:ascii="Calibri" w:hAnsi="Calibri" w:cs="Calibri"/>
                <w:color w:val="FFFFFF" w:themeColor="background1"/>
                <w:sz w:val="18"/>
                <w:szCs w:val="16"/>
              </w:rPr>
              <w:t>Gads</w:t>
            </w:r>
          </w:p>
        </w:tc>
        <w:tc>
          <w:tcPr>
            <w:tcW w:w="0" w:type="dxa"/>
            <w:shd w:val="clear" w:color="auto" w:fill="1F3864"/>
            <w:vAlign w:val="center"/>
          </w:tcPr>
          <w:p w14:paraId="2D4153B2" w14:textId="77777777" w:rsidR="00894441" w:rsidRPr="00446C16" w:rsidRDefault="00894441" w:rsidP="000C2E2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2019</w:t>
            </w:r>
          </w:p>
        </w:tc>
        <w:tc>
          <w:tcPr>
            <w:tcW w:w="0" w:type="dxa"/>
            <w:shd w:val="clear" w:color="auto" w:fill="1F3864"/>
            <w:vAlign w:val="center"/>
          </w:tcPr>
          <w:p w14:paraId="3E34A4E3" w14:textId="77777777" w:rsidR="00894441" w:rsidRPr="00446C16" w:rsidRDefault="00894441" w:rsidP="000C2E2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2020</w:t>
            </w:r>
          </w:p>
        </w:tc>
        <w:tc>
          <w:tcPr>
            <w:tcW w:w="0" w:type="dxa"/>
            <w:shd w:val="clear" w:color="auto" w:fill="1F3864"/>
            <w:vAlign w:val="center"/>
          </w:tcPr>
          <w:p w14:paraId="04A679EA" w14:textId="77777777" w:rsidR="00894441" w:rsidRPr="00446C16" w:rsidRDefault="00894441" w:rsidP="000C2E2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2021</w:t>
            </w:r>
          </w:p>
        </w:tc>
        <w:tc>
          <w:tcPr>
            <w:tcW w:w="0" w:type="dxa"/>
            <w:shd w:val="clear" w:color="auto" w:fill="1F3864"/>
            <w:vAlign w:val="center"/>
          </w:tcPr>
          <w:p w14:paraId="019FAEEC" w14:textId="77777777" w:rsidR="00894441" w:rsidRPr="00446C16" w:rsidRDefault="00894441" w:rsidP="000C2E2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2022</w:t>
            </w:r>
          </w:p>
        </w:tc>
        <w:tc>
          <w:tcPr>
            <w:tcW w:w="0" w:type="dxa"/>
            <w:shd w:val="clear" w:color="auto" w:fill="1F3864"/>
            <w:vAlign w:val="center"/>
          </w:tcPr>
          <w:p w14:paraId="66064DF4" w14:textId="77777777" w:rsidR="00894441" w:rsidRPr="00446C16" w:rsidRDefault="00894441" w:rsidP="000C2E28">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8"/>
                <w:szCs w:val="16"/>
                <w:lang w:eastAsia="en-GB"/>
              </w:rPr>
            </w:pPr>
            <w:r w:rsidRPr="00446C16">
              <w:rPr>
                <w:rFonts w:ascii="Calibri" w:hAnsi="Calibri" w:cs="Calibri"/>
                <w:color w:val="FFFFFF" w:themeColor="background1"/>
                <w:sz w:val="18"/>
                <w:szCs w:val="16"/>
              </w:rPr>
              <w:t>2023</w:t>
            </w:r>
          </w:p>
        </w:tc>
      </w:tr>
      <w:tr w:rsidR="00894441" w:rsidRPr="00446C16" w14:paraId="4FE8BEE5" w14:textId="77777777" w:rsidTr="000C2E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68" w:type="dxa"/>
            <w:vAlign w:val="center"/>
          </w:tcPr>
          <w:p w14:paraId="076099E6" w14:textId="5268F97A" w:rsidR="00894441" w:rsidRPr="00446C16" w:rsidRDefault="00894441" w:rsidP="000C2E28">
            <w:pPr>
              <w:spacing w:before="0" w:after="0"/>
              <w:rPr>
                <w:rFonts w:eastAsia="Times New Roman" w:cstheme="minorHAnsi"/>
                <w:b w:val="0"/>
                <w:bCs w:val="0"/>
                <w:color w:val="000000"/>
                <w:sz w:val="18"/>
                <w:szCs w:val="16"/>
                <w:lang w:eastAsia="en-GB"/>
              </w:rPr>
            </w:pPr>
            <w:r w:rsidRPr="00446C16">
              <w:rPr>
                <w:rFonts w:ascii="Calibri" w:hAnsi="Calibri" w:cs="Calibri"/>
                <w:color w:val="000000"/>
                <w:sz w:val="18"/>
                <w:szCs w:val="16"/>
              </w:rPr>
              <w:t>Būvniecības izmaksu izmaiņas pret iepriekšējo gadu, %</w:t>
            </w:r>
          </w:p>
        </w:tc>
        <w:tc>
          <w:tcPr>
            <w:tcW w:w="1300" w:type="dxa"/>
            <w:noWrap/>
            <w:vAlign w:val="center"/>
          </w:tcPr>
          <w:p w14:paraId="1FFCCE1F" w14:textId="77777777" w:rsidR="00894441" w:rsidRPr="00446C16" w:rsidRDefault="00894441" w:rsidP="000C2E2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GB"/>
              </w:rPr>
            </w:pPr>
            <w:r w:rsidRPr="00446C16">
              <w:rPr>
                <w:sz w:val="18"/>
                <w:szCs w:val="18"/>
              </w:rPr>
              <w:t>4,9</w:t>
            </w:r>
          </w:p>
        </w:tc>
        <w:tc>
          <w:tcPr>
            <w:tcW w:w="1299" w:type="dxa"/>
            <w:vAlign w:val="center"/>
          </w:tcPr>
          <w:p w14:paraId="407C2C44" w14:textId="77777777" w:rsidR="00894441" w:rsidRPr="00446C16" w:rsidRDefault="00894441" w:rsidP="000C2E2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GB"/>
              </w:rPr>
            </w:pPr>
            <w:r w:rsidRPr="00446C16">
              <w:rPr>
                <w:sz w:val="18"/>
                <w:szCs w:val="18"/>
              </w:rPr>
              <w:t>4,4</w:t>
            </w:r>
          </w:p>
        </w:tc>
        <w:tc>
          <w:tcPr>
            <w:tcW w:w="1299" w:type="dxa"/>
            <w:noWrap/>
            <w:vAlign w:val="center"/>
          </w:tcPr>
          <w:p w14:paraId="76BAFE99" w14:textId="77777777" w:rsidR="00894441" w:rsidRPr="00446C16" w:rsidRDefault="00894441" w:rsidP="000C2E2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GB"/>
              </w:rPr>
            </w:pPr>
            <w:r w:rsidRPr="00446C16">
              <w:rPr>
                <w:sz w:val="18"/>
                <w:szCs w:val="18"/>
              </w:rPr>
              <w:t>1,5</w:t>
            </w:r>
          </w:p>
        </w:tc>
        <w:tc>
          <w:tcPr>
            <w:tcW w:w="1299" w:type="dxa"/>
            <w:noWrap/>
            <w:vAlign w:val="center"/>
          </w:tcPr>
          <w:p w14:paraId="7EC621DF" w14:textId="77777777" w:rsidR="00894441" w:rsidRPr="00446C16" w:rsidRDefault="00894441" w:rsidP="000C2E2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GB"/>
              </w:rPr>
            </w:pPr>
            <w:r w:rsidRPr="00446C16">
              <w:rPr>
                <w:sz w:val="18"/>
                <w:szCs w:val="18"/>
              </w:rPr>
              <w:t>-1,1</w:t>
            </w:r>
          </w:p>
        </w:tc>
        <w:tc>
          <w:tcPr>
            <w:tcW w:w="1299" w:type="dxa"/>
            <w:noWrap/>
            <w:vAlign w:val="center"/>
          </w:tcPr>
          <w:p w14:paraId="120E769A" w14:textId="77777777" w:rsidR="00894441" w:rsidRPr="00446C16" w:rsidRDefault="00894441" w:rsidP="000C2E28">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n-GB"/>
              </w:rPr>
            </w:pPr>
            <w:r w:rsidRPr="00446C16">
              <w:rPr>
                <w:sz w:val="18"/>
                <w:szCs w:val="18"/>
              </w:rPr>
              <w:t>0,7</w:t>
            </w:r>
          </w:p>
        </w:tc>
      </w:tr>
    </w:tbl>
    <w:p w14:paraId="4C8DAECF" w14:textId="2EF045F0" w:rsidR="00894441" w:rsidRPr="00446C16" w:rsidRDefault="00894441" w:rsidP="00895643">
      <w:pPr>
        <w:ind w:firstLine="851"/>
        <w:jc w:val="center"/>
      </w:pPr>
      <w:r w:rsidRPr="00446C16">
        <w:rPr>
          <w:sz w:val="20"/>
        </w:rPr>
        <w:t>Avots: autoru aprēķini, balstoties uz ekspertu vērtējumiem, statistisko datu trendu un elastības modelēšanu</w:t>
      </w:r>
    </w:p>
    <w:p w14:paraId="4F006EA2" w14:textId="126D8C1E" w:rsidR="00725BEA" w:rsidRPr="00446C16" w:rsidRDefault="00725BEA" w:rsidP="00725BEA">
      <w:pPr>
        <w:ind w:firstLine="851"/>
        <w:jc w:val="both"/>
      </w:pPr>
      <w:r w:rsidRPr="00446C16">
        <w:t>Kopējā tendence būvniecības izmaks</w:t>
      </w:r>
      <w:r w:rsidR="003521D3" w:rsidRPr="00446C16">
        <w:t>u izmaiņām</w:t>
      </w:r>
      <w:r w:rsidRPr="00446C16">
        <w:t xml:space="preserve"> griezumā pa resursu veidiem </w:t>
      </w:r>
      <w:r w:rsidR="0019306B" w:rsidRPr="00446C16">
        <w:t xml:space="preserve">- </w:t>
      </w:r>
      <w:r w:rsidRPr="00446C16">
        <w:t>ir stabils pieaugums cilvēkresursu izmaks</w:t>
      </w:r>
      <w:r w:rsidR="003521D3" w:rsidRPr="00446C16">
        <w:t>u izmaiņām</w:t>
      </w:r>
      <w:r w:rsidRPr="00446C16">
        <w:t>, savukārt, ar izejmateriāliem un iekārtām saistītām izmaks</w:t>
      </w:r>
      <w:r w:rsidR="0019306B" w:rsidRPr="00446C16">
        <w:t>u izmaiņām</w:t>
      </w:r>
      <w:r w:rsidRPr="00446C16">
        <w:t xml:space="preserve"> paredzama lielāka elastība, atkarībā no būvniecības produkcijas apjoma izmaiņām – pēc 2020</w:t>
      </w:r>
      <w:r w:rsidR="00100D75" w:rsidRPr="00446C16">
        <w:t>. gad</w:t>
      </w:r>
      <w:r w:rsidRPr="00446C16">
        <w:t>a prognozētās izmaks</w:t>
      </w:r>
      <w:r w:rsidR="007E6482" w:rsidRPr="00446C16">
        <w:t xml:space="preserve">u </w:t>
      </w:r>
      <w:r w:rsidR="007E6482" w:rsidRPr="00446C16">
        <w:rPr>
          <w:rStyle w:val="st"/>
        </w:rPr>
        <w:t>izmaiņas</w:t>
      </w:r>
      <w:r w:rsidRPr="00446C16">
        <w:t xml:space="preserve"> svārstīsies ap nulli. </w:t>
      </w:r>
    </w:p>
    <w:p w14:paraId="5EA127D9" w14:textId="1DA89F00" w:rsidR="00725BEA" w:rsidRPr="00446C16" w:rsidRDefault="00725BEA" w:rsidP="00725BEA">
      <w:pPr>
        <w:ind w:firstLine="851"/>
        <w:jc w:val="both"/>
      </w:pPr>
      <w:r w:rsidRPr="00446C16">
        <w:t>Taču jāņem vērā, ka faktiskās būvniecības izmaks</w:t>
      </w:r>
      <w:r w:rsidR="0019306B" w:rsidRPr="00446C16">
        <w:t>u izmaiņas</w:t>
      </w:r>
      <w:r w:rsidRPr="00446C16">
        <w:t xml:space="preserve"> pa resursu veidiem būtiski var ietekmēt specifiskie pieprasījuma un piedāvājuma risinājumu faktori un paredzams, ka tas var būt vairāk attiecināms uz darbaspēka un būvmateriālu izmaks</w:t>
      </w:r>
      <w:r w:rsidR="0019306B" w:rsidRPr="00446C16">
        <w:t>u izmaiņām</w:t>
      </w:r>
      <w:r w:rsidRPr="00446C16">
        <w:t xml:space="preserve">. Ekspertu vērtējumi par ēnu ekonomikas apkarošanas pasākumu ietekmi uzrāda, ka lielāka ietekme paredzama uz darbaspēka izmaksu </w:t>
      </w:r>
      <w:r w:rsidR="007E6482" w:rsidRPr="00446C16">
        <w:rPr>
          <w:rStyle w:val="st"/>
        </w:rPr>
        <w:t>izmaiņu</w:t>
      </w:r>
      <w:r w:rsidR="007E6482" w:rsidRPr="00446C16">
        <w:t xml:space="preserve"> </w:t>
      </w:r>
      <w:r w:rsidRPr="00446C16">
        <w:t xml:space="preserve">pieaugumu. Tas nozīmē, ka darbaspēka izmaksu </w:t>
      </w:r>
      <w:r w:rsidR="007E6482" w:rsidRPr="00446C16">
        <w:rPr>
          <w:rStyle w:val="st"/>
        </w:rPr>
        <w:t>izmaiņu</w:t>
      </w:r>
      <w:r w:rsidR="007E6482" w:rsidRPr="00446C16">
        <w:t xml:space="preserve"> </w:t>
      </w:r>
      <w:r w:rsidRPr="00446C16">
        <w:t>pieauguma apmērs un dinamika atkarīga arī no ēnu ekonomikas apkarošanas pasākumu ieviešanas efektivitātes.</w:t>
      </w:r>
    </w:p>
    <w:p w14:paraId="2D4BD7E7" w14:textId="51A67383" w:rsidR="0071000E" w:rsidRPr="00446C16" w:rsidRDefault="0071000E" w:rsidP="00725BEA">
      <w:pPr>
        <w:ind w:firstLine="851"/>
        <w:jc w:val="both"/>
      </w:pPr>
    </w:p>
    <w:p w14:paraId="79AA4413" w14:textId="77777777" w:rsidR="0071000E" w:rsidRPr="00446C16" w:rsidRDefault="0071000E" w:rsidP="00725BEA">
      <w:pPr>
        <w:ind w:firstLine="851"/>
        <w:jc w:val="both"/>
      </w:pPr>
    </w:p>
    <w:p w14:paraId="29EDAF3D" w14:textId="77777777" w:rsidR="00725BEA" w:rsidRPr="00446C16" w:rsidRDefault="00725BEA" w:rsidP="00E55546">
      <w:pPr>
        <w:ind w:firstLine="851"/>
        <w:jc w:val="both"/>
      </w:pPr>
    </w:p>
    <w:p w14:paraId="6346BA0B" w14:textId="7797C406" w:rsidR="00E00757" w:rsidRDefault="00E00757">
      <w:pPr>
        <w:spacing w:before="100" w:after="200" w:line="276" w:lineRule="auto"/>
        <w:rPr>
          <w:rFonts w:cs="Arial"/>
          <w:color w:val="222222"/>
        </w:rPr>
      </w:pPr>
      <w:r>
        <w:rPr>
          <w:rFonts w:cs="Arial"/>
          <w:color w:val="222222"/>
        </w:rPr>
        <w:br w:type="page"/>
      </w:r>
    </w:p>
    <w:p w14:paraId="14481152" w14:textId="77777777" w:rsidR="00515FED" w:rsidRPr="00446C16" w:rsidRDefault="00515FED" w:rsidP="00E55546">
      <w:pPr>
        <w:ind w:firstLine="851"/>
        <w:jc w:val="both"/>
        <w:rPr>
          <w:rFonts w:cs="Arial"/>
          <w:color w:val="222222"/>
        </w:rPr>
      </w:pPr>
    </w:p>
    <w:p w14:paraId="4AAC70D5" w14:textId="412014EA" w:rsidR="00515FED" w:rsidRPr="00446C16" w:rsidRDefault="00515FED" w:rsidP="00515FED">
      <w:pPr>
        <w:pStyle w:val="Heading1"/>
        <w:numPr>
          <w:ilvl w:val="0"/>
          <w:numId w:val="5"/>
        </w:numPr>
        <w:ind w:left="0" w:firstLine="0"/>
        <w:jc w:val="both"/>
        <w:rPr>
          <w:caps w:val="0"/>
          <w:sz w:val="30"/>
          <w:szCs w:val="30"/>
        </w:rPr>
      </w:pPr>
      <w:bookmarkStart w:id="153" w:name="_Toc23163505"/>
      <w:r w:rsidRPr="00446C16">
        <w:rPr>
          <w:caps w:val="0"/>
          <w:sz w:val="30"/>
          <w:szCs w:val="30"/>
        </w:rPr>
        <w:t xml:space="preserve">BŪVNIECĪBAS PRODUKCIJAS </w:t>
      </w:r>
      <w:r w:rsidR="005E33CA" w:rsidRPr="00446C16">
        <w:rPr>
          <w:caps w:val="0"/>
          <w:sz w:val="30"/>
          <w:szCs w:val="30"/>
        </w:rPr>
        <w:t xml:space="preserve">APJOMA </w:t>
      </w:r>
      <w:r w:rsidRPr="00446C16">
        <w:rPr>
          <w:caps w:val="0"/>
          <w:sz w:val="30"/>
          <w:szCs w:val="30"/>
        </w:rPr>
        <w:t>UN RESURSU IZMAKSU</w:t>
      </w:r>
      <w:r w:rsidR="00783454" w:rsidRPr="00446C16">
        <w:rPr>
          <w:caps w:val="0"/>
          <w:sz w:val="30"/>
          <w:szCs w:val="30"/>
        </w:rPr>
        <w:t xml:space="preserve"> IZMAIŅU</w:t>
      </w:r>
      <w:r w:rsidRPr="00446C16">
        <w:rPr>
          <w:caps w:val="0"/>
          <w:sz w:val="30"/>
          <w:szCs w:val="30"/>
        </w:rPr>
        <w:t xml:space="preserve"> PROGNOZES PA BŪVNIECĪBAS APAKŠNOZARĒM</w:t>
      </w:r>
      <w:bookmarkEnd w:id="153"/>
    </w:p>
    <w:p w14:paraId="749E101A" w14:textId="77777777" w:rsidR="00364CA7" w:rsidRPr="00446C16" w:rsidRDefault="00364CA7" w:rsidP="00364CA7">
      <w:pPr>
        <w:pStyle w:val="Heading2"/>
      </w:pPr>
      <w:bookmarkStart w:id="154" w:name="_Toc13492559"/>
      <w:bookmarkStart w:id="155" w:name="_Toc13574599"/>
      <w:bookmarkStart w:id="156" w:name="_Toc13576386"/>
      <w:bookmarkStart w:id="157" w:name="_Toc13580139"/>
      <w:bookmarkStart w:id="158" w:name="_Toc13673321"/>
      <w:bookmarkStart w:id="159" w:name="_Toc13673637"/>
      <w:bookmarkStart w:id="160" w:name="_Toc13492560"/>
      <w:bookmarkStart w:id="161" w:name="_Toc13574600"/>
      <w:bookmarkStart w:id="162" w:name="_Toc13576387"/>
      <w:bookmarkStart w:id="163" w:name="_Toc13580140"/>
      <w:bookmarkStart w:id="164" w:name="_Toc13673322"/>
      <w:bookmarkStart w:id="165" w:name="_Toc13673638"/>
      <w:bookmarkStart w:id="166" w:name="_Toc13492561"/>
      <w:bookmarkStart w:id="167" w:name="_Toc13574601"/>
      <w:bookmarkStart w:id="168" w:name="_Toc13576388"/>
      <w:bookmarkStart w:id="169" w:name="_Toc13580141"/>
      <w:bookmarkStart w:id="170" w:name="_Toc13673323"/>
      <w:bookmarkStart w:id="171" w:name="_Toc13673639"/>
      <w:bookmarkStart w:id="172" w:name="_Toc13492562"/>
      <w:bookmarkStart w:id="173" w:name="_Toc13574602"/>
      <w:bookmarkStart w:id="174" w:name="_Toc13576389"/>
      <w:bookmarkStart w:id="175" w:name="_Toc13580142"/>
      <w:bookmarkStart w:id="176" w:name="_Toc13673324"/>
      <w:bookmarkStart w:id="177" w:name="_Toc13673640"/>
      <w:bookmarkStart w:id="178" w:name="_Toc13492563"/>
      <w:bookmarkStart w:id="179" w:name="_Toc13574603"/>
      <w:bookmarkStart w:id="180" w:name="_Toc13576390"/>
      <w:bookmarkStart w:id="181" w:name="_Toc13580143"/>
      <w:bookmarkStart w:id="182" w:name="_Toc13673325"/>
      <w:bookmarkStart w:id="183" w:name="_Toc13673641"/>
      <w:bookmarkStart w:id="184" w:name="_Toc13492564"/>
      <w:bookmarkStart w:id="185" w:name="_Toc13574604"/>
      <w:bookmarkStart w:id="186" w:name="_Toc13576391"/>
      <w:bookmarkStart w:id="187" w:name="_Toc13580144"/>
      <w:bookmarkStart w:id="188" w:name="_Toc13673326"/>
      <w:bookmarkStart w:id="189" w:name="_Toc13673642"/>
      <w:bookmarkStart w:id="190" w:name="_Toc13492565"/>
      <w:bookmarkStart w:id="191" w:name="_Toc13574605"/>
      <w:bookmarkStart w:id="192" w:name="_Toc13576392"/>
      <w:bookmarkStart w:id="193" w:name="_Toc13580145"/>
      <w:bookmarkStart w:id="194" w:name="_Toc13673327"/>
      <w:bookmarkStart w:id="195" w:name="_Toc13673643"/>
      <w:bookmarkStart w:id="196" w:name="_Toc13492566"/>
      <w:bookmarkStart w:id="197" w:name="_Toc13574606"/>
      <w:bookmarkStart w:id="198" w:name="_Toc13576393"/>
      <w:bookmarkStart w:id="199" w:name="_Toc13580146"/>
      <w:bookmarkStart w:id="200" w:name="_Toc13673328"/>
      <w:bookmarkStart w:id="201" w:name="_Toc13673644"/>
      <w:bookmarkStart w:id="202" w:name="_Toc13492567"/>
      <w:bookmarkStart w:id="203" w:name="_Toc13574607"/>
      <w:bookmarkStart w:id="204" w:name="_Toc13576394"/>
      <w:bookmarkStart w:id="205" w:name="_Toc13580147"/>
      <w:bookmarkStart w:id="206" w:name="_Toc13673329"/>
      <w:bookmarkStart w:id="207" w:name="_Toc13673645"/>
      <w:bookmarkStart w:id="208" w:name="_Toc13492568"/>
      <w:bookmarkStart w:id="209" w:name="_Toc13574608"/>
      <w:bookmarkStart w:id="210" w:name="_Toc13576395"/>
      <w:bookmarkStart w:id="211" w:name="_Toc13580148"/>
      <w:bookmarkStart w:id="212" w:name="_Toc13673330"/>
      <w:bookmarkStart w:id="213" w:name="_Toc13673646"/>
      <w:bookmarkStart w:id="214" w:name="_Toc13492569"/>
      <w:bookmarkStart w:id="215" w:name="_Toc13574609"/>
      <w:bookmarkStart w:id="216" w:name="_Toc13576396"/>
      <w:bookmarkStart w:id="217" w:name="_Toc13580149"/>
      <w:bookmarkStart w:id="218" w:name="_Toc13673331"/>
      <w:bookmarkStart w:id="219" w:name="_Toc13673647"/>
      <w:bookmarkStart w:id="220" w:name="_Toc13492570"/>
      <w:bookmarkStart w:id="221" w:name="_Toc13574610"/>
      <w:bookmarkStart w:id="222" w:name="_Toc13576397"/>
      <w:bookmarkStart w:id="223" w:name="_Toc13580150"/>
      <w:bookmarkStart w:id="224" w:name="_Toc13673332"/>
      <w:bookmarkStart w:id="225" w:name="_Toc13673648"/>
      <w:bookmarkStart w:id="226" w:name="_Toc13492571"/>
      <w:bookmarkStart w:id="227" w:name="_Toc13574611"/>
      <w:bookmarkStart w:id="228" w:name="_Toc13576398"/>
      <w:bookmarkStart w:id="229" w:name="_Toc13580151"/>
      <w:bookmarkStart w:id="230" w:name="_Toc13673333"/>
      <w:bookmarkStart w:id="231" w:name="_Toc13673649"/>
      <w:bookmarkStart w:id="232" w:name="_Toc13492572"/>
      <w:bookmarkStart w:id="233" w:name="_Toc13574612"/>
      <w:bookmarkStart w:id="234" w:name="_Toc13576399"/>
      <w:bookmarkStart w:id="235" w:name="_Toc13580152"/>
      <w:bookmarkStart w:id="236" w:name="_Toc13673334"/>
      <w:bookmarkStart w:id="237" w:name="_Toc13673650"/>
      <w:bookmarkStart w:id="238" w:name="_Toc13492573"/>
      <w:bookmarkStart w:id="239" w:name="_Toc13574613"/>
      <w:bookmarkStart w:id="240" w:name="_Toc13576400"/>
      <w:bookmarkStart w:id="241" w:name="_Toc13580153"/>
      <w:bookmarkStart w:id="242" w:name="_Toc13673335"/>
      <w:bookmarkStart w:id="243" w:name="_Toc13673651"/>
      <w:bookmarkStart w:id="244" w:name="_Toc13492574"/>
      <w:bookmarkStart w:id="245" w:name="_Toc13574614"/>
      <w:bookmarkStart w:id="246" w:name="_Toc13576401"/>
      <w:bookmarkStart w:id="247" w:name="_Toc13580154"/>
      <w:bookmarkStart w:id="248" w:name="_Toc13673336"/>
      <w:bookmarkStart w:id="249" w:name="_Toc13673652"/>
      <w:bookmarkStart w:id="250" w:name="_Toc13492575"/>
      <w:bookmarkStart w:id="251" w:name="_Toc13574615"/>
      <w:bookmarkStart w:id="252" w:name="_Toc13576402"/>
      <w:bookmarkStart w:id="253" w:name="_Toc13580155"/>
      <w:bookmarkStart w:id="254" w:name="_Toc13673337"/>
      <w:bookmarkStart w:id="255" w:name="_Toc13673653"/>
      <w:bookmarkStart w:id="256" w:name="_Toc13492576"/>
      <w:bookmarkStart w:id="257" w:name="_Toc13574616"/>
      <w:bookmarkStart w:id="258" w:name="_Toc13576403"/>
      <w:bookmarkStart w:id="259" w:name="_Toc13580156"/>
      <w:bookmarkStart w:id="260" w:name="_Toc13673338"/>
      <w:bookmarkStart w:id="261" w:name="_Toc13673654"/>
      <w:bookmarkStart w:id="262" w:name="_Toc13492577"/>
      <w:bookmarkStart w:id="263" w:name="_Toc13574617"/>
      <w:bookmarkStart w:id="264" w:name="_Toc13576404"/>
      <w:bookmarkStart w:id="265" w:name="_Toc13580157"/>
      <w:bookmarkStart w:id="266" w:name="_Toc13673339"/>
      <w:bookmarkStart w:id="267" w:name="_Toc13673655"/>
      <w:bookmarkStart w:id="268" w:name="_Toc13492578"/>
      <w:bookmarkStart w:id="269" w:name="_Toc13574618"/>
      <w:bookmarkStart w:id="270" w:name="_Toc13576405"/>
      <w:bookmarkStart w:id="271" w:name="_Toc13580158"/>
      <w:bookmarkStart w:id="272" w:name="_Toc13673340"/>
      <w:bookmarkStart w:id="273" w:name="_Toc13673656"/>
      <w:bookmarkStart w:id="274" w:name="_Toc13492579"/>
      <w:bookmarkStart w:id="275" w:name="_Toc13574619"/>
      <w:bookmarkStart w:id="276" w:name="_Toc13576406"/>
      <w:bookmarkStart w:id="277" w:name="_Toc13580159"/>
      <w:bookmarkStart w:id="278" w:name="_Toc13673341"/>
      <w:bookmarkStart w:id="279" w:name="_Toc13673657"/>
      <w:bookmarkStart w:id="280" w:name="_Toc13492580"/>
      <w:bookmarkStart w:id="281" w:name="_Toc13574620"/>
      <w:bookmarkStart w:id="282" w:name="_Toc13576407"/>
      <w:bookmarkStart w:id="283" w:name="_Toc13580160"/>
      <w:bookmarkStart w:id="284" w:name="_Toc13673342"/>
      <w:bookmarkStart w:id="285" w:name="_Toc13673658"/>
      <w:bookmarkStart w:id="286" w:name="_Toc13492581"/>
      <w:bookmarkStart w:id="287" w:name="_Toc13574621"/>
      <w:bookmarkStart w:id="288" w:name="_Toc13576408"/>
      <w:bookmarkStart w:id="289" w:name="_Toc13580161"/>
      <w:bookmarkStart w:id="290" w:name="_Toc13673343"/>
      <w:bookmarkStart w:id="291" w:name="_Toc13673659"/>
      <w:bookmarkStart w:id="292" w:name="_Toc13492582"/>
      <w:bookmarkStart w:id="293" w:name="_Toc13574622"/>
      <w:bookmarkStart w:id="294" w:name="_Toc13576409"/>
      <w:bookmarkStart w:id="295" w:name="_Toc13580162"/>
      <w:bookmarkStart w:id="296" w:name="_Toc13673344"/>
      <w:bookmarkStart w:id="297" w:name="_Toc13673660"/>
      <w:bookmarkStart w:id="298" w:name="_Toc13492583"/>
      <w:bookmarkStart w:id="299" w:name="_Toc13574623"/>
      <w:bookmarkStart w:id="300" w:name="_Toc13576410"/>
      <w:bookmarkStart w:id="301" w:name="_Toc13580163"/>
      <w:bookmarkStart w:id="302" w:name="_Toc13673345"/>
      <w:bookmarkStart w:id="303" w:name="_Toc13673661"/>
      <w:bookmarkStart w:id="304" w:name="_Toc13492584"/>
      <w:bookmarkStart w:id="305" w:name="_Toc13574624"/>
      <w:bookmarkStart w:id="306" w:name="_Toc13576411"/>
      <w:bookmarkStart w:id="307" w:name="_Toc13580164"/>
      <w:bookmarkStart w:id="308" w:name="_Toc13673346"/>
      <w:bookmarkStart w:id="309" w:name="_Toc13673662"/>
      <w:bookmarkStart w:id="310" w:name="_Toc13492585"/>
      <w:bookmarkStart w:id="311" w:name="_Toc13574625"/>
      <w:bookmarkStart w:id="312" w:name="_Toc13576412"/>
      <w:bookmarkStart w:id="313" w:name="_Toc13580165"/>
      <w:bookmarkStart w:id="314" w:name="_Toc13673347"/>
      <w:bookmarkStart w:id="315" w:name="_Toc13673663"/>
      <w:bookmarkStart w:id="316" w:name="_Toc13492586"/>
      <w:bookmarkStart w:id="317" w:name="_Toc13574626"/>
      <w:bookmarkStart w:id="318" w:name="_Toc13576413"/>
      <w:bookmarkStart w:id="319" w:name="_Toc13580166"/>
      <w:bookmarkStart w:id="320" w:name="_Toc13673348"/>
      <w:bookmarkStart w:id="321" w:name="_Toc13673664"/>
      <w:bookmarkStart w:id="322" w:name="_Toc13492587"/>
      <w:bookmarkStart w:id="323" w:name="_Toc13574627"/>
      <w:bookmarkStart w:id="324" w:name="_Toc13576414"/>
      <w:bookmarkStart w:id="325" w:name="_Toc13580167"/>
      <w:bookmarkStart w:id="326" w:name="_Toc13673349"/>
      <w:bookmarkStart w:id="327" w:name="_Toc13673665"/>
      <w:bookmarkStart w:id="328" w:name="_Toc13492588"/>
      <w:bookmarkStart w:id="329" w:name="_Toc13574628"/>
      <w:bookmarkStart w:id="330" w:name="_Toc13576415"/>
      <w:bookmarkStart w:id="331" w:name="_Toc13580168"/>
      <w:bookmarkStart w:id="332" w:name="_Toc13673350"/>
      <w:bookmarkStart w:id="333" w:name="_Toc13673666"/>
      <w:bookmarkStart w:id="334" w:name="_Toc13492589"/>
      <w:bookmarkStart w:id="335" w:name="_Toc13574629"/>
      <w:bookmarkStart w:id="336" w:name="_Toc13576416"/>
      <w:bookmarkStart w:id="337" w:name="_Toc13580169"/>
      <w:bookmarkStart w:id="338" w:name="_Toc13673351"/>
      <w:bookmarkStart w:id="339" w:name="_Toc13673667"/>
      <w:bookmarkStart w:id="340" w:name="_Toc13492590"/>
      <w:bookmarkStart w:id="341" w:name="_Toc13574630"/>
      <w:bookmarkStart w:id="342" w:name="_Toc13576417"/>
      <w:bookmarkStart w:id="343" w:name="_Toc13580170"/>
      <w:bookmarkStart w:id="344" w:name="_Toc13673352"/>
      <w:bookmarkStart w:id="345" w:name="_Toc13673668"/>
      <w:bookmarkStart w:id="346" w:name="_Toc13492591"/>
      <w:bookmarkStart w:id="347" w:name="_Toc13574631"/>
      <w:bookmarkStart w:id="348" w:name="_Toc13576418"/>
      <w:bookmarkStart w:id="349" w:name="_Toc13580171"/>
      <w:bookmarkStart w:id="350" w:name="_Toc13673353"/>
      <w:bookmarkStart w:id="351" w:name="_Toc13673669"/>
      <w:bookmarkStart w:id="352" w:name="_Toc13492592"/>
      <w:bookmarkStart w:id="353" w:name="_Toc13574632"/>
      <w:bookmarkStart w:id="354" w:name="_Toc13576419"/>
      <w:bookmarkStart w:id="355" w:name="_Toc13580172"/>
      <w:bookmarkStart w:id="356" w:name="_Toc13673354"/>
      <w:bookmarkStart w:id="357" w:name="_Toc13673670"/>
      <w:bookmarkStart w:id="358" w:name="_Toc13492593"/>
      <w:bookmarkStart w:id="359" w:name="_Toc13574633"/>
      <w:bookmarkStart w:id="360" w:name="_Toc13576420"/>
      <w:bookmarkStart w:id="361" w:name="_Toc13580173"/>
      <w:bookmarkStart w:id="362" w:name="_Toc13673355"/>
      <w:bookmarkStart w:id="363" w:name="_Toc13673671"/>
      <w:bookmarkStart w:id="364" w:name="_Toc13492594"/>
      <w:bookmarkStart w:id="365" w:name="_Toc13574634"/>
      <w:bookmarkStart w:id="366" w:name="_Toc13576421"/>
      <w:bookmarkStart w:id="367" w:name="_Toc13580174"/>
      <w:bookmarkStart w:id="368" w:name="_Toc13673356"/>
      <w:bookmarkStart w:id="369" w:name="_Toc13673672"/>
      <w:bookmarkStart w:id="370" w:name="_Toc13492610"/>
      <w:bookmarkStart w:id="371" w:name="_Toc13574650"/>
      <w:bookmarkStart w:id="372" w:name="_Toc13576437"/>
      <w:bookmarkStart w:id="373" w:name="_Toc13580190"/>
      <w:bookmarkStart w:id="374" w:name="_Toc13673372"/>
      <w:bookmarkStart w:id="375" w:name="_Toc13673688"/>
      <w:bookmarkStart w:id="376" w:name="_Toc13492626"/>
      <w:bookmarkStart w:id="377" w:name="_Toc13574666"/>
      <w:bookmarkStart w:id="378" w:name="_Toc13576453"/>
      <w:bookmarkStart w:id="379" w:name="_Toc13580206"/>
      <w:bookmarkStart w:id="380" w:name="_Toc13673388"/>
      <w:bookmarkStart w:id="381" w:name="_Toc13673704"/>
      <w:bookmarkStart w:id="382" w:name="_Toc13492642"/>
      <w:bookmarkStart w:id="383" w:name="_Toc13574682"/>
      <w:bookmarkStart w:id="384" w:name="_Toc13576469"/>
      <w:bookmarkStart w:id="385" w:name="_Toc13580222"/>
      <w:bookmarkStart w:id="386" w:name="_Toc13673404"/>
      <w:bookmarkStart w:id="387" w:name="_Toc13673720"/>
      <w:bookmarkStart w:id="388" w:name="_Toc13492658"/>
      <w:bookmarkStart w:id="389" w:name="_Toc13574698"/>
      <w:bookmarkStart w:id="390" w:name="_Toc13576485"/>
      <w:bookmarkStart w:id="391" w:name="_Toc13580238"/>
      <w:bookmarkStart w:id="392" w:name="_Toc13673420"/>
      <w:bookmarkStart w:id="393" w:name="_Toc13673736"/>
      <w:bookmarkStart w:id="394" w:name="_Toc23163506"/>
      <w:bookmarkEnd w:id="64"/>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sidRPr="00446C16">
        <w:t>Dzīvojamo un nedzīvojamo ēku būvniecības apakšnozares izmaksu izmaiņu prognozes</w:t>
      </w:r>
      <w:bookmarkEnd w:id="394"/>
    </w:p>
    <w:p w14:paraId="6EDC9893" w14:textId="77777777" w:rsidR="00364CA7" w:rsidRPr="00446C16" w:rsidRDefault="00364CA7" w:rsidP="00364CA7">
      <w:pPr>
        <w:ind w:firstLine="851"/>
        <w:jc w:val="both"/>
      </w:pPr>
      <w:r w:rsidRPr="00446C16">
        <w:t>Veicot apakšnozares būvniecības ekspertu intervijas, dzīvojamo un nedzīvojamo ēku būvniecības uzņēmumi tika apvienoti vienā ekspertu grupā, ņemot vērā to, ka pēc NACE v.2 klasifikācijas</w:t>
      </w:r>
      <w:r w:rsidRPr="00446C16">
        <w:rPr>
          <w:rStyle w:val="FootnoteReference"/>
        </w:rPr>
        <w:footnoteReference w:id="7"/>
      </w:r>
      <w:r w:rsidRPr="00446C16">
        <w:t xml:space="preserve"> netiek izšķirti atsevišķi kodi dzīvojamo un atsevišķi – nedzīvojamo ēku būvniecības uzņēmumos. Turklāt arī uzņēmumu specializācija nav tik šaura un attiecīgi būtu ļoti grūti nodalīt katru grupu.</w:t>
      </w:r>
    </w:p>
    <w:p w14:paraId="1FD6253B" w14:textId="498B8382" w:rsidR="00364CA7" w:rsidRPr="00446C16" w:rsidRDefault="00364CA7" w:rsidP="00364CA7">
      <w:pPr>
        <w:ind w:firstLine="851"/>
        <w:jc w:val="both"/>
      </w:pPr>
      <w:r w:rsidRPr="00446C16">
        <w:t>Gan dzīvojamo, gan nedzīvojamo ēku apakšnozarē prognozes paredz apjoma pieaugumu 2019.</w:t>
      </w:r>
      <w:r w:rsidR="00B62595" w:rsidRPr="00446C16">
        <w:t xml:space="preserve"> </w:t>
      </w:r>
      <w:r w:rsidRPr="00446C16">
        <w:t>-</w:t>
      </w:r>
      <w:r w:rsidR="00B62595" w:rsidRPr="00446C16">
        <w:t xml:space="preserve"> </w:t>
      </w:r>
      <w:r w:rsidRPr="00446C16">
        <w:t>2023.</w:t>
      </w:r>
      <w:r w:rsidR="00B62595" w:rsidRPr="00446C16">
        <w:t xml:space="preserve"> </w:t>
      </w:r>
      <w:r w:rsidRPr="00446C16">
        <w:t>gad</w:t>
      </w:r>
      <w:r w:rsidR="00FC437E" w:rsidRPr="00446C16">
        <w:t>ā</w:t>
      </w:r>
      <w:r w:rsidRPr="00446C16">
        <w:t xml:space="preserve"> ar iespējamu kritumu 2022</w:t>
      </w:r>
      <w:r w:rsidR="00100D75" w:rsidRPr="00446C16">
        <w:t>. gad</w:t>
      </w:r>
      <w:r w:rsidRPr="00446C16">
        <w:t>ā, kā arī pastāv risks apjoma kritumam 2020</w:t>
      </w:r>
      <w:r w:rsidR="00100D75" w:rsidRPr="00446C16">
        <w:t>. gad</w:t>
      </w:r>
      <w:r w:rsidRPr="00446C16">
        <w:t>ā (skatīt attēlus Nr.</w:t>
      </w:r>
      <w:r w:rsidR="00312B9B" w:rsidRPr="00446C16">
        <w:t>9</w:t>
      </w:r>
      <w:r w:rsidRPr="00446C16">
        <w:t>.un 1</w:t>
      </w:r>
      <w:r w:rsidR="00312B9B" w:rsidRPr="00446C16">
        <w:t>0</w:t>
      </w:r>
      <w:r w:rsidRPr="00446C16">
        <w:t>.).</w:t>
      </w:r>
    </w:p>
    <w:p w14:paraId="755F1C93" w14:textId="38933B5A" w:rsidR="00364CA7" w:rsidRPr="00446C16" w:rsidRDefault="00364CA7" w:rsidP="00364CA7">
      <w:pPr>
        <w:jc w:val="center"/>
        <w:rPr>
          <w:b/>
          <w:sz w:val="20"/>
        </w:rPr>
      </w:pPr>
      <w:r w:rsidRPr="00446C16">
        <w:rPr>
          <w:b/>
          <w:sz w:val="20"/>
        </w:rPr>
        <w:t xml:space="preserve">Attēls Nr. </w:t>
      </w:r>
      <w:r w:rsidR="00312B9B" w:rsidRPr="00446C16">
        <w:rPr>
          <w:b/>
          <w:sz w:val="20"/>
        </w:rPr>
        <w:t>9</w:t>
      </w:r>
      <w:r w:rsidRPr="00446C16">
        <w:rPr>
          <w:b/>
          <w:sz w:val="20"/>
        </w:rPr>
        <w:t>. Būvniecības produkcijas apjoma izmaiņas dzīvojamo ēku apakšnozarē līdz 2018</w:t>
      </w:r>
      <w:r w:rsidR="00100D75" w:rsidRPr="00446C16">
        <w:rPr>
          <w:b/>
          <w:sz w:val="20"/>
        </w:rPr>
        <w:t>. gad</w:t>
      </w:r>
      <w:r w:rsidRPr="00446C16">
        <w:rPr>
          <w:b/>
          <w:sz w:val="20"/>
        </w:rPr>
        <w:t>am un prognozes no 2019. līdz 2023. gadam, kumulatīvās izmaiņas pret 2018</w:t>
      </w:r>
      <w:r w:rsidR="00100D75" w:rsidRPr="00446C16">
        <w:rPr>
          <w:b/>
          <w:sz w:val="20"/>
        </w:rPr>
        <w:t>. gad</w:t>
      </w:r>
      <w:r w:rsidRPr="00446C16">
        <w:rPr>
          <w:b/>
          <w:sz w:val="20"/>
        </w:rPr>
        <w:t>u, %</w:t>
      </w:r>
    </w:p>
    <w:p w14:paraId="5CD832EE" w14:textId="60F2F5A4" w:rsidR="00364CA7" w:rsidRPr="00446C16" w:rsidRDefault="00FA75F8" w:rsidP="00364CA7">
      <w:pPr>
        <w:jc w:val="center"/>
        <w:rPr>
          <w:bCs/>
        </w:rPr>
      </w:pPr>
      <w:r w:rsidRPr="00446C16">
        <w:rPr>
          <w:bCs/>
          <w:noProof/>
          <w:lang w:val="en-US"/>
        </w:rPr>
        <w:drawing>
          <wp:inline distT="0" distB="0" distL="0" distR="0" wp14:anchorId="4E2DC12F" wp14:editId="3A0627B2">
            <wp:extent cx="4961455" cy="3600000"/>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61455" cy="3600000"/>
                    </a:xfrm>
                    <a:prstGeom prst="rect">
                      <a:avLst/>
                    </a:prstGeom>
                    <a:noFill/>
                  </pic:spPr>
                </pic:pic>
              </a:graphicData>
            </a:graphic>
          </wp:inline>
        </w:drawing>
      </w:r>
    </w:p>
    <w:p w14:paraId="6D26B44B" w14:textId="3DA40857" w:rsidR="00364CA7" w:rsidRPr="00446C16" w:rsidRDefault="00364CA7" w:rsidP="00364CA7">
      <w:pPr>
        <w:jc w:val="center"/>
        <w:rPr>
          <w:sz w:val="20"/>
        </w:rPr>
      </w:pPr>
      <w:r w:rsidRPr="00446C16">
        <w:rPr>
          <w:sz w:val="20"/>
        </w:rPr>
        <w:t>Avots: CSP vēsturiski</w:t>
      </w:r>
      <w:r w:rsidR="00FB7176" w:rsidRPr="00446C16">
        <w:rPr>
          <w:sz w:val="20"/>
        </w:rPr>
        <w:t>e</w:t>
      </w:r>
      <w:r w:rsidRPr="00446C16">
        <w:rPr>
          <w:sz w:val="20"/>
        </w:rPr>
        <w:t xml:space="preserve"> dati līdz 2018. gadam (ieskaitot) un autoru veikti aprēķini, balstoties uz ekspertu vērtējumiem un izstrādātajiem modeļiem - prognoze 2019.-2023. gad</w:t>
      </w:r>
      <w:r w:rsidR="00FB7176" w:rsidRPr="00446C16">
        <w:rPr>
          <w:sz w:val="20"/>
        </w:rPr>
        <w:t>iem</w:t>
      </w:r>
    </w:p>
    <w:p w14:paraId="3FAD04D6" w14:textId="77777777" w:rsidR="0071000E" w:rsidRPr="00446C16" w:rsidRDefault="0071000E" w:rsidP="00364CA7">
      <w:pPr>
        <w:jc w:val="center"/>
        <w:rPr>
          <w:b/>
          <w:sz w:val="20"/>
        </w:rPr>
      </w:pPr>
    </w:p>
    <w:p w14:paraId="5BA14E9E" w14:textId="77777777" w:rsidR="0071000E" w:rsidRPr="00446C16" w:rsidRDefault="0071000E" w:rsidP="00364CA7">
      <w:pPr>
        <w:jc w:val="center"/>
        <w:rPr>
          <w:b/>
          <w:sz w:val="20"/>
        </w:rPr>
      </w:pPr>
    </w:p>
    <w:p w14:paraId="225E4842" w14:textId="77777777" w:rsidR="0071000E" w:rsidRPr="00446C16" w:rsidRDefault="0071000E" w:rsidP="00364CA7">
      <w:pPr>
        <w:jc w:val="center"/>
        <w:rPr>
          <w:b/>
          <w:sz w:val="20"/>
        </w:rPr>
      </w:pPr>
    </w:p>
    <w:p w14:paraId="1FB16B5C" w14:textId="77777777" w:rsidR="0071000E" w:rsidRPr="00446C16" w:rsidRDefault="0071000E" w:rsidP="00364CA7">
      <w:pPr>
        <w:jc w:val="center"/>
        <w:rPr>
          <w:b/>
          <w:sz w:val="20"/>
        </w:rPr>
      </w:pPr>
    </w:p>
    <w:p w14:paraId="1AA6DCFF" w14:textId="77777777" w:rsidR="0071000E" w:rsidRPr="00446C16" w:rsidRDefault="0071000E" w:rsidP="00364CA7">
      <w:pPr>
        <w:jc w:val="center"/>
        <w:rPr>
          <w:b/>
          <w:sz w:val="20"/>
        </w:rPr>
      </w:pPr>
    </w:p>
    <w:p w14:paraId="514433F5" w14:textId="77777777" w:rsidR="0071000E" w:rsidRPr="00446C16" w:rsidRDefault="0071000E" w:rsidP="00364CA7">
      <w:pPr>
        <w:jc w:val="center"/>
        <w:rPr>
          <w:b/>
          <w:sz w:val="20"/>
        </w:rPr>
      </w:pPr>
    </w:p>
    <w:p w14:paraId="5470A73A" w14:textId="77777777" w:rsidR="00E00757" w:rsidRDefault="00E00757" w:rsidP="00364CA7">
      <w:pPr>
        <w:jc w:val="center"/>
        <w:rPr>
          <w:b/>
          <w:sz w:val="20"/>
        </w:rPr>
      </w:pPr>
    </w:p>
    <w:p w14:paraId="00CC437A" w14:textId="77777777" w:rsidR="00E00757" w:rsidRDefault="00E00757" w:rsidP="00364CA7">
      <w:pPr>
        <w:jc w:val="center"/>
        <w:rPr>
          <w:b/>
          <w:sz w:val="20"/>
        </w:rPr>
      </w:pPr>
    </w:p>
    <w:p w14:paraId="374545E9" w14:textId="77777777" w:rsidR="00E00757" w:rsidRDefault="00E00757" w:rsidP="00364CA7">
      <w:pPr>
        <w:jc w:val="center"/>
        <w:rPr>
          <w:b/>
          <w:sz w:val="20"/>
        </w:rPr>
      </w:pPr>
    </w:p>
    <w:p w14:paraId="00DF874D" w14:textId="7AD6F35A" w:rsidR="00364CA7" w:rsidRPr="00446C16" w:rsidRDefault="00364CA7" w:rsidP="00364CA7">
      <w:pPr>
        <w:jc w:val="center"/>
        <w:rPr>
          <w:b/>
        </w:rPr>
      </w:pPr>
      <w:r w:rsidRPr="00446C16">
        <w:rPr>
          <w:b/>
          <w:sz w:val="20"/>
        </w:rPr>
        <w:t xml:space="preserve">Attēls Nr. </w:t>
      </w:r>
      <w:r w:rsidR="00312B9B" w:rsidRPr="00446C16">
        <w:rPr>
          <w:b/>
          <w:sz w:val="20"/>
        </w:rPr>
        <w:t>10</w:t>
      </w:r>
      <w:r w:rsidRPr="00446C16">
        <w:rPr>
          <w:b/>
          <w:sz w:val="20"/>
        </w:rPr>
        <w:t>. Būvniecības produkcijas apjoma izmaiņas nedzīvojamo ēku apakšnozarē līdz 2018</w:t>
      </w:r>
      <w:r w:rsidR="00100D75" w:rsidRPr="00446C16">
        <w:rPr>
          <w:b/>
          <w:sz w:val="20"/>
        </w:rPr>
        <w:t>. gad</w:t>
      </w:r>
      <w:r w:rsidRPr="00446C16">
        <w:rPr>
          <w:b/>
          <w:sz w:val="20"/>
        </w:rPr>
        <w:t>am un prognozes no 2019. līdz 2023. gadam, kumulatīvās izmaiņas pret 2018</w:t>
      </w:r>
      <w:r w:rsidR="00100D75" w:rsidRPr="00446C16">
        <w:rPr>
          <w:b/>
          <w:sz w:val="20"/>
        </w:rPr>
        <w:t>. gad</w:t>
      </w:r>
      <w:r w:rsidRPr="00446C16">
        <w:rPr>
          <w:b/>
          <w:sz w:val="20"/>
        </w:rPr>
        <w:t>u, %</w:t>
      </w:r>
    </w:p>
    <w:p w14:paraId="1A5657BD" w14:textId="46D2C3AF" w:rsidR="00364CA7" w:rsidRPr="00446C16" w:rsidRDefault="00FA75F8" w:rsidP="002B0DE5">
      <w:pPr>
        <w:jc w:val="center"/>
      </w:pPr>
      <w:r w:rsidRPr="00446C16">
        <w:rPr>
          <w:noProof/>
          <w:lang w:val="en-US"/>
        </w:rPr>
        <w:drawing>
          <wp:inline distT="0" distB="0" distL="0" distR="0" wp14:anchorId="49194418" wp14:editId="1B5035B6">
            <wp:extent cx="4961455" cy="3600000"/>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61455" cy="3600000"/>
                    </a:xfrm>
                    <a:prstGeom prst="rect">
                      <a:avLst/>
                    </a:prstGeom>
                    <a:noFill/>
                  </pic:spPr>
                </pic:pic>
              </a:graphicData>
            </a:graphic>
          </wp:inline>
        </w:drawing>
      </w:r>
    </w:p>
    <w:p w14:paraId="7D709B10" w14:textId="3B51BD73" w:rsidR="00364CA7" w:rsidRPr="00446C16" w:rsidRDefault="00364CA7" w:rsidP="00364CA7">
      <w:pPr>
        <w:spacing w:before="100" w:after="200" w:line="276" w:lineRule="auto"/>
        <w:jc w:val="center"/>
        <w:rPr>
          <w:sz w:val="20"/>
        </w:rPr>
      </w:pPr>
      <w:r w:rsidRPr="00446C16">
        <w:rPr>
          <w:sz w:val="20"/>
        </w:rPr>
        <w:t>Avots: CSP vēsturiskie dati</w:t>
      </w:r>
      <w:r w:rsidR="00062BC0" w:rsidRPr="00446C16">
        <w:rPr>
          <w:sz w:val="20"/>
        </w:rPr>
        <w:t xml:space="preserve"> </w:t>
      </w:r>
      <w:r w:rsidRPr="00446C16">
        <w:rPr>
          <w:sz w:val="20"/>
        </w:rPr>
        <w:t>līdz 2018. gadam (ieskaitot) un autoru veikti aprēķini, balstoties uz ekspertu vērtējumiem un izstrādātajiem modeļiem - prognoze 2019.-2023. gad</w:t>
      </w:r>
      <w:r w:rsidR="002808F2" w:rsidRPr="00446C16">
        <w:rPr>
          <w:sz w:val="20"/>
        </w:rPr>
        <w:t>iem</w:t>
      </w:r>
    </w:p>
    <w:p w14:paraId="63F9C35D" w14:textId="58F25B92" w:rsidR="00364CA7" w:rsidRPr="00446C16" w:rsidRDefault="00364CA7" w:rsidP="00364CA7">
      <w:pPr>
        <w:ind w:firstLine="851"/>
        <w:jc w:val="both"/>
      </w:pPr>
      <w:r w:rsidRPr="00446C16">
        <w:t>Ekspertu vērtējums ir visoptimistiskākais gan dzīvojamo, gan nedzīvojamo ēku sektorā – kumulatīvais apjoma pieaugums 2023</w:t>
      </w:r>
      <w:r w:rsidR="00100D75" w:rsidRPr="00446C16">
        <w:t>. gad</w:t>
      </w:r>
      <w:r w:rsidRPr="00446C16">
        <w:t>ā sasniegtu gandrīz 50% no 2018</w:t>
      </w:r>
      <w:r w:rsidR="00100D75" w:rsidRPr="00446C16">
        <w:t>. gad</w:t>
      </w:r>
      <w:r w:rsidRPr="00446C16">
        <w:t xml:space="preserve">a līmeņa. </w:t>
      </w:r>
    </w:p>
    <w:p w14:paraId="7FC8A378" w14:textId="177C1D7D" w:rsidR="00364CA7" w:rsidRPr="00446C16" w:rsidRDefault="00364CA7" w:rsidP="00364CA7">
      <w:pPr>
        <w:ind w:firstLine="851"/>
        <w:jc w:val="both"/>
      </w:pPr>
      <w:r w:rsidRPr="00446C16">
        <w:t>Statistiskais modelis norāda uz būtisku krituma risku 2022</w:t>
      </w:r>
      <w:r w:rsidR="00100D75" w:rsidRPr="00446C16">
        <w:t>. gad</w:t>
      </w:r>
      <w:r w:rsidRPr="00446C16">
        <w:t>ā</w:t>
      </w:r>
      <w:r w:rsidR="00FC437E" w:rsidRPr="00446C16">
        <w:t>,</w:t>
      </w:r>
      <w:r w:rsidRPr="00446C16">
        <w:t xml:space="preserve"> līdzīgi kā tas bija 2016</w:t>
      </w:r>
      <w:r w:rsidR="00100D75" w:rsidRPr="00446C16">
        <w:t>. gad</w:t>
      </w:r>
      <w:r w:rsidRPr="00446C16">
        <w:t>ā</w:t>
      </w:r>
      <w:r w:rsidR="00FC437E" w:rsidRPr="00446C16">
        <w:t>,</w:t>
      </w:r>
      <w:r w:rsidRPr="00446C16">
        <w:t xml:space="preserve"> saistībā ar cikliskumu ES fondu apguvē. </w:t>
      </w:r>
    </w:p>
    <w:p w14:paraId="4F3426E2" w14:textId="6F4C09BF" w:rsidR="00364CA7" w:rsidRPr="00446C16" w:rsidRDefault="00364CA7" w:rsidP="00364CA7">
      <w:pPr>
        <w:ind w:firstLine="851"/>
        <w:jc w:val="both"/>
      </w:pPr>
      <w:r w:rsidRPr="00446C16">
        <w:t xml:space="preserve">Dzīvojamo un nedzīvojamo ēku sektoros prognozes uzrāda ļoti līdzīgu apjoma dinamiku, vietām atšķiroties 2% robežās. </w:t>
      </w:r>
      <w:r w:rsidR="00352785" w:rsidRPr="00446C16">
        <w:t xml:space="preserve">Datu līdzībai ir divi iemesli: </w:t>
      </w:r>
      <w:r w:rsidRPr="00446C16">
        <w:t>ekspertu novērtējumi</w:t>
      </w:r>
      <w:r w:rsidR="00352785" w:rsidRPr="00446C16">
        <w:t xml:space="preserve"> abos sektoros ir līdzīgi; </w:t>
      </w:r>
      <w:r w:rsidRPr="00446C16">
        <w:t>CSP statistiskas uzskaites īpatnības – dzīvojamo un nedzīvojamo ēku būvniecības produkcijas apjomi netiek uzskaitīti atsevišķi, tādēļ kombinētajā prognozē abos sektoros ņemti vērā kopējie CSP dati par ēku būvniecības produkcijas apjoma dinamiku.</w:t>
      </w:r>
    </w:p>
    <w:p w14:paraId="1EC48259" w14:textId="531EC4F8" w:rsidR="00364CA7" w:rsidRPr="00446C16" w:rsidRDefault="00364CA7" w:rsidP="00364CA7">
      <w:pPr>
        <w:ind w:firstLine="851"/>
        <w:jc w:val="both"/>
      </w:pPr>
      <w:r w:rsidRPr="00446C16">
        <w:t>Publiskās būvniecības ekspertu vērtējumi norāda uz ievērojamu apjomu kritumu pēc 2021.</w:t>
      </w:r>
      <w:r w:rsidR="000F54B7" w:rsidRPr="00446C16">
        <w:t xml:space="preserve"> </w:t>
      </w:r>
      <w:r w:rsidRPr="00446C16">
        <w:t>gada</w:t>
      </w:r>
      <w:r w:rsidR="00FC437E" w:rsidRPr="00446C16">
        <w:t>,</w:t>
      </w:r>
      <w:r w:rsidRPr="00446C16">
        <w:t xml:space="preserve"> saistībā ar ES fondu apguves noslēgumu esošā plānošanas perioda ietvaros. Tādēļ ir pamats uzskatīt, ka daļa no intervētajiem apakšnozares ekspertiem savās prognozēs nepietiekoši ņēmuši vērā publisko būvniecības pasūtījumu svārstību riskus. Tas pamato metodoloģijā izvēlēto risinājumu – par gala prognozi noteikt kombinēto prognozi, ko veido aritmētiskais vidējais no abiem avotiem. </w:t>
      </w:r>
    </w:p>
    <w:p w14:paraId="73C9466D" w14:textId="1F72D472" w:rsidR="00364CA7" w:rsidRPr="00446C16" w:rsidRDefault="00364CA7" w:rsidP="00364CA7">
      <w:pPr>
        <w:ind w:firstLine="851"/>
        <w:jc w:val="both"/>
      </w:pPr>
      <w:r w:rsidRPr="00446C16">
        <w:t>Kombinētā prognoze uzrāda, ka kumulatīvais apjoma pieaugums 2023</w:t>
      </w:r>
      <w:r w:rsidR="00100D75" w:rsidRPr="00446C16">
        <w:t>. gad</w:t>
      </w:r>
      <w:r w:rsidRPr="00446C16">
        <w:t>ā pārsniegs 30% no 2018</w:t>
      </w:r>
      <w:r w:rsidR="00100D75" w:rsidRPr="00446C16">
        <w:t>. gad</w:t>
      </w:r>
      <w:r w:rsidRPr="00446C16">
        <w:t>a līmeņa gan dzīvojamo, gan nedzīvojamo ēku būvniecības apakšnozarēs.</w:t>
      </w:r>
    </w:p>
    <w:p w14:paraId="0B9FC959" w14:textId="648505A6" w:rsidR="00364CA7" w:rsidRPr="00446C16" w:rsidRDefault="00364CA7" w:rsidP="00364CA7">
      <w:pPr>
        <w:ind w:firstLine="851"/>
        <w:jc w:val="both"/>
      </w:pPr>
      <w:r w:rsidRPr="00446C16">
        <w:t>Ņemot vērā prognozēto apjomu, kā arī ekspertu vērtējumu un statistisko datu trendu gan dzīvojamo, gan nedzīvojamo ēku apakšnozarē</w:t>
      </w:r>
      <w:r w:rsidR="000951FF" w:rsidRPr="00446C16">
        <w:t>,</w:t>
      </w:r>
      <w:r w:rsidRPr="00446C16">
        <w:t xml:space="preserve"> prognozējams izmaksu </w:t>
      </w:r>
      <w:r w:rsidR="007E6482" w:rsidRPr="00446C16">
        <w:rPr>
          <w:rStyle w:val="st"/>
        </w:rPr>
        <w:t>izmaiņu</w:t>
      </w:r>
      <w:r w:rsidR="007E6482" w:rsidRPr="00446C16">
        <w:t xml:space="preserve"> </w:t>
      </w:r>
      <w:r w:rsidRPr="00446C16">
        <w:t>pieaugums visā periodā no 2019. līdz 2023</w:t>
      </w:r>
      <w:r w:rsidR="00100D75" w:rsidRPr="00446C16">
        <w:t>. gad</w:t>
      </w:r>
      <w:r w:rsidRPr="00446C16">
        <w:t>am (skatīt attēlus Nr. 1</w:t>
      </w:r>
      <w:r w:rsidR="00312B9B" w:rsidRPr="00446C16">
        <w:t>1</w:t>
      </w:r>
      <w:r w:rsidRPr="00446C16">
        <w:t xml:space="preserve"> un Nr. 1</w:t>
      </w:r>
      <w:r w:rsidR="00312B9B" w:rsidRPr="00446C16">
        <w:t>2</w:t>
      </w:r>
      <w:r w:rsidRPr="00446C16">
        <w:t>).</w:t>
      </w:r>
    </w:p>
    <w:p w14:paraId="61241D9C" w14:textId="7AB46FBA" w:rsidR="00364CA7" w:rsidRPr="00446C16" w:rsidRDefault="00364CA7" w:rsidP="00614A60">
      <w:pPr>
        <w:jc w:val="center"/>
        <w:rPr>
          <w:b/>
          <w:sz w:val="20"/>
        </w:rPr>
      </w:pPr>
      <w:r w:rsidRPr="00446C16">
        <w:rPr>
          <w:b/>
          <w:sz w:val="20"/>
        </w:rPr>
        <w:lastRenderedPageBreak/>
        <w:t>Attēls Nr. 1</w:t>
      </w:r>
      <w:r w:rsidR="00312B9B" w:rsidRPr="00446C16">
        <w:rPr>
          <w:b/>
          <w:sz w:val="20"/>
        </w:rPr>
        <w:t>1</w:t>
      </w:r>
      <w:r w:rsidRPr="00446C16">
        <w:rPr>
          <w:b/>
          <w:sz w:val="20"/>
        </w:rPr>
        <w:t>. Būvniecības izmaksu izmaiņas dzīvojamo ēku apakšnozarē līdz 2018</w:t>
      </w:r>
      <w:r w:rsidR="00100D75" w:rsidRPr="00446C16">
        <w:rPr>
          <w:b/>
          <w:sz w:val="20"/>
        </w:rPr>
        <w:t>. gad</w:t>
      </w:r>
      <w:r w:rsidRPr="00446C16">
        <w:rPr>
          <w:b/>
          <w:sz w:val="20"/>
        </w:rPr>
        <w:t>am un prognozes no 2019. līdz 2023. gadam, kumulatīvās izmaiņas pret 2018</w:t>
      </w:r>
      <w:r w:rsidR="00100D75" w:rsidRPr="00446C16">
        <w:rPr>
          <w:b/>
          <w:sz w:val="20"/>
        </w:rPr>
        <w:t>. gad</w:t>
      </w:r>
      <w:r w:rsidRPr="00446C16">
        <w:rPr>
          <w:b/>
          <w:sz w:val="20"/>
        </w:rPr>
        <w:t>u, %</w:t>
      </w:r>
    </w:p>
    <w:p w14:paraId="4190CF80" w14:textId="63475E94" w:rsidR="00364CA7" w:rsidRPr="00446C16" w:rsidRDefault="00737E31" w:rsidP="00364CA7">
      <w:pPr>
        <w:jc w:val="center"/>
        <w:rPr>
          <w:bCs/>
          <w:sz w:val="20"/>
        </w:rPr>
      </w:pPr>
      <w:r w:rsidRPr="00446C16">
        <w:rPr>
          <w:bCs/>
          <w:noProof/>
          <w:sz w:val="20"/>
          <w:lang w:val="en-US"/>
        </w:rPr>
        <w:drawing>
          <wp:inline distT="0" distB="0" distL="0" distR="0" wp14:anchorId="044D1ECB" wp14:editId="1909FDB6">
            <wp:extent cx="4961455" cy="3600000"/>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61455" cy="3600000"/>
                    </a:xfrm>
                    <a:prstGeom prst="rect">
                      <a:avLst/>
                    </a:prstGeom>
                    <a:noFill/>
                  </pic:spPr>
                </pic:pic>
              </a:graphicData>
            </a:graphic>
          </wp:inline>
        </w:drawing>
      </w:r>
    </w:p>
    <w:p w14:paraId="6B753591" w14:textId="1C74830E" w:rsidR="00364CA7" w:rsidRPr="00446C16" w:rsidRDefault="00364CA7" w:rsidP="00364CA7">
      <w:pPr>
        <w:jc w:val="center"/>
        <w:rPr>
          <w:sz w:val="20"/>
        </w:rPr>
      </w:pPr>
      <w:r w:rsidRPr="00446C16">
        <w:rPr>
          <w:sz w:val="20"/>
        </w:rPr>
        <w:t>Avots: CSP vēsturiskie dati līdz 2018. gadam (ieskaitot) un autoru veikti aprēķini, balstoties uz ekspertu vērtējumiem un izstrādātajiem modeļiem - prognoze 2019.-2023. gad</w:t>
      </w:r>
      <w:r w:rsidR="00EB3554" w:rsidRPr="00446C16">
        <w:rPr>
          <w:sz w:val="20"/>
        </w:rPr>
        <w:t>iem</w:t>
      </w:r>
    </w:p>
    <w:p w14:paraId="0A94F43D" w14:textId="7496C4A4" w:rsidR="00364CA7" w:rsidRPr="00446C16" w:rsidRDefault="00364CA7" w:rsidP="00364CA7">
      <w:pPr>
        <w:jc w:val="center"/>
        <w:rPr>
          <w:b/>
          <w:sz w:val="20"/>
        </w:rPr>
      </w:pPr>
      <w:r w:rsidRPr="00446C16">
        <w:rPr>
          <w:b/>
          <w:sz w:val="20"/>
        </w:rPr>
        <w:t>Attēls Nr. 1</w:t>
      </w:r>
      <w:r w:rsidR="00312B9B" w:rsidRPr="00446C16">
        <w:rPr>
          <w:b/>
          <w:sz w:val="20"/>
        </w:rPr>
        <w:t>2</w:t>
      </w:r>
      <w:r w:rsidRPr="00446C16">
        <w:rPr>
          <w:b/>
          <w:sz w:val="20"/>
        </w:rPr>
        <w:t>. Būvniecības izmaksu izmaiņas nedzīvojamo ēku apakšnozarē līdz 2018</w:t>
      </w:r>
      <w:r w:rsidR="00100D75" w:rsidRPr="00446C16">
        <w:rPr>
          <w:b/>
          <w:sz w:val="20"/>
        </w:rPr>
        <w:t>. gad</w:t>
      </w:r>
      <w:r w:rsidRPr="00446C16">
        <w:rPr>
          <w:b/>
          <w:sz w:val="20"/>
        </w:rPr>
        <w:t>am un prognozes no 2019. līdz 2023. gadam, kumulatīvās izmaiņas pret 2018. gadu, %</w:t>
      </w:r>
    </w:p>
    <w:p w14:paraId="0F6A85AE" w14:textId="7C5C8A26" w:rsidR="00364CA7" w:rsidRPr="00446C16" w:rsidRDefault="007D7100" w:rsidP="00364CA7">
      <w:pPr>
        <w:jc w:val="center"/>
        <w:rPr>
          <w:bCs/>
          <w:sz w:val="20"/>
        </w:rPr>
      </w:pPr>
      <w:r w:rsidRPr="00446C16">
        <w:rPr>
          <w:bCs/>
          <w:noProof/>
          <w:sz w:val="20"/>
          <w:lang w:val="en-US"/>
        </w:rPr>
        <w:drawing>
          <wp:inline distT="0" distB="0" distL="0" distR="0" wp14:anchorId="6E77F64F" wp14:editId="68F5E342">
            <wp:extent cx="4961455" cy="3600000"/>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61455" cy="3600000"/>
                    </a:xfrm>
                    <a:prstGeom prst="rect">
                      <a:avLst/>
                    </a:prstGeom>
                    <a:noFill/>
                  </pic:spPr>
                </pic:pic>
              </a:graphicData>
            </a:graphic>
          </wp:inline>
        </w:drawing>
      </w:r>
    </w:p>
    <w:p w14:paraId="04971C90" w14:textId="77A0B17C" w:rsidR="00364CA7" w:rsidRPr="00446C16" w:rsidRDefault="00364CA7" w:rsidP="00364CA7">
      <w:pPr>
        <w:jc w:val="center"/>
        <w:rPr>
          <w:sz w:val="20"/>
        </w:rPr>
      </w:pPr>
      <w:r w:rsidRPr="00446C16">
        <w:rPr>
          <w:sz w:val="20"/>
        </w:rPr>
        <w:t>Avots: CSP vēsturiskie dati līdz 2018. gadam (ieskaitot) un autoru veikti aprēķini, balstoties uz ekspertu vērtējumiem un izstrādātajiem modeļiem - prognoze 2019.-2023. gad</w:t>
      </w:r>
      <w:r w:rsidR="00EB3554" w:rsidRPr="00446C16">
        <w:rPr>
          <w:sz w:val="20"/>
        </w:rPr>
        <w:t>iem</w:t>
      </w:r>
    </w:p>
    <w:p w14:paraId="342F6434" w14:textId="455479AF" w:rsidR="00364CA7" w:rsidRPr="00446C16" w:rsidRDefault="00364CA7" w:rsidP="00364CA7">
      <w:pPr>
        <w:ind w:firstLine="851"/>
        <w:jc w:val="both"/>
      </w:pPr>
      <w:r w:rsidRPr="00446C16">
        <w:lastRenderedPageBreak/>
        <w:t xml:space="preserve">Ekspertu vērtējums ir visoptimistiskākais – kumulatīvais izmaksu </w:t>
      </w:r>
      <w:r w:rsidR="007E6482" w:rsidRPr="00446C16">
        <w:rPr>
          <w:rStyle w:val="st"/>
        </w:rPr>
        <w:t>izmaiņu</w:t>
      </w:r>
      <w:r w:rsidR="007E6482" w:rsidRPr="00446C16">
        <w:t xml:space="preserve"> </w:t>
      </w:r>
      <w:r w:rsidRPr="00446C16">
        <w:t>pieaugums 2023</w:t>
      </w:r>
      <w:r w:rsidR="00100D75" w:rsidRPr="00446C16">
        <w:t>. gad</w:t>
      </w:r>
      <w:r w:rsidRPr="00446C16">
        <w:t>ā sasniegtu 26,1% no 2018</w:t>
      </w:r>
      <w:r w:rsidR="00100D75" w:rsidRPr="00446C16">
        <w:t>. gad</w:t>
      </w:r>
      <w:r w:rsidRPr="00446C16">
        <w:t>a līmeņa dzīvojamām ēkām un 31,6% - nedzīvojamām ēkām.</w:t>
      </w:r>
    </w:p>
    <w:p w14:paraId="1923F8F5" w14:textId="591745E4" w:rsidR="00364CA7" w:rsidRPr="00446C16" w:rsidRDefault="00E65EEF" w:rsidP="00364CA7">
      <w:pPr>
        <w:ind w:firstLine="851"/>
        <w:jc w:val="both"/>
      </w:pPr>
      <w:r w:rsidRPr="00446C16">
        <w:t>Izmaksu-apjoma</w:t>
      </w:r>
      <w:r w:rsidR="00364CA7" w:rsidRPr="00446C16">
        <w:t xml:space="preserve"> elastības modelis uzrāda piesardzīgākas prognozes, kumulatīvais apjoma pieaugums 2023</w:t>
      </w:r>
      <w:r w:rsidR="00100D75" w:rsidRPr="00446C16">
        <w:t>. gad</w:t>
      </w:r>
      <w:r w:rsidR="00364CA7" w:rsidRPr="00446C16">
        <w:t>ā sasniegs 8</w:t>
      </w:r>
      <w:r w:rsidR="006F1E9A" w:rsidRPr="00446C16">
        <w:t>,5</w:t>
      </w:r>
      <w:r w:rsidR="00364CA7" w:rsidRPr="00446C16">
        <w:t>% no 2018</w:t>
      </w:r>
      <w:r w:rsidR="00100D75" w:rsidRPr="00446C16">
        <w:t>. gad</w:t>
      </w:r>
      <w:r w:rsidR="00364CA7" w:rsidRPr="00446C16">
        <w:t>a līmeņa.</w:t>
      </w:r>
    </w:p>
    <w:p w14:paraId="14128F38" w14:textId="6CE12241" w:rsidR="00364CA7" w:rsidRPr="00446C16" w:rsidRDefault="00364CA7" w:rsidP="00364CA7">
      <w:pPr>
        <w:ind w:firstLine="851"/>
        <w:jc w:val="both"/>
      </w:pPr>
      <w:r w:rsidRPr="00446C16">
        <w:t xml:space="preserve">Statistiskā modeļa rezultāti ir </w:t>
      </w:r>
      <w:r w:rsidR="006F1E9A" w:rsidRPr="00446C16">
        <w:t>diezgan</w:t>
      </w:r>
      <w:r w:rsidRPr="00446C16">
        <w:t xml:space="preserve"> tuvi elastības modeļa rezultātiem dzīvojamām ēkām, bet pa vidu starp ekspertu vērtējumiem un elastības modeļa rezultātiem nedzīvojamām ēkām. Rezultātu atšķirības saistāmas ar atšķirībām būvniecības apjomu prognozēs. Statistisko datu trenda atšķirības apstiprina arī atsevišķu ekspertu norādes uz to, ka nedzīvojamo ēku sektorā publisko iepirkumu apjoms tuvākajos gados paredzams lielāks, nekā dzīvojamo ēku sektorā.</w:t>
      </w:r>
    </w:p>
    <w:p w14:paraId="270D245F" w14:textId="5F584CEA" w:rsidR="00364CA7" w:rsidRPr="00446C16" w:rsidRDefault="00364CA7" w:rsidP="00364CA7">
      <w:pPr>
        <w:ind w:firstLine="851"/>
        <w:jc w:val="both"/>
      </w:pPr>
      <w:r w:rsidRPr="00446C16">
        <w:t xml:space="preserve">Kombinētā prognoze uzrāda, ka kumulatīvais </w:t>
      </w:r>
      <w:r w:rsidR="0019306B" w:rsidRPr="00446C16">
        <w:t xml:space="preserve">produkcijas </w:t>
      </w:r>
      <w:r w:rsidRPr="00446C16">
        <w:t>apjoma pieaugums 2023</w:t>
      </w:r>
      <w:r w:rsidR="00100D75" w:rsidRPr="00446C16">
        <w:t>. gad</w:t>
      </w:r>
      <w:r w:rsidRPr="00446C16">
        <w:t>ā sasniegs ap 14,5% no 2018</w:t>
      </w:r>
      <w:r w:rsidR="00100D75" w:rsidRPr="00446C16">
        <w:t>. gad</w:t>
      </w:r>
      <w:r w:rsidRPr="00446C16">
        <w:t xml:space="preserve">a līmeņa dzīvojamām ēkām un 21,1% nedzīvojamām ēkām. Taču jāņem vērā, ka šīs atšķirības vērtējamas kā nosacītas, jo ievērojamas izmaksu </w:t>
      </w:r>
      <w:r w:rsidR="0019306B" w:rsidRPr="00446C16">
        <w:t xml:space="preserve">izmaiņu </w:t>
      </w:r>
      <w:r w:rsidRPr="00446C16">
        <w:t>sadaļas abos sektoros pārklājas.</w:t>
      </w:r>
    </w:p>
    <w:p w14:paraId="3E391FDC" w14:textId="598BA1BF" w:rsidR="00364CA7" w:rsidRPr="00446C16" w:rsidRDefault="00364CA7" w:rsidP="00364CA7">
      <w:pPr>
        <w:ind w:firstLine="851"/>
        <w:jc w:val="both"/>
      </w:pPr>
      <w:r w:rsidRPr="00446C16">
        <w:t>Sadalījumā pa resursu veidiem</w:t>
      </w:r>
      <w:r w:rsidR="006F1E9A" w:rsidRPr="00446C16">
        <w:t>,</w:t>
      </w:r>
      <w:r w:rsidRPr="00446C16">
        <w:t xml:space="preserve"> apakšnozares ekspertu viedokļi uzrāda, ka būtiskākais faktors, kas ietekmēs darbaspēka izmaks</w:t>
      </w:r>
      <w:r w:rsidR="0019306B" w:rsidRPr="00446C16">
        <w:t>u izmaiņas</w:t>
      </w:r>
      <w:r w:rsidRPr="00446C16">
        <w:t xml:space="preserve"> ir būvniecības </w:t>
      </w:r>
      <w:r w:rsidR="0019306B" w:rsidRPr="00446C16">
        <w:t xml:space="preserve">produkcijas </w:t>
      </w:r>
      <w:r w:rsidRPr="00446C16">
        <w:t xml:space="preserve">apjoms Latvijā. Iedzīvotājiem pieejamie resursi un būvniecības profesionālās izglītības speciālistu īpatsvars abos sektoros ir otrajā vietā, bet darbaspēka samaksas līmenis Latvijā citās nozarēs – trešajā. Attiecībā uz būvmateriālu izmaksu </w:t>
      </w:r>
      <w:r w:rsidR="00D17547" w:rsidRPr="00446C16">
        <w:rPr>
          <w:rStyle w:val="st"/>
        </w:rPr>
        <w:t xml:space="preserve">izmaiņas </w:t>
      </w:r>
      <w:r w:rsidRPr="00446C16">
        <w:t>ietekmējošiem faktoriem ir līdzīgi, izņemot to, ka otrajā vietā ir tikai ar finanšu resursiem pieejamie faktori, bet trešajā vietā – IKP dinamika.</w:t>
      </w:r>
    </w:p>
    <w:p w14:paraId="30882279" w14:textId="5CC8F613" w:rsidR="00364CA7" w:rsidRPr="00446C16" w:rsidRDefault="00364CA7" w:rsidP="00364CA7">
      <w:pPr>
        <w:jc w:val="center"/>
        <w:rPr>
          <w:rFonts w:cstheme="minorHAnsi"/>
          <w:b/>
          <w:bCs/>
          <w:sz w:val="20"/>
          <w:szCs w:val="22"/>
        </w:rPr>
      </w:pPr>
      <w:r w:rsidRPr="00446C16">
        <w:rPr>
          <w:b/>
          <w:bCs/>
          <w:sz w:val="20"/>
          <w:szCs w:val="18"/>
        </w:rPr>
        <w:t>Tabula</w:t>
      </w:r>
      <w:r w:rsidRPr="00446C16">
        <w:rPr>
          <w:rFonts w:cs="Arial"/>
          <w:b/>
          <w:bCs/>
          <w:color w:val="222222"/>
          <w:sz w:val="20"/>
          <w:szCs w:val="18"/>
        </w:rPr>
        <w:t xml:space="preserve"> </w:t>
      </w:r>
      <w:r w:rsidR="00312B9B" w:rsidRPr="00446C16">
        <w:rPr>
          <w:rFonts w:cs="Arial"/>
          <w:b/>
          <w:bCs/>
          <w:color w:val="222222"/>
          <w:sz w:val="20"/>
          <w:szCs w:val="18"/>
        </w:rPr>
        <w:t xml:space="preserve">Nr. </w:t>
      </w:r>
      <w:r w:rsidR="00E76FAA" w:rsidRPr="00446C16">
        <w:rPr>
          <w:rFonts w:cs="Arial"/>
          <w:b/>
          <w:bCs/>
          <w:color w:val="222222"/>
          <w:sz w:val="20"/>
          <w:szCs w:val="18"/>
        </w:rPr>
        <w:t>7</w:t>
      </w:r>
      <w:r w:rsidRPr="00446C16">
        <w:rPr>
          <w:rFonts w:cs="Arial"/>
          <w:b/>
          <w:bCs/>
          <w:color w:val="222222"/>
          <w:sz w:val="20"/>
          <w:szCs w:val="18"/>
        </w:rPr>
        <w:t>. Darbaspēka un būvmateriālu izmaksu izmaiņas ietekmējošie faktori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5"/>
      </w:tblGrid>
      <w:tr w:rsidR="00364CA7" w:rsidRPr="00446C16" w14:paraId="35545084" w14:textId="77777777" w:rsidTr="00FC437E">
        <w:trPr>
          <w:trHeight w:val="300"/>
        </w:trPr>
        <w:tc>
          <w:tcPr>
            <w:tcW w:w="7366" w:type="dxa"/>
            <w:shd w:val="clear" w:color="auto" w:fill="1F3763"/>
            <w:noWrap/>
            <w:vAlign w:val="bottom"/>
          </w:tcPr>
          <w:p w14:paraId="719F56D8" w14:textId="77777777" w:rsidR="00364CA7" w:rsidRPr="00446C16" w:rsidRDefault="00364CA7" w:rsidP="00FC437E">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Faktors, kas ietekmē darbaspēka izmaksu izmaiņas dzīvojamo ēku būvniecības  apakšnozarē</w:t>
            </w:r>
          </w:p>
        </w:tc>
        <w:tc>
          <w:tcPr>
            <w:tcW w:w="1985" w:type="dxa"/>
            <w:shd w:val="clear" w:color="auto" w:fill="1F3763"/>
            <w:noWrap/>
            <w:vAlign w:val="bottom"/>
          </w:tcPr>
          <w:p w14:paraId="08D382F9" w14:textId="77777777" w:rsidR="00364CA7" w:rsidRPr="00446C16" w:rsidRDefault="00364CA7" w:rsidP="00FC437E">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Vidējais vērtējums</w:t>
            </w:r>
          </w:p>
        </w:tc>
      </w:tr>
      <w:tr w:rsidR="00364CA7" w:rsidRPr="00446C16" w14:paraId="231FDBA2" w14:textId="77777777" w:rsidTr="00FC437E">
        <w:trPr>
          <w:trHeight w:val="300"/>
        </w:trPr>
        <w:tc>
          <w:tcPr>
            <w:tcW w:w="7366" w:type="dxa"/>
            <w:shd w:val="clear" w:color="auto" w:fill="auto"/>
            <w:noWrap/>
            <w:vAlign w:val="bottom"/>
            <w:hideMark/>
          </w:tcPr>
          <w:p w14:paraId="7EA1AB6B" w14:textId="46B7F57E"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Būvniecības</w:t>
            </w:r>
            <w:r w:rsidR="00DA5EF2" w:rsidRPr="00446C16">
              <w:t xml:space="preserve"> </w:t>
            </w:r>
            <w:r w:rsidR="00DA5EF2" w:rsidRPr="00446C16">
              <w:rPr>
                <w:rFonts w:cstheme="minorHAnsi"/>
                <w:color w:val="000000"/>
                <w:sz w:val="18"/>
                <w:szCs w:val="18"/>
              </w:rPr>
              <w:t>produkcijas</w:t>
            </w:r>
            <w:r w:rsidRPr="00446C16">
              <w:rPr>
                <w:rFonts w:cstheme="minorHAnsi"/>
                <w:color w:val="000000"/>
                <w:sz w:val="18"/>
                <w:szCs w:val="18"/>
              </w:rPr>
              <w:t xml:space="preserve"> apjoms Latvijā</w:t>
            </w:r>
          </w:p>
        </w:tc>
        <w:tc>
          <w:tcPr>
            <w:tcW w:w="1985" w:type="dxa"/>
            <w:shd w:val="clear" w:color="auto" w:fill="auto"/>
            <w:noWrap/>
            <w:vAlign w:val="bottom"/>
            <w:hideMark/>
          </w:tcPr>
          <w:p w14:paraId="1B3A356A"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7,83</w:t>
            </w:r>
          </w:p>
        </w:tc>
      </w:tr>
      <w:tr w:rsidR="00364CA7" w:rsidRPr="00446C16" w14:paraId="33F0BB18" w14:textId="77777777" w:rsidTr="00FC437E">
        <w:trPr>
          <w:trHeight w:val="300"/>
        </w:trPr>
        <w:tc>
          <w:tcPr>
            <w:tcW w:w="7366" w:type="dxa"/>
            <w:shd w:val="clear" w:color="auto" w:fill="auto"/>
            <w:noWrap/>
            <w:vAlign w:val="bottom"/>
          </w:tcPr>
          <w:p w14:paraId="18398B34" w14:textId="77777777"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Iedzīvotājiem pieejamie resursi (pašu/ bankas, utt.)</w:t>
            </w:r>
          </w:p>
        </w:tc>
        <w:tc>
          <w:tcPr>
            <w:tcW w:w="1985" w:type="dxa"/>
            <w:shd w:val="clear" w:color="auto" w:fill="auto"/>
            <w:noWrap/>
            <w:vAlign w:val="bottom"/>
          </w:tcPr>
          <w:p w14:paraId="729E09F4"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6,33</w:t>
            </w:r>
          </w:p>
        </w:tc>
      </w:tr>
      <w:tr w:rsidR="00364CA7" w:rsidRPr="00446C16" w14:paraId="251B2437" w14:textId="77777777" w:rsidTr="00FC437E">
        <w:trPr>
          <w:trHeight w:val="300"/>
        </w:trPr>
        <w:tc>
          <w:tcPr>
            <w:tcW w:w="7366" w:type="dxa"/>
            <w:shd w:val="clear" w:color="auto" w:fill="auto"/>
            <w:noWrap/>
            <w:vAlign w:val="bottom"/>
          </w:tcPr>
          <w:p w14:paraId="35465F76" w14:textId="77777777"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Iedzīvotāju īpatsvars ar profesionālo izglītību ar būvniecību saistītās profesijās</w:t>
            </w:r>
          </w:p>
        </w:tc>
        <w:tc>
          <w:tcPr>
            <w:tcW w:w="1985" w:type="dxa"/>
            <w:shd w:val="clear" w:color="auto" w:fill="auto"/>
            <w:noWrap/>
            <w:vAlign w:val="bottom"/>
          </w:tcPr>
          <w:p w14:paraId="67C9003D"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5,75</w:t>
            </w:r>
          </w:p>
        </w:tc>
      </w:tr>
      <w:tr w:rsidR="00364CA7" w:rsidRPr="00446C16" w14:paraId="122BF904" w14:textId="77777777" w:rsidTr="00FC437E">
        <w:trPr>
          <w:trHeight w:val="300"/>
        </w:trPr>
        <w:tc>
          <w:tcPr>
            <w:tcW w:w="7366" w:type="dxa"/>
            <w:shd w:val="clear" w:color="auto" w:fill="auto"/>
            <w:noWrap/>
            <w:vAlign w:val="bottom"/>
            <w:hideMark/>
          </w:tcPr>
          <w:p w14:paraId="1D4915B8" w14:textId="77777777"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Darbaspēka samaksas līmenis Latvijā citās nozarēs (ne būvniecība)</w:t>
            </w:r>
          </w:p>
        </w:tc>
        <w:tc>
          <w:tcPr>
            <w:tcW w:w="1985" w:type="dxa"/>
            <w:shd w:val="clear" w:color="auto" w:fill="auto"/>
            <w:noWrap/>
            <w:vAlign w:val="bottom"/>
            <w:hideMark/>
          </w:tcPr>
          <w:p w14:paraId="17D2EF1D"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5,50</w:t>
            </w:r>
          </w:p>
        </w:tc>
      </w:tr>
    </w:tbl>
    <w:p w14:paraId="3BFCBAE3" w14:textId="77777777" w:rsidR="00364CA7" w:rsidRPr="00446C16" w:rsidRDefault="00364CA7" w:rsidP="00364CA7">
      <w:pPr>
        <w:rPr>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5"/>
      </w:tblGrid>
      <w:tr w:rsidR="00364CA7" w:rsidRPr="00446C16" w14:paraId="42C38230" w14:textId="77777777" w:rsidTr="00FC437E">
        <w:trPr>
          <w:trHeight w:val="300"/>
        </w:trPr>
        <w:tc>
          <w:tcPr>
            <w:tcW w:w="7366" w:type="dxa"/>
            <w:shd w:val="clear" w:color="auto" w:fill="1F3763"/>
            <w:noWrap/>
            <w:vAlign w:val="bottom"/>
          </w:tcPr>
          <w:p w14:paraId="699A654A" w14:textId="77777777" w:rsidR="00364CA7" w:rsidRPr="00446C16" w:rsidRDefault="00364CA7" w:rsidP="00FC437E">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Faktors, kas ietekmē darbaspēka izmaksu izmaiņas nedzīvojamo ēku būvniecības  apakšnozarē</w:t>
            </w:r>
          </w:p>
        </w:tc>
        <w:tc>
          <w:tcPr>
            <w:tcW w:w="1985" w:type="dxa"/>
            <w:shd w:val="clear" w:color="auto" w:fill="1F3763"/>
            <w:noWrap/>
            <w:vAlign w:val="bottom"/>
          </w:tcPr>
          <w:p w14:paraId="632CA504" w14:textId="77777777" w:rsidR="00364CA7" w:rsidRPr="00446C16" w:rsidRDefault="00364CA7" w:rsidP="00FC437E">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Vidējais vērtējums</w:t>
            </w:r>
          </w:p>
        </w:tc>
      </w:tr>
      <w:tr w:rsidR="00364CA7" w:rsidRPr="00446C16" w14:paraId="1C1AC9F9" w14:textId="77777777" w:rsidTr="00FC437E">
        <w:trPr>
          <w:trHeight w:val="300"/>
        </w:trPr>
        <w:tc>
          <w:tcPr>
            <w:tcW w:w="7366" w:type="dxa"/>
            <w:shd w:val="clear" w:color="auto" w:fill="auto"/>
            <w:noWrap/>
            <w:vAlign w:val="bottom"/>
            <w:hideMark/>
          </w:tcPr>
          <w:p w14:paraId="61664F51" w14:textId="4B742FCB"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Būvniecības</w:t>
            </w:r>
            <w:r w:rsidR="00DA5EF2" w:rsidRPr="00446C16">
              <w:t xml:space="preserve"> </w:t>
            </w:r>
            <w:r w:rsidR="00DA5EF2" w:rsidRPr="00446C16">
              <w:rPr>
                <w:rFonts w:cstheme="minorHAnsi"/>
                <w:color w:val="000000"/>
                <w:sz w:val="18"/>
                <w:szCs w:val="18"/>
              </w:rPr>
              <w:t>produkcijas</w:t>
            </w:r>
            <w:r w:rsidRPr="00446C16">
              <w:rPr>
                <w:rFonts w:cstheme="minorHAnsi"/>
                <w:color w:val="000000"/>
                <w:sz w:val="18"/>
                <w:szCs w:val="18"/>
              </w:rPr>
              <w:t xml:space="preserve"> apjoms Latvijā</w:t>
            </w:r>
          </w:p>
        </w:tc>
        <w:tc>
          <w:tcPr>
            <w:tcW w:w="1985" w:type="dxa"/>
            <w:shd w:val="clear" w:color="auto" w:fill="auto"/>
            <w:noWrap/>
            <w:vAlign w:val="bottom"/>
            <w:hideMark/>
          </w:tcPr>
          <w:p w14:paraId="2CFDB523"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7,92</w:t>
            </w:r>
          </w:p>
        </w:tc>
      </w:tr>
      <w:tr w:rsidR="00364CA7" w:rsidRPr="00446C16" w14:paraId="26B34133" w14:textId="77777777" w:rsidTr="00FC437E">
        <w:trPr>
          <w:trHeight w:val="300"/>
        </w:trPr>
        <w:tc>
          <w:tcPr>
            <w:tcW w:w="7366" w:type="dxa"/>
            <w:shd w:val="clear" w:color="auto" w:fill="auto"/>
            <w:noWrap/>
            <w:vAlign w:val="bottom"/>
          </w:tcPr>
          <w:p w14:paraId="4AC30928" w14:textId="77777777"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Iedzīvotāju īpatsvars ar profesionālo izglītību ar būvniecību saistītās profesijās</w:t>
            </w:r>
          </w:p>
        </w:tc>
        <w:tc>
          <w:tcPr>
            <w:tcW w:w="1985" w:type="dxa"/>
            <w:shd w:val="clear" w:color="auto" w:fill="auto"/>
            <w:noWrap/>
            <w:vAlign w:val="bottom"/>
          </w:tcPr>
          <w:p w14:paraId="37432A1C"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5,67</w:t>
            </w:r>
          </w:p>
        </w:tc>
      </w:tr>
      <w:tr w:rsidR="00364CA7" w:rsidRPr="00446C16" w14:paraId="691F86FC" w14:textId="77777777" w:rsidTr="00FC437E">
        <w:trPr>
          <w:trHeight w:val="300"/>
        </w:trPr>
        <w:tc>
          <w:tcPr>
            <w:tcW w:w="7366" w:type="dxa"/>
            <w:shd w:val="clear" w:color="auto" w:fill="auto"/>
            <w:noWrap/>
            <w:vAlign w:val="bottom"/>
            <w:hideMark/>
          </w:tcPr>
          <w:p w14:paraId="45D910E0" w14:textId="77777777"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Iedzīvotājiem pieejamie resursi (pašu/ bankas, utt.)</w:t>
            </w:r>
          </w:p>
        </w:tc>
        <w:tc>
          <w:tcPr>
            <w:tcW w:w="1985" w:type="dxa"/>
            <w:shd w:val="clear" w:color="auto" w:fill="auto"/>
            <w:noWrap/>
            <w:vAlign w:val="bottom"/>
            <w:hideMark/>
          </w:tcPr>
          <w:p w14:paraId="336948ED"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5,25</w:t>
            </w:r>
          </w:p>
        </w:tc>
      </w:tr>
      <w:tr w:rsidR="00364CA7" w:rsidRPr="00446C16" w14:paraId="576ABC33" w14:textId="77777777" w:rsidTr="00FC437E">
        <w:trPr>
          <w:trHeight w:val="300"/>
        </w:trPr>
        <w:tc>
          <w:tcPr>
            <w:tcW w:w="7366" w:type="dxa"/>
            <w:shd w:val="clear" w:color="auto" w:fill="auto"/>
            <w:noWrap/>
            <w:vAlign w:val="bottom"/>
            <w:hideMark/>
          </w:tcPr>
          <w:p w14:paraId="798A580C" w14:textId="77777777"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Darbaspēka samaksas līmenis Latvijā citās nozarēs (ne būvniecība)</w:t>
            </w:r>
          </w:p>
        </w:tc>
        <w:tc>
          <w:tcPr>
            <w:tcW w:w="1985" w:type="dxa"/>
            <w:shd w:val="clear" w:color="auto" w:fill="auto"/>
            <w:noWrap/>
            <w:vAlign w:val="bottom"/>
            <w:hideMark/>
          </w:tcPr>
          <w:p w14:paraId="4B60B0C8"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5,33</w:t>
            </w:r>
          </w:p>
        </w:tc>
      </w:tr>
    </w:tbl>
    <w:p w14:paraId="34C2DEAC" w14:textId="77777777" w:rsidR="00364CA7" w:rsidRPr="00446C16" w:rsidRDefault="00364CA7" w:rsidP="00364CA7">
      <w:pPr>
        <w:rPr>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5"/>
      </w:tblGrid>
      <w:tr w:rsidR="00364CA7" w:rsidRPr="00446C16" w14:paraId="3D578663" w14:textId="77777777" w:rsidTr="00FC437E">
        <w:trPr>
          <w:trHeight w:val="295"/>
        </w:trPr>
        <w:tc>
          <w:tcPr>
            <w:tcW w:w="7366" w:type="dxa"/>
            <w:shd w:val="clear" w:color="auto" w:fill="1F3763"/>
            <w:noWrap/>
            <w:vAlign w:val="bottom"/>
          </w:tcPr>
          <w:p w14:paraId="32E546C6" w14:textId="77777777" w:rsidR="00364CA7" w:rsidRPr="00446C16" w:rsidRDefault="00364CA7" w:rsidP="00FC437E">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Faktors, kas ietekmē būvmateriālu izmaksu izmaiņas dzīvojamo ēku būvniecības  apakšnozarē</w:t>
            </w:r>
          </w:p>
        </w:tc>
        <w:tc>
          <w:tcPr>
            <w:tcW w:w="1985" w:type="dxa"/>
            <w:shd w:val="clear" w:color="auto" w:fill="1F3763"/>
            <w:noWrap/>
            <w:vAlign w:val="bottom"/>
          </w:tcPr>
          <w:p w14:paraId="20D8EF0D" w14:textId="77777777" w:rsidR="00364CA7" w:rsidRPr="00446C16" w:rsidRDefault="00364CA7" w:rsidP="00FC437E">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Vidējais vērtējums</w:t>
            </w:r>
          </w:p>
        </w:tc>
      </w:tr>
      <w:tr w:rsidR="00364CA7" w:rsidRPr="00446C16" w14:paraId="6D129548" w14:textId="77777777" w:rsidTr="00FC437E">
        <w:trPr>
          <w:trHeight w:val="295"/>
        </w:trPr>
        <w:tc>
          <w:tcPr>
            <w:tcW w:w="7366" w:type="dxa"/>
            <w:shd w:val="clear" w:color="auto" w:fill="auto"/>
            <w:noWrap/>
            <w:vAlign w:val="bottom"/>
            <w:hideMark/>
          </w:tcPr>
          <w:p w14:paraId="61CB5470" w14:textId="40C4118A"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 xml:space="preserve">Būvniecības </w:t>
            </w:r>
            <w:r w:rsidR="00DA5EF2" w:rsidRPr="00446C16">
              <w:rPr>
                <w:rFonts w:cstheme="minorHAnsi"/>
                <w:color w:val="000000"/>
                <w:sz w:val="18"/>
                <w:szCs w:val="18"/>
              </w:rPr>
              <w:t xml:space="preserve">produkcijas </w:t>
            </w:r>
            <w:r w:rsidRPr="00446C16">
              <w:rPr>
                <w:rFonts w:cstheme="minorHAnsi"/>
                <w:color w:val="000000"/>
                <w:sz w:val="18"/>
                <w:szCs w:val="18"/>
              </w:rPr>
              <w:t>apjoms valstī</w:t>
            </w:r>
          </w:p>
        </w:tc>
        <w:tc>
          <w:tcPr>
            <w:tcW w:w="1985" w:type="dxa"/>
            <w:shd w:val="clear" w:color="auto" w:fill="auto"/>
            <w:noWrap/>
            <w:vAlign w:val="bottom"/>
            <w:hideMark/>
          </w:tcPr>
          <w:p w14:paraId="507329AC"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6,75</w:t>
            </w:r>
          </w:p>
        </w:tc>
      </w:tr>
      <w:tr w:rsidR="00364CA7" w:rsidRPr="00446C16" w14:paraId="759D495A" w14:textId="77777777" w:rsidTr="00FC437E">
        <w:trPr>
          <w:trHeight w:val="295"/>
        </w:trPr>
        <w:tc>
          <w:tcPr>
            <w:tcW w:w="7366" w:type="dxa"/>
            <w:shd w:val="clear" w:color="auto" w:fill="auto"/>
            <w:noWrap/>
            <w:vAlign w:val="bottom"/>
            <w:hideMark/>
          </w:tcPr>
          <w:p w14:paraId="7CF5D746" w14:textId="77777777"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Nekustamā īpašuma kreditēšanas apjomi valstī</w:t>
            </w:r>
          </w:p>
        </w:tc>
        <w:tc>
          <w:tcPr>
            <w:tcW w:w="1985" w:type="dxa"/>
            <w:shd w:val="clear" w:color="auto" w:fill="auto"/>
            <w:noWrap/>
            <w:vAlign w:val="bottom"/>
            <w:hideMark/>
          </w:tcPr>
          <w:p w14:paraId="7E509CD3"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6,25</w:t>
            </w:r>
          </w:p>
        </w:tc>
      </w:tr>
      <w:tr w:rsidR="00364CA7" w:rsidRPr="00446C16" w14:paraId="278ECF96" w14:textId="77777777" w:rsidTr="00FC437E">
        <w:trPr>
          <w:trHeight w:val="295"/>
        </w:trPr>
        <w:tc>
          <w:tcPr>
            <w:tcW w:w="7366" w:type="dxa"/>
            <w:shd w:val="clear" w:color="auto" w:fill="auto"/>
            <w:noWrap/>
            <w:vAlign w:val="bottom"/>
            <w:hideMark/>
          </w:tcPr>
          <w:p w14:paraId="2E1407E5" w14:textId="77777777"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Iedzīvotājiem pieejamie resursi (pašu/ bankas, utt.)</w:t>
            </w:r>
          </w:p>
        </w:tc>
        <w:tc>
          <w:tcPr>
            <w:tcW w:w="1985" w:type="dxa"/>
            <w:shd w:val="clear" w:color="auto" w:fill="auto"/>
            <w:noWrap/>
            <w:vAlign w:val="bottom"/>
            <w:hideMark/>
          </w:tcPr>
          <w:p w14:paraId="517F9BF4"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6,00</w:t>
            </w:r>
          </w:p>
        </w:tc>
      </w:tr>
      <w:tr w:rsidR="00364CA7" w:rsidRPr="00446C16" w14:paraId="0E305ED2" w14:textId="77777777" w:rsidTr="00FC437E">
        <w:trPr>
          <w:trHeight w:val="295"/>
        </w:trPr>
        <w:tc>
          <w:tcPr>
            <w:tcW w:w="7366" w:type="dxa"/>
            <w:shd w:val="clear" w:color="auto" w:fill="auto"/>
            <w:noWrap/>
            <w:vAlign w:val="bottom"/>
            <w:hideMark/>
          </w:tcPr>
          <w:p w14:paraId="2CBE6F35" w14:textId="77777777"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Iekšzemes kopprodukta izmaiņas valstī</w:t>
            </w:r>
          </w:p>
        </w:tc>
        <w:tc>
          <w:tcPr>
            <w:tcW w:w="1985" w:type="dxa"/>
            <w:shd w:val="clear" w:color="auto" w:fill="auto"/>
            <w:noWrap/>
            <w:vAlign w:val="bottom"/>
            <w:hideMark/>
          </w:tcPr>
          <w:p w14:paraId="20BD0332"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4,83</w:t>
            </w:r>
          </w:p>
        </w:tc>
      </w:tr>
    </w:tbl>
    <w:p w14:paraId="70B266F8" w14:textId="77777777" w:rsidR="00364CA7" w:rsidRPr="00446C16" w:rsidRDefault="00364CA7" w:rsidP="00364CA7">
      <w:pPr>
        <w:rPr>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5"/>
      </w:tblGrid>
      <w:tr w:rsidR="00364CA7" w:rsidRPr="00446C16" w14:paraId="13757DAF" w14:textId="77777777" w:rsidTr="00FC437E">
        <w:trPr>
          <w:trHeight w:val="300"/>
        </w:trPr>
        <w:tc>
          <w:tcPr>
            <w:tcW w:w="7366" w:type="dxa"/>
            <w:shd w:val="clear" w:color="auto" w:fill="1F3763"/>
            <w:noWrap/>
            <w:vAlign w:val="bottom"/>
          </w:tcPr>
          <w:p w14:paraId="07251948" w14:textId="77777777" w:rsidR="00364CA7" w:rsidRPr="00446C16" w:rsidRDefault="00364CA7" w:rsidP="00FC437E">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Faktors, kas ietekmē būvmateriālu izmaksu izmaiņas nedzīvojamo ēku būvniecības apakšnozarē</w:t>
            </w:r>
          </w:p>
        </w:tc>
        <w:tc>
          <w:tcPr>
            <w:tcW w:w="1985" w:type="dxa"/>
            <w:shd w:val="clear" w:color="auto" w:fill="1F3763"/>
            <w:noWrap/>
            <w:vAlign w:val="bottom"/>
          </w:tcPr>
          <w:p w14:paraId="354782E6" w14:textId="77777777" w:rsidR="00364CA7" w:rsidRPr="00446C16" w:rsidRDefault="00364CA7" w:rsidP="00FC437E">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Vidējais vērtējums</w:t>
            </w:r>
          </w:p>
        </w:tc>
      </w:tr>
      <w:tr w:rsidR="00364CA7" w:rsidRPr="00446C16" w14:paraId="51118777" w14:textId="77777777" w:rsidTr="00FC437E">
        <w:trPr>
          <w:trHeight w:val="300"/>
        </w:trPr>
        <w:tc>
          <w:tcPr>
            <w:tcW w:w="7366" w:type="dxa"/>
            <w:shd w:val="clear" w:color="auto" w:fill="auto"/>
            <w:noWrap/>
            <w:vAlign w:val="bottom"/>
            <w:hideMark/>
          </w:tcPr>
          <w:p w14:paraId="1D636B08" w14:textId="3EEB9720"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 xml:space="preserve">Būvniecības </w:t>
            </w:r>
            <w:r w:rsidR="00DA5EF2" w:rsidRPr="00446C16">
              <w:rPr>
                <w:rFonts w:cstheme="minorHAnsi"/>
                <w:color w:val="000000"/>
                <w:sz w:val="18"/>
                <w:szCs w:val="18"/>
              </w:rPr>
              <w:t xml:space="preserve">produkcijas </w:t>
            </w:r>
            <w:r w:rsidRPr="00446C16">
              <w:rPr>
                <w:rFonts w:cstheme="minorHAnsi"/>
                <w:color w:val="000000"/>
                <w:sz w:val="18"/>
                <w:szCs w:val="18"/>
              </w:rPr>
              <w:t>apjoms valstī</w:t>
            </w:r>
          </w:p>
        </w:tc>
        <w:tc>
          <w:tcPr>
            <w:tcW w:w="1985" w:type="dxa"/>
            <w:shd w:val="clear" w:color="auto" w:fill="auto"/>
            <w:noWrap/>
            <w:vAlign w:val="bottom"/>
            <w:hideMark/>
          </w:tcPr>
          <w:p w14:paraId="0A0DDE30"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6,75</w:t>
            </w:r>
          </w:p>
        </w:tc>
      </w:tr>
      <w:tr w:rsidR="00364CA7" w:rsidRPr="00446C16" w14:paraId="7F3358D7" w14:textId="77777777" w:rsidTr="00FC437E">
        <w:trPr>
          <w:trHeight w:val="300"/>
        </w:trPr>
        <w:tc>
          <w:tcPr>
            <w:tcW w:w="7366" w:type="dxa"/>
            <w:shd w:val="clear" w:color="auto" w:fill="auto"/>
            <w:noWrap/>
            <w:vAlign w:val="bottom"/>
            <w:hideMark/>
          </w:tcPr>
          <w:p w14:paraId="2886CAA1" w14:textId="77777777"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Nekustamā īpašuma kreditēšanas apjomi valstī</w:t>
            </w:r>
          </w:p>
        </w:tc>
        <w:tc>
          <w:tcPr>
            <w:tcW w:w="1985" w:type="dxa"/>
            <w:shd w:val="clear" w:color="auto" w:fill="auto"/>
            <w:noWrap/>
            <w:vAlign w:val="bottom"/>
            <w:hideMark/>
          </w:tcPr>
          <w:p w14:paraId="561859A1"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6,08</w:t>
            </w:r>
          </w:p>
        </w:tc>
      </w:tr>
      <w:tr w:rsidR="00364CA7" w:rsidRPr="00446C16" w14:paraId="5D4211F0" w14:textId="77777777" w:rsidTr="00FC437E">
        <w:trPr>
          <w:trHeight w:val="300"/>
        </w:trPr>
        <w:tc>
          <w:tcPr>
            <w:tcW w:w="7366" w:type="dxa"/>
            <w:shd w:val="clear" w:color="auto" w:fill="auto"/>
            <w:noWrap/>
            <w:vAlign w:val="bottom"/>
            <w:hideMark/>
          </w:tcPr>
          <w:p w14:paraId="6FE42AC3" w14:textId="77777777"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Iedzīvotājiem pieejamie resursi (pašu/ bankas, utt.)</w:t>
            </w:r>
          </w:p>
        </w:tc>
        <w:tc>
          <w:tcPr>
            <w:tcW w:w="1985" w:type="dxa"/>
            <w:shd w:val="clear" w:color="auto" w:fill="auto"/>
            <w:noWrap/>
            <w:vAlign w:val="bottom"/>
            <w:hideMark/>
          </w:tcPr>
          <w:p w14:paraId="1F496205"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5,17</w:t>
            </w:r>
          </w:p>
        </w:tc>
      </w:tr>
      <w:tr w:rsidR="00364CA7" w:rsidRPr="00446C16" w14:paraId="082682A4" w14:textId="77777777" w:rsidTr="00FC437E">
        <w:trPr>
          <w:trHeight w:val="300"/>
        </w:trPr>
        <w:tc>
          <w:tcPr>
            <w:tcW w:w="7366" w:type="dxa"/>
            <w:shd w:val="clear" w:color="auto" w:fill="auto"/>
            <w:noWrap/>
            <w:vAlign w:val="bottom"/>
            <w:hideMark/>
          </w:tcPr>
          <w:p w14:paraId="4AB6FFE6" w14:textId="77777777" w:rsidR="00364CA7" w:rsidRPr="00446C16" w:rsidRDefault="00364CA7" w:rsidP="00FC437E">
            <w:pPr>
              <w:spacing w:before="0" w:after="0"/>
              <w:rPr>
                <w:rFonts w:cstheme="minorHAnsi"/>
                <w:color w:val="000000"/>
                <w:sz w:val="18"/>
                <w:szCs w:val="18"/>
              </w:rPr>
            </w:pPr>
            <w:r w:rsidRPr="00446C16">
              <w:rPr>
                <w:rFonts w:cstheme="minorHAnsi"/>
                <w:color w:val="000000"/>
                <w:sz w:val="18"/>
                <w:szCs w:val="18"/>
              </w:rPr>
              <w:t>Iekšzemes kopprodukta izmaiņas valstī</w:t>
            </w:r>
          </w:p>
        </w:tc>
        <w:tc>
          <w:tcPr>
            <w:tcW w:w="1985" w:type="dxa"/>
            <w:shd w:val="clear" w:color="auto" w:fill="auto"/>
            <w:noWrap/>
            <w:vAlign w:val="bottom"/>
            <w:hideMark/>
          </w:tcPr>
          <w:p w14:paraId="698400FB" w14:textId="77777777" w:rsidR="00364CA7" w:rsidRPr="00446C16" w:rsidRDefault="00364CA7" w:rsidP="00FC437E">
            <w:pPr>
              <w:spacing w:before="0" w:after="0"/>
              <w:jc w:val="center"/>
              <w:rPr>
                <w:rFonts w:cstheme="minorHAnsi"/>
                <w:color w:val="000000"/>
                <w:sz w:val="18"/>
                <w:szCs w:val="18"/>
              </w:rPr>
            </w:pPr>
            <w:r w:rsidRPr="00446C16">
              <w:rPr>
                <w:rFonts w:cstheme="minorHAnsi"/>
                <w:color w:val="000000"/>
                <w:sz w:val="18"/>
                <w:szCs w:val="18"/>
              </w:rPr>
              <w:t>5,25</w:t>
            </w:r>
          </w:p>
        </w:tc>
      </w:tr>
    </w:tbl>
    <w:p w14:paraId="486E7ECE" w14:textId="77777777" w:rsidR="00364CA7" w:rsidRPr="00446C16" w:rsidRDefault="00364CA7" w:rsidP="00895643">
      <w:pPr>
        <w:ind w:firstLine="851"/>
        <w:jc w:val="center"/>
        <w:rPr>
          <w:sz w:val="20"/>
          <w:szCs w:val="18"/>
        </w:rPr>
      </w:pPr>
      <w:r w:rsidRPr="00446C16">
        <w:rPr>
          <w:rFonts w:eastAsia="Times New Roman" w:cstheme="minorHAnsi"/>
          <w:color w:val="000000"/>
          <w:sz w:val="20"/>
          <w:lang w:eastAsia="en-GB"/>
        </w:rPr>
        <w:t>Avots: Ekspertu intervijas</w:t>
      </w:r>
    </w:p>
    <w:p w14:paraId="52038BA3" w14:textId="081FDEA3" w:rsidR="00364CA7" w:rsidRPr="00446C16" w:rsidRDefault="00364CA7" w:rsidP="00895643">
      <w:pPr>
        <w:ind w:firstLine="851"/>
        <w:jc w:val="both"/>
      </w:pPr>
      <w:r w:rsidRPr="00446C16">
        <w:lastRenderedPageBreak/>
        <w:t xml:space="preserve">Apakšnozares ekspertu izmaksu </w:t>
      </w:r>
      <w:r w:rsidR="00D17547" w:rsidRPr="00446C16">
        <w:t xml:space="preserve">izmaiņu </w:t>
      </w:r>
      <w:r w:rsidRPr="00446C16">
        <w:t xml:space="preserve">prognožu vērtējums pa resursu veidiem ir ļoti tuvs gan dzīvojamo, gan nedzīvojamo ēku sektoros un kopumā atbilst vērtējumam par visas būvniecības izmaksu </w:t>
      </w:r>
      <w:r w:rsidR="00B42C20" w:rsidRPr="00446C16">
        <w:t xml:space="preserve">izmaiņu </w:t>
      </w:r>
      <w:r w:rsidRPr="00446C16">
        <w:t>prognozēm pa resursu veidiem – ar cilvēkresursiem saistītajām izmaks</w:t>
      </w:r>
      <w:r w:rsidR="0019306B" w:rsidRPr="00446C16">
        <w:t xml:space="preserve">u izmaiņām </w:t>
      </w:r>
      <w:r w:rsidRPr="00446C16">
        <w:t xml:space="preserve">prognozēts straujākais pieaugums. Atšķirībā no kopējās būvniecības izmaksu </w:t>
      </w:r>
      <w:r w:rsidR="00FE4C1E" w:rsidRPr="00446C16">
        <w:t xml:space="preserve">izmaiņu </w:t>
      </w:r>
      <w:r w:rsidRPr="00446C16">
        <w:t>prognozes, ar izejmateriāliem un iekārtām saistītām izmaks</w:t>
      </w:r>
      <w:r w:rsidR="0019306B" w:rsidRPr="00446C16">
        <w:t xml:space="preserve">u izmaiņām </w:t>
      </w:r>
      <w:r w:rsidRPr="00446C16">
        <w:t>prognozēts stabilāks pieaugums.</w:t>
      </w:r>
    </w:p>
    <w:p w14:paraId="6D10CE25" w14:textId="49ACBA54" w:rsidR="00364CA7" w:rsidRPr="00446C16" w:rsidRDefault="00364CA7" w:rsidP="00364CA7">
      <w:pPr>
        <w:jc w:val="center"/>
        <w:rPr>
          <w:b/>
          <w:sz w:val="20"/>
          <w:szCs w:val="18"/>
        </w:rPr>
      </w:pPr>
      <w:r w:rsidRPr="00446C16">
        <w:rPr>
          <w:b/>
          <w:sz w:val="20"/>
          <w:szCs w:val="18"/>
        </w:rPr>
        <w:t>Attēls Nr. 1</w:t>
      </w:r>
      <w:r w:rsidR="00312B9B" w:rsidRPr="00446C16">
        <w:rPr>
          <w:b/>
          <w:sz w:val="20"/>
          <w:szCs w:val="18"/>
        </w:rPr>
        <w:t>3</w:t>
      </w:r>
      <w:r w:rsidRPr="00446C16">
        <w:rPr>
          <w:b/>
          <w:sz w:val="20"/>
          <w:szCs w:val="18"/>
        </w:rPr>
        <w:t>. Būvniecības izmaksu izmaiņu prognoze pa resursu veidiem dzīvojamo ēku apakšnozarē,</w:t>
      </w:r>
      <w:r w:rsidRPr="00446C16">
        <w:rPr>
          <w:b/>
          <w:sz w:val="18"/>
          <w:szCs w:val="18"/>
        </w:rPr>
        <w:t xml:space="preserve"> </w:t>
      </w:r>
      <w:r w:rsidRPr="00446C16">
        <w:rPr>
          <w:b/>
          <w:sz w:val="20"/>
        </w:rPr>
        <w:t>kumulatīvās izmaiņas pret 2018. gadu, %</w:t>
      </w:r>
    </w:p>
    <w:p w14:paraId="38C14ACB" w14:textId="77777777" w:rsidR="00364CA7" w:rsidRPr="00446C16" w:rsidRDefault="00364CA7" w:rsidP="00364CA7">
      <w:pPr>
        <w:jc w:val="center"/>
      </w:pPr>
      <w:r w:rsidRPr="00446C16">
        <w:rPr>
          <w:noProof/>
          <w:lang w:val="en-US"/>
        </w:rPr>
        <w:drawing>
          <wp:inline distT="0" distB="0" distL="0" distR="0" wp14:anchorId="56E49E1F" wp14:editId="1B92F404">
            <wp:extent cx="4587240" cy="2887980"/>
            <wp:effectExtent l="0" t="0" r="3810" b="762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87240" cy="2887980"/>
                    </a:xfrm>
                    <a:prstGeom prst="rect">
                      <a:avLst/>
                    </a:prstGeom>
                    <a:noFill/>
                  </pic:spPr>
                </pic:pic>
              </a:graphicData>
            </a:graphic>
          </wp:inline>
        </w:drawing>
      </w:r>
    </w:p>
    <w:p w14:paraId="6A5F1035" w14:textId="391620DE" w:rsidR="00364CA7" w:rsidRPr="00446C16" w:rsidRDefault="00364CA7" w:rsidP="00364CA7">
      <w:pPr>
        <w:spacing w:before="100" w:after="200" w:line="276" w:lineRule="auto"/>
        <w:jc w:val="center"/>
        <w:rPr>
          <w:sz w:val="20"/>
        </w:rPr>
      </w:pPr>
      <w:r w:rsidRPr="00446C16">
        <w:rPr>
          <w:sz w:val="20"/>
        </w:rPr>
        <w:t>Avots: CSP vēsturiskie dati līdz 2018. gadam (ieskaitot) un autoru veikti aprēķini, balstoties uz ekspertu vērtējumiem un izstrādātajiem modeļiem - prognoze 2019.-2023. gad</w:t>
      </w:r>
      <w:r w:rsidR="00595A05" w:rsidRPr="00446C16">
        <w:rPr>
          <w:sz w:val="20"/>
        </w:rPr>
        <w:t>iem</w:t>
      </w:r>
    </w:p>
    <w:p w14:paraId="5BFD9F83" w14:textId="7B56D2DC" w:rsidR="00364CA7" w:rsidRPr="00446C16" w:rsidRDefault="00364CA7" w:rsidP="00364CA7">
      <w:pPr>
        <w:jc w:val="center"/>
        <w:rPr>
          <w:b/>
          <w:sz w:val="20"/>
          <w:szCs w:val="18"/>
        </w:rPr>
      </w:pPr>
      <w:r w:rsidRPr="00446C16">
        <w:rPr>
          <w:b/>
          <w:sz w:val="20"/>
          <w:szCs w:val="18"/>
        </w:rPr>
        <w:t>Attēls Nr. 1</w:t>
      </w:r>
      <w:r w:rsidR="00312B9B" w:rsidRPr="00446C16">
        <w:rPr>
          <w:b/>
          <w:sz w:val="20"/>
          <w:szCs w:val="18"/>
        </w:rPr>
        <w:t>4</w:t>
      </w:r>
      <w:r w:rsidRPr="00446C16">
        <w:rPr>
          <w:b/>
          <w:sz w:val="20"/>
          <w:szCs w:val="18"/>
        </w:rPr>
        <w:t xml:space="preserve">. Būvniecības izmaksu izmaiņu prognoze pa resursu veidiem nedzīvojamo ēku apakšnozarē, </w:t>
      </w:r>
      <w:r w:rsidRPr="00446C16">
        <w:rPr>
          <w:b/>
          <w:sz w:val="20"/>
        </w:rPr>
        <w:t>kumulatīvās izmaiņas pret 2018. gadu, %</w:t>
      </w:r>
    </w:p>
    <w:p w14:paraId="2BDD51C3" w14:textId="77777777" w:rsidR="00364CA7" w:rsidRPr="00446C16" w:rsidRDefault="00364CA7" w:rsidP="00364CA7">
      <w:pPr>
        <w:jc w:val="center"/>
      </w:pPr>
      <w:r w:rsidRPr="00446C16">
        <w:rPr>
          <w:noProof/>
          <w:lang w:val="en-US"/>
        </w:rPr>
        <w:drawing>
          <wp:inline distT="0" distB="0" distL="0" distR="0" wp14:anchorId="6FA7EE61" wp14:editId="1870F088">
            <wp:extent cx="3967701" cy="2493795"/>
            <wp:effectExtent l="0" t="0" r="0" b="190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78049" cy="2500299"/>
                    </a:xfrm>
                    <a:prstGeom prst="rect">
                      <a:avLst/>
                    </a:prstGeom>
                    <a:noFill/>
                  </pic:spPr>
                </pic:pic>
              </a:graphicData>
            </a:graphic>
          </wp:inline>
        </w:drawing>
      </w:r>
    </w:p>
    <w:p w14:paraId="64967244" w14:textId="20F7AB9C" w:rsidR="00364CA7" w:rsidRPr="00446C16" w:rsidRDefault="00364CA7" w:rsidP="00364CA7">
      <w:pPr>
        <w:spacing w:before="100" w:after="200" w:line="276" w:lineRule="auto"/>
        <w:jc w:val="center"/>
        <w:rPr>
          <w:sz w:val="20"/>
        </w:rPr>
      </w:pPr>
      <w:r w:rsidRPr="00446C16">
        <w:rPr>
          <w:sz w:val="20"/>
        </w:rPr>
        <w:t>Avots: CSP vēsturiskie dati līdz 2018. gadam (ieskaitot) un autoru veikti aprēķini, balstoties uz ekspertu vērtējumiem un izstrādātajiem modeļiem - prognoze 2019.-2023. gad</w:t>
      </w:r>
      <w:r w:rsidR="00E66F08" w:rsidRPr="00446C16">
        <w:rPr>
          <w:sz w:val="20"/>
        </w:rPr>
        <w:t>iem</w:t>
      </w:r>
    </w:p>
    <w:p w14:paraId="2CF28FBE" w14:textId="5E365ADC" w:rsidR="00622874" w:rsidRDefault="00622874">
      <w:pPr>
        <w:spacing w:before="100" w:after="200" w:line="276" w:lineRule="auto"/>
        <w:rPr>
          <w:sz w:val="20"/>
        </w:rPr>
      </w:pPr>
      <w:r>
        <w:rPr>
          <w:sz w:val="20"/>
        </w:rPr>
        <w:br w:type="page"/>
      </w:r>
    </w:p>
    <w:p w14:paraId="06BFD36B" w14:textId="6CF70149" w:rsidR="00FD3359" w:rsidRPr="00446C16" w:rsidRDefault="007C14DD" w:rsidP="00FD3359">
      <w:pPr>
        <w:pStyle w:val="Heading2"/>
        <w:rPr>
          <w:rFonts w:eastAsia="Times New Roman"/>
          <w:lang w:eastAsia="en-GB"/>
        </w:rPr>
      </w:pPr>
      <w:bookmarkStart w:id="395" w:name="_Toc13492660"/>
      <w:bookmarkStart w:id="396" w:name="_Toc13574700"/>
      <w:bookmarkStart w:id="397" w:name="_Toc13576487"/>
      <w:bookmarkStart w:id="398" w:name="_Toc13580240"/>
      <w:bookmarkStart w:id="399" w:name="_Toc13673422"/>
      <w:bookmarkStart w:id="400" w:name="_Toc13673738"/>
      <w:bookmarkStart w:id="401" w:name="_Toc13492661"/>
      <w:bookmarkStart w:id="402" w:name="_Toc13574701"/>
      <w:bookmarkStart w:id="403" w:name="_Toc13576488"/>
      <w:bookmarkStart w:id="404" w:name="_Toc13580241"/>
      <w:bookmarkStart w:id="405" w:name="_Toc13673423"/>
      <w:bookmarkStart w:id="406" w:name="_Toc13673739"/>
      <w:bookmarkStart w:id="407" w:name="_Toc13492662"/>
      <w:bookmarkStart w:id="408" w:name="_Toc13574702"/>
      <w:bookmarkStart w:id="409" w:name="_Toc13576489"/>
      <w:bookmarkStart w:id="410" w:name="_Toc13580242"/>
      <w:bookmarkStart w:id="411" w:name="_Toc13673424"/>
      <w:bookmarkStart w:id="412" w:name="_Toc13673740"/>
      <w:bookmarkStart w:id="413" w:name="_Toc13492663"/>
      <w:bookmarkStart w:id="414" w:name="_Toc13574703"/>
      <w:bookmarkStart w:id="415" w:name="_Toc13576490"/>
      <w:bookmarkStart w:id="416" w:name="_Toc13580243"/>
      <w:bookmarkStart w:id="417" w:name="_Toc13673425"/>
      <w:bookmarkStart w:id="418" w:name="_Toc13673741"/>
      <w:bookmarkStart w:id="419" w:name="_Toc13492664"/>
      <w:bookmarkStart w:id="420" w:name="_Toc13574704"/>
      <w:bookmarkStart w:id="421" w:name="_Toc13576491"/>
      <w:bookmarkStart w:id="422" w:name="_Toc13580244"/>
      <w:bookmarkStart w:id="423" w:name="_Toc13673426"/>
      <w:bookmarkStart w:id="424" w:name="_Toc13673742"/>
      <w:bookmarkStart w:id="425" w:name="_Toc13492665"/>
      <w:bookmarkStart w:id="426" w:name="_Toc13574705"/>
      <w:bookmarkStart w:id="427" w:name="_Toc13576492"/>
      <w:bookmarkStart w:id="428" w:name="_Toc13580245"/>
      <w:bookmarkStart w:id="429" w:name="_Toc13673427"/>
      <w:bookmarkStart w:id="430" w:name="_Toc13673743"/>
      <w:bookmarkStart w:id="431" w:name="_Toc13492666"/>
      <w:bookmarkStart w:id="432" w:name="_Toc13574706"/>
      <w:bookmarkStart w:id="433" w:name="_Toc13576493"/>
      <w:bookmarkStart w:id="434" w:name="_Toc13580246"/>
      <w:bookmarkStart w:id="435" w:name="_Toc13673428"/>
      <w:bookmarkStart w:id="436" w:name="_Toc13673744"/>
      <w:bookmarkStart w:id="437" w:name="_Toc13492667"/>
      <w:bookmarkStart w:id="438" w:name="_Toc13574707"/>
      <w:bookmarkStart w:id="439" w:name="_Toc13576494"/>
      <w:bookmarkStart w:id="440" w:name="_Toc13580247"/>
      <w:bookmarkStart w:id="441" w:name="_Toc13673429"/>
      <w:bookmarkStart w:id="442" w:name="_Toc13673745"/>
      <w:bookmarkStart w:id="443" w:name="_Toc13492668"/>
      <w:bookmarkStart w:id="444" w:name="_Toc13574708"/>
      <w:bookmarkStart w:id="445" w:name="_Toc13576495"/>
      <w:bookmarkStart w:id="446" w:name="_Toc13580248"/>
      <w:bookmarkStart w:id="447" w:name="_Toc13673430"/>
      <w:bookmarkStart w:id="448" w:name="_Toc13673746"/>
      <w:bookmarkStart w:id="449" w:name="_Toc13492669"/>
      <w:bookmarkStart w:id="450" w:name="_Toc13574709"/>
      <w:bookmarkStart w:id="451" w:name="_Toc13576496"/>
      <w:bookmarkStart w:id="452" w:name="_Toc13580249"/>
      <w:bookmarkStart w:id="453" w:name="_Toc13673431"/>
      <w:bookmarkStart w:id="454" w:name="_Toc13673747"/>
      <w:bookmarkStart w:id="455" w:name="_Toc13492670"/>
      <w:bookmarkStart w:id="456" w:name="_Toc13574710"/>
      <w:bookmarkStart w:id="457" w:name="_Toc13576497"/>
      <w:bookmarkStart w:id="458" w:name="_Toc13580250"/>
      <w:bookmarkStart w:id="459" w:name="_Toc13673432"/>
      <w:bookmarkStart w:id="460" w:name="_Toc13673748"/>
      <w:bookmarkStart w:id="461" w:name="_Toc13492671"/>
      <w:bookmarkStart w:id="462" w:name="_Toc13574711"/>
      <w:bookmarkStart w:id="463" w:name="_Toc13576498"/>
      <w:bookmarkStart w:id="464" w:name="_Toc13580251"/>
      <w:bookmarkStart w:id="465" w:name="_Toc13673433"/>
      <w:bookmarkStart w:id="466" w:name="_Toc13673749"/>
      <w:bookmarkStart w:id="467" w:name="_Toc13492672"/>
      <w:bookmarkStart w:id="468" w:name="_Toc13574712"/>
      <w:bookmarkStart w:id="469" w:name="_Toc13576499"/>
      <w:bookmarkStart w:id="470" w:name="_Toc13580252"/>
      <w:bookmarkStart w:id="471" w:name="_Toc13673434"/>
      <w:bookmarkStart w:id="472" w:name="_Toc13673750"/>
      <w:bookmarkStart w:id="473" w:name="_Toc13492673"/>
      <w:bookmarkStart w:id="474" w:name="_Toc13574713"/>
      <w:bookmarkStart w:id="475" w:name="_Toc13576500"/>
      <w:bookmarkStart w:id="476" w:name="_Toc13580253"/>
      <w:bookmarkStart w:id="477" w:name="_Toc13673435"/>
      <w:bookmarkStart w:id="478" w:name="_Toc13673751"/>
      <w:bookmarkStart w:id="479" w:name="_Toc13492674"/>
      <w:bookmarkStart w:id="480" w:name="_Toc13574714"/>
      <w:bookmarkStart w:id="481" w:name="_Toc13576501"/>
      <w:bookmarkStart w:id="482" w:name="_Toc13580254"/>
      <w:bookmarkStart w:id="483" w:name="_Toc13673436"/>
      <w:bookmarkStart w:id="484" w:name="_Toc13673752"/>
      <w:bookmarkStart w:id="485" w:name="_Toc13492675"/>
      <w:bookmarkStart w:id="486" w:name="_Toc13574715"/>
      <w:bookmarkStart w:id="487" w:name="_Toc13576502"/>
      <w:bookmarkStart w:id="488" w:name="_Toc13580255"/>
      <w:bookmarkStart w:id="489" w:name="_Toc13673437"/>
      <w:bookmarkStart w:id="490" w:name="_Toc13673753"/>
      <w:bookmarkStart w:id="491" w:name="_Toc13492688"/>
      <w:bookmarkStart w:id="492" w:name="_Toc13574728"/>
      <w:bookmarkStart w:id="493" w:name="_Toc13576515"/>
      <w:bookmarkStart w:id="494" w:name="_Toc13580268"/>
      <w:bookmarkStart w:id="495" w:name="_Toc13673450"/>
      <w:bookmarkStart w:id="496" w:name="_Toc13673766"/>
      <w:bookmarkStart w:id="497" w:name="_Toc23163507"/>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roofErr w:type="spellStart"/>
      <w:r>
        <w:rPr>
          <w:rFonts w:eastAsia="Times New Roman"/>
          <w:lang w:eastAsia="en-GB"/>
        </w:rPr>
        <w:lastRenderedPageBreak/>
        <w:t>Transportbūvju</w:t>
      </w:r>
      <w:proofErr w:type="spellEnd"/>
      <w:r>
        <w:rPr>
          <w:rFonts w:eastAsia="Times New Roman"/>
          <w:lang w:eastAsia="en-GB"/>
        </w:rPr>
        <w:t xml:space="preserve"> </w:t>
      </w:r>
      <w:proofErr w:type="spellStart"/>
      <w:r w:rsidR="00FD3359" w:rsidRPr="00446C16">
        <w:rPr>
          <w:rFonts w:eastAsia="Times New Roman"/>
          <w:lang w:eastAsia="en-GB"/>
        </w:rPr>
        <w:t>apakšnozares</w:t>
      </w:r>
      <w:proofErr w:type="spellEnd"/>
      <w:r w:rsidR="00FD3359" w:rsidRPr="00446C16">
        <w:rPr>
          <w:rFonts w:eastAsia="Times New Roman"/>
          <w:lang w:eastAsia="en-GB"/>
        </w:rPr>
        <w:t xml:space="preserve"> </w:t>
      </w:r>
      <w:r w:rsidR="00FD3359" w:rsidRPr="00446C16">
        <w:t>izmaksu izmaiņu prognozes</w:t>
      </w:r>
      <w:bookmarkEnd w:id="497"/>
    </w:p>
    <w:p w14:paraId="5D17451D" w14:textId="306347EF" w:rsidR="00587B62" w:rsidRPr="00446C16" w:rsidRDefault="00587B62" w:rsidP="00E173D7">
      <w:pPr>
        <w:spacing w:after="0"/>
        <w:ind w:firstLine="562"/>
        <w:jc w:val="both"/>
        <w:rPr>
          <w:rFonts w:cs="Times New Roman"/>
          <w:szCs w:val="22"/>
        </w:rPr>
      </w:pPr>
      <w:proofErr w:type="spellStart"/>
      <w:r w:rsidRPr="00446C16">
        <w:rPr>
          <w:rFonts w:cs="Times New Roman"/>
          <w:szCs w:val="22"/>
        </w:rPr>
        <w:t>Transportbūvju</w:t>
      </w:r>
      <w:proofErr w:type="spellEnd"/>
      <w:r w:rsidRPr="00446C16">
        <w:rPr>
          <w:rFonts w:cs="Times New Roman"/>
          <w:szCs w:val="22"/>
        </w:rPr>
        <w:t xml:space="preserve"> būvniecības </w:t>
      </w:r>
      <w:proofErr w:type="spellStart"/>
      <w:r w:rsidRPr="00446C16">
        <w:rPr>
          <w:rFonts w:cs="Times New Roman"/>
          <w:szCs w:val="22"/>
        </w:rPr>
        <w:t>apakšnozares</w:t>
      </w:r>
      <w:proofErr w:type="spellEnd"/>
      <w:r w:rsidRPr="00446C16">
        <w:rPr>
          <w:rFonts w:cs="Times New Roman"/>
          <w:szCs w:val="22"/>
        </w:rPr>
        <w:t xml:space="preserve"> būvniecības apjomu prognozes ir izstrādātas balstoties uz detalizētāku metodoloģiju, jo pētījuma gaitā ar iesaistīto pušu atbalstu tika konstatēts, ka autoceļu un tiltu (turpmāk – autoceļi) un dzelzceļa infrastruktūras būvniecības apjomiem paredzamas radikāli pretējas attīstības tendences tuvāko </w:t>
      </w:r>
      <w:r w:rsidR="009F72CA" w:rsidRPr="00446C16">
        <w:rPr>
          <w:rFonts w:cs="Times New Roman"/>
          <w:szCs w:val="22"/>
        </w:rPr>
        <w:t xml:space="preserve">5 gadu periodā. Uzlabotā metodoloģija ietvēra atsevišķu būvniecības produkcijas apjomu prognozēšanu autoceļiem un dzelzceļiem, kopējo prognozi iegūstot summējot abu jomu rezultātus. Lai to īstenotu, tika piesaistīti papildu eksperti, kuriem tika lūgts izteikt </w:t>
      </w:r>
      <w:r w:rsidR="00DE666D">
        <w:rPr>
          <w:rFonts w:cs="Times New Roman"/>
          <w:szCs w:val="22"/>
        </w:rPr>
        <w:t>padziļinātus vērtējumus</w:t>
      </w:r>
      <w:r w:rsidRPr="00446C16">
        <w:rPr>
          <w:rFonts w:cs="Times New Roman"/>
          <w:szCs w:val="22"/>
        </w:rPr>
        <w:t>.</w:t>
      </w:r>
    </w:p>
    <w:p w14:paraId="42075CFD" w14:textId="452B09B2" w:rsidR="00587B62" w:rsidRPr="00494B88" w:rsidRDefault="00587B62" w:rsidP="00494B88">
      <w:pPr>
        <w:ind w:firstLine="851"/>
        <w:jc w:val="both"/>
        <w:rPr>
          <w:szCs w:val="22"/>
        </w:rPr>
      </w:pPr>
      <w:r w:rsidRPr="00446C16">
        <w:rPr>
          <w:rFonts w:cs="Times New Roman"/>
          <w:szCs w:val="22"/>
        </w:rPr>
        <w:t xml:space="preserve">Autoceļu infrastruktūras būvniecības jomā prognozējams straujš apjoma kritums, kas sāksies jau 2020.gadā. Autoceļu infrastruktūras būvniecības produkcijas apjoma kumulatīvās izmaiņas pret 2018.gadu paredz nelielu pieaugumu 2019. par 4.2% un kritumu 2020.gadā par 12.6%, 2021.gadā par 29.7%, 2022.gadā par 32.3% (skatīt attēlus Nr. </w:t>
      </w:r>
      <w:r w:rsidR="00E173D7">
        <w:rPr>
          <w:rFonts w:cs="Times New Roman"/>
          <w:szCs w:val="22"/>
        </w:rPr>
        <w:t>1</w:t>
      </w:r>
      <w:r w:rsidRPr="00446C16">
        <w:rPr>
          <w:rFonts w:cs="Times New Roman"/>
          <w:szCs w:val="22"/>
        </w:rPr>
        <w:t>5.). Šī prognoze ir balstīta gan uz statistisko datu trendu, gan ekspert</w:t>
      </w:r>
      <w:r w:rsidR="00A765CA">
        <w:rPr>
          <w:rFonts w:cs="Times New Roman"/>
          <w:szCs w:val="22"/>
        </w:rPr>
        <w:t>u vērtējumiem</w:t>
      </w:r>
      <w:r w:rsidRPr="00446C16">
        <w:rPr>
          <w:rFonts w:cs="Times New Roman"/>
          <w:szCs w:val="22"/>
        </w:rPr>
        <w:t xml:space="preserve">. </w:t>
      </w:r>
      <w:r w:rsidRPr="00446C16">
        <w:rPr>
          <w:szCs w:val="22"/>
        </w:rPr>
        <w:t>Statistiskais modelis norāda uz būtisku krituma r</w:t>
      </w:r>
      <w:r w:rsidR="00DE666D">
        <w:rPr>
          <w:szCs w:val="22"/>
        </w:rPr>
        <w:t>isku no 2020. gada līdz pat 2022</w:t>
      </w:r>
      <w:r w:rsidRPr="00446C16">
        <w:rPr>
          <w:szCs w:val="22"/>
        </w:rPr>
        <w:t xml:space="preserve">. gadam, līdzīgi kā tas bija 2016. gadā, saistībā ar cikliskumu ES fondu apguvē. </w:t>
      </w:r>
      <w:r w:rsidR="00DE666D">
        <w:rPr>
          <w:rFonts w:cs="Times New Roman"/>
          <w:szCs w:val="22"/>
        </w:rPr>
        <w:t xml:space="preserve">2023. gada prognožu dati bija pārāk pretrunīgi, lai izvirzītu noteiktu tendenci. </w:t>
      </w:r>
      <w:r w:rsidRPr="00446C16">
        <w:rPr>
          <w:rFonts w:cs="Times New Roman"/>
          <w:szCs w:val="22"/>
        </w:rPr>
        <w:t xml:space="preserve"> </w:t>
      </w:r>
    </w:p>
    <w:p w14:paraId="2F873BE4" w14:textId="5CF91136" w:rsidR="00587B62" w:rsidRPr="00622874" w:rsidRDefault="00587B62" w:rsidP="00622874">
      <w:pPr>
        <w:spacing w:after="0"/>
        <w:ind w:firstLine="567"/>
        <w:jc w:val="center"/>
        <w:rPr>
          <w:rFonts w:cstheme="minorHAnsi"/>
          <w:sz w:val="20"/>
        </w:rPr>
      </w:pPr>
      <w:r w:rsidRPr="00622874">
        <w:rPr>
          <w:rFonts w:cstheme="minorHAnsi"/>
          <w:b/>
          <w:bCs/>
          <w:iCs/>
          <w:sz w:val="20"/>
        </w:rPr>
        <w:t>Attēls Nr.</w:t>
      </w:r>
      <w:r w:rsidR="00494B88">
        <w:rPr>
          <w:rFonts w:cstheme="minorHAnsi"/>
          <w:b/>
          <w:bCs/>
          <w:iCs/>
          <w:sz w:val="20"/>
        </w:rPr>
        <w:t xml:space="preserve"> </w:t>
      </w:r>
      <w:r w:rsidR="00622874" w:rsidRPr="00622874">
        <w:rPr>
          <w:rFonts w:cstheme="minorHAnsi"/>
          <w:b/>
          <w:bCs/>
          <w:iCs/>
          <w:sz w:val="20"/>
        </w:rPr>
        <w:t>1</w:t>
      </w:r>
      <w:r w:rsidRPr="00622874">
        <w:rPr>
          <w:rFonts w:cstheme="minorHAnsi"/>
          <w:b/>
          <w:bCs/>
          <w:iCs/>
          <w:sz w:val="20"/>
        </w:rPr>
        <w:t>5. Autoceļu infrastruktūras būvniecības produkcijas apjoma izmaiņas līdz 2018.gadam un prognozes no 2019. līdz 2023.gadam pret 2018.gadu, %</w:t>
      </w:r>
    </w:p>
    <w:p w14:paraId="72115578" w14:textId="241B147A" w:rsidR="00587B62" w:rsidRPr="00446C16" w:rsidRDefault="00DE666D" w:rsidP="00587B62">
      <w:pPr>
        <w:spacing w:after="0" w:line="276" w:lineRule="auto"/>
        <w:ind w:firstLine="567"/>
        <w:jc w:val="center"/>
        <w:rPr>
          <w:rFonts w:ascii="Times New Roman" w:hAnsi="Times New Roman" w:cs="Times New Roman"/>
          <w:sz w:val="28"/>
          <w:szCs w:val="28"/>
        </w:rPr>
      </w:pPr>
      <w:r w:rsidRPr="00DE666D">
        <w:drawing>
          <wp:inline distT="0" distB="0" distL="0" distR="0" wp14:anchorId="3DED6470" wp14:editId="10CE5357">
            <wp:extent cx="4678326" cy="3396463"/>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690212" cy="3405092"/>
                    </a:xfrm>
                    <a:prstGeom prst="rect">
                      <a:avLst/>
                    </a:prstGeom>
                  </pic:spPr>
                </pic:pic>
              </a:graphicData>
            </a:graphic>
          </wp:inline>
        </w:drawing>
      </w:r>
    </w:p>
    <w:p w14:paraId="33C39028" w14:textId="089AB0B0" w:rsidR="002C1B7F" w:rsidRPr="00446C16" w:rsidRDefault="002C1B7F" w:rsidP="002C1B7F">
      <w:pPr>
        <w:jc w:val="center"/>
        <w:rPr>
          <w:sz w:val="20"/>
        </w:rPr>
      </w:pPr>
      <w:r w:rsidRPr="00446C16">
        <w:rPr>
          <w:sz w:val="20"/>
        </w:rPr>
        <w:t>Avots: CSP vēsturiskie dati līdz 2018. gadam (ieskaitot) un autoru veikti aprēķini, balstoties uz ekspertu vērtējumiem un izstrādātajie</w:t>
      </w:r>
      <w:r w:rsidR="00A765CA">
        <w:rPr>
          <w:sz w:val="20"/>
        </w:rPr>
        <w:t>m modeļiem - prognoze 2019.-2022</w:t>
      </w:r>
      <w:r w:rsidRPr="00446C16">
        <w:rPr>
          <w:sz w:val="20"/>
        </w:rPr>
        <w:t>. gadiem</w:t>
      </w:r>
    </w:p>
    <w:p w14:paraId="1E08CCEA" w14:textId="207496A2" w:rsidR="00587B62" w:rsidRPr="00446C16" w:rsidRDefault="00587B62" w:rsidP="00587B62">
      <w:pPr>
        <w:spacing w:after="0" w:line="276" w:lineRule="auto"/>
        <w:ind w:firstLine="142"/>
        <w:jc w:val="both"/>
        <w:rPr>
          <w:rFonts w:ascii="Times New Roman" w:hAnsi="Times New Roman"/>
          <w:sz w:val="20"/>
        </w:rPr>
      </w:pPr>
    </w:p>
    <w:p w14:paraId="6F497A54" w14:textId="0040F8E2" w:rsidR="00587B62" w:rsidRDefault="00587B62" w:rsidP="00E173D7">
      <w:pPr>
        <w:spacing w:after="0"/>
        <w:ind w:firstLine="562"/>
        <w:jc w:val="both"/>
        <w:rPr>
          <w:rFonts w:cs="Times New Roman"/>
          <w:szCs w:val="22"/>
        </w:rPr>
      </w:pPr>
      <w:r w:rsidRPr="00446C16">
        <w:rPr>
          <w:rFonts w:cs="Times New Roman"/>
          <w:szCs w:val="22"/>
        </w:rPr>
        <w:t xml:space="preserve">Dzelzceļa infrastruktūras būvniecībā prognozējams straujš apjoma pieaugums (skatīt attēlu Nr. </w:t>
      </w:r>
      <w:r w:rsidR="006B5A3E">
        <w:rPr>
          <w:rFonts w:cs="Times New Roman"/>
          <w:szCs w:val="22"/>
        </w:rPr>
        <w:t>1</w:t>
      </w:r>
      <w:r w:rsidR="00A765CA">
        <w:rPr>
          <w:rFonts w:cs="Times New Roman"/>
          <w:szCs w:val="22"/>
        </w:rPr>
        <w:t>6.), kas balstīts uz nozares ekspertu vērtējumu,</w:t>
      </w:r>
      <w:r w:rsidRPr="00446C16">
        <w:rPr>
          <w:rFonts w:cs="Times New Roman"/>
          <w:szCs w:val="22"/>
        </w:rPr>
        <w:t xml:space="preserve"> kurā ir iekļauti VAS “Latvijas dzelzceļš” un SIA “Eiropas dzelzceļa līnijas” plānotie dzelzceļa infrastruktūras projekti.</w:t>
      </w:r>
    </w:p>
    <w:p w14:paraId="5798987E" w14:textId="5EB08DEC" w:rsidR="00576929" w:rsidRDefault="00576929" w:rsidP="00E173D7">
      <w:pPr>
        <w:spacing w:after="0"/>
        <w:ind w:firstLine="562"/>
        <w:jc w:val="both"/>
        <w:rPr>
          <w:rFonts w:cs="Times New Roman"/>
          <w:szCs w:val="22"/>
        </w:rPr>
      </w:pPr>
    </w:p>
    <w:p w14:paraId="36418E2C" w14:textId="49DBA721" w:rsidR="00576929" w:rsidRDefault="00576929" w:rsidP="00E173D7">
      <w:pPr>
        <w:spacing w:after="0"/>
        <w:ind w:firstLine="562"/>
        <w:jc w:val="both"/>
        <w:rPr>
          <w:rFonts w:cs="Times New Roman"/>
          <w:szCs w:val="22"/>
        </w:rPr>
      </w:pPr>
    </w:p>
    <w:p w14:paraId="0AA7769B" w14:textId="77777777" w:rsidR="00576929" w:rsidRPr="00446C16" w:rsidRDefault="00576929" w:rsidP="00E173D7">
      <w:pPr>
        <w:spacing w:after="0"/>
        <w:ind w:firstLine="562"/>
        <w:jc w:val="both"/>
        <w:rPr>
          <w:rFonts w:cs="Times New Roman"/>
          <w:szCs w:val="22"/>
        </w:rPr>
      </w:pPr>
    </w:p>
    <w:p w14:paraId="60F72094" w14:textId="5C27CF37" w:rsidR="00587B62" w:rsidRPr="00A96071" w:rsidRDefault="00587B62" w:rsidP="00A96071">
      <w:pPr>
        <w:spacing w:after="0"/>
        <w:ind w:firstLine="567"/>
        <w:jc w:val="center"/>
        <w:rPr>
          <w:rFonts w:cstheme="minorHAnsi"/>
          <w:b/>
          <w:bCs/>
          <w:iCs/>
          <w:sz w:val="20"/>
        </w:rPr>
      </w:pPr>
      <w:r w:rsidRPr="00A96071">
        <w:rPr>
          <w:rFonts w:cstheme="minorHAnsi"/>
          <w:b/>
          <w:bCs/>
          <w:iCs/>
          <w:sz w:val="20"/>
        </w:rPr>
        <w:lastRenderedPageBreak/>
        <w:t>Attēls Nr.</w:t>
      </w:r>
      <w:r w:rsidR="00A96071">
        <w:rPr>
          <w:rFonts w:cstheme="minorHAnsi"/>
          <w:b/>
          <w:bCs/>
          <w:iCs/>
          <w:sz w:val="20"/>
        </w:rPr>
        <w:t xml:space="preserve"> 1</w:t>
      </w:r>
      <w:r w:rsidR="00A765CA">
        <w:rPr>
          <w:rFonts w:cstheme="minorHAnsi"/>
          <w:b/>
          <w:bCs/>
          <w:iCs/>
          <w:sz w:val="20"/>
        </w:rPr>
        <w:t>6</w:t>
      </w:r>
      <w:r w:rsidRPr="00A96071">
        <w:rPr>
          <w:rFonts w:cstheme="minorHAnsi"/>
          <w:b/>
          <w:bCs/>
          <w:iCs/>
          <w:sz w:val="20"/>
        </w:rPr>
        <w:t>. Dzelzceļa infrastruktūras būvniecības produkcijas apjoma izmaiņas līdz 2018.gadam un prognozes no 2019. līdz 2022.gadam pret 2015.gadu, %</w:t>
      </w:r>
    </w:p>
    <w:p w14:paraId="03A9B53F" w14:textId="77777777" w:rsidR="00587B62" w:rsidRPr="00446C16" w:rsidRDefault="00587B62" w:rsidP="00587B62">
      <w:pPr>
        <w:spacing w:after="0" w:line="276" w:lineRule="auto"/>
        <w:ind w:firstLine="567"/>
        <w:jc w:val="center"/>
        <w:rPr>
          <w:rFonts w:ascii="Times New Roman" w:hAnsi="Times New Roman" w:cs="Times New Roman"/>
          <w:sz w:val="28"/>
          <w:szCs w:val="28"/>
        </w:rPr>
      </w:pPr>
      <w:r w:rsidRPr="00446C16">
        <w:rPr>
          <w:noProof/>
          <w:lang w:val="en-US"/>
        </w:rPr>
        <w:drawing>
          <wp:inline distT="0" distB="0" distL="0" distR="0" wp14:anchorId="5E61CB47" wp14:editId="20C50B96">
            <wp:extent cx="4667693" cy="291561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696575" cy="2933654"/>
                    </a:xfrm>
                    <a:prstGeom prst="rect">
                      <a:avLst/>
                    </a:prstGeom>
                  </pic:spPr>
                </pic:pic>
              </a:graphicData>
            </a:graphic>
          </wp:inline>
        </w:drawing>
      </w:r>
    </w:p>
    <w:p w14:paraId="67663530" w14:textId="02A70CEF" w:rsidR="002C1B7F" w:rsidRPr="00446C16" w:rsidRDefault="002C1B7F" w:rsidP="002C1B7F">
      <w:pPr>
        <w:jc w:val="center"/>
        <w:rPr>
          <w:sz w:val="20"/>
        </w:rPr>
      </w:pPr>
      <w:r w:rsidRPr="00446C16">
        <w:rPr>
          <w:sz w:val="20"/>
        </w:rPr>
        <w:t>Avots: CSP vēsturiskie dati līdz 2018. gadam (ieskaitot) un autoru veikti aprēķini, balstoties uz ekspertu vērtējumiem - prognoze 2019.-2022. gadiem</w:t>
      </w:r>
    </w:p>
    <w:p w14:paraId="5466C646" w14:textId="58F766D4" w:rsidR="00587B62" w:rsidRPr="006B5A3E" w:rsidRDefault="00587B62" w:rsidP="00576929">
      <w:pPr>
        <w:spacing w:after="0" w:line="276" w:lineRule="auto"/>
        <w:ind w:firstLine="720"/>
        <w:jc w:val="both"/>
        <w:rPr>
          <w:rFonts w:cs="Times New Roman"/>
          <w:szCs w:val="22"/>
        </w:rPr>
      </w:pPr>
      <w:r w:rsidRPr="00446C16">
        <w:rPr>
          <w:rFonts w:cs="Times New Roman"/>
          <w:szCs w:val="22"/>
        </w:rPr>
        <w:t>Ņemot vērā progno</w:t>
      </w:r>
      <w:r w:rsidR="007C14DD">
        <w:rPr>
          <w:rFonts w:cs="Times New Roman"/>
          <w:szCs w:val="22"/>
        </w:rPr>
        <w:t xml:space="preserve">zētās apjoma izmaiņas </w:t>
      </w:r>
      <w:r w:rsidRPr="00446C16">
        <w:rPr>
          <w:rFonts w:cs="Times New Roman"/>
          <w:szCs w:val="22"/>
        </w:rPr>
        <w:t xml:space="preserve">dzelzceļa un autoceļu infrastruktūras jomās, visā </w:t>
      </w:r>
      <w:proofErr w:type="spellStart"/>
      <w:r w:rsidR="007C14DD">
        <w:rPr>
          <w:rFonts w:cs="Times New Roman"/>
          <w:szCs w:val="22"/>
        </w:rPr>
        <w:t>transportbūvju</w:t>
      </w:r>
      <w:proofErr w:type="spellEnd"/>
      <w:r w:rsidRPr="00446C16">
        <w:rPr>
          <w:rFonts w:cs="Times New Roman"/>
          <w:szCs w:val="22"/>
        </w:rPr>
        <w:t xml:space="preserve"> </w:t>
      </w:r>
      <w:proofErr w:type="spellStart"/>
      <w:r w:rsidRPr="00446C16">
        <w:rPr>
          <w:rFonts w:cs="Times New Roman"/>
          <w:szCs w:val="22"/>
        </w:rPr>
        <w:t>apakšnozarē</w:t>
      </w:r>
      <w:proofErr w:type="spellEnd"/>
      <w:r w:rsidRPr="00446C16">
        <w:rPr>
          <w:rFonts w:cs="Times New Roman"/>
          <w:szCs w:val="22"/>
        </w:rPr>
        <w:t xml:space="preserve"> kopum</w:t>
      </w:r>
      <w:r w:rsidR="00A765CA">
        <w:rPr>
          <w:rFonts w:cs="Times New Roman"/>
          <w:szCs w:val="22"/>
        </w:rPr>
        <w:t>ā periodā no 2019.gada līdz 2022</w:t>
      </w:r>
      <w:r w:rsidRPr="00446C16">
        <w:rPr>
          <w:rFonts w:cs="Times New Roman"/>
          <w:szCs w:val="22"/>
        </w:rPr>
        <w:t xml:space="preserve">.gadam prognozējama mainīga būvniecības apjomu dinamika un nevienmērīga attīstība (skatīt attēlu Nr. </w:t>
      </w:r>
      <w:r w:rsidR="006B5A3E">
        <w:rPr>
          <w:rFonts w:cs="Times New Roman"/>
          <w:szCs w:val="22"/>
        </w:rPr>
        <w:t>1</w:t>
      </w:r>
      <w:r w:rsidR="00EE59EB">
        <w:rPr>
          <w:rFonts w:cs="Times New Roman"/>
          <w:szCs w:val="22"/>
        </w:rPr>
        <w:t>7</w:t>
      </w:r>
      <w:r w:rsidRPr="00446C16">
        <w:rPr>
          <w:rFonts w:cs="Times New Roman"/>
          <w:szCs w:val="22"/>
        </w:rPr>
        <w:t xml:space="preserve">). </w:t>
      </w:r>
    </w:p>
    <w:p w14:paraId="4A5802D9" w14:textId="32B6188E" w:rsidR="00587B62" w:rsidRPr="00446C16" w:rsidRDefault="00587B62" w:rsidP="00576929">
      <w:pPr>
        <w:spacing w:after="0"/>
        <w:jc w:val="center"/>
        <w:rPr>
          <w:rFonts w:ascii="Times New Roman" w:hAnsi="Times New Roman"/>
          <w:sz w:val="20"/>
        </w:rPr>
      </w:pPr>
      <w:r w:rsidRPr="003A6C1D">
        <w:rPr>
          <w:rFonts w:cstheme="minorHAnsi"/>
          <w:b/>
          <w:bCs/>
          <w:iCs/>
          <w:sz w:val="20"/>
        </w:rPr>
        <w:t>Attēls Nr.</w:t>
      </w:r>
      <w:r w:rsidR="003A6C1D" w:rsidRPr="003A6C1D">
        <w:rPr>
          <w:rFonts w:cstheme="minorHAnsi"/>
          <w:b/>
          <w:bCs/>
          <w:iCs/>
          <w:sz w:val="20"/>
        </w:rPr>
        <w:t xml:space="preserve"> 1</w:t>
      </w:r>
      <w:r w:rsidR="00EE59EB">
        <w:rPr>
          <w:rFonts w:cstheme="minorHAnsi"/>
          <w:b/>
          <w:bCs/>
          <w:iCs/>
          <w:sz w:val="20"/>
        </w:rPr>
        <w:t>7</w:t>
      </w:r>
      <w:r w:rsidRPr="003A6C1D">
        <w:rPr>
          <w:rFonts w:cstheme="minorHAnsi"/>
          <w:b/>
          <w:bCs/>
          <w:iCs/>
          <w:sz w:val="20"/>
        </w:rPr>
        <w:t>.</w:t>
      </w:r>
      <w:r w:rsidRPr="003A6C1D">
        <w:rPr>
          <w:rFonts w:cstheme="minorHAnsi"/>
          <w:b/>
          <w:bCs/>
          <w:sz w:val="20"/>
        </w:rPr>
        <w:t xml:space="preserve"> </w:t>
      </w:r>
      <w:proofErr w:type="spellStart"/>
      <w:r w:rsidR="007C14DD">
        <w:rPr>
          <w:rFonts w:cstheme="minorHAnsi"/>
          <w:b/>
          <w:bCs/>
          <w:sz w:val="20"/>
        </w:rPr>
        <w:t>Transportbūvju</w:t>
      </w:r>
      <w:proofErr w:type="spellEnd"/>
      <w:r w:rsidR="007C14DD">
        <w:rPr>
          <w:rFonts w:cstheme="minorHAnsi"/>
          <w:b/>
          <w:bCs/>
          <w:sz w:val="20"/>
        </w:rPr>
        <w:t xml:space="preserve"> b</w:t>
      </w:r>
      <w:r w:rsidRPr="003A6C1D">
        <w:rPr>
          <w:rFonts w:cstheme="minorHAnsi"/>
          <w:b/>
          <w:bCs/>
          <w:iCs/>
          <w:sz w:val="20"/>
        </w:rPr>
        <w:t>ūvniecības produkcijas apjoma izmaiņas līdz 2018.gadam un prognozes no 2019. līdz 202</w:t>
      </w:r>
      <w:r w:rsidR="00A765CA">
        <w:rPr>
          <w:rFonts w:cstheme="minorHAnsi"/>
          <w:b/>
          <w:bCs/>
          <w:iCs/>
          <w:sz w:val="20"/>
        </w:rPr>
        <w:t>2</w:t>
      </w:r>
      <w:r w:rsidRPr="003A6C1D">
        <w:rPr>
          <w:rFonts w:cstheme="minorHAnsi"/>
          <w:b/>
          <w:bCs/>
          <w:iCs/>
          <w:sz w:val="20"/>
        </w:rPr>
        <w:t>.gadam, kumulatīvās izmaiņas pret 2018.gadu</w:t>
      </w:r>
      <w:r w:rsidRPr="003A6C1D">
        <w:rPr>
          <w:rFonts w:cstheme="minorHAnsi"/>
          <w:bCs/>
          <w:iCs/>
          <w:sz w:val="20"/>
        </w:rPr>
        <w:t>, %</w:t>
      </w:r>
    </w:p>
    <w:p w14:paraId="2D7217B3" w14:textId="734ABF8F" w:rsidR="00587B62" w:rsidRPr="00446C16" w:rsidRDefault="004040F9" w:rsidP="00587B62">
      <w:pPr>
        <w:spacing w:after="0" w:line="276" w:lineRule="auto"/>
        <w:jc w:val="center"/>
        <w:rPr>
          <w:rFonts w:ascii="Times New Roman" w:hAnsi="Times New Roman" w:cs="Times New Roman"/>
          <w:sz w:val="28"/>
          <w:szCs w:val="28"/>
        </w:rPr>
      </w:pPr>
      <w:r w:rsidRPr="004040F9">
        <w:drawing>
          <wp:inline distT="0" distB="0" distL="0" distR="0" wp14:anchorId="15A3C8B0" wp14:editId="36AAAFDA">
            <wp:extent cx="4731488" cy="34350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747123" cy="3446410"/>
                    </a:xfrm>
                    <a:prstGeom prst="rect">
                      <a:avLst/>
                    </a:prstGeom>
                  </pic:spPr>
                </pic:pic>
              </a:graphicData>
            </a:graphic>
          </wp:inline>
        </w:drawing>
      </w:r>
    </w:p>
    <w:p w14:paraId="68832560" w14:textId="175EFEE3" w:rsidR="00196747" w:rsidRPr="00446C16" w:rsidRDefault="00196747" w:rsidP="00196747">
      <w:pPr>
        <w:jc w:val="center"/>
        <w:rPr>
          <w:sz w:val="20"/>
        </w:rPr>
      </w:pPr>
      <w:r w:rsidRPr="00446C16">
        <w:rPr>
          <w:sz w:val="20"/>
        </w:rPr>
        <w:t>Avots: CSP vēsturiskie dati līdz 2018. gadam (ieskaitot) un autoru veikti aprēķini, balstoties uz ekspertu vērtējumiem un izstrādātajiem modeļiem - prognoze 2019.-202</w:t>
      </w:r>
      <w:r w:rsidR="00A765CA">
        <w:rPr>
          <w:sz w:val="20"/>
        </w:rPr>
        <w:t>2</w:t>
      </w:r>
      <w:r w:rsidRPr="00446C16">
        <w:rPr>
          <w:sz w:val="20"/>
        </w:rPr>
        <w:t>. gadiem</w:t>
      </w:r>
    </w:p>
    <w:p w14:paraId="6B618757" w14:textId="2BB39736" w:rsidR="00587B62" w:rsidRPr="001515A3" w:rsidRDefault="00587B62" w:rsidP="00E173D7">
      <w:pPr>
        <w:spacing w:after="0"/>
        <w:ind w:firstLine="720"/>
        <w:jc w:val="both"/>
        <w:rPr>
          <w:rFonts w:ascii="Times New Roman" w:hAnsi="Times New Roman"/>
          <w:sz w:val="20"/>
        </w:rPr>
      </w:pPr>
      <w:r w:rsidRPr="00446C16">
        <w:rPr>
          <w:rFonts w:ascii="Times New Roman" w:hAnsi="Times New Roman"/>
          <w:sz w:val="20"/>
        </w:rPr>
        <w:br w:type="page"/>
      </w:r>
      <w:r w:rsidRPr="00446C16">
        <w:rPr>
          <w:rFonts w:cs="Times New Roman"/>
          <w:szCs w:val="22"/>
        </w:rPr>
        <w:lastRenderedPageBreak/>
        <w:t>Būvniecības produkcijas apjoma kumulatīvās izmaiņas pret 2018.gadu paredz pieaugumu 2019.gadā par 16,9%, 2020. un 2021.gadā pieaugums samazināsies un būs attiecīgi 7,5%, un 3,3 %, 2022.gadā tiek prognozēts būvniecības produkcijas apjoma pieaugums 13,5 %.</w:t>
      </w:r>
      <w:r w:rsidR="004040F9">
        <w:rPr>
          <w:rFonts w:cs="Times New Roman"/>
          <w:szCs w:val="22"/>
        </w:rPr>
        <w:t xml:space="preserve"> 2023. gadā prognozes ietvēra pretrunīgas tendences, tādēļ kopējā </w:t>
      </w:r>
      <w:proofErr w:type="spellStart"/>
      <w:r w:rsidR="004040F9">
        <w:rPr>
          <w:rFonts w:cs="Times New Roman"/>
          <w:szCs w:val="22"/>
        </w:rPr>
        <w:t>transportbūvju</w:t>
      </w:r>
      <w:proofErr w:type="spellEnd"/>
      <w:r w:rsidR="004040F9">
        <w:rPr>
          <w:rFonts w:cs="Times New Roman"/>
          <w:szCs w:val="22"/>
        </w:rPr>
        <w:t xml:space="preserve"> būvniecības apjomu prognozē nav ietvertas.</w:t>
      </w:r>
      <w:r w:rsidR="00196747" w:rsidRPr="00446C16">
        <w:rPr>
          <w:rFonts w:cs="Times New Roman"/>
          <w:szCs w:val="22"/>
        </w:rPr>
        <w:t xml:space="preserve"> </w:t>
      </w:r>
    </w:p>
    <w:p w14:paraId="17920454" w14:textId="7C20F37E" w:rsidR="00587B62" w:rsidRPr="00446C16" w:rsidRDefault="00587B62" w:rsidP="00E173D7">
      <w:pPr>
        <w:spacing w:after="0"/>
        <w:ind w:firstLine="851"/>
        <w:jc w:val="both"/>
        <w:rPr>
          <w:rFonts w:cs="Times New Roman"/>
          <w:szCs w:val="22"/>
        </w:rPr>
      </w:pPr>
      <w:proofErr w:type="spellStart"/>
      <w:r w:rsidRPr="00446C16">
        <w:rPr>
          <w:rFonts w:cs="Times New Roman"/>
          <w:szCs w:val="22"/>
        </w:rPr>
        <w:t>Transportbūvju</w:t>
      </w:r>
      <w:proofErr w:type="spellEnd"/>
      <w:r w:rsidRPr="00446C16">
        <w:rPr>
          <w:rFonts w:cs="Times New Roman"/>
          <w:szCs w:val="22"/>
        </w:rPr>
        <w:t xml:space="preserve"> </w:t>
      </w:r>
      <w:proofErr w:type="spellStart"/>
      <w:r w:rsidRPr="00446C16">
        <w:rPr>
          <w:rFonts w:cs="Times New Roman"/>
          <w:szCs w:val="22"/>
        </w:rPr>
        <w:t>apakšnozarē</w:t>
      </w:r>
      <w:proofErr w:type="spellEnd"/>
      <w:r w:rsidRPr="00446C16">
        <w:rPr>
          <w:rFonts w:cs="Times New Roman"/>
          <w:szCs w:val="22"/>
        </w:rPr>
        <w:t xml:space="preserve">, vērtējot prognozes, būtiski ņemt vērā to, ka šo apakšnozari veido autoceļu infrastruktūras un dzelzceļu infrastruktūras jomas, kas savā starpā pārklājas minimāli. Tas nozīmē, ka būvniecības apjoma kāpums vienā no šīm jomām, minimāli ietekmē otru. </w:t>
      </w:r>
    </w:p>
    <w:p w14:paraId="778C5D9B" w14:textId="57F81FAA" w:rsidR="00587B62" w:rsidRPr="00446C16" w:rsidRDefault="00587B62" w:rsidP="00E173D7">
      <w:pPr>
        <w:ind w:firstLine="851"/>
        <w:jc w:val="both"/>
        <w:rPr>
          <w:szCs w:val="22"/>
        </w:rPr>
      </w:pPr>
      <w:r w:rsidRPr="00446C16">
        <w:rPr>
          <w:rFonts w:cs="Times New Roman"/>
          <w:szCs w:val="22"/>
        </w:rPr>
        <w:t>Laika posmā, kad dzelzceļa infrastruktūras būvniecībā prognozējams apjomu kāpums, kas saistīts ar lielo projektu uzsākšanu (</w:t>
      </w:r>
      <w:proofErr w:type="spellStart"/>
      <w:r w:rsidRPr="00446C16">
        <w:rPr>
          <w:rFonts w:cs="Times New Roman"/>
          <w:szCs w:val="22"/>
        </w:rPr>
        <w:t>RailBaltca</w:t>
      </w:r>
      <w:proofErr w:type="spellEnd"/>
      <w:r w:rsidRPr="00446C16">
        <w:rPr>
          <w:rFonts w:cs="Times New Roman"/>
          <w:szCs w:val="22"/>
        </w:rPr>
        <w:t>, dzelzceļa elektrifikācija u.c. projektiem), autoceļu infrastruktūras būvniecībā</w:t>
      </w:r>
      <w:r w:rsidR="004040F9">
        <w:rPr>
          <w:rFonts w:cs="Times New Roman"/>
          <w:szCs w:val="22"/>
        </w:rPr>
        <w:t>, laika posmā no 2020. līdz 2022</w:t>
      </w:r>
      <w:r w:rsidRPr="00446C16">
        <w:rPr>
          <w:rFonts w:cs="Times New Roman"/>
          <w:szCs w:val="22"/>
        </w:rPr>
        <w:t>.gadam, kad plānojams Eiropas Savienības fondu finansējuma plūsmas pārtraukums, vērojams ievērojams būvniecības apjomu kritums, jo autoceļu infrastruktūras būvniecības nozare lielā mērā atkarīga no Eiropas Sav</w:t>
      </w:r>
      <w:r w:rsidR="004040F9">
        <w:rPr>
          <w:rFonts w:cs="Times New Roman"/>
          <w:szCs w:val="22"/>
        </w:rPr>
        <w:t>ienības finansētiem projektiem. I</w:t>
      </w:r>
      <w:r w:rsidRPr="00446C16">
        <w:rPr>
          <w:rFonts w:cs="Times New Roman"/>
          <w:szCs w:val="22"/>
        </w:rPr>
        <w:t>evērojams būvniecības apjomu kritums autoceļu infrastruktūras būvniecības jomā var novest pie kvalificētu strādnieku aizplūšanu uz citām valstīm un vēlāk pie darba</w:t>
      </w:r>
      <w:r w:rsidR="004040F9">
        <w:rPr>
          <w:rFonts w:cs="Times New Roman"/>
          <w:szCs w:val="22"/>
        </w:rPr>
        <w:t>spēka trūkuma un izmaksu celšanā</w:t>
      </w:r>
      <w:r w:rsidRPr="00446C16">
        <w:rPr>
          <w:rFonts w:cs="Times New Roman"/>
          <w:szCs w:val="22"/>
        </w:rPr>
        <w:t>s, kad autoceļu infrastruktūras būvniecības apjomi atkal pieaugs.</w:t>
      </w:r>
    </w:p>
    <w:p w14:paraId="0DE934FF" w14:textId="67BA314D" w:rsidR="00196747" w:rsidRDefault="00196747" w:rsidP="00E173D7">
      <w:pPr>
        <w:spacing w:after="0"/>
        <w:ind w:firstLine="851"/>
        <w:jc w:val="both"/>
        <w:rPr>
          <w:rFonts w:cs="Times New Roman"/>
          <w:szCs w:val="22"/>
        </w:rPr>
      </w:pPr>
      <w:r w:rsidRPr="00446C16">
        <w:rPr>
          <w:rFonts w:cs="Times New Roman"/>
          <w:szCs w:val="22"/>
        </w:rPr>
        <w:t>Būvniecības izma</w:t>
      </w:r>
      <w:r w:rsidR="007C14DD">
        <w:rPr>
          <w:rFonts w:cs="Times New Roman"/>
          <w:szCs w:val="22"/>
        </w:rPr>
        <w:t xml:space="preserve">ksu izmaiņu pieaugums </w:t>
      </w:r>
      <w:proofErr w:type="spellStart"/>
      <w:r w:rsidR="007C14DD">
        <w:rPr>
          <w:rFonts w:cs="Times New Roman"/>
          <w:szCs w:val="22"/>
        </w:rPr>
        <w:t>transportbūvju</w:t>
      </w:r>
      <w:proofErr w:type="spellEnd"/>
      <w:r w:rsidRPr="00446C16">
        <w:rPr>
          <w:rFonts w:cs="Times New Roman"/>
          <w:szCs w:val="22"/>
        </w:rPr>
        <w:t xml:space="preserve"> </w:t>
      </w:r>
      <w:proofErr w:type="spellStart"/>
      <w:r w:rsidR="007C14DD">
        <w:rPr>
          <w:rFonts w:cs="Times New Roman"/>
          <w:szCs w:val="22"/>
        </w:rPr>
        <w:t>apakš</w:t>
      </w:r>
      <w:r w:rsidRPr="00446C16">
        <w:rPr>
          <w:rFonts w:cs="Times New Roman"/>
          <w:szCs w:val="22"/>
        </w:rPr>
        <w:t>nozarē</w:t>
      </w:r>
      <w:proofErr w:type="spellEnd"/>
      <w:r w:rsidRPr="00446C16">
        <w:rPr>
          <w:rFonts w:cs="Times New Roman"/>
          <w:szCs w:val="22"/>
        </w:rPr>
        <w:t xml:space="preserve"> visā periodā no 2019. līdz 2023.gadam prognozējams t</w:t>
      </w:r>
      <w:r w:rsidR="007C14DD">
        <w:rPr>
          <w:rFonts w:cs="Times New Roman"/>
          <w:szCs w:val="22"/>
        </w:rPr>
        <w:t xml:space="preserve">uvu 2018.gada līmenim- </w:t>
      </w:r>
      <w:r w:rsidRPr="00446C16">
        <w:rPr>
          <w:rFonts w:cs="Times New Roman"/>
          <w:szCs w:val="22"/>
        </w:rPr>
        <w:t xml:space="preserve">kumulatīvās izmaiņas pret 2018.gadu paredz pieaugumu par 4,1% 2019.gadā, par 3,1% 2020.gadā, par 1,1% 2022.gadā un par 1,3% </w:t>
      </w:r>
      <w:r w:rsidR="00EE59EB">
        <w:rPr>
          <w:rFonts w:cs="Times New Roman"/>
          <w:szCs w:val="22"/>
        </w:rPr>
        <w:t>2023. gadā (skatīt attēlu Nr. 18</w:t>
      </w:r>
      <w:r w:rsidRPr="00446C16">
        <w:rPr>
          <w:rFonts w:cs="Times New Roman"/>
          <w:szCs w:val="22"/>
        </w:rPr>
        <w:t>.).</w:t>
      </w:r>
    </w:p>
    <w:p w14:paraId="6D025599" w14:textId="77777777" w:rsidR="00576929" w:rsidRPr="001515A3" w:rsidRDefault="00576929" w:rsidP="00E173D7">
      <w:pPr>
        <w:spacing w:after="0"/>
        <w:ind w:firstLine="851"/>
        <w:jc w:val="both"/>
        <w:rPr>
          <w:rFonts w:cs="Times New Roman"/>
          <w:szCs w:val="22"/>
        </w:rPr>
      </w:pPr>
    </w:p>
    <w:p w14:paraId="46A2C426" w14:textId="7849A29B" w:rsidR="00196747" w:rsidRPr="001515A3" w:rsidRDefault="00EE59EB" w:rsidP="00196747">
      <w:pPr>
        <w:spacing w:after="0"/>
        <w:jc w:val="center"/>
        <w:rPr>
          <w:rFonts w:cstheme="minorHAnsi"/>
          <w:b/>
          <w:bCs/>
          <w:iCs/>
          <w:sz w:val="20"/>
        </w:rPr>
      </w:pPr>
      <w:r>
        <w:rPr>
          <w:rFonts w:cstheme="minorHAnsi"/>
          <w:b/>
          <w:bCs/>
          <w:iCs/>
          <w:sz w:val="20"/>
        </w:rPr>
        <w:t>Attēls Nr. 18</w:t>
      </w:r>
      <w:r w:rsidR="00196747" w:rsidRPr="001515A3">
        <w:rPr>
          <w:rFonts w:cstheme="minorHAnsi"/>
          <w:b/>
          <w:bCs/>
          <w:iCs/>
          <w:sz w:val="20"/>
        </w:rPr>
        <w:t>.</w:t>
      </w:r>
      <w:r w:rsidR="00196747" w:rsidRPr="001515A3">
        <w:rPr>
          <w:rFonts w:cstheme="minorHAnsi"/>
          <w:b/>
          <w:bCs/>
          <w:sz w:val="20"/>
        </w:rPr>
        <w:t xml:space="preserve"> </w:t>
      </w:r>
      <w:proofErr w:type="spellStart"/>
      <w:r w:rsidR="007C14DD">
        <w:rPr>
          <w:rFonts w:cstheme="minorHAnsi"/>
          <w:b/>
          <w:bCs/>
          <w:sz w:val="20"/>
        </w:rPr>
        <w:t>Transportbūvju</w:t>
      </w:r>
      <w:proofErr w:type="spellEnd"/>
      <w:r w:rsidR="007C14DD">
        <w:rPr>
          <w:rFonts w:cstheme="minorHAnsi"/>
          <w:b/>
          <w:bCs/>
          <w:sz w:val="20"/>
        </w:rPr>
        <w:t xml:space="preserve"> b</w:t>
      </w:r>
      <w:r w:rsidR="00196747" w:rsidRPr="001515A3">
        <w:rPr>
          <w:rFonts w:cstheme="minorHAnsi"/>
          <w:b/>
          <w:bCs/>
          <w:iCs/>
          <w:sz w:val="20"/>
        </w:rPr>
        <w:t>ūvniecības izmaksu izmaiņas transporta apakšnozarē līdz 2018.gadam un prognozes no 2019. līdz 2022.gadam, kumulatīvās izmaiņas pret 2018.gadu, %</w:t>
      </w:r>
    </w:p>
    <w:p w14:paraId="6D4BB168" w14:textId="77777777" w:rsidR="00196747" w:rsidRPr="00446C16" w:rsidRDefault="00196747" w:rsidP="00196747">
      <w:pPr>
        <w:spacing w:after="0"/>
        <w:jc w:val="center"/>
        <w:rPr>
          <w:rFonts w:ascii="Times New Roman" w:hAnsi="Times New Roman"/>
          <w:sz w:val="16"/>
          <w:szCs w:val="16"/>
        </w:rPr>
      </w:pPr>
      <w:r w:rsidRPr="00446C16">
        <w:rPr>
          <w:noProof/>
          <w:lang w:val="en-US"/>
        </w:rPr>
        <w:drawing>
          <wp:inline distT="0" distB="0" distL="0" distR="0" wp14:anchorId="29074F72" wp14:editId="62B3BA24">
            <wp:extent cx="5422605" cy="3571829"/>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35477" cy="3580307"/>
                    </a:xfrm>
                    <a:prstGeom prst="rect">
                      <a:avLst/>
                    </a:prstGeom>
                  </pic:spPr>
                </pic:pic>
              </a:graphicData>
            </a:graphic>
          </wp:inline>
        </w:drawing>
      </w:r>
    </w:p>
    <w:p w14:paraId="2DA8C046" w14:textId="1E54778F" w:rsidR="00E173D7" w:rsidRPr="00446C16" w:rsidRDefault="00E173D7" w:rsidP="00E173D7">
      <w:pPr>
        <w:jc w:val="center"/>
        <w:rPr>
          <w:sz w:val="20"/>
        </w:rPr>
      </w:pPr>
      <w:r w:rsidRPr="00446C16">
        <w:rPr>
          <w:sz w:val="20"/>
        </w:rPr>
        <w:t>Avots: CSP vēsturiskie dati līdz 2018. gadam (ieskaitot) un autoru veikti aprēķini, balstoties uz ekspertu vērtējumiem un izstrādātajie</w:t>
      </w:r>
      <w:r>
        <w:rPr>
          <w:sz w:val="20"/>
        </w:rPr>
        <w:t>m modeļiem - prognoze 2019.-2022</w:t>
      </w:r>
      <w:r w:rsidRPr="00446C16">
        <w:rPr>
          <w:sz w:val="20"/>
        </w:rPr>
        <w:t>. gadiem</w:t>
      </w:r>
    </w:p>
    <w:p w14:paraId="6FA33F32" w14:textId="77777777" w:rsidR="00196747" w:rsidRPr="00446C16" w:rsidRDefault="00196747" w:rsidP="00196747">
      <w:pPr>
        <w:spacing w:after="0"/>
        <w:rPr>
          <w:rFonts w:ascii="Times New Roman" w:hAnsi="Times New Roman"/>
          <w:sz w:val="24"/>
          <w:szCs w:val="24"/>
        </w:rPr>
      </w:pPr>
    </w:p>
    <w:p w14:paraId="3A71178F" w14:textId="77777777" w:rsidR="00576929" w:rsidRDefault="00576929" w:rsidP="003131DF">
      <w:pPr>
        <w:ind w:firstLine="851"/>
        <w:jc w:val="both"/>
        <w:rPr>
          <w:rFonts w:cs="Times New Roman"/>
          <w:szCs w:val="22"/>
        </w:rPr>
      </w:pPr>
    </w:p>
    <w:p w14:paraId="202360DB" w14:textId="363C17FD" w:rsidR="00FD3359" w:rsidRPr="003131DF" w:rsidRDefault="00196747" w:rsidP="003131DF">
      <w:pPr>
        <w:ind w:firstLine="851"/>
        <w:jc w:val="both"/>
        <w:rPr>
          <w:szCs w:val="22"/>
        </w:rPr>
      </w:pPr>
      <w:r w:rsidRPr="00446C16">
        <w:rPr>
          <w:rFonts w:cs="Times New Roman"/>
          <w:szCs w:val="22"/>
        </w:rPr>
        <w:lastRenderedPageBreak/>
        <w:t>Saskaņā ar CSP datiem 2019. gada 1. ceturksnī, salīdzinot ar 2018. gada 1. ceturksni, transporta objektu būvniecības izmaksu izmaiņu līmenis pieauga par 5,5 %, kas ir nedaudz augstāk nekā kombinētā prognoze visam 2019. gadam. Tāpat jāņem vērā, ka lielo infrastruktūras projektu uzsākšanas brīdī pirms vai pēc 2023. gada, resursu piedāvājumam neatbilstoši augsts pieprasījums var izsaukt straujus izmaksu lēcienus.</w:t>
      </w:r>
    </w:p>
    <w:p w14:paraId="55C824C8" w14:textId="43BA2858" w:rsidR="00FD3359" w:rsidRPr="00446C16" w:rsidRDefault="00FD3359" w:rsidP="00895643">
      <w:pPr>
        <w:ind w:firstLine="851"/>
        <w:jc w:val="both"/>
      </w:pPr>
      <w:r w:rsidRPr="00446C16">
        <w:t>Sadalījumā pa resursu veidiem</w:t>
      </w:r>
      <w:r w:rsidR="000951FF" w:rsidRPr="00446C16">
        <w:t>,</w:t>
      </w:r>
      <w:r w:rsidRPr="00446C16">
        <w:t xml:space="preserve"> apakšnozares ekspertu viedokļi uzrāda, ka būtiskākie faktori gan attiecībā uz darbaspēk</w:t>
      </w:r>
      <w:r w:rsidR="006C7A84" w:rsidRPr="00446C16">
        <w:t>a</w:t>
      </w:r>
      <w:r w:rsidRPr="00446C16">
        <w:t>, gan būvmateriāl</w:t>
      </w:r>
      <w:r w:rsidR="006C7A84" w:rsidRPr="00446C16">
        <w:t>u izmaksu izmaiņām</w:t>
      </w:r>
      <w:r w:rsidRPr="00446C16">
        <w:t xml:space="preserve"> saistīti ar publiskās būvniecības plāniem – prognozējamību, finanšu un reģionālo sadali un apjomiem.</w:t>
      </w:r>
    </w:p>
    <w:p w14:paraId="7A37E42B" w14:textId="57AA93FB" w:rsidR="00FD3359" w:rsidRPr="00446C16" w:rsidRDefault="00FD3359" w:rsidP="00895643">
      <w:pPr>
        <w:ind w:firstLine="851"/>
        <w:jc w:val="both"/>
      </w:pPr>
      <w:r w:rsidRPr="00446C16">
        <w:t>Attiecībā uz darbaspēka izmaks</w:t>
      </w:r>
      <w:r w:rsidR="0019306B" w:rsidRPr="00446C16">
        <w:t>u izmaiņām</w:t>
      </w:r>
      <w:r w:rsidR="00D061DD" w:rsidRPr="00446C16">
        <w:t>,</w:t>
      </w:r>
      <w:r w:rsidRPr="00446C16">
        <w:t xml:space="preserve"> pieminēta arī projekta Rail </w:t>
      </w:r>
      <w:proofErr w:type="spellStart"/>
      <w:r w:rsidRPr="00446C16">
        <w:t>Baltica</w:t>
      </w:r>
      <w:proofErr w:type="spellEnd"/>
      <w:r w:rsidRPr="00446C16">
        <w:t xml:space="preserve"> īstenošana, ar ko saistīta arī būvmateriālu pieejamība būvobjektu tuvumā, kas minēta būvmateriālu izmaksu </w:t>
      </w:r>
      <w:r w:rsidR="00D17547" w:rsidRPr="00446C16">
        <w:rPr>
          <w:rStyle w:val="st"/>
        </w:rPr>
        <w:t xml:space="preserve">izmaiņu </w:t>
      </w:r>
      <w:r w:rsidRPr="00446C16">
        <w:t>būtiskāko faktoru starpā.</w:t>
      </w:r>
    </w:p>
    <w:p w14:paraId="4D394BD1" w14:textId="0DF5C158" w:rsidR="00FD3359" w:rsidRPr="00446C16" w:rsidRDefault="00FD3359" w:rsidP="00895643">
      <w:pPr>
        <w:ind w:firstLine="851"/>
        <w:jc w:val="both"/>
      </w:pPr>
      <w:r w:rsidRPr="00446C16">
        <w:t xml:space="preserve">Būvniecības </w:t>
      </w:r>
      <w:r w:rsidR="00DA5EF2" w:rsidRPr="00446C16">
        <w:rPr>
          <w:rFonts w:cstheme="minorHAnsi"/>
          <w:szCs w:val="22"/>
        </w:rPr>
        <w:t>produkcijas</w:t>
      </w:r>
      <w:r w:rsidR="00DA5EF2" w:rsidRPr="00446C16">
        <w:t xml:space="preserve"> </w:t>
      </w:r>
      <w:r w:rsidRPr="00446C16">
        <w:t>apjoms valstī arī minēts pie būvmateriālu izmaksu</w:t>
      </w:r>
      <w:r w:rsidR="00D17547" w:rsidRPr="00446C16">
        <w:t xml:space="preserve"> </w:t>
      </w:r>
      <w:r w:rsidR="00D17547" w:rsidRPr="00446C16">
        <w:rPr>
          <w:rStyle w:val="st"/>
        </w:rPr>
        <w:t>izmaiņas ietekmējošajiem</w:t>
      </w:r>
      <w:r w:rsidRPr="00446C16">
        <w:t xml:space="preserve"> faktoriem, taču, tas nav prioritārais.</w:t>
      </w:r>
    </w:p>
    <w:p w14:paraId="389DD2C2" w14:textId="45FBE01F" w:rsidR="00FD3359" w:rsidRPr="00446C16" w:rsidRDefault="00FD3359" w:rsidP="00FD3359">
      <w:pPr>
        <w:jc w:val="center"/>
        <w:rPr>
          <w:rFonts w:cs="Arial"/>
          <w:b/>
          <w:bCs/>
          <w:color w:val="222222"/>
          <w:sz w:val="20"/>
          <w:szCs w:val="18"/>
        </w:rPr>
      </w:pPr>
      <w:r w:rsidRPr="00446C16">
        <w:rPr>
          <w:b/>
          <w:bCs/>
          <w:sz w:val="20"/>
          <w:szCs w:val="18"/>
        </w:rPr>
        <w:t>Tabula</w:t>
      </w:r>
      <w:r w:rsidRPr="00446C16">
        <w:rPr>
          <w:rFonts w:cs="Arial"/>
          <w:b/>
          <w:bCs/>
          <w:color w:val="222222"/>
          <w:sz w:val="20"/>
          <w:szCs w:val="18"/>
        </w:rPr>
        <w:t xml:space="preserve"> </w:t>
      </w:r>
      <w:r w:rsidR="00312B9B" w:rsidRPr="00446C16">
        <w:rPr>
          <w:rFonts w:cs="Arial"/>
          <w:b/>
          <w:bCs/>
          <w:color w:val="222222"/>
          <w:sz w:val="20"/>
          <w:szCs w:val="18"/>
        </w:rPr>
        <w:t xml:space="preserve">Nr. </w:t>
      </w:r>
      <w:r w:rsidR="00E76FAA" w:rsidRPr="00446C16">
        <w:rPr>
          <w:rFonts w:cs="Arial"/>
          <w:b/>
          <w:bCs/>
          <w:color w:val="222222"/>
          <w:sz w:val="20"/>
          <w:szCs w:val="18"/>
        </w:rPr>
        <w:t>8</w:t>
      </w:r>
      <w:r w:rsidRPr="00446C16">
        <w:rPr>
          <w:rFonts w:cs="Arial"/>
          <w:b/>
          <w:bCs/>
          <w:color w:val="222222"/>
          <w:sz w:val="20"/>
          <w:szCs w:val="18"/>
        </w:rPr>
        <w:t>. Darbaspēka un būvmateriālu izmaksu izmaiņas ietekmējošie faktori būvniecības apakšnozarē</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701"/>
      </w:tblGrid>
      <w:tr w:rsidR="00FD3359" w:rsidRPr="00446C16" w14:paraId="723C88CF" w14:textId="77777777" w:rsidTr="000951FF">
        <w:trPr>
          <w:trHeight w:val="300"/>
        </w:trPr>
        <w:tc>
          <w:tcPr>
            <w:tcW w:w="7650" w:type="dxa"/>
            <w:shd w:val="clear" w:color="auto" w:fill="1F3763"/>
            <w:noWrap/>
          </w:tcPr>
          <w:p w14:paraId="19AB2D2D" w14:textId="6AD1DA3A" w:rsidR="00FD3359" w:rsidRPr="00446C16" w:rsidRDefault="00FD3359" w:rsidP="000951FF">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Faktori, kas ietekmē darbaspēka izmaks</w:t>
            </w:r>
            <w:r w:rsidR="0019306B" w:rsidRPr="00446C16">
              <w:rPr>
                <w:rFonts w:cstheme="minorHAnsi"/>
                <w:b/>
                <w:bCs/>
                <w:color w:val="FFFFFF" w:themeColor="background1"/>
                <w:sz w:val="18"/>
                <w:szCs w:val="18"/>
              </w:rPr>
              <w:t>u izmaiņas</w:t>
            </w:r>
            <w:r w:rsidRPr="00446C16">
              <w:rPr>
                <w:rFonts w:cstheme="minorHAnsi"/>
                <w:b/>
                <w:bCs/>
                <w:color w:val="FFFFFF" w:themeColor="background1"/>
                <w:sz w:val="18"/>
                <w:szCs w:val="18"/>
              </w:rPr>
              <w:t xml:space="preserve"> tieši transporta objektu būvniecības apakšnozarē</w:t>
            </w:r>
          </w:p>
        </w:tc>
        <w:tc>
          <w:tcPr>
            <w:tcW w:w="1701" w:type="dxa"/>
            <w:shd w:val="clear" w:color="auto" w:fill="1F3763"/>
            <w:vAlign w:val="bottom"/>
          </w:tcPr>
          <w:p w14:paraId="56F0E2E0" w14:textId="77777777" w:rsidR="00FD3359" w:rsidRPr="00446C16" w:rsidRDefault="00FD3359" w:rsidP="000951FF">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Vidējais vērtējums</w:t>
            </w:r>
          </w:p>
        </w:tc>
      </w:tr>
      <w:tr w:rsidR="00FD3359" w:rsidRPr="00446C16" w14:paraId="58189726" w14:textId="77777777" w:rsidTr="000951FF">
        <w:trPr>
          <w:trHeight w:val="300"/>
        </w:trPr>
        <w:tc>
          <w:tcPr>
            <w:tcW w:w="7650" w:type="dxa"/>
            <w:shd w:val="clear" w:color="auto" w:fill="auto"/>
            <w:noWrap/>
            <w:hideMark/>
          </w:tcPr>
          <w:p w14:paraId="17595A73" w14:textId="77777777" w:rsidR="00FD3359" w:rsidRPr="00446C16" w:rsidRDefault="00FD3359" w:rsidP="000951FF">
            <w:pPr>
              <w:spacing w:before="0" w:after="0"/>
              <w:rPr>
                <w:rFonts w:cstheme="minorHAnsi"/>
                <w:color w:val="000000"/>
                <w:sz w:val="18"/>
                <w:szCs w:val="18"/>
              </w:rPr>
            </w:pPr>
            <w:r w:rsidRPr="00446C16">
              <w:rPr>
                <w:rFonts w:cstheme="minorHAnsi"/>
                <w:color w:val="000000"/>
                <w:sz w:val="18"/>
                <w:szCs w:val="18"/>
              </w:rPr>
              <w:t>Neprognozējams finansējuma apjoms ilgtermiņā un vidējā termiņā (gan valsts autoceļu tīklā, gan pašvaldībā</w:t>
            </w:r>
          </w:p>
        </w:tc>
        <w:tc>
          <w:tcPr>
            <w:tcW w:w="1701" w:type="dxa"/>
            <w:shd w:val="clear" w:color="auto" w:fill="auto"/>
            <w:hideMark/>
          </w:tcPr>
          <w:p w14:paraId="59EF9AF5" w14:textId="77777777" w:rsidR="00FD3359" w:rsidRPr="00446C16" w:rsidRDefault="00FD3359" w:rsidP="000951FF">
            <w:pPr>
              <w:spacing w:before="0" w:after="0"/>
              <w:jc w:val="center"/>
              <w:rPr>
                <w:rFonts w:cstheme="minorHAnsi"/>
                <w:color w:val="000000"/>
                <w:sz w:val="18"/>
                <w:szCs w:val="18"/>
              </w:rPr>
            </w:pPr>
            <w:r w:rsidRPr="00446C16">
              <w:rPr>
                <w:rFonts w:cstheme="minorHAnsi"/>
                <w:color w:val="000000"/>
                <w:sz w:val="18"/>
                <w:szCs w:val="18"/>
              </w:rPr>
              <w:t>10,00</w:t>
            </w:r>
          </w:p>
        </w:tc>
      </w:tr>
      <w:tr w:rsidR="00FD3359" w:rsidRPr="00446C16" w14:paraId="2AB170C5" w14:textId="77777777" w:rsidTr="000951FF">
        <w:trPr>
          <w:trHeight w:val="300"/>
        </w:trPr>
        <w:tc>
          <w:tcPr>
            <w:tcW w:w="7650" w:type="dxa"/>
            <w:shd w:val="clear" w:color="auto" w:fill="auto"/>
            <w:noWrap/>
            <w:hideMark/>
          </w:tcPr>
          <w:p w14:paraId="426B6718" w14:textId="77777777" w:rsidR="00FD3359" w:rsidRPr="00446C16" w:rsidRDefault="00FD3359" w:rsidP="000951FF">
            <w:pPr>
              <w:spacing w:before="0" w:after="0"/>
              <w:rPr>
                <w:rFonts w:cstheme="minorHAnsi"/>
                <w:color w:val="000000"/>
                <w:sz w:val="18"/>
                <w:szCs w:val="18"/>
              </w:rPr>
            </w:pPr>
            <w:r w:rsidRPr="00446C16">
              <w:rPr>
                <w:rFonts w:cstheme="minorHAnsi"/>
                <w:color w:val="000000"/>
                <w:sz w:val="18"/>
                <w:szCs w:val="18"/>
              </w:rPr>
              <w:t>Nevienmērīga ES līdzekļu piesaiste/plānošana/izmantošana būvniecības nozarē plānošanas perioda ietvaros</w:t>
            </w:r>
          </w:p>
        </w:tc>
        <w:tc>
          <w:tcPr>
            <w:tcW w:w="1701" w:type="dxa"/>
            <w:shd w:val="clear" w:color="auto" w:fill="auto"/>
            <w:hideMark/>
          </w:tcPr>
          <w:p w14:paraId="2D5ED8D7" w14:textId="77777777" w:rsidR="00FD3359" w:rsidRPr="00446C16" w:rsidRDefault="00FD3359" w:rsidP="000951FF">
            <w:pPr>
              <w:spacing w:before="0" w:after="0"/>
              <w:jc w:val="center"/>
              <w:rPr>
                <w:rFonts w:cstheme="minorHAnsi"/>
                <w:color w:val="000000"/>
                <w:sz w:val="18"/>
                <w:szCs w:val="18"/>
              </w:rPr>
            </w:pPr>
            <w:r w:rsidRPr="00446C16">
              <w:rPr>
                <w:rFonts w:cstheme="minorHAnsi"/>
                <w:color w:val="000000"/>
                <w:sz w:val="18"/>
                <w:szCs w:val="18"/>
              </w:rPr>
              <w:t>10,00</w:t>
            </w:r>
          </w:p>
        </w:tc>
      </w:tr>
      <w:tr w:rsidR="00FD3359" w:rsidRPr="00446C16" w14:paraId="15B6B946" w14:textId="77777777" w:rsidTr="000951FF">
        <w:trPr>
          <w:trHeight w:val="300"/>
        </w:trPr>
        <w:tc>
          <w:tcPr>
            <w:tcW w:w="7650" w:type="dxa"/>
            <w:shd w:val="clear" w:color="auto" w:fill="auto"/>
            <w:noWrap/>
            <w:hideMark/>
          </w:tcPr>
          <w:p w14:paraId="74400609" w14:textId="77777777" w:rsidR="00FD3359" w:rsidRPr="00446C16" w:rsidRDefault="00FD3359" w:rsidP="000951FF">
            <w:pPr>
              <w:spacing w:before="0" w:after="0"/>
              <w:rPr>
                <w:rFonts w:cstheme="minorHAnsi"/>
                <w:color w:val="000000"/>
                <w:sz w:val="18"/>
                <w:szCs w:val="18"/>
              </w:rPr>
            </w:pPr>
            <w:r w:rsidRPr="00446C16">
              <w:rPr>
                <w:rFonts w:cstheme="minorHAnsi"/>
                <w:color w:val="000000"/>
                <w:sz w:val="18"/>
                <w:szCs w:val="18"/>
              </w:rPr>
              <w:t xml:space="preserve">Rail </w:t>
            </w:r>
            <w:proofErr w:type="spellStart"/>
            <w:r w:rsidRPr="00446C16">
              <w:rPr>
                <w:rFonts w:cstheme="minorHAnsi"/>
                <w:color w:val="000000"/>
                <w:sz w:val="18"/>
                <w:szCs w:val="18"/>
              </w:rPr>
              <w:t>Baltica</w:t>
            </w:r>
            <w:proofErr w:type="spellEnd"/>
            <w:r w:rsidRPr="00446C16">
              <w:rPr>
                <w:rFonts w:cstheme="minorHAnsi"/>
                <w:color w:val="000000"/>
                <w:sz w:val="18"/>
                <w:szCs w:val="18"/>
              </w:rPr>
              <w:t xml:space="preserve"> projekta virzība</w:t>
            </w:r>
          </w:p>
        </w:tc>
        <w:tc>
          <w:tcPr>
            <w:tcW w:w="1701" w:type="dxa"/>
            <w:shd w:val="clear" w:color="auto" w:fill="auto"/>
            <w:hideMark/>
          </w:tcPr>
          <w:p w14:paraId="57348A9E" w14:textId="77777777" w:rsidR="00FD3359" w:rsidRPr="00446C16" w:rsidRDefault="00FD3359" w:rsidP="000951FF">
            <w:pPr>
              <w:spacing w:before="0" w:after="0"/>
              <w:jc w:val="center"/>
              <w:rPr>
                <w:rFonts w:cstheme="minorHAnsi"/>
                <w:color w:val="000000"/>
                <w:sz w:val="18"/>
                <w:szCs w:val="18"/>
              </w:rPr>
            </w:pPr>
            <w:r w:rsidRPr="00446C16">
              <w:rPr>
                <w:rFonts w:cstheme="minorHAnsi"/>
                <w:color w:val="000000"/>
                <w:sz w:val="18"/>
                <w:szCs w:val="18"/>
              </w:rPr>
              <w:t>9,00</w:t>
            </w:r>
          </w:p>
        </w:tc>
      </w:tr>
      <w:tr w:rsidR="00FD3359" w:rsidRPr="00446C16" w14:paraId="61200D76" w14:textId="77777777" w:rsidTr="000951FF">
        <w:trPr>
          <w:trHeight w:val="300"/>
        </w:trPr>
        <w:tc>
          <w:tcPr>
            <w:tcW w:w="7650" w:type="dxa"/>
            <w:shd w:val="clear" w:color="auto" w:fill="1F3763"/>
            <w:noWrap/>
          </w:tcPr>
          <w:p w14:paraId="6190FB5E" w14:textId="0FADE287" w:rsidR="00FD3359" w:rsidRPr="00446C16" w:rsidRDefault="00FD3359" w:rsidP="000951FF">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 xml:space="preserve">Faktori, kas ietekmē būvmateriālu </w:t>
            </w:r>
            <w:r w:rsidR="0019306B" w:rsidRPr="00446C16">
              <w:rPr>
                <w:rFonts w:cstheme="minorHAnsi"/>
                <w:b/>
                <w:bCs/>
                <w:color w:val="FFFFFF" w:themeColor="background1"/>
                <w:sz w:val="18"/>
                <w:szCs w:val="18"/>
              </w:rPr>
              <w:t>izmaksu izmaiņas</w:t>
            </w:r>
            <w:r w:rsidRPr="00446C16">
              <w:rPr>
                <w:rFonts w:cstheme="minorHAnsi"/>
                <w:b/>
                <w:bCs/>
                <w:color w:val="FFFFFF" w:themeColor="background1"/>
                <w:sz w:val="18"/>
                <w:szCs w:val="18"/>
              </w:rPr>
              <w:t xml:space="preserve"> tieši transporta objektu būvniecības apakšnozarē</w:t>
            </w:r>
          </w:p>
        </w:tc>
        <w:tc>
          <w:tcPr>
            <w:tcW w:w="1701" w:type="dxa"/>
            <w:shd w:val="clear" w:color="auto" w:fill="1F3763"/>
            <w:vAlign w:val="bottom"/>
          </w:tcPr>
          <w:p w14:paraId="12083D30" w14:textId="77777777" w:rsidR="00FD3359" w:rsidRPr="00446C16" w:rsidRDefault="00FD3359" w:rsidP="000951FF">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Vidējais vērtējums</w:t>
            </w:r>
          </w:p>
        </w:tc>
      </w:tr>
      <w:tr w:rsidR="00FD3359" w:rsidRPr="00446C16" w14:paraId="22C06FF5" w14:textId="77777777" w:rsidTr="000951FF">
        <w:trPr>
          <w:trHeight w:val="300"/>
        </w:trPr>
        <w:tc>
          <w:tcPr>
            <w:tcW w:w="7650" w:type="dxa"/>
            <w:shd w:val="clear" w:color="auto" w:fill="auto"/>
            <w:noWrap/>
            <w:hideMark/>
          </w:tcPr>
          <w:p w14:paraId="25B15C75" w14:textId="77777777" w:rsidR="00FD3359" w:rsidRPr="00446C16" w:rsidRDefault="00FD3359" w:rsidP="000951FF">
            <w:pPr>
              <w:spacing w:before="0" w:after="0"/>
              <w:rPr>
                <w:rFonts w:cstheme="minorHAnsi"/>
                <w:color w:val="000000"/>
                <w:sz w:val="18"/>
                <w:szCs w:val="18"/>
              </w:rPr>
            </w:pPr>
            <w:r w:rsidRPr="00446C16">
              <w:rPr>
                <w:rFonts w:cstheme="minorHAnsi"/>
                <w:color w:val="000000"/>
                <w:sz w:val="18"/>
                <w:szCs w:val="18"/>
              </w:rPr>
              <w:t>Nav saskaņots pieejamā finansējuma izlietojums, nevienmērīgs apgūstamā finansējuma apjoms konkrētā laika periodā</w:t>
            </w:r>
          </w:p>
        </w:tc>
        <w:tc>
          <w:tcPr>
            <w:tcW w:w="1701" w:type="dxa"/>
            <w:shd w:val="clear" w:color="auto" w:fill="auto"/>
            <w:hideMark/>
          </w:tcPr>
          <w:p w14:paraId="2034C042" w14:textId="77777777" w:rsidR="00FD3359" w:rsidRPr="00446C16" w:rsidRDefault="00FD3359" w:rsidP="000951FF">
            <w:pPr>
              <w:spacing w:before="0" w:after="0"/>
              <w:jc w:val="center"/>
              <w:rPr>
                <w:rFonts w:cstheme="minorHAnsi"/>
                <w:color w:val="000000"/>
                <w:sz w:val="18"/>
                <w:szCs w:val="18"/>
              </w:rPr>
            </w:pPr>
            <w:r w:rsidRPr="00446C16">
              <w:rPr>
                <w:rFonts w:cstheme="minorHAnsi"/>
                <w:color w:val="000000"/>
                <w:sz w:val="18"/>
                <w:szCs w:val="18"/>
              </w:rPr>
              <w:t>10,00</w:t>
            </w:r>
          </w:p>
        </w:tc>
      </w:tr>
      <w:tr w:rsidR="00FD3359" w:rsidRPr="00446C16" w14:paraId="0358032D" w14:textId="77777777" w:rsidTr="000951FF">
        <w:trPr>
          <w:trHeight w:val="300"/>
        </w:trPr>
        <w:tc>
          <w:tcPr>
            <w:tcW w:w="7650" w:type="dxa"/>
            <w:shd w:val="clear" w:color="auto" w:fill="auto"/>
            <w:noWrap/>
            <w:hideMark/>
          </w:tcPr>
          <w:p w14:paraId="4B93C486" w14:textId="77777777" w:rsidR="00FD3359" w:rsidRPr="00446C16" w:rsidRDefault="00FD3359" w:rsidP="000951FF">
            <w:pPr>
              <w:spacing w:before="0" w:after="0"/>
              <w:rPr>
                <w:rFonts w:cstheme="minorHAnsi"/>
                <w:color w:val="000000"/>
                <w:sz w:val="18"/>
                <w:szCs w:val="18"/>
              </w:rPr>
            </w:pPr>
            <w:r w:rsidRPr="00446C16">
              <w:rPr>
                <w:rFonts w:cstheme="minorHAnsi"/>
                <w:color w:val="000000"/>
                <w:sz w:val="18"/>
                <w:szCs w:val="18"/>
              </w:rPr>
              <w:t>Par publiskiem līdzekļiem īstenoto būvniecības ieceru apjoms</w:t>
            </w:r>
          </w:p>
        </w:tc>
        <w:tc>
          <w:tcPr>
            <w:tcW w:w="1701" w:type="dxa"/>
            <w:shd w:val="clear" w:color="auto" w:fill="auto"/>
            <w:hideMark/>
          </w:tcPr>
          <w:p w14:paraId="7EE71D32" w14:textId="77777777" w:rsidR="00FD3359" w:rsidRPr="00446C16" w:rsidRDefault="00FD3359" w:rsidP="000951FF">
            <w:pPr>
              <w:spacing w:before="0" w:after="0"/>
              <w:jc w:val="center"/>
              <w:rPr>
                <w:rFonts w:cstheme="minorHAnsi"/>
                <w:color w:val="000000"/>
                <w:sz w:val="18"/>
                <w:szCs w:val="18"/>
              </w:rPr>
            </w:pPr>
            <w:r w:rsidRPr="00446C16">
              <w:rPr>
                <w:rFonts w:cstheme="minorHAnsi"/>
                <w:color w:val="000000"/>
                <w:sz w:val="18"/>
                <w:szCs w:val="18"/>
              </w:rPr>
              <w:t>10,00</w:t>
            </w:r>
          </w:p>
        </w:tc>
      </w:tr>
      <w:tr w:rsidR="00FD3359" w:rsidRPr="00446C16" w14:paraId="5CB5AEF8" w14:textId="77777777" w:rsidTr="000951FF">
        <w:trPr>
          <w:trHeight w:val="300"/>
        </w:trPr>
        <w:tc>
          <w:tcPr>
            <w:tcW w:w="7650" w:type="dxa"/>
            <w:shd w:val="clear" w:color="auto" w:fill="auto"/>
            <w:noWrap/>
            <w:hideMark/>
          </w:tcPr>
          <w:p w14:paraId="627E7A23" w14:textId="77777777" w:rsidR="00FD3359" w:rsidRPr="00446C16" w:rsidRDefault="00FD3359" w:rsidP="000951FF">
            <w:pPr>
              <w:spacing w:before="0" w:after="0"/>
              <w:rPr>
                <w:rFonts w:cstheme="minorHAnsi"/>
                <w:color w:val="000000"/>
                <w:sz w:val="18"/>
                <w:szCs w:val="18"/>
              </w:rPr>
            </w:pPr>
            <w:r w:rsidRPr="00446C16">
              <w:rPr>
                <w:rFonts w:cstheme="minorHAnsi"/>
                <w:color w:val="000000"/>
                <w:sz w:val="18"/>
                <w:szCs w:val="18"/>
              </w:rPr>
              <w:t>Vidējā degvielas cena valstī un pasaules naftas produktu cenu izmaiņas</w:t>
            </w:r>
          </w:p>
        </w:tc>
        <w:tc>
          <w:tcPr>
            <w:tcW w:w="1701" w:type="dxa"/>
            <w:shd w:val="clear" w:color="auto" w:fill="auto"/>
            <w:hideMark/>
          </w:tcPr>
          <w:p w14:paraId="292071AC" w14:textId="77777777" w:rsidR="00FD3359" w:rsidRPr="00446C16" w:rsidRDefault="00FD3359" w:rsidP="000951FF">
            <w:pPr>
              <w:spacing w:before="0" w:after="0"/>
              <w:jc w:val="center"/>
              <w:rPr>
                <w:rFonts w:cstheme="minorHAnsi"/>
                <w:color w:val="000000"/>
                <w:sz w:val="18"/>
                <w:szCs w:val="18"/>
              </w:rPr>
            </w:pPr>
            <w:r w:rsidRPr="00446C16">
              <w:rPr>
                <w:rFonts w:cstheme="minorHAnsi"/>
                <w:color w:val="000000"/>
                <w:sz w:val="18"/>
                <w:szCs w:val="18"/>
              </w:rPr>
              <w:t>9,00</w:t>
            </w:r>
          </w:p>
        </w:tc>
      </w:tr>
      <w:tr w:rsidR="00FD3359" w:rsidRPr="00446C16" w14:paraId="1D1A5AAF" w14:textId="77777777" w:rsidTr="000951FF">
        <w:trPr>
          <w:trHeight w:val="300"/>
        </w:trPr>
        <w:tc>
          <w:tcPr>
            <w:tcW w:w="7650" w:type="dxa"/>
            <w:shd w:val="clear" w:color="auto" w:fill="auto"/>
            <w:noWrap/>
            <w:hideMark/>
          </w:tcPr>
          <w:p w14:paraId="410657FB" w14:textId="78A28006" w:rsidR="00FD3359" w:rsidRPr="00446C16" w:rsidRDefault="00FD3359" w:rsidP="000951FF">
            <w:pPr>
              <w:spacing w:before="0" w:after="0"/>
              <w:rPr>
                <w:rFonts w:cstheme="minorHAnsi"/>
                <w:color w:val="000000"/>
                <w:sz w:val="18"/>
                <w:szCs w:val="18"/>
              </w:rPr>
            </w:pPr>
            <w:r w:rsidRPr="00446C16">
              <w:rPr>
                <w:rFonts w:cstheme="minorHAnsi"/>
                <w:color w:val="000000"/>
                <w:sz w:val="18"/>
                <w:szCs w:val="18"/>
              </w:rPr>
              <w:t>Būvniecības</w:t>
            </w:r>
            <w:r w:rsidR="00DA5EF2" w:rsidRPr="00446C16">
              <w:t xml:space="preserve"> </w:t>
            </w:r>
            <w:r w:rsidR="00DA5EF2" w:rsidRPr="00446C16">
              <w:rPr>
                <w:rFonts w:cstheme="minorHAnsi"/>
                <w:color w:val="000000"/>
                <w:sz w:val="18"/>
                <w:szCs w:val="18"/>
              </w:rPr>
              <w:t>produkcijas</w:t>
            </w:r>
            <w:r w:rsidRPr="00446C16">
              <w:rPr>
                <w:rFonts w:cstheme="minorHAnsi"/>
                <w:color w:val="000000"/>
                <w:sz w:val="18"/>
                <w:szCs w:val="18"/>
              </w:rPr>
              <w:t xml:space="preserve"> apjoms valstī</w:t>
            </w:r>
          </w:p>
        </w:tc>
        <w:tc>
          <w:tcPr>
            <w:tcW w:w="1701" w:type="dxa"/>
            <w:shd w:val="clear" w:color="auto" w:fill="auto"/>
            <w:hideMark/>
          </w:tcPr>
          <w:p w14:paraId="2B6A03A3" w14:textId="77777777" w:rsidR="00FD3359" w:rsidRPr="00446C16" w:rsidRDefault="00FD3359" w:rsidP="000951FF">
            <w:pPr>
              <w:spacing w:before="0" w:after="0"/>
              <w:jc w:val="center"/>
              <w:rPr>
                <w:rFonts w:cstheme="minorHAnsi"/>
                <w:color w:val="000000"/>
                <w:sz w:val="18"/>
                <w:szCs w:val="18"/>
              </w:rPr>
            </w:pPr>
            <w:r w:rsidRPr="00446C16">
              <w:rPr>
                <w:rFonts w:cstheme="minorHAnsi"/>
                <w:color w:val="000000"/>
                <w:sz w:val="18"/>
                <w:szCs w:val="18"/>
              </w:rPr>
              <w:t>7,00</w:t>
            </w:r>
          </w:p>
        </w:tc>
      </w:tr>
      <w:tr w:rsidR="00FD3359" w:rsidRPr="00446C16" w14:paraId="1A4BE8C0" w14:textId="77777777" w:rsidTr="000951FF">
        <w:trPr>
          <w:trHeight w:val="300"/>
        </w:trPr>
        <w:tc>
          <w:tcPr>
            <w:tcW w:w="7650" w:type="dxa"/>
            <w:shd w:val="clear" w:color="auto" w:fill="auto"/>
            <w:noWrap/>
            <w:hideMark/>
          </w:tcPr>
          <w:p w14:paraId="1715B695" w14:textId="77777777" w:rsidR="00FD3359" w:rsidRPr="00446C16" w:rsidRDefault="00FD3359" w:rsidP="000951FF">
            <w:pPr>
              <w:spacing w:before="0" w:after="0"/>
              <w:rPr>
                <w:rFonts w:cstheme="minorHAnsi"/>
                <w:color w:val="000000"/>
                <w:sz w:val="18"/>
                <w:szCs w:val="18"/>
              </w:rPr>
            </w:pPr>
            <w:r w:rsidRPr="00446C16">
              <w:rPr>
                <w:rFonts w:cstheme="minorHAnsi"/>
                <w:color w:val="000000"/>
                <w:sz w:val="18"/>
                <w:szCs w:val="18"/>
              </w:rPr>
              <w:t>Ģeogrāfiski būvmateriālu pieejamība būvobjektu tuvumā</w:t>
            </w:r>
          </w:p>
        </w:tc>
        <w:tc>
          <w:tcPr>
            <w:tcW w:w="1701" w:type="dxa"/>
            <w:shd w:val="clear" w:color="auto" w:fill="auto"/>
            <w:hideMark/>
          </w:tcPr>
          <w:p w14:paraId="370A1EC9" w14:textId="77777777" w:rsidR="00FD3359" w:rsidRPr="00446C16" w:rsidRDefault="00FD3359" w:rsidP="000951FF">
            <w:pPr>
              <w:spacing w:before="0" w:after="0"/>
              <w:jc w:val="center"/>
              <w:rPr>
                <w:rFonts w:cstheme="minorHAnsi"/>
                <w:color w:val="000000"/>
                <w:sz w:val="18"/>
                <w:szCs w:val="18"/>
              </w:rPr>
            </w:pPr>
            <w:r w:rsidRPr="00446C16">
              <w:rPr>
                <w:rFonts w:cstheme="minorHAnsi"/>
                <w:color w:val="000000"/>
                <w:sz w:val="18"/>
                <w:szCs w:val="18"/>
              </w:rPr>
              <w:t>6,00</w:t>
            </w:r>
          </w:p>
        </w:tc>
      </w:tr>
    </w:tbl>
    <w:p w14:paraId="6D2CDE85" w14:textId="77777777" w:rsidR="00FD3359" w:rsidRPr="00446C16" w:rsidRDefault="00FD3359" w:rsidP="00895643">
      <w:pPr>
        <w:jc w:val="center"/>
        <w:rPr>
          <w:sz w:val="20"/>
          <w:szCs w:val="18"/>
        </w:rPr>
      </w:pPr>
      <w:r w:rsidRPr="00446C16">
        <w:rPr>
          <w:sz w:val="20"/>
          <w:szCs w:val="18"/>
        </w:rPr>
        <w:t>Avots: Ekspertu intervijas</w:t>
      </w:r>
    </w:p>
    <w:p w14:paraId="6D618D2C" w14:textId="62EF97C7" w:rsidR="00FD3359" w:rsidRPr="00446C16" w:rsidRDefault="00FD3359" w:rsidP="00895643">
      <w:pPr>
        <w:ind w:firstLine="851"/>
        <w:jc w:val="both"/>
      </w:pPr>
      <w:r w:rsidRPr="00446C16">
        <w:t xml:space="preserve">Apakšnozares ekspertu izmaksu </w:t>
      </w:r>
      <w:r w:rsidR="00FE4C1E" w:rsidRPr="00446C16">
        <w:t xml:space="preserve">izmaiņu </w:t>
      </w:r>
      <w:r w:rsidRPr="00446C16">
        <w:t xml:space="preserve">prognožu vērtējums pa resursu veidiem </w:t>
      </w:r>
      <w:r w:rsidR="00C93891">
        <w:t xml:space="preserve">nedaudz </w:t>
      </w:r>
      <w:r w:rsidRPr="00446C16">
        <w:t>atšķiras no kopējās būvniecības izmaksu</w:t>
      </w:r>
      <w:r w:rsidR="00FE4C1E" w:rsidRPr="00446C16">
        <w:t xml:space="preserve"> izmaiņu</w:t>
      </w:r>
      <w:r w:rsidRPr="00446C16">
        <w:t xml:space="preserve"> prognozes</w:t>
      </w:r>
      <w:r w:rsidR="00C93891">
        <w:t xml:space="preserve"> – 2020. gadā prognozēts nedaudz lielāks kāpums, nekā 2019. gadā</w:t>
      </w:r>
      <w:r w:rsidRPr="00446C16">
        <w:t xml:space="preserve">. </w:t>
      </w:r>
      <w:r w:rsidR="00C93891">
        <w:t>Taču k</w:t>
      </w:r>
      <w:r w:rsidRPr="00446C16">
        <w:t xml:space="preserve">opējā tendence </w:t>
      </w:r>
      <w:r w:rsidR="00C93891">
        <w:t xml:space="preserve">līdz 2022. gadam </w:t>
      </w:r>
      <w:r w:rsidRPr="00446C16">
        <w:t xml:space="preserve">ir izmaksu </w:t>
      </w:r>
      <w:r w:rsidR="00C93891">
        <w:t xml:space="preserve">pieaugums </w:t>
      </w:r>
      <w:r w:rsidR="0053196E">
        <w:t>1-5</w:t>
      </w:r>
      <w:r w:rsidR="00C93891">
        <w:t xml:space="preserve">% </w:t>
      </w:r>
      <w:proofErr w:type="spellStart"/>
      <w:r w:rsidR="00C93891">
        <w:t>apmerā</w:t>
      </w:r>
      <w:proofErr w:type="spellEnd"/>
      <w:r w:rsidR="0053196E">
        <w:t xml:space="preserve"> no 2018. gada līmeņa (skatīt attēlu </w:t>
      </w:r>
      <w:proofErr w:type="spellStart"/>
      <w:r w:rsidR="0053196E">
        <w:t>Nr</w:t>
      </w:r>
      <w:proofErr w:type="spellEnd"/>
      <w:r w:rsidR="0053196E">
        <w:t xml:space="preserve"> 19)</w:t>
      </w:r>
      <w:r w:rsidRPr="00446C16">
        <w:t>, izņemot ar arhitektūras un tehnisko pārbaužu saistītās izmaks</w:t>
      </w:r>
      <w:r w:rsidR="0019306B" w:rsidRPr="00446C16">
        <w:t>u izmaiņas</w:t>
      </w:r>
      <w:r w:rsidRPr="00446C16">
        <w:t>, kurās straujāks pieaugums prognozēts jau 2022</w:t>
      </w:r>
      <w:r w:rsidR="00100D75" w:rsidRPr="00446C16">
        <w:t>. gad</w:t>
      </w:r>
      <w:r w:rsidRPr="00446C16">
        <w:t xml:space="preserve">ā. </w:t>
      </w:r>
      <w:r w:rsidR="00C93891">
        <w:t xml:space="preserve">2023. gada prognozes uzrāda pretrunīgas tendences, tādēļ </w:t>
      </w:r>
      <w:r w:rsidR="0053196E">
        <w:t xml:space="preserve">šim gadam </w:t>
      </w:r>
      <w:r w:rsidR="00C93891">
        <w:t>gala prognoz</w:t>
      </w:r>
      <w:r w:rsidR="00AE0D06">
        <w:t>e</w:t>
      </w:r>
      <w:r w:rsidR="00C93891">
        <w:t xml:space="preserve"> nav iekļa</w:t>
      </w:r>
      <w:r w:rsidR="00AE0D06">
        <w:t>uta</w:t>
      </w:r>
      <w:r w:rsidR="00C93891">
        <w:t xml:space="preserve">. Turklāt, papildu piesaistītie eksperti autoceļu un dzelzceļu jomās nevērtēja </w:t>
      </w:r>
      <w:proofErr w:type="spellStart"/>
      <w:r w:rsidR="00C93891">
        <w:t>izamaksu</w:t>
      </w:r>
      <w:proofErr w:type="spellEnd"/>
      <w:r w:rsidR="00C93891">
        <w:t xml:space="preserve"> prognozes pa resursu veidiem. </w:t>
      </w:r>
      <w:r w:rsidR="00AE0D06">
        <w:t>No 2023. gada iespējamas būtiskas izmaksu svārstības, kas būs atkarīgas no lielo transporta infrastruktūras būvniecības projektu praktiskās gaitas.</w:t>
      </w:r>
    </w:p>
    <w:p w14:paraId="7A1CDBE3" w14:textId="77777777" w:rsidR="003131DF" w:rsidRDefault="003131DF" w:rsidP="00FD3359">
      <w:pPr>
        <w:jc w:val="center"/>
        <w:rPr>
          <w:b/>
          <w:sz w:val="20"/>
          <w:szCs w:val="18"/>
        </w:rPr>
      </w:pPr>
    </w:p>
    <w:p w14:paraId="402C8EF2" w14:textId="77777777" w:rsidR="003131DF" w:rsidRDefault="003131DF" w:rsidP="00FD3359">
      <w:pPr>
        <w:jc w:val="center"/>
        <w:rPr>
          <w:b/>
          <w:sz w:val="20"/>
          <w:szCs w:val="18"/>
        </w:rPr>
      </w:pPr>
    </w:p>
    <w:p w14:paraId="0874C0F2" w14:textId="77777777" w:rsidR="003131DF" w:rsidRDefault="003131DF" w:rsidP="00FD3359">
      <w:pPr>
        <w:jc w:val="center"/>
        <w:rPr>
          <w:b/>
          <w:sz w:val="20"/>
          <w:szCs w:val="18"/>
        </w:rPr>
      </w:pPr>
    </w:p>
    <w:p w14:paraId="021AAE07" w14:textId="77777777" w:rsidR="003131DF" w:rsidRDefault="003131DF" w:rsidP="00FD3359">
      <w:pPr>
        <w:jc w:val="center"/>
        <w:rPr>
          <w:b/>
          <w:sz w:val="20"/>
          <w:szCs w:val="18"/>
        </w:rPr>
      </w:pPr>
    </w:p>
    <w:p w14:paraId="17CFA7D9" w14:textId="77777777" w:rsidR="00E173D7" w:rsidRDefault="00E173D7" w:rsidP="003131DF">
      <w:pPr>
        <w:jc w:val="center"/>
        <w:rPr>
          <w:b/>
          <w:sz w:val="20"/>
          <w:szCs w:val="18"/>
        </w:rPr>
      </w:pPr>
    </w:p>
    <w:p w14:paraId="1EE6D3F0" w14:textId="77777777" w:rsidR="00E173D7" w:rsidRDefault="00E173D7" w:rsidP="003131DF">
      <w:pPr>
        <w:jc w:val="center"/>
        <w:rPr>
          <w:b/>
          <w:sz w:val="20"/>
          <w:szCs w:val="18"/>
        </w:rPr>
      </w:pPr>
    </w:p>
    <w:p w14:paraId="20DC749E" w14:textId="77777777" w:rsidR="00E173D7" w:rsidRDefault="00E173D7" w:rsidP="003131DF">
      <w:pPr>
        <w:jc w:val="center"/>
        <w:rPr>
          <w:b/>
          <w:sz w:val="20"/>
          <w:szCs w:val="18"/>
        </w:rPr>
      </w:pPr>
    </w:p>
    <w:p w14:paraId="27B3BCA3" w14:textId="77777777" w:rsidR="00E173D7" w:rsidRDefault="00E173D7" w:rsidP="003131DF">
      <w:pPr>
        <w:jc w:val="center"/>
        <w:rPr>
          <w:b/>
          <w:sz w:val="20"/>
          <w:szCs w:val="18"/>
        </w:rPr>
      </w:pPr>
    </w:p>
    <w:p w14:paraId="0EEADDDF" w14:textId="77777777" w:rsidR="00E173D7" w:rsidRDefault="00E173D7" w:rsidP="003131DF">
      <w:pPr>
        <w:jc w:val="center"/>
        <w:rPr>
          <w:b/>
          <w:sz w:val="20"/>
          <w:szCs w:val="18"/>
        </w:rPr>
      </w:pPr>
    </w:p>
    <w:p w14:paraId="5271D0BC" w14:textId="74720011" w:rsidR="00FD3359" w:rsidRPr="00446C16" w:rsidRDefault="00FD3359" w:rsidP="003131DF">
      <w:pPr>
        <w:jc w:val="center"/>
        <w:rPr>
          <w:b/>
          <w:sz w:val="20"/>
          <w:szCs w:val="18"/>
        </w:rPr>
      </w:pPr>
      <w:r w:rsidRPr="00446C16">
        <w:rPr>
          <w:b/>
          <w:sz w:val="20"/>
          <w:szCs w:val="18"/>
        </w:rPr>
        <w:t xml:space="preserve">Attēls Nr. </w:t>
      </w:r>
      <w:r w:rsidR="0053196E">
        <w:rPr>
          <w:b/>
          <w:sz w:val="20"/>
          <w:szCs w:val="18"/>
        </w:rPr>
        <w:t>19</w:t>
      </w:r>
      <w:r w:rsidRPr="00446C16">
        <w:rPr>
          <w:b/>
          <w:sz w:val="20"/>
          <w:szCs w:val="18"/>
        </w:rPr>
        <w:t xml:space="preserve">. Būvniecības izmaksu izmaiņu prognoze pa resursu veidiem transporta būvju apakšnozarē, </w:t>
      </w:r>
      <w:r w:rsidRPr="00446C16">
        <w:rPr>
          <w:b/>
          <w:sz w:val="20"/>
        </w:rPr>
        <w:t>kumulatīvās izmaiņas pret 2018. gadu, %</w:t>
      </w:r>
    </w:p>
    <w:p w14:paraId="7361B0F5" w14:textId="52C05920" w:rsidR="00FD3359" w:rsidRPr="00446C16" w:rsidRDefault="0053196E" w:rsidP="00FD3359">
      <w:pPr>
        <w:spacing w:before="100" w:after="200" w:line="276" w:lineRule="auto"/>
        <w:jc w:val="center"/>
        <w:rPr>
          <w:sz w:val="20"/>
        </w:rPr>
      </w:pPr>
      <w:r w:rsidRPr="0053196E">
        <w:drawing>
          <wp:inline distT="0" distB="0" distL="0" distR="0" wp14:anchorId="382809E6" wp14:editId="73109E42">
            <wp:extent cx="4342857" cy="3000000"/>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42857" cy="3000000"/>
                    </a:xfrm>
                    <a:prstGeom prst="rect">
                      <a:avLst/>
                    </a:prstGeom>
                  </pic:spPr>
                </pic:pic>
              </a:graphicData>
            </a:graphic>
          </wp:inline>
        </w:drawing>
      </w:r>
      <w:r w:rsidR="00FD3359" w:rsidRPr="00446C16">
        <w:rPr>
          <w:sz w:val="20"/>
        </w:rPr>
        <w:t xml:space="preserve"> </w:t>
      </w:r>
    </w:p>
    <w:p w14:paraId="05CEA018" w14:textId="28292422" w:rsidR="00FD3359" w:rsidRPr="00446C16" w:rsidRDefault="00FD3359" w:rsidP="00FD3359">
      <w:pPr>
        <w:spacing w:before="100" w:after="200" w:line="276" w:lineRule="auto"/>
        <w:jc w:val="center"/>
        <w:rPr>
          <w:sz w:val="20"/>
        </w:rPr>
      </w:pPr>
      <w:r w:rsidRPr="00446C16">
        <w:rPr>
          <w:sz w:val="20"/>
        </w:rPr>
        <w:t>Avots: CSP vēsturiskie dati</w:t>
      </w:r>
      <w:r w:rsidR="008441E3" w:rsidRPr="00446C16">
        <w:rPr>
          <w:sz w:val="20"/>
        </w:rPr>
        <w:t xml:space="preserve"> </w:t>
      </w:r>
      <w:r w:rsidRPr="00446C16">
        <w:rPr>
          <w:sz w:val="20"/>
        </w:rPr>
        <w:t>līdz 2018. gadam (ieskaitot) un autoru veikti aprēķini, balstoties uz ekspertu vērtējumiem un izstrādātajie</w:t>
      </w:r>
      <w:r w:rsidR="0053196E">
        <w:rPr>
          <w:sz w:val="20"/>
        </w:rPr>
        <w:t>m modeļiem - prognoze 2019.-2022</w:t>
      </w:r>
      <w:r w:rsidRPr="00446C16">
        <w:rPr>
          <w:sz w:val="20"/>
        </w:rPr>
        <w:t>. gad</w:t>
      </w:r>
      <w:r w:rsidR="008441E3" w:rsidRPr="00446C16">
        <w:rPr>
          <w:sz w:val="20"/>
        </w:rPr>
        <w:t>ie</w:t>
      </w:r>
      <w:r w:rsidRPr="00446C16">
        <w:rPr>
          <w:sz w:val="20"/>
        </w:rPr>
        <w:t>m</w:t>
      </w:r>
    </w:p>
    <w:p w14:paraId="6B8DDA9B" w14:textId="481610C3" w:rsidR="0071000E" w:rsidRPr="00446C16" w:rsidRDefault="0071000E" w:rsidP="00486F98"/>
    <w:p w14:paraId="60D8278E" w14:textId="77777777" w:rsidR="0052387B" w:rsidRPr="00446C16" w:rsidRDefault="0052387B" w:rsidP="0052387B">
      <w:pPr>
        <w:pStyle w:val="Heading2"/>
        <w:rPr>
          <w:rFonts w:eastAsia="Times New Roman"/>
          <w:lang w:eastAsia="en-GB"/>
        </w:rPr>
      </w:pPr>
      <w:bookmarkStart w:id="498" w:name="_Toc13492708"/>
      <w:bookmarkStart w:id="499" w:name="_Toc13574748"/>
      <w:bookmarkStart w:id="500" w:name="_Toc13576535"/>
      <w:bookmarkStart w:id="501" w:name="_Toc13580288"/>
      <w:bookmarkStart w:id="502" w:name="_Toc13673470"/>
      <w:bookmarkStart w:id="503" w:name="_Toc13673786"/>
      <w:bookmarkStart w:id="504" w:name="_Toc13492709"/>
      <w:bookmarkStart w:id="505" w:name="_Toc13574749"/>
      <w:bookmarkStart w:id="506" w:name="_Toc13576536"/>
      <w:bookmarkStart w:id="507" w:name="_Toc13580289"/>
      <w:bookmarkStart w:id="508" w:name="_Toc13673471"/>
      <w:bookmarkStart w:id="509" w:name="_Toc13673787"/>
      <w:bookmarkStart w:id="510" w:name="_Toc13492710"/>
      <w:bookmarkStart w:id="511" w:name="_Toc13574750"/>
      <w:bookmarkStart w:id="512" w:name="_Toc13576537"/>
      <w:bookmarkStart w:id="513" w:name="_Toc13580290"/>
      <w:bookmarkStart w:id="514" w:name="_Toc13673472"/>
      <w:bookmarkStart w:id="515" w:name="_Toc13673788"/>
      <w:bookmarkStart w:id="516" w:name="_Toc13492711"/>
      <w:bookmarkStart w:id="517" w:name="_Toc13574751"/>
      <w:bookmarkStart w:id="518" w:name="_Toc13576538"/>
      <w:bookmarkStart w:id="519" w:name="_Toc13580291"/>
      <w:bookmarkStart w:id="520" w:name="_Toc13673473"/>
      <w:bookmarkStart w:id="521" w:name="_Toc13673789"/>
      <w:bookmarkStart w:id="522" w:name="_Toc13492712"/>
      <w:bookmarkStart w:id="523" w:name="_Toc13574752"/>
      <w:bookmarkStart w:id="524" w:name="_Toc13576539"/>
      <w:bookmarkStart w:id="525" w:name="_Toc13580292"/>
      <w:bookmarkStart w:id="526" w:name="_Toc13673474"/>
      <w:bookmarkStart w:id="527" w:name="_Toc13673790"/>
      <w:bookmarkStart w:id="528" w:name="_Toc13492713"/>
      <w:bookmarkStart w:id="529" w:name="_Toc13574753"/>
      <w:bookmarkStart w:id="530" w:name="_Toc13576540"/>
      <w:bookmarkStart w:id="531" w:name="_Toc13580293"/>
      <w:bookmarkStart w:id="532" w:name="_Toc13673475"/>
      <w:bookmarkStart w:id="533" w:name="_Toc13673791"/>
      <w:bookmarkStart w:id="534" w:name="_Toc13492714"/>
      <w:bookmarkStart w:id="535" w:name="_Toc13574754"/>
      <w:bookmarkStart w:id="536" w:name="_Toc13576541"/>
      <w:bookmarkStart w:id="537" w:name="_Toc13580294"/>
      <w:bookmarkStart w:id="538" w:name="_Toc13673476"/>
      <w:bookmarkStart w:id="539" w:name="_Toc13673792"/>
      <w:bookmarkStart w:id="540" w:name="_Toc13492715"/>
      <w:bookmarkStart w:id="541" w:name="_Toc13574755"/>
      <w:bookmarkStart w:id="542" w:name="_Toc13576542"/>
      <w:bookmarkStart w:id="543" w:name="_Toc13580295"/>
      <w:bookmarkStart w:id="544" w:name="_Toc13673477"/>
      <w:bookmarkStart w:id="545" w:name="_Toc13673793"/>
      <w:bookmarkStart w:id="546" w:name="_Toc13492716"/>
      <w:bookmarkStart w:id="547" w:name="_Toc13574756"/>
      <w:bookmarkStart w:id="548" w:name="_Toc13576543"/>
      <w:bookmarkStart w:id="549" w:name="_Toc13580296"/>
      <w:bookmarkStart w:id="550" w:name="_Toc13673478"/>
      <w:bookmarkStart w:id="551" w:name="_Toc13673794"/>
      <w:bookmarkStart w:id="552" w:name="_Toc13492717"/>
      <w:bookmarkStart w:id="553" w:name="_Toc13574757"/>
      <w:bookmarkStart w:id="554" w:name="_Toc13576544"/>
      <w:bookmarkStart w:id="555" w:name="_Toc13580297"/>
      <w:bookmarkStart w:id="556" w:name="_Toc13673479"/>
      <w:bookmarkStart w:id="557" w:name="_Toc13673795"/>
      <w:bookmarkStart w:id="558" w:name="_Toc13492718"/>
      <w:bookmarkStart w:id="559" w:name="_Toc13574758"/>
      <w:bookmarkStart w:id="560" w:name="_Toc13576545"/>
      <w:bookmarkStart w:id="561" w:name="_Toc13580298"/>
      <w:bookmarkStart w:id="562" w:name="_Toc13673480"/>
      <w:bookmarkStart w:id="563" w:name="_Toc13673796"/>
      <w:bookmarkStart w:id="564" w:name="_Toc13492719"/>
      <w:bookmarkStart w:id="565" w:name="_Toc13574759"/>
      <w:bookmarkStart w:id="566" w:name="_Toc13576546"/>
      <w:bookmarkStart w:id="567" w:name="_Toc13580299"/>
      <w:bookmarkStart w:id="568" w:name="_Toc13673481"/>
      <w:bookmarkStart w:id="569" w:name="_Toc13673797"/>
      <w:bookmarkStart w:id="570" w:name="_Toc13492720"/>
      <w:bookmarkStart w:id="571" w:name="_Toc13574760"/>
      <w:bookmarkStart w:id="572" w:name="_Toc13576547"/>
      <w:bookmarkStart w:id="573" w:name="_Toc13580300"/>
      <w:bookmarkStart w:id="574" w:name="_Toc13673482"/>
      <w:bookmarkStart w:id="575" w:name="_Toc13673798"/>
      <w:bookmarkStart w:id="576" w:name="_Toc13492721"/>
      <w:bookmarkStart w:id="577" w:name="_Toc13574761"/>
      <w:bookmarkStart w:id="578" w:name="_Toc13576548"/>
      <w:bookmarkStart w:id="579" w:name="_Toc13580301"/>
      <w:bookmarkStart w:id="580" w:name="_Toc13673483"/>
      <w:bookmarkStart w:id="581" w:name="_Toc13673799"/>
      <w:bookmarkStart w:id="582" w:name="_Toc13492722"/>
      <w:bookmarkStart w:id="583" w:name="_Toc13574762"/>
      <w:bookmarkStart w:id="584" w:name="_Toc13576549"/>
      <w:bookmarkStart w:id="585" w:name="_Toc13580302"/>
      <w:bookmarkStart w:id="586" w:name="_Toc13673484"/>
      <w:bookmarkStart w:id="587" w:name="_Toc13673800"/>
      <w:bookmarkStart w:id="588" w:name="_Toc13492723"/>
      <w:bookmarkStart w:id="589" w:name="_Toc13574763"/>
      <w:bookmarkStart w:id="590" w:name="_Toc13576550"/>
      <w:bookmarkStart w:id="591" w:name="_Toc13580303"/>
      <w:bookmarkStart w:id="592" w:name="_Toc13673485"/>
      <w:bookmarkStart w:id="593" w:name="_Toc13673801"/>
      <w:bookmarkStart w:id="594" w:name="_Toc13492724"/>
      <w:bookmarkStart w:id="595" w:name="_Toc13574764"/>
      <w:bookmarkStart w:id="596" w:name="_Toc13576551"/>
      <w:bookmarkStart w:id="597" w:name="_Toc13580304"/>
      <w:bookmarkStart w:id="598" w:name="_Toc13673486"/>
      <w:bookmarkStart w:id="599" w:name="_Toc13673802"/>
      <w:bookmarkStart w:id="600" w:name="_Toc13492740"/>
      <w:bookmarkStart w:id="601" w:name="_Toc13574780"/>
      <w:bookmarkStart w:id="602" w:name="_Toc13576567"/>
      <w:bookmarkStart w:id="603" w:name="_Toc13580320"/>
      <w:bookmarkStart w:id="604" w:name="_Toc13673502"/>
      <w:bookmarkStart w:id="605" w:name="_Toc13673818"/>
      <w:bookmarkStart w:id="606" w:name="_Toc13492759"/>
      <w:bookmarkStart w:id="607" w:name="_Toc13574799"/>
      <w:bookmarkStart w:id="608" w:name="_Toc13576586"/>
      <w:bookmarkStart w:id="609" w:name="_Toc13580339"/>
      <w:bookmarkStart w:id="610" w:name="_Toc13673521"/>
      <w:bookmarkStart w:id="611" w:name="_Toc13673837"/>
      <w:bookmarkStart w:id="612" w:name="_Toc13492760"/>
      <w:bookmarkStart w:id="613" w:name="_Toc13574800"/>
      <w:bookmarkStart w:id="614" w:name="_Toc13576587"/>
      <w:bookmarkStart w:id="615" w:name="_Toc13580340"/>
      <w:bookmarkStart w:id="616" w:name="_Toc13673522"/>
      <w:bookmarkStart w:id="617" w:name="_Toc13673838"/>
      <w:bookmarkStart w:id="618" w:name="_Toc13492761"/>
      <w:bookmarkStart w:id="619" w:name="_Toc13574801"/>
      <w:bookmarkStart w:id="620" w:name="_Toc13576588"/>
      <w:bookmarkStart w:id="621" w:name="_Toc13580341"/>
      <w:bookmarkStart w:id="622" w:name="_Toc13673523"/>
      <w:bookmarkStart w:id="623" w:name="_Toc13673839"/>
      <w:bookmarkStart w:id="624" w:name="_Toc13492762"/>
      <w:bookmarkStart w:id="625" w:name="_Toc13574802"/>
      <w:bookmarkStart w:id="626" w:name="_Toc13576589"/>
      <w:bookmarkStart w:id="627" w:name="_Toc13580342"/>
      <w:bookmarkStart w:id="628" w:name="_Toc13673524"/>
      <w:bookmarkStart w:id="629" w:name="_Toc13673840"/>
      <w:bookmarkStart w:id="630" w:name="_Toc13492763"/>
      <w:bookmarkStart w:id="631" w:name="_Toc13574803"/>
      <w:bookmarkStart w:id="632" w:name="_Toc13576590"/>
      <w:bookmarkStart w:id="633" w:name="_Toc13580343"/>
      <w:bookmarkStart w:id="634" w:name="_Toc13673525"/>
      <w:bookmarkStart w:id="635" w:name="_Toc13673841"/>
      <w:bookmarkStart w:id="636" w:name="_Toc13492764"/>
      <w:bookmarkStart w:id="637" w:name="_Toc13574804"/>
      <w:bookmarkStart w:id="638" w:name="_Toc13576591"/>
      <w:bookmarkStart w:id="639" w:name="_Toc13580344"/>
      <w:bookmarkStart w:id="640" w:name="_Toc13673526"/>
      <w:bookmarkStart w:id="641" w:name="_Toc13673842"/>
      <w:bookmarkStart w:id="642" w:name="_Toc13492765"/>
      <w:bookmarkStart w:id="643" w:name="_Toc13574805"/>
      <w:bookmarkStart w:id="644" w:name="_Toc13576592"/>
      <w:bookmarkStart w:id="645" w:name="_Toc13580345"/>
      <w:bookmarkStart w:id="646" w:name="_Toc13673527"/>
      <w:bookmarkStart w:id="647" w:name="_Toc13673843"/>
      <w:bookmarkStart w:id="648" w:name="_Toc13492766"/>
      <w:bookmarkStart w:id="649" w:name="_Toc13574806"/>
      <w:bookmarkStart w:id="650" w:name="_Toc13576593"/>
      <w:bookmarkStart w:id="651" w:name="_Toc13580346"/>
      <w:bookmarkStart w:id="652" w:name="_Toc13673528"/>
      <w:bookmarkStart w:id="653" w:name="_Toc13673844"/>
      <w:bookmarkStart w:id="654" w:name="_Toc13492767"/>
      <w:bookmarkStart w:id="655" w:name="_Toc13574807"/>
      <w:bookmarkStart w:id="656" w:name="_Toc13576594"/>
      <w:bookmarkStart w:id="657" w:name="_Toc13580347"/>
      <w:bookmarkStart w:id="658" w:name="_Toc13673529"/>
      <w:bookmarkStart w:id="659" w:name="_Toc13673845"/>
      <w:bookmarkStart w:id="660" w:name="_Toc13492768"/>
      <w:bookmarkStart w:id="661" w:name="_Toc13574808"/>
      <w:bookmarkStart w:id="662" w:name="_Toc13576595"/>
      <w:bookmarkStart w:id="663" w:name="_Toc13580348"/>
      <w:bookmarkStart w:id="664" w:name="_Toc13673530"/>
      <w:bookmarkStart w:id="665" w:name="_Toc13673846"/>
      <w:bookmarkStart w:id="666" w:name="_Toc13492769"/>
      <w:bookmarkStart w:id="667" w:name="_Toc13574809"/>
      <w:bookmarkStart w:id="668" w:name="_Toc13576596"/>
      <w:bookmarkStart w:id="669" w:name="_Toc13580349"/>
      <w:bookmarkStart w:id="670" w:name="_Toc13673531"/>
      <w:bookmarkStart w:id="671" w:name="_Toc13673847"/>
      <w:bookmarkStart w:id="672" w:name="_Toc13492770"/>
      <w:bookmarkStart w:id="673" w:name="_Toc13574810"/>
      <w:bookmarkStart w:id="674" w:name="_Toc13576597"/>
      <w:bookmarkStart w:id="675" w:name="_Toc13580350"/>
      <w:bookmarkStart w:id="676" w:name="_Toc13673532"/>
      <w:bookmarkStart w:id="677" w:name="_Toc13673848"/>
      <w:bookmarkStart w:id="678" w:name="_Toc13492771"/>
      <w:bookmarkStart w:id="679" w:name="_Toc13574811"/>
      <w:bookmarkStart w:id="680" w:name="_Toc13576598"/>
      <w:bookmarkStart w:id="681" w:name="_Toc13580351"/>
      <w:bookmarkStart w:id="682" w:name="_Toc13673533"/>
      <w:bookmarkStart w:id="683" w:name="_Toc13673849"/>
      <w:bookmarkStart w:id="684" w:name="_Toc13492772"/>
      <w:bookmarkStart w:id="685" w:name="_Toc13574812"/>
      <w:bookmarkStart w:id="686" w:name="_Toc13576599"/>
      <w:bookmarkStart w:id="687" w:name="_Toc13580352"/>
      <w:bookmarkStart w:id="688" w:name="_Toc13673534"/>
      <w:bookmarkStart w:id="689" w:name="_Toc13673850"/>
      <w:bookmarkStart w:id="690" w:name="_Toc13492788"/>
      <w:bookmarkStart w:id="691" w:name="_Toc13574828"/>
      <w:bookmarkStart w:id="692" w:name="_Toc13576615"/>
      <w:bookmarkStart w:id="693" w:name="_Toc13580368"/>
      <w:bookmarkStart w:id="694" w:name="_Toc13673550"/>
      <w:bookmarkStart w:id="695" w:name="_Toc13673866"/>
      <w:bookmarkStart w:id="696" w:name="_Toc13492801"/>
      <w:bookmarkStart w:id="697" w:name="_Toc13574841"/>
      <w:bookmarkStart w:id="698" w:name="_Toc13576628"/>
      <w:bookmarkStart w:id="699" w:name="_Toc13580381"/>
      <w:bookmarkStart w:id="700" w:name="_Toc13673563"/>
      <w:bookmarkStart w:id="701" w:name="_Toc13673879"/>
      <w:bookmarkStart w:id="702" w:name="_Toc13492802"/>
      <w:bookmarkStart w:id="703" w:name="_Toc13574842"/>
      <w:bookmarkStart w:id="704" w:name="_Toc13576629"/>
      <w:bookmarkStart w:id="705" w:name="_Toc13580382"/>
      <w:bookmarkStart w:id="706" w:name="_Toc13673564"/>
      <w:bookmarkStart w:id="707" w:name="_Toc13673880"/>
      <w:bookmarkStart w:id="708" w:name="_Toc13492803"/>
      <w:bookmarkStart w:id="709" w:name="_Toc13574843"/>
      <w:bookmarkStart w:id="710" w:name="_Toc13576630"/>
      <w:bookmarkStart w:id="711" w:name="_Toc13580383"/>
      <w:bookmarkStart w:id="712" w:name="_Toc13673565"/>
      <w:bookmarkStart w:id="713" w:name="_Toc13673881"/>
      <w:bookmarkStart w:id="714" w:name="_Toc13492804"/>
      <w:bookmarkStart w:id="715" w:name="_Toc13574844"/>
      <w:bookmarkStart w:id="716" w:name="_Toc13576631"/>
      <w:bookmarkStart w:id="717" w:name="_Toc13580384"/>
      <w:bookmarkStart w:id="718" w:name="_Toc13673566"/>
      <w:bookmarkStart w:id="719" w:name="_Toc13673882"/>
      <w:bookmarkStart w:id="720" w:name="_Toc13492805"/>
      <w:bookmarkStart w:id="721" w:name="_Toc13574845"/>
      <w:bookmarkStart w:id="722" w:name="_Toc13576632"/>
      <w:bookmarkStart w:id="723" w:name="_Toc13580385"/>
      <w:bookmarkStart w:id="724" w:name="_Toc13673567"/>
      <w:bookmarkStart w:id="725" w:name="_Toc13673883"/>
      <w:bookmarkStart w:id="726" w:name="_Toc13492806"/>
      <w:bookmarkStart w:id="727" w:name="_Toc13574846"/>
      <w:bookmarkStart w:id="728" w:name="_Toc13576633"/>
      <w:bookmarkStart w:id="729" w:name="_Toc13580386"/>
      <w:bookmarkStart w:id="730" w:name="_Toc13673568"/>
      <w:bookmarkStart w:id="731" w:name="_Toc13673884"/>
      <w:bookmarkStart w:id="732" w:name="_Toc13492807"/>
      <w:bookmarkStart w:id="733" w:name="_Toc13574847"/>
      <w:bookmarkStart w:id="734" w:name="_Toc13576634"/>
      <w:bookmarkStart w:id="735" w:name="_Toc13580387"/>
      <w:bookmarkStart w:id="736" w:name="_Toc13673569"/>
      <w:bookmarkStart w:id="737" w:name="_Toc13673885"/>
      <w:bookmarkStart w:id="738" w:name="_Toc13492808"/>
      <w:bookmarkStart w:id="739" w:name="_Toc13574848"/>
      <w:bookmarkStart w:id="740" w:name="_Toc13576635"/>
      <w:bookmarkStart w:id="741" w:name="_Toc13580388"/>
      <w:bookmarkStart w:id="742" w:name="_Toc13673570"/>
      <w:bookmarkStart w:id="743" w:name="_Toc13673886"/>
      <w:bookmarkStart w:id="744" w:name="_Toc13492809"/>
      <w:bookmarkStart w:id="745" w:name="_Toc13574849"/>
      <w:bookmarkStart w:id="746" w:name="_Toc13576636"/>
      <w:bookmarkStart w:id="747" w:name="_Toc13580389"/>
      <w:bookmarkStart w:id="748" w:name="_Toc13673571"/>
      <w:bookmarkStart w:id="749" w:name="_Toc13673887"/>
      <w:bookmarkStart w:id="750" w:name="_Toc13492810"/>
      <w:bookmarkStart w:id="751" w:name="_Toc13574850"/>
      <w:bookmarkStart w:id="752" w:name="_Toc13576637"/>
      <w:bookmarkStart w:id="753" w:name="_Toc13580390"/>
      <w:bookmarkStart w:id="754" w:name="_Toc13673572"/>
      <w:bookmarkStart w:id="755" w:name="_Toc13673888"/>
      <w:bookmarkStart w:id="756" w:name="_Toc13492811"/>
      <w:bookmarkStart w:id="757" w:name="_Toc13574851"/>
      <w:bookmarkStart w:id="758" w:name="_Toc13576638"/>
      <w:bookmarkStart w:id="759" w:name="_Toc13580391"/>
      <w:bookmarkStart w:id="760" w:name="_Toc13673573"/>
      <w:bookmarkStart w:id="761" w:name="_Toc13673889"/>
      <w:bookmarkStart w:id="762" w:name="_Toc13492812"/>
      <w:bookmarkStart w:id="763" w:name="_Toc13574852"/>
      <w:bookmarkStart w:id="764" w:name="_Toc13576639"/>
      <w:bookmarkStart w:id="765" w:name="_Toc13580392"/>
      <w:bookmarkStart w:id="766" w:name="_Toc13673574"/>
      <w:bookmarkStart w:id="767" w:name="_Toc13673890"/>
      <w:bookmarkStart w:id="768" w:name="_Toc13492813"/>
      <w:bookmarkStart w:id="769" w:name="_Toc13574853"/>
      <w:bookmarkStart w:id="770" w:name="_Toc13576640"/>
      <w:bookmarkStart w:id="771" w:name="_Toc13580393"/>
      <w:bookmarkStart w:id="772" w:name="_Toc13673575"/>
      <w:bookmarkStart w:id="773" w:name="_Toc13673891"/>
      <w:bookmarkStart w:id="774" w:name="_Toc13492823"/>
      <w:bookmarkStart w:id="775" w:name="_Toc13574863"/>
      <w:bookmarkStart w:id="776" w:name="_Toc13576650"/>
      <w:bookmarkStart w:id="777" w:name="_Toc13580403"/>
      <w:bookmarkStart w:id="778" w:name="_Toc13673585"/>
      <w:bookmarkStart w:id="779" w:name="_Toc13673901"/>
      <w:bookmarkStart w:id="780" w:name="_Toc13492836"/>
      <w:bookmarkStart w:id="781" w:name="_Toc13574876"/>
      <w:bookmarkStart w:id="782" w:name="_Toc13576663"/>
      <w:bookmarkStart w:id="783" w:name="_Toc13580416"/>
      <w:bookmarkStart w:id="784" w:name="_Toc13673598"/>
      <w:bookmarkStart w:id="785" w:name="_Toc13673914"/>
      <w:bookmarkStart w:id="786" w:name="_Toc23163508"/>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r w:rsidRPr="00446C16">
        <w:rPr>
          <w:rFonts w:eastAsia="Times New Roman"/>
          <w:lang w:eastAsia="en-GB"/>
        </w:rPr>
        <w:t>Maģistrālo pazemes cauruļvadu būvniecības apakšnozares</w:t>
      </w:r>
      <w:r w:rsidRPr="00446C16">
        <w:t xml:space="preserve"> izmaksu izmaiņu prognozes</w:t>
      </w:r>
      <w:bookmarkEnd w:id="786"/>
    </w:p>
    <w:p w14:paraId="5F724E26" w14:textId="40FD0D3E" w:rsidR="0052387B" w:rsidRPr="00446C16" w:rsidRDefault="0052387B">
      <w:pPr>
        <w:ind w:firstLine="851"/>
        <w:jc w:val="both"/>
      </w:pPr>
      <w:r w:rsidRPr="00446C16">
        <w:t>Maģistrālo pazemes cauruļvadu apakšnozarē prognozējams apjoma pieaugums 2019. un 2020</w:t>
      </w:r>
      <w:r w:rsidR="00100D75" w:rsidRPr="00446C16">
        <w:t>. gad</w:t>
      </w:r>
      <w:r w:rsidRPr="00446C16">
        <w:t>ā. Tālākajos gados ekspertu vērtējumi un statistiskais trends būtiski atšķiras (skatīt attēlu Nr.</w:t>
      </w:r>
      <w:r w:rsidR="00BC3C8E">
        <w:t>2</w:t>
      </w:r>
      <w:r w:rsidR="00AE0D06">
        <w:t>0</w:t>
      </w:r>
      <w:r w:rsidRPr="00446C16">
        <w:t>.). Ekspertu vērtējums ir vismērenākais – bez būtiskām svārstībām pēc 2019</w:t>
      </w:r>
      <w:r w:rsidR="00100D75" w:rsidRPr="00446C16">
        <w:t>. gad</w:t>
      </w:r>
      <w:r w:rsidRPr="00446C16">
        <w:t>a. Statistiskais modelis norāda uz būtisku krituma risku 2022. un 2023</w:t>
      </w:r>
      <w:r w:rsidR="00100D75" w:rsidRPr="00446C16">
        <w:t>. gad</w:t>
      </w:r>
      <w:r w:rsidRPr="00446C16">
        <w:t>ā</w:t>
      </w:r>
      <w:r w:rsidR="003D3D7F" w:rsidRPr="00446C16">
        <w:t>,</w:t>
      </w:r>
      <w:r w:rsidRPr="00446C16">
        <w:t xml:space="preserve"> līdzīgi kā tas bija 2016</w:t>
      </w:r>
      <w:r w:rsidR="00100D75" w:rsidRPr="00446C16">
        <w:t>. gad</w:t>
      </w:r>
      <w:r w:rsidRPr="00446C16">
        <w:t>ā saistībā ar cikliskumu ES fondu apguvē.</w:t>
      </w:r>
    </w:p>
    <w:p w14:paraId="3F2CE04C" w14:textId="4EDD9174" w:rsidR="0052387B" w:rsidRPr="00446C16" w:rsidRDefault="0052387B" w:rsidP="00895643">
      <w:pPr>
        <w:ind w:firstLine="851"/>
        <w:jc w:val="both"/>
      </w:pPr>
      <w:r w:rsidRPr="00446C16">
        <w:t>Kombinētā prognoze uzrāda, ka kumulatīvais apjoma pieaugums periodā svārstīsies 8% līdz 23% robežās no 2018</w:t>
      </w:r>
      <w:r w:rsidR="00100D75" w:rsidRPr="00446C16">
        <w:t>. gad</w:t>
      </w:r>
      <w:r w:rsidRPr="00446C16">
        <w:t>a līmeņa ar 13% apjoma samazinājumu 2022.gadā. Ņemot vērā atsevišķu ekspertu norādes uz publiskā iepirkuma plānu dinamiku, lielāks pasūtījumu apjoma kritums gaidāms ap 2021.</w:t>
      </w:r>
      <w:r w:rsidR="00D63087" w:rsidRPr="00446C16">
        <w:t xml:space="preserve"> </w:t>
      </w:r>
      <w:r w:rsidRPr="00446C16">
        <w:t xml:space="preserve">gadu. </w:t>
      </w:r>
    </w:p>
    <w:p w14:paraId="37A58AF1" w14:textId="4B5C7D9E" w:rsidR="0052387B" w:rsidRDefault="0052387B" w:rsidP="00895643">
      <w:pPr>
        <w:ind w:firstLine="851"/>
        <w:jc w:val="both"/>
      </w:pPr>
      <w:r w:rsidRPr="00446C16">
        <w:t>Līdz ar to kombinētā prognoze vairāk interpretējama nevis kā atsevišķu gadu prognožu kopa, bet kā vispārēja tendence, kur pēc apjoma pieauguma 2019. un 2020. gad</w:t>
      </w:r>
      <w:r w:rsidR="003D3D7F" w:rsidRPr="00446C16">
        <w:t>ā,</w:t>
      </w:r>
      <w:r w:rsidRPr="00446C16">
        <w:t xml:space="preserve"> gaidāms apjoma samazinājuma risks.</w:t>
      </w:r>
    </w:p>
    <w:p w14:paraId="364BE67F" w14:textId="7D765E58" w:rsidR="00576929" w:rsidRDefault="00576929" w:rsidP="00895643">
      <w:pPr>
        <w:ind w:firstLine="851"/>
        <w:jc w:val="both"/>
      </w:pPr>
    </w:p>
    <w:p w14:paraId="410E5965" w14:textId="36AA3394" w:rsidR="00576929" w:rsidRDefault="00576929" w:rsidP="00895643">
      <w:pPr>
        <w:ind w:firstLine="851"/>
        <w:jc w:val="both"/>
      </w:pPr>
    </w:p>
    <w:p w14:paraId="3A897727" w14:textId="50CA15B9" w:rsidR="00576929" w:rsidRDefault="00576929" w:rsidP="00895643">
      <w:pPr>
        <w:ind w:firstLine="851"/>
        <w:jc w:val="both"/>
      </w:pPr>
    </w:p>
    <w:p w14:paraId="73B04D38" w14:textId="622E981E" w:rsidR="00576929" w:rsidRDefault="00576929" w:rsidP="00895643">
      <w:pPr>
        <w:ind w:firstLine="851"/>
        <w:jc w:val="both"/>
      </w:pPr>
    </w:p>
    <w:p w14:paraId="308EA56B" w14:textId="0BE3BC9C" w:rsidR="00576929" w:rsidRDefault="00576929" w:rsidP="00895643">
      <w:pPr>
        <w:ind w:firstLine="851"/>
        <w:jc w:val="both"/>
      </w:pPr>
    </w:p>
    <w:p w14:paraId="3AC7694A" w14:textId="79B1B0BD" w:rsidR="00576929" w:rsidRDefault="00576929" w:rsidP="00895643">
      <w:pPr>
        <w:ind w:firstLine="851"/>
        <w:jc w:val="both"/>
      </w:pPr>
    </w:p>
    <w:p w14:paraId="30D629C3" w14:textId="74916A18" w:rsidR="00576929" w:rsidRDefault="00576929" w:rsidP="00895643">
      <w:pPr>
        <w:ind w:firstLine="851"/>
        <w:jc w:val="both"/>
      </w:pPr>
    </w:p>
    <w:p w14:paraId="09A01A07" w14:textId="77777777" w:rsidR="00576929" w:rsidRPr="00446C16" w:rsidRDefault="00576929" w:rsidP="00895643">
      <w:pPr>
        <w:ind w:firstLine="851"/>
        <w:jc w:val="both"/>
      </w:pPr>
    </w:p>
    <w:p w14:paraId="64D01664" w14:textId="70F98C15" w:rsidR="0052387B" w:rsidRPr="00446C16" w:rsidRDefault="0052387B" w:rsidP="003131DF">
      <w:pPr>
        <w:spacing w:before="100" w:after="200"/>
        <w:jc w:val="center"/>
        <w:rPr>
          <w:b/>
          <w:sz w:val="20"/>
        </w:rPr>
      </w:pPr>
      <w:r w:rsidRPr="00446C16">
        <w:rPr>
          <w:b/>
          <w:sz w:val="20"/>
        </w:rPr>
        <w:lastRenderedPageBreak/>
        <w:t xml:space="preserve">Attēls Nr. </w:t>
      </w:r>
      <w:r w:rsidR="003131DF">
        <w:rPr>
          <w:b/>
          <w:sz w:val="20"/>
        </w:rPr>
        <w:t>2</w:t>
      </w:r>
      <w:r w:rsidR="00AE0D06">
        <w:rPr>
          <w:b/>
          <w:sz w:val="20"/>
        </w:rPr>
        <w:t>0</w:t>
      </w:r>
      <w:r w:rsidRPr="00446C16">
        <w:rPr>
          <w:b/>
          <w:sz w:val="20"/>
        </w:rPr>
        <w:t>. Būvniecības produkcijas apjoma izmaiņas maģistrālo pazemes cauruļvadu apakšnozarē līdz 2018</w:t>
      </w:r>
      <w:r w:rsidR="00100D75" w:rsidRPr="00446C16">
        <w:rPr>
          <w:b/>
          <w:sz w:val="20"/>
        </w:rPr>
        <w:t>. gad</w:t>
      </w:r>
      <w:r w:rsidRPr="00446C16">
        <w:rPr>
          <w:b/>
          <w:sz w:val="20"/>
        </w:rPr>
        <w:t>am un prognozes no 2019. līdz 2023. gadam, kumulatīvās izmaiņas pret 2018. gadu, %</w:t>
      </w:r>
    </w:p>
    <w:p w14:paraId="1DF7E82D" w14:textId="58CDDE29" w:rsidR="0052387B" w:rsidRPr="00446C16" w:rsidRDefault="00DE4424" w:rsidP="0052387B">
      <w:pPr>
        <w:spacing w:before="100" w:after="200" w:line="276" w:lineRule="auto"/>
        <w:jc w:val="center"/>
        <w:rPr>
          <w:bCs/>
        </w:rPr>
      </w:pPr>
      <w:r w:rsidRPr="00446C16">
        <w:rPr>
          <w:bCs/>
          <w:noProof/>
          <w:lang w:val="en-US"/>
        </w:rPr>
        <w:drawing>
          <wp:inline distT="0" distB="0" distL="0" distR="0" wp14:anchorId="727AF596" wp14:editId="00CABC16">
            <wp:extent cx="4961455" cy="3600000"/>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61455" cy="3600000"/>
                    </a:xfrm>
                    <a:prstGeom prst="rect">
                      <a:avLst/>
                    </a:prstGeom>
                    <a:noFill/>
                  </pic:spPr>
                </pic:pic>
              </a:graphicData>
            </a:graphic>
          </wp:inline>
        </w:drawing>
      </w:r>
    </w:p>
    <w:p w14:paraId="29EA12C1" w14:textId="6089AFDD" w:rsidR="0071000E" w:rsidRPr="00446C16" w:rsidRDefault="0052387B" w:rsidP="003131DF">
      <w:pPr>
        <w:jc w:val="center"/>
        <w:rPr>
          <w:sz w:val="20"/>
        </w:rPr>
      </w:pPr>
      <w:r w:rsidRPr="00446C16">
        <w:rPr>
          <w:sz w:val="20"/>
        </w:rPr>
        <w:t>Avots: CSP vēsturiskie dati līdz 2018. gadam (ieskaitot) un autoru veikti aprēķini, balstoties uz ekspertu vērtējumiem un izstrādātajiem modeļiem - prognoze 2019.-2023. gad</w:t>
      </w:r>
      <w:r w:rsidR="007E7F49" w:rsidRPr="00446C16">
        <w:rPr>
          <w:sz w:val="20"/>
        </w:rPr>
        <w:t>iem</w:t>
      </w:r>
    </w:p>
    <w:p w14:paraId="7B935270" w14:textId="28E826D5" w:rsidR="0052387B" w:rsidRPr="00446C16" w:rsidRDefault="0052387B" w:rsidP="003131DF">
      <w:pPr>
        <w:jc w:val="center"/>
        <w:rPr>
          <w:b/>
          <w:sz w:val="20"/>
        </w:rPr>
      </w:pPr>
      <w:r w:rsidRPr="00446C16">
        <w:rPr>
          <w:b/>
          <w:sz w:val="20"/>
        </w:rPr>
        <w:t xml:space="preserve">Attēls Nr. </w:t>
      </w:r>
      <w:r w:rsidR="00AE0D06">
        <w:rPr>
          <w:b/>
          <w:sz w:val="20"/>
        </w:rPr>
        <w:t>21</w:t>
      </w:r>
      <w:r w:rsidRPr="00446C16">
        <w:rPr>
          <w:b/>
          <w:sz w:val="20"/>
        </w:rPr>
        <w:t>. Būvniecības izmaksu izmaiņas maģistrālo pazemes cauruļvadu apakšnozarē līdz 2018</w:t>
      </w:r>
      <w:r w:rsidR="00100D75" w:rsidRPr="00446C16">
        <w:rPr>
          <w:b/>
          <w:sz w:val="20"/>
        </w:rPr>
        <w:t>. gad</w:t>
      </w:r>
      <w:r w:rsidRPr="00446C16">
        <w:rPr>
          <w:b/>
          <w:sz w:val="20"/>
        </w:rPr>
        <w:t>am un prognozes no 2019. līdz 2023. gadam, kumulatīvās izmaiņas pret 2018. gadu, %</w:t>
      </w:r>
    </w:p>
    <w:p w14:paraId="5DCE9E94" w14:textId="4C8AA747" w:rsidR="0052387B" w:rsidRPr="00446C16" w:rsidRDefault="009D63B4" w:rsidP="0052387B">
      <w:pPr>
        <w:jc w:val="center"/>
        <w:rPr>
          <w:bCs/>
        </w:rPr>
      </w:pPr>
      <w:r w:rsidRPr="00446C16">
        <w:rPr>
          <w:bCs/>
          <w:noProof/>
          <w:lang w:val="en-US"/>
        </w:rPr>
        <w:drawing>
          <wp:inline distT="0" distB="0" distL="0" distR="0" wp14:anchorId="12CE99C6" wp14:editId="7839E67A">
            <wp:extent cx="4961455" cy="3600000"/>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61455" cy="3600000"/>
                    </a:xfrm>
                    <a:prstGeom prst="rect">
                      <a:avLst/>
                    </a:prstGeom>
                    <a:noFill/>
                  </pic:spPr>
                </pic:pic>
              </a:graphicData>
            </a:graphic>
          </wp:inline>
        </w:drawing>
      </w:r>
    </w:p>
    <w:p w14:paraId="5AA67266" w14:textId="449EA39F" w:rsidR="0052387B" w:rsidRPr="00446C16" w:rsidRDefault="0052387B" w:rsidP="0052387B">
      <w:pPr>
        <w:jc w:val="center"/>
        <w:rPr>
          <w:sz w:val="20"/>
        </w:rPr>
      </w:pPr>
      <w:r w:rsidRPr="00446C16">
        <w:rPr>
          <w:sz w:val="20"/>
        </w:rPr>
        <w:t>Avots: CSP vēsturiskie dati līdz 2018. gadam (ieskaitot) un autoru veikti aprēķini, balstoties uz ekspertu vērtējumiem un izstrādātajiem modeļiem - prognoze 2019.-2023. gad</w:t>
      </w:r>
      <w:r w:rsidR="007F6658" w:rsidRPr="00446C16">
        <w:rPr>
          <w:sz w:val="20"/>
        </w:rPr>
        <w:t>ie</w:t>
      </w:r>
      <w:r w:rsidRPr="00446C16">
        <w:rPr>
          <w:sz w:val="20"/>
        </w:rPr>
        <w:t>m</w:t>
      </w:r>
    </w:p>
    <w:p w14:paraId="544FCDE9" w14:textId="04744059" w:rsidR="0052387B" w:rsidRPr="00446C16" w:rsidRDefault="0052387B" w:rsidP="00895643">
      <w:pPr>
        <w:ind w:firstLine="851"/>
        <w:jc w:val="both"/>
      </w:pPr>
      <w:r w:rsidRPr="00446C16">
        <w:lastRenderedPageBreak/>
        <w:t>Sadalījumā pa resursu veidiem</w:t>
      </w:r>
      <w:r w:rsidR="006C7A84" w:rsidRPr="00446C16">
        <w:t>,</w:t>
      </w:r>
      <w:r w:rsidRPr="00446C16">
        <w:t xml:space="preserve"> apakšnozares ekspertu viedokļi uzrāda, ka starp būtiskākajiem faktoriem gan attiecībā uz darbaspēk</w:t>
      </w:r>
      <w:r w:rsidR="006C7A84" w:rsidRPr="00446C16">
        <w:t>a</w:t>
      </w:r>
      <w:r w:rsidRPr="00446C16">
        <w:t>, gan būvmateriāl</w:t>
      </w:r>
      <w:r w:rsidR="006C7A84" w:rsidRPr="00446C16">
        <w:t>u izmaksu izmaiņām</w:t>
      </w:r>
      <w:r w:rsidRPr="00446C16">
        <w:t xml:space="preserve"> ir būvniecības </w:t>
      </w:r>
      <w:r w:rsidR="006C7A84" w:rsidRPr="00446C16">
        <w:t xml:space="preserve">produkcijas </w:t>
      </w:r>
      <w:r w:rsidRPr="00446C16">
        <w:t>apjomi Latvijā, tai skaitā publiskie.</w:t>
      </w:r>
    </w:p>
    <w:p w14:paraId="149B498D" w14:textId="7AD53978" w:rsidR="0052387B" w:rsidRPr="00446C16" w:rsidRDefault="0052387B" w:rsidP="00895643">
      <w:pPr>
        <w:ind w:firstLine="851"/>
        <w:jc w:val="both"/>
      </w:pPr>
      <w:r w:rsidRPr="00446C16">
        <w:t>Attiecībā uz darbaspēka izmaks</w:t>
      </w:r>
      <w:r w:rsidR="0019306B" w:rsidRPr="00446C16">
        <w:t>u izmaiņām,</w:t>
      </w:r>
      <w:r w:rsidRPr="00446C16">
        <w:t xml:space="preserve"> pirmajā vietā norādīts darbaspēka trūkums. </w:t>
      </w:r>
    </w:p>
    <w:p w14:paraId="24615AE6" w14:textId="528DCEC3" w:rsidR="0052387B" w:rsidRPr="00446C16" w:rsidRDefault="0052387B" w:rsidP="00895643">
      <w:pPr>
        <w:ind w:firstLine="851"/>
        <w:jc w:val="both"/>
      </w:pPr>
      <w:r w:rsidRPr="00446C16">
        <w:t xml:space="preserve">Pie būvmateriālu izmaksu </w:t>
      </w:r>
      <w:r w:rsidR="00D17547" w:rsidRPr="00446C16">
        <w:rPr>
          <w:rStyle w:val="st"/>
        </w:rPr>
        <w:t xml:space="preserve">izmaiņas ietekmējošiem </w:t>
      </w:r>
      <w:r w:rsidRPr="00446C16">
        <w:t>faktoriem minēti arī degvielas cenas, tērauda izejmateriālu un iekārtu pieejamība.</w:t>
      </w:r>
    </w:p>
    <w:p w14:paraId="45E8F7A1" w14:textId="610AB810" w:rsidR="0052387B" w:rsidRPr="00446C16" w:rsidRDefault="0052387B" w:rsidP="0052387B">
      <w:pPr>
        <w:jc w:val="center"/>
        <w:rPr>
          <w:rFonts w:cstheme="minorHAnsi"/>
          <w:b/>
          <w:bCs/>
          <w:sz w:val="20"/>
          <w:szCs w:val="22"/>
        </w:rPr>
      </w:pPr>
      <w:r w:rsidRPr="00446C16">
        <w:rPr>
          <w:b/>
          <w:bCs/>
          <w:sz w:val="20"/>
          <w:szCs w:val="18"/>
        </w:rPr>
        <w:t>Tabula</w:t>
      </w:r>
      <w:r w:rsidRPr="00446C16">
        <w:rPr>
          <w:rFonts w:cs="Arial"/>
          <w:b/>
          <w:bCs/>
          <w:color w:val="222222"/>
          <w:sz w:val="20"/>
          <w:szCs w:val="18"/>
        </w:rPr>
        <w:t xml:space="preserve"> </w:t>
      </w:r>
      <w:r w:rsidR="00BF036D" w:rsidRPr="00446C16">
        <w:rPr>
          <w:rFonts w:cs="Arial"/>
          <w:b/>
          <w:bCs/>
          <w:color w:val="222222"/>
          <w:sz w:val="20"/>
          <w:szCs w:val="18"/>
        </w:rPr>
        <w:t xml:space="preserve">Nr. </w:t>
      </w:r>
      <w:r w:rsidR="00E76FAA" w:rsidRPr="00446C16">
        <w:rPr>
          <w:rFonts w:cs="Arial"/>
          <w:b/>
          <w:bCs/>
          <w:color w:val="222222"/>
          <w:sz w:val="20"/>
          <w:szCs w:val="18"/>
        </w:rPr>
        <w:t>9</w:t>
      </w:r>
      <w:r w:rsidRPr="00446C16">
        <w:rPr>
          <w:rFonts w:cs="Arial"/>
          <w:b/>
          <w:bCs/>
          <w:color w:val="222222"/>
          <w:sz w:val="20"/>
          <w:szCs w:val="18"/>
        </w:rPr>
        <w:t>. Darbaspēka un būvmateriālu izmaksu izmaiņas ietekmējošie faktori būvniecības apakšnozarē</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5"/>
      </w:tblGrid>
      <w:tr w:rsidR="0052387B" w:rsidRPr="00446C16" w14:paraId="40D304BD" w14:textId="77777777" w:rsidTr="003D3D7F">
        <w:trPr>
          <w:trHeight w:val="260"/>
        </w:trPr>
        <w:tc>
          <w:tcPr>
            <w:tcW w:w="7366" w:type="dxa"/>
            <w:shd w:val="clear" w:color="auto" w:fill="1F3763"/>
            <w:noWrap/>
          </w:tcPr>
          <w:p w14:paraId="1570BFAC" w14:textId="7344273C" w:rsidR="0052387B" w:rsidRPr="00446C16" w:rsidRDefault="0052387B" w:rsidP="003D3D7F">
            <w:pPr>
              <w:spacing w:before="0" w:after="0"/>
              <w:jc w:val="center"/>
              <w:rPr>
                <w:rFonts w:cstheme="minorHAnsi"/>
                <w:color w:val="FFFFFF" w:themeColor="background1"/>
                <w:sz w:val="18"/>
                <w:szCs w:val="18"/>
              </w:rPr>
            </w:pPr>
            <w:r w:rsidRPr="00446C16">
              <w:rPr>
                <w:rFonts w:cstheme="minorHAnsi"/>
                <w:b/>
                <w:bCs/>
                <w:color w:val="FFFFFF" w:themeColor="background1"/>
                <w:sz w:val="18"/>
                <w:szCs w:val="18"/>
              </w:rPr>
              <w:t xml:space="preserve">Faktori, kas ietekmē darbaspēka </w:t>
            </w:r>
            <w:r w:rsidR="0019306B" w:rsidRPr="00446C16">
              <w:rPr>
                <w:rFonts w:cstheme="minorHAnsi"/>
                <w:b/>
                <w:bCs/>
                <w:color w:val="FFFFFF" w:themeColor="background1"/>
                <w:sz w:val="18"/>
                <w:szCs w:val="18"/>
              </w:rPr>
              <w:t>izmaksu izmaiņas</w:t>
            </w:r>
            <w:r w:rsidRPr="00446C16">
              <w:rPr>
                <w:rFonts w:cstheme="minorHAnsi"/>
                <w:b/>
                <w:bCs/>
                <w:color w:val="FFFFFF" w:themeColor="background1"/>
                <w:sz w:val="18"/>
                <w:szCs w:val="18"/>
              </w:rPr>
              <w:t xml:space="preserve"> tieši maģistrālo pazemes cauruļvadu būvniecības apakšnozarē</w:t>
            </w:r>
          </w:p>
        </w:tc>
        <w:tc>
          <w:tcPr>
            <w:tcW w:w="1985" w:type="dxa"/>
            <w:shd w:val="clear" w:color="auto" w:fill="1F3763"/>
            <w:vAlign w:val="bottom"/>
          </w:tcPr>
          <w:p w14:paraId="2175D758" w14:textId="77777777" w:rsidR="0052387B" w:rsidRPr="00446C16" w:rsidRDefault="0052387B" w:rsidP="003D3D7F">
            <w:pPr>
              <w:spacing w:before="0" w:after="0"/>
              <w:jc w:val="center"/>
              <w:rPr>
                <w:rFonts w:cstheme="minorHAnsi"/>
                <w:color w:val="FFFFFF" w:themeColor="background1"/>
                <w:sz w:val="18"/>
                <w:szCs w:val="18"/>
              </w:rPr>
            </w:pPr>
            <w:r w:rsidRPr="00446C16">
              <w:rPr>
                <w:rFonts w:eastAsia="Times New Roman" w:cstheme="minorHAnsi"/>
                <w:b/>
                <w:bCs/>
                <w:color w:val="FFFFFF" w:themeColor="background1"/>
                <w:sz w:val="18"/>
                <w:szCs w:val="18"/>
              </w:rPr>
              <w:t>Vidējais vērtējums</w:t>
            </w:r>
          </w:p>
        </w:tc>
      </w:tr>
      <w:tr w:rsidR="0052387B" w:rsidRPr="00446C16" w14:paraId="161594F0" w14:textId="77777777" w:rsidTr="003D3D7F">
        <w:trPr>
          <w:trHeight w:val="260"/>
        </w:trPr>
        <w:tc>
          <w:tcPr>
            <w:tcW w:w="7366" w:type="dxa"/>
            <w:shd w:val="clear" w:color="auto" w:fill="auto"/>
            <w:noWrap/>
            <w:hideMark/>
          </w:tcPr>
          <w:p w14:paraId="7A69A238"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Darbaspēka trūkums</w:t>
            </w:r>
          </w:p>
        </w:tc>
        <w:tc>
          <w:tcPr>
            <w:tcW w:w="1985" w:type="dxa"/>
            <w:shd w:val="clear" w:color="auto" w:fill="auto"/>
            <w:hideMark/>
          </w:tcPr>
          <w:p w14:paraId="41813D33"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8,75</w:t>
            </w:r>
          </w:p>
        </w:tc>
      </w:tr>
      <w:tr w:rsidR="0052387B" w:rsidRPr="00446C16" w14:paraId="5E7FDE8E" w14:textId="77777777" w:rsidTr="003D3D7F">
        <w:trPr>
          <w:trHeight w:val="260"/>
        </w:trPr>
        <w:tc>
          <w:tcPr>
            <w:tcW w:w="7366" w:type="dxa"/>
            <w:shd w:val="clear" w:color="auto" w:fill="auto"/>
            <w:noWrap/>
            <w:hideMark/>
          </w:tcPr>
          <w:p w14:paraId="54FF72A2"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Par publiskiem līdzekļiem īstenoto būvniecības ieceru apjoms</w:t>
            </w:r>
          </w:p>
        </w:tc>
        <w:tc>
          <w:tcPr>
            <w:tcW w:w="1985" w:type="dxa"/>
            <w:shd w:val="clear" w:color="auto" w:fill="auto"/>
            <w:hideMark/>
          </w:tcPr>
          <w:p w14:paraId="66DD9A93"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8,75</w:t>
            </w:r>
          </w:p>
        </w:tc>
      </w:tr>
      <w:tr w:rsidR="0052387B" w:rsidRPr="00446C16" w14:paraId="01D21A6F" w14:textId="77777777" w:rsidTr="003D3D7F">
        <w:trPr>
          <w:trHeight w:val="260"/>
        </w:trPr>
        <w:tc>
          <w:tcPr>
            <w:tcW w:w="7366" w:type="dxa"/>
            <w:shd w:val="clear" w:color="auto" w:fill="auto"/>
            <w:noWrap/>
            <w:hideMark/>
          </w:tcPr>
          <w:p w14:paraId="6A89CFAA" w14:textId="4C894774"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 xml:space="preserve">Būvniecības </w:t>
            </w:r>
            <w:r w:rsidR="00DA5EF2" w:rsidRPr="00446C16">
              <w:rPr>
                <w:rFonts w:cstheme="minorHAnsi"/>
                <w:color w:val="000000"/>
                <w:sz w:val="18"/>
                <w:szCs w:val="18"/>
              </w:rPr>
              <w:t xml:space="preserve">produkcijas </w:t>
            </w:r>
            <w:r w:rsidRPr="00446C16">
              <w:rPr>
                <w:rFonts w:cstheme="minorHAnsi"/>
                <w:color w:val="000000"/>
                <w:sz w:val="18"/>
                <w:szCs w:val="18"/>
              </w:rPr>
              <w:t>apjoms Latvijā</w:t>
            </w:r>
          </w:p>
        </w:tc>
        <w:tc>
          <w:tcPr>
            <w:tcW w:w="1985" w:type="dxa"/>
            <w:shd w:val="clear" w:color="auto" w:fill="auto"/>
            <w:hideMark/>
          </w:tcPr>
          <w:p w14:paraId="43F0A40B"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7,50</w:t>
            </w:r>
          </w:p>
        </w:tc>
      </w:tr>
      <w:tr w:rsidR="0052387B" w:rsidRPr="00446C16" w14:paraId="026477A1" w14:textId="77777777" w:rsidTr="003D3D7F">
        <w:trPr>
          <w:trHeight w:val="260"/>
        </w:trPr>
        <w:tc>
          <w:tcPr>
            <w:tcW w:w="7366" w:type="dxa"/>
            <w:shd w:val="clear" w:color="auto" w:fill="auto"/>
            <w:noWrap/>
            <w:hideMark/>
          </w:tcPr>
          <w:p w14:paraId="744CBF08"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Darbaspēka samaksas līmenis ES valstīs būvniecības nozarē</w:t>
            </w:r>
          </w:p>
        </w:tc>
        <w:tc>
          <w:tcPr>
            <w:tcW w:w="1985" w:type="dxa"/>
            <w:shd w:val="clear" w:color="auto" w:fill="auto"/>
            <w:hideMark/>
          </w:tcPr>
          <w:p w14:paraId="3F498447"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6,50</w:t>
            </w:r>
          </w:p>
        </w:tc>
      </w:tr>
    </w:tbl>
    <w:p w14:paraId="634E1B2D" w14:textId="77777777" w:rsidR="0052387B" w:rsidRPr="00446C16" w:rsidRDefault="0052387B" w:rsidP="0052387B">
      <w:pPr>
        <w:spacing w:before="0" w:after="0"/>
        <w:rPr>
          <w:rFonts w:cstheme="minorHAnsi"/>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5"/>
      </w:tblGrid>
      <w:tr w:rsidR="0052387B" w:rsidRPr="00446C16" w14:paraId="490307C6" w14:textId="77777777" w:rsidTr="003D3D7F">
        <w:trPr>
          <w:trHeight w:val="260"/>
        </w:trPr>
        <w:tc>
          <w:tcPr>
            <w:tcW w:w="7366" w:type="dxa"/>
            <w:shd w:val="clear" w:color="auto" w:fill="1F3763"/>
            <w:noWrap/>
          </w:tcPr>
          <w:p w14:paraId="46757653" w14:textId="18A21871" w:rsidR="0052387B" w:rsidRPr="00446C16" w:rsidRDefault="0052387B" w:rsidP="003D3D7F">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 xml:space="preserve">Faktori, kas ietekmē būvmateriālu </w:t>
            </w:r>
            <w:r w:rsidR="0019306B" w:rsidRPr="00446C16">
              <w:rPr>
                <w:rFonts w:cstheme="minorHAnsi"/>
                <w:b/>
                <w:bCs/>
                <w:color w:val="FFFFFF" w:themeColor="background1"/>
                <w:sz w:val="18"/>
                <w:szCs w:val="18"/>
              </w:rPr>
              <w:t>izmaksu izmaiņas</w:t>
            </w:r>
            <w:r w:rsidRPr="00446C16">
              <w:rPr>
                <w:rFonts w:cstheme="minorHAnsi"/>
                <w:b/>
                <w:bCs/>
                <w:color w:val="FFFFFF" w:themeColor="background1"/>
                <w:sz w:val="18"/>
                <w:szCs w:val="18"/>
              </w:rPr>
              <w:t xml:space="preserve"> tieši maģistrālo pazemes cauruļvadu būvniecības apakšnozarē</w:t>
            </w:r>
          </w:p>
        </w:tc>
        <w:tc>
          <w:tcPr>
            <w:tcW w:w="1985" w:type="dxa"/>
            <w:shd w:val="clear" w:color="auto" w:fill="1F3763"/>
            <w:vAlign w:val="bottom"/>
          </w:tcPr>
          <w:p w14:paraId="23492AFE" w14:textId="77777777" w:rsidR="0052387B" w:rsidRPr="00446C16" w:rsidRDefault="0052387B" w:rsidP="003D3D7F">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Vidējais vērtējums</w:t>
            </w:r>
          </w:p>
        </w:tc>
      </w:tr>
      <w:tr w:rsidR="0052387B" w:rsidRPr="00446C16" w14:paraId="3606CDD3" w14:textId="77777777" w:rsidTr="003D3D7F">
        <w:trPr>
          <w:trHeight w:val="260"/>
        </w:trPr>
        <w:tc>
          <w:tcPr>
            <w:tcW w:w="7366" w:type="dxa"/>
            <w:shd w:val="clear" w:color="auto" w:fill="auto"/>
            <w:noWrap/>
            <w:hideMark/>
          </w:tcPr>
          <w:p w14:paraId="144E04EF"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 xml:space="preserve"> Par publiskiem līdzekļiem īstenoto būvniecības ieceru apjoms</w:t>
            </w:r>
          </w:p>
        </w:tc>
        <w:tc>
          <w:tcPr>
            <w:tcW w:w="1985" w:type="dxa"/>
            <w:shd w:val="clear" w:color="auto" w:fill="auto"/>
            <w:hideMark/>
          </w:tcPr>
          <w:p w14:paraId="101FFBAD"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7,00</w:t>
            </w:r>
          </w:p>
        </w:tc>
      </w:tr>
      <w:tr w:rsidR="0052387B" w:rsidRPr="00446C16" w14:paraId="39BADC2B" w14:textId="77777777" w:rsidTr="003D3D7F">
        <w:trPr>
          <w:trHeight w:val="260"/>
        </w:trPr>
        <w:tc>
          <w:tcPr>
            <w:tcW w:w="7366" w:type="dxa"/>
            <w:shd w:val="clear" w:color="auto" w:fill="auto"/>
            <w:noWrap/>
          </w:tcPr>
          <w:p w14:paraId="3E12F769" w14:textId="14D42012"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 xml:space="preserve">Būvniecības </w:t>
            </w:r>
            <w:r w:rsidR="00DA5EF2" w:rsidRPr="00446C16">
              <w:rPr>
                <w:rFonts w:cstheme="minorHAnsi"/>
                <w:color w:val="000000"/>
                <w:sz w:val="18"/>
                <w:szCs w:val="18"/>
              </w:rPr>
              <w:t xml:space="preserve">produkcijas </w:t>
            </w:r>
            <w:r w:rsidRPr="00446C16">
              <w:rPr>
                <w:rFonts w:cstheme="minorHAnsi"/>
                <w:color w:val="000000"/>
                <w:sz w:val="18"/>
                <w:szCs w:val="18"/>
              </w:rPr>
              <w:t>apjoms valstī</w:t>
            </w:r>
          </w:p>
        </w:tc>
        <w:tc>
          <w:tcPr>
            <w:tcW w:w="1985" w:type="dxa"/>
            <w:shd w:val="clear" w:color="auto" w:fill="auto"/>
          </w:tcPr>
          <w:p w14:paraId="78AA563A"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6,75</w:t>
            </w:r>
          </w:p>
        </w:tc>
      </w:tr>
      <w:tr w:rsidR="0052387B" w:rsidRPr="00446C16" w14:paraId="3770B443" w14:textId="77777777" w:rsidTr="003D3D7F">
        <w:trPr>
          <w:trHeight w:val="260"/>
        </w:trPr>
        <w:tc>
          <w:tcPr>
            <w:tcW w:w="7366" w:type="dxa"/>
            <w:shd w:val="clear" w:color="auto" w:fill="auto"/>
            <w:noWrap/>
            <w:hideMark/>
          </w:tcPr>
          <w:p w14:paraId="509D2314"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Vidējā degvielas cena valstī, naftas produktu cenu kāpums, elektroenerģijas cena</w:t>
            </w:r>
          </w:p>
        </w:tc>
        <w:tc>
          <w:tcPr>
            <w:tcW w:w="1985" w:type="dxa"/>
            <w:shd w:val="clear" w:color="auto" w:fill="auto"/>
            <w:hideMark/>
          </w:tcPr>
          <w:p w14:paraId="37579EB7"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6,50</w:t>
            </w:r>
          </w:p>
        </w:tc>
      </w:tr>
      <w:tr w:rsidR="0052387B" w:rsidRPr="00446C16" w14:paraId="2F2FDEC5" w14:textId="77777777" w:rsidTr="003D3D7F">
        <w:trPr>
          <w:trHeight w:val="260"/>
        </w:trPr>
        <w:tc>
          <w:tcPr>
            <w:tcW w:w="7366" w:type="dxa"/>
            <w:shd w:val="clear" w:color="auto" w:fill="auto"/>
            <w:noWrap/>
            <w:hideMark/>
          </w:tcPr>
          <w:p w14:paraId="79C049C0"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Tērauda cauruļu un veidgabalu pieejamība un cenu līmenis ES tirgū</w:t>
            </w:r>
          </w:p>
        </w:tc>
        <w:tc>
          <w:tcPr>
            <w:tcW w:w="1985" w:type="dxa"/>
            <w:shd w:val="clear" w:color="auto" w:fill="auto"/>
            <w:hideMark/>
          </w:tcPr>
          <w:p w14:paraId="60DA3BAA"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6,50</w:t>
            </w:r>
          </w:p>
        </w:tc>
      </w:tr>
      <w:tr w:rsidR="0052387B" w:rsidRPr="00446C16" w14:paraId="7A545CD3" w14:textId="77777777" w:rsidTr="003D3D7F">
        <w:trPr>
          <w:trHeight w:val="260"/>
        </w:trPr>
        <w:tc>
          <w:tcPr>
            <w:tcW w:w="7366" w:type="dxa"/>
            <w:shd w:val="clear" w:color="auto" w:fill="auto"/>
            <w:noWrap/>
            <w:hideMark/>
          </w:tcPr>
          <w:p w14:paraId="5A8208A0"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Tehnoloģisko iekārtu pieejamība, piegādes laiks un cenu līmenis ES tirgū</w:t>
            </w:r>
          </w:p>
        </w:tc>
        <w:tc>
          <w:tcPr>
            <w:tcW w:w="1985" w:type="dxa"/>
            <w:shd w:val="clear" w:color="auto" w:fill="auto"/>
            <w:hideMark/>
          </w:tcPr>
          <w:p w14:paraId="4991D2E4"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6,25</w:t>
            </w:r>
          </w:p>
        </w:tc>
      </w:tr>
    </w:tbl>
    <w:p w14:paraId="117A0F5B" w14:textId="77777777" w:rsidR="0052387B" w:rsidRPr="00446C16" w:rsidRDefault="0052387B" w:rsidP="0052387B">
      <w:pPr>
        <w:jc w:val="center"/>
        <w:rPr>
          <w:sz w:val="20"/>
          <w:szCs w:val="18"/>
        </w:rPr>
      </w:pPr>
      <w:r w:rsidRPr="00446C16">
        <w:rPr>
          <w:sz w:val="20"/>
          <w:szCs w:val="18"/>
        </w:rPr>
        <w:t>Avots: Ekspertu intervijas</w:t>
      </w:r>
    </w:p>
    <w:p w14:paraId="12ABBD8D" w14:textId="49A813C7" w:rsidR="0052387B" w:rsidRPr="00446C16" w:rsidRDefault="0052387B" w:rsidP="00895643">
      <w:pPr>
        <w:ind w:firstLine="851"/>
        <w:jc w:val="both"/>
        <w:rPr>
          <w:b/>
          <w:sz w:val="20"/>
          <w:szCs w:val="18"/>
        </w:rPr>
      </w:pPr>
      <w:r w:rsidRPr="00446C16">
        <w:t xml:space="preserve">Apakšnozares ekspertu izmaksu </w:t>
      </w:r>
      <w:r w:rsidR="00FE4C1E" w:rsidRPr="00446C16">
        <w:t xml:space="preserve">izmaiņu </w:t>
      </w:r>
      <w:r w:rsidRPr="00446C16">
        <w:t>prognožu vērtējums pa resursu veidiem uzrāda stabilu izmaksu pieaugumu visos resursu veidos. Līdzīgi, kā būvniecībai kopumā, lielāks pieaugums gaidāms ar cilvēkresursiem saistītajās jomās, taču arī būvmateriālu un mašīnu un mehānismu uzturēšanas un ekspluatācijas izmaks</w:t>
      </w:r>
      <w:r w:rsidR="0019306B" w:rsidRPr="00446C16">
        <w:t>u izmaiņas</w:t>
      </w:r>
      <w:r w:rsidRPr="00446C16">
        <w:t xml:space="preserve"> stabili pieaugs, relatīvi lielākā mērā kā būvniecībā kopumā.</w:t>
      </w:r>
    </w:p>
    <w:p w14:paraId="61937322" w14:textId="6DAE9552" w:rsidR="0052387B" w:rsidRPr="00446C16" w:rsidRDefault="0052387B" w:rsidP="008F2244">
      <w:pPr>
        <w:jc w:val="center"/>
        <w:rPr>
          <w:b/>
          <w:sz w:val="20"/>
          <w:szCs w:val="18"/>
        </w:rPr>
      </w:pPr>
      <w:r w:rsidRPr="00446C16">
        <w:rPr>
          <w:b/>
          <w:sz w:val="20"/>
          <w:szCs w:val="18"/>
        </w:rPr>
        <w:t>Attēls Nr. 2</w:t>
      </w:r>
      <w:r w:rsidR="00AE0D06">
        <w:rPr>
          <w:b/>
          <w:sz w:val="20"/>
          <w:szCs w:val="18"/>
        </w:rPr>
        <w:t>2</w:t>
      </w:r>
      <w:r w:rsidRPr="00446C16">
        <w:rPr>
          <w:b/>
          <w:sz w:val="20"/>
          <w:szCs w:val="18"/>
        </w:rPr>
        <w:t>. Būvniecības izmaksu izmaiņu prognoze pa resursu veidiem maģistrālo pazemes cauruļvadu apakšnozarē</w:t>
      </w:r>
      <w:r w:rsidRPr="00446C16">
        <w:rPr>
          <w:b/>
          <w:sz w:val="20"/>
        </w:rPr>
        <w:t>, kumulatīvās izmaiņas pret 2018. gadu, %</w:t>
      </w:r>
    </w:p>
    <w:p w14:paraId="70B4BFEE" w14:textId="3B5D699A" w:rsidR="0052387B" w:rsidRPr="00446C16" w:rsidRDefault="00FE364C" w:rsidP="0052387B">
      <w:pPr>
        <w:jc w:val="center"/>
        <w:rPr>
          <w:rFonts w:cstheme="minorHAnsi"/>
          <w:szCs w:val="24"/>
        </w:rPr>
      </w:pPr>
      <w:r w:rsidRPr="00446C16">
        <w:rPr>
          <w:rFonts w:cstheme="minorHAnsi"/>
          <w:noProof/>
          <w:szCs w:val="24"/>
          <w:lang w:val="en-US"/>
        </w:rPr>
        <w:drawing>
          <wp:inline distT="0" distB="0" distL="0" distR="0" wp14:anchorId="799BFAAC" wp14:editId="121B461C">
            <wp:extent cx="4579620" cy="2872740"/>
            <wp:effectExtent l="0" t="0" r="0" b="3810"/>
            <wp:docPr id="1006675208" name="Attēls 100667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9620" cy="2872740"/>
                    </a:xfrm>
                    <a:prstGeom prst="rect">
                      <a:avLst/>
                    </a:prstGeom>
                    <a:noFill/>
                  </pic:spPr>
                </pic:pic>
              </a:graphicData>
            </a:graphic>
          </wp:inline>
        </w:drawing>
      </w:r>
    </w:p>
    <w:p w14:paraId="613412D5" w14:textId="3CA18014" w:rsidR="0052387B" w:rsidRPr="00446C16" w:rsidRDefault="0052387B" w:rsidP="0052387B">
      <w:pPr>
        <w:spacing w:before="100" w:after="200" w:line="276" w:lineRule="auto"/>
        <w:jc w:val="center"/>
        <w:rPr>
          <w:sz w:val="20"/>
        </w:rPr>
      </w:pPr>
      <w:r w:rsidRPr="00446C16">
        <w:rPr>
          <w:sz w:val="20"/>
        </w:rPr>
        <w:t>Avots: CSP vēsturiskie dati līdz 2018. gadam (ieskaitot) un autoru veikti aprēķini, balstoties uz ekspertu vērtējumiem un izstrādātajiem modeļiem - prognoze 2019.-2023. gad</w:t>
      </w:r>
      <w:r w:rsidR="005D25EE" w:rsidRPr="00446C16">
        <w:rPr>
          <w:sz w:val="20"/>
        </w:rPr>
        <w:t>ie</w:t>
      </w:r>
      <w:r w:rsidRPr="00446C16">
        <w:rPr>
          <w:sz w:val="20"/>
        </w:rPr>
        <w:t>m</w:t>
      </w:r>
    </w:p>
    <w:p w14:paraId="69E35E2E" w14:textId="77777777" w:rsidR="00486F98" w:rsidRPr="00446C16" w:rsidRDefault="00486F98" w:rsidP="00E92138">
      <w:pPr>
        <w:ind w:firstLine="720"/>
        <w:jc w:val="both"/>
      </w:pPr>
      <w:r w:rsidRPr="00446C16">
        <w:lastRenderedPageBreak/>
        <w:t>Salīdzinot kopējās izmaksu izmaiņas apakšnozarē ar izmaksu izmaiņām dalījumā pa resursu veidiem, novērojamas atšķirības – dalījums pa resursu veidiem uzrāda lielāku izmaksu pieaugumu. Tam ir divi iemesli:</w:t>
      </w:r>
    </w:p>
    <w:p w14:paraId="52A0F509" w14:textId="77777777" w:rsidR="00486F98" w:rsidRPr="00446C16" w:rsidRDefault="00486F98" w:rsidP="00E173D7">
      <w:pPr>
        <w:pStyle w:val="ListParagraph"/>
        <w:numPr>
          <w:ilvl w:val="0"/>
          <w:numId w:val="33"/>
        </w:numPr>
        <w:jc w:val="both"/>
      </w:pPr>
      <w:r w:rsidRPr="00446C16">
        <w:t>ekspertu pašu vērtējumi par apakšnozari kopumā norāda uz zemākām izmaksu pieauguma vērtībām, nekā vērtējot resursus atsevišķi;</w:t>
      </w:r>
    </w:p>
    <w:p w14:paraId="03E52A72" w14:textId="77777777" w:rsidR="00486F98" w:rsidRPr="00446C16" w:rsidRDefault="00486F98" w:rsidP="00E173D7">
      <w:pPr>
        <w:pStyle w:val="ListParagraph"/>
        <w:numPr>
          <w:ilvl w:val="0"/>
          <w:numId w:val="33"/>
        </w:numPr>
        <w:jc w:val="both"/>
      </w:pPr>
      <w:r w:rsidRPr="00446C16">
        <w:t>kopējo apakšnozares izmaksu izmaiņu prognozi veido trīs avoti, t.sk. statistiskais trends un elastības modelis, savukārt, izmaksu dalījumam pa resursu veidiem avots ir tikai ekspertu vērtējumi.</w:t>
      </w:r>
    </w:p>
    <w:p w14:paraId="59E96563" w14:textId="099A1888" w:rsidR="00486F98" w:rsidRPr="00446C16" w:rsidRDefault="00486F98" w:rsidP="00E173D7">
      <w:pPr>
        <w:spacing w:before="100" w:after="200"/>
        <w:jc w:val="both"/>
        <w:rPr>
          <w:sz w:val="20"/>
        </w:rPr>
      </w:pPr>
      <w:r w:rsidRPr="00446C16">
        <w:t>Tādēļ prognožu interpretācijā jāņem vērā, ka rezultāti dalījumā pa resursu veidiem prognožu perioda pirmajos gados var būt ar zemākām vērtībām, nekā norāda tikai  ekspertu interviju rezultāti.</w:t>
      </w:r>
    </w:p>
    <w:p w14:paraId="529A53CE" w14:textId="77777777" w:rsidR="0052387B" w:rsidRPr="00446C16" w:rsidRDefault="0052387B" w:rsidP="0052387B">
      <w:pPr>
        <w:pStyle w:val="Heading2"/>
        <w:rPr>
          <w:rFonts w:eastAsia="Times New Roman"/>
          <w:lang w:eastAsia="en-GB"/>
        </w:rPr>
      </w:pPr>
      <w:bookmarkStart w:id="787" w:name="_Toc13492838"/>
      <w:bookmarkStart w:id="788" w:name="_Toc13574878"/>
      <w:bookmarkStart w:id="789" w:name="_Toc13576665"/>
      <w:bookmarkStart w:id="790" w:name="_Toc13580418"/>
      <w:bookmarkStart w:id="791" w:name="_Toc13673600"/>
      <w:bookmarkStart w:id="792" w:name="_Toc13673916"/>
      <w:bookmarkStart w:id="793" w:name="_Toc23163509"/>
      <w:bookmarkEnd w:id="787"/>
      <w:bookmarkEnd w:id="788"/>
      <w:bookmarkEnd w:id="789"/>
      <w:bookmarkEnd w:id="790"/>
      <w:bookmarkEnd w:id="791"/>
      <w:bookmarkEnd w:id="792"/>
      <w:r w:rsidRPr="00446C16">
        <w:rPr>
          <w:rFonts w:eastAsia="Times New Roman"/>
          <w:lang w:eastAsia="en-GB"/>
        </w:rPr>
        <w:t xml:space="preserve">Pārējo inženierbūvju apakšnozares </w:t>
      </w:r>
      <w:r w:rsidRPr="00446C16">
        <w:t>izmaksu izmaiņu prognozes</w:t>
      </w:r>
      <w:bookmarkEnd w:id="793"/>
    </w:p>
    <w:p w14:paraId="058DEDEA" w14:textId="2DE00DDA" w:rsidR="0052387B" w:rsidRPr="00446C16" w:rsidRDefault="0052387B" w:rsidP="0052387B">
      <w:pPr>
        <w:ind w:firstLine="851"/>
        <w:jc w:val="both"/>
      </w:pPr>
      <w:r w:rsidRPr="00446C16">
        <w:t>Pārējo inženierbūvju apakšnozarē vēsturiski novērojamas milzīgas apjoma svārstības pa gadiem, kas neļauj ticami veikt prognozes īstermiņā (skatīt attēlu Nr.2</w:t>
      </w:r>
      <w:r w:rsidR="00AE0D06">
        <w:t>3</w:t>
      </w:r>
      <w:r w:rsidRPr="00446C16">
        <w:t xml:space="preserve">.). Šajā </w:t>
      </w:r>
      <w:proofErr w:type="spellStart"/>
      <w:r w:rsidRPr="00446C16">
        <w:t>apakšnozareē</w:t>
      </w:r>
      <w:proofErr w:type="spellEnd"/>
      <w:r w:rsidRPr="00446C16">
        <w:t xml:space="preserve"> par prognožu vadmotīvu izvēlēts ekspertu vērtējums, kas paredz ievērojamu apjoma kritumu pēc 2021</w:t>
      </w:r>
      <w:r w:rsidR="00100D75" w:rsidRPr="00446C16">
        <w:t>. gad</w:t>
      </w:r>
      <w:r w:rsidRPr="00446C16">
        <w:t>a, 2023</w:t>
      </w:r>
      <w:r w:rsidR="00100D75" w:rsidRPr="00446C16">
        <w:t>. gad</w:t>
      </w:r>
      <w:r w:rsidRPr="00446C16">
        <w:t>ā sasniedzot kumulatīvo kritumu -31% apmērā, salīdzinot ar 2018</w:t>
      </w:r>
      <w:r w:rsidR="00100D75" w:rsidRPr="00446C16">
        <w:t>. gad</w:t>
      </w:r>
      <w:r w:rsidRPr="00446C16">
        <w:t>a līmeni.</w:t>
      </w:r>
    </w:p>
    <w:p w14:paraId="0BB17BEF" w14:textId="2BDF294C" w:rsidR="0052387B" w:rsidRPr="00446C16" w:rsidRDefault="0052387B" w:rsidP="00790524">
      <w:pPr>
        <w:jc w:val="center"/>
        <w:rPr>
          <w:b/>
          <w:sz w:val="20"/>
        </w:rPr>
      </w:pPr>
      <w:r w:rsidRPr="00446C16">
        <w:rPr>
          <w:b/>
          <w:sz w:val="20"/>
        </w:rPr>
        <w:t>Attēls Nr. 2</w:t>
      </w:r>
      <w:r w:rsidR="00AE0D06">
        <w:rPr>
          <w:b/>
          <w:sz w:val="20"/>
        </w:rPr>
        <w:t>3</w:t>
      </w:r>
      <w:r w:rsidRPr="00446C16">
        <w:rPr>
          <w:b/>
          <w:sz w:val="20"/>
        </w:rPr>
        <w:t>. Būvniecības produkcijas apjoma izmaiņas pārējo inženierbūvju apakšnozarē līdz 2018</w:t>
      </w:r>
      <w:r w:rsidR="00100D75" w:rsidRPr="00446C16">
        <w:rPr>
          <w:b/>
          <w:sz w:val="20"/>
        </w:rPr>
        <w:t>. gad</w:t>
      </w:r>
      <w:r w:rsidRPr="00446C16">
        <w:rPr>
          <w:b/>
          <w:sz w:val="20"/>
        </w:rPr>
        <w:t>am un prognozes no 2019. līdz 2023. gadam, kumulatīvās izmaiņas pret 2018. gadu, %</w:t>
      </w:r>
    </w:p>
    <w:p w14:paraId="32EC4881" w14:textId="49C1649E" w:rsidR="0052387B" w:rsidRPr="00446C16" w:rsidRDefault="005A737D" w:rsidP="0052387B">
      <w:pPr>
        <w:jc w:val="center"/>
        <w:rPr>
          <w:bCs/>
          <w:sz w:val="20"/>
        </w:rPr>
      </w:pPr>
      <w:r w:rsidRPr="00446C16">
        <w:rPr>
          <w:bCs/>
          <w:noProof/>
          <w:sz w:val="20"/>
          <w:lang w:val="en-US"/>
        </w:rPr>
        <w:drawing>
          <wp:inline distT="0" distB="0" distL="0" distR="0" wp14:anchorId="1E4CCF11" wp14:editId="7646A175">
            <wp:extent cx="4961455" cy="3600000"/>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61455" cy="3600000"/>
                    </a:xfrm>
                    <a:prstGeom prst="rect">
                      <a:avLst/>
                    </a:prstGeom>
                    <a:noFill/>
                  </pic:spPr>
                </pic:pic>
              </a:graphicData>
            </a:graphic>
          </wp:inline>
        </w:drawing>
      </w:r>
    </w:p>
    <w:p w14:paraId="2DA65E0C" w14:textId="0380DE30" w:rsidR="0052387B" w:rsidRPr="00446C16" w:rsidRDefault="0052387B" w:rsidP="0052387B">
      <w:pPr>
        <w:jc w:val="center"/>
        <w:rPr>
          <w:sz w:val="20"/>
        </w:rPr>
      </w:pPr>
      <w:r w:rsidRPr="00446C16">
        <w:rPr>
          <w:sz w:val="20"/>
        </w:rPr>
        <w:t>Avots: CSP vēsturiskie dati līdz 2018. gadam (ieskaitot) un autoru veikti aprēķini, balstoties uz ekspertu vērtējumiem - prognoze 2019.-2023. gad</w:t>
      </w:r>
      <w:r w:rsidR="00ED3887" w:rsidRPr="00446C16">
        <w:rPr>
          <w:sz w:val="20"/>
        </w:rPr>
        <w:t>ie</w:t>
      </w:r>
      <w:r w:rsidRPr="00446C16">
        <w:rPr>
          <w:sz w:val="20"/>
        </w:rPr>
        <w:t>m</w:t>
      </w:r>
    </w:p>
    <w:p w14:paraId="6272BC63" w14:textId="41B1F1C6" w:rsidR="0052387B" w:rsidRPr="00446C16" w:rsidRDefault="0052387B" w:rsidP="0052387B">
      <w:pPr>
        <w:ind w:firstLine="851"/>
        <w:jc w:val="both"/>
      </w:pPr>
      <w:r w:rsidRPr="00446C16">
        <w:t>Ņemot vērā prognozēt</w:t>
      </w:r>
      <w:r w:rsidR="001949CF" w:rsidRPr="00446C16">
        <w:t>ās</w:t>
      </w:r>
      <w:r w:rsidRPr="00446C16">
        <w:t xml:space="preserve"> apjom</w:t>
      </w:r>
      <w:r w:rsidR="001949CF" w:rsidRPr="00446C16">
        <w:t>a izmaiņas</w:t>
      </w:r>
      <w:r w:rsidRPr="00446C16">
        <w:t xml:space="preserve">, kā arī ekspertu vērtējumu un statistisko datu trendu </w:t>
      </w:r>
      <w:r w:rsidR="003D3D7F" w:rsidRPr="00446C16">
        <w:t>pārējo inženierbūvju</w:t>
      </w:r>
      <w:r w:rsidRPr="00446C16">
        <w:t xml:space="preserve"> apakšnozarē, periodā no 2019. līdz 2023</w:t>
      </w:r>
      <w:r w:rsidR="00100D75" w:rsidRPr="00446C16">
        <w:t>. gad</w:t>
      </w:r>
      <w:r w:rsidRPr="00446C16">
        <w:t xml:space="preserve">am katrs datu avots attiecībā uz izmaksu </w:t>
      </w:r>
      <w:r w:rsidR="00FE4C1E" w:rsidRPr="00446C16">
        <w:t xml:space="preserve">izmaiņu </w:t>
      </w:r>
      <w:r w:rsidRPr="00446C16">
        <w:t>prognozēm uzrāda citādu dinamiku (skatīt attēlu Nr. 2</w:t>
      </w:r>
      <w:r w:rsidR="00AE0D06">
        <w:t>4</w:t>
      </w:r>
      <w:r w:rsidRPr="00446C16">
        <w:t>).</w:t>
      </w:r>
    </w:p>
    <w:p w14:paraId="66B20D7C" w14:textId="51557674" w:rsidR="0052387B" w:rsidRPr="00446C16" w:rsidRDefault="0052387B" w:rsidP="00895643">
      <w:pPr>
        <w:ind w:firstLine="851"/>
        <w:jc w:val="both"/>
      </w:pPr>
      <w:r w:rsidRPr="00446C16">
        <w:t xml:space="preserve">Ekspertu vērtējums uzrāda stabilu, bet mērenu izmaksu </w:t>
      </w:r>
      <w:r w:rsidR="007E6482" w:rsidRPr="00446C16">
        <w:rPr>
          <w:rStyle w:val="st"/>
        </w:rPr>
        <w:t>izmaiņu</w:t>
      </w:r>
      <w:r w:rsidR="007E6482" w:rsidRPr="00446C16">
        <w:t xml:space="preserve"> </w:t>
      </w:r>
      <w:r w:rsidRPr="00446C16">
        <w:t>kāpumu līdz 15% 2023</w:t>
      </w:r>
      <w:r w:rsidR="00100D75" w:rsidRPr="00446C16">
        <w:t>. gad</w:t>
      </w:r>
      <w:r w:rsidRPr="00446C16">
        <w:t>ā no 2018.</w:t>
      </w:r>
      <w:r w:rsidR="00B37C01" w:rsidRPr="00446C16">
        <w:t xml:space="preserve"> </w:t>
      </w:r>
      <w:r w:rsidRPr="00446C16">
        <w:t xml:space="preserve">gada līmeņa. Izmaksu-apjoma elastības modelis uzrāda izmaksu </w:t>
      </w:r>
      <w:r w:rsidR="007E6482" w:rsidRPr="00446C16">
        <w:rPr>
          <w:rStyle w:val="st"/>
        </w:rPr>
        <w:t>izmaiņu</w:t>
      </w:r>
      <w:r w:rsidR="007E6482" w:rsidRPr="00446C16">
        <w:t xml:space="preserve"> </w:t>
      </w:r>
      <w:r w:rsidRPr="00446C16">
        <w:t>samazinājumu no 2021.</w:t>
      </w:r>
      <w:r w:rsidR="00C35703" w:rsidRPr="00446C16">
        <w:t xml:space="preserve"> </w:t>
      </w:r>
      <w:r w:rsidRPr="00446C16">
        <w:t xml:space="preserve">gada. Savukārt statistiskais modelis uzrāda izmaksu </w:t>
      </w:r>
      <w:r w:rsidR="007E6482" w:rsidRPr="00446C16">
        <w:rPr>
          <w:rStyle w:val="st"/>
        </w:rPr>
        <w:t>izmaiņu</w:t>
      </w:r>
      <w:r w:rsidR="007E6482" w:rsidRPr="00446C16">
        <w:t xml:space="preserve"> </w:t>
      </w:r>
      <w:r w:rsidRPr="00446C16">
        <w:t xml:space="preserve">kritumu visā prognožu periodā. Tā kā vēsturisko datu rinda uzrāda </w:t>
      </w:r>
      <w:proofErr w:type="spellStart"/>
      <w:r w:rsidRPr="00446C16">
        <w:t>viļņveida</w:t>
      </w:r>
      <w:proofErr w:type="spellEnd"/>
      <w:r w:rsidRPr="00446C16">
        <w:t xml:space="preserve"> kritumu ilgākā laika periodā, tad modelis prognozē kritumu arī </w:t>
      </w:r>
      <w:r w:rsidRPr="00446C16">
        <w:lastRenderedPageBreak/>
        <w:t>ilgākā nākotnes periodā. Taču tam nav viennozīmīga ekonomiskā pamatojuma, tādēļ modeļa prognozēm lielāka nozīme ir tuvāko gadu periodā.</w:t>
      </w:r>
    </w:p>
    <w:p w14:paraId="57BC40FC" w14:textId="0BB85C6D" w:rsidR="0052387B" w:rsidRPr="00446C16" w:rsidRDefault="0052387B">
      <w:pPr>
        <w:ind w:firstLine="851"/>
        <w:jc w:val="both"/>
      </w:pPr>
      <w:r w:rsidRPr="00446C16">
        <w:t xml:space="preserve">Kombinētā prognoze uzrāda, ka pēc neliela kumulatīvā izmaksu </w:t>
      </w:r>
      <w:r w:rsidR="007E6482" w:rsidRPr="00446C16">
        <w:rPr>
          <w:rStyle w:val="st"/>
        </w:rPr>
        <w:t>izmaiņu</w:t>
      </w:r>
      <w:r w:rsidR="007E6482" w:rsidRPr="00446C16">
        <w:t xml:space="preserve"> </w:t>
      </w:r>
      <w:r w:rsidRPr="00446C16">
        <w:t>pieauguma 2019. un 2020. gad</w:t>
      </w:r>
      <w:r w:rsidR="00BB2D47" w:rsidRPr="00446C16">
        <w:t>ā,</w:t>
      </w:r>
      <w:r w:rsidRPr="00446C16">
        <w:t xml:space="preserve"> sekos neliels izmaksu</w:t>
      </w:r>
      <w:r w:rsidR="007E6482" w:rsidRPr="00446C16">
        <w:rPr>
          <w:rStyle w:val="st"/>
        </w:rPr>
        <w:t xml:space="preserve"> izmaiņu</w:t>
      </w:r>
      <w:r w:rsidRPr="00446C16">
        <w:t xml:space="preserve"> kritums līdz 2023.</w:t>
      </w:r>
      <w:r w:rsidR="00FE0186" w:rsidRPr="00446C16">
        <w:t xml:space="preserve"> </w:t>
      </w:r>
      <w:r w:rsidRPr="00446C16">
        <w:t>gadam. Ņemot vērā būvniecības apjoma milzīgās ikgadējās svārstības, kā arī statistiskā modeļa īpatnības šajā apakšnozarē, prognozēm pēc 2020</w:t>
      </w:r>
      <w:r w:rsidR="00100D75" w:rsidRPr="00446C16">
        <w:t>. gad</w:t>
      </w:r>
      <w:r w:rsidRPr="00446C16">
        <w:t>a nav stabila ekonomiskā pamatojuma. Saskaņā ar CSP datiem</w:t>
      </w:r>
      <w:r w:rsidR="00BB2D47" w:rsidRPr="00446C16">
        <w:t>,</w:t>
      </w:r>
      <w:r w:rsidRPr="00446C16">
        <w:t xml:space="preserve"> 2019.</w:t>
      </w:r>
      <w:r w:rsidR="00FE0186" w:rsidRPr="00446C16">
        <w:t xml:space="preserve"> </w:t>
      </w:r>
      <w:r w:rsidRPr="00446C16">
        <w:t>gada 1.</w:t>
      </w:r>
      <w:r w:rsidR="00FE0186" w:rsidRPr="00446C16">
        <w:t xml:space="preserve"> </w:t>
      </w:r>
      <w:r w:rsidRPr="00446C16">
        <w:t>ceturksnī, salīdzinot ar 2018.</w:t>
      </w:r>
      <w:r w:rsidR="00FE0186" w:rsidRPr="00446C16">
        <w:t xml:space="preserve"> </w:t>
      </w:r>
      <w:r w:rsidRPr="00446C16">
        <w:t>gada 1.</w:t>
      </w:r>
      <w:r w:rsidR="00FE0186" w:rsidRPr="00446C16">
        <w:t xml:space="preserve"> </w:t>
      </w:r>
      <w:r w:rsidRPr="00446C16">
        <w:t>ceturksni, inženierbūvēm kopumā izmaksu</w:t>
      </w:r>
      <w:r w:rsidR="0019306B" w:rsidRPr="00446C16">
        <w:t xml:space="preserve"> izmaiņu</w:t>
      </w:r>
      <w:r w:rsidRPr="00446C16">
        <w:t xml:space="preserve"> līmenis pieauga par 4,9%, kas vairāk atbilst ekspertu vērtējumiem.</w:t>
      </w:r>
    </w:p>
    <w:p w14:paraId="6C15F5CF" w14:textId="52728065" w:rsidR="0052387B" w:rsidRPr="00446C16" w:rsidRDefault="0052387B" w:rsidP="003F74D0">
      <w:pPr>
        <w:spacing w:before="100" w:after="200"/>
        <w:jc w:val="center"/>
        <w:rPr>
          <w:b/>
          <w:sz w:val="20"/>
        </w:rPr>
      </w:pPr>
      <w:r w:rsidRPr="00446C16">
        <w:rPr>
          <w:b/>
          <w:sz w:val="20"/>
        </w:rPr>
        <w:t>Attēls Nr. 2</w:t>
      </w:r>
      <w:r w:rsidR="00AE0D06">
        <w:rPr>
          <w:b/>
          <w:sz w:val="20"/>
        </w:rPr>
        <w:t>4</w:t>
      </w:r>
      <w:r w:rsidRPr="00446C16">
        <w:rPr>
          <w:b/>
          <w:sz w:val="20"/>
        </w:rPr>
        <w:t>. Būvniecības izmaksu izmaiņas pārējo inženierbūvju apakšnozarē līdz 2018</w:t>
      </w:r>
      <w:r w:rsidR="00100D75" w:rsidRPr="00446C16">
        <w:rPr>
          <w:b/>
          <w:sz w:val="20"/>
        </w:rPr>
        <w:t>. gad</w:t>
      </w:r>
      <w:r w:rsidRPr="00446C16">
        <w:rPr>
          <w:b/>
          <w:sz w:val="20"/>
        </w:rPr>
        <w:t>am un prognozes no 2019. līdz 2023. gadam, kumulatīvās izmaiņas pret 2018. gadu, %</w:t>
      </w:r>
    </w:p>
    <w:p w14:paraId="2184067B" w14:textId="7243F5E5" w:rsidR="0052387B" w:rsidRPr="00446C16" w:rsidRDefault="0007298C" w:rsidP="0052387B">
      <w:pPr>
        <w:spacing w:before="100" w:after="200" w:line="276" w:lineRule="auto"/>
        <w:jc w:val="center"/>
        <w:rPr>
          <w:bCs/>
        </w:rPr>
      </w:pPr>
      <w:r w:rsidRPr="00446C16">
        <w:rPr>
          <w:bCs/>
          <w:noProof/>
          <w:lang w:val="en-US"/>
        </w:rPr>
        <w:drawing>
          <wp:inline distT="0" distB="0" distL="0" distR="0" wp14:anchorId="2BCB8882" wp14:editId="24439C7A">
            <wp:extent cx="4961455" cy="3600000"/>
            <wp:effectExtent l="0" t="0" r="0"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61455" cy="3600000"/>
                    </a:xfrm>
                    <a:prstGeom prst="rect">
                      <a:avLst/>
                    </a:prstGeom>
                    <a:noFill/>
                  </pic:spPr>
                </pic:pic>
              </a:graphicData>
            </a:graphic>
          </wp:inline>
        </w:drawing>
      </w:r>
    </w:p>
    <w:p w14:paraId="60F94EF5" w14:textId="1EB85595" w:rsidR="0052387B" w:rsidRPr="00446C16" w:rsidRDefault="0052387B" w:rsidP="0052387B">
      <w:pPr>
        <w:jc w:val="center"/>
        <w:rPr>
          <w:sz w:val="20"/>
        </w:rPr>
      </w:pPr>
      <w:r w:rsidRPr="00446C16">
        <w:rPr>
          <w:sz w:val="20"/>
        </w:rPr>
        <w:t>Avots: CSP vēsturiskie dati līdz 2018. gadam (ieskaitot) un autoru veikti aprēķini, balstoties uz ekspertu vērtējumiem un izstrādātajiem modeļiem - prognoze 2019.-2023. gad</w:t>
      </w:r>
      <w:r w:rsidR="002A50F6" w:rsidRPr="00446C16">
        <w:rPr>
          <w:sz w:val="20"/>
        </w:rPr>
        <w:t>ie</w:t>
      </w:r>
      <w:r w:rsidRPr="00446C16">
        <w:rPr>
          <w:sz w:val="20"/>
        </w:rPr>
        <w:t>m.</w:t>
      </w:r>
    </w:p>
    <w:p w14:paraId="40F323D1" w14:textId="366887F0" w:rsidR="0052387B" w:rsidRPr="00446C16" w:rsidRDefault="0052387B" w:rsidP="00895643">
      <w:pPr>
        <w:ind w:firstLine="851"/>
        <w:jc w:val="both"/>
      </w:pPr>
      <w:r w:rsidRPr="00446C16">
        <w:t>Sadalījumā pa resursu veidiem</w:t>
      </w:r>
      <w:r w:rsidR="00154778" w:rsidRPr="00446C16">
        <w:t>,</w:t>
      </w:r>
      <w:r w:rsidRPr="00446C16">
        <w:t xml:space="preserve"> apakšnozares ekspertu viedokļi uzrāda, ka starp būtiskākajiem faktoriem</w:t>
      </w:r>
      <w:r w:rsidR="00CC237A" w:rsidRPr="00446C16">
        <w:t>, kas ietekmē</w:t>
      </w:r>
      <w:r w:rsidRPr="00446C16">
        <w:t xml:space="preserve"> </w:t>
      </w:r>
      <w:r w:rsidR="00CC237A" w:rsidRPr="00446C16">
        <w:t>d</w:t>
      </w:r>
      <w:r w:rsidRPr="00446C16">
        <w:t>arbaspēk</w:t>
      </w:r>
      <w:r w:rsidR="00CC237A" w:rsidRPr="00446C16">
        <w:t>a un</w:t>
      </w:r>
      <w:r w:rsidRPr="00446C16">
        <w:t xml:space="preserve"> būvmateriāl</w:t>
      </w:r>
      <w:r w:rsidR="00CC237A" w:rsidRPr="00446C16">
        <w:t>u izmaksu izmaiņas</w:t>
      </w:r>
      <w:r w:rsidRPr="00446C16">
        <w:t xml:space="preserve"> ir būvniecības </w:t>
      </w:r>
      <w:r w:rsidR="00CC237A" w:rsidRPr="00446C16">
        <w:t xml:space="preserve">produkcijas </w:t>
      </w:r>
      <w:r w:rsidRPr="00446C16">
        <w:t>apjomi Latvijā</w:t>
      </w:r>
      <w:r w:rsidR="00BB2D47" w:rsidRPr="00446C16">
        <w:t xml:space="preserve"> (skatīt tabulu Nr. </w:t>
      </w:r>
      <w:r w:rsidR="00E76FAA" w:rsidRPr="00446C16">
        <w:t>10</w:t>
      </w:r>
      <w:r w:rsidR="00BB2D47" w:rsidRPr="00446C16">
        <w:t>)</w:t>
      </w:r>
      <w:r w:rsidRPr="00446C16">
        <w:t>.</w:t>
      </w:r>
    </w:p>
    <w:p w14:paraId="4AB1D128" w14:textId="559B8096" w:rsidR="0052387B" w:rsidRPr="00446C16" w:rsidRDefault="0052387B" w:rsidP="00895643">
      <w:pPr>
        <w:ind w:firstLine="851"/>
        <w:jc w:val="both"/>
      </w:pPr>
      <w:r w:rsidRPr="00446C16">
        <w:t>Attiecībā uz darbaspēka izmaks</w:t>
      </w:r>
      <w:r w:rsidR="0019306B" w:rsidRPr="00446C16">
        <w:t>u izmaiņām</w:t>
      </w:r>
      <w:r w:rsidR="00BB2D47" w:rsidRPr="00446C16">
        <w:t>,</w:t>
      </w:r>
      <w:r w:rsidRPr="00446C16">
        <w:t xml:space="preserve"> būtisk</w:t>
      </w:r>
      <w:r w:rsidR="00BB2D47" w:rsidRPr="00446C16">
        <w:t>s</w:t>
      </w:r>
      <w:r w:rsidRPr="00446C16">
        <w:t xml:space="preserve"> ir arī darbaspēka nodokļu līmenis, kvalificēta darbaspēka īpatsvars un deficīts.</w:t>
      </w:r>
    </w:p>
    <w:p w14:paraId="22B1C945" w14:textId="3ADC6C15" w:rsidR="0052387B" w:rsidRPr="00446C16" w:rsidRDefault="0052387B" w:rsidP="00895643">
      <w:pPr>
        <w:ind w:firstLine="851"/>
        <w:jc w:val="both"/>
      </w:pPr>
      <w:r w:rsidRPr="00446C16">
        <w:t xml:space="preserve">Pie būvmateriālu izmaksu </w:t>
      </w:r>
      <w:r w:rsidR="00D17547" w:rsidRPr="00446C16">
        <w:t xml:space="preserve">izmaiņas ietekmējošiem </w:t>
      </w:r>
      <w:r w:rsidRPr="00446C16">
        <w:t>faktoriem minēti arī degvielas cenas, kā arī darbaspēka pieejamība, kas netieši ietekmē arī būvmateriālu cenas.</w:t>
      </w:r>
    </w:p>
    <w:p w14:paraId="19831876" w14:textId="49A0EA49" w:rsidR="0052387B" w:rsidRPr="00446C16" w:rsidRDefault="0052387B" w:rsidP="0052387B">
      <w:pPr>
        <w:jc w:val="center"/>
        <w:rPr>
          <w:rFonts w:cstheme="minorHAnsi"/>
          <w:b/>
          <w:bCs/>
          <w:sz w:val="20"/>
          <w:szCs w:val="22"/>
        </w:rPr>
      </w:pPr>
      <w:r w:rsidRPr="00446C16">
        <w:rPr>
          <w:b/>
          <w:bCs/>
          <w:sz w:val="20"/>
          <w:szCs w:val="18"/>
        </w:rPr>
        <w:t>Tabula</w:t>
      </w:r>
      <w:r w:rsidRPr="00446C16">
        <w:rPr>
          <w:rFonts w:cs="Arial"/>
          <w:b/>
          <w:bCs/>
          <w:color w:val="222222"/>
          <w:sz w:val="20"/>
          <w:szCs w:val="18"/>
        </w:rPr>
        <w:t xml:space="preserve"> </w:t>
      </w:r>
      <w:r w:rsidR="00BF036D" w:rsidRPr="00446C16">
        <w:rPr>
          <w:rFonts w:cs="Arial"/>
          <w:b/>
          <w:bCs/>
          <w:color w:val="222222"/>
          <w:sz w:val="20"/>
          <w:szCs w:val="18"/>
        </w:rPr>
        <w:t xml:space="preserve">Nr. </w:t>
      </w:r>
      <w:r w:rsidR="00E76FAA" w:rsidRPr="00446C16">
        <w:rPr>
          <w:rFonts w:cs="Arial"/>
          <w:b/>
          <w:bCs/>
          <w:color w:val="222222"/>
          <w:sz w:val="20"/>
          <w:szCs w:val="18"/>
        </w:rPr>
        <w:t>10</w:t>
      </w:r>
      <w:r w:rsidRPr="00446C16">
        <w:rPr>
          <w:rFonts w:cs="Arial"/>
          <w:b/>
          <w:bCs/>
          <w:color w:val="222222"/>
          <w:sz w:val="20"/>
          <w:szCs w:val="18"/>
        </w:rPr>
        <w:t>. Darbaspēka un būvmateriālu izmaksu izmaiņas ietekmējošie faktori būvniecības apakšnozarē</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701"/>
      </w:tblGrid>
      <w:tr w:rsidR="0052387B" w:rsidRPr="00446C16" w14:paraId="15EB6972" w14:textId="77777777" w:rsidTr="003D3D7F">
        <w:trPr>
          <w:trHeight w:val="260"/>
        </w:trPr>
        <w:tc>
          <w:tcPr>
            <w:tcW w:w="7650" w:type="dxa"/>
            <w:shd w:val="clear" w:color="auto" w:fill="1F3763"/>
            <w:noWrap/>
          </w:tcPr>
          <w:p w14:paraId="554E29C7" w14:textId="3D48CCA9" w:rsidR="0052387B" w:rsidRPr="00446C16" w:rsidRDefault="0052387B" w:rsidP="003D3D7F">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 xml:space="preserve">Faktori, kas ietekmē darbaspēka </w:t>
            </w:r>
            <w:r w:rsidR="0019306B" w:rsidRPr="00446C16">
              <w:rPr>
                <w:rFonts w:cstheme="minorHAnsi"/>
                <w:b/>
                <w:bCs/>
                <w:color w:val="FFFFFF" w:themeColor="background1"/>
                <w:sz w:val="18"/>
                <w:szCs w:val="18"/>
              </w:rPr>
              <w:t>izmaksu izmaiņas</w:t>
            </w:r>
            <w:r w:rsidRPr="00446C16">
              <w:rPr>
                <w:rFonts w:cstheme="minorHAnsi"/>
                <w:b/>
                <w:bCs/>
                <w:color w:val="FFFFFF" w:themeColor="background1"/>
                <w:sz w:val="18"/>
                <w:szCs w:val="18"/>
              </w:rPr>
              <w:t xml:space="preserve"> tieši pārējo inženierbūvju būvniecības apakšnozarē</w:t>
            </w:r>
          </w:p>
        </w:tc>
        <w:tc>
          <w:tcPr>
            <w:tcW w:w="1701" w:type="dxa"/>
            <w:shd w:val="clear" w:color="auto" w:fill="1F3763"/>
            <w:noWrap/>
            <w:vAlign w:val="bottom"/>
          </w:tcPr>
          <w:p w14:paraId="32A59900" w14:textId="77777777" w:rsidR="0052387B" w:rsidRPr="00446C16" w:rsidRDefault="0052387B" w:rsidP="003D3D7F">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Vidējais vērtējums</w:t>
            </w:r>
          </w:p>
        </w:tc>
      </w:tr>
      <w:tr w:rsidR="0052387B" w:rsidRPr="00446C16" w14:paraId="341CCF34" w14:textId="77777777" w:rsidTr="003D3D7F">
        <w:trPr>
          <w:trHeight w:val="260"/>
        </w:trPr>
        <w:tc>
          <w:tcPr>
            <w:tcW w:w="7650" w:type="dxa"/>
            <w:shd w:val="clear" w:color="auto" w:fill="auto"/>
            <w:noWrap/>
            <w:hideMark/>
          </w:tcPr>
          <w:p w14:paraId="03390918" w14:textId="4B4772B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 xml:space="preserve">Būvniecības </w:t>
            </w:r>
            <w:r w:rsidR="00DA5EF2" w:rsidRPr="00446C16">
              <w:rPr>
                <w:rFonts w:cstheme="minorHAnsi"/>
                <w:color w:val="000000"/>
                <w:sz w:val="18"/>
                <w:szCs w:val="18"/>
              </w:rPr>
              <w:t xml:space="preserve">produkcijas </w:t>
            </w:r>
            <w:r w:rsidRPr="00446C16">
              <w:rPr>
                <w:rFonts w:cstheme="minorHAnsi"/>
                <w:color w:val="000000"/>
                <w:sz w:val="18"/>
                <w:szCs w:val="18"/>
              </w:rPr>
              <w:t>apjoms Latvijā</w:t>
            </w:r>
          </w:p>
        </w:tc>
        <w:tc>
          <w:tcPr>
            <w:tcW w:w="1701" w:type="dxa"/>
            <w:shd w:val="clear" w:color="auto" w:fill="auto"/>
            <w:noWrap/>
            <w:hideMark/>
          </w:tcPr>
          <w:p w14:paraId="3E1E868E"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9,25</w:t>
            </w:r>
          </w:p>
        </w:tc>
      </w:tr>
      <w:tr w:rsidR="0052387B" w:rsidRPr="00446C16" w14:paraId="242D7C8E" w14:textId="77777777" w:rsidTr="003D3D7F">
        <w:trPr>
          <w:trHeight w:val="260"/>
        </w:trPr>
        <w:tc>
          <w:tcPr>
            <w:tcW w:w="7650" w:type="dxa"/>
            <w:shd w:val="clear" w:color="auto" w:fill="auto"/>
            <w:noWrap/>
          </w:tcPr>
          <w:p w14:paraId="5045D1A9"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Darbaspēka nodokļu līmenis Latvijā</w:t>
            </w:r>
          </w:p>
        </w:tc>
        <w:tc>
          <w:tcPr>
            <w:tcW w:w="1701" w:type="dxa"/>
            <w:shd w:val="clear" w:color="auto" w:fill="auto"/>
            <w:noWrap/>
          </w:tcPr>
          <w:p w14:paraId="21891D15"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8,50</w:t>
            </w:r>
          </w:p>
        </w:tc>
      </w:tr>
      <w:tr w:rsidR="0052387B" w:rsidRPr="00446C16" w14:paraId="2C30D5B5" w14:textId="77777777" w:rsidTr="003D3D7F">
        <w:trPr>
          <w:trHeight w:val="260"/>
        </w:trPr>
        <w:tc>
          <w:tcPr>
            <w:tcW w:w="7650" w:type="dxa"/>
            <w:shd w:val="clear" w:color="auto" w:fill="auto"/>
            <w:noWrap/>
            <w:hideMark/>
          </w:tcPr>
          <w:p w14:paraId="001029D5"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Kvalificēta darbaspēka īpatsvars ar izglītību/pieredzi pārējās inženierbūvniecības apakšnozarē</w:t>
            </w:r>
          </w:p>
        </w:tc>
        <w:tc>
          <w:tcPr>
            <w:tcW w:w="1701" w:type="dxa"/>
            <w:shd w:val="clear" w:color="auto" w:fill="auto"/>
            <w:noWrap/>
            <w:hideMark/>
          </w:tcPr>
          <w:p w14:paraId="0721867B"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7,50</w:t>
            </w:r>
          </w:p>
        </w:tc>
      </w:tr>
      <w:tr w:rsidR="0052387B" w:rsidRPr="00446C16" w14:paraId="493BAE03" w14:textId="77777777" w:rsidTr="003D3D7F">
        <w:trPr>
          <w:trHeight w:val="260"/>
        </w:trPr>
        <w:tc>
          <w:tcPr>
            <w:tcW w:w="7650" w:type="dxa"/>
            <w:shd w:val="clear" w:color="auto" w:fill="auto"/>
            <w:noWrap/>
            <w:hideMark/>
          </w:tcPr>
          <w:p w14:paraId="68834AA6"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Darba devēju konkurences par kvalificēto darbaspēku palielināšanās darba tirgū</w:t>
            </w:r>
          </w:p>
        </w:tc>
        <w:tc>
          <w:tcPr>
            <w:tcW w:w="1701" w:type="dxa"/>
            <w:shd w:val="clear" w:color="auto" w:fill="auto"/>
            <w:noWrap/>
            <w:hideMark/>
          </w:tcPr>
          <w:p w14:paraId="0FD3BE64"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7,50</w:t>
            </w:r>
          </w:p>
        </w:tc>
      </w:tr>
    </w:tbl>
    <w:p w14:paraId="118F7EF6" w14:textId="77777777" w:rsidR="0052387B" w:rsidRPr="00446C16" w:rsidRDefault="0052387B" w:rsidP="0052387B"/>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701"/>
      </w:tblGrid>
      <w:tr w:rsidR="0052387B" w:rsidRPr="00446C16" w14:paraId="2FA21F81" w14:textId="77777777" w:rsidTr="003D3D7F">
        <w:trPr>
          <w:trHeight w:val="260"/>
        </w:trPr>
        <w:tc>
          <w:tcPr>
            <w:tcW w:w="7650" w:type="dxa"/>
            <w:shd w:val="clear" w:color="auto" w:fill="1F3763"/>
            <w:noWrap/>
          </w:tcPr>
          <w:p w14:paraId="49065CFD" w14:textId="2CE03694" w:rsidR="0052387B" w:rsidRPr="00446C16" w:rsidRDefault="0052387B" w:rsidP="003D3D7F">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lastRenderedPageBreak/>
              <w:t xml:space="preserve">Faktori, kas ietekmē būvmateriālu </w:t>
            </w:r>
            <w:r w:rsidR="0019306B" w:rsidRPr="00446C16">
              <w:rPr>
                <w:rFonts w:cstheme="minorHAnsi"/>
                <w:b/>
                <w:bCs/>
                <w:color w:val="FFFFFF" w:themeColor="background1"/>
                <w:sz w:val="18"/>
                <w:szCs w:val="18"/>
              </w:rPr>
              <w:t>izmaksu izmaiņas</w:t>
            </w:r>
            <w:r w:rsidRPr="00446C16">
              <w:rPr>
                <w:rFonts w:cstheme="minorHAnsi"/>
                <w:b/>
                <w:bCs/>
                <w:color w:val="FFFFFF" w:themeColor="background1"/>
                <w:sz w:val="18"/>
                <w:szCs w:val="18"/>
              </w:rPr>
              <w:t xml:space="preserve"> tieši pārējo inženierbūvju būvniecības apakšnozarē</w:t>
            </w:r>
          </w:p>
        </w:tc>
        <w:tc>
          <w:tcPr>
            <w:tcW w:w="1701" w:type="dxa"/>
            <w:shd w:val="clear" w:color="auto" w:fill="1F3763"/>
            <w:noWrap/>
            <w:vAlign w:val="bottom"/>
          </w:tcPr>
          <w:p w14:paraId="142A238A" w14:textId="77777777" w:rsidR="0052387B" w:rsidRPr="00446C16" w:rsidRDefault="0052387B" w:rsidP="003D3D7F">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Vidējais vērtējums</w:t>
            </w:r>
          </w:p>
        </w:tc>
      </w:tr>
      <w:tr w:rsidR="0052387B" w:rsidRPr="00446C16" w14:paraId="2F926961" w14:textId="77777777" w:rsidTr="003D3D7F">
        <w:trPr>
          <w:trHeight w:val="260"/>
        </w:trPr>
        <w:tc>
          <w:tcPr>
            <w:tcW w:w="7650" w:type="dxa"/>
            <w:shd w:val="clear" w:color="auto" w:fill="auto"/>
            <w:noWrap/>
            <w:hideMark/>
          </w:tcPr>
          <w:p w14:paraId="799F5E71"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Darbaspēka pieejamība</w:t>
            </w:r>
          </w:p>
        </w:tc>
        <w:tc>
          <w:tcPr>
            <w:tcW w:w="1701" w:type="dxa"/>
            <w:shd w:val="clear" w:color="auto" w:fill="auto"/>
            <w:noWrap/>
            <w:hideMark/>
          </w:tcPr>
          <w:p w14:paraId="71F7194C"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8,25</w:t>
            </w:r>
          </w:p>
        </w:tc>
      </w:tr>
      <w:tr w:rsidR="0052387B" w:rsidRPr="00446C16" w14:paraId="4CB9F7C8" w14:textId="77777777" w:rsidTr="003D3D7F">
        <w:trPr>
          <w:trHeight w:val="260"/>
        </w:trPr>
        <w:tc>
          <w:tcPr>
            <w:tcW w:w="7650" w:type="dxa"/>
            <w:shd w:val="clear" w:color="auto" w:fill="auto"/>
            <w:noWrap/>
          </w:tcPr>
          <w:p w14:paraId="1EE16FF4" w14:textId="6C5BA179"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 xml:space="preserve">Būvniecības </w:t>
            </w:r>
            <w:r w:rsidR="00DA5EF2" w:rsidRPr="00446C16">
              <w:rPr>
                <w:rFonts w:cstheme="minorHAnsi"/>
                <w:color w:val="000000"/>
                <w:sz w:val="18"/>
                <w:szCs w:val="18"/>
              </w:rPr>
              <w:t xml:space="preserve">produkcijas </w:t>
            </w:r>
            <w:r w:rsidRPr="00446C16">
              <w:rPr>
                <w:rFonts w:cstheme="minorHAnsi"/>
                <w:color w:val="000000"/>
                <w:sz w:val="18"/>
                <w:szCs w:val="18"/>
              </w:rPr>
              <w:t>apjoms valstī</w:t>
            </w:r>
          </w:p>
        </w:tc>
        <w:tc>
          <w:tcPr>
            <w:tcW w:w="1701" w:type="dxa"/>
            <w:shd w:val="clear" w:color="auto" w:fill="auto"/>
            <w:noWrap/>
          </w:tcPr>
          <w:p w14:paraId="4990A295"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7,25</w:t>
            </w:r>
          </w:p>
        </w:tc>
      </w:tr>
      <w:tr w:rsidR="0052387B" w:rsidRPr="00446C16" w14:paraId="150D77A6" w14:textId="77777777" w:rsidTr="003D3D7F">
        <w:trPr>
          <w:trHeight w:val="260"/>
        </w:trPr>
        <w:tc>
          <w:tcPr>
            <w:tcW w:w="7650" w:type="dxa"/>
            <w:shd w:val="clear" w:color="auto" w:fill="auto"/>
            <w:noWrap/>
          </w:tcPr>
          <w:p w14:paraId="1563A2B4"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Degvielas cena</w:t>
            </w:r>
          </w:p>
        </w:tc>
        <w:tc>
          <w:tcPr>
            <w:tcW w:w="1701" w:type="dxa"/>
            <w:shd w:val="clear" w:color="auto" w:fill="auto"/>
            <w:noWrap/>
          </w:tcPr>
          <w:p w14:paraId="2A658E36"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7,25</w:t>
            </w:r>
          </w:p>
        </w:tc>
      </w:tr>
    </w:tbl>
    <w:p w14:paraId="40B3E077" w14:textId="77777777" w:rsidR="0052387B" w:rsidRPr="00446C16" w:rsidRDefault="0052387B" w:rsidP="0052387B">
      <w:pPr>
        <w:jc w:val="center"/>
        <w:rPr>
          <w:sz w:val="20"/>
          <w:szCs w:val="18"/>
        </w:rPr>
      </w:pPr>
      <w:r w:rsidRPr="00446C16">
        <w:rPr>
          <w:sz w:val="20"/>
          <w:szCs w:val="18"/>
        </w:rPr>
        <w:t>Avots: Ekspertu intervijas</w:t>
      </w:r>
    </w:p>
    <w:p w14:paraId="3ACD2E1A" w14:textId="66FF8748" w:rsidR="0052387B" w:rsidRPr="00446C16" w:rsidRDefault="0052387B" w:rsidP="00895643">
      <w:pPr>
        <w:ind w:firstLine="851"/>
        <w:jc w:val="both"/>
        <w:rPr>
          <w:b/>
          <w:sz w:val="20"/>
          <w:szCs w:val="18"/>
        </w:rPr>
      </w:pPr>
      <w:r w:rsidRPr="00446C16">
        <w:t xml:space="preserve">Apakšnozares ekspertu izmaksu </w:t>
      </w:r>
      <w:r w:rsidR="00B42C20" w:rsidRPr="00446C16">
        <w:t xml:space="preserve">izmaiņu </w:t>
      </w:r>
      <w:r w:rsidRPr="00446C16">
        <w:t>prognožu vērtējums pa resursu veidiem kopumā uzrāda straujāku dinamiku prognožu perioda sākumā un beigās. Līdzīgi, kā būvniecībā kopumā ar cilvēkresursiem saistītās izmaks</w:t>
      </w:r>
      <w:r w:rsidR="0019306B" w:rsidRPr="00446C16">
        <w:t>u izmaiņas</w:t>
      </w:r>
      <w:r w:rsidRPr="00446C16">
        <w:t xml:space="preserve"> pieaugs visvairāk, taču atšķirība no pārējo resursu veidiem ir neliela. Būvmateriāliem 2022.</w:t>
      </w:r>
      <w:r w:rsidR="006038A4" w:rsidRPr="00446C16">
        <w:t xml:space="preserve"> gadā</w:t>
      </w:r>
      <w:r w:rsidRPr="00446C16">
        <w:t xml:space="preserve"> un 2023.</w:t>
      </w:r>
      <w:r w:rsidR="006038A4" w:rsidRPr="00446C16">
        <w:t xml:space="preserve"> </w:t>
      </w:r>
      <w:r w:rsidRPr="00446C16">
        <w:t>gad</w:t>
      </w:r>
      <w:r w:rsidR="00BB2D47" w:rsidRPr="00446C16">
        <w:t>ā</w:t>
      </w:r>
      <w:r w:rsidRPr="00446C16">
        <w:t xml:space="preserve"> tiek prognozēts minimāls kritums.</w:t>
      </w:r>
    </w:p>
    <w:p w14:paraId="6C6E755B" w14:textId="438F6A02" w:rsidR="0052387B" w:rsidRPr="00446C16" w:rsidRDefault="0052387B" w:rsidP="0052387B">
      <w:pPr>
        <w:jc w:val="center"/>
        <w:rPr>
          <w:b/>
          <w:sz w:val="20"/>
          <w:szCs w:val="18"/>
        </w:rPr>
      </w:pPr>
      <w:r w:rsidRPr="00446C16">
        <w:rPr>
          <w:b/>
          <w:sz w:val="20"/>
          <w:szCs w:val="18"/>
        </w:rPr>
        <w:t xml:space="preserve">Attēls Nr. </w:t>
      </w:r>
      <w:r w:rsidRPr="00446C16">
        <w:rPr>
          <w:b/>
          <w:sz w:val="20"/>
        </w:rPr>
        <w:t>2</w:t>
      </w:r>
      <w:r w:rsidR="00AE0D06">
        <w:rPr>
          <w:b/>
          <w:sz w:val="20"/>
        </w:rPr>
        <w:t>5</w:t>
      </w:r>
      <w:r w:rsidRPr="00446C16">
        <w:rPr>
          <w:b/>
          <w:sz w:val="20"/>
        </w:rPr>
        <w:t>. Būvniecības izmaksu izmaiņu prognoze pa resursu veidiem pārējo inženierbūvju apakšnozarē, kumulatīvās izmaiņas pret 2018. gadu, %</w:t>
      </w:r>
    </w:p>
    <w:p w14:paraId="6499230F" w14:textId="6E870C16" w:rsidR="0052387B" w:rsidRPr="00446C16" w:rsidRDefault="00E92138" w:rsidP="0052387B">
      <w:pPr>
        <w:jc w:val="center"/>
        <w:rPr>
          <w:noProof/>
        </w:rPr>
      </w:pPr>
      <w:r w:rsidRPr="00446C16">
        <w:rPr>
          <w:noProof/>
          <w:lang w:val="en-US"/>
        </w:rPr>
        <w:drawing>
          <wp:inline distT="0" distB="0" distL="0" distR="0" wp14:anchorId="07A79F58" wp14:editId="1781EDA8">
            <wp:extent cx="4579620" cy="2766060"/>
            <wp:effectExtent l="0" t="0" r="0" b="0"/>
            <wp:docPr id="1006675203" name="Attēls 1006675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9620" cy="2766060"/>
                    </a:xfrm>
                    <a:prstGeom prst="rect">
                      <a:avLst/>
                    </a:prstGeom>
                    <a:noFill/>
                  </pic:spPr>
                </pic:pic>
              </a:graphicData>
            </a:graphic>
          </wp:inline>
        </w:drawing>
      </w:r>
    </w:p>
    <w:p w14:paraId="61E2F227" w14:textId="6F776D27" w:rsidR="0052387B" w:rsidRPr="00446C16" w:rsidRDefault="0052387B" w:rsidP="0052387B">
      <w:pPr>
        <w:spacing w:before="100" w:after="200" w:line="276" w:lineRule="auto"/>
        <w:jc w:val="center"/>
        <w:rPr>
          <w:sz w:val="20"/>
        </w:rPr>
      </w:pPr>
      <w:r w:rsidRPr="00446C16">
        <w:rPr>
          <w:sz w:val="20"/>
        </w:rPr>
        <w:t>Avots: CSP vēsturiskie dati līdz 2018. gadam (ieskaitot) un autoru veikti aprēķini, balstoties uz ekspertu vērtējumiem un izstrādātajiem modeļiem - prognoze 2019.-2023. gad</w:t>
      </w:r>
      <w:r w:rsidR="00A1110C" w:rsidRPr="00446C16">
        <w:rPr>
          <w:sz w:val="20"/>
        </w:rPr>
        <w:t>ie</w:t>
      </w:r>
      <w:r w:rsidRPr="00446C16">
        <w:rPr>
          <w:sz w:val="20"/>
        </w:rPr>
        <w:t>m</w:t>
      </w:r>
    </w:p>
    <w:p w14:paraId="27067768" w14:textId="77777777" w:rsidR="00E92138" w:rsidRPr="00446C16" w:rsidRDefault="00E92138" w:rsidP="00E92138">
      <w:pPr>
        <w:ind w:firstLine="720"/>
        <w:jc w:val="both"/>
      </w:pPr>
      <w:r w:rsidRPr="00446C16">
        <w:t>Salīdzinot kopējās izmaksu izmaiņas apakšnozarē ar izmaksu izmaiņām dalījumā pa resursu veidiem, novērojamas atšķirības – dalījums pa resursu veidiem uzrāda lielāku izmaksu pieaugumu. Tam iemesls ir tas, ka kopējo apakšnozares izmaksu izmaiņu prognozi veido trīs avoti, t.sk. statistiskais trends un elastības modelis, savukārt, izmaksu dalījumam pa resursu veidiem avots ir tikai ekspertu vērtējumi.</w:t>
      </w:r>
    </w:p>
    <w:p w14:paraId="3E1F8A40" w14:textId="66432E6E" w:rsidR="00E92138" w:rsidRDefault="00E92138" w:rsidP="00E92138">
      <w:pPr>
        <w:jc w:val="both"/>
      </w:pPr>
      <w:r w:rsidRPr="00446C16">
        <w:t>Tādēļ prognožu interpretācijā jāņem vērā, ka rezultāti dalījumā pa resursu veidiem prognožu perioda pirmajos gados var būt ar zemākām vērtībām, nekā norāda tikai  ekspertu interviju rezultāti.</w:t>
      </w:r>
    </w:p>
    <w:p w14:paraId="3A59170A" w14:textId="56E2EF36" w:rsidR="00576929" w:rsidRDefault="00576929" w:rsidP="00E92138">
      <w:pPr>
        <w:jc w:val="both"/>
      </w:pPr>
    </w:p>
    <w:p w14:paraId="5AFFD40A" w14:textId="16E1D426" w:rsidR="00576929" w:rsidRDefault="00576929" w:rsidP="00E92138">
      <w:pPr>
        <w:jc w:val="both"/>
      </w:pPr>
    </w:p>
    <w:p w14:paraId="70946336" w14:textId="39B95206" w:rsidR="00576929" w:rsidRDefault="00576929" w:rsidP="00E92138">
      <w:pPr>
        <w:jc w:val="both"/>
      </w:pPr>
    </w:p>
    <w:p w14:paraId="158C7A96" w14:textId="2B677060" w:rsidR="00576929" w:rsidRDefault="00576929" w:rsidP="00E92138">
      <w:pPr>
        <w:jc w:val="both"/>
      </w:pPr>
    </w:p>
    <w:p w14:paraId="3A4ECD9F" w14:textId="080D3EB1" w:rsidR="00576929" w:rsidRDefault="00576929" w:rsidP="00E92138">
      <w:pPr>
        <w:jc w:val="both"/>
      </w:pPr>
    </w:p>
    <w:p w14:paraId="7F2ACC10" w14:textId="367340DC" w:rsidR="00576929" w:rsidRDefault="00576929" w:rsidP="00E92138">
      <w:pPr>
        <w:jc w:val="both"/>
      </w:pPr>
    </w:p>
    <w:p w14:paraId="7E8C1115" w14:textId="60CB5DB1" w:rsidR="00576929" w:rsidRDefault="00576929" w:rsidP="00E92138">
      <w:pPr>
        <w:jc w:val="both"/>
      </w:pPr>
    </w:p>
    <w:p w14:paraId="74D63D38" w14:textId="77777777" w:rsidR="00576929" w:rsidRPr="00446C16" w:rsidRDefault="00576929" w:rsidP="00E92138">
      <w:pPr>
        <w:jc w:val="both"/>
      </w:pPr>
    </w:p>
    <w:p w14:paraId="5A70BE19" w14:textId="77777777" w:rsidR="0052387B" w:rsidRPr="00446C16" w:rsidRDefault="0052387B" w:rsidP="0052387B">
      <w:pPr>
        <w:pStyle w:val="Heading2"/>
      </w:pPr>
      <w:bookmarkStart w:id="794" w:name="_Toc23163510"/>
      <w:r w:rsidRPr="00446C16">
        <w:rPr>
          <w:rFonts w:eastAsia="Times New Roman"/>
          <w:lang w:eastAsia="en-GB"/>
        </w:rPr>
        <w:lastRenderedPageBreak/>
        <w:t>Komplekso būvju rūpnieciskās ražošanas būvniecības apakšnozares</w:t>
      </w:r>
      <w:r w:rsidRPr="00446C16">
        <w:t xml:space="preserve"> izmaksu izmaiņu prognozes</w:t>
      </w:r>
      <w:bookmarkEnd w:id="794"/>
    </w:p>
    <w:p w14:paraId="3239AF8E" w14:textId="607DF1DE" w:rsidR="0052387B" w:rsidRPr="00446C16" w:rsidRDefault="0052387B" w:rsidP="0052387B">
      <w:pPr>
        <w:ind w:firstLine="851"/>
        <w:jc w:val="both"/>
      </w:pPr>
      <w:r w:rsidRPr="00446C16">
        <w:t>Komplekso būvju apakšnozarē CSP netiek apkopoti statistiskie būvniecības produkcijas apjoma dati (skatīt attēlu Nr.2</w:t>
      </w:r>
      <w:r w:rsidR="00AE0D06">
        <w:t>6</w:t>
      </w:r>
      <w:r w:rsidRPr="00446C16">
        <w:t>.). Šajā apakšnozarē par prognožu vadmotīvu izvēlēts ekspertu vērtējums, kas paredz stabilu apjoma pieaugumu, 2023</w:t>
      </w:r>
      <w:r w:rsidR="00100D75" w:rsidRPr="00446C16">
        <w:t>. gad</w:t>
      </w:r>
      <w:r w:rsidRPr="00446C16">
        <w:t>ā kumulatīvi pārsniedzot 30%, salīdzinot ar 2018</w:t>
      </w:r>
      <w:r w:rsidR="00100D75" w:rsidRPr="00446C16">
        <w:t>. gad</w:t>
      </w:r>
      <w:r w:rsidRPr="00446C16">
        <w:t>a līmeni.</w:t>
      </w:r>
    </w:p>
    <w:p w14:paraId="6A10B8B2" w14:textId="3B1A74FD" w:rsidR="0052387B" w:rsidRPr="00446C16" w:rsidRDefault="0052387B" w:rsidP="006A3652">
      <w:pPr>
        <w:spacing w:before="100" w:after="200"/>
        <w:jc w:val="center"/>
        <w:rPr>
          <w:b/>
          <w:sz w:val="20"/>
        </w:rPr>
      </w:pPr>
      <w:r w:rsidRPr="00446C16">
        <w:rPr>
          <w:b/>
          <w:sz w:val="20"/>
        </w:rPr>
        <w:t>Attēls Nr. 2</w:t>
      </w:r>
      <w:r w:rsidR="00AE0D06">
        <w:rPr>
          <w:b/>
          <w:sz w:val="20"/>
        </w:rPr>
        <w:t>6</w:t>
      </w:r>
      <w:r w:rsidRPr="00446C16">
        <w:rPr>
          <w:b/>
          <w:sz w:val="20"/>
        </w:rPr>
        <w:t>. Būvniecības produkcijas apjoma izmaiņas komplekso būvju apakšnozarē līdz 2018. gadam un prognozes no 2019. līdz 2023. gadam, kumulatīvās izmaiņas pret 2018</w:t>
      </w:r>
      <w:r w:rsidR="00100D75" w:rsidRPr="00446C16">
        <w:rPr>
          <w:b/>
          <w:sz w:val="20"/>
        </w:rPr>
        <w:t>. gad</w:t>
      </w:r>
      <w:r w:rsidRPr="00446C16">
        <w:rPr>
          <w:b/>
          <w:sz w:val="20"/>
        </w:rPr>
        <w:t>u, %</w:t>
      </w:r>
    </w:p>
    <w:p w14:paraId="1E8A63E6" w14:textId="6C1F48D8" w:rsidR="0052387B" w:rsidRPr="00446C16" w:rsidRDefault="0007298C" w:rsidP="0052387B">
      <w:pPr>
        <w:spacing w:before="100" w:after="200" w:line="276" w:lineRule="auto"/>
        <w:jc w:val="center"/>
        <w:rPr>
          <w:bCs/>
          <w:sz w:val="20"/>
        </w:rPr>
      </w:pPr>
      <w:r w:rsidRPr="00446C16">
        <w:rPr>
          <w:bCs/>
          <w:noProof/>
          <w:sz w:val="20"/>
          <w:lang w:val="en-US"/>
        </w:rPr>
        <w:drawing>
          <wp:inline distT="0" distB="0" distL="0" distR="0" wp14:anchorId="009F0638" wp14:editId="4F3968EE">
            <wp:extent cx="4858808" cy="3317359"/>
            <wp:effectExtent l="0" t="0" r="0" b="0"/>
            <wp:docPr id="1006675204" name="Picture 1006675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68014" cy="3323644"/>
                    </a:xfrm>
                    <a:prstGeom prst="rect">
                      <a:avLst/>
                    </a:prstGeom>
                    <a:noFill/>
                  </pic:spPr>
                </pic:pic>
              </a:graphicData>
            </a:graphic>
          </wp:inline>
        </w:drawing>
      </w:r>
    </w:p>
    <w:p w14:paraId="3E274339" w14:textId="0D15C8B7" w:rsidR="0052387B" w:rsidRPr="00446C16" w:rsidRDefault="0052387B" w:rsidP="0052387B">
      <w:pPr>
        <w:jc w:val="center"/>
        <w:rPr>
          <w:sz w:val="20"/>
        </w:rPr>
      </w:pPr>
      <w:r w:rsidRPr="00446C16">
        <w:rPr>
          <w:sz w:val="20"/>
        </w:rPr>
        <w:t>Avots: CSP vēsturiskie dati līdz 2018. gadam (ieskaitot) un autoru veikti aprēķini, balstoties uz ekspertu vērtējumiem un izstrādātajiem modeļiem - prognoze 2019.-2023. gad</w:t>
      </w:r>
      <w:r w:rsidR="00437444" w:rsidRPr="00446C16">
        <w:rPr>
          <w:sz w:val="20"/>
        </w:rPr>
        <w:t>ie</w:t>
      </w:r>
      <w:r w:rsidRPr="00446C16">
        <w:rPr>
          <w:sz w:val="20"/>
        </w:rPr>
        <w:t>m.</w:t>
      </w:r>
    </w:p>
    <w:p w14:paraId="667F6AB8" w14:textId="407DC685" w:rsidR="0052387B" w:rsidRPr="00446C16" w:rsidRDefault="0052387B" w:rsidP="0052387B">
      <w:pPr>
        <w:ind w:firstLine="851"/>
        <w:jc w:val="both"/>
      </w:pPr>
      <w:r w:rsidRPr="00446C16">
        <w:t>Ņemot vērā prognozēt</w:t>
      </w:r>
      <w:r w:rsidR="00B52DE2" w:rsidRPr="00446C16">
        <w:t>ās</w:t>
      </w:r>
      <w:r w:rsidRPr="00446C16">
        <w:t xml:space="preserve"> apjom</w:t>
      </w:r>
      <w:r w:rsidR="00B52DE2" w:rsidRPr="00446C16">
        <w:t>a izmaiņas</w:t>
      </w:r>
      <w:r w:rsidRPr="00446C16">
        <w:t>, kā arī ekspertu vērtējumu, periodā no 2019. līdz 2023</w:t>
      </w:r>
      <w:r w:rsidR="00100D75" w:rsidRPr="00446C16">
        <w:t>. gad</w:t>
      </w:r>
      <w:r w:rsidRPr="00446C16">
        <w:t>am</w:t>
      </w:r>
      <w:r w:rsidR="00BB2D47" w:rsidRPr="00446C16">
        <w:t>,</w:t>
      </w:r>
      <w:r w:rsidRPr="00446C16">
        <w:t xml:space="preserve"> katrs datu avots attiecībā uz izmaksu </w:t>
      </w:r>
      <w:r w:rsidR="00B42C20" w:rsidRPr="00446C16">
        <w:t xml:space="preserve">izmaiņu </w:t>
      </w:r>
      <w:r w:rsidRPr="00446C16">
        <w:t>prognozēm uzrāda stabilu pieaugumu, bet dažādā tempā (skatīt attēlu Nr. 2</w:t>
      </w:r>
      <w:r w:rsidR="00AE0D06">
        <w:t>7</w:t>
      </w:r>
      <w:r w:rsidRPr="00446C16">
        <w:t>).</w:t>
      </w:r>
    </w:p>
    <w:p w14:paraId="412DEF96" w14:textId="16BA5C0F" w:rsidR="0052387B" w:rsidRPr="00446C16" w:rsidRDefault="0052387B" w:rsidP="00895643">
      <w:pPr>
        <w:ind w:firstLine="851"/>
        <w:jc w:val="both"/>
      </w:pPr>
      <w:r w:rsidRPr="00446C16">
        <w:t>Ekspertu vērtējums ir vismērenākais – pēc pieauguma 2019. un 2020.</w:t>
      </w:r>
      <w:r w:rsidR="007B376D" w:rsidRPr="00446C16">
        <w:t xml:space="preserve"> </w:t>
      </w:r>
      <w:r w:rsidRPr="00446C16">
        <w:t>gad</w:t>
      </w:r>
      <w:r w:rsidR="00BB2D47" w:rsidRPr="00446C16">
        <w:t>ā</w:t>
      </w:r>
      <w:r w:rsidRPr="00446C16">
        <w:t xml:space="preserve"> līdz 12% līmenim pret 2018</w:t>
      </w:r>
      <w:r w:rsidR="00100D75" w:rsidRPr="00446C16">
        <w:t>. gad</w:t>
      </w:r>
      <w:r w:rsidRPr="00446C16">
        <w:t>u</w:t>
      </w:r>
      <w:r w:rsidR="00BB2D47" w:rsidRPr="00446C16">
        <w:t>,</w:t>
      </w:r>
      <w:r w:rsidRPr="00446C16">
        <w:t xml:space="preserve"> sekos lēns pieaugums līdz 14% 2023</w:t>
      </w:r>
      <w:r w:rsidR="00100D75" w:rsidRPr="00446C16">
        <w:t>. gad</w:t>
      </w:r>
      <w:r w:rsidRPr="00446C16">
        <w:t>ā pret 2018</w:t>
      </w:r>
      <w:r w:rsidR="00100D75" w:rsidRPr="00446C16">
        <w:t>. gad</w:t>
      </w:r>
      <w:r w:rsidRPr="00446C16">
        <w:t>u.</w:t>
      </w:r>
    </w:p>
    <w:p w14:paraId="1A4D16B3" w14:textId="2F3968A1" w:rsidR="0052387B" w:rsidRPr="00446C16" w:rsidRDefault="0052387B" w:rsidP="00895643">
      <w:pPr>
        <w:ind w:firstLine="851"/>
        <w:jc w:val="both"/>
      </w:pPr>
      <w:r w:rsidRPr="00446C16">
        <w:t xml:space="preserve">Izmaksu </w:t>
      </w:r>
      <w:r w:rsidR="0019306B" w:rsidRPr="00446C16">
        <w:t xml:space="preserve">izmaiņu </w:t>
      </w:r>
      <w:r w:rsidRPr="00446C16">
        <w:t>elastības modelis, balstoties uz apjoma prognozēm uzrāda zemākas izmaks</w:t>
      </w:r>
      <w:r w:rsidR="0019306B" w:rsidRPr="00446C16">
        <w:t>u izmaiņas</w:t>
      </w:r>
      <w:r w:rsidRPr="00446C16">
        <w:t xml:space="preserve"> līdz 2020</w:t>
      </w:r>
      <w:r w:rsidR="00100D75" w:rsidRPr="00446C16">
        <w:t>. gad</w:t>
      </w:r>
      <w:r w:rsidRPr="00446C16">
        <w:t>am, bet augstākas – pēc 2020</w:t>
      </w:r>
      <w:r w:rsidR="00100D75" w:rsidRPr="00446C16">
        <w:t>. gad</w:t>
      </w:r>
      <w:r w:rsidRPr="00446C16">
        <w:t>a.</w:t>
      </w:r>
    </w:p>
    <w:p w14:paraId="1A6C9644" w14:textId="486FAAE0" w:rsidR="0052387B" w:rsidRPr="00446C16" w:rsidRDefault="0052387B">
      <w:pPr>
        <w:ind w:firstLine="851"/>
        <w:jc w:val="both"/>
      </w:pPr>
      <w:r w:rsidRPr="00446C16">
        <w:t xml:space="preserve">Kombinētā prognoze uzrāda stabilu pieaugumu līdz 22% 2023.gadā. Ņemot vērā, ka šajā apakšnozarē iztrūkst citu referenču, grūti pamatot konkrētās prognožu vērtības, taču kopējā tendence norāda uz stabilu izmaksu </w:t>
      </w:r>
      <w:r w:rsidR="007E6482" w:rsidRPr="00446C16">
        <w:rPr>
          <w:rStyle w:val="st"/>
        </w:rPr>
        <w:t>izmaiņu</w:t>
      </w:r>
      <w:r w:rsidR="007E6482" w:rsidRPr="00446C16">
        <w:t xml:space="preserve"> </w:t>
      </w:r>
      <w:r w:rsidRPr="00446C16">
        <w:t>pieaugumu prognožu periodā.</w:t>
      </w:r>
    </w:p>
    <w:p w14:paraId="525770A4" w14:textId="77777777" w:rsidR="00937F2F" w:rsidRDefault="00937F2F">
      <w:pPr>
        <w:spacing w:before="100" w:after="200" w:line="276" w:lineRule="auto"/>
        <w:rPr>
          <w:b/>
          <w:sz w:val="20"/>
        </w:rPr>
      </w:pPr>
      <w:r>
        <w:rPr>
          <w:b/>
          <w:sz w:val="20"/>
        </w:rPr>
        <w:br w:type="page"/>
      </w:r>
    </w:p>
    <w:p w14:paraId="2B4ADB3F" w14:textId="430D84A2" w:rsidR="0052387B" w:rsidRPr="00446C16" w:rsidRDefault="0052387B" w:rsidP="00937F2F">
      <w:pPr>
        <w:jc w:val="center"/>
        <w:rPr>
          <w:b/>
          <w:sz w:val="20"/>
        </w:rPr>
      </w:pPr>
      <w:r w:rsidRPr="00446C16">
        <w:rPr>
          <w:b/>
          <w:sz w:val="20"/>
        </w:rPr>
        <w:lastRenderedPageBreak/>
        <w:t>Attēls Nr. 2</w:t>
      </w:r>
      <w:r w:rsidR="00AE0D06">
        <w:rPr>
          <w:b/>
          <w:sz w:val="20"/>
        </w:rPr>
        <w:t>7</w:t>
      </w:r>
      <w:r w:rsidRPr="00446C16">
        <w:rPr>
          <w:b/>
          <w:sz w:val="20"/>
        </w:rPr>
        <w:t>. Būvniecības izmaksu izmaiņas komplekso būvju apakšnozarē līdz 2018. gadam un prognozes no 2019. līdz 2023. gadam, kumulatīvās izmaiņas pret 2018. gadu, %</w:t>
      </w:r>
    </w:p>
    <w:p w14:paraId="71C9DA2C" w14:textId="4864B521" w:rsidR="0052387B" w:rsidRPr="00446C16" w:rsidRDefault="00B10D87" w:rsidP="0052387B">
      <w:pPr>
        <w:jc w:val="center"/>
        <w:rPr>
          <w:bCs/>
          <w:sz w:val="20"/>
        </w:rPr>
      </w:pPr>
      <w:r w:rsidRPr="00446C16">
        <w:rPr>
          <w:bCs/>
          <w:noProof/>
          <w:sz w:val="20"/>
          <w:lang w:val="en-US"/>
        </w:rPr>
        <w:drawing>
          <wp:inline distT="0" distB="0" distL="0" distR="0" wp14:anchorId="7B11F52A" wp14:editId="69339D86">
            <wp:extent cx="4961455" cy="3600000"/>
            <wp:effectExtent l="0" t="0" r="0" b="635"/>
            <wp:docPr id="1006675207" name="Picture 1006675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61455" cy="3600000"/>
                    </a:xfrm>
                    <a:prstGeom prst="rect">
                      <a:avLst/>
                    </a:prstGeom>
                    <a:noFill/>
                  </pic:spPr>
                </pic:pic>
              </a:graphicData>
            </a:graphic>
          </wp:inline>
        </w:drawing>
      </w:r>
    </w:p>
    <w:p w14:paraId="67C3C577" w14:textId="28304E6D" w:rsidR="0052387B" w:rsidRPr="00446C16" w:rsidRDefault="0052387B" w:rsidP="0052387B">
      <w:pPr>
        <w:jc w:val="center"/>
        <w:rPr>
          <w:sz w:val="20"/>
        </w:rPr>
      </w:pPr>
      <w:r w:rsidRPr="00446C16">
        <w:rPr>
          <w:sz w:val="20"/>
        </w:rPr>
        <w:t>Avots: CSP vēsturiskie dati līdz 2018. gadam (ieskaitot) un autoru veikti aprēķini, balstoties uz ekspertu vērtējumiem un izstrādātajiem modeļiem - prognoze 2019.-2023. gad</w:t>
      </w:r>
      <w:r w:rsidR="007B376D" w:rsidRPr="00446C16">
        <w:rPr>
          <w:sz w:val="20"/>
        </w:rPr>
        <w:t>ie</w:t>
      </w:r>
      <w:r w:rsidRPr="00446C16">
        <w:rPr>
          <w:sz w:val="20"/>
        </w:rPr>
        <w:t>m</w:t>
      </w:r>
    </w:p>
    <w:p w14:paraId="014FAD74" w14:textId="2EA8BFBD" w:rsidR="0052387B" w:rsidRPr="00446C16" w:rsidRDefault="0052387B" w:rsidP="00895643">
      <w:pPr>
        <w:ind w:firstLine="851"/>
        <w:jc w:val="both"/>
      </w:pPr>
      <w:r w:rsidRPr="00446C16">
        <w:t>Attiecībā uz darbaspēka izmaks</w:t>
      </w:r>
      <w:r w:rsidR="0019306B" w:rsidRPr="00446C16">
        <w:t>u izmaiņ</w:t>
      </w:r>
      <w:r w:rsidR="00154778" w:rsidRPr="00446C16">
        <w:t>as ietekmējošajiem faktoriem</w:t>
      </w:r>
      <w:r w:rsidR="0019306B" w:rsidRPr="00446C16">
        <w:t>,</w:t>
      </w:r>
      <w:r w:rsidRPr="00446C16">
        <w:t xml:space="preserve"> eksperti pie būtiskākajiem norāda kvalificētu darbinieku pieprasījumu un speciālistu trūkumu</w:t>
      </w:r>
      <w:r w:rsidR="00BB2D47" w:rsidRPr="00446C16">
        <w:t xml:space="preserve"> (skatīt tabulu Nr. </w:t>
      </w:r>
      <w:r w:rsidR="00E76FAA" w:rsidRPr="00446C16">
        <w:t>11</w:t>
      </w:r>
      <w:r w:rsidR="00BB2D47" w:rsidRPr="00446C16">
        <w:t>).</w:t>
      </w:r>
      <w:r w:rsidRPr="00446C16">
        <w:t xml:space="preserve"> </w:t>
      </w:r>
    </w:p>
    <w:p w14:paraId="68BDF1C3" w14:textId="0A97AD17" w:rsidR="0052387B" w:rsidRPr="00446C16" w:rsidRDefault="0052387B" w:rsidP="00895643">
      <w:pPr>
        <w:ind w:firstLine="851"/>
        <w:jc w:val="both"/>
      </w:pPr>
      <w:r w:rsidRPr="00446C16">
        <w:t xml:space="preserve">Pie būvmateriālu izmaksu </w:t>
      </w:r>
      <w:r w:rsidR="00D17547" w:rsidRPr="00446C16">
        <w:t xml:space="preserve">izmaiņas ietekmējošiem </w:t>
      </w:r>
      <w:r w:rsidRPr="00446C16">
        <w:t>faktoriem minēti būvmateriālu pieprasījums, kvalitātes prasības un kontroles mehānismi.</w:t>
      </w:r>
    </w:p>
    <w:p w14:paraId="59F0AFA3" w14:textId="1AD07C18" w:rsidR="0052387B" w:rsidRPr="00446C16" w:rsidRDefault="0052387B" w:rsidP="0052387B">
      <w:pPr>
        <w:jc w:val="center"/>
        <w:rPr>
          <w:rFonts w:cstheme="minorHAnsi"/>
          <w:b/>
          <w:bCs/>
          <w:sz w:val="20"/>
          <w:szCs w:val="22"/>
        </w:rPr>
      </w:pPr>
      <w:r w:rsidRPr="00446C16">
        <w:rPr>
          <w:b/>
          <w:bCs/>
          <w:sz w:val="20"/>
          <w:szCs w:val="18"/>
        </w:rPr>
        <w:t>Tabula</w:t>
      </w:r>
      <w:r w:rsidRPr="00446C16">
        <w:rPr>
          <w:rFonts w:cs="Arial"/>
          <w:b/>
          <w:bCs/>
          <w:color w:val="222222"/>
          <w:sz w:val="20"/>
          <w:szCs w:val="18"/>
        </w:rPr>
        <w:t xml:space="preserve"> </w:t>
      </w:r>
      <w:r w:rsidR="00BF036D" w:rsidRPr="00446C16">
        <w:rPr>
          <w:rFonts w:cs="Arial"/>
          <w:b/>
          <w:bCs/>
          <w:color w:val="222222"/>
          <w:sz w:val="20"/>
          <w:szCs w:val="18"/>
        </w:rPr>
        <w:t xml:space="preserve">Nr. </w:t>
      </w:r>
      <w:r w:rsidR="00E76FAA" w:rsidRPr="00446C16">
        <w:rPr>
          <w:rFonts w:cs="Arial"/>
          <w:b/>
          <w:bCs/>
          <w:color w:val="222222"/>
          <w:sz w:val="20"/>
          <w:szCs w:val="18"/>
        </w:rPr>
        <w:t>11</w:t>
      </w:r>
      <w:r w:rsidRPr="00446C16">
        <w:rPr>
          <w:rFonts w:cs="Arial"/>
          <w:b/>
          <w:bCs/>
          <w:color w:val="222222"/>
          <w:sz w:val="20"/>
          <w:szCs w:val="18"/>
        </w:rPr>
        <w:t>. Darbaspēka un būvmateriālu izmaksu izmaiņas ietekmējošie faktori būvniecības apakšnozarē</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701"/>
      </w:tblGrid>
      <w:tr w:rsidR="0052387B" w:rsidRPr="00446C16" w14:paraId="7F9E4E75" w14:textId="77777777" w:rsidTr="003D3D7F">
        <w:trPr>
          <w:trHeight w:val="260"/>
        </w:trPr>
        <w:tc>
          <w:tcPr>
            <w:tcW w:w="7650" w:type="dxa"/>
            <w:shd w:val="clear" w:color="auto" w:fill="1F3763"/>
            <w:noWrap/>
          </w:tcPr>
          <w:p w14:paraId="018EF7CE" w14:textId="4B3574AB" w:rsidR="0052387B" w:rsidRPr="00446C16" w:rsidRDefault="0052387B" w:rsidP="003D3D7F">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Faktori, kas ietekmē darbaspēka</w:t>
            </w:r>
            <w:r w:rsidR="0019306B" w:rsidRPr="00446C16">
              <w:rPr>
                <w:rFonts w:cstheme="minorHAnsi"/>
                <w:b/>
                <w:bCs/>
                <w:color w:val="FFFFFF" w:themeColor="background1"/>
                <w:sz w:val="18"/>
                <w:szCs w:val="18"/>
              </w:rPr>
              <w:t xml:space="preserve"> izmaksu izmaiņas </w:t>
            </w:r>
            <w:r w:rsidRPr="00446C16">
              <w:rPr>
                <w:rFonts w:cstheme="minorHAnsi"/>
                <w:b/>
                <w:bCs/>
                <w:color w:val="FFFFFF" w:themeColor="background1"/>
                <w:sz w:val="18"/>
                <w:szCs w:val="18"/>
              </w:rPr>
              <w:t>tieši komplekso būvju ražošanas uzņēmumos</w:t>
            </w:r>
          </w:p>
        </w:tc>
        <w:tc>
          <w:tcPr>
            <w:tcW w:w="1701" w:type="dxa"/>
            <w:shd w:val="clear" w:color="auto" w:fill="1F3763"/>
            <w:noWrap/>
            <w:vAlign w:val="bottom"/>
          </w:tcPr>
          <w:p w14:paraId="64C5496A" w14:textId="77777777" w:rsidR="0052387B" w:rsidRPr="00446C16" w:rsidRDefault="0052387B" w:rsidP="003D3D7F">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Vidējais vērtējums</w:t>
            </w:r>
          </w:p>
        </w:tc>
      </w:tr>
      <w:tr w:rsidR="0052387B" w:rsidRPr="00446C16" w14:paraId="28F2E6E9" w14:textId="77777777" w:rsidTr="003D3D7F">
        <w:trPr>
          <w:trHeight w:val="260"/>
        </w:trPr>
        <w:tc>
          <w:tcPr>
            <w:tcW w:w="7650" w:type="dxa"/>
            <w:shd w:val="clear" w:color="auto" w:fill="auto"/>
            <w:noWrap/>
            <w:hideMark/>
          </w:tcPr>
          <w:p w14:paraId="7734D9D5"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Kvalificētu darbinieku pieprasījums</w:t>
            </w:r>
          </w:p>
        </w:tc>
        <w:tc>
          <w:tcPr>
            <w:tcW w:w="1701" w:type="dxa"/>
            <w:shd w:val="clear" w:color="auto" w:fill="auto"/>
            <w:noWrap/>
            <w:hideMark/>
          </w:tcPr>
          <w:p w14:paraId="4195BFFB"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9,25</w:t>
            </w:r>
          </w:p>
        </w:tc>
      </w:tr>
      <w:tr w:rsidR="0052387B" w:rsidRPr="00446C16" w14:paraId="0F781099" w14:textId="77777777" w:rsidTr="003D3D7F">
        <w:trPr>
          <w:trHeight w:val="260"/>
        </w:trPr>
        <w:tc>
          <w:tcPr>
            <w:tcW w:w="7650" w:type="dxa"/>
            <w:shd w:val="clear" w:color="auto" w:fill="auto"/>
            <w:noWrap/>
            <w:hideMark/>
          </w:tcPr>
          <w:p w14:paraId="0991539C"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Speciālistu trūkums pie augoša būvniecības tirgus</w:t>
            </w:r>
          </w:p>
        </w:tc>
        <w:tc>
          <w:tcPr>
            <w:tcW w:w="1701" w:type="dxa"/>
            <w:shd w:val="clear" w:color="auto" w:fill="auto"/>
            <w:noWrap/>
            <w:hideMark/>
          </w:tcPr>
          <w:p w14:paraId="27414EC8"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9,25</w:t>
            </w:r>
          </w:p>
        </w:tc>
      </w:tr>
    </w:tbl>
    <w:p w14:paraId="0C216B11" w14:textId="77777777" w:rsidR="0052387B" w:rsidRPr="00446C16" w:rsidRDefault="0052387B" w:rsidP="0052387B"/>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701"/>
      </w:tblGrid>
      <w:tr w:rsidR="0052387B" w:rsidRPr="00446C16" w14:paraId="0EAC18C0" w14:textId="77777777" w:rsidTr="003D3D7F">
        <w:trPr>
          <w:trHeight w:val="260"/>
        </w:trPr>
        <w:tc>
          <w:tcPr>
            <w:tcW w:w="7650" w:type="dxa"/>
            <w:shd w:val="clear" w:color="auto" w:fill="1F3763"/>
            <w:noWrap/>
          </w:tcPr>
          <w:p w14:paraId="79152877" w14:textId="5CC996B1" w:rsidR="0052387B" w:rsidRPr="00446C16" w:rsidRDefault="0052387B" w:rsidP="003D3D7F">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 xml:space="preserve">Faktori, kas ietekmē būvmateriālu </w:t>
            </w:r>
            <w:r w:rsidR="0019306B" w:rsidRPr="00446C16">
              <w:rPr>
                <w:rFonts w:cstheme="minorHAnsi"/>
                <w:b/>
                <w:bCs/>
                <w:color w:val="FFFFFF" w:themeColor="background1"/>
                <w:sz w:val="18"/>
                <w:szCs w:val="18"/>
              </w:rPr>
              <w:t>izmaksu izmaiņas</w:t>
            </w:r>
            <w:r w:rsidRPr="00446C16">
              <w:rPr>
                <w:rFonts w:cstheme="minorHAnsi"/>
                <w:b/>
                <w:bCs/>
                <w:color w:val="FFFFFF" w:themeColor="background1"/>
                <w:sz w:val="18"/>
                <w:szCs w:val="18"/>
              </w:rPr>
              <w:t xml:space="preserve"> tieši komplekso būvju ražošanas uzņēmumos</w:t>
            </w:r>
          </w:p>
        </w:tc>
        <w:tc>
          <w:tcPr>
            <w:tcW w:w="1701" w:type="dxa"/>
            <w:shd w:val="clear" w:color="auto" w:fill="1F3763"/>
            <w:noWrap/>
            <w:vAlign w:val="bottom"/>
          </w:tcPr>
          <w:p w14:paraId="3BBE4D66" w14:textId="77777777" w:rsidR="0052387B" w:rsidRPr="00446C16" w:rsidRDefault="0052387B" w:rsidP="003D3D7F">
            <w:pPr>
              <w:spacing w:before="0" w:after="0"/>
              <w:jc w:val="center"/>
              <w:rPr>
                <w:rFonts w:cstheme="minorHAnsi"/>
                <w:b/>
                <w:bCs/>
                <w:color w:val="FFFFFF" w:themeColor="background1"/>
                <w:sz w:val="18"/>
                <w:szCs w:val="18"/>
              </w:rPr>
            </w:pPr>
            <w:r w:rsidRPr="00446C16">
              <w:rPr>
                <w:rFonts w:cstheme="minorHAnsi"/>
                <w:b/>
                <w:bCs/>
                <w:color w:val="FFFFFF" w:themeColor="background1"/>
                <w:sz w:val="18"/>
                <w:szCs w:val="18"/>
              </w:rPr>
              <w:t>Vidējais vērtējums</w:t>
            </w:r>
          </w:p>
        </w:tc>
      </w:tr>
      <w:tr w:rsidR="0052387B" w:rsidRPr="00446C16" w14:paraId="448E86A2" w14:textId="77777777" w:rsidTr="003D3D7F">
        <w:trPr>
          <w:trHeight w:val="260"/>
        </w:trPr>
        <w:tc>
          <w:tcPr>
            <w:tcW w:w="7650" w:type="dxa"/>
            <w:shd w:val="clear" w:color="auto" w:fill="auto"/>
            <w:noWrap/>
            <w:hideMark/>
          </w:tcPr>
          <w:p w14:paraId="7B3E374B"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Būvmateriālu resursu pieprasījums</w:t>
            </w:r>
          </w:p>
        </w:tc>
        <w:tc>
          <w:tcPr>
            <w:tcW w:w="1701" w:type="dxa"/>
            <w:shd w:val="clear" w:color="auto" w:fill="auto"/>
            <w:noWrap/>
            <w:hideMark/>
          </w:tcPr>
          <w:p w14:paraId="1CDC2545"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7,75</w:t>
            </w:r>
          </w:p>
        </w:tc>
      </w:tr>
      <w:tr w:rsidR="0052387B" w:rsidRPr="00446C16" w14:paraId="3D299B53" w14:textId="77777777" w:rsidTr="003D3D7F">
        <w:trPr>
          <w:trHeight w:val="260"/>
        </w:trPr>
        <w:tc>
          <w:tcPr>
            <w:tcW w:w="7650" w:type="dxa"/>
            <w:shd w:val="clear" w:color="auto" w:fill="auto"/>
            <w:noWrap/>
            <w:hideMark/>
          </w:tcPr>
          <w:p w14:paraId="2ACFC208"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Kvalitātes prasības</w:t>
            </w:r>
          </w:p>
        </w:tc>
        <w:tc>
          <w:tcPr>
            <w:tcW w:w="1701" w:type="dxa"/>
            <w:shd w:val="clear" w:color="auto" w:fill="auto"/>
            <w:noWrap/>
            <w:hideMark/>
          </w:tcPr>
          <w:p w14:paraId="7F5363D3"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6,75</w:t>
            </w:r>
          </w:p>
        </w:tc>
      </w:tr>
      <w:tr w:rsidR="0052387B" w:rsidRPr="00446C16" w14:paraId="3D541FAE" w14:textId="77777777" w:rsidTr="003D3D7F">
        <w:trPr>
          <w:trHeight w:val="260"/>
        </w:trPr>
        <w:tc>
          <w:tcPr>
            <w:tcW w:w="7650" w:type="dxa"/>
            <w:shd w:val="clear" w:color="auto" w:fill="auto"/>
            <w:noWrap/>
            <w:hideMark/>
          </w:tcPr>
          <w:p w14:paraId="00389ACB" w14:textId="77777777" w:rsidR="0052387B" w:rsidRPr="00446C16" w:rsidRDefault="0052387B" w:rsidP="003D3D7F">
            <w:pPr>
              <w:spacing w:before="0" w:after="0"/>
              <w:rPr>
                <w:rFonts w:cstheme="minorHAnsi"/>
                <w:color w:val="000000"/>
                <w:sz w:val="18"/>
                <w:szCs w:val="18"/>
              </w:rPr>
            </w:pPr>
            <w:r w:rsidRPr="00446C16">
              <w:rPr>
                <w:rFonts w:cstheme="minorHAnsi"/>
                <w:color w:val="000000"/>
                <w:sz w:val="18"/>
                <w:szCs w:val="18"/>
              </w:rPr>
              <w:t>Kontrole</w:t>
            </w:r>
          </w:p>
        </w:tc>
        <w:tc>
          <w:tcPr>
            <w:tcW w:w="1701" w:type="dxa"/>
            <w:shd w:val="clear" w:color="auto" w:fill="auto"/>
            <w:noWrap/>
            <w:hideMark/>
          </w:tcPr>
          <w:p w14:paraId="169716D8" w14:textId="77777777" w:rsidR="0052387B" w:rsidRPr="00446C16" w:rsidRDefault="0052387B" w:rsidP="003D3D7F">
            <w:pPr>
              <w:spacing w:before="0" w:after="0"/>
              <w:jc w:val="center"/>
              <w:rPr>
                <w:rFonts w:cstheme="minorHAnsi"/>
                <w:color w:val="000000"/>
                <w:sz w:val="18"/>
                <w:szCs w:val="18"/>
              </w:rPr>
            </w:pPr>
            <w:r w:rsidRPr="00446C16">
              <w:rPr>
                <w:rFonts w:cstheme="minorHAnsi"/>
                <w:color w:val="000000"/>
                <w:sz w:val="18"/>
                <w:szCs w:val="18"/>
              </w:rPr>
              <w:t>6,00</w:t>
            </w:r>
          </w:p>
        </w:tc>
      </w:tr>
    </w:tbl>
    <w:p w14:paraId="5F503BCB" w14:textId="77777777" w:rsidR="0052387B" w:rsidRPr="00446C16" w:rsidRDefault="0052387B" w:rsidP="0052387B">
      <w:pPr>
        <w:jc w:val="center"/>
        <w:rPr>
          <w:sz w:val="20"/>
          <w:szCs w:val="18"/>
        </w:rPr>
      </w:pPr>
      <w:r w:rsidRPr="00446C16">
        <w:rPr>
          <w:sz w:val="20"/>
          <w:szCs w:val="18"/>
        </w:rPr>
        <w:t>Avots: Ekspertu intervijas</w:t>
      </w:r>
    </w:p>
    <w:p w14:paraId="2412C825" w14:textId="3CA6E496" w:rsidR="0052387B" w:rsidRPr="00446C16" w:rsidRDefault="0052387B">
      <w:pPr>
        <w:ind w:firstLine="851"/>
        <w:jc w:val="both"/>
      </w:pPr>
      <w:r w:rsidRPr="00446C16">
        <w:t xml:space="preserve">Apakšnozares ekspertu izmaksu </w:t>
      </w:r>
      <w:r w:rsidR="00B42C20" w:rsidRPr="00446C16">
        <w:t xml:space="preserve">izmaiņu </w:t>
      </w:r>
      <w:r w:rsidRPr="00446C16">
        <w:t xml:space="preserve">prognožu vērtējums pa resursu veidiem kopumā uzrāda strauju izmaksu </w:t>
      </w:r>
      <w:r w:rsidR="007E6482" w:rsidRPr="00446C16">
        <w:rPr>
          <w:rStyle w:val="st"/>
        </w:rPr>
        <w:t>izmaiņu</w:t>
      </w:r>
      <w:r w:rsidR="007E6482" w:rsidRPr="00446C16">
        <w:t xml:space="preserve"> </w:t>
      </w:r>
      <w:r w:rsidRPr="00446C16">
        <w:t>kāpumu līdz 2020</w:t>
      </w:r>
      <w:r w:rsidR="00100D75" w:rsidRPr="00446C16">
        <w:t>. gad</w:t>
      </w:r>
      <w:r w:rsidRPr="00446C16">
        <w:t xml:space="preserve">am, kam seko mērenāks pieaugums, strukturāli līdzinoties visas būvniecības izmaksu </w:t>
      </w:r>
      <w:r w:rsidR="00B42C20" w:rsidRPr="00446C16">
        <w:t xml:space="preserve">izmaiņu </w:t>
      </w:r>
      <w:r w:rsidRPr="00446C16">
        <w:t>prognozēm pa resursu veidiem, taču lielākā apmērā.</w:t>
      </w:r>
    </w:p>
    <w:p w14:paraId="7CBB8924" w14:textId="41892FFA" w:rsidR="006F60D2" w:rsidRPr="00446C16" w:rsidRDefault="006F60D2" w:rsidP="006F60D2">
      <w:pPr>
        <w:ind w:firstLine="851"/>
        <w:jc w:val="both"/>
      </w:pPr>
    </w:p>
    <w:p w14:paraId="47025413" w14:textId="3F6036F7" w:rsidR="006F60D2" w:rsidRPr="00446C16" w:rsidRDefault="006F60D2" w:rsidP="006F60D2">
      <w:pPr>
        <w:ind w:firstLine="851"/>
        <w:jc w:val="both"/>
      </w:pPr>
    </w:p>
    <w:p w14:paraId="6929884E" w14:textId="77777777" w:rsidR="006F60D2" w:rsidRPr="00446C16" w:rsidRDefault="006F60D2" w:rsidP="006F60D2">
      <w:pPr>
        <w:ind w:firstLine="851"/>
        <w:jc w:val="both"/>
        <w:rPr>
          <w:b/>
          <w:sz w:val="20"/>
          <w:szCs w:val="18"/>
        </w:rPr>
      </w:pPr>
    </w:p>
    <w:p w14:paraId="6872519B" w14:textId="77777777" w:rsidR="00784410" w:rsidRDefault="00784410" w:rsidP="0052387B">
      <w:pPr>
        <w:jc w:val="center"/>
        <w:rPr>
          <w:b/>
          <w:sz w:val="20"/>
          <w:szCs w:val="18"/>
        </w:rPr>
      </w:pPr>
    </w:p>
    <w:p w14:paraId="0F8B0A1D" w14:textId="62E1C66D" w:rsidR="0052387B" w:rsidRPr="00446C16" w:rsidRDefault="0052387B" w:rsidP="00784410">
      <w:pPr>
        <w:jc w:val="center"/>
        <w:rPr>
          <w:b/>
          <w:sz w:val="20"/>
          <w:szCs w:val="18"/>
        </w:rPr>
      </w:pPr>
      <w:r w:rsidRPr="00446C16">
        <w:rPr>
          <w:b/>
          <w:sz w:val="20"/>
          <w:szCs w:val="18"/>
        </w:rPr>
        <w:lastRenderedPageBreak/>
        <w:t xml:space="preserve">Attēls Nr. </w:t>
      </w:r>
      <w:r w:rsidR="00AE0D06">
        <w:rPr>
          <w:b/>
          <w:sz w:val="20"/>
          <w:szCs w:val="18"/>
        </w:rPr>
        <w:t>28</w:t>
      </w:r>
      <w:r w:rsidRPr="00446C16">
        <w:rPr>
          <w:b/>
          <w:sz w:val="20"/>
          <w:szCs w:val="18"/>
        </w:rPr>
        <w:t xml:space="preserve">. Būvniecības izmaksu izmaiņu prognoze pa resursu veidiem komplekso būvju apakšnozarē, </w:t>
      </w:r>
      <w:r w:rsidRPr="00446C16">
        <w:rPr>
          <w:b/>
          <w:sz w:val="20"/>
        </w:rPr>
        <w:t>kumulatīvās izmaiņas pret 2018. gadu, %</w:t>
      </w:r>
    </w:p>
    <w:p w14:paraId="640FB79A" w14:textId="77777777" w:rsidR="0052387B" w:rsidRPr="00446C16" w:rsidRDefault="0052387B" w:rsidP="0052387B">
      <w:pPr>
        <w:jc w:val="center"/>
      </w:pPr>
      <w:r w:rsidRPr="00446C16">
        <w:rPr>
          <w:noProof/>
          <w:lang w:val="en-US"/>
        </w:rPr>
        <w:drawing>
          <wp:inline distT="0" distB="0" distL="0" distR="0" wp14:anchorId="1737F1B8" wp14:editId="0F020F35">
            <wp:extent cx="4476115" cy="2647507"/>
            <wp:effectExtent l="0" t="0" r="635" b="635"/>
            <wp:docPr id="1006675205" name="Attēls 1006675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86552" cy="2653680"/>
                    </a:xfrm>
                    <a:prstGeom prst="rect">
                      <a:avLst/>
                    </a:prstGeom>
                    <a:noFill/>
                  </pic:spPr>
                </pic:pic>
              </a:graphicData>
            </a:graphic>
          </wp:inline>
        </w:drawing>
      </w:r>
    </w:p>
    <w:p w14:paraId="4A036A35" w14:textId="5F7199BF" w:rsidR="0052387B" w:rsidRPr="00446C16" w:rsidRDefault="0052387B" w:rsidP="0052387B">
      <w:pPr>
        <w:spacing w:before="100" w:after="200" w:line="276" w:lineRule="auto"/>
        <w:jc w:val="center"/>
        <w:rPr>
          <w:sz w:val="20"/>
        </w:rPr>
      </w:pPr>
      <w:r w:rsidRPr="00446C16">
        <w:rPr>
          <w:sz w:val="20"/>
        </w:rPr>
        <w:t>Avots: CSP vēsturiskie dati līdz 2018. gadam (ieskaitot) un autoru veikti aprēķini, balstoties uz ekspertu vērtējumiem un izstrādātajiem modeļiem - prognoze 2019.-2023. gad</w:t>
      </w:r>
      <w:r w:rsidR="00273FBA" w:rsidRPr="00446C16">
        <w:rPr>
          <w:sz w:val="20"/>
        </w:rPr>
        <w:t>ie</w:t>
      </w:r>
      <w:r w:rsidRPr="00446C16">
        <w:rPr>
          <w:sz w:val="20"/>
        </w:rPr>
        <w:t>m</w:t>
      </w:r>
    </w:p>
    <w:p w14:paraId="410F139D" w14:textId="77777777" w:rsidR="0052387B" w:rsidRPr="00446C16" w:rsidRDefault="0052387B" w:rsidP="0052387B">
      <w:pPr>
        <w:pStyle w:val="Heading2"/>
      </w:pPr>
      <w:bookmarkStart w:id="795" w:name="_Toc13492841"/>
      <w:bookmarkStart w:id="796" w:name="_Toc13574881"/>
      <w:bookmarkStart w:id="797" w:name="_Toc13576668"/>
      <w:bookmarkStart w:id="798" w:name="_Toc13580421"/>
      <w:bookmarkStart w:id="799" w:name="_Toc13673603"/>
      <w:bookmarkStart w:id="800" w:name="_Toc13673919"/>
      <w:bookmarkStart w:id="801" w:name="_Toc23163511"/>
      <w:bookmarkEnd w:id="795"/>
      <w:bookmarkEnd w:id="796"/>
      <w:bookmarkEnd w:id="797"/>
      <w:bookmarkEnd w:id="798"/>
      <w:bookmarkEnd w:id="799"/>
      <w:bookmarkEnd w:id="800"/>
      <w:r w:rsidRPr="00446C16">
        <w:t>Apkopojums izmaksu izmaiņu prognozēm pa apakšnozarēm</w:t>
      </w:r>
      <w:bookmarkEnd w:id="801"/>
    </w:p>
    <w:p w14:paraId="3FD5C372" w14:textId="53E95AEB" w:rsidR="0052387B" w:rsidRPr="00446C16" w:rsidRDefault="0052387B" w:rsidP="0052387B">
      <w:pPr>
        <w:ind w:firstLine="851"/>
        <w:jc w:val="both"/>
        <w:rPr>
          <w:rStyle w:val="st"/>
        </w:rPr>
      </w:pPr>
      <w:r w:rsidRPr="00446C16">
        <w:rPr>
          <w:rStyle w:val="st"/>
        </w:rPr>
        <w:t xml:space="preserve">Vērtējot izmaksu </w:t>
      </w:r>
      <w:r w:rsidR="0019306B" w:rsidRPr="00446C16">
        <w:rPr>
          <w:rStyle w:val="st"/>
        </w:rPr>
        <w:t xml:space="preserve">izmaiņu </w:t>
      </w:r>
      <w:r w:rsidRPr="00446C16">
        <w:rPr>
          <w:rStyle w:val="st"/>
        </w:rPr>
        <w:t>pieaugumu pa būvniecības apakšnozarēm, vislielākais kāpums prognozējams nedzīvojamajām ēkām 21,1% un kompleksajām būvēm 21,7%, kumulatīvi 2023</w:t>
      </w:r>
      <w:r w:rsidR="00100D75" w:rsidRPr="00446C16">
        <w:rPr>
          <w:rStyle w:val="st"/>
        </w:rPr>
        <w:t>. gad</w:t>
      </w:r>
      <w:r w:rsidRPr="00446C16">
        <w:rPr>
          <w:rStyle w:val="st"/>
        </w:rPr>
        <w:t>ā, salīdzinot ar 2018</w:t>
      </w:r>
      <w:r w:rsidR="00100D75" w:rsidRPr="00446C16">
        <w:rPr>
          <w:rStyle w:val="st"/>
        </w:rPr>
        <w:t>. gad</w:t>
      </w:r>
      <w:r w:rsidRPr="00446C16">
        <w:rPr>
          <w:rStyle w:val="st"/>
        </w:rPr>
        <w:t xml:space="preserve">a līmeni (skatīt attēlu Nr. </w:t>
      </w:r>
      <w:r w:rsidR="00AE0D06">
        <w:rPr>
          <w:rStyle w:val="st"/>
        </w:rPr>
        <w:t>29</w:t>
      </w:r>
      <w:r w:rsidRPr="00446C16">
        <w:rPr>
          <w:rStyle w:val="st"/>
        </w:rPr>
        <w:t>).</w:t>
      </w:r>
    </w:p>
    <w:p w14:paraId="06B7B2C7" w14:textId="58ED7FF3" w:rsidR="0052387B" w:rsidRPr="00446C16" w:rsidRDefault="0052387B" w:rsidP="00F411EE">
      <w:pPr>
        <w:jc w:val="center"/>
        <w:rPr>
          <w:b/>
          <w:sz w:val="20"/>
        </w:rPr>
      </w:pPr>
      <w:r w:rsidRPr="00446C16">
        <w:rPr>
          <w:b/>
          <w:sz w:val="20"/>
          <w:szCs w:val="18"/>
        </w:rPr>
        <w:t xml:space="preserve">Attēls Nr. </w:t>
      </w:r>
      <w:r w:rsidR="00AE0D06">
        <w:rPr>
          <w:b/>
          <w:sz w:val="20"/>
          <w:szCs w:val="18"/>
        </w:rPr>
        <w:t>29</w:t>
      </w:r>
      <w:r w:rsidRPr="00446C16">
        <w:rPr>
          <w:b/>
          <w:sz w:val="20"/>
          <w:szCs w:val="18"/>
        </w:rPr>
        <w:t xml:space="preserve">. </w:t>
      </w:r>
      <w:r w:rsidRPr="00446C16">
        <w:rPr>
          <w:b/>
          <w:sz w:val="20"/>
        </w:rPr>
        <w:t>Būvniecības izmaksu izmaiņas līdz 2018</w:t>
      </w:r>
      <w:r w:rsidR="00100D75" w:rsidRPr="00446C16">
        <w:rPr>
          <w:b/>
          <w:sz w:val="20"/>
        </w:rPr>
        <w:t>. gad</w:t>
      </w:r>
      <w:r w:rsidRPr="00446C16">
        <w:rPr>
          <w:b/>
          <w:sz w:val="20"/>
        </w:rPr>
        <w:t>am un prognozes pa būvniecības apakšnozarēm no 2019. līdz 2023. gadam, kumulatīvās izmaiņas pret 2018. gadu, %</w:t>
      </w:r>
    </w:p>
    <w:p w14:paraId="50521EE9" w14:textId="5ED5E134" w:rsidR="0052387B" w:rsidRPr="00446C16" w:rsidRDefault="0064098F" w:rsidP="0052387B">
      <w:pPr>
        <w:jc w:val="center"/>
        <w:rPr>
          <w:bCs/>
          <w:sz w:val="20"/>
          <w:szCs w:val="18"/>
        </w:rPr>
      </w:pPr>
      <w:r w:rsidRPr="0064098F">
        <w:drawing>
          <wp:inline distT="0" distB="0" distL="0" distR="0" wp14:anchorId="4E2D633A" wp14:editId="0C2B1763">
            <wp:extent cx="5050465" cy="3670954"/>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066956" cy="3682941"/>
                    </a:xfrm>
                    <a:prstGeom prst="rect">
                      <a:avLst/>
                    </a:prstGeom>
                  </pic:spPr>
                </pic:pic>
              </a:graphicData>
            </a:graphic>
          </wp:inline>
        </w:drawing>
      </w:r>
    </w:p>
    <w:p w14:paraId="7978A755" w14:textId="2D778759" w:rsidR="0052387B" w:rsidRPr="00446C16" w:rsidRDefault="0052387B" w:rsidP="0052387B">
      <w:pPr>
        <w:jc w:val="center"/>
        <w:rPr>
          <w:sz w:val="20"/>
        </w:rPr>
      </w:pPr>
      <w:r w:rsidRPr="00446C16">
        <w:rPr>
          <w:sz w:val="20"/>
        </w:rPr>
        <w:t>Avots: CSP vēsturiskie dati līdz 2018. gadam (ieskaitot) un autoru veikti aprēķini, balstoties uz ekspertu vērtējumiem un izstrādātajiem modeļiem - prognoze 2019.-2023. gad</w:t>
      </w:r>
      <w:r w:rsidR="00B91E65" w:rsidRPr="00446C16">
        <w:rPr>
          <w:sz w:val="20"/>
        </w:rPr>
        <w:t>ie</w:t>
      </w:r>
      <w:r w:rsidRPr="00446C16">
        <w:rPr>
          <w:sz w:val="20"/>
        </w:rPr>
        <w:t>m</w:t>
      </w:r>
    </w:p>
    <w:p w14:paraId="24B86E27" w14:textId="6329DEFF" w:rsidR="0052387B" w:rsidRPr="00446C16" w:rsidRDefault="0052387B" w:rsidP="0052387B">
      <w:pPr>
        <w:ind w:firstLine="851"/>
        <w:jc w:val="both"/>
        <w:rPr>
          <w:rStyle w:val="st"/>
        </w:rPr>
      </w:pPr>
      <w:r w:rsidRPr="00446C16">
        <w:rPr>
          <w:rStyle w:val="st"/>
        </w:rPr>
        <w:lastRenderedPageBreak/>
        <w:t xml:space="preserve">Mērens izmaksu </w:t>
      </w:r>
      <w:r w:rsidR="0019306B" w:rsidRPr="00446C16">
        <w:rPr>
          <w:rStyle w:val="st"/>
        </w:rPr>
        <w:t xml:space="preserve">izmaiņu </w:t>
      </w:r>
      <w:r w:rsidRPr="00446C16">
        <w:rPr>
          <w:rStyle w:val="st"/>
        </w:rPr>
        <w:t>pieaugums līdz kumulatīvam 14,5% no 2018</w:t>
      </w:r>
      <w:r w:rsidR="00100D75" w:rsidRPr="00446C16">
        <w:rPr>
          <w:rStyle w:val="st"/>
        </w:rPr>
        <w:t>. gad</w:t>
      </w:r>
      <w:r w:rsidRPr="00446C16">
        <w:rPr>
          <w:rStyle w:val="st"/>
        </w:rPr>
        <w:t>a līmeņa prognozējams dzīvojamām ēkām. Savukārt pazemes maģistrālo cauruļvadu izmaks</w:t>
      </w:r>
      <w:r w:rsidR="00055789" w:rsidRPr="00446C16">
        <w:rPr>
          <w:rStyle w:val="st"/>
        </w:rPr>
        <w:t>u izmaiņas</w:t>
      </w:r>
      <w:r w:rsidRPr="00446C16">
        <w:rPr>
          <w:rStyle w:val="st"/>
        </w:rPr>
        <w:t xml:space="preserve"> pēc kāpuma 2020</w:t>
      </w:r>
      <w:r w:rsidR="00100D75" w:rsidRPr="00446C16">
        <w:rPr>
          <w:rStyle w:val="st"/>
        </w:rPr>
        <w:t>. gad</w:t>
      </w:r>
      <w:r w:rsidRPr="00446C16">
        <w:rPr>
          <w:rStyle w:val="st"/>
        </w:rPr>
        <w:t>ā</w:t>
      </w:r>
      <w:r w:rsidR="00055789" w:rsidRPr="00446C16">
        <w:rPr>
          <w:rStyle w:val="st"/>
        </w:rPr>
        <w:t>,</w:t>
      </w:r>
      <w:r w:rsidRPr="00446C16">
        <w:rPr>
          <w:rStyle w:val="st"/>
        </w:rPr>
        <w:t xml:space="preserve"> pakāpeniski samazināsies. </w:t>
      </w:r>
    </w:p>
    <w:p w14:paraId="526694D3" w14:textId="7C8E4CE1" w:rsidR="0052387B" w:rsidRPr="00446C16" w:rsidRDefault="0052387B" w:rsidP="0052387B">
      <w:pPr>
        <w:ind w:firstLine="851"/>
        <w:jc w:val="both"/>
        <w:rPr>
          <w:rFonts w:cs="Arial"/>
          <w:color w:val="222222"/>
        </w:rPr>
      </w:pPr>
      <w:r w:rsidRPr="00446C16">
        <w:rPr>
          <w:rStyle w:val="st"/>
        </w:rPr>
        <w:t xml:space="preserve">Savukārt, pazemes maģistrālo cauruļvadu, pārējās </w:t>
      </w:r>
      <w:proofErr w:type="spellStart"/>
      <w:r w:rsidRPr="00446C16">
        <w:rPr>
          <w:rStyle w:val="st"/>
        </w:rPr>
        <w:t>inženierbūvniecības</w:t>
      </w:r>
      <w:proofErr w:type="spellEnd"/>
      <w:r w:rsidRPr="00446C16">
        <w:rPr>
          <w:rStyle w:val="st"/>
        </w:rPr>
        <w:t xml:space="preserve"> un transporta </w:t>
      </w:r>
      <w:proofErr w:type="spellStart"/>
      <w:r w:rsidRPr="00446C16">
        <w:rPr>
          <w:rStyle w:val="st"/>
        </w:rPr>
        <w:t>apakšnozaru</w:t>
      </w:r>
      <w:proofErr w:type="spellEnd"/>
      <w:r w:rsidRPr="00446C16">
        <w:rPr>
          <w:rStyle w:val="st"/>
        </w:rPr>
        <w:t xml:space="preserve"> izmaks</w:t>
      </w:r>
      <w:r w:rsidR="00055789" w:rsidRPr="00446C16">
        <w:rPr>
          <w:rStyle w:val="st"/>
        </w:rPr>
        <w:t xml:space="preserve">u izmaiņu </w:t>
      </w:r>
      <w:r w:rsidRPr="00446C16">
        <w:rPr>
          <w:rStyle w:val="st"/>
        </w:rPr>
        <w:t>prognozes liecina par svārstībām 5% robežās visā prognožu periodā attiecībā pret 2018.</w:t>
      </w:r>
      <w:r w:rsidR="00BA00E8" w:rsidRPr="00446C16">
        <w:rPr>
          <w:rStyle w:val="st"/>
        </w:rPr>
        <w:t xml:space="preserve"> </w:t>
      </w:r>
      <w:r w:rsidRPr="00446C16">
        <w:rPr>
          <w:rStyle w:val="st"/>
        </w:rPr>
        <w:t>gada līmeni.</w:t>
      </w:r>
    </w:p>
    <w:p w14:paraId="20BE9DEF" w14:textId="121F965D" w:rsidR="00364CA7" w:rsidRPr="00446C16" w:rsidRDefault="00364CA7" w:rsidP="00895643">
      <w:pPr>
        <w:ind w:firstLine="851"/>
        <w:jc w:val="both"/>
      </w:pPr>
    </w:p>
    <w:bookmarkEnd w:id="17"/>
    <w:p w14:paraId="75A84581" w14:textId="77777777" w:rsidR="00DE55B8" w:rsidRPr="00446C16" w:rsidRDefault="00DE55B8">
      <w:pPr>
        <w:spacing w:before="100" w:after="200" w:line="276" w:lineRule="auto"/>
        <w:rPr>
          <w:caps/>
          <w:sz w:val="30"/>
          <w:szCs w:val="30"/>
        </w:rPr>
        <w:sectPr w:rsidR="00DE55B8" w:rsidRPr="00446C16" w:rsidSect="00622874">
          <w:pgSz w:w="11906" w:h="16838"/>
          <w:pgMar w:top="1418" w:right="851" w:bottom="0" w:left="1701" w:header="709" w:footer="709" w:gutter="0"/>
          <w:cols w:space="708"/>
          <w:docGrid w:linePitch="360"/>
        </w:sectPr>
      </w:pPr>
      <w:r w:rsidRPr="00446C16">
        <w:rPr>
          <w:caps/>
          <w:sz w:val="30"/>
          <w:szCs w:val="30"/>
        </w:rPr>
        <w:br w:type="page"/>
      </w:r>
    </w:p>
    <w:p w14:paraId="5F04B1B1" w14:textId="285A8EAF" w:rsidR="00DE55B8" w:rsidRPr="00446C16" w:rsidRDefault="00DE55B8" w:rsidP="00DE55B8">
      <w:pPr>
        <w:pStyle w:val="Heading1"/>
        <w:rPr>
          <w:sz w:val="30"/>
          <w:szCs w:val="30"/>
        </w:rPr>
      </w:pPr>
      <w:bookmarkStart w:id="802" w:name="_Toc23163512"/>
      <w:r w:rsidRPr="00446C16">
        <w:rPr>
          <w:caps w:val="0"/>
          <w:sz w:val="30"/>
          <w:szCs w:val="30"/>
        </w:rPr>
        <w:lastRenderedPageBreak/>
        <w:t>GALVENIE REZULTĀTI</w:t>
      </w:r>
      <w:bookmarkEnd w:id="802"/>
    </w:p>
    <w:p w14:paraId="441311AB" w14:textId="63C50E2D" w:rsidR="00781635" w:rsidRPr="00446C16" w:rsidRDefault="00220923" w:rsidP="00895643">
      <w:pPr>
        <w:pStyle w:val="ListParagraph"/>
        <w:numPr>
          <w:ilvl w:val="0"/>
          <w:numId w:val="31"/>
        </w:numPr>
        <w:jc w:val="both"/>
        <w:rPr>
          <w:rFonts w:cstheme="minorHAnsi"/>
          <w:szCs w:val="22"/>
        </w:rPr>
      </w:pPr>
      <w:r w:rsidRPr="00446C16">
        <w:rPr>
          <w:rFonts w:cstheme="minorHAnsi"/>
          <w:b/>
          <w:bCs/>
          <w:szCs w:val="22"/>
        </w:rPr>
        <w:t>Kopēj</w:t>
      </w:r>
      <w:r w:rsidR="007D58DF" w:rsidRPr="00446C16">
        <w:rPr>
          <w:rFonts w:cstheme="minorHAnsi"/>
          <w:b/>
          <w:bCs/>
          <w:szCs w:val="22"/>
        </w:rPr>
        <w:t>ais</w:t>
      </w:r>
      <w:r w:rsidRPr="00446C16">
        <w:rPr>
          <w:rFonts w:cstheme="minorHAnsi"/>
          <w:b/>
          <w:bCs/>
          <w:szCs w:val="22"/>
        </w:rPr>
        <w:t xml:space="preserve"> būvniecības produkcijas apjom</w:t>
      </w:r>
      <w:r w:rsidR="007D58DF" w:rsidRPr="00446C16">
        <w:rPr>
          <w:rFonts w:cstheme="minorHAnsi"/>
          <w:b/>
          <w:bCs/>
          <w:szCs w:val="22"/>
        </w:rPr>
        <w:t>s</w:t>
      </w:r>
      <w:r w:rsidRPr="00446C16">
        <w:rPr>
          <w:rFonts w:cstheme="minorHAnsi"/>
          <w:b/>
          <w:bCs/>
          <w:szCs w:val="22"/>
        </w:rPr>
        <w:t xml:space="preserve"> </w:t>
      </w:r>
      <w:r w:rsidRPr="00446C16">
        <w:rPr>
          <w:rFonts w:cstheme="minorHAnsi"/>
          <w:szCs w:val="22"/>
        </w:rPr>
        <w:t xml:space="preserve">pret iepriekšējo gadu, 2019. gadā </w:t>
      </w:r>
      <w:r w:rsidR="007D58DF" w:rsidRPr="00446C16">
        <w:rPr>
          <w:rFonts w:cstheme="minorHAnsi"/>
          <w:szCs w:val="22"/>
        </w:rPr>
        <w:t>pieaugs par</w:t>
      </w:r>
      <w:r w:rsidRPr="00446C16">
        <w:rPr>
          <w:rFonts w:cstheme="minorHAnsi"/>
          <w:szCs w:val="22"/>
        </w:rPr>
        <w:t xml:space="preserve"> 12,5%, 2020. gadā </w:t>
      </w:r>
      <w:r w:rsidR="007D58DF" w:rsidRPr="00446C16">
        <w:rPr>
          <w:rFonts w:cstheme="minorHAnsi"/>
          <w:szCs w:val="22"/>
        </w:rPr>
        <w:t xml:space="preserve">par </w:t>
      </w:r>
      <w:r w:rsidRPr="00446C16">
        <w:rPr>
          <w:rFonts w:cstheme="minorHAnsi"/>
          <w:szCs w:val="22"/>
        </w:rPr>
        <w:t xml:space="preserve">14,8%, 2021. gadā </w:t>
      </w:r>
      <w:r w:rsidR="007D58DF" w:rsidRPr="00446C16">
        <w:rPr>
          <w:rFonts w:cstheme="minorHAnsi"/>
          <w:szCs w:val="22"/>
        </w:rPr>
        <w:t xml:space="preserve">par </w:t>
      </w:r>
      <w:r w:rsidRPr="00446C16">
        <w:rPr>
          <w:rFonts w:cstheme="minorHAnsi"/>
          <w:szCs w:val="22"/>
        </w:rPr>
        <w:t xml:space="preserve">4,1%, 2022. gadā </w:t>
      </w:r>
      <w:r w:rsidR="007D58DF" w:rsidRPr="00446C16">
        <w:rPr>
          <w:rFonts w:cstheme="minorHAnsi"/>
          <w:szCs w:val="22"/>
        </w:rPr>
        <w:t xml:space="preserve">samazināsies par </w:t>
      </w:r>
      <w:r w:rsidRPr="00446C16">
        <w:rPr>
          <w:rFonts w:cstheme="minorHAnsi"/>
          <w:szCs w:val="22"/>
        </w:rPr>
        <w:t>-9,2% un 2023. gadā pieaug</w:t>
      </w:r>
      <w:r w:rsidR="007D58DF" w:rsidRPr="00446C16">
        <w:rPr>
          <w:rFonts w:cstheme="minorHAnsi"/>
          <w:szCs w:val="22"/>
        </w:rPr>
        <w:t>s</w:t>
      </w:r>
      <w:r w:rsidRPr="00446C16">
        <w:rPr>
          <w:rFonts w:cstheme="minorHAnsi"/>
          <w:szCs w:val="22"/>
        </w:rPr>
        <w:t xml:space="preserve"> par 2,2%. </w:t>
      </w:r>
      <w:r w:rsidR="00A64D58" w:rsidRPr="00446C16">
        <w:rPr>
          <w:rFonts w:cstheme="minorHAnsi"/>
          <w:szCs w:val="22"/>
        </w:rPr>
        <w:t>K</w:t>
      </w:r>
      <w:r w:rsidR="00154778" w:rsidRPr="00446C16">
        <w:rPr>
          <w:rFonts w:cstheme="minorHAnsi"/>
          <w:szCs w:val="22"/>
        </w:rPr>
        <w:t>umulatīvās k</w:t>
      </w:r>
      <w:r w:rsidR="00A64D58" w:rsidRPr="00446C16">
        <w:rPr>
          <w:rFonts w:cstheme="minorHAnsi"/>
          <w:szCs w:val="22"/>
        </w:rPr>
        <w:t>opējais būvniecības produkcijas apjom</w:t>
      </w:r>
      <w:r w:rsidR="00154778" w:rsidRPr="00446C16">
        <w:rPr>
          <w:rFonts w:cstheme="minorHAnsi"/>
          <w:szCs w:val="22"/>
        </w:rPr>
        <w:t>a</w:t>
      </w:r>
      <w:r w:rsidR="000A1B90" w:rsidRPr="00446C16">
        <w:rPr>
          <w:rFonts w:cstheme="minorHAnsi"/>
          <w:szCs w:val="22"/>
        </w:rPr>
        <w:t xml:space="preserve"> izmaiņas</w:t>
      </w:r>
      <w:r w:rsidR="00A64D58" w:rsidRPr="00446C16">
        <w:rPr>
          <w:rFonts w:cstheme="minorHAnsi"/>
          <w:szCs w:val="22"/>
        </w:rPr>
        <w:t xml:space="preserve"> </w:t>
      </w:r>
      <w:r w:rsidR="000A1B90" w:rsidRPr="00446C16">
        <w:rPr>
          <w:rFonts w:cstheme="minorHAnsi"/>
          <w:szCs w:val="22"/>
        </w:rPr>
        <w:t xml:space="preserve">2023. gadā sasniegs 24,7% pieaugumu </w:t>
      </w:r>
      <w:r w:rsidR="00A64D58" w:rsidRPr="00446C16">
        <w:rPr>
          <w:rFonts w:cstheme="minorHAnsi"/>
          <w:szCs w:val="22"/>
        </w:rPr>
        <w:t>pret 2018</w:t>
      </w:r>
      <w:r w:rsidR="00100D75" w:rsidRPr="00446C16">
        <w:rPr>
          <w:rFonts w:cstheme="minorHAnsi"/>
          <w:szCs w:val="22"/>
        </w:rPr>
        <w:t>. gad</w:t>
      </w:r>
      <w:r w:rsidR="00A64D58" w:rsidRPr="00446C16">
        <w:rPr>
          <w:rFonts w:cstheme="minorHAnsi"/>
          <w:szCs w:val="22"/>
        </w:rPr>
        <w:t xml:space="preserve">u. </w:t>
      </w:r>
    </w:p>
    <w:p w14:paraId="4B54081C" w14:textId="77777777" w:rsidR="00781635" w:rsidRPr="00446C16" w:rsidRDefault="00781635" w:rsidP="00895643">
      <w:pPr>
        <w:pStyle w:val="ListParagraph"/>
        <w:ind w:left="0"/>
      </w:pPr>
    </w:p>
    <w:p w14:paraId="13C57068" w14:textId="2796726A" w:rsidR="00594393" w:rsidRPr="00446C16" w:rsidRDefault="00B63269" w:rsidP="00895643">
      <w:pPr>
        <w:pStyle w:val="ListParagraph"/>
        <w:numPr>
          <w:ilvl w:val="0"/>
          <w:numId w:val="31"/>
        </w:numPr>
        <w:contextualSpacing w:val="0"/>
        <w:jc w:val="both"/>
        <w:rPr>
          <w:rFonts w:cstheme="minorHAnsi"/>
          <w:szCs w:val="22"/>
        </w:rPr>
      </w:pPr>
      <w:r w:rsidRPr="00446C16">
        <w:rPr>
          <w:rFonts w:cstheme="minorHAnsi"/>
          <w:b/>
          <w:bCs/>
          <w:szCs w:val="22"/>
        </w:rPr>
        <w:t>Kopējās būvniecības izmaksu izmaiņas</w:t>
      </w:r>
      <w:r w:rsidRPr="00446C16">
        <w:rPr>
          <w:rFonts w:cstheme="minorHAnsi"/>
          <w:szCs w:val="22"/>
        </w:rPr>
        <w:t xml:space="preserve"> pret iepriekšējo gadu, 2019. gadā </w:t>
      </w:r>
      <w:r w:rsidR="007D58DF" w:rsidRPr="00446C16">
        <w:rPr>
          <w:rFonts w:cstheme="minorHAnsi"/>
          <w:szCs w:val="22"/>
        </w:rPr>
        <w:t>pieaugs par</w:t>
      </w:r>
      <w:r w:rsidRPr="00446C16">
        <w:rPr>
          <w:rFonts w:cstheme="minorHAnsi"/>
          <w:szCs w:val="22"/>
        </w:rPr>
        <w:t xml:space="preserve"> 4,9%, 2020. gadā </w:t>
      </w:r>
      <w:r w:rsidR="007D58DF" w:rsidRPr="00446C16">
        <w:rPr>
          <w:rFonts w:cstheme="minorHAnsi"/>
          <w:szCs w:val="22"/>
        </w:rPr>
        <w:t xml:space="preserve">par </w:t>
      </w:r>
      <w:r w:rsidRPr="00446C16">
        <w:rPr>
          <w:rFonts w:cstheme="minorHAnsi"/>
          <w:szCs w:val="22"/>
        </w:rPr>
        <w:t xml:space="preserve">4,4%, 2021. gadā </w:t>
      </w:r>
      <w:r w:rsidR="007D58DF" w:rsidRPr="00446C16">
        <w:rPr>
          <w:rFonts w:cstheme="minorHAnsi"/>
          <w:szCs w:val="22"/>
        </w:rPr>
        <w:t xml:space="preserve">par </w:t>
      </w:r>
      <w:r w:rsidRPr="00446C16">
        <w:rPr>
          <w:rFonts w:cstheme="minorHAnsi"/>
          <w:szCs w:val="22"/>
        </w:rPr>
        <w:t xml:space="preserve">1,5%, 2022. gadā </w:t>
      </w:r>
      <w:r w:rsidR="007D58DF" w:rsidRPr="00446C16">
        <w:rPr>
          <w:rFonts w:cstheme="minorHAnsi"/>
          <w:szCs w:val="22"/>
        </w:rPr>
        <w:t xml:space="preserve">samazināsies </w:t>
      </w:r>
      <w:proofErr w:type="spellStart"/>
      <w:r w:rsidR="007D58DF" w:rsidRPr="00446C16">
        <w:rPr>
          <w:rFonts w:cstheme="minorHAnsi"/>
          <w:szCs w:val="22"/>
        </w:rPr>
        <w:t>pr</w:t>
      </w:r>
      <w:proofErr w:type="spellEnd"/>
      <w:r w:rsidR="007D58DF" w:rsidRPr="00446C16">
        <w:rPr>
          <w:rFonts w:cstheme="minorHAnsi"/>
          <w:szCs w:val="22"/>
        </w:rPr>
        <w:t xml:space="preserve"> </w:t>
      </w:r>
      <w:r w:rsidRPr="00446C16">
        <w:rPr>
          <w:rFonts w:cstheme="minorHAnsi"/>
          <w:szCs w:val="22"/>
        </w:rPr>
        <w:t xml:space="preserve">-1,1% un 2023. gadā pieaugu par 0,7%. </w:t>
      </w:r>
      <w:r w:rsidR="00594393" w:rsidRPr="00446C16">
        <w:rPr>
          <w:rFonts w:cstheme="minorHAnsi"/>
          <w:szCs w:val="22"/>
        </w:rPr>
        <w:t>K</w:t>
      </w:r>
      <w:r w:rsidR="000A1B90" w:rsidRPr="00446C16">
        <w:rPr>
          <w:rFonts w:cstheme="minorHAnsi"/>
          <w:szCs w:val="22"/>
        </w:rPr>
        <w:t>umulatīvās k</w:t>
      </w:r>
      <w:r w:rsidR="00594393" w:rsidRPr="00446C16">
        <w:rPr>
          <w:rFonts w:cstheme="minorHAnsi"/>
          <w:szCs w:val="22"/>
        </w:rPr>
        <w:t>opējās būvniecības izmaks</w:t>
      </w:r>
      <w:r w:rsidR="00055789" w:rsidRPr="00446C16">
        <w:rPr>
          <w:rFonts w:cstheme="minorHAnsi"/>
          <w:szCs w:val="22"/>
        </w:rPr>
        <w:t>u izmaiņas</w:t>
      </w:r>
      <w:r w:rsidR="00594393" w:rsidRPr="00446C16">
        <w:rPr>
          <w:rFonts w:cstheme="minorHAnsi"/>
          <w:szCs w:val="22"/>
        </w:rPr>
        <w:t xml:space="preserve"> </w:t>
      </w:r>
      <w:r w:rsidR="000A1B90" w:rsidRPr="00446C16">
        <w:rPr>
          <w:rFonts w:cstheme="minorHAnsi"/>
          <w:szCs w:val="22"/>
        </w:rPr>
        <w:t xml:space="preserve">2023. gadā sasniegs 10,7% pieaugumu </w:t>
      </w:r>
      <w:r w:rsidR="00594393" w:rsidRPr="00446C16">
        <w:rPr>
          <w:rFonts w:cstheme="minorHAnsi"/>
          <w:szCs w:val="22"/>
        </w:rPr>
        <w:t xml:space="preserve">pret </w:t>
      </w:r>
      <w:r w:rsidR="00BA0282" w:rsidRPr="00446C16">
        <w:rPr>
          <w:rFonts w:cstheme="minorHAnsi"/>
          <w:szCs w:val="22"/>
        </w:rPr>
        <w:t>2018</w:t>
      </w:r>
      <w:r w:rsidR="00100D75" w:rsidRPr="00446C16">
        <w:rPr>
          <w:rFonts w:cstheme="minorHAnsi"/>
          <w:szCs w:val="22"/>
        </w:rPr>
        <w:t>. gad</w:t>
      </w:r>
      <w:r w:rsidR="00BA0282" w:rsidRPr="00446C16">
        <w:rPr>
          <w:rFonts w:cstheme="minorHAnsi"/>
          <w:szCs w:val="22"/>
        </w:rPr>
        <w:t>u</w:t>
      </w:r>
      <w:r w:rsidR="00594393" w:rsidRPr="00446C16">
        <w:rPr>
          <w:rFonts w:cstheme="minorHAnsi"/>
          <w:szCs w:val="22"/>
        </w:rPr>
        <w:t xml:space="preserve">. </w:t>
      </w:r>
    </w:p>
    <w:p w14:paraId="1AA0CBF5" w14:textId="51B00B12" w:rsidR="00A37961" w:rsidRPr="00446C16" w:rsidRDefault="00A37961" w:rsidP="00895643">
      <w:pPr>
        <w:pStyle w:val="ListParagraph"/>
        <w:numPr>
          <w:ilvl w:val="0"/>
          <w:numId w:val="31"/>
        </w:numPr>
        <w:contextualSpacing w:val="0"/>
        <w:jc w:val="both"/>
        <w:rPr>
          <w:rFonts w:cstheme="minorHAnsi"/>
          <w:szCs w:val="22"/>
        </w:rPr>
      </w:pPr>
      <w:r w:rsidRPr="00446C16">
        <w:rPr>
          <w:rFonts w:cstheme="minorHAnsi"/>
          <w:szCs w:val="22"/>
        </w:rPr>
        <w:t xml:space="preserve">Ekspertu vērtējumā būtiskākie </w:t>
      </w:r>
      <w:r w:rsidRPr="00446C16">
        <w:rPr>
          <w:rFonts w:cstheme="minorHAnsi"/>
          <w:b/>
          <w:bCs/>
          <w:szCs w:val="22"/>
        </w:rPr>
        <w:t>faktori, kas ietekmēs darbaspēka izmaks</w:t>
      </w:r>
      <w:r w:rsidR="00055789" w:rsidRPr="00446C16">
        <w:rPr>
          <w:rFonts w:cstheme="minorHAnsi"/>
          <w:b/>
          <w:bCs/>
          <w:szCs w:val="22"/>
        </w:rPr>
        <w:t>u izmaiņas</w:t>
      </w:r>
      <w:r w:rsidRPr="00446C16">
        <w:rPr>
          <w:rFonts w:cstheme="minorHAnsi"/>
          <w:szCs w:val="22"/>
        </w:rPr>
        <w:t xml:space="preserve"> būvniecības nozarē 2019. – 2023. gadam Latvijā ir:  </w:t>
      </w:r>
    </w:p>
    <w:p w14:paraId="25BD3180" w14:textId="6AD59551" w:rsidR="00A37961" w:rsidRPr="00446C16" w:rsidRDefault="00A37961" w:rsidP="00A37961">
      <w:pPr>
        <w:pStyle w:val="ListParagraph"/>
        <w:numPr>
          <w:ilvl w:val="1"/>
          <w:numId w:val="20"/>
        </w:numPr>
        <w:ind w:left="1843"/>
        <w:contextualSpacing w:val="0"/>
        <w:jc w:val="both"/>
        <w:rPr>
          <w:rFonts w:cstheme="minorHAnsi"/>
          <w:szCs w:val="22"/>
        </w:rPr>
      </w:pPr>
      <w:r w:rsidRPr="00446C16">
        <w:rPr>
          <w:rFonts w:cstheme="minorHAnsi"/>
          <w:szCs w:val="22"/>
        </w:rPr>
        <w:t xml:space="preserve">Būvniecības </w:t>
      </w:r>
      <w:r w:rsidR="00DA5EF2" w:rsidRPr="00446C16">
        <w:rPr>
          <w:rFonts w:cstheme="minorHAnsi"/>
          <w:szCs w:val="22"/>
        </w:rPr>
        <w:t xml:space="preserve">produkcijas </w:t>
      </w:r>
      <w:r w:rsidRPr="00446C16">
        <w:rPr>
          <w:rFonts w:cstheme="minorHAnsi"/>
          <w:szCs w:val="22"/>
        </w:rPr>
        <w:t>apjoms,</w:t>
      </w:r>
    </w:p>
    <w:p w14:paraId="79C0EA11" w14:textId="77777777" w:rsidR="00A37961" w:rsidRPr="00446C16" w:rsidRDefault="00A37961" w:rsidP="00A37961">
      <w:pPr>
        <w:pStyle w:val="ListParagraph"/>
        <w:numPr>
          <w:ilvl w:val="0"/>
          <w:numId w:val="20"/>
        </w:numPr>
        <w:contextualSpacing w:val="0"/>
        <w:jc w:val="both"/>
        <w:rPr>
          <w:rFonts w:cstheme="minorHAnsi"/>
          <w:szCs w:val="22"/>
        </w:rPr>
      </w:pPr>
      <w:r w:rsidRPr="00446C16">
        <w:rPr>
          <w:rFonts w:cstheme="minorHAnsi"/>
          <w:szCs w:val="22"/>
        </w:rPr>
        <w:t>Darbaspēka nodokļu līmenis Latvijā,</w:t>
      </w:r>
    </w:p>
    <w:p w14:paraId="102D2FC1" w14:textId="250A535B" w:rsidR="00A37961" w:rsidRPr="00446C16" w:rsidRDefault="00A37961" w:rsidP="00A37961">
      <w:pPr>
        <w:pStyle w:val="ListParagraph"/>
        <w:numPr>
          <w:ilvl w:val="0"/>
          <w:numId w:val="20"/>
        </w:numPr>
        <w:contextualSpacing w:val="0"/>
        <w:jc w:val="both"/>
        <w:rPr>
          <w:rFonts w:cstheme="minorHAnsi"/>
          <w:szCs w:val="22"/>
        </w:rPr>
      </w:pPr>
      <w:r w:rsidRPr="00446C16">
        <w:rPr>
          <w:rFonts w:cstheme="minorHAnsi"/>
          <w:szCs w:val="22"/>
        </w:rPr>
        <w:t xml:space="preserve">Par publiskiem līdzekļiem īstenotais būvniecības </w:t>
      </w:r>
      <w:r w:rsidR="00DA5EF2" w:rsidRPr="00446C16">
        <w:rPr>
          <w:rFonts w:cstheme="minorHAnsi"/>
          <w:szCs w:val="22"/>
        </w:rPr>
        <w:t xml:space="preserve">produkcijas </w:t>
      </w:r>
      <w:r w:rsidRPr="00446C16">
        <w:rPr>
          <w:rFonts w:cstheme="minorHAnsi"/>
          <w:szCs w:val="22"/>
        </w:rPr>
        <w:t>apjoms.</w:t>
      </w:r>
    </w:p>
    <w:p w14:paraId="224ED045" w14:textId="12BACD8E" w:rsidR="00A37961" w:rsidRPr="00446C16" w:rsidRDefault="00A37961" w:rsidP="00895643">
      <w:pPr>
        <w:pStyle w:val="ListParagraph"/>
        <w:numPr>
          <w:ilvl w:val="0"/>
          <w:numId w:val="31"/>
        </w:numPr>
        <w:contextualSpacing w:val="0"/>
        <w:jc w:val="both"/>
        <w:rPr>
          <w:rFonts w:cstheme="minorHAnsi"/>
          <w:szCs w:val="22"/>
        </w:rPr>
      </w:pPr>
      <w:r w:rsidRPr="00446C16">
        <w:rPr>
          <w:rFonts w:cstheme="minorHAnsi"/>
          <w:szCs w:val="22"/>
        </w:rPr>
        <w:t xml:space="preserve">Ekspertu vērtējumā būtiskākie </w:t>
      </w:r>
      <w:r w:rsidRPr="00446C16">
        <w:rPr>
          <w:rFonts w:cstheme="minorHAnsi"/>
          <w:b/>
          <w:bCs/>
          <w:szCs w:val="22"/>
        </w:rPr>
        <w:t xml:space="preserve">faktori, kas ietekmēs būvmateriālu </w:t>
      </w:r>
      <w:r w:rsidR="00055789" w:rsidRPr="00446C16">
        <w:rPr>
          <w:rFonts w:cstheme="minorHAnsi"/>
          <w:b/>
          <w:bCs/>
          <w:szCs w:val="22"/>
        </w:rPr>
        <w:t>izmaksu izmaiņas</w:t>
      </w:r>
      <w:r w:rsidR="00055789" w:rsidRPr="00446C16">
        <w:rPr>
          <w:rFonts w:cstheme="minorHAnsi"/>
          <w:szCs w:val="22"/>
        </w:rPr>
        <w:t xml:space="preserve"> </w:t>
      </w:r>
      <w:r w:rsidRPr="00446C16">
        <w:rPr>
          <w:rFonts w:cstheme="minorHAnsi"/>
          <w:szCs w:val="22"/>
        </w:rPr>
        <w:t xml:space="preserve">būvniecības nozarē 2019. – 2023. gadam Latvijā ir:  </w:t>
      </w:r>
    </w:p>
    <w:p w14:paraId="4498AF26" w14:textId="4571AC08" w:rsidR="00A37961" w:rsidRPr="00446C16" w:rsidRDefault="00A37961" w:rsidP="00A37961">
      <w:pPr>
        <w:pStyle w:val="ListParagraph"/>
        <w:numPr>
          <w:ilvl w:val="0"/>
          <w:numId w:val="15"/>
        </w:numPr>
        <w:ind w:left="1843"/>
        <w:contextualSpacing w:val="0"/>
        <w:jc w:val="both"/>
        <w:rPr>
          <w:rFonts w:cstheme="minorHAnsi"/>
          <w:szCs w:val="22"/>
        </w:rPr>
      </w:pPr>
      <w:r w:rsidRPr="00446C16">
        <w:rPr>
          <w:rFonts w:cstheme="minorHAnsi"/>
          <w:szCs w:val="22"/>
        </w:rPr>
        <w:t xml:space="preserve">Būvniecības </w:t>
      </w:r>
      <w:r w:rsidR="00DA5EF2" w:rsidRPr="00446C16">
        <w:rPr>
          <w:rFonts w:cstheme="minorHAnsi"/>
          <w:szCs w:val="22"/>
        </w:rPr>
        <w:t xml:space="preserve">produkcijas </w:t>
      </w:r>
      <w:r w:rsidRPr="00446C16">
        <w:rPr>
          <w:rFonts w:cstheme="minorHAnsi"/>
          <w:szCs w:val="22"/>
        </w:rPr>
        <w:t>apjoms,</w:t>
      </w:r>
    </w:p>
    <w:p w14:paraId="3084149B" w14:textId="77777777" w:rsidR="00A37961" w:rsidRPr="00446C16" w:rsidRDefault="00A37961" w:rsidP="00A37961">
      <w:pPr>
        <w:pStyle w:val="ListParagraph"/>
        <w:numPr>
          <w:ilvl w:val="0"/>
          <w:numId w:val="15"/>
        </w:numPr>
        <w:ind w:left="1843"/>
        <w:contextualSpacing w:val="0"/>
        <w:jc w:val="both"/>
        <w:rPr>
          <w:rFonts w:cstheme="minorHAnsi"/>
          <w:szCs w:val="22"/>
        </w:rPr>
      </w:pPr>
      <w:r w:rsidRPr="00446C16">
        <w:rPr>
          <w:rFonts w:cstheme="minorHAnsi"/>
          <w:szCs w:val="22"/>
        </w:rPr>
        <w:t>ES kopējais būvniecības tirgus pieprasījums,</w:t>
      </w:r>
    </w:p>
    <w:p w14:paraId="561742F1" w14:textId="37FFCE60" w:rsidR="00A37961" w:rsidRPr="00446C16" w:rsidRDefault="00A37961" w:rsidP="00A37961">
      <w:pPr>
        <w:pStyle w:val="ListParagraph"/>
        <w:numPr>
          <w:ilvl w:val="0"/>
          <w:numId w:val="15"/>
        </w:numPr>
        <w:ind w:left="1843"/>
        <w:contextualSpacing w:val="0"/>
        <w:jc w:val="both"/>
        <w:rPr>
          <w:rFonts w:cstheme="minorHAnsi"/>
          <w:szCs w:val="22"/>
        </w:rPr>
      </w:pPr>
      <w:r w:rsidRPr="00446C16">
        <w:rPr>
          <w:rFonts w:cstheme="minorHAnsi"/>
          <w:szCs w:val="22"/>
        </w:rPr>
        <w:t xml:space="preserve">Par publiskiem līdzekļiem īstenotais būvniecības </w:t>
      </w:r>
      <w:r w:rsidR="00DA5EF2" w:rsidRPr="00446C16">
        <w:rPr>
          <w:rFonts w:cstheme="minorHAnsi"/>
          <w:szCs w:val="22"/>
        </w:rPr>
        <w:t xml:space="preserve">produkcijas </w:t>
      </w:r>
      <w:r w:rsidRPr="00446C16">
        <w:rPr>
          <w:rFonts w:cstheme="minorHAnsi"/>
          <w:szCs w:val="22"/>
        </w:rPr>
        <w:t>apjoms.</w:t>
      </w:r>
    </w:p>
    <w:p w14:paraId="696B75FC" w14:textId="69C29A7E" w:rsidR="00BA0282" w:rsidRPr="00446C16" w:rsidRDefault="00BA0282" w:rsidP="00895643">
      <w:pPr>
        <w:pStyle w:val="ListParagraph"/>
        <w:numPr>
          <w:ilvl w:val="0"/>
          <w:numId w:val="31"/>
        </w:numPr>
        <w:contextualSpacing w:val="0"/>
        <w:jc w:val="both"/>
        <w:rPr>
          <w:rFonts w:cstheme="minorHAnsi"/>
          <w:szCs w:val="22"/>
        </w:rPr>
      </w:pPr>
      <w:r w:rsidRPr="00446C16">
        <w:rPr>
          <w:rFonts w:cstheme="minorHAnsi"/>
          <w:b/>
          <w:bCs/>
          <w:szCs w:val="22"/>
        </w:rPr>
        <w:t>Dzīvojamo ēku apakšnozarē</w:t>
      </w:r>
      <w:r w:rsidRPr="00446C16">
        <w:rPr>
          <w:rFonts w:cstheme="minorHAnsi"/>
          <w:szCs w:val="22"/>
        </w:rPr>
        <w:t xml:space="preserve">, periodā no </w:t>
      </w:r>
      <w:r w:rsidRPr="00446C16">
        <w:rPr>
          <w:rFonts w:ascii="Calibri" w:hAnsi="Calibri"/>
          <w:bCs/>
          <w:szCs w:val="22"/>
        </w:rPr>
        <w:t>2019. līdz 2023</w:t>
      </w:r>
      <w:r w:rsidR="00100D75" w:rsidRPr="00446C16">
        <w:rPr>
          <w:rFonts w:ascii="Calibri" w:hAnsi="Calibri"/>
          <w:bCs/>
          <w:szCs w:val="22"/>
        </w:rPr>
        <w:t>. gad</w:t>
      </w:r>
      <w:r w:rsidRPr="00446C16">
        <w:rPr>
          <w:rFonts w:ascii="Calibri" w:hAnsi="Calibri"/>
          <w:bCs/>
          <w:szCs w:val="22"/>
        </w:rPr>
        <w:t>am,</w:t>
      </w:r>
      <w:r w:rsidRPr="00446C16">
        <w:rPr>
          <w:rFonts w:cstheme="minorHAnsi"/>
          <w:szCs w:val="22"/>
        </w:rPr>
        <w:t xml:space="preserve"> prognozējams </w:t>
      </w:r>
      <w:r w:rsidRPr="00446C16">
        <w:rPr>
          <w:rFonts w:cstheme="minorHAnsi"/>
          <w:b/>
          <w:bCs/>
          <w:szCs w:val="22"/>
        </w:rPr>
        <w:t>būvniecības produkcijas apjoma</w:t>
      </w:r>
      <w:r w:rsidRPr="00446C16">
        <w:rPr>
          <w:rFonts w:cstheme="minorHAnsi"/>
          <w:szCs w:val="22"/>
        </w:rPr>
        <w:t xml:space="preserve"> pieaugums, kumulatīvās izmaiņas pret 2018</w:t>
      </w:r>
      <w:r w:rsidR="00100D75" w:rsidRPr="00446C16">
        <w:rPr>
          <w:rFonts w:cstheme="minorHAnsi"/>
          <w:szCs w:val="22"/>
        </w:rPr>
        <w:t>. gad</w:t>
      </w:r>
      <w:r w:rsidRPr="00446C16">
        <w:rPr>
          <w:rFonts w:cstheme="minorHAnsi"/>
          <w:szCs w:val="22"/>
        </w:rPr>
        <w:t>u paredz pieaugumu 2019</w:t>
      </w:r>
      <w:r w:rsidR="00100D75" w:rsidRPr="00446C16">
        <w:rPr>
          <w:rFonts w:cstheme="minorHAnsi"/>
          <w:szCs w:val="22"/>
        </w:rPr>
        <w:t>. gad</w:t>
      </w:r>
      <w:r w:rsidRPr="00446C16">
        <w:rPr>
          <w:rFonts w:cstheme="minorHAnsi"/>
          <w:szCs w:val="22"/>
        </w:rPr>
        <w:t>ā par 7,6%, 2020</w:t>
      </w:r>
      <w:r w:rsidR="00100D75" w:rsidRPr="00446C16">
        <w:rPr>
          <w:rFonts w:cstheme="minorHAnsi"/>
          <w:szCs w:val="22"/>
        </w:rPr>
        <w:t>. gad</w:t>
      </w:r>
      <w:r w:rsidRPr="00446C16">
        <w:rPr>
          <w:rFonts w:cstheme="minorHAnsi"/>
          <w:szCs w:val="22"/>
        </w:rPr>
        <w:t xml:space="preserve">ā par </w:t>
      </w:r>
      <w:r w:rsidRPr="00446C16">
        <w:rPr>
          <w:szCs w:val="22"/>
        </w:rPr>
        <w:t xml:space="preserve">25,6%, </w:t>
      </w:r>
      <w:r w:rsidRPr="00446C16">
        <w:rPr>
          <w:rFonts w:cstheme="minorHAnsi"/>
          <w:szCs w:val="22"/>
        </w:rPr>
        <w:t>2021</w:t>
      </w:r>
      <w:r w:rsidR="00100D75" w:rsidRPr="00446C16">
        <w:rPr>
          <w:rFonts w:cstheme="minorHAnsi"/>
          <w:szCs w:val="22"/>
        </w:rPr>
        <w:t>. gad</w:t>
      </w:r>
      <w:r w:rsidRPr="00446C16">
        <w:rPr>
          <w:rFonts w:cstheme="minorHAnsi"/>
          <w:szCs w:val="22"/>
        </w:rPr>
        <w:t xml:space="preserve">ā par </w:t>
      </w:r>
      <w:r w:rsidRPr="00446C16">
        <w:rPr>
          <w:szCs w:val="22"/>
        </w:rPr>
        <w:t xml:space="preserve">35,7%, </w:t>
      </w:r>
      <w:r w:rsidRPr="00446C16">
        <w:rPr>
          <w:rFonts w:cstheme="minorHAnsi"/>
          <w:szCs w:val="22"/>
        </w:rPr>
        <w:t>2022</w:t>
      </w:r>
      <w:r w:rsidR="00100D75" w:rsidRPr="00446C16">
        <w:rPr>
          <w:rFonts w:cstheme="minorHAnsi"/>
          <w:szCs w:val="22"/>
        </w:rPr>
        <w:t>. gad</w:t>
      </w:r>
      <w:r w:rsidRPr="00446C16">
        <w:rPr>
          <w:rFonts w:cstheme="minorHAnsi"/>
          <w:szCs w:val="22"/>
        </w:rPr>
        <w:t xml:space="preserve">ā par </w:t>
      </w:r>
      <w:r w:rsidRPr="00446C16">
        <w:rPr>
          <w:szCs w:val="22"/>
        </w:rPr>
        <w:t xml:space="preserve">25,1% un </w:t>
      </w:r>
      <w:r w:rsidRPr="00446C16">
        <w:rPr>
          <w:rFonts w:cstheme="minorHAnsi"/>
          <w:szCs w:val="22"/>
        </w:rPr>
        <w:t>2023</w:t>
      </w:r>
      <w:r w:rsidR="00100D75" w:rsidRPr="00446C16">
        <w:rPr>
          <w:rFonts w:cstheme="minorHAnsi"/>
          <w:szCs w:val="22"/>
        </w:rPr>
        <w:t>. gad</w:t>
      </w:r>
      <w:r w:rsidRPr="00446C16">
        <w:rPr>
          <w:rFonts w:cstheme="minorHAnsi"/>
          <w:szCs w:val="22"/>
        </w:rPr>
        <w:t>ā pieaugums par</w:t>
      </w:r>
      <w:r w:rsidRPr="00446C16">
        <w:rPr>
          <w:szCs w:val="22"/>
        </w:rPr>
        <w:t xml:space="preserve"> 34</w:t>
      </w:r>
      <w:r w:rsidRPr="00446C16">
        <w:rPr>
          <w:rFonts w:cstheme="minorHAnsi"/>
          <w:szCs w:val="22"/>
        </w:rPr>
        <w:t xml:space="preserve">%. Dzīvojamo ēku apakšnozarē </w:t>
      </w:r>
      <w:r w:rsidRPr="00446C16">
        <w:rPr>
          <w:rFonts w:ascii="Calibri" w:hAnsi="Calibri"/>
          <w:bCs/>
          <w:szCs w:val="22"/>
        </w:rPr>
        <w:t xml:space="preserve">prognozējams vienmērīgs </w:t>
      </w:r>
      <w:r w:rsidRPr="00446C16">
        <w:rPr>
          <w:rFonts w:ascii="Calibri" w:hAnsi="Calibri"/>
          <w:b/>
          <w:szCs w:val="22"/>
        </w:rPr>
        <w:t>būvniecības izmaksu</w:t>
      </w:r>
      <w:r w:rsidRPr="00446C16">
        <w:rPr>
          <w:rFonts w:ascii="Calibri" w:hAnsi="Calibri"/>
          <w:bCs/>
          <w:szCs w:val="22"/>
        </w:rPr>
        <w:t xml:space="preserve"> </w:t>
      </w:r>
      <w:r w:rsidR="00055789" w:rsidRPr="00446C16">
        <w:rPr>
          <w:rFonts w:ascii="Calibri" w:hAnsi="Calibri"/>
          <w:bCs/>
          <w:szCs w:val="22"/>
        </w:rPr>
        <w:t xml:space="preserve">izmaiņu </w:t>
      </w:r>
      <w:r w:rsidRPr="00446C16">
        <w:rPr>
          <w:rFonts w:ascii="Calibri" w:hAnsi="Calibri"/>
          <w:bCs/>
          <w:szCs w:val="22"/>
        </w:rPr>
        <w:t>pieaugums visā periodā no 2019. līdz 2023</w:t>
      </w:r>
      <w:r w:rsidR="00100D75" w:rsidRPr="00446C16">
        <w:rPr>
          <w:rFonts w:ascii="Calibri" w:hAnsi="Calibri"/>
          <w:bCs/>
          <w:szCs w:val="22"/>
        </w:rPr>
        <w:t>. gad</w:t>
      </w:r>
      <w:r w:rsidRPr="00446C16">
        <w:rPr>
          <w:rFonts w:ascii="Calibri" w:hAnsi="Calibri"/>
          <w:bCs/>
          <w:szCs w:val="22"/>
        </w:rPr>
        <w:t xml:space="preserve">am, </w:t>
      </w:r>
      <w:r w:rsidRPr="00446C16">
        <w:rPr>
          <w:rFonts w:cstheme="minorHAnsi"/>
          <w:szCs w:val="22"/>
        </w:rPr>
        <w:t>kumulatīvās izmaiņas pret 2018</w:t>
      </w:r>
      <w:r w:rsidR="00100D75" w:rsidRPr="00446C16">
        <w:rPr>
          <w:rFonts w:cstheme="minorHAnsi"/>
          <w:szCs w:val="22"/>
        </w:rPr>
        <w:t>. gad</w:t>
      </w:r>
      <w:r w:rsidRPr="00446C16">
        <w:rPr>
          <w:rFonts w:cstheme="minorHAnsi"/>
          <w:szCs w:val="22"/>
        </w:rPr>
        <w:t>u paredz pieaugumu 2019</w:t>
      </w:r>
      <w:r w:rsidR="00100D75" w:rsidRPr="00446C16">
        <w:rPr>
          <w:rFonts w:cstheme="minorHAnsi"/>
          <w:szCs w:val="22"/>
        </w:rPr>
        <w:t>. gad</w:t>
      </w:r>
      <w:r w:rsidRPr="00446C16">
        <w:rPr>
          <w:rFonts w:cstheme="minorHAnsi"/>
          <w:szCs w:val="22"/>
        </w:rPr>
        <w:t>ā par 4%, 2020</w:t>
      </w:r>
      <w:r w:rsidR="00100D75" w:rsidRPr="00446C16">
        <w:rPr>
          <w:rFonts w:cstheme="minorHAnsi"/>
          <w:szCs w:val="22"/>
        </w:rPr>
        <w:t>. gad</w:t>
      </w:r>
      <w:r w:rsidRPr="00446C16">
        <w:rPr>
          <w:rFonts w:cstheme="minorHAnsi"/>
          <w:szCs w:val="22"/>
        </w:rPr>
        <w:t>ā par 8%, 2021</w:t>
      </w:r>
      <w:r w:rsidR="00100D75" w:rsidRPr="00446C16">
        <w:rPr>
          <w:rFonts w:cstheme="minorHAnsi"/>
          <w:szCs w:val="22"/>
        </w:rPr>
        <w:t>. gad</w:t>
      </w:r>
      <w:r w:rsidRPr="00446C16">
        <w:rPr>
          <w:rFonts w:cstheme="minorHAnsi"/>
          <w:szCs w:val="22"/>
        </w:rPr>
        <w:t>ā par 10,7%, 2022</w:t>
      </w:r>
      <w:r w:rsidR="00100D75" w:rsidRPr="00446C16">
        <w:rPr>
          <w:rFonts w:cstheme="minorHAnsi"/>
          <w:szCs w:val="22"/>
        </w:rPr>
        <w:t>. gad</w:t>
      </w:r>
      <w:r w:rsidRPr="00446C16">
        <w:rPr>
          <w:rFonts w:cstheme="minorHAnsi"/>
          <w:szCs w:val="22"/>
        </w:rPr>
        <w:t>ā par 11,7% un 2023</w:t>
      </w:r>
      <w:r w:rsidR="00100D75" w:rsidRPr="00446C16">
        <w:rPr>
          <w:rFonts w:cstheme="minorHAnsi"/>
          <w:szCs w:val="22"/>
        </w:rPr>
        <w:t>. gad</w:t>
      </w:r>
      <w:r w:rsidRPr="00446C16">
        <w:rPr>
          <w:rFonts w:cstheme="minorHAnsi"/>
          <w:szCs w:val="22"/>
        </w:rPr>
        <w:t xml:space="preserve">ā par 14,5%. </w:t>
      </w:r>
    </w:p>
    <w:p w14:paraId="724E673C" w14:textId="024A9FF7" w:rsidR="00A97D08" w:rsidRPr="00446C16" w:rsidRDefault="001A3CF8" w:rsidP="00895643">
      <w:pPr>
        <w:pStyle w:val="ListParagraph"/>
        <w:numPr>
          <w:ilvl w:val="0"/>
          <w:numId w:val="31"/>
        </w:numPr>
        <w:contextualSpacing w:val="0"/>
        <w:jc w:val="both"/>
        <w:rPr>
          <w:rFonts w:cstheme="minorHAnsi"/>
          <w:szCs w:val="22"/>
        </w:rPr>
      </w:pPr>
      <w:r w:rsidRPr="00446C16">
        <w:rPr>
          <w:rFonts w:cstheme="minorHAnsi"/>
          <w:b/>
          <w:bCs/>
          <w:szCs w:val="22"/>
        </w:rPr>
        <w:t>Nedzīvojamo ēku apakšnozarē</w:t>
      </w:r>
      <w:r w:rsidRPr="00446C16">
        <w:rPr>
          <w:rFonts w:cstheme="minorHAnsi"/>
          <w:szCs w:val="22"/>
        </w:rPr>
        <w:t xml:space="preserve">, periodā no </w:t>
      </w:r>
      <w:r w:rsidRPr="00446C16">
        <w:rPr>
          <w:rFonts w:ascii="Calibri" w:hAnsi="Calibri"/>
          <w:bCs/>
          <w:szCs w:val="22"/>
        </w:rPr>
        <w:t>2019. līdz 2023</w:t>
      </w:r>
      <w:r w:rsidR="00100D75" w:rsidRPr="00446C16">
        <w:rPr>
          <w:rFonts w:ascii="Calibri" w:hAnsi="Calibri"/>
          <w:bCs/>
          <w:szCs w:val="22"/>
        </w:rPr>
        <w:t>. gad</w:t>
      </w:r>
      <w:r w:rsidRPr="00446C16">
        <w:rPr>
          <w:rFonts w:ascii="Calibri" w:hAnsi="Calibri"/>
          <w:bCs/>
          <w:szCs w:val="22"/>
        </w:rPr>
        <w:t>am, arī</w:t>
      </w:r>
      <w:r w:rsidRPr="00446C16">
        <w:rPr>
          <w:rFonts w:cstheme="minorHAnsi"/>
          <w:szCs w:val="22"/>
        </w:rPr>
        <w:t xml:space="preserve"> prognozējams </w:t>
      </w:r>
      <w:r w:rsidRPr="00446C16">
        <w:rPr>
          <w:rFonts w:cstheme="minorHAnsi"/>
          <w:b/>
          <w:bCs/>
          <w:szCs w:val="22"/>
        </w:rPr>
        <w:t>būvniecības produkcijas apjoma</w:t>
      </w:r>
      <w:r w:rsidRPr="00446C16">
        <w:rPr>
          <w:rFonts w:cstheme="minorHAnsi"/>
          <w:szCs w:val="22"/>
        </w:rPr>
        <w:t xml:space="preserve"> pieaugums, attiecīgi 2019</w:t>
      </w:r>
      <w:r w:rsidR="00100D75" w:rsidRPr="00446C16">
        <w:rPr>
          <w:rFonts w:cstheme="minorHAnsi"/>
          <w:szCs w:val="22"/>
        </w:rPr>
        <w:t>. gad</w:t>
      </w:r>
      <w:r w:rsidRPr="00446C16">
        <w:rPr>
          <w:rFonts w:cstheme="minorHAnsi"/>
          <w:szCs w:val="22"/>
        </w:rPr>
        <w:t>ā kumulatīvās izmaiņas pret 2018</w:t>
      </w:r>
      <w:r w:rsidR="00100D75" w:rsidRPr="00446C16">
        <w:rPr>
          <w:rFonts w:cstheme="minorHAnsi"/>
          <w:szCs w:val="22"/>
        </w:rPr>
        <w:t>. gad</w:t>
      </w:r>
      <w:r w:rsidRPr="00446C16">
        <w:rPr>
          <w:rFonts w:cstheme="minorHAnsi"/>
          <w:szCs w:val="22"/>
        </w:rPr>
        <w:t xml:space="preserve">u uzrāda palielinājumu par </w:t>
      </w:r>
      <w:r w:rsidRPr="00446C16">
        <w:rPr>
          <w:bCs/>
          <w:szCs w:val="22"/>
        </w:rPr>
        <w:t>8,1%</w:t>
      </w:r>
      <w:r w:rsidRPr="00446C16">
        <w:rPr>
          <w:rFonts w:cstheme="minorHAnsi"/>
          <w:szCs w:val="22"/>
        </w:rPr>
        <w:t>, 2020</w:t>
      </w:r>
      <w:r w:rsidR="00100D75" w:rsidRPr="00446C16">
        <w:rPr>
          <w:rFonts w:cstheme="minorHAnsi"/>
          <w:szCs w:val="22"/>
        </w:rPr>
        <w:t>. gad</w:t>
      </w:r>
      <w:r w:rsidRPr="00446C16">
        <w:rPr>
          <w:rFonts w:cstheme="minorHAnsi"/>
          <w:szCs w:val="22"/>
        </w:rPr>
        <w:t xml:space="preserve">ā par </w:t>
      </w:r>
      <w:r w:rsidRPr="00446C16">
        <w:rPr>
          <w:szCs w:val="22"/>
        </w:rPr>
        <w:t xml:space="preserve">27%, </w:t>
      </w:r>
      <w:r w:rsidRPr="00446C16">
        <w:rPr>
          <w:rFonts w:cstheme="minorHAnsi"/>
          <w:szCs w:val="22"/>
        </w:rPr>
        <w:t>2021</w:t>
      </w:r>
      <w:r w:rsidR="00100D75" w:rsidRPr="00446C16">
        <w:rPr>
          <w:rFonts w:cstheme="minorHAnsi"/>
          <w:szCs w:val="22"/>
        </w:rPr>
        <w:t>. gad</w:t>
      </w:r>
      <w:r w:rsidRPr="00446C16">
        <w:rPr>
          <w:rFonts w:cstheme="minorHAnsi"/>
          <w:szCs w:val="22"/>
        </w:rPr>
        <w:t xml:space="preserve">ā par </w:t>
      </w:r>
      <w:r w:rsidRPr="00446C16">
        <w:rPr>
          <w:szCs w:val="22"/>
        </w:rPr>
        <w:t xml:space="preserve">37,3%, </w:t>
      </w:r>
      <w:r w:rsidRPr="00446C16">
        <w:rPr>
          <w:rFonts w:cstheme="minorHAnsi"/>
          <w:szCs w:val="22"/>
        </w:rPr>
        <w:t>2022</w:t>
      </w:r>
      <w:r w:rsidR="00100D75" w:rsidRPr="00446C16">
        <w:rPr>
          <w:rFonts w:cstheme="minorHAnsi"/>
          <w:szCs w:val="22"/>
        </w:rPr>
        <w:t>. gad</w:t>
      </w:r>
      <w:r w:rsidRPr="00446C16">
        <w:rPr>
          <w:rFonts w:cstheme="minorHAnsi"/>
          <w:szCs w:val="22"/>
        </w:rPr>
        <w:t>ā par 25,1</w:t>
      </w:r>
      <w:r w:rsidRPr="00446C16">
        <w:rPr>
          <w:szCs w:val="22"/>
        </w:rPr>
        <w:t xml:space="preserve">% un </w:t>
      </w:r>
      <w:r w:rsidRPr="00446C16">
        <w:rPr>
          <w:rFonts w:cstheme="minorHAnsi"/>
          <w:szCs w:val="22"/>
        </w:rPr>
        <w:t>2023</w:t>
      </w:r>
      <w:r w:rsidR="00100D75" w:rsidRPr="00446C16">
        <w:rPr>
          <w:rFonts w:cstheme="minorHAnsi"/>
          <w:szCs w:val="22"/>
        </w:rPr>
        <w:t>. gad</w:t>
      </w:r>
      <w:r w:rsidRPr="00446C16">
        <w:rPr>
          <w:rFonts w:cstheme="minorHAnsi"/>
          <w:szCs w:val="22"/>
        </w:rPr>
        <w:t>ā pieaugums par</w:t>
      </w:r>
      <w:r w:rsidRPr="00446C16">
        <w:rPr>
          <w:szCs w:val="22"/>
        </w:rPr>
        <w:t xml:space="preserve"> 32,8</w:t>
      </w:r>
      <w:r w:rsidRPr="00446C16">
        <w:rPr>
          <w:rFonts w:cstheme="minorHAnsi"/>
          <w:szCs w:val="22"/>
        </w:rPr>
        <w:t xml:space="preserve">%. Nedzīvojamo ēku apakšnozarē </w:t>
      </w:r>
      <w:r w:rsidRPr="00446C16">
        <w:rPr>
          <w:rFonts w:ascii="Calibri" w:hAnsi="Calibri"/>
          <w:bCs/>
          <w:szCs w:val="22"/>
        </w:rPr>
        <w:t xml:space="preserve">prognozējams arī vienmērīgs </w:t>
      </w:r>
      <w:r w:rsidRPr="00446C16">
        <w:rPr>
          <w:rFonts w:ascii="Calibri" w:hAnsi="Calibri"/>
          <w:b/>
          <w:szCs w:val="22"/>
        </w:rPr>
        <w:t>būvniecības izmaksu</w:t>
      </w:r>
      <w:r w:rsidRPr="00446C16">
        <w:rPr>
          <w:rFonts w:ascii="Calibri" w:hAnsi="Calibri"/>
          <w:bCs/>
          <w:szCs w:val="22"/>
        </w:rPr>
        <w:t xml:space="preserve"> </w:t>
      </w:r>
      <w:r w:rsidR="00055789" w:rsidRPr="00446C16">
        <w:rPr>
          <w:rFonts w:ascii="Calibri" w:hAnsi="Calibri"/>
          <w:bCs/>
          <w:szCs w:val="22"/>
        </w:rPr>
        <w:t xml:space="preserve">izmaiņu </w:t>
      </w:r>
      <w:r w:rsidRPr="00446C16">
        <w:rPr>
          <w:rFonts w:ascii="Calibri" w:hAnsi="Calibri"/>
          <w:bCs/>
          <w:szCs w:val="22"/>
        </w:rPr>
        <w:t>pieaugums visā periodā no 2019. līdz 2023</w:t>
      </w:r>
      <w:r w:rsidR="00100D75" w:rsidRPr="00446C16">
        <w:rPr>
          <w:rFonts w:ascii="Calibri" w:hAnsi="Calibri"/>
          <w:bCs/>
          <w:szCs w:val="22"/>
        </w:rPr>
        <w:t>. gad</w:t>
      </w:r>
      <w:r w:rsidRPr="00446C16">
        <w:rPr>
          <w:rFonts w:ascii="Calibri" w:hAnsi="Calibri"/>
          <w:bCs/>
          <w:szCs w:val="22"/>
        </w:rPr>
        <w:t xml:space="preserve">am, </w:t>
      </w:r>
      <w:r w:rsidRPr="00446C16">
        <w:rPr>
          <w:rFonts w:cstheme="minorHAnsi"/>
          <w:szCs w:val="22"/>
        </w:rPr>
        <w:t>attiecīgi kumulatīvās izmaiņas 2018</w:t>
      </w:r>
      <w:r w:rsidR="00100D75" w:rsidRPr="00446C16">
        <w:rPr>
          <w:rFonts w:cstheme="minorHAnsi"/>
          <w:szCs w:val="22"/>
        </w:rPr>
        <w:t>. gad</w:t>
      </w:r>
      <w:r w:rsidRPr="00446C16">
        <w:rPr>
          <w:rFonts w:cstheme="minorHAnsi"/>
          <w:szCs w:val="22"/>
        </w:rPr>
        <w:t xml:space="preserve">ā paredz izmaksu </w:t>
      </w:r>
      <w:r w:rsidR="00055789" w:rsidRPr="00446C16">
        <w:rPr>
          <w:rFonts w:cstheme="minorHAnsi"/>
          <w:szCs w:val="22"/>
        </w:rPr>
        <w:t xml:space="preserve">izmaiņu </w:t>
      </w:r>
      <w:r w:rsidRPr="00446C16">
        <w:rPr>
          <w:rFonts w:cstheme="minorHAnsi"/>
          <w:szCs w:val="22"/>
        </w:rPr>
        <w:t>pieaugumu 2019</w:t>
      </w:r>
      <w:r w:rsidR="00100D75" w:rsidRPr="00446C16">
        <w:rPr>
          <w:rFonts w:cstheme="minorHAnsi"/>
          <w:szCs w:val="22"/>
        </w:rPr>
        <w:t>. gad</w:t>
      </w:r>
      <w:r w:rsidRPr="00446C16">
        <w:rPr>
          <w:rFonts w:cstheme="minorHAnsi"/>
          <w:szCs w:val="22"/>
        </w:rPr>
        <w:t>ā par 5,2%, 2020</w:t>
      </w:r>
      <w:r w:rsidR="00100D75" w:rsidRPr="00446C16">
        <w:rPr>
          <w:rFonts w:cstheme="minorHAnsi"/>
          <w:szCs w:val="22"/>
        </w:rPr>
        <w:t>. gad</w:t>
      </w:r>
      <w:r w:rsidRPr="00446C16">
        <w:rPr>
          <w:rFonts w:cstheme="minorHAnsi"/>
          <w:szCs w:val="22"/>
        </w:rPr>
        <w:t>ā par 10,7%, 2021</w:t>
      </w:r>
      <w:r w:rsidR="00100D75" w:rsidRPr="00446C16">
        <w:rPr>
          <w:rFonts w:cstheme="minorHAnsi"/>
          <w:szCs w:val="22"/>
        </w:rPr>
        <w:t>. gad</w:t>
      </w:r>
      <w:r w:rsidRPr="00446C16">
        <w:rPr>
          <w:rFonts w:cstheme="minorHAnsi"/>
          <w:szCs w:val="22"/>
        </w:rPr>
        <w:t>ā par 14%, 2022</w:t>
      </w:r>
      <w:r w:rsidR="00100D75" w:rsidRPr="00446C16">
        <w:rPr>
          <w:rFonts w:cstheme="minorHAnsi"/>
          <w:szCs w:val="22"/>
        </w:rPr>
        <w:t>. gad</w:t>
      </w:r>
      <w:r w:rsidRPr="00446C16">
        <w:rPr>
          <w:rFonts w:cstheme="minorHAnsi"/>
          <w:szCs w:val="22"/>
        </w:rPr>
        <w:t>ā par 16,2% un 2023</w:t>
      </w:r>
      <w:r w:rsidR="00100D75" w:rsidRPr="00446C16">
        <w:rPr>
          <w:rFonts w:cstheme="minorHAnsi"/>
          <w:szCs w:val="22"/>
        </w:rPr>
        <w:t>. gad</w:t>
      </w:r>
      <w:r w:rsidRPr="00446C16">
        <w:rPr>
          <w:rFonts w:cstheme="minorHAnsi"/>
          <w:szCs w:val="22"/>
        </w:rPr>
        <w:t xml:space="preserve">ā par 21,1%. </w:t>
      </w:r>
    </w:p>
    <w:p w14:paraId="138000CB" w14:textId="5BB2DADF" w:rsidR="00065C42" w:rsidRPr="00446C16" w:rsidRDefault="00A97D08" w:rsidP="00895643">
      <w:pPr>
        <w:pStyle w:val="ListParagraph"/>
        <w:numPr>
          <w:ilvl w:val="0"/>
          <w:numId w:val="31"/>
        </w:numPr>
        <w:contextualSpacing w:val="0"/>
        <w:jc w:val="both"/>
        <w:rPr>
          <w:rFonts w:cstheme="minorHAnsi"/>
          <w:szCs w:val="22"/>
        </w:rPr>
      </w:pPr>
      <w:r w:rsidRPr="00446C16">
        <w:rPr>
          <w:b/>
          <w:bCs/>
        </w:rPr>
        <w:t xml:space="preserve">Transporta </w:t>
      </w:r>
      <w:proofErr w:type="spellStart"/>
      <w:r w:rsidRPr="00446C16">
        <w:rPr>
          <w:b/>
          <w:bCs/>
        </w:rPr>
        <w:t>apakšnozarē</w:t>
      </w:r>
      <w:proofErr w:type="spellEnd"/>
      <w:r w:rsidRPr="00446C16">
        <w:t xml:space="preserve"> </w:t>
      </w:r>
      <w:r w:rsidR="00A04841">
        <w:t xml:space="preserve">prognozējamas radikāli pretējas </w:t>
      </w:r>
      <w:r w:rsidR="00A04841" w:rsidRPr="004921EB">
        <w:rPr>
          <w:b/>
        </w:rPr>
        <w:t>būvniecības produkcijas apjoma</w:t>
      </w:r>
      <w:r w:rsidR="00A04841">
        <w:t xml:space="preserve"> izmaiņas autoce</w:t>
      </w:r>
      <w:r w:rsidR="009603F7">
        <w:t>ļu/</w:t>
      </w:r>
      <w:r w:rsidR="00A04841">
        <w:t xml:space="preserve"> tiltu jomā un dzelzceļa jomā, attiecīgi 2022. gadā kumulatīvi sasniedzot -33.4% un 46.9% pret 2018. gada līmeni</w:t>
      </w:r>
      <w:r w:rsidR="00A04841" w:rsidRPr="004921EB">
        <w:rPr>
          <w:b/>
        </w:rPr>
        <w:t xml:space="preserve">. </w:t>
      </w:r>
      <w:r w:rsidR="004921EB" w:rsidRPr="004921EB">
        <w:rPr>
          <w:b/>
        </w:rPr>
        <w:t>Būvniecības iz</w:t>
      </w:r>
      <w:r w:rsidR="00A04841" w:rsidRPr="004921EB">
        <w:rPr>
          <w:b/>
        </w:rPr>
        <w:t>maksas</w:t>
      </w:r>
      <w:r w:rsidR="00A04841">
        <w:t xml:space="preserve"> </w:t>
      </w:r>
      <w:r w:rsidR="004921EB">
        <w:t xml:space="preserve">līdz 2022. gadam </w:t>
      </w:r>
      <w:r w:rsidR="00A04841">
        <w:t xml:space="preserve">kopumā prognozētas </w:t>
      </w:r>
      <w:r w:rsidR="004921EB">
        <w:t>1-4%</w:t>
      </w:r>
      <w:r w:rsidR="00A04841">
        <w:t xml:space="preserve"> virs 2018</w:t>
      </w:r>
      <w:r w:rsidR="004921EB">
        <w:t xml:space="preserve">. gada līmeņa. Taču būtiski, ka darbaspēka savstarpējā aizvietojamība autoceļu un dzelzceļu jomās novērtēta kā minimāla. 2023. gadā prognozes ir pretrunīgas un to pamatā nosaka dažādās </w:t>
      </w:r>
      <w:proofErr w:type="spellStart"/>
      <w:r w:rsidR="004921EB">
        <w:t>ekspektācijas</w:t>
      </w:r>
      <w:proofErr w:type="spellEnd"/>
      <w:r w:rsidR="004921EB">
        <w:t xml:space="preserve"> par lielo infrastruktūras projektu realizācijas gaitu. Ņemot vērā abus šos aspektus specifiskas izdevumu kategorijas periodā līdz 2023. gadam var uzrādīt būtiskas svārstības</w:t>
      </w:r>
      <w:r w:rsidR="009603F7">
        <w:t>.</w:t>
      </w:r>
    </w:p>
    <w:p w14:paraId="23023B66" w14:textId="32513B8D" w:rsidR="00F231C6" w:rsidRPr="00446C16" w:rsidRDefault="00065C42" w:rsidP="00895643">
      <w:pPr>
        <w:pStyle w:val="ListParagraph"/>
        <w:numPr>
          <w:ilvl w:val="0"/>
          <w:numId w:val="31"/>
        </w:numPr>
        <w:contextualSpacing w:val="0"/>
        <w:jc w:val="both"/>
        <w:rPr>
          <w:rFonts w:cstheme="minorHAnsi"/>
          <w:szCs w:val="22"/>
        </w:rPr>
      </w:pPr>
      <w:r w:rsidRPr="00446C16">
        <w:rPr>
          <w:rFonts w:eastAsia="Times New Roman"/>
          <w:b/>
          <w:bCs/>
          <w:szCs w:val="22"/>
          <w:lang w:eastAsia="en-GB"/>
        </w:rPr>
        <w:t>Maģistrālo pazemes cauruļvadu būvniecības apakšnozarē</w:t>
      </w:r>
      <w:r w:rsidRPr="00446C16">
        <w:rPr>
          <w:rFonts w:eastAsia="Times New Roman"/>
          <w:szCs w:val="22"/>
          <w:lang w:eastAsia="en-GB"/>
        </w:rPr>
        <w:t xml:space="preserve"> </w:t>
      </w:r>
      <w:r w:rsidRPr="00446C16">
        <w:rPr>
          <w:szCs w:val="22"/>
        </w:rPr>
        <w:t xml:space="preserve">prognozējams </w:t>
      </w:r>
      <w:r w:rsidRPr="00446C16">
        <w:rPr>
          <w:rFonts w:cstheme="minorHAnsi"/>
          <w:b/>
          <w:bCs/>
          <w:szCs w:val="22"/>
        </w:rPr>
        <w:t xml:space="preserve">būvniecības produkcijas </w:t>
      </w:r>
      <w:r w:rsidRPr="00446C16">
        <w:rPr>
          <w:b/>
          <w:bCs/>
          <w:szCs w:val="22"/>
        </w:rPr>
        <w:t>apjoma</w:t>
      </w:r>
      <w:r w:rsidRPr="00446C16">
        <w:rPr>
          <w:szCs w:val="22"/>
        </w:rPr>
        <w:t xml:space="preserve"> pieaugums, kumulatīvās izmaiņas pret 2018</w:t>
      </w:r>
      <w:r w:rsidR="00100D75" w:rsidRPr="00446C16">
        <w:rPr>
          <w:szCs w:val="22"/>
        </w:rPr>
        <w:t>. gad</w:t>
      </w:r>
      <w:r w:rsidRPr="00446C16">
        <w:rPr>
          <w:szCs w:val="22"/>
        </w:rPr>
        <w:t>u prognozē pieaugumu par 8,8% 2019</w:t>
      </w:r>
      <w:r w:rsidR="00100D75" w:rsidRPr="00446C16">
        <w:rPr>
          <w:szCs w:val="22"/>
        </w:rPr>
        <w:t>. gad</w:t>
      </w:r>
      <w:r w:rsidRPr="00446C16">
        <w:rPr>
          <w:szCs w:val="22"/>
        </w:rPr>
        <w:t>ā, 23,5% 2020</w:t>
      </w:r>
      <w:r w:rsidR="00100D75" w:rsidRPr="00446C16">
        <w:rPr>
          <w:szCs w:val="22"/>
        </w:rPr>
        <w:t>. gad</w:t>
      </w:r>
      <w:r w:rsidRPr="00446C16">
        <w:rPr>
          <w:szCs w:val="22"/>
        </w:rPr>
        <w:t>ā, 23,1% 2021</w:t>
      </w:r>
      <w:r w:rsidR="00100D75" w:rsidRPr="00446C16">
        <w:rPr>
          <w:szCs w:val="22"/>
        </w:rPr>
        <w:t>. gad</w:t>
      </w:r>
      <w:r w:rsidRPr="00446C16">
        <w:rPr>
          <w:szCs w:val="22"/>
        </w:rPr>
        <w:t>ā, 9,9% 2022</w:t>
      </w:r>
      <w:r w:rsidR="00100D75" w:rsidRPr="00446C16">
        <w:rPr>
          <w:szCs w:val="22"/>
        </w:rPr>
        <w:t>. gad</w:t>
      </w:r>
      <w:r w:rsidRPr="00446C16">
        <w:rPr>
          <w:szCs w:val="22"/>
        </w:rPr>
        <w:t>ā un 11,1% 2023</w:t>
      </w:r>
      <w:r w:rsidR="00100D75" w:rsidRPr="00446C16">
        <w:rPr>
          <w:szCs w:val="22"/>
        </w:rPr>
        <w:t>. gad</w:t>
      </w:r>
      <w:r w:rsidRPr="00446C16">
        <w:rPr>
          <w:szCs w:val="22"/>
        </w:rPr>
        <w:t xml:space="preserve">ā. </w:t>
      </w:r>
      <w:r w:rsidRPr="00446C16">
        <w:rPr>
          <w:rFonts w:ascii="Calibri" w:hAnsi="Calibri"/>
          <w:b/>
          <w:szCs w:val="22"/>
        </w:rPr>
        <w:lastRenderedPageBreak/>
        <w:t>Būvniecības izmaksu</w:t>
      </w:r>
      <w:r w:rsidRPr="00446C16">
        <w:rPr>
          <w:rFonts w:ascii="Calibri" w:hAnsi="Calibri"/>
          <w:bCs/>
          <w:szCs w:val="22"/>
        </w:rPr>
        <w:t xml:space="preserve"> </w:t>
      </w:r>
      <w:r w:rsidRPr="00446C16">
        <w:rPr>
          <w:szCs w:val="22"/>
        </w:rPr>
        <w:t>kumulatīvās izmaiņas pret 2018</w:t>
      </w:r>
      <w:r w:rsidR="00100D75" w:rsidRPr="00446C16">
        <w:rPr>
          <w:szCs w:val="22"/>
        </w:rPr>
        <w:t>. gad</w:t>
      </w:r>
      <w:r w:rsidRPr="00446C16">
        <w:rPr>
          <w:szCs w:val="22"/>
        </w:rPr>
        <w:t>u prognozē pieaugumu 2019</w:t>
      </w:r>
      <w:r w:rsidR="00100D75" w:rsidRPr="00446C16">
        <w:rPr>
          <w:szCs w:val="22"/>
        </w:rPr>
        <w:t>. gad</w:t>
      </w:r>
      <w:r w:rsidRPr="00446C16">
        <w:rPr>
          <w:szCs w:val="22"/>
        </w:rPr>
        <w:t xml:space="preserve">ā par 0,9%, </w:t>
      </w:r>
      <w:r w:rsidRPr="00446C16">
        <w:rPr>
          <w:rFonts w:cstheme="minorHAnsi"/>
          <w:szCs w:val="22"/>
        </w:rPr>
        <w:t>2020</w:t>
      </w:r>
      <w:r w:rsidR="00100D75" w:rsidRPr="00446C16">
        <w:rPr>
          <w:rFonts w:cstheme="minorHAnsi"/>
          <w:szCs w:val="22"/>
        </w:rPr>
        <w:t>. gad</w:t>
      </w:r>
      <w:r w:rsidRPr="00446C16">
        <w:rPr>
          <w:rFonts w:cstheme="minorHAnsi"/>
          <w:szCs w:val="22"/>
        </w:rPr>
        <w:t>ā par 2,2%, 2021</w:t>
      </w:r>
      <w:r w:rsidR="00100D75" w:rsidRPr="00446C16">
        <w:rPr>
          <w:rFonts w:cstheme="minorHAnsi"/>
          <w:szCs w:val="22"/>
        </w:rPr>
        <w:t>. gad</w:t>
      </w:r>
      <w:r w:rsidRPr="00446C16">
        <w:rPr>
          <w:rFonts w:cstheme="minorHAnsi"/>
          <w:szCs w:val="22"/>
        </w:rPr>
        <w:t>ā par 1,7%, 2022</w:t>
      </w:r>
      <w:r w:rsidR="00100D75" w:rsidRPr="00446C16">
        <w:rPr>
          <w:rFonts w:cstheme="minorHAnsi"/>
          <w:szCs w:val="22"/>
        </w:rPr>
        <w:t>. gad</w:t>
      </w:r>
      <w:r w:rsidRPr="00446C16">
        <w:rPr>
          <w:rFonts w:cstheme="minorHAnsi"/>
          <w:szCs w:val="22"/>
        </w:rPr>
        <w:t>ā par 0,2% un 2023</w:t>
      </w:r>
      <w:r w:rsidR="00100D75" w:rsidRPr="00446C16">
        <w:rPr>
          <w:rFonts w:cstheme="minorHAnsi"/>
          <w:szCs w:val="22"/>
        </w:rPr>
        <w:t>. gad</w:t>
      </w:r>
      <w:r w:rsidRPr="00446C16">
        <w:rPr>
          <w:rFonts w:cstheme="minorHAnsi"/>
          <w:szCs w:val="22"/>
        </w:rPr>
        <w:t>ā samazinoties par -0,7%.</w:t>
      </w:r>
    </w:p>
    <w:p w14:paraId="7F589131" w14:textId="4240A3EE" w:rsidR="006D175C" w:rsidRPr="00446C16" w:rsidRDefault="00F231C6" w:rsidP="00895643">
      <w:pPr>
        <w:pStyle w:val="ListParagraph"/>
        <w:numPr>
          <w:ilvl w:val="0"/>
          <w:numId w:val="31"/>
        </w:numPr>
        <w:contextualSpacing w:val="0"/>
        <w:jc w:val="both"/>
        <w:rPr>
          <w:rFonts w:cstheme="minorHAnsi"/>
          <w:szCs w:val="22"/>
        </w:rPr>
      </w:pPr>
      <w:r w:rsidRPr="00446C16">
        <w:rPr>
          <w:rFonts w:eastAsia="Times New Roman"/>
          <w:b/>
          <w:bCs/>
          <w:szCs w:val="22"/>
          <w:lang w:eastAsia="en-GB"/>
        </w:rPr>
        <w:t>Pārējo inženierbūvju apakšnozarē</w:t>
      </w:r>
      <w:r w:rsidRPr="00446C16">
        <w:rPr>
          <w:rFonts w:eastAsia="Times New Roman"/>
          <w:szCs w:val="22"/>
          <w:lang w:eastAsia="en-GB"/>
        </w:rPr>
        <w:t xml:space="preserve"> kumulatīvās izmaiņas pret 2018</w:t>
      </w:r>
      <w:r w:rsidR="00100D75" w:rsidRPr="00446C16">
        <w:rPr>
          <w:rFonts w:eastAsia="Times New Roman"/>
          <w:szCs w:val="22"/>
          <w:lang w:eastAsia="en-GB"/>
        </w:rPr>
        <w:t>. gad</w:t>
      </w:r>
      <w:r w:rsidRPr="00446C16">
        <w:rPr>
          <w:rFonts w:eastAsia="Times New Roman"/>
          <w:szCs w:val="22"/>
          <w:lang w:eastAsia="en-GB"/>
        </w:rPr>
        <w:t xml:space="preserve">u paredz </w:t>
      </w:r>
      <w:r w:rsidRPr="00446C16">
        <w:rPr>
          <w:szCs w:val="22"/>
        </w:rPr>
        <w:t xml:space="preserve">ekspertu prognozi </w:t>
      </w:r>
      <w:r w:rsidRPr="00446C16">
        <w:rPr>
          <w:bCs/>
          <w:szCs w:val="22"/>
        </w:rPr>
        <w:t>6,8% apmērā 2019</w:t>
      </w:r>
      <w:r w:rsidR="00100D75" w:rsidRPr="00446C16">
        <w:rPr>
          <w:bCs/>
          <w:szCs w:val="22"/>
        </w:rPr>
        <w:t>. gad</w:t>
      </w:r>
      <w:r w:rsidRPr="00446C16">
        <w:rPr>
          <w:bCs/>
          <w:szCs w:val="22"/>
        </w:rPr>
        <w:t>ā, nelielu pieauguma samazinājuma 2020</w:t>
      </w:r>
      <w:r w:rsidR="00100D75" w:rsidRPr="00446C16">
        <w:rPr>
          <w:bCs/>
          <w:szCs w:val="22"/>
        </w:rPr>
        <w:t>. gad</w:t>
      </w:r>
      <w:r w:rsidRPr="00446C16">
        <w:rPr>
          <w:bCs/>
          <w:szCs w:val="22"/>
        </w:rPr>
        <w:t xml:space="preserve">ā par 3% un </w:t>
      </w:r>
      <w:r w:rsidRPr="00446C16">
        <w:rPr>
          <w:szCs w:val="22"/>
        </w:rPr>
        <w:t xml:space="preserve">ievērojamu </w:t>
      </w:r>
      <w:r w:rsidRPr="00446C16">
        <w:rPr>
          <w:rFonts w:cstheme="minorHAnsi"/>
          <w:b/>
          <w:bCs/>
          <w:szCs w:val="22"/>
        </w:rPr>
        <w:t xml:space="preserve">būvniecības produkcijas </w:t>
      </w:r>
      <w:r w:rsidRPr="00446C16">
        <w:rPr>
          <w:b/>
          <w:bCs/>
          <w:szCs w:val="22"/>
        </w:rPr>
        <w:t>apjoma</w:t>
      </w:r>
      <w:r w:rsidRPr="00446C16">
        <w:rPr>
          <w:szCs w:val="22"/>
        </w:rPr>
        <w:t xml:space="preserve"> kritumu pēc 2021</w:t>
      </w:r>
      <w:r w:rsidR="00100D75" w:rsidRPr="00446C16">
        <w:rPr>
          <w:szCs w:val="22"/>
        </w:rPr>
        <w:t>. gad</w:t>
      </w:r>
      <w:r w:rsidRPr="00446C16">
        <w:rPr>
          <w:szCs w:val="22"/>
        </w:rPr>
        <w:t>a (-15%), 2022</w:t>
      </w:r>
      <w:r w:rsidR="00100D75" w:rsidRPr="00446C16">
        <w:rPr>
          <w:szCs w:val="22"/>
        </w:rPr>
        <w:t>. gad</w:t>
      </w:r>
      <w:r w:rsidRPr="00446C16">
        <w:rPr>
          <w:szCs w:val="22"/>
        </w:rPr>
        <w:t xml:space="preserve">ā </w:t>
      </w:r>
      <w:r w:rsidRPr="00446C16">
        <w:rPr>
          <w:bCs/>
          <w:szCs w:val="22"/>
        </w:rPr>
        <w:t xml:space="preserve">-21,2%, </w:t>
      </w:r>
      <w:r w:rsidRPr="00446C16">
        <w:rPr>
          <w:szCs w:val="22"/>
        </w:rPr>
        <w:t>2023</w:t>
      </w:r>
      <w:r w:rsidR="00100D75" w:rsidRPr="00446C16">
        <w:rPr>
          <w:szCs w:val="22"/>
        </w:rPr>
        <w:t>. gad</w:t>
      </w:r>
      <w:r w:rsidRPr="00446C16">
        <w:rPr>
          <w:szCs w:val="22"/>
        </w:rPr>
        <w:t>ā sasniedzot kumulatīvo kritumu -31% apmērā, salīdzinot ar 2018</w:t>
      </w:r>
      <w:r w:rsidR="00100D75" w:rsidRPr="00446C16">
        <w:rPr>
          <w:szCs w:val="22"/>
        </w:rPr>
        <w:t>. gad</w:t>
      </w:r>
      <w:r w:rsidRPr="00446C16">
        <w:rPr>
          <w:szCs w:val="22"/>
        </w:rPr>
        <w:t xml:space="preserve">a līmeni. Līdzīgas tendences prognozējamas </w:t>
      </w:r>
      <w:r w:rsidRPr="00446C16">
        <w:rPr>
          <w:b/>
          <w:bCs/>
          <w:szCs w:val="22"/>
        </w:rPr>
        <w:t>b</w:t>
      </w:r>
      <w:r w:rsidRPr="00446C16">
        <w:rPr>
          <w:rFonts w:ascii="Calibri" w:hAnsi="Calibri"/>
          <w:b/>
          <w:szCs w:val="22"/>
        </w:rPr>
        <w:t>ūvniecības izmaksām</w:t>
      </w:r>
      <w:r w:rsidRPr="00446C16">
        <w:rPr>
          <w:szCs w:val="22"/>
        </w:rPr>
        <w:t>, kumulatīvās izmaiņas pret 2018</w:t>
      </w:r>
      <w:r w:rsidR="00100D75" w:rsidRPr="00446C16">
        <w:rPr>
          <w:szCs w:val="22"/>
        </w:rPr>
        <w:t>. gad</w:t>
      </w:r>
      <w:r w:rsidRPr="00446C16">
        <w:rPr>
          <w:szCs w:val="22"/>
        </w:rPr>
        <w:t>u prognozē pieaugumu 2019</w:t>
      </w:r>
      <w:r w:rsidR="00100D75" w:rsidRPr="00446C16">
        <w:rPr>
          <w:szCs w:val="22"/>
        </w:rPr>
        <w:t>. gad</w:t>
      </w:r>
      <w:r w:rsidRPr="00446C16">
        <w:rPr>
          <w:szCs w:val="22"/>
        </w:rPr>
        <w:t xml:space="preserve">ā par </w:t>
      </w:r>
      <w:r w:rsidRPr="00446C16">
        <w:rPr>
          <w:bCs/>
          <w:szCs w:val="22"/>
        </w:rPr>
        <w:t>2,3%, 2020</w:t>
      </w:r>
      <w:r w:rsidR="00100D75" w:rsidRPr="00446C16">
        <w:rPr>
          <w:bCs/>
          <w:szCs w:val="22"/>
        </w:rPr>
        <w:t>. gad</w:t>
      </w:r>
      <w:r w:rsidRPr="00446C16">
        <w:rPr>
          <w:bCs/>
          <w:szCs w:val="22"/>
        </w:rPr>
        <w:t>ā par 1,3%, samazinājumu 2021</w:t>
      </w:r>
      <w:r w:rsidR="00100D75" w:rsidRPr="00446C16">
        <w:rPr>
          <w:bCs/>
          <w:szCs w:val="22"/>
        </w:rPr>
        <w:t>. gad</w:t>
      </w:r>
      <w:r w:rsidRPr="00446C16">
        <w:rPr>
          <w:bCs/>
          <w:szCs w:val="22"/>
        </w:rPr>
        <w:t>ā par -1,5%, 2022</w:t>
      </w:r>
      <w:r w:rsidR="00100D75" w:rsidRPr="00446C16">
        <w:rPr>
          <w:bCs/>
          <w:szCs w:val="22"/>
        </w:rPr>
        <w:t>. gad</w:t>
      </w:r>
      <w:r w:rsidRPr="00446C16">
        <w:rPr>
          <w:bCs/>
          <w:szCs w:val="22"/>
        </w:rPr>
        <w:t>ā par -2</w:t>
      </w:r>
      <w:r w:rsidR="00603BFC" w:rsidRPr="00446C16">
        <w:rPr>
          <w:bCs/>
          <w:szCs w:val="22"/>
        </w:rPr>
        <w:t>,</w:t>
      </w:r>
      <w:r w:rsidRPr="00446C16">
        <w:rPr>
          <w:bCs/>
          <w:szCs w:val="22"/>
        </w:rPr>
        <w:t>9% un 2023</w:t>
      </w:r>
      <w:r w:rsidR="00100D75" w:rsidRPr="00446C16">
        <w:rPr>
          <w:bCs/>
          <w:szCs w:val="22"/>
        </w:rPr>
        <w:t>. gad</w:t>
      </w:r>
      <w:r w:rsidRPr="00446C16">
        <w:rPr>
          <w:bCs/>
          <w:szCs w:val="22"/>
        </w:rPr>
        <w:t>ā par -3,6%.</w:t>
      </w:r>
    </w:p>
    <w:p w14:paraId="023C1C97" w14:textId="41FE4D46" w:rsidR="00F66609" w:rsidRPr="00446C16" w:rsidRDefault="006D175C" w:rsidP="00895643">
      <w:pPr>
        <w:pStyle w:val="ListParagraph"/>
        <w:numPr>
          <w:ilvl w:val="0"/>
          <w:numId w:val="31"/>
        </w:numPr>
        <w:contextualSpacing w:val="0"/>
        <w:jc w:val="both"/>
        <w:rPr>
          <w:rFonts w:cstheme="minorHAnsi"/>
          <w:szCs w:val="22"/>
        </w:rPr>
      </w:pPr>
      <w:r w:rsidRPr="00446C16">
        <w:rPr>
          <w:b/>
          <w:bCs/>
          <w:szCs w:val="22"/>
        </w:rPr>
        <w:t>Komplekso būvju apakšnozarē</w:t>
      </w:r>
      <w:r w:rsidRPr="00446C16">
        <w:rPr>
          <w:szCs w:val="22"/>
        </w:rPr>
        <w:t xml:space="preserve"> prognozējams vienmērīgs </w:t>
      </w:r>
      <w:r w:rsidRPr="00446C16">
        <w:rPr>
          <w:rFonts w:cstheme="minorHAnsi"/>
          <w:b/>
          <w:bCs/>
          <w:szCs w:val="22"/>
        </w:rPr>
        <w:t xml:space="preserve">būvniecības produkcijas </w:t>
      </w:r>
      <w:r w:rsidRPr="00446C16">
        <w:rPr>
          <w:b/>
          <w:bCs/>
          <w:szCs w:val="22"/>
        </w:rPr>
        <w:t>apjoma</w:t>
      </w:r>
      <w:r w:rsidRPr="00446C16">
        <w:rPr>
          <w:szCs w:val="22"/>
        </w:rPr>
        <w:t xml:space="preserve"> pieaugums, attiecīgi 2019</w:t>
      </w:r>
      <w:r w:rsidR="00100D75" w:rsidRPr="00446C16">
        <w:rPr>
          <w:szCs w:val="22"/>
        </w:rPr>
        <w:t>. gad</w:t>
      </w:r>
      <w:r w:rsidRPr="00446C16">
        <w:rPr>
          <w:szCs w:val="22"/>
        </w:rPr>
        <w:t>ā par 14,2%, 2020</w:t>
      </w:r>
      <w:r w:rsidR="00100D75" w:rsidRPr="00446C16">
        <w:rPr>
          <w:szCs w:val="22"/>
        </w:rPr>
        <w:t>. gad</w:t>
      </w:r>
      <w:r w:rsidRPr="00446C16">
        <w:rPr>
          <w:szCs w:val="22"/>
        </w:rPr>
        <w:t>ā par</w:t>
      </w:r>
      <w:r w:rsidRPr="00446C16">
        <w:rPr>
          <w:bCs/>
          <w:szCs w:val="22"/>
        </w:rPr>
        <w:t xml:space="preserve"> 19,9%, </w:t>
      </w:r>
      <w:r w:rsidRPr="00446C16">
        <w:rPr>
          <w:szCs w:val="22"/>
        </w:rPr>
        <w:t>2021</w:t>
      </w:r>
      <w:r w:rsidR="00100D75" w:rsidRPr="00446C16">
        <w:rPr>
          <w:szCs w:val="22"/>
        </w:rPr>
        <w:t>. gad</w:t>
      </w:r>
      <w:r w:rsidRPr="00446C16">
        <w:rPr>
          <w:szCs w:val="22"/>
        </w:rPr>
        <w:t>ā par 24,4</w:t>
      </w:r>
      <w:r w:rsidRPr="00446C16">
        <w:rPr>
          <w:bCs/>
          <w:szCs w:val="22"/>
        </w:rPr>
        <w:t xml:space="preserve">%, </w:t>
      </w:r>
      <w:r w:rsidRPr="00446C16">
        <w:rPr>
          <w:szCs w:val="22"/>
        </w:rPr>
        <w:t>2022</w:t>
      </w:r>
      <w:r w:rsidR="00100D75" w:rsidRPr="00446C16">
        <w:rPr>
          <w:szCs w:val="22"/>
        </w:rPr>
        <w:t>. gad</w:t>
      </w:r>
      <w:r w:rsidRPr="00446C16">
        <w:rPr>
          <w:szCs w:val="22"/>
        </w:rPr>
        <w:t xml:space="preserve">ā par </w:t>
      </w:r>
      <w:r w:rsidRPr="00446C16">
        <w:rPr>
          <w:bCs/>
          <w:szCs w:val="22"/>
        </w:rPr>
        <w:t>29,3% un 2023</w:t>
      </w:r>
      <w:r w:rsidR="00100D75" w:rsidRPr="00446C16">
        <w:rPr>
          <w:bCs/>
          <w:szCs w:val="22"/>
        </w:rPr>
        <w:t>. gad</w:t>
      </w:r>
      <w:r w:rsidRPr="00446C16">
        <w:rPr>
          <w:bCs/>
          <w:szCs w:val="22"/>
        </w:rPr>
        <w:t xml:space="preserve">ā par 31%. </w:t>
      </w:r>
      <w:r w:rsidRPr="00446C16">
        <w:rPr>
          <w:rFonts w:ascii="Calibri" w:hAnsi="Calibri"/>
          <w:b/>
          <w:szCs w:val="22"/>
        </w:rPr>
        <w:t>Būvniecības izmaksu</w:t>
      </w:r>
      <w:r w:rsidRPr="00446C16">
        <w:rPr>
          <w:rFonts w:ascii="Calibri" w:hAnsi="Calibri"/>
          <w:bCs/>
          <w:szCs w:val="22"/>
        </w:rPr>
        <w:t xml:space="preserve"> kumulatīvās izmaiņas pret 2018</w:t>
      </w:r>
      <w:r w:rsidR="00100D75" w:rsidRPr="00446C16">
        <w:rPr>
          <w:rFonts w:ascii="Calibri" w:hAnsi="Calibri"/>
          <w:bCs/>
          <w:szCs w:val="22"/>
        </w:rPr>
        <w:t>. gad</w:t>
      </w:r>
      <w:r w:rsidRPr="00446C16">
        <w:rPr>
          <w:rFonts w:ascii="Calibri" w:hAnsi="Calibri"/>
          <w:bCs/>
          <w:szCs w:val="22"/>
        </w:rPr>
        <w:t xml:space="preserve">u paredz vienmērīgu </w:t>
      </w:r>
      <w:r w:rsidRPr="00446C16">
        <w:rPr>
          <w:szCs w:val="22"/>
        </w:rPr>
        <w:t>pieaugumu visā periodā no 2019. līdz 2023</w:t>
      </w:r>
      <w:r w:rsidR="00100D75" w:rsidRPr="00446C16">
        <w:rPr>
          <w:szCs w:val="22"/>
        </w:rPr>
        <w:t>. gad</w:t>
      </w:r>
      <w:r w:rsidRPr="00446C16">
        <w:rPr>
          <w:szCs w:val="22"/>
        </w:rPr>
        <w:t>am, attiecīgi 2019</w:t>
      </w:r>
      <w:r w:rsidR="00100D75" w:rsidRPr="00446C16">
        <w:rPr>
          <w:szCs w:val="22"/>
        </w:rPr>
        <w:t>. gad</w:t>
      </w:r>
      <w:r w:rsidRPr="00446C16">
        <w:rPr>
          <w:szCs w:val="22"/>
        </w:rPr>
        <w:t>ā pieaugums par 2,8</w:t>
      </w:r>
      <w:r w:rsidRPr="00446C16">
        <w:rPr>
          <w:bCs/>
          <w:szCs w:val="22"/>
        </w:rPr>
        <w:t xml:space="preserve">%, </w:t>
      </w:r>
      <w:r w:rsidRPr="00446C16">
        <w:rPr>
          <w:szCs w:val="22"/>
        </w:rPr>
        <w:t>2020</w:t>
      </w:r>
      <w:r w:rsidR="00100D75" w:rsidRPr="00446C16">
        <w:rPr>
          <w:szCs w:val="22"/>
        </w:rPr>
        <w:t>. gad</w:t>
      </w:r>
      <w:r w:rsidRPr="00446C16">
        <w:rPr>
          <w:szCs w:val="22"/>
        </w:rPr>
        <w:t>ā par</w:t>
      </w:r>
      <w:r w:rsidRPr="00446C16">
        <w:rPr>
          <w:bCs/>
          <w:szCs w:val="22"/>
        </w:rPr>
        <w:t xml:space="preserve"> 10%, </w:t>
      </w:r>
      <w:r w:rsidRPr="00446C16">
        <w:rPr>
          <w:szCs w:val="22"/>
        </w:rPr>
        <w:t>2021</w:t>
      </w:r>
      <w:r w:rsidR="00100D75" w:rsidRPr="00446C16">
        <w:rPr>
          <w:szCs w:val="22"/>
        </w:rPr>
        <w:t>. gad</w:t>
      </w:r>
      <w:r w:rsidRPr="00446C16">
        <w:rPr>
          <w:szCs w:val="22"/>
        </w:rPr>
        <w:t xml:space="preserve">ā par </w:t>
      </w:r>
      <w:r w:rsidRPr="00446C16">
        <w:rPr>
          <w:bCs/>
          <w:szCs w:val="22"/>
        </w:rPr>
        <w:t xml:space="preserve">13,3%, </w:t>
      </w:r>
      <w:r w:rsidRPr="00446C16">
        <w:rPr>
          <w:szCs w:val="22"/>
        </w:rPr>
        <w:t>2022</w:t>
      </w:r>
      <w:r w:rsidR="00100D75" w:rsidRPr="00446C16">
        <w:rPr>
          <w:szCs w:val="22"/>
        </w:rPr>
        <w:t>. gad</w:t>
      </w:r>
      <w:r w:rsidRPr="00446C16">
        <w:rPr>
          <w:szCs w:val="22"/>
        </w:rPr>
        <w:t xml:space="preserve">ā par </w:t>
      </w:r>
      <w:r w:rsidRPr="00446C16">
        <w:rPr>
          <w:bCs/>
          <w:szCs w:val="22"/>
        </w:rPr>
        <w:t>17% un 2023</w:t>
      </w:r>
      <w:r w:rsidR="00100D75" w:rsidRPr="00446C16">
        <w:rPr>
          <w:bCs/>
          <w:szCs w:val="22"/>
        </w:rPr>
        <w:t>. gad</w:t>
      </w:r>
      <w:r w:rsidRPr="00446C16">
        <w:rPr>
          <w:bCs/>
          <w:szCs w:val="22"/>
        </w:rPr>
        <w:t>ā par 21,7%.</w:t>
      </w:r>
    </w:p>
    <w:p w14:paraId="534382A5" w14:textId="210531EC" w:rsidR="002A2B30" w:rsidRPr="00446C16" w:rsidRDefault="002A2B30" w:rsidP="00895643">
      <w:pPr>
        <w:pStyle w:val="ListParagraph"/>
        <w:numPr>
          <w:ilvl w:val="0"/>
          <w:numId w:val="31"/>
        </w:numPr>
        <w:contextualSpacing w:val="0"/>
        <w:jc w:val="both"/>
        <w:rPr>
          <w:rStyle w:val="st"/>
          <w:rFonts w:cstheme="minorHAnsi"/>
          <w:szCs w:val="22"/>
        </w:rPr>
      </w:pPr>
      <w:r w:rsidRPr="00446C16">
        <w:rPr>
          <w:rStyle w:val="st"/>
          <w:szCs w:val="22"/>
        </w:rPr>
        <w:t xml:space="preserve">Starp visiem resursu veidiem </w:t>
      </w:r>
      <w:r w:rsidRPr="00446C16">
        <w:rPr>
          <w:rStyle w:val="st"/>
          <w:b/>
          <w:bCs/>
          <w:szCs w:val="22"/>
        </w:rPr>
        <w:t>būvmateriāliem</w:t>
      </w:r>
      <w:r w:rsidRPr="00446C16">
        <w:rPr>
          <w:rStyle w:val="st"/>
          <w:szCs w:val="22"/>
        </w:rPr>
        <w:t xml:space="preserve"> tiek prognozētas zemākās būvniecības izmaksu izmaiņas, kumulatīvās izmaiņas pret 2018</w:t>
      </w:r>
      <w:r w:rsidR="00100D75" w:rsidRPr="00446C16">
        <w:rPr>
          <w:rStyle w:val="st"/>
          <w:szCs w:val="22"/>
        </w:rPr>
        <w:t>. gad</w:t>
      </w:r>
      <w:r w:rsidRPr="00446C16">
        <w:rPr>
          <w:rStyle w:val="st"/>
          <w:szCs w:val="22"/>
        </w:rPr>
        <w:t xml:space="preserve">u paredz izmaksu </w:t>
      </w:r>
      <w:r w:rsidR="00055789" w:rsidRPr="00446C16">
        <w:rPr>
          <w:rStyle w:val="st"/>
          <w:szCs w:val="22"/>
        </w:rPr>
        <w:t xml:space="preserve">izmaiņu </w:t>
      </w:r>
      <w:r w:rsidRPr="00446C16">
        <w:rPr>
          <w:rStyle w:val="st"/>
          <w:szCs w:val="22"/>
        </w:rPr>
        <w:t>pieaugumu 2019</w:t>
      </w:r>
      <w:r w:rsidR="00100D75" w:rsidRPr="00446C16">
        <w:rPr>
          <w:rStyle w:val="st"/>
          <w:szCs w:val="22"/>
        </w:rPr>
        <w:t>. gad</w:t>
      </w:r>
      <w:r w:rsidRPr="00446C16">
        <w:rPr>
          <w:rStyle w:val="st"/>
          <w:szCs w:val="22"/>
        </w:rPr>
        <w:t>ā par 3,19%, 2020</w:t>
      </w:r>
      <w:r w:rsidR="00100D75" w:rsidRPr="00446C16">
        <w:rPr>
          <w:rStyle w:val="st"/>
          <w:szCs w:val="22"/>
        </w:rPr>
        <w:t>. gad</w:t>
      </w:r>
      <w:r w:rsidRPr="00446C16">
        <w:rPr>
          <w:rStyle w:val="st"/>
          <w:szCs w:val="22"/>
        </w:rPr>
        <w:t>ā 5,8%, 2021</w:t>
      </w:r>
      <w:r w:rsidR="00100D75" w:rsidRPr="00446C16">
        <w:rPr>
          <w:rStyle w:val="st"/>
          <w:szCs w:val="22"/>
        </w:rPr>
        <w:t>. gad</w:t>
      </w:r>
      <w:r w:rsidRPr="00446C16">
        <w:rPr>
          <w:rStyle w:val="st"/>
          <w:szCs w:val="22"/>
        </w:rPr>
        <w:t>ā 6,14%, 2022</w:t>
      </w:r>
      <w:r w:rsidR="00100D75" w:rsidRPr="00446C16">
        <w:rPr>
          <w:rStyle w:val="st"/>
          <w:szCs w:val="22"/>
        </w:rPr>
        <w:t>. gad</w:t>
      </w:r>
      <w:r w:rsidRPr="00446C16">
        <w:rPr>
          <w:rStyle w:val="st"/>
          <w:szCs w:val="22"/>
        </w:rPr>
        <w:t>ā par 4,69% un 2023</w:t>
      </w:r>
      <w:r w:rsidR="00100D75" w:rsidRPr="00446C16">
        <w:rPr>
          <w:rStyle w:val="st"/>
          <w:szCs w:val="22"/>
        </w:rPr>
        <w:t>. gad</w:t>
      </w:r>
      <w:r w:rsidRPr="00446C16">
        <w:rPr>
          <w:rStyle w:val="st"/>
          <w:szCs w:val="22"/>
        </w:rPr>
        <w:t>ā 4,97%.</w:t>
      </w:r>
    </w:p>
    <w:p w14:paraId="76957340" w14:textId="6F8E9026" w:rsidR="003F2F68" w:rsidRPr="00446C16" w:rsidRDefault="002A2B30" w:rsidP="00895643">
      <w:pPr>
        <w:pStyle w:val="ListParagraph"/>
        <w:numPr>
          <w:ilvl w:val="0"/>
          <w:numId w:val="31"/>
        </w:numPr>
        <w:contextualSpacing w:val="0"/>
        <w:jc w:val="both"/>
        <w:rPr>
          <w:rStyle w:val="st"/>
          <w:rFonts w:cstheme="minorHAnsi"/>
          <w:szCs w:val="22"/>
        </w:rPr>
      </w:pPr>
      <w:r w:rsidRPr="00446C16">
        <w:rPr>
          <w:rStyle w:val="st"/>
          <w:b/>
          <w:bCs/>
          <w:szCs w:val="22"/>
        </w:rPr>
        <w:t>Strādnieku darba samaksai</w:t>
      </w:r>
      <w:r w:rsidRPr="00446C16">
        <w:rPr>
          <w:rStyle w:val="st"/>
          <w:szCs w:val="22"/>
        </w:rPr>
        <w:t xml:space="preserve"> prognozēts straujākais izmaksu</w:t>
      </w:r>
      <w:r w:rsidR="00055789" w:rsidRPr="00446C16">
        <w:rPr>
          <w:rStyle w:val="st"/>
          <w:szCs w:val="22"/>
        </w:rPr>
        <w:t xml:space="preserve"> izmaiņu</w:t>
      </w:r>
      <w:r w:rsidRPr="00446C16">
        <w:rPr>
          <w:rStyle w:val="st"/>
          <w:szCs w:val="22"/>
        </w:rPr>
        <w:t xml:space="preserve"> pieaugums, kumulatīvās izmaiņas pret 2018</w:t>
      </w:r>
      <w:r w:rsidR="00100D75" w:rsidRPr="00446C16">
        <w:rPr>
          <w:rStyle w:val="st"/>
          <w:szCs w:val="22"/>
        </w:rPr>
        <w:t>. gad</w:t>
      </w:r>
      <w:r w:rsidRPr="00446C16">
        <w:rPr>
          <w:rStyle w:val="st"/>
          <w:szCs w:val="22"/>
        </w:rPr>
        <w:t>u paredz pieaugumu no 7,11% 2019</w:t>
      </w:r>
      <w:r w:rsidR="00100D75" w:rsidRPr="00446C16">
        <w:rPr>
          <w:rStyle w:val="st"/>
          <w:szCs w:val="22"/>
        </w:rPr>
        <w:t>. gad</w:t>
      </w:r>
      <w:r w:rsidRPr="00446C16">
        <w:rPr>
          <w:rStyle w:val="st"/>
          <w:szCs w:val="22"/>
        </w:rPr>
        <w:t>ā līdz pat 20,39% 2023</w:t>
      </w:r>
      <w:r w:rsidR="00100D75" w:rsidRPr="00446C16">
        <w:rPr>
          <w:rStyle w:val="st"/>
          <w:szCs w:val="22"/>
        </w:rPr>
        <w:t>. gad</w:t>
      </w:r>
      <w:r w:rsidRPr="00446C16">
        <w:rPr>
          <w:rStyle w:val="st"/>
          <w:szCs w:val="22"/>
        </w:rPr>
        <w:t>ā. Vienmērīgi pieaugot 2020</w:t>
      </w:r>
      <w:r w:rsidR="00100D75" w:rsidRPr="00446C16">
        <w:rPr>
          <w:rStyle w:val="st"/>
          <w:szCs w:val="22"/>
        </w:rPr>
        <w:t>. gad</w:t>
      </w:r>
      <w:r w:rsidRPr="00446C16">
        <w:rPr>
          <w:rStyle w:val="st"/>
          <w:szCs w:val="22"/>
        </w:rPr>
        <w:t>ā par 11,71%, 2021</w:t>
      </w:r>
      <w:r w:rsidR="00100D75" w:rsidRPr="00446C16">
        <w:rPr>
          <w:rStyle w:val="st"/>
          <w:szCs w:val="22"/>
        </w:rPr>
        <w:t>. gad</w:t>
      </w:r>
      <w:r w:rsidRPr="00446C16">
        <w:rPr>
          <w:rStyle w:val="st"/>
          <w:szCs w:val="22"/>
        </w:rPr>
        <w:t>ā par 16,11% un 2022</w:t>
      </w:r>
      <w:r w:rsidR="00100D75" w:rsidRPr="00446C16">
        <w:rPr>
          <w:rStyle w:val="st"/>
          <w:szCs w:val="22"/>
        </w:rPr>
        <w:t>. gad</w:t>
      </w:r>
      <w:r w:rsidRPr="00446C16">
        <w:rPr>
          <w:rStyle w:val="st"/>
          <w:szCs w:val="22"/>
        </w:rPr>
        <w:t>ā par 18,78%.</w:t>
      </w:r>
    </w:p>
    <w:p w14:paraId="5DB6627B" w14:textId="77F5DA50" w:rsidR="003F2F68" w:rsidRPr="00446C16" w:rsidRDefault="003F2F68" w:rsidP="00895643">
      <w:pPr>
        <w:pStyle w:val="ListParagraph"/>
        <w:numPr>
          <w:ilvl w:val="0"/>
          <w:numId w:val="31"/>
        </w:numPr>
        <w:contextualSpacing w:val="0"/>
        <w:jc w:val="both"/>
        <w:rPr>
          <w:rStyle w:val="st"/>
          <w:rFonts w:cstheme="minorHAnsi"/>
          <w:szCs w:val="22"/>
        </w:rPr>
      </w:pPr>
      <w:r w:rsidRPr="00446C16">
        <w:rPr>
          <w:rStyle w:val="st"/>
          <w:b/>
          <w:bCs/>
          <w:szCs w:val="22"/>
        </w:rPr>
        <w:t>Mašīnu un mehānismu uzturēšanas un ekspluatācijas</w:t>
      </w:r>
      <w:r w:rsidRPr="00446C16">
        <w:rPr>
          <w:rStyle w:val="st"/>
          <w:szCs w:val="22"/>
        </w:rPr>
        <w:t xml:space="preserve"> izmaksu</w:t>
      </w:r>
      <w:r w:rsidR="00055789" w:rsidRPr="00446C16">
        <w:rPr>
          <w:rStyle w:val="st"/>
          <w:szCs w:val="22"/>
        </w:rPr>
        <w:t xml:space="preserve"> izmaiņu</w:t>
      </w:r>
      <w:r w:rsidRPr="00446C16">
        <w:rPr>
          <w:rStyle w:val="st"/>
          <w:szCs w:val="22"/>
        </w:rPr>
        <w:t xml:space="preserve"> izmaiņas pret 2018</w:t>
      </w:r>
      <w:r w:rsidR="00100D75" w:rsidRPr="00446C16">
        <w:rPr>
          <w:rStyle w:val="st"/>
          <w:szCs w:val="22"/>
        </w:rPr>
        <w:t>. gad</w:t>
      </w:r>
      <w:r w:rsidRPr="00446C16">
        <w:rPr>
          <w:rStyle w:val="st"/>
          <w:szCs w:val="22"/>
        </w:rPr>
        <w:t>u ir mērenas, attiecīgi 2019</w:t>
      </w:r>
      <w:r w:rsidR="00100D75" w:rsidRPr="00446C16">
        <w:rPr>
          <w:rStyle w:val="st"/>
          <w:szCs w:val="22"/>
        </w:rPr>
        <w:t>. gad</w:t>
      </w:r>
      <w:r w:rsidRPr="00446C16">
        <w:rPr>
          <w:rStyle w:val="st"/>
          <w:szCs w:val="22"/>
        </w:rPr>
        <w:t>ā pieaugums par 4,18%, 2020</w:t>
      </w:r>
      <w:r w:rsidR="00100D75" w:rsidRPr="00446C16">
        <w:rPr>
          <w:rStyle w:val="st"/>
          <w:szCs w:val="22"/>
        </w:rPr>
        <w:t>. gad</w:t>
      </w:r>
      <w:r w:rsidRPr="00446C16">
        <w:rPr>
          <w:rStyle w:val="st"/>
          <w:szCs w:val="22"/>
        </w:rPr>
        <w:t>ā par 7,33%, 2021</w:t>
      </w:r>
      <w:r w:rsidR="00100D75" w:rsidRPr="00446C16">
        <w:rPr>
          <w:rStyle w:val="st"/>
          <w:szCs w:val="22"/>
        </w:rPr>
        <w:t>. gad</w:t>
      </w:r>
      <w:r w:rsidRPr="00446C16">
        <w:rPr>
          <w:rStyle w:val="st"/>
          <w:szCs w:val="22"/>
        </w:rPr>
        <w:t>ā par 7,84%, 2022</w:t>
      </w:r>
      <w:r w:rsidR="00100D75" w:rsidRPr="00446C16">
        <w:rPr>
          <w:rStyle w:val="st"/>
          <w:szCs w:val="22"/>
        </w:rPr>
        <w:t>. gad</w:t>
      </w:r>
      <w:r w:rsidRPr="00446C16">
        <w:rPr>
          <w:rStyle w:val="st"/>
          <w:szCs w:val="22"/>
        </w:rPr>
        <w:t>ā par 6,84% un 2023</w:t>
      </w:r>
      <w:r w:rsidR="00100D75" w:rsidRPr="00446C16">
        <w:rPr>
          <w:rStyle w:val="st"/>
          <w:szCs w:val="22"/>
        </w:rPr>
        <w:t>. gad</w:t>
      </w:r>
      <w:r w:rsidRPr="00446C16">
        <w:rPr>
          <w:rStyle w:val="st"/>
          <w:szCs w:val="22"/>
        </w:rPr>
        <w:t>ā par 8,30%.</w:t>
      </w:r>
    </w:p>
    <w:p w14:paraId="7D66DF68" w14:textId="1059FA74" w:rsidR="003F2F68" w:rsidRPr="00446C16" w:rsidRDefault="003F2F68" w:rsidP="00895643">
      <w:pPr>
        <w:pStyle w:val="ListParagraph"/>
        <w:numPr>
          <w:ilvl w:val="0"/>
          <w:numId w:val="31"/>
        </w:numPr>
        <w:contextualSpacing w:val="0"/>
        <w:jc w:val="both"/>
        <w:rPr>
          <w:rStyle w:val="st"/>
          <w:rFonts w:cstheme="minorHAnsi"/>
          <w:szCs w:val="22"/>
        </w:rPr>
      </w:pPr>
      <w:r w:rsidRPr="00446C16">
        <w:rPr>
          <w:rStyle w:val="st"/>
          <w:b/>
          <w:bCs/>
          <w:szCs w:val="22"/>
        </w:rPr>
        <w:t>Arhitektūras un inženiertehnisko pakalpojumu; tehnisko pārbaužu un analīžu</w:t>
      </w:r>
      <w:r w:rsidRPr="00446C16">
        <w:rPr>
          <w:rStyle w:val="st"/>
          <w:szCs w:val="22"/>
        </w:rPr>
        <w:t xml:space="preserve"> </w:t>
      </w:r>
      <w:r w:rsidRPr="00446C16">
        <w:rPr>
          <w:szCs w:val="22"/>
        </w:rPr>
        <w:t>pakalpojumu izmaks</w:t>
      </w:r>
      <w:r w:rsidR="00055789" w:rsidRPr="00446C16">
        <w:rPr>
          <w:szCs w:val="22"/>
        </w:rPr>
        <w:t xml:space="preserve">u izmaiņās </w:t>
      </w:r>
      <w:r w:rsidRPr="00446C16">
        <w:rPr>
          <w:rStyle w:val="st"/>
          <w:szCs w:val="22"/>
        </w:rPr>
        <w:t>prognozējams straujš pieaugums no 5,25% 2019</w:t>
      </w:r>
      <w:r w:rsidR="00100D75" w:rsidRPr="00446C16">
        <w:rPr>
          <w:rStyle w:val="st"/>
          <w:szCs w:val="22"/>
        </w:rPr>
        <w:t>. gad</w:t>
      </w:r>
      <w:r w:rsidRPr="00446C16">
        <w:rPr>
          <w:rStyle w:val="st"/>
          <w:szCs w:val="22"/>
        </w:rPr>
        <w:t>ā līdz pat 15,18% 2023</w:t>
      </w:r>
      <w:r w:rsidR="00100D75" w:rsidRPr="00446C16">
        <w:rPr>
          <w:rStyle w:val="st"/>
          <w:szCs w:val="22"/>
        </w:rPr>
        <w:t>. gad</w:t>
      </w:r>
      <w:r w:rsidRPr="00446C16">
        <w:rPr>
          <w:rStyle w:val="st"/>
          <w:szCs w:val="22"/>
        </w:rPr>
        <w:t>ā. Attiecīgi 2020</w:t>
      </w:r>
      <w:r w:rsidR="00100D75" w:rsidRPr="00446C16">
        <w:rPr>
          <w:rStyle w:val="st"/>
          <w:szCs w:val="22"/>
        </w:rPr>
        <w:t>. gad</w:t>
      </w:r>
      <w:r w:rsidRPr="00446C16">
        <w:rPr>
          <w:rStyle w:val="st"/>
          <w:szCs w:val="22"/>
        </w:rPr>
        <w:t>ā 10,41% pieaugums, 2021</w:t>
      </w:r>
      <w:r w:rsidR="00100D75" w:rsidRPr="00446C16">
        <w:rPr>
          <w:rStyle w:val="st"/>
          <w:szCs w:val="22"/>
        </w:rPr>
        <w:t>. gad</w:t>
      </w:r>
      <w:r w:rsidRPr="00446C16">
        <w:rPr>
          <w:rStyle w:val="st"/>
          <w:szCs w:val="22"/>
        </w:rPr>
        <w:t>ā pieaugums 13,2%, 2022</w:t>
      </w:r>
      <w:r w:rsidR="00100D75" w:rsidRPr="00446C16">
        <w:rPr>
          <w:rStyle w:val="st"/>
          <w:szCs w:val="22"/>
        </w:rPr>
        <w:t>. gad</w:t>
      </w:r>
      <w:r w:rsidRPr="00446C16">
        <w:rPr>
          <w:rStyle w:val="st"/>
          <w:szCs w:val="22"/>
        </w:rPr>
        <w:t>ā pieaugums prognozējams 15,18% apmērā pret 2018</w:t>
      </w:r>
      <w:r w:rsidR="00100D75" w:rsidRPr="00446C16">
        <w:rPr>
          <w:rStyle w:val="st"/>
          <w:szCs w:val="22"/>
        </w:rPr>
        <w:t>. gad</w:t>
      </w:r>
      <w:r w:rsidRPr="00446C16">
        <w:rPr>
          <w:rStyle w:val="st"/>
          <w:szCs w:val="22"/>
        </w:rPr>
        <w:t xml:space="preserve">u. </w:t>
      </w:r>
    </w:p>
    <w:p w14:paraId="4ACABC3E" w14:textId="79115C64" w:rsidR="00023017" w:rsidRPr="00446C16" w:rsidRDefault="00023017" w:rsidP="00F43932">
      <w:pPr>
        <w:pStyle w:val="ListParagraph"/>
        <w:ind w:left="851"/>
        <w:contextualSpacing w:val="0"/>
        <w:jc w:val="both"/>
        <w:rPr>
          <w:rFonts w:ascii="Calibri" w:hAnsi="Calibri"/>
          <w:bCs/>
          <w:szCs w:val="22"/>
        </w:rPr>
      </w:pPr>
    </w:p>
    <w:p w14:paraId="7FD57F22" w14:textId="3C7B37CF" w:rsidR="00A37961" w:rsidRPr="00446C16" w:rsidRDefault="00A37961" w:rsidP="00A37961">
      <w:pPr>
        <w:rPr>
          <w:rFonts w:ascii="Calibri" w:hAnsi="Calibri"/>
          <w:bCs/>
          <w:szCs w:val="22"/>
        </w:rPr>
      </w:pPr>
    </w:p>
    <w:p w14:paraId="5E18CECC" w14:textId="77777777" w:rsidR="00A37961" w:rsidRPr="00446C16" w:rsidRDefault="00A37961" w:rsidP="00A37961">
      <w:pPr>
        <w:rPr>
          <w:rFonts w:ascii="Calibri" w:hAnsi="Calibri"/>
          <w:bCs/>
          <w:szCs w:val="22"/>
        </w:rPr>
      </w:pPr>
    </w:p>
    <w:p w14:paraId="7B54617A" w14:textId="77777777" w:rsidR="00DE55B8" w:rsidRPr="00446C16" w:rsidRDefault="00DE55B8">
      <w:pPr>
        <w:spacing w:before="100" w:after="200" w:line="276" w:lineRule="auto"/>
        <w:rPr>
          <w:rFonts w:ascii="Calibri" w:hAnsi="Calibri"/>
          <w:b/>
          <w:color w:val="FFFFFF" w:themeColor="background1"/>
          <w:sz w:val="30"/>
          <w:szCs w:val="30"/>
        </w:rPr>
      </w:pPr>
      <w:r w:rsidRPr="00446C16">
        <w:rPr>
          <w:caps/>
          <w:sz w:val="30"/>
          <w:szCs w:val="30"/>
        </w:rPr>
        <w:br w:type="page"/>
      </w:r>
    </w:p>
    <w:p w14:paraId="59E855CF" w14:textId="7BC2CD8C" w:rsidR="00C2520A" w:rsidRPr="00446C16" w:rsidRDefault="001D2359" w:rsidP="00C2520A">
      <w:pPr>
        <w:pStyle w:val="Heading1"/>
        <w:rPr>
          <w:sz w:val="30"/>
          <w:szCs w:val="30"/>
        </w:rPr>
      </w:pPr>
      <w:bookmarkStart w:id="803" w:name="_Toc23163513"/>
      <w:r w:rsidRPr="00446C16">
        <w:rPr>
          <w:caps w:val="0"/>
          <w:sz w:val="30"/>
          <w:szCs w:val="30"/>
        </w:rPr>
        <w:lastRenderedPageBreak/>
        <w:t>SECINĀJUMI</w:t>
      </w:r>
      <w:bookmarkEnd w:id="803"/>
    </w:p>
    <w:p w14:paraId="1C8BFB50" w14:textId="3C691045" w:rsidR="00124EFB" w:rsidRPr="00446C16" w:rsidRDefault="00124EFB" w:rsidP="00124EFB">
      <w:pPr>
        <w:jc w:val="both"/>
        <w:rPr>
          <w:rFonts w:cstheme="minorHAnsi"/>
          <w:szCs w:val="22"/>
        </w:rPr>
      </w:pPr>
      <w:r w:rsidRPr="00446C16">
        <w:rPr>
          <w:rFonts w:cstheme="minorHAnsi"/>
          <w:szCs w:val="22"/>
        </w:rPr>
        <w:t>1. Prognozes paredz, ka 2019. un 2020. gadā kopējais būvniecības produkcijas apjoms pieaugs virs 10% pret iepriekšējo gadu, bet pēc 2021. gada paredzams pieauguma samazinājums un apjomu kritums.</w:t>
      </w:r>
    </w:p>
    <w:p w14:paraId="4134F245" w14:textId="53CA2D4A" w:rsidR="00124EFB" w:rsidRPr="00446C16" w:rsidRDefault="00124EFB" w:rsidP="00124EFB">
      <w:pPr>
        <w:jc w:val="both"/>
        <w:rPr>
          <w:rFonts w:cstheme="minorHAnsi"/>
          <w:szCs w:val="22"/>
        </w:rPr>
      </w:pPr>
      <w:r w:rsidRPr="00446C16">
        <w:rPr>
          <w:rFonts w:cstheme="minorHAnsi"/>
          <w:szCs w:val="22"/>
        </w:rPr>
        <w:t>2. Būvniecības produkcijas kopējā apjoma pieaugums tiešā veidā ietekmēs izmaksu izmaiņas, kas 2019. un 2020. gadā pieaugs par aptuveni 5% pret iepriekšējo gadu, bet 2022. gadā varētu pat samazināties.</w:t>
      </w:r>
    </w:p>
    <w:p w14:paraId="273F227A" w14:textId="2574AE85" w:rsidR="00124EFB" w:rsidRPr="00446C16" w:rsidRDefault="00124EFB" w:rsidP="00124EFB">
      <w:pPr>
        <w:jc w:val="both"/>
        <w:rPr>
          <w:rFonts w:cstheme="minorHAnsi"/>
          <w:szCs w:val="22"/>
        </w:rPr>
      </w:pPr>
      <w:r w:rsidRPr="00446C16">
        <w:rPr>
          <w:rFonts w:cstheme="minorHAnsi"/>
          <w:szCs w:val="22"/>
        </w:rPr>
        <w:t>3. Prognozes paredz, ka no resursu veidiem visvairāk pieaugs strādnieku darba samaksa, kas 2023. gadā var sasniegt 20% kumulatīvo pieaugumu pret 2018. gada līmeni, bet arhitektūras un inženiertehniskie pakalpojumu un tehniskās pārbaudes un analīzes izmaksu izmaiņas: 15% pieaugumu. Būvmateriālu un mašīnu un mehānismu uzturēšanas un ekspluatācijas izmaksu izmaiņas 2020. gadā sasniegs 6-7% kumulatīvo pieaugumu pret 2018. gada līmeni un saglabāsies gandrīz nemainīgas.</w:t>
      </w:r>
    </w:p>
    <w:p w14:paraId="3C1A5AE4" w14:textId="666BBC2C" w:rsidR="00124EFB" w:rsidRPr="00446C16" w:rsidRDefault="00124EFB" w:rsidP="00124EFB">
      <w:pPr>
        <w:jc w:val="both"/>
        <w:rPr>
          <w:rFonts w:cstheme="minorHAnsi"/>
          <w:szCs w:val="22"/>
        </w:rPr>
      </w:pPr>
      <w:r w:rsidRPr="00446C16">
        <w:rPr>
          <w:rFonts w:cstheme="minorHAnsi"/>
          <w:szCs w:val="22"/>
        </w:rPr>
        <w:t>4. Apakšnozares, kurās prognozes p</w:t>
      </w:r>
      <w:r w:rsidR="00576929">
        <w:rPr>
          <w:rFonts w:cstheme="minorHAnsi"/>
          <w:szCs w:val="22"/>
        </w:rPr>
        <w:t>aredz vislielāko izmaksu</w:t>
      </w:r>
      <w:r w:rsidRPr="00446C16">
        <w:rPr>
          <w:rFonts w:cstheme="minorHAnsi"/>
          <w:szCs w:val="22"/>
        </w:rPr>
        <w:t xml:space="preserve"> pieaugumu ir ēkas un kompleksās būves, kurās straujāku pieaugumu 2019. un 2020. gadā nomaina lēnāks pieaugums. Otrā grupā ir transporta objekti, pazemes maģistrālie cauruļvadi un pārējā </w:t>
      </w:r>
      <w:proofErr w:type="spellStart"/>
      <w:r w:rsidRPr="00446C16">
        <w:rPr>
          <w:rFonts w:cstheme="minorHAnsi"/>
          <w:szCs w:val="22"/>
        </w:rPr>
        <w:t>inženierbūvniecība</w:t>
      </w:r>
      <w:proofErr w:type="spellEnd"/>
      <w:r w:rsidRPr="00446C16">
        <w:rPr>
          <w:rFonts w:cstheme="minorHAnsi"/>
          <w:szCs w:val="22"/>
        </w:rPr>
        <w:t>, kurā pēc pieauguma 2019. un 2020. gadā seko izmaksu izmaiņu lejupslīde vai svārstības ap nulli.</w:t>
      </w:r>
    </w:p>
    <w:p w14:paraId="5A1DBBFC" w14:textId="77777777" w:rsidR="00124EFB" w:rsidRPr="00446C16" w:rsidRDefault="00124EFB" w:rsidP="00124EFB">
      <w:pPr>
        <w:jc w:val="both"/>
        <w:rPr>
          <w:rFonts w:cstheme="minorHAnsi"/>
          <w:szCs w:val="22"/>
        </w:rPr>
      </w:pPr>
      <w:r w:rsidRPr="00446C16">
        <w:rPr>
          <w:rFonts w:cstheme="minorHAnsi"/>
          <w:szCs w:val="22"/>
        </w:rPr>
        <w:t xml:space="preserve">5. Galvenais faktors, kas ietekmē darbaspēka un būvniecības izmaksu izmaiņas ir būvniecības produkcijas apjoms Latvijā. </w:t>
      </w:r>
    </w:p>
    <w:p w14:paraId="41C1A69C" w14:textId="04EC4E3B" w:rsidR="00124EFB" w:rsidRPr="00446C16" w:rsidRDefault="00124EFB" w:rsidP="00124EFB">
      <w:pPr>
        <w:jc w:val="both"/>
        <w:rPr>
          <w:rFonts w:cstheme="minorHAnsi"/>
          <w:szCs w:val="22"/>
        </w:rPr>
      </w:pPr>
      <w:r w:rsidRPr="00446C16">
        <w:rPr>
          <w:rFonts w:cstheme="minorHAnsi"/>
          <w:szCs w:val="22"/>
        </w:rPr>
        <w:t>6. Publisko iepirkumu būvniecības apjomam ir būtiska ietekme uz būvniecības nozari tā īpatsvara dēļ. Publisko iepirkumu būvniecības apjomam prognozējams risks būtiski samazināties pēc 2020. gada, ja apjoma dinamika būs līdzīga, kā iepriekšējā ES fondu plānošanas periodā pēc 2014.gada un ES fondu līdzfinansēto projektu apjoma kritums netiks aizvietots ar valsts, pašvaldību, privātā sektora projektiem un jaunā ES fondu plānošanas perioda savlaicīgi uzsāktiem projektiem.</w:t>
      </w:r>
      <w:r w:rsidR="00E2550B">
        <w:rPr>
          <w:rFonts w:cstheme="minorHAnsi"/>
          <w:szCs w:val="22"/>
        </w:rPr>
        <w:t xml:space="preserve"> Īpaši izteikti tas attiecināms uz autoceļu infrastruktūras būvniecību</w:t>
      </w:r>
      <w:bookmarkStart w:id="804" w:name="_GoBack"/>
      <w:bookmarkEnd w:id="804"/>
      <w:r w:rsidR="00E2550B">
        <w:rPr>
          <w:rFonts w:cstheme="minorHAnsi"/>
          <w:szCs w:val="22"/>
        </w:rPr>
        <w:t>.</w:t>
      </w:r>
    </w:p>
    <w:p w14:paraId="3D219660" w14:textId="014109D0" w:rsidR="00124EFB" w:rsidRPr="00446C16" w:rsidRDefault="00124EFB" w:rsidP="00124EFB">
      <w:pPr>
        <w:jc w:val="both"/>
        <w:rPr>
          <w:rFonts w:cstheme="minorHAnsi"/>
          <w:szCs w:val="22"/>
        </w:rPr>
      </w:pPr>
      <w:r w:rsidRPr="00446C16">
        <w:rPr>
          <w:rFonts w:cstheme="minorHAnsi"/>
          <w:szCs w:val="22"/>
        </w:rPr>
        <w:t>7. Kopējais būvniecības produkcijas apjoms būs atkarīgs arī no tirgus elastības, pielāgojoties 2018.-2020. gada periodā atliktajam privātajam pieprasījumam.</w:t>
      </w:r>
    </w:p>
    <w:p w14:paraId="4C92A356" w14:textId="3534B524" w:rsidR="00124EFB" w:rsidRPr="00446C16" w:rsidRDefault="00124EFB" w:rsidP="00124EFB">
      <w:pPr>
        <w:jc w:val="both"/>
        <w:rPr>
          <w:rFonts w:cstheme="minorHAnsi"/>
          <w:szCs w:val="22"/>
        </w:rPr>
      </w:pPr>
      <w:r w:rsidRPr="00446C16">
        <w:rPr>
          <w:rFonts w:cstheme="minorHAnsi"/>
          <w:szCs w:val="22"/>
        </w:rPr>
        <w:t xml:space="preserve">8. Izmaksu </w:t>
      </w:r>
      <w:r w:rsidRPr="00446C16">
        <w:t>izmaiņu</w:t>
      </w:r>
      <w:r w:rsidRPr="00446C16">
        <w:rPr>
          <w:rFonts w:cstheme="minorHAnsi"/>
          <w:szCs w:val="22"/>
        </w:rPr>
        <w:t xml:space="preserve"> prognozes liecina, ka pēc 2020. gada, būvniecības izmaksu līmenis paredzams praktiski nemainīgs, līdzīgi kā 2014.-2016. gadā. Tādēļ pastāv būtisks risks, ka privātais pieprasījums uzreiz neaizvietos publisko iepirkumu apjoma kritumu un iespējams būtisks būvniecības apjomu samazinājums.</w:t>
      </w:r>
    </w:p>
    <w:p w14:paraId="3090F881" w14:textId="77777777" w:rsidR="00124EFB" w:rsidRPr="00446C16" w:rsidRDefault="00124EFB" w:rsidP="00124EFB">
      <w:pPr>
        <w:jc w:val="both"/>
        <w:rPr>
          <w:rFonts w:cstheme="minorHAnsi"/>
          <w:szCs w:val="22"/>
        </w:rPr>
      </w:pPr>
      <w:r w:rsidRPr="00446C16">
        <w:rPr>
          <w:rFonts w:cstheme="minorHAnsi"/>
          <w:szCs w:val="22"/>
        </w:rPr>
        <w:t>9. Ieteicams publisko pasūtījumu izmantot arī kā instrumentu tirgus svārstību izlīdzināšanai.</w:t>
      </w:r>
    </w:p>
    <w:p w14:paraId="449A33AC" w14:textId="77777777" w:rsidR="00124EFB" w:rsidRPr="00446C16" w:rsidRDefault="00124EFB" w:rsidP="00124EFB">
      <w:pPr>
        <w:jc w:val="both"/>
        <w:rPr>
          <w:rFonts w:cstheme="minorHAnsi"/>
          <w:szCs w:val="22"/>
        </w:rPr>
      </w:pPr>
      <w:r w:rsidRPr="00446C16">
        <w:rPr>
          <w:rFonts w:cstheme="minorHAnsi"/>
          <w:szCs w:val="22"/>
        </w:rPr>
        <w:t>10. Ēnu ekonomikas apkarošanas pasākumu īstenošana palielina gan būvmateriālu, gan darbaspēka izmaksu izmaiņas. Tomēr šis efekts ir daudz izteiktāks ietekmei uz darbaspēka izmaksu izmaiņām, to visvairāk ietekmē divi ēnu ekonomikas apkarošanas pasākumi: elektroniskās darba laika uzskaites sistēmas pilna ieviešana, t.sk. datu nodošana VID un minimālā atalgojuma līmeņa noteikšana būvniecības nozarē, izmantojot ģenerālvienošanos. Pretēji ēnu ekonomikas apkarošanas pasākumu ietekmei uz darbaspēka izmaksu izmaiņām, būvmateriālu izmaksu izmaiņu gadījumā kādu konkrētu viennozīmīgi būtiskāko faktoru noteikt nav iespējams, vērtējumu līdzīgo vidējo vērtību dēļ.</w:t>
      </w:r>
    </w:p>
    <w:p w14:paraId="6ABD19E9" w14:textId="6038B55A" w:rsidR="00124EFB" w:rsidRPr="00446C16" w:rsidRDefault="00124EFB" w:rsidP="00124EFB">
      <w:pPr>
        <w:jc w:val="both"/>
        <w:rPr>
          <w:rFonts w:cstheme="minorHAnsi"/>
          <w:szCs w:val="22"/>
        </w:rPr>
      </w:pPr>
      <w:r w:rsidRPr="00446C16">
        <w:rPr>
          <w:rFonts w:cstheme="minorHAnsi"/>
          <w:szCs w:val="22"/>
        </w:rPr>
        <w:t>11. Salīdzinot 2019. gada pētījuma prognozes ar 2018. gada pētījumu, būvniecības produkcijas apjoma pieauguma prognozes kļuvušas ievērojami piesardzīgākas visa prognožu perioda kontekstā, kā rezultātā arī būvniecības izmaksu pieaugums tiek prognozēts zemāks – piecu gadu prognožu vidējais ikgadējais būvniecības izmaksu pieaugums samazinājās no 4,3% uz 2,1%.</w:t>
      </w:r>
    </w:p>
    <w:p w14:paraId="1122AABF" w14:textId="55C54497" w:rsidR="00B323B4" w:rsidRPr="00446C16" w:rsidRDefault="00B323B4" w:rsidP="00B323B4">
      <w:pPr>
        <w:jc w:val="both"/>
        <w:rPr>
          <w:rFonts w:cstheme="minorHAnsi"/>
          <w:szCs w:val="22"/>
        </w:rPr>
      </w:pPr>
    </w:p>
    <w:p w14:paraId="6D4D302D" w14:textId="1AC1E236" w:rsidR="00E574E2" w:rsidRPr="00446C16" w:rsidRDefault="00E574E2" w:rsidP="00B13164">
      <w:pPr>
        <w:jc w:val="both"/>
        <w:rPr>
          <w:rFonts w:cstheme="minorHAnsi"/>
          <w:szCs w:val="22"/>
        </w:rPr>
      </w:pPr>
    </w:p>
    <w:p w14:paraId="49927815" w14:textId="77777777" w:rsidR="00E574E2" w:rsidRPr="00446C16" w:rsidRDefault="00E574E2" w:rsidP="00B13164">
      <w:pPr>
        <w:spacing w:before="100" w:after="200" w:line="276" w:lineRule="auto"/>
        <w:rPr>
          <w:rFonts w:ascii="Calibri" w:hAnsi="Calibri"/>
          <w:b/>
          <w:caps/>
          <w:color w:val="FFFFFF" w:themeColor="background1"/>
          <w:sz w:val="32"/>
          <w:szCs w:val="22"/>
        </w:rPr>
        <w:sectPr w:rsidR="00E574E2" w:rsidRPr="00446C16" w:rsidSect="00741888">
          <w:pgSz w:w="11906" w:h="16838"/>
          <w:pgMar w:top="1418" w:right="851" w:bottom="1418" w:left="1701" w:header="709" w:footer="709" w:gutter="0"/>
          <w:cols w:space="708"/>
          <w:docGrid w:linePitch="360"/>
        </w:sectPr>
      </w:pPr>
      <w:r w:rsidRPr="00446C16">
        <w:rPr>
          <w:rFonts w:ascii="Calibri" w:hAnsi="Calibri"/>
          <w:b/>
          <w:caps/>
          <w:color w:val="FFFFFF" w:themeColor="background1"/>
          <w:sz w:val="32"/>
          <w:szCs w:val="22"/>
        </w:rPr>
        <w:br w:type="page"/>
      </w:r>
    </w:p>
    <w:p w14:paraId="779E6527" w14:textId="7A6DE71B" w:rsidR="00EB0CAB" w:rsidRPr="00446C16" w:rsidRDefault="001D2359" w:rsidP="00B13164">
      <w:pPr>
        <w:pStyle w:val="Heading1"/>
        <w:rPr>
          <w:sz w:val="30"/>
          <w:szCs w:val="30"/>
        </w:rPr>
      </w:pPr>
      <w:bookmarkStart w:id="805" w:name="_Toc23163514"/>
      <w:r w:rsidRPr="00446C16">
        <w:rPr>
          <w:caps w:val="0"/>
          <w:sz w:val="30"/>
          <w:szCs w:val="30"/>
        </w:rPr>
        <w:lastRenderedPageBreak/>
        <w:t>PIELIKUMI</w:t>
      </w:r>
      <w:bookmarkEnd w:id="805"/>
    </w:p>
    <w:p w14:paraId="4DFE8609" w14:textId="763BE05F" w:rsidR="00070E07" w:rsidRPr="00446C16" w:rsidRDefault="00966E4A" w:rsidP="00B13164">
      <w:r w:rsidRPr="00446C16">
        <w:t>Pielikums Nr. 1 “</w:t>
      </w:r>
      <w:r w:rsidR="00642EB9" w:rsidRPr="00446C16">
        <w:t>Izvērstā analīze</w:t>
      </w:r>
      <w:r w:rsidRPr="00446C16">
        <w:t>.”</w:t>
      </w:r>
    </w:p>
    <w:p w14:paraId="13B903F2" w14:textId="1A2017A6" w:rsidR="00966E4A" w:rsidRPr="00446C16" w:rsidRDefault="00966E4A" w:rsidP="00B13164">
      <w:r w:rsidRPr="00446C16">
        <w:t>Pielikums Nr. 2 “Pētījuma metodoloģija.”</w:t>
      </w:r>
    </w:p>
    <w:p w14:paraId="6AD40462" w14:textId="396720A6" w:rsidR="00D85C0F" w:rsidRDefault="00D85C0F" w:rsidP="00B13164">
      <w:r w:rsidRPr="00446C16">
        <w:t>Pielikums Nr. 3 “</w:t>
      </w:r>
      <w:r w:rsidR="00C45C3D" w:rsidRPr="00446C16">
        <w:t>Pētījumā intervēto būvniecības nozares ekspertu saraksts</w:t>
      </w:r>
      <w:r w:rsidR="00894BCD" w:rsidRPr="00446C16">
        <w:t>.</w:t>
      </w:r>
      <w:r w:rsidR="00C45C3D" w:rsidRPr="00446C16">
        <w:t>”</w:t>
      </w:r>
    </w:p>
    <w:p w14:paraId="445C4311" w14:textId="289CE720" w:rsidR="00382A56" w:rsidRPr="00511D46" w:rsidRDefault="00382A56" w:rsidP="00B13164"/>
    <w:sectPr w:rsidR="00382A56" w:rsidRPr="00511D46" w:rsidSect="00741888">
      <w:pgSz w:w="11906" w:h="16838"/>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97310" w14:textId="77777777" w:rsidR="007107BA" w:rsidRDefault="007107BA" w:rsidP="00442FBE">
      <w:pPr>
        <w:spacing w:after="0"/>
      </w:pPr>
      <w:r>
        <w:separator/>
      </w:r>
    </w:p>
  </w:endnote>
  <w:endnote w:type="continuationSeparator" w:id="0">
    <w:p w14:paraId="6CE54996" w14:textId="77777777" w:rsidR="007107BA" w:rsidRDefault="007107BA" w:rsidP="00442F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969"/>
      <w:gridCol w:w="3969"/>
      <w:gridCol w:w="3969"/>
    </w:tblGrid>
    <w:tr w:rsidR="00DE666D" w14:paraId="6C913731" w14:textId="77777777" w:rsidTr="395D6C26">
      <w:tc>
        <w:tcPr>
          <w:tcW w:w="3969" w:type="dxa"/>
        </w:tcPr>
        <w:p w14:paraId="7C2B5169" w14:textId="7409F59A" w:rsidR="00DE666D" w:rsidRDefault="00DE666D" w:rsidP="395D6C26">
          <w:pPr>
            <w:pStyle w:val="Header"/>
            <w:ind w:left="-115"/>
          </w:pPr>
        </w:p>
      </w:tc>
      <w:tc>
        <w:tcPr>
          <w:tcW w:w="3969" w:type="dxa"/>
        </w:tcPr>
        <w:p w14:paraId="049A300B" w14:textId="4BEA3A33" w:rsidR="00DE666D" w:rsidRDefault="00DE666D" w:rsidP="395D6C26">
          <w:pPr>
            <w:pStyle w:val="Header"/>
            <w:jc w:val="center"/>
          </w:pPr>
        </w:p>
      </w:tc>
      <w:tc>
        <w:tcPr>
          <w:tcW w:w="3969" w:type="dxa"/>
        </w:tcPr>
        <w:p w14:paraId="58D0551B" w14:textId="7E09D3F6" w:rsidR="00DE666D" w:rsidRDefault="00DE666D" w:rsidP="395D6C26">
          <w:pPr>
            <w:pStyle w:val="Header"/>
            <w:ind w:right="-115"/>
            <w:jc w:val="right"/>
          </w:pPr>
        </w:p>
      </w:tc>
    </w:tr>
  </w:tbl>
  <w:p w14:paraId="03A9C1A4" w14:textId="0D364710" w:rsidR="00DE666D" w:rsidRDefault="00DE666D" w:rsidP="395D6C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118"/>
      <w:gridCol w:w="3118"/>
      <w:gridCol w:w="3118"/>
    </w:tblGrid>
    <w:tr w:rsidR="00DE666D" w14:paraId="34BDB69E" w14:textId="77777777" w:rsidTr="395D6C26">
      <w:tc>
        <w:tcPr>
          <w:tcW w:w="3118" w:type="dxa"/>
        </w:tcPr>
        <w:p w14:paraId="01910AA8" w14:textId="7C589B5A" w:rsidR="00DE666D" w:rsidRDefault="00DE666D" w:rsidP="395D6C26">
          <w:pPr>
            <w:pStyle w:val="Header"/>
            <w:ind w:left="-115"/>
          </w:pPr>
        </w:p>
      </w:tc>
      <w:tc>
        <w:tcPr>
          <w:tcW w:w="3118" w:type="dxa"/>
        </w:tcPr>
        <w:p w14:paraId="47D6094D" w14:textId="4F2BF104" w:rsidR="00DE666D" w:rsidRDefault="00DE666D" w:rsidP="395D6C26">
          <w:pPr>
            <w:pStyle w:val="Header"/>
            <w:jc w:val="center"/>
          </w:pPr>
        </w:p>
      </w:tc>
      <w:tc>
        <w:tcPr>
          <w:tcW w:w="3118" w:type="dxa"/>
        </w:tcPr>
        <w:p w14:paraId="6411BED9" w14:textId="22576780" w:rsidR="00DE666D" w:rsidRDefault="00DE666D" w:rsidP="395D6C26">
          <w:pPr>
            <w:pStyle w:val="Header"/>
            <w:ind w:right="-115"/>
            <w:jc w:val="right"/>
          </w:pPr>
        </w:p>
      </w:tc>
    </w:tr>
  </w:tbl>
  <w:p w14:paraId="3779C917" w14:textId="697991B2" w:rsidR="00DE666D" w:rsidRDefault="00DE666D" w:rsidP="395D6C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118"/>
      <w:gridCol w:w="3118"/>
      <w:gridCol w:w="3118"/>
    </w:tblGrid>
    <w:tr w:rsidR="00DE666D" w14:paraId="21702FA1" w14:textId="77777777" w:rsidTr="395D6C26">
      <w:tc>
        <w:tcPr>
          <w:tcW w:w="3118" w:type="dxa"/>
        </w:tcPr>
        <w:p w14:paraId="66A57A45" w14:textId="77777777" w:rsidR="00DE666D" w:rsidRDefault="00DE666D" w:rsidP="395D6C26">
          <w:pPr>
            <w:pStyle w:val="Header"/>
            <w:ind w:left="-115"/>
          </w:pPr>
        </w:p>
      </w:tc>
      <w:tc>
        <w:tcPr>
          <w:tcW w:w="3118" w:type="dxa"/>
        </w:tcPr>
        <w:p w14:paraId="75508959" w14:textId="77777777" w:rsidR="00DE666D" w:rsidRDefault="00DE666D" w:rsidP="395D6C26">
          <w:pPr>
            <w:pStyle w:val="Header"/>
            <w:jc w:val="center"/>
          </w:pPr>
        </w:p>
      </w:tc>
      <w:tc>
        <w:tcPr>
          <w:tcW w:w="3118" w:type="dxa"/>
        </w:tcPr>
        <w:p w14:paraId="2DB204D5" w14:textId="77777777" w:rsidR="00DE666D" w:rsidRDefault="00DE666D" w:rsidP="395D6C26">
          <w:pPr>
            <w:pStyle w:val="Header"/>
            <w:ind w:right="-115"/>
            <w:jc w:val="right"/>
          </w:pPr>
        </w:p>
      </w:tc>
    </w:tr>
  </w:tbl>
  <w:p w14:paraId="67DFFB91" w14:textId="77777777" w:rsidR="00DE666D" w:rsidRDefault="00DE666D" w:rsidP="395D6C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D0BE0" w14:textId="155970B3" w:rsidR="00DE666D" w:rsidRDefault="00DE666D">
    <w:pPr>
      <w:pStyle w:val="Footer"/>
    </w:pPr>
    <w:r>
      <w:rPr>
        <w:noProof/>
        <w:lang w:val="en-US"/>
      </w:rPr>
      <mc:AlternateContent>
        <mc:Choice Requires="wps">
          <w:drawing>
            <wp:anchor distT="0" distB="0" distL="114300" distR="114300" simplePos="0" relativeHeight="251642368" behindDoc="0" locked="0" layoutInCell="1" allowOverlap="1" wp14:anchorId="1720CD31" wp14:editId="45FB9C50">
              <wp:simplePos x="0" y="0"/>
              <wp:positionH relativeFrom="column">
                <wp:posOffset>-128905</wp:posOffset>
              </wp:positionH>
              <wp:positionV relativeFrom="paragraph">
                <wp:posOffset>-98425</wp:posOffset>
              </wp:positionV>
              <wp:extent cx="5676900" cy="323850"/>
              <wp:effectExtent l="0" t="0" r="0" b="0"/>
              <wp:wrapNone/>
              <wp:docPr id="8" name="Tekstboks 8"/>
              <wp:cNvGraphicFramePr/>
              <a:graphic xmlns:a="http://schemas.openxmlformats.org/drawingml/2006/main">
                <a:graphicData uri="http://schemas.microsoft.com/office/word/2010/wordprocessingShape">
                  <wps:wsp>
                    <wps:cNvSpPr txBox="1"/>
                    <wps:spPr>
                      <a:xfrm>
                        <a:off x="0" y="0"/>
                        <a:ext cx="56769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C4F889" w14:textId="3995CA95" w:rsidR="00DE666D" w:rsidRPr="00F37277" w:rsidRDefault="00DE666D" w:rsidP="00E8087D">
                          <w:pPr>
                            <w:spacing w:before="100" w:beforeAutospacing="1" w:after="100" w:afterAutospacing="1"/>
                            <w:rPr>
                              <w:rFonts w:ascii="Candara" w:hAnsi="Candara"/>
                              <w:b/>
                              <w:color w:val="1F4E79" w:themeColor="accent5" w:themeShade="80"/>
                              <w:sz w:val="6"/>
                              <w:szCs w:val="16"/>
                            </w:rPr>
                          </w:pPr>
                          <w:r w:rsidRPr="00E8087D">
                            <w:rPr>
                              <w:b/>
                              <w:bCs/>
                              <w:caps/>
                              <w:color w:val="1F4979"/>
                              <w:sz w:val="12"/>
                              <w:szCs w:val="36"/>
                            </w:rPr>
                            <w:t>PĒTĪJUMS PAR PROGNOZĒTĀM IZMAIŅĀM DARBASPĒKA UN</w:t>
                          </w:r>
                          <w:r>
                            <w:rPr>
                              <w:b/>
                              <w:bCs/>
                              <w:caps/>
                              <w:color w:val="1F4979"/>
                              <w:sz w:val="12"/>
                              <w:szCs w:val="36"/>
                            </w:rPr>
                            <w:t xml:space="preserve"> b</w:t>
                          </w:r>
                          <w:r w:rsidRPr="00E8087D">
                            <w:rPr>
                              <w:b/>
                              <w:bCs/>
                              <w:caps/>
                              <w:color w:val="1F4979"/>
                              <w:sz w:val="12"/>
                              <w:szCs w:val="36"/>
                            </w:rPr>
                            <w:t>ŪVMATERIĀLU IZMAKSĀS BŪVNIECĪBAS NOZARĒ LATVIJĀ</w:t>
                          </w:r>
                        </w:p>
                      </w:txbxContent>
                    </wps:txbx>
                    <wps:bodyPr rot="0" spcFirstLastPara="0" vertOverflow="overflow" horzOverflow="overflow" vert="horz" wrap="square" lIns="144000" tIns="36000" rIns="9144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20CD31" id="_x0000_t202" coordsize="21600,21600" o:spt="202" path="m,l,21600r21600,l21600,xe">
              <v:stroke joinstyle="miter"/>
              <v:path gradientshapeok="t" o:connecttype="rect"/>
            </v:shapetype>
            <v:shape id="Tekstboks 8" o:spid="_x0000_s1036" type="#_x0000_t202" style="position:absolute;margin-left:-10.15pt;margin-top:-7.75pt;width:447pt;height:2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" filled="f" stroked="f" strokeweight=".5pt">
              <v:textbox inset="4mm,1mm,,2mm">
                <w:txbxContent>
                  <w:p w14:paraId="62C4F889" w14:textId="3995CA95" w:rsidR="00DE666D" w:rsidRPr="00F37277" w:rsidRDefault="00DE666D" w:rsidP="00E8087D">
                    <w:pPr>
                      <w:spacing w:before="100" w:beforeAutospacing="1" w:after="100" w:afterAutospacing="1"/>
                      <w:rPr>
                        <w:rFonts w:ascii="Candara" w:hAnsi="Candara"/>
                        <w:b/>
                        <w:color w:val="1F4E79" w:themeColor="accent5" w:themeShade="80"/>
                        <w:sz w:val="6"/>
                        <w:szCs w:val="16"/>
                      </w:rPr>
                    </w:pPr>
                    <w:r w:rsidRPr="00E8087D">
                      <w:rPr>
                        <w:b/>
                        <w:bCs/>
                        <w:caps/>
                        <w:color w:val="1F4979"/>
                        <w:sz w:val="12"/>
                        <w:szCs w:val="36"/>
                      </w:rPr>
                      <w:t>PĒTĪJUMS PAR PROGNOZĒTĀM IZMAIŅĀM DARBASPĒKA UN</w:t>
                    </w:r>
                    <w:r>
                      <w:rPr>
                        <w:b/>
                        <w:bCs/>
                        <w:caps/>
                        <w:color w:val="1F4979"/>
                        <w:sz w:val="12"/>
                        <w:szCs w:val="36"/>
                      </w:rPr>
                      <w:t xml:space="preserve"> b</w:t>
                    </w:r>
                    <w:r w:rsidRPr="00E8087D">
                      <w:rPr>
                        <w:b/>
                        <w:bCs/>
                        <w:caps/>
                        <w:color w:val="1F4979"/>
                        <w:sz w:val="12"/>
                        <w:szCs w:val="36"/>
                      </w:rPr>
                      <w:t>ŪVMATERIĀLU IZMAKSĀS BŪVNIECĪBAS NOZARĒ LATVIJĀ</w:t>
                    </w:r>
                  </w:p>
                </w:txbxContent>
              </v:textbox>
            </v:shape>
          </w:pict>
        </mc:Fallback>
      </mc:AlternateContent>
    </w:r>
    <w:r>
      <w:rPr>
        <w:noProof/>
        <w:lang w:val="en-US"/>
      </w:rPr>
      <mc:AlternateContent>
        <mc:Choice Requires="wps">
          <w:drawing>
            <wp:anchor distT="0" distB="0" distL="0" distR="0" simplePos="0" relativeHeight="251627008" behindDoc="0" locked="0" layoutInCell="1" allowOverlap="1" wp14:anchorId="7C2D0992" wp14:editId="78F7CF6A">
              <wp:simplePos x="0" y="0"/>
              <wp:positionH relativeFrom="rightMargin">
                <wp:posOffset>-455930</wp:posOffset>
              </wp:positionH>
              <wp:positionV relativeFrom="bottomMargin">
                <wp:posOffset>111125</wp:posOffset>
              </wp:positionV>
              <wp:extent cx="457200" cy="320040"/>
              <wp:effectExtent l="0" t="0" r="0" b="3810"/>
              <wp:wrapSquare wrapText="bothSides"/>
              <wp:docPr id="40" name="Taisnstūris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accent5">
                          <a:lumMod val="50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0B58B7" w14:textId="317D9BB6" w:rsidR="00DE666D" w:rsidRPr="00E174FF" w:rsidRDefault="00DE666D" w:rsidP="00AB24D6">
                          <w:pPr>
                            <w:spacing w:before="0" w:after="0"/>
                            <w:jc w:val="center"/>
                            <w:rPr>
                              <w:b/>
                              <w:color w:val="FFFFFF" w:themeColor="background1"/>
                            </w:rPr>
                          </w:pPr>
                          <w:r w:rsidRPr="00E174FF">
                            <w:rPr>
                              <w:b/>
                              <w:color w:val="FFFFFF" w:themeColor="background1"/>
                            </w:rPr>
                            <w:fldChar w:fldCharType="begin"/>
                          </w:r>
                          <w:r w:rsidRPr="00E174FF">
                            <w:rPr>
                              <w:b/>
                              <w:color w:val="FFFFFF" w:themeColor="background1"/>
                            </w:rPr>
                            <w:instrText>PAGE   \* MERGEFORMAT</w:instrText>
                          </w:r>
                          <w:r w:rsidRPr="00E174FF">
                            <w:rPr>
                              <w:b/>
                              <w:color w:val="FFFFFF" w:themeColor="background1"/>
                            </w:rPr>
                            <w:fldChar w:fldCharType="separate"/>
                          </w:r>
                          <w:r w:rsidR="00576929">
                            <w:rPr>
                              <w:b/>
                              <w:noProof/>
                              <w:color w:val="FFFFFF" w:themeColor="background1"/>
                            </w:rPr>
                            <w:t>3</w:t>
                          </w:r>
                          <w:r w:rsidRPr="00E174FF">
                            <w:rPr>
                              <w:b/>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D0992" id="Taisnstūris 40" o:spid="_x0000_s1037" style="position:absolute;margin-left:-35.9pt;margin-top:8.75pt;width:36pt;height:25.2pt;z-index:251627008;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" fillcolor="#1f4d78 [1608]" stroked="f" strokeweight="3pt">
              <v:textbox>
                <w:txbxContent>
                  <w:p w14:paraId="6E0B58B7" w14:textId="317D9BB6" w:rsidR="00DE666D" w:rsidRPr="00E174FF" w:rsidRDefault="00DE666D" w:rsidP="00AB24D6">
                    <w:pPr>
                      <w:spacing w:before="0" w:after="0"/>
                      <w:jc w:val="center"/>
                      <w:rPr>
                        <w:b/>
                        <w:color w:val="FFFFFF" w:themeColor="background1"/>
                      </w:rPr>
                    </w:pPr>
                    <w:r w:rsidRPr="00E174FF">
                      <w:rPr>
                        <w:b/>
                        <w:color w:val="FFFFFF" w:themeColor="background1"/>
                      </w:rPr>
                      <w:fldChar w:fldCharType="begin"/>
                    </w:r>
                    <w:r w:rsidRPr="00E174FF">
                      <w:rPr>
                        <w:b/>
                        <w:color w:val="FFFFFF" w:themeColor="background1"/>
                      </w:rPr>
                      <w:instrText>PAGE   \* MERGEFORMAT</w:instrText>
                    </w:r>
                    <w:r w:rsidRPr="00E174FF">
                      <w:rPr>
                        <w:b/>
                        <w:color w:val="FFFFFF" w:themeColor="background1"/>
                      </w:rPr>
                      <w:fldChar w:fldCharType="separate"/>
                    </w:r>
                    <w:r w:rsidR="00576929">
                      <w:rPr>
                        <w:b/>
                        <w:noProof/>
                        <w:color w:val="FFFFFF" w:themeColor="background1"/>
                      </w:rPr>
                      <w:t>3</w:t>
                    </w:r>
                    <w:r w:rsidRPr="00E174FF">
                      <w:rPr>
                        <w:b/>
                        <w:color w:val="FFFFFF" w:themeColor="background1"/>
                      </w:rPr>
                      <w:fldChar w:fldCharType="end"/>
                    </w:r>
                  </w:p>
                </w:txbxContent>
              </v:textbox>
              <w10:wrap type="square" anchorx="margin" anchory="margin"/>
            </v:rect>
          </w:pict>
        </mc:Fallback>
      </mc:AlternateContent>
    </w:r>
    <w:r>
      <w:rPr>
        <w:noProof/>
        <w:lang w:val="en-US"/>
      </w:rPr>
      <mc:AlternateContent>
        <mc:Choice Requires="wps">
          <w:drawing>
            <wp:anchor distT="0" distB="0" distL="114300" distR="114300" simplePos="0" relativeHeight="251677184" behindDoc="0" locked="0" layoutInCell="1" allowOverlap="1" wp14:anchorId="3F1B3DF5" wp14:editId="55DD15DC">
              <wp:simplePos x="0" y="0"/>
              <wp:positionH relativeFrom="column">
                <wp:posOffset>16026</wp:posOffset>
              </wp:positionH>
              <wp:positionV relativeFrom="paragraph">
                <wp:posOffset>-97367</wp:posOffset>
              </wp:positionV>
              <wp:extent cx="5924611" cy="18604"/>
              <wp:effectExtent l="0" t="0" r="0" b="0"/>
              <wp:wrapSquare wrapText="bothSides"/>
              <wp:docPr id="12" name="Taisnstūris 12"/>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w:pict>
            <v:rect id="Taisnstūris 12" style="position:absolute;margin-left:1.25pt;margin-top:-7.65pt;width:466.5pt;height:1.45pt;z-index:2516771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1f4d78 [1608]" stroked="f" strokeweight="1pt" w14:anchorId="23E8B2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">
              <w10:wrap type="squar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98E85" w14:textId="38BC8A0A" w:rsidR="00DE666D" w:rsidRDefault="00DE666D" w:rsidP="007E51A1">
    <w:pPr>
      <w:pStyle w:val="Footer"/>
    </w:pPr>
    <w:r w:rsidRPr="00BC6D31">
      <w:rPr>
        <w:noProof/>
        <w:lang w:val="en-US"/>
      </w:rPr>
      <mc:AlternateContent>
        <mc:Choice Requires="wps">
          <w:drawing>
            <wp:anchor distT="0" distB="0" distL="114300" distR="114300" simplePos="0" relativeHeight="251668992" behindDoc="0" locked="0" layoutInCell="1" allowOverlap="1" wp14:anchorId="6C1D3B69" wp14:editId="5FDD4139">
              <wp:simplePos x="0" y="0"/>
              <wp:positionH relativeFrom="column">
                <wp:posOffset>-133931</wp:posOffset>
              </wp:positionH>
              <wp:positionV relativeFrom="paragraph">
                <wp:posOffset>-103477</wp:posOffset>
              </wp:positionV>
              <wp:extent cx="5589767" cy="323850"/>
              <wp:effectExtent l="0" t="0" r="0" b="0"/>
              <wp:wrapNone/>
              <wp:docPr id="1006675218" name="Tekstboks 8"/>
              <wp:cNvGraphicFramePr/>
              <a:graphic xmlns:a="http://schemas.openxmlformats.org/drawingml/2006/main">
                <a:graphicData uri="http://schemas.microsoft.com/office/word/2010/wordprocessingShape">
                  <wps:wsp>
                    <wps:cNvSpPr txBox="1"/>
                    <wps:spPr>
                      <a:xfrm>
                        <a:off x="0" y="0"/>
                        <a:ext cx="5589767"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098C7D" w14:textId="77777777" w:rsidR="00DE666D" w:rsidRPr="00F37277" w:rsidRDefault="00DE666D" w:rsidP="00AA677D">
                          <w:pPr>
                            <w:spacing w:before="100" w:beforeAutospacing="1" w:after="100" w:afterAutospacing="1"/>
                            <w:rPr>
                              <w:rFonts w:ascii="Candara" w:hAnsi="Candara"/>
                              <w:b/>
                              <w:color w:val="1F4E79" w:themeColor="accent5" w:themeShade="80"/>
                              <w:sz w:val="6"/>
                              <w:szCs w:val="16"/>
                            </w:rPr>
                          </w:pPr>
                          <w:r w:rsidRPr="00E8087D">
                            <w:rPr>
                              <w:b/>
                              <w:bCs/>
                              <w:caps/>
                              <w:color w:val="1F4979"/>
                              <w:sz w:val="12"/>
                              <w:szCs w:val="36"/>
                            </w:rPr>
                            <w:t>PĒTĪJUMS PAR PROGNOZĒTĀM IZMAIŅĀM DARBASPĒKA UN</w:t>
                          </w:r>
                          <w:r>
                            <w:rPr>
                              <w:b/>
                              <w:bCs/>
                              <w:caps/>
                              <w:color w:val="1F4979"/>
                              <w:sz w:val="12"/>
                              <w:szCs w:val="36"/>
                            </w:rPr>
                            <w:t xml:space="preserve"> b</w:t>
                          </w:r>
                          <w:r w:rsidRPr="00E8087D">
                            <w:rPr>
                              <w:b/>
                              <w:bCs/>
                              <w:caps/>
                              <w:color w:val="1F4979"/>
                              <w:sz w:val="12"/>
                              <w:szCs w:val="36"/>
                            </w:rPr>
                            <w:t>ŪVMATERIĀLU IZMAKSĀS BŪVNIECĪBAS NOZARĒ LATVIJĀ</w:t>
                          </w:r>
                        </w:p>
                        <w:p w14:paraId="2BAED650" w14:textId="2110D3A9" w:rsidR="00DE666D" w:rsidRPr="009D6FD9" w:rsidRDefault="00DE666D" w:rsidP="00BC6D31">
                          <w:pPr>
                            <w:spacing w:before="0" w:after="0"/>
                            <w:rPr>
                              <w:rFonts w:ascii="Candara" w:hAnsi="Candara"/>
                              <w:b/>
                              <w:color w:val="1F4E79" w:themeColor="accent5" w:themeShade="80"/>
                              <w:sz w:val="16"/>
                              <w:szCs w:val="16"/>
                            </w:rPr>
                          </w:pPr>
                        </w:p>
                      </w:txbxContent>
                    </wps:txbx>
                    <wps:bodyPr rot="0" spcFirstLastPara="0" vertOverflow="overflow" horzOverflow="overflow" vert="horz" wrap="square" lIns="144000" tIns="36000" rIns="9144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D3B69" id="_x0000_t202" coordsize="21600,21600" o:spt="202" path="m,l,21600r21600,l21600,xe">
              <v:stroke joinstyle="miter"/>
              <v:path gradientshapeok="t" o:connecttype="rect"/>
            </v:shapetype>
            <v:shape id="_x0000_s1038" type="#_x0000_t202" style="position:absolute;margin-left:-10.55pt;margin-top:-8.15pt;width:440.15pt;height:2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" filled="f" stroked="f" strokeweight=".5pt">
              <v:textbox inset="4mm,1mm,,2mm">
                <w:txbxContent>
                  <w:p w14:paraId="5B098C7D" w14:textId="77777777" w:rsidR="00DE666D" w:rsidRPr="00F37277" w:rsidRDefault="00DE666D" w:rsidP="00AA677D">
                    <w:pPr>
                      <w:spacing w:before="100" w:beforeAutospacing="1" w:after="100" w:afterAutospacing="1"/>
                      <w:rPr>
                        <w:rFonts w:ascii="Candara" w:hAnsi="Candara"/>
                        <w:b/>
                        <w:color w:val="1F4E79" w:themeColor="accent5" w:themeShade="80"/>
                        <w:sz w:val="6"/>
                        <w:szCs w:val="16"/>
                      </w:rPr>
                    </w:pPr>
                    <w:r w:rsidRPr="00E8087D">
                      <w:rPr>
                        <w:b/>
                        <w:bCs/>
                        <w:caps/>
                        <w:color w:val="1F4979"/>
                        <w:sz w:val="12"/>
                        <w:szCs w:val="36"/>
                      </w:rPr>
                      <w:t>PĒTĪJUMS PAR PROGNOZĒTĀM IZMAIŅĀM DARBASPĒKA UN</w:t>
                    </w:r>
                    <w:r>
                      <w:rPr>
                        <w:b/>
                        <w:bCs/>
                        <w:caps/>
                        <w:color w:val="1F4979"/>
                        <w:sz w:val="12"/>
                        <w:szCs w:val="36"/>
                      </w:rPr>
                      <w:t xml:space="preserve"> b</w:t>
                    </w:r>
                    <w:r w:rsidRPr="00E8087D">
                      <w:rPr>
                        <w:b/>
                        <w:bCs/>
                        <w:caps/>
                        <w:color w:val="1F4979"/>
                        <w:sz w:val="12"/>
                        <w:szCs w:val="36"/>
                      </w:rPr>
                      <w:t>ŪVMATERIĀLU IZMAKSĀS BŪVNIECĪBAS NOZARĒ LATVIJĀ</w:t>
                    </w:r>
                  </w:p>
                  <w:p w14:paraId="2BAED650" w14:textId="2110D3A9" w:rsidR="00DE666D" w:rsidRPr="009D6FD9" w:rsidRDefault="00DE666D" w:rsidP="00BC6D31">
                    <w:pPr>
                      <w:spacing w:before="0" w:after="0"/>
                      <w:rPr>
                        <w:rFonts w:ascii="Candara" w:hAnsi="Candara"/>
                        <w:b/>
                        <w:color w:val="1F4E79" w:themeColor="accent5" w:themeShade="80"/>
                        <w:sz w:val="16"/>
                        <w:szCs w:val="16"/>
                      </w:rPr>
                    </w:pPr>
                  </w:p>
                </w:txbxContent>
              </v:textbox>
            </v:shape>
          </w:pict>
        </mc:Fallback>
      </mc:AlternateContent>
    </w:r>
    <w:r w:rsidRPr="00BC6D31">
      <w:rPr>
        <w:noProof/>
        <w:lang w:val="en-US"/>
      </w:rPr>
      <mc:AlternateContent>
        <mc:Choice Requires="wps">
          <w:drawing>
            <wp:anchor distT="0" distB="0" distL="0" distR="0" simplePos="0" relativeHeight="251640320" behindDoc="0" locked="0" layoutInCell="1" allowOverlap="1" wp14:anchorId="2B714849" wp14:editId="461C13AE">
              <wp:simplePos x="0" y="0"/>
              <wp:positionH relativeFrom="rightMargin">
                <wp:posOffset>-455930</wp:posOffset>
              </wp:positionH>
              <wp:positionV relativeFrom="bottomMargin">
                <wp:posOffset>111125</wp:posOffset>
              </wp:positionV>
              <wp:extent cx="457200" cy="320040"/>
              <wp:effectExtent l="0" t="0" r="0" b="3810"/>
              <wp:wrapSquare wrapText="bothSides"/>
              <wp:docPr id="1006675217" name="Taisnstūris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accent5">
                          <a:lumMod val="50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F91531" w14:textId="48E12C16" w:rsidR="00DE666D" w:rsidRPr="00E174FF" w:rsidRDefault="00DE666D" w:rsidP="00BC6D31">
                          <w:pPr>
                            <w:spacing w:before="0" w:after="0"/>
                            <w:jc w:val="center"/>
                            <w:rPr>
                              <w:b/>
                              <w:color w:val="FFFFFF" w:themeColor="background1"/>
                            </w:rPr>
                          </w:pPr>
                          <w:r w:rsidRPr="00E174FF">
                            <w:rPr>
                              <w:b/>
                              <w:color w:val="FFFFFF" w:themeColor="background1"/>
                            </w:rPr>
                            <w:fldChar w:fldCharType="begin"/>
                          </w:r>
                          <w:r w:rsidRPr="00E174FF">
                            <w:rPr>
                              <w:b/>
                              <w:color w:val="FFFFFF" w:themeColor="background1"/>
                            </w:rPr>
                            <w:instrText>PAGE   \* MERGEFORMAT</w:instrText>
                          </w:r>
                          <w:r w:rsidRPr="00E174FF">
                            <w:rPr>
                              <w:b/>
                              <w:color w:val="FFFFFF" w:themeColor="background1"/>
                            </w:rPr>
                            <w:fldChar w:fldCharType="separate"/>
                          </w:r>
                          <w:r w:rsidR="00E2550B">
                            <w:rPr>
                              <w:b/>
                              <w:noProof/>
                              <w:color w:val="FFFFFF" w:themeColor="background1"/>
                            </w:rPr>
                            <w:t>39</w:t>
                          </w:r>
                          <w:r w:rsidRPr="00E174FF">
                            <w:rPr>
                              <w:b/>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14849" id="_x0000_s1039" style="position:absolute;margin-left:-35.9pt;margin-top:8.75pt;width:36pt;height:25.2pt;z-index:251640320;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" fillcolor="#1f4d78 [1608]" stroked="f" strokeweight="3pt">
              <v:textbox>
                <w:txbxContent>
                  <w:p w14:paraId="61F91531" w14:textId="48E12C16" w:rsidR="00DE666D" w:rsidRPr="00E174FF" w:rsidRDefault="00DE666D" w:rsidP="00BC6D31">
                    <w:pPr>
                      <w:spacing w:before="0" w:after="0"/>
                      <w:jc w:val="center"/>
                      <w:rPr>
                        <w:b/>
                        <w:color w:val="FFFFFF" w:themeColor="background1"/>
                      </w:rPr>
                    </w:pPr>
                    <w:r w:rsidRPr="00E174FF">
                      <w:rPr>
                        <w:b/>
                        <w:color w:val="FFFFFF" w:themeColor="background1"/>
                      </w:rPr>
                      <w:fldChar w:fldCharType="begin"/>
                    </w:r>
                    <w:r w:rsidRPr="00E174FF">
                      <w:rPr>
                        <w:b/>
                        <w:color w:val="FFFFFF" w:themeColor="background1"/>
                      </w:rPr>
                      <w:instrText>PAGE   \* MERGEFORMAT</w:instrText>
                    </w:r>
                    <w:r w:rsidRPr="00E174FF">
                      <w:rPr>
                        <w:b/>
                        <w:color w:val="FFFFFF" w:themeColor="background1"/>
                      </w:rPr>
                      <w:fldChar w:fldCharType="separate"/>
                    </w:r>
                    <w:r w:rsidR="00E2550B">
                      <w:rPr>
                        <w:b/>
                        <w:noProof/>
                        <w:color w:val="FFFFFF" w:themeColor="background1"/>
                      </w:rPr>
                      <w:t>39</w:t>
                    </w:r>
                    <w:r w:rsidRPr="00E174FF">
                      <w:rPr>
                        <w:b/>
                        <w:color w:val="FFFFFF" w:themeColor="background1"/>
                      </w:rPr>
                      <w:fldChar w:fldCharType="end"/>
                    </w:r>
                  </w:p>
                </w:txbxContent>
              </v:textbox>
              <w10:wrap type="square" anchorx="margin" anchory="margin"/>
            </v:rect>
          </w:pict>
        </mc:Fallback>
      </mc:AlternateContent>
    </w:r>
    <w:r w:rsidRPr="00BC6D31">
      <w:rPr>
        <w:noProof/>
        <w:lang w:val="en-US"/>
      </w:rPr>
      <mc:AlternateContent>
        <mc:Choice Requires="wps">
          <w:drawing>
            <wp:anchor distT="0" distB="0" distL="114300" distR="114300" simplePos="0" relativeHeight="251655680" behindDoc="0" locked="0" layoutInCell="1" allowOverlap="1" wp14:anchorId="2FD04250" wp14:editId="3E2BCA3C">
              <wp:simplePos x="0" y="0"/>
              <wp:positionH relativeFrom="column">
                <wp:posOffset>16026</wp:posOffset>
              </wp:positionH>
              <wp:positionV relativeFrom="paragraph">
                <wp:posOffset>-97367</wp:posOffset>
              </wp:positionV>
              <wp:extent cx="5924611" cy="18604"/>
              <wp:effectExtent l="0" t="0" r="0" b="0"/>
              <wp:wrapSquare wrapText="bothSides"/>
              <wp:docPr id="1006675219" name="Taisnstūris 12"/>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w:pict>
            <v:rect id="Taisnstūris 12" style="position:absolute;margin-left:1.25pt;margin-top:-7.65pt;width:466.5pt;height:1.45pt;z-index:2516556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1f4d78 [1608]" stroked="f" strokeweight="1pt" w14:anchorId="4A760D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">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298F0" w14:textId="77777777" w:rsidR="007107BA" w:rsidRDefault="007107BA" w:rsidP="00442FBE">
      <w:pPr>
        <w:spacing w:after="0"/>
      </w:pPr>
      <w:r>
        <w:separator/>
      </w:r>
    </w:p>
  </w:footnote>
  <w:footnote w:type="continuationSeparator" w:id="0">
    <w:p w14:paraId="04BD4030" w14:textId="77777777" w:rsidR="007107BA" w:rsidRDefault="007107BA" w:rsidP="00442FBE">
      <w:pPr>
        <w:spacing w:after="0"/>
      </w:pPr>
      <w:r>
        <w:continuationSeparator/>
      </w:r>
    </w:p>
  </w:footnote>
  <w:footnote w:id="1">
    <w:p w14:paraId="45858A56" w14:textId="77777777" w:rsidR="00DE666D" w:rsidRDefault="00DE666D" w:rsidP="00F3031D">
      <w:pPr>
        <w:pStyle w:val="FootnoteText"/>
      </w:pPr>
      <w:r w:rsidRPr="00F3031D">
        <w:rPr>
          <w:rStyle w:val="FootnoteReference"/>
          <w:sz w:val="18"/>
          <w:szCs w:val="16"/>
        </w:rPr>
        <w:footnoteRef/>
      </w:r>
      <w:r w:rsidRPr="00F3031D">
        <w:rPr>
          <w:sz w:val="18"/>
          <w:szCs w:val="16"/>
        </w:rPr>
        <w:t xml:space="preserve"> https://www.em.gov.lv/lv/nozares_politika/buvnieciba/statistika__petijumi/</w:t>
      </w:r>
    </w:p>
  </w:footnote>
  <w:footnote w:id="2">
    <w:p w14:paraId="7C44CBBF" w14:textId="77777777" w:rsidR="00DE666D" w:rsidRDefault="00DE666D" w:rsidP="00654420">
      <w:pPr>
        <w:pStyle w:val="FootnoteText"/>
      </w:pPr>
      <w:r w:rsidRPr="00F3031D">
        <w:rPr>
          <w:rStyle w:val="FootnoteReference"/>
          <w:sz w:val="18"/>
          <w:szCs w:val="16"/>
        </w:rPr>
        <w:footnoteRef/>
      </w:r>
      <w:r w:rsidRPr="00F3031D">
        <w:rPr>
          <w:sz w:val="18"/>
          <w:szCs w:val="16"/>
        </w:rPr>
        <w:t xml:space="preserve"> https://www.em.gov.lv/lv/nozares_politika/buvnieciba/statistika__petijumi/</w:t>
      </w:r>
    </w:p>
  </w:footnote>
  <w:footnote w:id="3">
    <w:p w14:paraId="755A1B4E" w14:textId="76FBBED1" w:rsidR="00DE666D" w:rsidRPr="00895643" w:rsidRDefault="00DE666D" w:rsidP="000C2E28">
      <w:pPr>
        <w:pStyle w:val="FootnoteText"/>
        <w:spacing w:before="0"/>
        <w:rPr>
          <w:sz w:val="18"/>
          <w:szCs w:val="16"/>
        </w:rPr>
      </w:pPr>
      <w:r w:rsidRPr="00895643">
        <w:rPr>
          <w:rStyle w:val="FootnoteReference"/>
          <w:sz w:val="18"/>
          <w:szCs w:val="16"/>
        </w:rPr>
        <w:footnoteRef/>
      </w:r>
      <w:r w:rsidRPr="00895643">
        <w:rPr>
          <w:sz w:val="18"/>
          <w:szCs w:val="16"/>
        </w:rPr>
        <w:t xml:space="preserve"> Aprēķināts no “BUG010. Būvniecības produkcijas apjoma indeksi un pārmaiņas”, CSP, http://data1.csb.gov.lv/pxweb/lv/rupnbuvn/rupnbuvn__buvn__ikgad/BUG010.px/</w:t>
      </w:r>
    </w:p>
  </w:footnote>
  <w:footnote w:id="4">
    <w:p w14:paraId="1CD66C5C" w14:textId="7341991D" w:rsidR="00DE666D" w:rsidRPr="00895643" w:rsidRDefault="00DE666D" w:rsidP="006347CD">
      <w:pPr>
        <w:pStyle w:val="FootnoteText"/>
        <w:spacing w:before="0"/>
        <w:rPr>
          <w:sz w:val="18"/>
          <w:szCs w:val="16"/>
        </w:rPr>
      </w:pPr>
      <w:r w:rsidRPr="00895643">
        <w:rPr>
          <w:rStyle w:val="FootnoteReference"/>
          <w:sz w:val="18"/>
          <w:szCs w:val="16"/>
        </w:rPr>
        <w:footnoteRef/>
      </w:r>
      <w:r w:rsidRPr="00895643">
        <w:rPr>
          <w:sz w:val="18"/>
          <w:szCs w:val="16"/>
        </w:rPr>
        <w:t xml:space="preserve"> </w:t>
      </w:r>
      <w:r>
        <w:rPr>
          <w:sz w:val="18"/>
          <w:szCs w:val="16"/>
        </w:rPr>
        <w:t>Ekspertu vērējumi.</w:t>
      </w:r>
    </w:p>
  </w:footnote>
  <w:footnote w:id="5">
    <w:p w14:paraId="1193D46E" w14:textId="7163469F" w:rsidR="00DE666D" w:rsidRDefault="00DE666D" w:rsidP="00895643">
      <w:pPr>
        <w:pStyle w:val="FootnoteText"/>
        <w:spacing w:before="0"/>
      </w:pPr>
      <w:r w:rsidRPr="00895643">
        <w:rPr>
          <w:rStyle w:val="FootnoteReference"/>
          <w:sz w:val="18"/>
          <w:szCs w:val="16"/>
        </w:rPr>
        <w:footnoteRef/>
      </w:r>
      <w:r w:rsidRPr="00895643">
        <w:rPr>
          <w:sz w:val="18"/>
          <w:szCs w:val="16"/>
        </w:rPr>
        <w:t xml:space="preserve"> Pētījuma ietvaros veikto 20 vispārējās būvniecības ekspertu interviju rezultāti.</w:t>
      </w:r>
    </w:p>
  </w:footnote>
  <w:footnote w:id="6">
    <w:p w14:paraId="3FDB7F06" w14:textId="5927522E" w:rsidR="00DE666D" w:rsidRDefault="00DE666D" w:rsidP="00895643">
      <w:pPr>
        <w:pStyle w:val="FootnoteText"/>
        <w:jc w:val="both"/>
      </w:pPr>
      <w:r w:rsidRPr="00895643">
        <w:rPr>
          <w:rStyle w:val="FootnoteReference"/>
          <w:sz w:val="18"/>
          <w:szCs w:val="16"/>
        </w:rPr>
        <w:footnoteRef/>
      </w:r>
      <w:r w:rsidRPr="00895643">
        <w:rPr>
          <w:sz w:val="18"/>
          <w:szCs w:val="16"/>
        </w:rPr>
        <w:t xml:space="preserve"> Aprēķināts pēc CSP datiem: RC091c. Būvniecības izmaksu indeksi un pārmaiņas objektu grupās pa ceturkšņiem, http://data1.csb.gov.lv/pxweb/lv/ekfin/ekfin__RCI__isterm/RC091c.px/</w:t>
      </w:r>
    </w:p>
  </w:footnote>
  <w:footnote w:id="7">
    <w:p w14:paraId="3FC85D75" w14:textId="77777777" w:rsidR="00DE666D" w:rsidRPr="00E55546" w:rsidRDefault="00DE666D" w:rsidP="00364CA7">
      <w:pPr>
        <w:pStyle w:val="FootnoteText"/>
        <w:spacing w:before="0"/>
        <w:contextualSpacing/>
        <w:jc w:val="both"/>
        <w:rPr>
          <w:sz w:val="20"/>
          <w:szCs w:val="18"/>
        </w:rPr>
      </w:pPr>
      <w:r w:rsidRPr="00E55546">
        <w:rPr>
          <w:rStyle w:val="FootnoteReference"/>
          <w:sz w:val="18"/>
          <w:szCs w:val="16"/>
        </w:rPr>
        <w:footnoteRef/>
      </w:r>
      <w:r w:rsidRPr="00E55546">
        <w:rPr>
          <w:sz w:val="18"/>
          <w:szCs w:val="16"/>
        </w:rPr>
        <w:t xml:space="preserve"> NACE: Saimniecisko darbību statistiskā klasifikācija Eiropas Kopienā, 2. redakcija. Pēdējā pieeja: 16.08.2018. Adrese: https://www.csb.gov.lv/lv/statistika/klasifikacijas/nace-2-red/kodi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969"/>
      <w:gridCol w:w="3969"/>
      <w:gridCol w:w="3969"/>
    </w:tblGrid>
    <w:tr w:rsidR="00DE666D" w14:paraId="2B1A039E" w14:textId="77777777" w:rsidTr="395D6C26">
      <w:tc>
        <w:tcPr>
          <w:tcW w:w="3969" w:type="dxa"/>
        </w:tcPr>
        <w:p w14:paraId="2DAD2AC7" w14:textId="50852194" w:rsidR="00DE666D" w:rsidRDefault="00DE666D" w:rsidP="395D6C26">
          <w:pPr>
            <w:pStyle w:val="Header"/>
            <w:ind w:left="-115"/>
          </w:pPr>
        </w:p>
      </w:tc>
      <w:tc>
        <w:tcPr>
          <w:tcW w:w="3969" w:type="dxa"/>
        </w:tcPr>
        <w:p w14:paraId="24F02B36" w14:textId="26E6C69F" w:rsidR="00DE666D" w:rsidRDefault="00DE666D" w:rsidP="395D6C26">
          <w:pPr>
            <w:pStyle w:val="Header"/>
            <w:jc w:val="center"/>
          </w:pPr>
        </w:p>
      </w:tc>
      <w:tc>
        <w:tcPr>
          <w:tcW w:w="3969" w:type="dxa"/>
        </w:tcPr>
        <w:p w14:paraId="17626A48" w14:textId="34F9A1D7" w:rsidR="00DE666D" w:rsidRDefault="00DE666D" w:rsidP="395D6C26">
          <w:pPr>
            <w:pStyle w:val="Header"/>
            <w:ind w:right="-115"/>
            <w:jc w:val="right"/>
          </w:pPr>
        </w:p>
      </w:tc>
    </w:tr>
  </w:tbl>
  <w:p w14:paraId="62178896" w14:textId="43C180B7" w:rsidR="00DE666D" w:rsidRDefault="00DE666D" w:rsidP="395D6C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CF7F6" w14:textId="41667B6D" w:rsidR="00DE666D" w:rsidRDefault="00DE666D" w:rsidP="00E016C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58727" w14:textId="2EDED145" w:rsidR="00DE666D" w:rsidRDefault="00DE666D" w:rsidP="00E016C9">
    <w:pPr>
      <w:pStyle w:val="Header"/>
      <w:jc w:val="right"/>
    </w:pPr>
    <w:r w:rsidRPr="00511D46">
      <w:rPr>
        <w:noProof/>
        <w:lang w:val="en-US"/>
      </w:rPr>
      <w:drawing>
        <wp:inline distT="0" distB="0" distL="0" distR="0" wp14:anchorId="350F1B6F" wp14:editId="477C498F">
          <wp:extent cx="781050" cy="303011"/>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962" cy="3184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94FDEAB"/>
    <w:multiLevelType w:val="hybridMultilevel"/>
    <w:tmpl w:val="C10BD5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607BB"/>
    <w:multiLevelType w:val="hybridMultilevel"/>
    <w:tmpl w:val="34EEDFE0"/>
    <w:lvl w:ilvl="0" w:tplc="DE04F9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470E1"/>
    <w:multiLevelType w:val="hybridMultilevel"/>
    <w:tmpl w:val="21E6C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467B10"/>
    <w:multiLevelType w:val="hybridMultilevel"/>
    <w:tmpl w:val="CFFA526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B50DD"/>
    <w:multiLevelType w:val="hybridMultilevel"/>
    <w:tmpl w:val="7AAEEF8A"/>
    <w:lvl w:ilvl="0" w:tplc="3C223738">
      <w:start w:val="1"/>
      <w:numFmt w:val="decimal"/>
      <w:lvlText w:val="%1."/>
      <w:lvlJc w:val="left"/>
      <w:pPr>
        <w:ind w:left="720" w:hanging="360"/>
      </w:pPr>
      <w:rPr>
        <w:rFonts w:hint="default"/>
      </w:rPr>
    </w:lvl>
    <w:lvl w:ilvl="1" w:tplc="0A42024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ED1744"/>
    <w:multiLevelType w:val="hybridMultilevel"/>
    <w:tmpl w:val="389650C0"/>
    <w:lvl w:ilvl="0" w:tplc="E3BAE2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FF3433"/>
    <w:multiLevelType w:val="hybridMultilevel"/>
    <w:tmpl w:val="7AAEEF8A"/>
    <w:lvl w:ilvl="0" w:tplc="3C223738">
      <w:start w:val="1"/>
      <w:numFmt w:val="decimal"/>
      <w:lvlText w:val="%1."/>
      <w:lvlJc w:val="left"/>
      <w:pPr>
        <w:ind w:left="720" w:hanging="360"/>
      </w:pPr>
      <w:rPr>
        <w:rFonts w:hint="default"/>
      </w:rPr>
    </w:lvl>
    <w:lvl w:ilvl="1" w:tplc="0A42024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940F87"/>
    <w:multiLevelType w:val="hybridMultilevel"/>
    <w:tmpl w:val="F0AA5CA0"/>
    <w:lvl w:ilvl="0" w:tplc="08090011">
      <w:start w:val="1"/>
      <w:numFmt w:val="decimal"/>
      <w:lvlText w:val="%1)"/>
      <w:lvlJc w:val="left"/>
      <w:pPr>
        <w:ind w:left="1854" w:hanging="360"/>
      </w:pPr>
    </w:lvl>
    <w:lvl w:ilvl="1" w:tplc="08090011">
      <w:start w:val="1"/>
      <w:numFmt w:val="decimal"/>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8" w15:restartNumberingAfterBreak="0">
    <w:nsid w:val="1CAB04A5"/>
    <w:multiLevelType w:val="multilevel"/>
    <w:tmpl w:val="0426001D"/>
    <w:styleLink w:val="Style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E402641"/>
    <w:multiLevelType w:val="hybridMultilevel"/>
    <w:tmpl w:val="8760FE3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3B2EDF"/>
    <w:multiLevelType w:val="hybridMultilevel"/>
    <w:tmpl w:val="A11AD2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F27D64"/>
    <w:multiLevelType w:val="hybridMultilevel"/>
    <w:tmpl w:val="B86452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FE1F50"/>
    <w:multiLevelType w:val="hybridMultilevel"/>
    <w:tmpl w:val="12885A3E"/>
    <w:lvl w:ilvl="0" w:tplc="04090003">
      <w:start w:val="1"/>
      <w:numFmt w:val="bullet"/>
      <w:lvlText w:val="o"/>
      <w:lvlJc w:val="left"/>
      <w:pPr>
        <w:ind w:left="1571" w:hanging="360"/>
      </w:pPr>
      <w:rPr>
        <w:rFonts w:ascii="Courier New" w:hAnsi="Courier New" w:cs="Courier New"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235413AC"/>
    <w:multiLevelType w:val="hybridMultilevel"/>
    <w:tmpl w:val="B90ECF5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15:restartNumberingAfterBreak="0">
    <w:nsid w:val="29960D79"/>
    <w:multiLevelType w:val="hybridMultilevel"/>
    <w:tmpl w:val="0A7EF3B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A996289"/>
    <w:multiLevelType w:val="hybridMultilevel"/>
    <w:tmpl w:val="9B8A97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75B8CA"/>
    <w:multiLevelType w:val="hybridMultilevel"/>
    <w:tmpl w:val="E9FA18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D9D271E"/>
    <w:multiLevelType w:val="hybridMultilevel"/>
    <w:tmpl w:val="B41AB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A321DE"/>
    <w:multiLevelType w:val="hybridMultilevel"/>
    <w:tmpl w:val="FE86133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7C5F4C"/>
    <w:multiLevelType w:val="hybridMultilevel"/>
    <w:tmpl w:val="76400F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112B80"/>
    <w:multiLevelType w:val="multilevel"/>
    <w:tmpl w:val="56380B8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485669B"/>
    <w:multiLevelType w:val="hybridMultilevel"/>
    <w:tmpl w:val="3BB036D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4756C6"/>
    <w:multiLevelType w:val="hybridMultilevel"/>
    <w:tmpl w:val="4008FC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4E4E62"/>
    <w:multiLevelType w:val="hybridMultilevel"/>
    <w:tmpl w:val="8E943DB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4C4D62"/>
    <w:multiLevelType w:val="multilevel"/>
    <w:tmpl w:val="DF4E493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asciiTheme="minorHAnsi" w:hAnsiTheme="minorHAnsi" w:cstheme="minorHAnsi" w:hint="default"/>
      </w:rPr>
    </w:lvl>
    <w:lvl w:ilvl="2">
      <w:start w:val="1"/>
      <w:numFmt w:val="decimal"/>
      <w:lvlText w:val="%1.%2.%3."/>
      <w:lvlJc w:val="left"/>
      <w:pPr>
        <w:ind w:left="1356" w:hanging="504"/>
      </w:pPr>
      <w:rPr>
        <w:rFonts w:hint="default"/>
      </w:rPr>
    </w:lvl>
    <w:lvl w:ilvl="3">
      <w:start w:val="1"/>
      <w:numFmt w:val="decimal"/>
      <w:pStyle w:val="Heading4"/>
      <w:suff w:val="space"/>
      <w:lvlText w:val="%1.%2.%3.%4."/>
      <w:lvlJc w:val="left"/>
      <w:pPr>
        <w:ind w:left="206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D85064"/>
    <w:multiLevelType w:val="hybridMultilevel"/>
    <w:tmpl w:val="BF34D876"/>
    <w:lvl w:ilvl="0" w:tplc="FFFFFFFF">
      <w:start w:val="1"/>
      <w:numFmt w:val="bullet"/>
      <w:lvlText w:val="•"/>
      <w:lvlJc w:val="left"/>
      <w:pPr>
        <w:ind w:left="1931" w:hanging="360"/>
      </w:pPr>
      <w:rPr>
        <w:rFonts w:hint="default"/>
      </w:rPr>
    </w:lvl>
    <w:lvl w:ilvl="1" w:tplc="08090003" w:tentative="1">
      <w:start w:val="1"/>
      <w:numFmt w:val="bullet"/>
      <w:lvlText w:val="o"/>
      <w:lvlJc w:val="left"/>
      <w:pPr>
        <w:ind w:left="2651" w:hanging="360"/>
      </w:pPr>
      <w:rPr>
        <w:rFonts w:ascii="Courier New" w:hAnsi="Courier New" w:cs="Courier New" w:hint="default"/>
      </w:rPr>
    </w:lvl>
    <w:lvl w:ilvl="2" w:tplc="08090005" w:tentative="1">
      <w:start w:val="1"/>
      <w:numFmt w:val="bullet"/>
      <w:lvlText w:val=""/>
      <w:lvlJc w:val="left"/>
      <w:pPr>
        <w:ind w:left="3371" w:hanging="360"/>
      </w:pPr>
      <w:rPr>
        <w:rFonts w:ascii="Wingdings" w:hAnsi="Wingdings" w:hint="default"/>
      </w:rPr>
    </w:lvl>
    <w:lvl w:ilvl="3" w:tplc="08090001" w:tentative="1">
      <w:start w:val="1"/>
      <w:numFmt w:val="bullet"/>
      <w:lvlText w:val=""/>
      <w:lvlJc w:val="left"/>
      <w:pPr>
        <w:ind w:left="4091" w:hanging="360"/>
      </w:pPr>
      <w:rPr>
        <w:rFonts w:ascii="Symbol" w:hAnsi="Symbol" w:hint="default"/>
      </w:rPr>
    </w:lvl>
    <w:lvl w:ilvl="4" w:tplc="08090003" w:tentative="1">
      <w:start w:val="1"/>
      <w:numFmt w:val="bullet"/>
      <w:lvlText w:val="o"/>
      <w:lvlJc w:val="left"/>
      <w:pPr>
        <w:ind w:left="4811" w:hanging="360"/>
      </w:pPr>
      <w:rPr>
        <w:rFonts w:ascii="Courier New" w:hAnsi="Courier New" w:cs="Courier New" w:hint="default"/>
      </w:rPr>
    </w:lvl>
    <w:lvl w:ilvl="5" w:tplc="08090005" w:tentative="1">
      <w:start w:val="1"/>
      <w:numFmt w:val="bullet"/>
      <w:lvlText w:val=""/>
      <w:lvlJc w:val="left"/>
      <w:pPr>
        <w:ind w:left="5531" w:hanging="360"/>
      </w:pPr>
      <w:rPr>
        <w:rFonts w:ascii="Wingdings" w:hAnsi="Wingdings" w:hint="default"/>
      </w:rPr>
    </w:lvl>
    <w:lvl w:ilvl="6" w:tplc="08090001" w:tentative="1">
      <w:start w:val="1"/>
      <w:numFmt w:val="bullet"/>
      <w:lvlText w:val=""/>
      <w:lvlJc w:val="left"/>
      <w:pPr>
        <w:ind w:left="6251" w:hanging="360"/>
      </w:pPr>
      <w:rPr>
        <w:rFonts w:ascii="Symbol" w:hAnsi="Symbol" w:hint="default"/>
      </w:rPr>
    </w:lvl>
    <w:lvl w:ilvl="7" w:tplc="08090003" w:tentative="1">
      <w:start w:val="1"/>
      <w:numFmt w:val="bullet"/>
      <w:lvlText w:val="o"/>
      <w:lvlJc w:val="left"/>
      <w:pPr>
        <w:ind w:left="6971" w:hanging="360"/>
      </w:pPr>
      <w:rPr>
        <w:rFonts w:ascii="Courier New" w:hAnsi="Courier New" w:cs="Courier New" w:hint="default"/>
      </w:rPr>
    </w:lvl>
    <w:lvl w:ilvl="8" w:tplc="08090005" w:tentative="1">
      <w:start w:val="1"/>
      <w:numFmt w:val="bullet"/>
      <w:lvlText w:val=""/>
      <w:lvlJc w:val="left"/>
      <w:pPr>
        <w:ind w:left="7691" w:hanging="360"/>
      </w:pPr>
      <w:rPr>
        <w:rFonts w:ascii="Wingdings" w:hAnsi="Wingdings" w:hint="default"/>
      </w:rPr>
    </w:lvl>
  </w:abstractNum>
  <w:abstractNum w:abstractNumId="26" w15:restartNumberingAfterBreak="0">
    <w:nsid w:val="51C64E5E"/>
    <w:multiLevelType w:val="hybridMultilevel"/>
    <w:tmpl w:val="4FE8EA0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70E12A"/>
    <w:multiLevelType w:val="hybridMultilevel"/>
    <w:tmpl w:val="BB114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6923B01"/>
    <w:multiLevelType w:val="hybridMultilevel"/>
    <w:tmpl w:val="21E6C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E4555D"/>
    <w:multiLevelType w:val="hybridMultilevel"/>
    <w:tmpl w:val="C70251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8B13D8"/>
    <w:multiLevelType w:val="hybridMultilevel"/>
    <w:tmpl w:val="0400F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4233D9"/>
    <w:multiLevelType w:val="multilevel"/>
    <w:tmpl w:val="C0B0D8CC"/>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91E3A4E"/>
    <w:multiLevelType w:val="hybridMultilevel"/>
    <w:tmpl w:val="F7DA25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10"/>
  </w:num>
  <w:num w:numId="4">
    <w:abstractNumId w:val="20"/>
  </w:num>
  <w:num w:numId="5">
    <w:abstractNumId w:val="31"/>
  </w:num>
  <w:num w:numId="6">
    <w:abstractNumId w:val="0"/>
  </w:num>
  <w:num w:numId="7">
    <w:abstractNumId w:val="27"/>
  </w:num>
  <w:num w:numId="8">
    <w:abstractNumId w:val="16"/>
  </w:num>
  <w:num w:numId="9">
    <w:abstractNumId w:val="11"/>
  </w:num>
  <w:num w:numId="10">
    <w:abstractNumId w:val="22"/>
  </w:num>
  <w:num w:numId="11">
    <w:abstractNumId w:val="13"/>
  </w:num>
  <w:num w:numId="12">
    <w:abstractNumId w:val="12"/>
  </w:num>
  <w:num w:numId="13">
    <w:abstractNumId w:val="29"/>
  </w:num>
  <w:num w:numId="14">
    <w:abstractNumId w:val="19"/>
  </w:num>
  <w:num w:numId="15">
    <w:abstractNumId w:val="18"/>
  </w:num>
  <w:num w:numId="16">
    <w:abstractNumId w:val="1"/>
  </w:num>
  <w:num w:numId="17">
    <w:abstractNumId w:val="26"/>
  </w:num>
  <w:num w:numId="18">
    <w:abstractNumId w:val="5"/>
  </w:num>
  <w:num w:numId="19">
    <w:abstractNumId w:val="4"/>
  </w:num>
  <w:num w:numId="20">
    <w:abstractNumId w:val="7"/>
  </w:num>
  <w:num w:numId="21">
    <w:abstractNumId w:val="2"/>
  </w:num>
  <w:num w:numId="22">
    <w:abstractNumId w:val="28"/>
  </w:num>
  <w:num w:numId="23">
    <w:abstractNumId w:val="32"/>
  </w:num>
  <w:num w:numId="24">
    <w:abstractNumId w:val="9"/>
  </w:num>
  <w:num w:numId="25">
    <w:abstractNumId w:val="23"/>
  </w:num>
  <w:num w:numId="26">
    <w:abstractNumId w:val="3"/>
  </w:num>
  <w:num w:numId="27">
    <w:abstractNumId w:val="21"/>
  </w:num>
  <w:num w:numId="28">
    <w:abstractNumId w:val="25"/>
  </w:num>
  <w:num w:numId="29">
    <w:abstractNumId w:val="6"/>
  </w:num>
  <w:num w:numId="30">
    <w:abstractNumId w:val="14"/>
  </w:num>
  <w:num w:numId="31">
    <w:abstractNumId w:val="15"/>
  </w:num>
  <w:num w:numId="32">
    <w:abstractNumId w:val="17"/>
  </w:num>
  <w:num w:numId="33">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1D9"/>
    <w:rsid w:val="000009FE"/>
    <w:rsid w:val="000014E1"/>
    <w:rsid w:val="00001941"/>
    <w:rsid w:val="000026FF"/>
    <w:rsid w:val="000040C5"/>
    <w:rsid w:val="0000425F"/>
    <w:rsid w:val="00004CCC"/>
    <w:rsid w:val="00005A8C"/>
    <w:rsid w:val="00006087"/>
    <w:rsid w:val="000068C7"/>
    <w:rsid w:val="0000692C"/>
    <w:rsid w:val="00006C7A"/>
    <w:rsid w:val="00007B48"/>
    <w:rsid w:val="00007CCE"/>
    <w:rsid w:val="00007DEB"/>
    <w:rsid w:val="00007FE6"/>
    <w:rsid w:val="0001002B"/>
    <w:rsid w:val="000103B5"/>
    <w:rsid w:val="00010C06"/>
    <w:rsid w:val="000119C0"/>
    <w:rsid w:val="00011B09"/>
    <w:rsid w:val="00012089"/>
    <w:rsid w:val="00012176"/>
    <w:rsid w:val="00012A36"/>
    <w:rsid w:val="00012ED5"/>
    <w:rsid w:val="000134E2"/>
    <w:rsid w:val="000135A4"/>
    <w:rsid w:val="00013A30"/>
    <w:rsid w:val="000142F6"/>
    <w:rsid w:val="0001435D"/>
    <w:rsid w:val="00015347"/>
    <w:rsid w:val="00015626"/>
    <w:rsid w:val="00015F8C"/>
    <w:rsid w:val="000164CD"/>
    <w:rsid w:val="00016957"/>
    <w:rsid w:val="00017082"/>
    <w:rsid w:val="0001787C"/>
    <w:rsid w:val="00020BA3"/>
    <w:rsid w:val="00021A75"/>
    <w:rsid w:val="00023017"/>
    <w:rsid w:val="000231D9"/>
    <w:rsid w:val="00023270"/>
    <w:rsid w:val="000244AD"/>
    <w:rsid w:val="00024DCA"/>
    <w:rsid w:val="0002521C"/>
    <w:rsid w:val="0002547E"/>
    <w:rsid w:val="00025808"/>
    <w:rsid w:val="00025924"/>
    <w:rsid w:val="000259C2"/>
    <w:rsid w:val="00025A23"/>
    <w:rsid w:val="000263D7"/>
    <w:rsid w:val="00026A62"/>
    <w:rsid w:val="00026BCF"/>
    <w:rsid w:val="00027B88"/>
    <w:rsid w:val="00027F67"/>
    <w:rsid w:val="00030391"/>
    <w:rsid w:val="00031439"/>
    <w:rsid w:val="00031585"/>
    <w:rsid w:val="00032446"/>
    <w:rsid w:val="00032C4E"/>
    <w:rsid w:val="00033164"/>
    <w:rsid w:val="0003329A"/>
    <w:rsid w:val="0003344B"/>
    <w:rsid w:val="00033532"/>
    <w:rsid w:val="00033D77"/>
    <w:rsid w:val="00034590"/>
    <w:rsid w:val="00034E51"/>
    <w:rsid w:val="00035479"/>
    <w:rsid w:val="000361E1"/>
    <w:rsid w:val="000368F8"/>
    <w:rsid w:val="00036B9D"/>
    <w:rsid w:val="00036DCC"/>
    <w:rsid w:val="00037372"/>
    <w:rsid w:val="00037DFA"/>
    <w:rsid w:val="00040AAD"/>
    <w:rsid w:val="00040FE5"/>
    <w:rsid w:val="00041054"/>
    <w:rsid w:val="00041DC1"/>
    <w:rsid w:val="000425D5"/>
    <w:rsid w:val="0004270A"/>
    <w:rsid w:val="00042DD0"/>
    <w:rsid w:val="000439BA"/>
    <w:rsid w:val="00043CAF"/>
    <w:rsid w:val="00043E80"/>
    <w:rsid w:val="0004437A"/>
    <w:rsid w:val="000446AB"/>
    <w:rsid w:val="000448B0"/>
    <w:rsid w:val="00044C12"/>
    <w:rsid w:val="000450E9"/>
    <w:rsid w:val="000450EC"/>
    <w:rsid w:val="00045638"/>
    <w:rsid w:val="0004591D"/>
    <w:rsid w:val="00046994"/>
    <w:rsid w:val="00046CFD"/>
    <w:rsid w:val="000471CB"/>
    <w:rsid w:val="0004737C"/>
    <w:rsid w:val="000473F2"/>
    <w:rsid w:val="0004777B"/>
    <w:rsid w:val="00047B16"/>
    <w:rsid w:val="00050BC5"/>
    <w:rsid w:val="00050CB3"/>
    <w:rsid w:val="00050D4F"/>
    <w:rsid w:val="00051705"/>
    <w:rsid w:val="00051D28"/>
    <w:rsid w:val="00051FFD"/>
    <w:rsid w:val="00052ACE"/>
    <w:rsid w:val="00052ED8"/>
    <w:rsid w:val="000534E7"/>
    <w:rsid w:val="00053AE3"/>
    <w:rsid w:val="00053E59"/>
    <w:rsid w:val="0005442A"/>
    <w:rsid w:val="0005487D"/>
    <w:rsid w:val="00055130"/>
    <w:rsid w:val="00055369"/>
    <w:rsid w:val="00055789"/>
    <w:rsid w:val="0005651D"/>
    <w:rsid w:val="00056C07"/>
    <w:rsid w:val="00056D38"/>
    <w:rsid w:val="00056DE5"/>
    <w:rsid w:val="0005796B"/>
    <w:rsid w:val="00057C85"/>
    <w:rsid w:val="00057DBC"/>
    <w:rsid w:val="0006128F"/>
    <w:rsid w:val="00061970"/>
    <w:rsid w:val="00061AE9"/>
    <w:rsid w:val="00062BC0"/>
    <w:rsid w:val="00062BDC"/>
    <w:rsid w:val="000633CF"/>
    <w:rsid w:val="00063B31"/>
    <w:rsid w:val="00064589"/>
    <w:rsid w:val="000650D0"/>
    <w:rsid w:val="0006567B"/>
    <w:rsid w:val="00065C42"/>
    <w:rsid w:val="00065F8B"/>
    <w:rsid w:val="00066342"/>
    <w:rsid w:val="000666ED"/>
    <w:rsid w:val="00066D57"/>
    <w:rsid w:val="00066F21"/>
    <w:rsid w:val="00067228"/>
    <w:rsid w:val="00067608"/>
    <w:rsid w:val="00067915"/>
    <w:rsid w:val="00070D30"/>
    <w:rsid w:val="00070DF2"/>
    <w:rsid w:val="00070E07"/>
    <w:rsid w:val="00071394"/>
    <w:rsid w:val="00071EA7"/>
    <w:rsid w:val="00071FEB"/>
    <w:rsid w:val="00072087"/>
    <w:rsid w:val="000721CD"/>
    <w:rsid w:val="0007298C"/>
    <w:rsid w:val="00072ACD"/>
    <w:rsid w:val="00074E98"/>
    <w:rsid w:val="0007501B"/>
    <w:rsid w:val="0007571D"/>
    <w:rsid w:val="00075922"/>
    <w:rsid w:val="0007616D"/>
    <w:rsid w:val="00076425"/>
    <w:rsid w:val="000767D4"/>
    <w:rsid w:val="00076B14"/>
    <w:rsid w:val="00077305"/>
    <w:rsid w:val="00077C85"/>
    <w:rsid w:val="0008073A"/>
    <w:rsid w:val="00080B13"/>
    <w:rsid w:val="00080E6A"/>
    <w:rsid w:val="00080F16"/>
    <w:rsid w:val="000815D3"/>
    <w:rsid w:val="00081F90"/>
    <w:rsid w:val="00082284"/>
    <w:rsid w:val="0008305E"/>
    <w:rsid w:val="0008358D"/>
    <w:rsid w:val="000846DB"/>
    <w:rsid w:val="000846F9"/>
    <w:rsid w:val="00084819"/>
    <w:rsid w:val="0008490C"/>
    <w:rsid w:val="00084D30"/>
    <w:rsid w:val="0008535D"/>
    <w:rsid w:val="00085BAD"/>
    <w:rsid w:val="00085BE0"/>
    <w:rsid w:val="000866BB"/>
    <w:rsid w:val="000900DB"/>
    <w:rsid w:val="000904D2"/>
    <w:rsid w:val="00090BEB"/>
    <w:rsid w:val="000935EE"/>
    <w:rsid w:val="00093C59"/>
    <w:rsid w:val="0009421D"/>
    <w:rsid w:val="00094959"/>
    <w:rsid w:val="000951FF"/>
    <w:rsid w:val="000952FD"/>
    <w:rsid w:val="00095B77"/>
    <w:rsid w:val="00095F78"/>
    <w:rsid w:val="0009611C"/>
    <w:rsid w:val="00096C0B"/>
    <w:rsid w:val="000971EB"/>
    <w:rsid w:val="000976B5"/>
    <w:rsid w:val="000A032E"/>
    <w:rsid w:val="000A04C2"/>
    <w:rsid w:val="000A1B90"/>
    <w:rsid w:val="000A1E54"/>
    <w:rsid w:val="000A3FEA"/>
    <w:rsid w:val="000A42AB"/>
    <w:rsid w:val="000A4C8B"/>
    <w:rsid w:val="000A5AC8"/>
    <w:rsid w:val="000A5BBF"/>
    <w:rsid w:val="000A5C7B"/>
    <w:rsid w:val="000A5E3A"/>
    <w:rsid w:val="000A66F6"/>
    <w:rsid w:val="000A674E"/>
    <w:rsid w:val="000A7B18"/>
    <w:rsid w:val="000B0041"/>
    <w:rsid w:val="000B196B"/>
    <w:rsid w:val="000B1E8B"/>
    <w:rsid w:val="000B2287"/>
    <w:rsid w:val="000B2952"/>
    <w:rsid w:val="000B30CF"/>
    <w:rsid w:val="000B353E"/>
    <w:rsid w:val="000B388A"/>
    <w:rsid w:val="000B416B"/>
    <w:rsid w:val="000B427F"/>
    <w:rsid w:val="000B474F"/>
    <w:rsid w:val="000B506E"/>
    <w:rsid w:val="000B540F"/>
    <w:rsid w:val="000B5425"/>
    <w:rsid w:val="000B67EC"/>
    <w:rsid w:val="000C0055"/>
    <w:rsid w:val="000C009F"/>
    <w:rsid w:val="000C03DC"/>
    <w:rsid w:val="000C09BB"/>
    <w:rsid w:val="000C0A6F"/>
    <w:rsid w:val="000C0DCF"/>
    <w:rsid w:val="000C1247"/>
    <w:rsid w:val="000C1903"/>
    <w:rsid w:val="000C1B06"/>
    <w:rsid w:val="000C22DB"/>
    <w:rsid w:val="000C2B12"/>
    <w:rsid w:val="000C2D8F"/>
    <w:rsid w:val="000C2E28"/>
    <w:rsid w:val="000C482B"/>
    <w:rsid w:val="000C55CE"/>
    <w:rsid w:val="000C5D78"/>
    <w:rsid w:val="000C70DC"/>
    <w:rsid w:val="000C739D"/>
    <w:rsid w:val="000C750F"/>
    <w:rsid w:val="000C75E0"/>
    <w:rsid w:val="000C7E60"/>
    <w:rsid w:val="000C7F27"/>
    <w:rsid w:val="000D03EA"/>
    <w:rsid w:val="000D0529"/>
    <w:rsid w:val="000D059E"/>
    <w:rsid w:val="000D0AB1"/>
    <w:rsid w:val="000D13FD"/>
    <w:rsid w:val="000D23B0"/>
    <w:rsid w:val="000D2408"/>
    <w:rsid w:val="000D24ED"/>
    <w:rsid w:val="000D2605"/>
    <w:rsid w:val="000D26B9"/>
    <w:rsid w:val="000D2772"/>
    <w:rsid w:val="000D315E"/>
    <w:rsid w:val="000D32D1"/>
    <w:rsid w:val="000D3A1D"/>
    <w:rsid w:val="000D4C25"/>
    <w:rsid w:val="000D5275"/>
    <w:rsid w:val="000D57E6"/>
    <w:rsid w:val="000D5D1A"/>
    <w:rsid w:val="000D65B7"/>
    <w:rsid w:val="000D7946"/>
    <w:rsid w:val="000D7BE2"/>
    <w:rsid w:val="000D7C6C"/>
    <w:rsid w:val="000D7D64"/>
    <w:rsid w:val="000E0072"/>
    <w:rsid w:val="000E0819"/>
    <w:rsid w:val="000E130E"/>
    <w:rsid w:val="000E13C0"/>
    <w:rsid w:val="000E162E"/>
    <w:rsid w:val="000E18B9"/>
    <w:rsid w:val="000E1C25"/>
    <w:rsid w:val="000E24F4"/>
    <w:rsid w:val="000E2A47"/>
    <w:rsid w:val="000E2F69"/>
    <w:rsid w:val="000E3741"/>
    <w:rsid w:val="000E3B37"/>
    <w:rsid w:val="000E5B02"/>
    <w:rsid w:val="000E691F"/>
    <w:rsid w:val="000E7A10"/>
    <w:rsid w:val="000E7C4C"/>
    <w:rsid w:val="000E7DD3"/>
    <w:rsid w:val="000F05F3"/>
    <w:rsid w:val="000F067D"/>
    <w:rsid w:val="000F0757"/>
    <w:rsid w:val="000F09FE"/>
    <w:rsid w:val="000F0F78"/>
    <w:rsid w:val="000F1ED3"/>
    <w:rsid w:val="000F241F"/>
    <w:rsid w:val="000F2B4B"/>
    <w:rsid w:val="000F3110"/>
    <w:rsid w:val="000F3664"/>
    <w:rsid w:val="000F3807"/>
    <w:rsid w:val="000F3816"/>
    <w:rsid w:val="000F3CC5"/>
    <w:rsid w:val="000F4383"/>
    <w:rsid w:val="000F4664"/>
    <w:rsid w:val="000F47A5"/>
    <w:rsid w:val="000F5008"/>
    <w:rsid w:val="000F54B7"/>
    <w:rsid w:val="000F572F"/>
    <w:rsid w:val="000F5B1C"/>
    <w:rsid w:val="000F6912"/>
    <w:rsid w:val="000F6ED2"/>
    <w:rsid w:val="000F71FB"/>
    <w:rsid w:val="000F74A8"/>
    <w:rsid w:val="0010057F"/>
    <w:rsid w:val="00100BD0"/>
    <w:rsid w:val="00100D75"/>
    <w:rsid w:val="001014BE"/>
    <w:rsid w:val="0010179B"/>
    <w:rsid w:val="00101803"/>
    <w:rsid w:val="00101997"/>
    <w:rsid w:val="00101C2F"/>
    <w:rsid w:val="00101D7D"/>
    <w:rsid w:val="00101EB2"/>
    <w:rsid w:val="00102370"/>
    <w:rsid w:val="001039B9"/>
    <w:rsid w:val="00104063"/>
    <w:rsid w:val="0010450C"/>
    <w:rsid w:val="00104C81"/>
    <w:rsid w:val="00105F71"/>
    <w:rsid w:val="00106500"/>
    <w:rsid w:val="0010650E"/>
    <w:rsid w:val="00106A22"/>
    <w:rsid w:val="00106B90"/>
    <w:rsid w:val="0010773A"/>
    <w:rsid w:val="00110AD3"/>
    <w:rsid w:val="00110B3C"/>
    <w:rsid w:val="00110DE8"/>
    <w:rsid w:val="0011103F"/>
    <w:rsid w:val="001110AB"/>
    <w:rsid w:val="0011178D"/>
    <w:rsid w:val="00111870"/>
    <w:rsid w:val="00111FC5"/>
    <w:rsid w:val="00112A0C"/>
    <w:rsid w:val="0011443E"/>
    <w:rsid w:val="001154FF"/>
    <w:rsid w:val="00115621"/>
    <w:rsid w:val="001157C6"/>
    <w:rsid w:val="0011595E"/>
    <w:rsid w:val="00115B1D"/>
    <w:rsid w:val="0011707A"/>
    <w:rsid w:val="00117B2B"/>
    <w:rsid w:val="00117C3C"/>
    <w:rsid w:val="00117FE1"/>
    <w:rsid w:val="001204F9"/>
    <w:rsid w:val="00120E3D"/>
    <w:rsid w:val="00121436"/>
    <w:rsid w:val="001214E0"/>
    <w:rsid w:val="00121E5F"/>
    <w:rsid w:val="00121F29"/>
    <w:rsid w:val="00122838"/>
    <w:rsid w:val="001228FC"/>
    <w:rsid w:val="0012299C"/>
    <w:rsid w:val="001239F5"/>
    <w:rsid w:val="00123B1D"/>
    <w:rsid w:val="00123C9C"/>
    <w:rsid w:val="00124929"/>
    <w:rsid w:val="00124B6C"/>
    <w:rsid w:val="00124EFB"/>
    <w:rsid w:val="00125723"/>
    <w:rsid w:val="00125C9F"/>
    <w:rsid w:val="00126352"/>
    <w:rsid w:val="001263CB"/>
    <w:rsid w:val="001266C1"/>
    <w:rsid w:val="00126DF7"/>
    <w:rsid w:val="00127824"/>
    <w:rsid w:val="00127BD3"/>
    <w:rsid w:val="0013099C"/>
    <w:rsid w:val="00131339"/>
    <w:rsid w:val="00131756"/>
    <w:rsid w:val="0013246A"/>
    <w:rsid w:val="00132E24"/>
    <w:rsid w:val="001332D6"/>
    <w:rsid w:val="0013365F"/>
    <w:rsid w:val="00134055"/>
    <w:rsid w:val="001344CF"/>
    <w:rsid w:val="0013469E"/>
    <w:rsid w:val="0013492B"/>
    <w:rsid w:val="0013613E"/>
    <w:rsid w:val="001366A8"/>
    <w:rsid w:val="00136CB2"/>
    <w:rsid w:val="0013746D"/>
    <w:rsid w:val="00137CD6"/>
    <w:rsid w:val="0014025F"/>
    <w:rsid w:val="001403E0"/>
    <w:rsid w:val="0014040A"/>
    <w:rsid w:val="00140612"/>
    <w:rsid w:val="001409AF"/>
    <w:rsid w:val="00140CAB"/>
    <w:rsid w:val="0014146F"/>
    <w:rsid w:val="001414F0"/>
    <w:rsid w:val="00141A88"/>
    <w:rsid w:val="00141B06"/>
    <w:rsid w:val="00142FE5"/>
    <w:rsid w:val="001435BA"/>
    <w:rsid w:val="00143A65"/>
    <w:rsid w:val="00143D21"/>
    <w:rsid w:val="00144CAA"/>
    <w:rsid w:val="001457CD"/>
    <w:rsid w:val="00145AE4"/>
    <w:rsid w:val="00145D61"/>
    <w:rsid w:val="00145F07"/>
    <w:rsid w:val="0014606C"/>
    <w:rsid w:val="00146846"/>
    <w:rsid w:val="001469EC"/>
    <w:rsid w:val="00146BD0"/>
    <w:rsid w:val="00146D2C"/>
    <w:rsid w:val="00146DCF"/>
    <w:rsid w:val="00146FDC"/>
    <w:rsid w:val="0014783B"/>
    <w:rsid w:val="0014784C"/>
    <w:rsid w:val="00147EE2"/>
    <w:rsid w:val="00150902"/>
    <w:rsid w:val="001515A3"/>
    <w:rsid w:val="00151886"/>
    <w:rsid w:val="001520BA"/>
    <w:rsid w:val="00152B90"/>
    <w:rsid w:val="00152BA2"/>
    <w:rsid w:val="00153760"/>
    <w:rsid w:val="001539A4"/>
    <w:rsid w:val="001539E8"/>
    <w:rsid w:val="00153EBC"/>
    <w:rsid w:val="0015473C"/>
    <w:rsid w:val="00154778"/>
    <w:rsid w:val="00154A23"/>
    <w:rsid w:val="00156F2D"/>
    <w:rsid w:val="001570FF"/>
    <w:rsid w:val="00157229"/>
    <w:rsid w:val="00157427"/>
    <w:rsid w:val="001579FF"/>
    <w:rsid w:val="00160E2E"/>
    <w:rsid w:val="00160FBD"/>
    <w:rsid w:val="00161584"/>
    <w:rsid w:val="00161CE5"/>
    <w:rsid w:val="00161DF1"/>
    <w:rsid w:val="0016208F"/>
    <w:rsid w:val="00162A4C"/>
    <w:rsid w:val="0016320F"/>
    <w:rsid w:val="0016354C"/>
    <w:rsid w:val="0016387C"/>
    <w:rsid w:val="00164F94"/>
    <w:rsid w:val="001655A9"/>
    <w:rsid w:val="0016593E"/>
    <w:rsid w:val="00166CA4"/>
    <w:rsid w:val="00166EE1"/>
    <w:rsid w:val="001671D7"/>
    <w:rsid w:val="00167537"/>
    <w:rsid w:val="001722D5"/>
    <w:rsid w:val="001734D4"/>
    <w:rsid w:val="001735EC"/>
    <w:rsid w:val="00173853"/>
    <w:rsid w:val="00175139"/>
    <w:rsid w:val="0017524E"/>
    <w:rsid w:val="001752E9"/>
    <w:rsid w:val="0017579C"/>
    <w:rsid w:val="00175A25"/>
    <w:rsid w:val="00175C81"/>
    <w:rsid w:val="00176584"/>
    <w:rsid w:val="0017688C"/>
    <w:rsid w:val="00177981"/>
    <w:rsid w:val="00180333"/>
    <w:rsid w:val="001804A7"/>
    <w:rsid w:val="001807CC"/>
    <w:rsid w:val="00180BEA"/>
    <w:rsid w:val="00180F3A"/>
    <w:rsid w:val="001814C7"/>
    <w:rsid w:val="001816A5"/>
    <w:rsid w:val="00182088"/>
    <w:rsid w:val="001827FB"/>
    <w:rsid w:val="00182BE4"/>
    <w:rsid w:val="00182FC8"/>
    <w:rsid w:val="00183051"/>
    <w:rsid w:val="001834A2"/>
    <w:rsid w:val="00183D71"/>
    <w:rsid w:val="00183FEA"/>
    <w:rsid w:val="001844C4"/>
    <w:rsid w:val="001846F4"/>
    <w:rsid w:val="00184EC1"/>
    <w:rsid w:val="0018537F"/>
    <w:rsid w:val="001854FD"/>
    <w:rsid w:val="001856A4"/>
    <w:rsid w:val="001856C8"/>
    <w:rsid w:val="00185761"/>
    <w:rsid w:val="00185DBC"/>
    <w:rsid w:val="0018738B"/>
    <w:rsid w:val="00187B31"/>
    <w:rsid w:val="00190D1C"/>
    <w:rsid w:val="00190F4E"/>
    <w:rsid w:val="00191060"/>
    <w:rsid w:val="001912FD"/>
    <w:rsid w:val="00191583"/>
    <w:rsid w:val="0019159B"/>
    <w:rsid w:val="00191D0F"/>
    <w:rsid w:val="00191FA4"/>
    <w:rsid w:val="001923B1"/>
    <w:rsid w:val="00192E77"/>
    <w:rsid w:val="0019306B"/>
    <w:rsid w:val="00193924"/>
    <w:rsid w:val="001949CF"/>
    <w:rsid w:val="00194F40"/>
    <w:rsid w:val="001952CA"/>
    <w:rsid w:val="00195F27"/>
    <w:rsid w:val="00196747"/>
    <w:rsid w:val="00196A1C"/>
    <w:rsid w:val="00196D77"/>
    <w:rsid w:val="00197876"/>
    <w:rsid w:val="001A0564"/>
    <w:rsid w:val="001A057A"/>
    <w:rsid w:val="001A08E5"/>
    <w:rsid w:val="001A0D3B"/>
    <w:rsid w:val="001A0EDF"/>
    <w:rsid w:val="001A0EEC"/>
    <w:rsid w:val="001A10AB"/>
    <w:rsid w:val="001A16DB"/>
    <w:rsid w:val="001A1EAD"/>
    <w:rsid w:val="001A1EDA"/>
    <w:rsid w:val="001A28F1"/>
    <w:rsid w:val="001A291C"/>
    <w:rsid w:val="001A2F9F"/>
    <w:rsid w:val="001A3CF8"/>
    <w:rsid w:val="001A49A1"/>
    <w:rsid w:val="001A4A9E"/>
    <w:rsid w:val="001A4AC1"/>
    <w:rsid w:val="001A4F42"/>
    <w:rsid w:val="001A52AA"/>
    <w:rsid w:val="001A5345"/>
    <w:rsid w:val="001A5A7D"/>
    <w:rsid w:val="001A5CE6"/>
    <w:rsid w:val="001A655E"/>
    <w:rsid w:val="001A68BC"/>
    <w:rsid w:val="001A73ED"/>
    <w:rsid w:val="001A7752"/>
    <w:rsid w:val="001B03D2"/>
    <w:rsid w:val="001B0C4A"/>
    <w:rsid w:val="001B0E15"/>
    <w:rsid w:val="001B15E6"/>
    <w:rsid w:val="001B24F0"/>
    <w:rsid w:val="001B2852"/>
    <w:rsid w:val="001B2BEA"/>
    <w:rsid w:val="001B3BEE"/>
    <w:rsid w:val="001B5864"/>
    <w:rsid w:val="001B58B2"/>
    <w:rsid w:val="001B5C6E"/>
    <w:rsid w:val="001B5FA3"/>
    <w:rsid w:val="001B60CA"/>
    <w:rsid w:val="001B6A6C"/>
    <w:rsid w:val="001B7D83"/>
    <w:rsid w:val="001C05A8"/>
    <w:rsid w:val="001C0D2A"/>
    <w:rsid w:val="001C144F"/>
    <w:rsid w:val="001C15DC"/>
    <w:rsid w:val="001C1934"/>
    <w:rsid w:val="001C1D94"/>
    <w:rsid w:val="001C2765"/>
    <w:rsid w:val="001C2D94"/>
    <w:rsid w:val="001C3184"/>
    <w:rsid w:val="001C3B44"/>
    <w:rsid w:val="001C3FEB"/>
    <w:rsid w:val="001C46C8"/>
    <w:rsid w:val="001C4C7F"/>
    <w:rsid w:val="001C5083"/>
    <w:rsid w:val="001C5169"/>
    <w:rsid w:val="001C598E"/>
    <w:rsid w:val="001C61C7"/>
    <w:rsid w:val="001C62F2"/>
    <w:rsid w:val="001C715D"/>
    <w:rsid w:val="001D0053"/>
    <w:rsid w:val="001D03EE"/>
    <w:rsid w:val="001D06D7"/>
    <w:rsid w:val="001D117E"/>
    <w:rsid w:val="001D1A2B"/>
    <w:rsid w:val="001D2024"/>
    <w:rsid w:val="001D228D"/>
    <w:rsid w:val="001D2359"/>
    <w:rsid w:val="001D284E"/>
    <w:rsid w:val="001D2C50"/>
    <w:rsid w:val="001D33A2"/>
    <w:rsid w:val="001D3812"/>
    <w:rsid w:val="001D44FA"/>
    <w:rsid w:val="001D4BD9"/>
    <w:rsid w:val="001D4C49"/>
    <w:rsid w:val="001D5231"/>
    <w:rsid w:val="001D5F01"/>
    <w:rsid w:val="001D5FF6"/>
    <w:rsid w:val="001D62E9"/>
    <w:rsid w:val="001D6F40"/>
    <w:rsid w:val="001D71C9"/>
    <w:rsid w:val="001E08B7"/>
    <w:rsid w:val="001E12FE"/>
    <w:rsid w:val="001E17F4"/>
    <w:rsid w:val="001E18ED"/>
    <w:rsid w:val="001E19AE"/>
    <w:rsid w:val="001E1B6A"/>
    <w:rsid w:val="001E1D13"/>
    <w:rsid w:val="001E23C0"/>
    <w:rsid w:val="001E24C4"/>
    <w:rsid w:val="001E26D0"/>
    <w:rsid w:val="001E2CF5"/>
    <w:rsid w:val="001E336E"/>
    <w:rsid w:val="001E33CC"/>
    <w:rsid w:val="001E38E3"/>
    <w:rsid w:val="001E3C89"/>
    <w:rsid w:val="001E499F"/>
    <w:rsid w:val="001E50C0"/>
    <w:rsid w:val="001E519C"/>
    <w:rsid w:val="001E534C"/>
    <w:rsid w:val="001E6899"/>
    <w:rsid w:val="001E69B3"/>
    <w:rsid w:val="001E6D7E"/>
    <w:rsid w:val="001E6FAD"/>
    <w:rsid w:val="001E7C01"/>
    <w:rsid w:val="001E7C59"/>
    <w:rsid w:val="001E7D7F"/>
    <w:rsid w:val="001F0A98"/>
    <w:rsid w:val="001F106A"/>
    <w:rsid w:val="001F1262"/>
    <w:rsid w:val="001F1CF9"/>
    <w:rsid w:val="001F208A"/>
    <w:rsid w:val="001F20B6"/>
    <w:rsid w:val="001F2383"/>
    <w:rsid w:val="001F2426"/>
    <w:rsid w:val="001F25D3"/>
    <w:rsid w:val="001F311E"/>
    <w:rsid w:val="001F357F"/>
    <w:rsid w:val="001F3837"/>
    <w:rsid w:val="001F3861"/>
    <w:rsid w:val="001F432D"/>
    <w:rsid w:val="001F4FA9"/>
    <w:rsid w:val="001F57CB"/>
    <w:rsid w:val="001F5CB3"/>
    <w:rsid w:val="001F63B9"/>
    <w:rsid w:val="001F6A0F"/>
    <w:rsid w:val="001F6C83"/>
    <w:rsid w:val="001F706D"/>
    <w:rsid w:val="001F72C4"/>
    <w:rsid w:val="001F793C"/>
    <w:rsid w:val="002000B6"/>
    <w:rsid w:val="00200226"/>
    <w:rsid w:val="002004E4"/>
    <w:rsid w:val="00200E75"/>
    <w:rsid w:val="0020121F"/>
    <w:rsid w:val="002018CE"/>
    <w:rsid w:val="00201A55"/>
    <w:rsid w:val="00201C17"/>
    <w:rsid w:val="00201FB7"/>
    <w:rsid w:val="00202340"/>
    <w:rsid w:val="002025EF"/>
    <w:rsid w:val="0020289B"/>
    <w:rsid w:val="00202FF2"/>
    <w:rsid w:val="002038D3"/>
    <w:rsid w:val="00203C63"/>
    <w:rsid w:val="00205F7D"/>
    <w:rsid w:val="00206229"/>
    <w:rsid w:val="002065AD"/>
    <w:rsid w:val="00206767"/>
    <w:rsid w:val="00206A5F"/>
    <w:rsid w:val="00207A7B"/>
    <w:rsid w:val="00207F3E"/>
    <w:rsid w:val="00210E2C"/>
    <w:rsid w:val="00211322"/>
    <w:rsid w:val="00211D5B"/>
    <w:rsid w:val="00212125"/>
    <w:rsid w:val="00212245"/>
    <w:rsid w:val="00212247"/>
    <w:rsid w:val="002122A5"/>
    <w:rsid w:val="00212525"/>
    <w:rsid w:val="0021257E"/>
    <w:rsid w:val="002126F0"/>
    <w:rsid w:val="00212A2A"/>
    <w:rsid w:val="002134EA"/>
    <w:rsid w:val="0021399A"/>
    <w:rsid w:val="00213F6E"/>
    <w:rsid w:val="002167AC"/>
    <w:rsid w:val="00216B77"/>
    <w:rsid w:val="00216D6F"/>
    <w:rsid w:val="002171D4"/>
    <w:rsid w:val="002175C5"/>
    <w:rsid w:val="00217C33"/>
    <w:rsid w:val="002203BF"/>
    <w:rsid w:val="002207F0"/>
    <w:rsid w:val="00220923"/>
    <w:rsid w:val="002212EA"/>
    <w:rsid w:val="0022134A"/>
    <w:rsid w:val="00221415"/>
    <w:rsid w:val="0022178B"/>
    <w:rsid w:val="002219CC"/>
    <w:rsid w:val="002223C1"/>
    <w:rsid w:val="002231A9"/>
    <w:rsid w:val="002235CC"/>
    <w:rsid w:val="00224DD3"/>
    <w:rsid w:val="002252B3"/>
    <w:rsid w:val="00225424"/>
    <w:rsid w:val="00225538"/>
    <w:rsid w:val="00225C4C"/>
    <w:rsid w:val="002264D0"/>
    <w:rsid w:val="00226956"/>
    <w:rsid w:val="00226BEE"/>
    <w:rsid w:val="00226E0E"/>
    <w:rsid w:val="0022729D"/>
    <w:rsid w:val="00227B8B"/>
    <w:rsid w:val="00230A5D"/>
    <w:rsid w:val="0023100C"/>
    <w:rsid w:val="002319C5"/>
    <w:rsid w:val="00232480"/>
    <w:rsid w:val="0023323E"/>
    <w:rsid w:val="002333B0"/>
    <w:rsid w:val="00233607"/>
    <w:rsid w:val="00234382"/>
    <w:rsid w:val="002348F2"/>
    <w:rsid w:val="002351C5"/>
    <w:rsid w:val="00235349"/>
    <w:rsid w:val="00235556"/>
    <w:rsid w:val="00235A21"/>
    <w:rsid w:val="002365E1"/>
    <w:rsid w:val="00236D30"/>
    <w:rsid w:val="00236D9A"/>
    <w:rsid w:val="002371B5"/>
    <w:rsid w:val="002376C9"/>
    <w:rsid w:val="0023786E"/>
    <w:rsid w:val="00237972"/>
    <w:rsid w:val="00237D29"/>
    <w:rsid w:val="00240321"/>
    <w:rsid w:val="00241A16"/>
    <w:rsid w:val="00241ACF"/>
    <w:rsid w:val="00241DDC"/>
    <w:rsid w:val="0024295E"/>
    <w:rsid w:val="00242D63"/>
    <w:rsid w:val="00242F28"/>
    <w:rsid w:val="00243D3B"/>
    <w:rsid w:val="00244CD5"/>
    <w:rsid w:val="00245813"/>
    <w:rsid w:val="00245878"/>
    <w:rsid w:val="002463FE"/>
    <w:rsid w:val="0024665C"/>
    <w:rsid w:val="00250169"/>
    <w:rsid w:val="002504FE"/>
    <w:rsid w:val="00250BE7"/>
    <w:rsid w:val="00251398"/>
    <w:rsid w:val="0025188C"/>
    <w:rsid w:val="00252558"/>
    <w:rsid w:val="0025299A"/>
    <w:rsid w:val="002535A6"/>
    <w:rsid w:val="00254270"/>
    <w:rsid w:val="0025458B"/>
    <w:rsid w:val="00255576"/>
    <w:rsid w:val="00255812"/>
    <w:rsid w:val="00255C3E"/>
    <w:rsid w:val="00256154"/>
    <w:rsid w:val="0025635C"/>
    <w:rsid w:val="0025637B"/>
    <w:rsid w:val="00256958"/>
    <w:rsid w:val="00256C24"/>
    <w:rsid w:val="0025716A"/>
    <w:rsid w:val="002579C7"/>
    <w:rsid w:val="00257AD8"/>
    <w:rsid w:val="0026058A"/>
    <w:rsid w:val="00260F79"/>
    <w:rsid w:val="0026116D"/>
    <w:rsid w:val="002613C0"/>
    <w:rsid w:val="002613DF"/>
    <w:rsid w:val="00261B04"/>
    <w:rsid w:val="00261BF3"/>
    <w:rsid w:val="00261D76"/>
    <w:rsid w:val="00261F6D"/>
    <w:rsid w:val="00262036"/>
    <w:rsid w:val="0026268F"/>
    <w:rsid w:val="00262B38"/>
    <w:rsid w:val="00262B64"/>
    <w:rsid w:val="002630F8"/>
    <w:rsid w:val="00263279"/>
    <w:rsid w:val="002637D0"/>
    <w:rsid w:val="002642DE"/>
    <w:rsid w:val="002644B4"/>
    <w:rsid w:val="00264C0A"/>
    <w:rsid w:val="002651FE"/>
    <w:rsid w:val="00265985"/>
    <w:rsid w:val="00266C59"/>
    <w:rsid w:val="00267401"/>
    <w:rsid w:val="002676F3"/>
    <w:rsid w:val="0026799F"/>
    <w:rsid w:val="00270A14"/>
    <w:rsid w:val="00270B0A"/>
    <w:rsid w:val="00271064"/>
    <w:rsid w:val="002710D9"/>
    <w:rsid w:val="00271188"/>
    <w:rsid w:val="00271611"/>
    <w:rsid w:val="00271A86"/>
    <w:rsid w:val="00272569"/>
    <w:rsid w:val="00273021"/>
    <w:rsid w:val="00273244"/>
    <w:rsid w:val="00273752"/>
    <w:rsid w:val="002738B6"/>
    <w:rsid w:val="00273FBA"/>
    <w:rsid w:val="0027406C"/>
    <w:rsid w:val="0027413D"/>
    <w:rsid w:val="00274958"/>
    <w:rsid w:val="0027496C"/>
    <w:rsid w:val="00274AB2"/>
    <w:rsid w:val="00274D9E"/>
    <w:rsid w:val="00275941"/>
    <w:rsid w:val="002760CD"/>
    <w:rsid w:val="00276F75"/>
    <w:rsid w:val="0028008B"/>
    <w:rsid w:val="002801EB"/>
    <w:rsid w:val="002804B3"/>
    <w:rsid w:val="002808F2"/>
    <w:rsid w:val="00281246"/>
    <w:rsid w:val="002815CE"/>
    <w:rsid w:val="002815CF"/>
    <w:rsid w:val="00281C2D"/>
    <w:rsid w:val="00281E00"/>
    <w:rsid w:val="00282D9F"/>
    <w:rsid w:val="00282E94"/>
    <w:rsid w:val="00283367"/>
    <w:rsid w:val="00283511"/>
    <w:rsid w:val="0028425C"/>
    <w:rsid w:val="0028437C"/>
    <w:rsid w:val="002843B5"/>
    <w:rsid w:val="002844C6"/>
    <w:rsid w:val="00284752"/>
    <w:rsid w:val="00284AB7"/>
    <w:rsid w:val="00284CD6"/>
    <w:rsid w:val="002854ED"/>
    <w:rsid w:val="00285A79"/>
    <w:rsid w:val="00285BC4"/>
    <w:rsid w:val="002866EB"/>
    <w:rsid w:val="00286712"/>
    <w:rsid w:val="00287108"/>
    <w:rsid w:val="002879DA"/>
    <w:rsid w:val="00290F1A"/>
    <w:rsid w:val="00291536"/>
    <w:rsid w:val="00293603"/>
    <w:rsid w:val="002940BF"/>
    <w:rsid w:val="00294215"/>
    <w:rsid w:val="0029493C"/>
    <w:rsid w:val="002949EA"/>
    <w:rsid w:val="00294D1F"/>
    <w:rsid w:val="00294E60"/>
    <w:rsid w:val="00295C19"/>
    <w:rsid w:val="00295C37"/>
    <w:rsid w:val="00295F83"/>
    <w:rsid w:val="002960A0"/>
    <w:rsid w:val="0029628A"/>
    <w:rsid w:val="0029646E"/>
    <w:rsid w:val="00296587"/>
    <w:rsid w:val="00296B16"/>
    <w:rsid w:val="002A096D"/>
    <w:rsid w:val="002A0DF9"/>
    <w:rsid w:val="002A186D"/>
    <w:rsid w:val="002A194C"/>
    <w:rsid w:val="002A1A8C"/>
    <w:rsid w:val="002A22EB"/>
    <w:rsid w:val="002A2B30"/>
    <w:rsid w:val="002A2E7F"/>
    <w:rsid w:val="002A35C6"/>
    <w:rsid w:val="002A3A34"/>
    <w:rsid w:val="002A4A4F"/>
    <w:rsid w:val="002A4CEB"/>
    <w:rsid w:val="002A50F6"/>
    <w:rsid w:val="002A546C"/>
    <w:rsid w:val="002A560F"/>
    <w:rsid w:val="002A5FDD"/>
    <w:rsid w:val="002A6415"/>
    <w:rsid w:val="002A6C5D"/>
    <w:rsid w:val="002A6CAC"/>
    <w:rsid w:val="002A6F04"/>
    <w:rsid w:val="002A706E"/>
    <w:rsid w:val="002A70AA"/>
    <w:rsid w:val="002A7B00"/>
    <w:rsid w:val="002B0DE5"/>
    <w:rsid w:val="002B0F40"/>
    <w:rsid w:val="002B14C7"/>
    <w:rsid w:val="002B254A"/>
    <w:rsid w:val="002B39E9"/>
    <w:rsid w:val="002B3CD7"/>
    <w:rsid w:val="002B47F2"/>
    <w:rsid w:val="002B4892"/>
    <w:rsid w:val="002B4DAC"/>
    <w:rsid w:val="002B4E60"/>
    <w:rsid w:val="002B4F90"/>
    <w:rsid w:val="002B52DE"/>
    <w:rsid w:val="002B5B6E"/>
    <w:rsid w:val="002B6FB5"/>
    <w:rsid w:val="002B75CB"/>
    <w:rsid w:val="002B795A"/>
    <w:rsid w:val="002B7C05"/>
    <w:rsid w:val="002C0111"/>
    <w:rsid w:val="002C0192"/>
    <w:rsid w:val="002C02B8"/>
    <w:rsid w:val="002C02EA"/>
    <w:rsid w:val="002C0462"/>
    <w:rsid w:val="002C0A83"/>
    <w:rsid w:val="002C0EB0"/>
    <w:rsid w:val="002C18C5"/>
    <w:rsid w:val="002C19EF"/>
    <w:rsid w:val="002C1B7F"/>
    <w:rsid w:val="002C200F"/>
    <w:rsid w:val="002C227F"/>
    <w:rsid w:val="002C2784"/>
    <w:rsid w:val="002C286B"/>
    <w:rsid w:val="002C3D19"/>
    <w:rsid w:val="002C4DBD"/>
    <w:rsid w:val="002C6085"/>
    <w:rsid w:val="002C657C"/>
    <w:rsid w:val="002C6D76"/>
    <w:rsid w:val="002C7066"/>
    <w:rsid w:val="002C712A"/>
    <w:rsid w:val="002C72E8"/>
    <w:rsid w:val="002D0150"/>
    <w:rsid w:val="002D0D77"/>
    <w:rsid w:val="002D1362"/>
    <w:rsid w:val="002D23E9"/>
    <w:rsid w:val="002D2885"/>
    <w:rsid w:val="002D375C"/>
    <w:rsid w:val="002D3B06"/>
    <w:rsid w:val="002D3C90"/>
    <w:rsid w:val="002D3DB0"/>
    <w:rsid w:val="002D3F18"/>
    <w:rsid w:val="002D4453"/>
    <w:rsid w:val="002D44E8"/>
    <w:rsid w:val="002D47FF"/>
    <w:rsid w:val="002D492F"/>
    <w:rsid w:val="002D4D8B"/>
    <w:rsid w:val="002D4FF2"/>
    <w:rsid w:val="002D561C"/>
    <w:rsid w:val="002D6348"/>
    <w:rsid w:val="002D67B1"/>
    <w:rsid w:val="002D6B4C"/>
    <w:rsid w:val="002D6F15"/>
    <w:rsid w:val="002E0167"/>
    <w:rsid w:val="002E0749"/>
    <w:rsid w:val="002E0885"/>
    <w:rsid w:val="002E095A"/>
    <w:rsid w:val="002E1822"/>
    <w:rsid w:val="002E1B44"/>
    <w:rsid w:val="002E1CCE"/>
    <w:rsid w:val="002E229C"/>
    <w:rsid w:val="002E2DD4"/>
    <w:rsid w:val="002E3112"/>
    <w:rsid w:val="002E32AB"/>
    <w:rsid w:val="002E3DBB"/>
    <w:rsid w:val="002E475E"/>
    <w:rsid w:val="002E4E94"/>
    <w:rsid w:val="002E56C2"/>
    <w:rsid w:val="002E597F"/>
    <w:rsid w:val="002E5C3A"/>
    <w:rsid w:val="002E6274"/>
    <w:rsid w:val="002E6CC3"/>
    <w:rsid w:val="002F00B9"/>
    <w:rsid w:val="002F1073"/>
    <w:rsid w:val="002F27D7"/>
    <w:rsid w:val="002F28CF"/>
    <w:rsid w:val="002F2BA3"/>
    <w:rsid w:val="002F2EE2"/>
    <w:rsid w:val="002F3371"/>
    <w:rsid w:val="002F3562"/>
    <w:rsid w:val="002F39FB"/>
    <w:rsid w:val="002F4871"/>
    <w:rsid w:val="002F4C50"/>
    <w:rsid w:val="002F4DE6"/>
    <w:rsid w:val="002F4E3F"/>
    <w:rsid w:val="002F4E5A"/>
    <w:rsid w:val="002F53C9"/>
    <w:rsid w:val="002F57A9"/>
    <w:rsid w:val="002F5A0E"/>
    <w:rsid w:val="002F5D4E"/>
    <w:rsid w:val="002F6282"/>
    <w:rsid w:val="002F72C8"/>
    <w:rsid w:val="002F7888"/>
    <w:rsid w:val="002F7D73"/>
    <w:rsid w:val="003000DB"/>
    <w:rsid w:val="003003B5"/>
    <w:rsid w:val="003004EB"/>
    <w:rsid w:val="00301BE4"/>
    <w:rsid w:val="00302EFC"/>
    <w:rsid w:val="0030304B"/>
    <w:rsid w:val="00303364"/>
    <w:rsid w:val="00303979"/>
    <w:rsid w:val="00304292"/>
    <w:rsid w:val="003044A8"/>
    <w:rsid w:val="00305011"/>
    <w:rsid w:val="0030541B"/>
    <w:rsid w:val="0030549D"/>
    <w:rsid w:val="00305553"/>
    <w:rsid w:val="00305AF9"/>
    <w:rsid w:val="003068A7"/>
    <w:rsid w:val="00306FB8"/>
    <w:rsid w:val="00307213"/>
    <w:rsid w:val="00307444"/>
    <w:rsid w:val="00307DEB"/>
    <w:rsid w:val="00307E3D"/>
    <w:rsid w:val="00307E43"/>
    <w:rsid w:val="0031043B"/>
    <w:rsid w:val="003106B9"/>
    <w:rsid w:val="003110A9"/>
    <w:rsid w:val="00311831"/>
    <w:rsid w:val="0031250F"/>
    <w:rsid w:val="00312B9B"/>
    <w:rsid w:val="00312C70"/>
    <w:rsid w:val="003131DF"/>
    <w:rsid w:val="0031354C"/>
    <w:rsid w:val="0031389A"/>
    <w:rsid w:val="00313ED9"/>
    <w:rsid w:val="00314025"/>
    <w:rsid w:val="003148F4"/>
    <w:rsid w:val="003149C6"/>
    <w:rsid w:val="00314AF1"/>
    <w:rsid w:val="00316458"/>
    <w:rsid w:val="00316B4F"/>
    <w:rsid w:val="00316D82"/>
    <w:rsid w:val="00316ED1"/>
    <w:rsid w:val="003172D3"/>
    <w:rsid w:val="00317636"/>
    <w:rsid w:val="003178CA"/>
    <w:rsid w:val="00317B42"/>
    <w:rsid w:val="00317FCA"/>
    <w:rsid w:val="00320BB6"/>
    <w:rsid w:val="00321042"/>
    <w:rsid w:val="003215F3"/>
    <w:rsid w:val="00322639"/>
    <w:rsid w:val="00322869"/>
    <w:rsid w:val="00322BC6"/>
    <w:rsid w:val="00322D61"/>
    <w:rsid w:val="0032353B"/>
    <w:rsid w:val="00323696"/>
    <w:rsid w:val="003236C0"/>
    <w:rsid w:val="003236CB"/>
    <w:rsid w:val="00324448"/>
    <w:rsid w:val="0032560B"/>
    <w:rsid w:val="00325B44"/>
    <w:rsid w:val="003263B6"/>
    <w:rsid w:val="003265A1"/>
    <w:rsid w:val="00326658"/>
    <w:rsid w:val="003268F9"/>
    <w:rsid w:val="00326941"/>
    <w:rsid w:val="00326AE3"/>
    <w:rsid w:val="003279D3"/>
    <w:rsid w:val="00327B6A"/>
    <w:rsid w:val="00330686"/>
    <w:rsid w:val="003309AE"/>
    <w:rsid w:val="00331152"/>
    <w:rsid w:val="003323E2"/>
    <w:rsid w:val="003325A0"/>
    <w:rsid w:val="003327AB"/>
    <w:rsid w:val="00333738"/>
    <w:rsid w:val="00333861"/>
    <w:rsid w:val="00333EE7"/>
    <w:rsid w:val="00334244"/>
    <w:rsid w:val="00334261"/>
    <w:rsid w:val="003343A8"/>
    <w:rsid w:val="00334465"/>
    <w:rsid w:val="00335061"/>
    <w:rsid w:val="00335FAC"/>
    <w:rsid w:val="0033619A"/>
    <w:rsid w:val="003362DC"/>
    <w:rsid w:val="003365CF"/>
    <w:rsid w:val="00336FC6"/>
    <w:rsid w:val="00337124"/>
    <w:rsid w:val="00337170"/>
    <w:rsid w:val="00337731"/>
    <w:rsid w:val="00337B29"/>
    <w:rsid w:val="00337EBF"/>
    <w:rsid w:val="00337F7C"/>
    <w:rsid w:val="003405D1"/>
    <w:rsid w:val="003406A1"/>
    <w:rsid w:val="00340899"/>
    <w:rsid w:val="003409C9"/>
    <w:rsid w:val="00340AD7"/>
    <w:rsid w:val="00340CE1"/>
    <w:rsid w:val="00341067"/>
    <w:rsid w:val="00341172"/>
    <w:rsid w:val="003417FC"/>
    <w:rsid w:val="0034189E"/>
    <w:rsid w:val="00342422"/>
    <w:rsid w:val="00342943"/>
    <w:rsid w:val="00342F44"/>
    <w:rsid w:val="00344096"/>
    <w:rsid w:val="0034418E"/>
    <w:rsid w:val="0034424B"/>
    <w:rsid w:val="003443D2"/>
    <w:rsid w:val="00344484"/>
    <w:rsid w:val="00344554"/>
    <w:rsid w:val="00344E53"/>
    <w:rsid w:val="00345633"/>
    <w:rsid w:val="003464D2"/>
    <w:rsid w:val="0034687D"/>
    <w:rsid w:val="00346D81"/>
    <w:rsid w:val="00347387"/>
    <w:rsid w:val="00347926"/>
    <w:rsid w:val="00347ABE"/>
    <w:rsid w:val="00347BC7"/>
    <w:rsid w:val="003500A7"/>
    <w:rsid w:val="003500FE"/>
    <w:rsid w:val="003502F0"/>
    <w:rsid w:val="003503E5"/>
    <w:rsid w:val="003504E2"/>
    <w:rsid w:val="00350A70"/>
    <w:rsid w:val="00350C54"/>
    <w:rsid w:val="003516EA"/>
    <w:rsid w:val="003521D3"/>
    <w:rsid w:val="00352514"/>
    <w:rsid w:val="003525EF"/>
    <w:rsid w:val="00352785"/>
    <w:rsid w:val="003528F6"/>
    <w:rsid w:val="00352C42"/>
    <w:rsid w:val="00353EC4"/>
    <w:rsid w:val="003543ED"/>
    <w:rsid w:val="00354768"/>
    <w:rsid w:val="00354CC6"/>
    <w:rsid w:val="00355421"/>
    <w:rsid w:val="003557D8"/>
    <w:rsid w:val="00355BD5"/>
    <w:rsid w:val="00355CE6"/>
    <w:rsid w:val="00355D22"/>
    <w:rsid w:val="00355D3A"/>
    <w:rsid w:val="00355D41"/>
    <w:rsid w:val="00355DD7"/>
    <w:rsid w:val="00355EE8"/>
    <w:rsid w:val="00355F92"/>
    <w:rsid w:val="003567B9"/>
    <w:rsid w:val="00360195"/>
    <w:rsid w:val="00360213"/>
    <w:rsid w:val="0036034A"/>
    <w:rsid w:val="003606B8"/>
    <w:rsid w:val="00360A2A"/>
    <w:rsid w:val="00360AE8"/>
    <w:rsid w:val="00360B6E"/>
    <w:rsid w:val="00361141"/>
    <w:rsid w:val="00361898"/>
    <w:rsid w:val="00361B54"/>
    <w:rsid w:val="003622C2"/>
    <w:rsid w:val="00363244"/>
    <w:rsid w:val="00363821"/>
    <w:rsid w:val="00363F55"/>
    <w:rsid w:val="003643C7"/>
    <w:rsid w:val="00364534"/>
    <w:rsid w:val="003648A5"/>
    <w:rsid w:val="00364963"/>
    <w:rsid w:val="00364BCA"/>
    <w:rsid w:val="00364BE5"/>
    <w:rsid w:val="00364C7D"/>
    <w:rsid w:val="00364CA7"/>
    <w:rsid w:val="00364DF5"/>
    <w:rsid w:val="003667F9"/>
    <w:rsid w:val="00366850"/>
    <w:rsid w:val="0036699A"/>
    <w:rsid w:val="00366A0E"/>
    <w:rsid w:val="00366D9C"/>
    <w:rsid w:val="00366DFF"/>
    <w:rsid w:val="00366F08"/>
    <w:rsid w:val="00367192"/>
    <w:rsid w:val="00367AAC"/>
    <w:rsid w:val="00370C49"/>
    <w:rsid w:val="00370D7A"/>
    <w:rsid w:val="003718DB"/>
    <w:rsid w:val="00371E43"/>
    <w:rsid w:val="003721C0"/>
    <w:rsid w:val="0037235E"/>
    <w:rsid w:val="00372A8A"/>
    <w:rsid w:val="00373383"/>
    <w:rsid w:val="00373E25"/>
    <w:rsid w:val="003743A9"/>
    <w:rsid w:val="00374534"/>
    <w:rsid w:val="00374A4B"/>
    <w:rsid w:val="00374A9E"/>
    <w:rsid w:val="00375030"/>
    <w:rsid w:val="003755CB"/>
    <w:rsid w:val="00375699"/>
    <w:rsid w:val="00375DDB"/>
    <w:rsid w:val="00375F92"/>
    <w:rsid w:val="003768F3"/>
    <w:rsid w:val="00376F4D"/>
    <w:rsid w:val="00377224"/>
    <w:rsid w:val="003772E6"/>
    <w:rsid w:val="003775B7"/>
    <w:rsid w:val="0037799C"/>
    <w:rsid w:val="0038092E"/>
    <w:rsid w:val="00380BD8"/>
    <w:rsid w:val="00380C02"/>
    <w:rsid w:val="003819E3"/>
    <w:rsid w:val="00381D16"/>
    <w:rsid w:val="00381FF9"/>
    <w:rsid w:val="00382A56"/>
    <w:rsid w:val="00383E4A"/>
    <w:rsid w:val="0038453C"/>
    <w:rsid w:val="00384836"/>
    <w:rsid w:val="00384E6A"/>
    <w:rsid w:val="00385167"/>
    <w:rsid w:val="00385499"/>
    <w:rsid w:val="003854AF"/>
    <w:rsid w:val="00385D86"/>
    <w:rsid w:val="00385DCD"/>
    <w:rsid w:val="00386D5B"/>
    <w:rsid w:val="00386D84"/>
    <w:rsid w:val="00386EBD"/>
    <w:rsid w:val="00387030"/>
    <w:rsid w:val="00387801"/>
    <w:rsid w:val="0038787C"/>
    <w:rsid w:val="0038795F"/>
    <w:rsid w:val="00387F5F"/>
    <w:rsid w:val="00390C52"/>
    <w:rsid w:val="00390EE1"/>
    <w:rsid w:val="003918BE"/>
    <w:rsid w:val="003922C6"/>
    <w:rsid w:val="00393BD6"/>
    <w:rsid w:val="00396114"/>
    <w:rsid w:val="003965A5"/>
    <w:rsid w:val="00397A91"/>
    <w:rsid w:val="003A04FE"/>
    <w:rsid w:val="003A0528"/>
    <w:rsid w:val="003A0F85"/>
    <w:rsid w:val="003A1AAD"/>
    <w:rsid w:val="003A2005"/>
    <w:rsid w:val="003A20A6"/>
    <w:rsid w:val="003A2DF1"/>
    <w:rsid w:val="003A35CB"/>
    <w:rsid w:val="003A3725"/>
    <w:rsid w:val="003A3801"/>
    <w:rsid w:val="003A410A"/>
    <w:rsid w:val="003A4736"/>
    <w:rsid w:val="003A4A3A"/>
    <w:rsid w:val="003A4A81"/>
    <w:rsid w:val="003A4D68"/>
    <w:rsid w:val="003A4DA9"/>
    <w:rsid w:val="003A5541"/>
    <w:rsid w:val="003A638D"/>
    <w:rsid w:val="003A6431"/>
    <w:rsid w:val="003A6C1D"/>
    <w:rsid w:val="003A70D7"/>
    <w:rsid w:val="003A7B3B"/>
    <w:rsid w:val="003A7CCD"/>
    <w:rsid w:val="003A7F30"/>
    <w:rsid w:val="003A7F49"/>
    <w:rsid w:val="003B058B"/>
    <w:rsid w:val="003B066E"/>
    <w:rsid w:val="003B10DB"/>
    <w:rsid w:val="003B1AD1"/>
    <w:rsid w:val="003B1B32"/>
    <w:rsid w:val="003B22AB"/>
    <w:rsid w:val="003B26D8"/>
    <w:rsid w:val="003B28C0"/>
    <w:rsid w:val="003B2935"/>
    <w:rsid w:val="003B29F5"/>
    <w:rsid w:val="003B2C75"/>
    <w:rsid w:val="003B3C25"/>
    <w:rsid w:val="003B4011"/>
    <w:rsid w:val="003B404F"/>
    <w:rsid w:val="003B42CC"/>
    <w:rsid w:val="003B549E"/>
    <w:rsid w:val="003B5654"/>
    <w:rsid w:val="003B5C7E"/>
    <w:rsid w:val="003B624A"/>
    <w:rsid w:val="003B6814"/>
    <w:rsid w:val="003B6BCB"/>
    <w:rsid w:val="003B7A53"/>
    <w:rsid w:val="003C16EE"/>
    <w:rsid w:val="003C220B"/>
    <w:rsid w:val="003C2636"/>
    <w:rsid w:val="003C274E"/>
    <w:rsid w:val="003C2817"/>
    <w:rsid w:val="003C2959"/>
    <w:rsid w:val="003C34C2"/>
    <w:rsid w:val="003C3E9D"/>
    <w:rsid w:val="003C452F"/>
    <w:rsid w:val="003C4A6D"/>
    <w:rsid w:val="003C540E"/>
    <w:rsid w:val="003C544F"/>
    <w:rsid w:val="003C612C"/>
    <w:rsid w:val="003C6B1C"/>
    <w:rsid w:val="003C6C90"/>
    <w:rsid w:val="003C6D1A"/>
    <w:rsid w:val="003C6F02"/>
    <w:rsid w:val="003C707C"/>
    <w:rsid w:val="003D0240"/>
    <w:rsid w:val="003D0288"/>
    <w:rsid w:val="003D02BE"/>
    <w:rsid w:val="003D0781"/>
    <w:rsid w:val="003D137F"/>
    <w:rsid w:val="003D13D7"/>
    <w:rsid w:val="003D1513"/>
    <w:rsid w:val="003D1B15"/>
    <w:rsid w:val="003D2E1F"/>
    <w:rsid w:val="003D348B"/>
    <w:rsid w:val="003D34F0"/>
    <w:rsid w:val="003D3649"/>
    <w:rsid w:val="003D39C9"/>
    <w:rsid w:val="003D3D7F"/>
    <w:rsid w:val="003D3EEF"/>
    <w:rsid w:val="003D40B2"/>
    <w:rsid w:val="003D40E1"/>
    <w:rsid w:val="003D4B16"/>
    <w:rsid w:val="003D58C2"/>
    <w:rsid w:val="003D591C"/>
    <w:rsid w:val="003D6DEB"/>
    <w:rsid w:val="003E0A46"/>
    <w:rsid w:val="003E2446"/>
    <w:rsid w:val="003E24C6"/>
    <w:rsid w:val="003E311A"/>
    <w:rsid w:val="003E314E"/>
    <w:rsid w:val="003E3B4A"/>
    <w:rsid w:val="003E400C"/>
    <w:rsid w:val="003E506C"/>
    <w:rsid w:val="003E52B1"/>
    <w:rsid w:val="003E52CE"/>
    <w:rsid w:val="003E52F7"/>
    <w:rsid w:val="003E5845"/>
    <w:rsid w:val="003E5EA9"/>
    <w:rsid w:val="003E712A"/>
    <w:rsid w:val="003E756B"/>
    <w:rsid w:val="003E76C1"/>
    <w:rsid w:val="003F0008"/>
    <w:rsid w:val="003F060F"/>
    <w:rsid w:val="003F0A85"/>
    <w:rsid w:val="003F0BE4"/>
    <w:rsid w:val="003F0ED4"/>
    <w:rsid w:val="003F1434"/>
    <w:rsid w:val="003F291D"/>
    <w:rsid w:val="003F2F68"/>
    <w:rsid w:val="003F351D"/>
    <w:rsid w:val="003F372B"/>
    <w:rsid w:val="003F46ED"/>
    <w:rsid w:val="003F4E0F"/>
    <w:rsid w:val="003F6B75"/>
    <w:rsid w:val="003F6C6C"/>
    <w:rsid w:val="003F74D0"/>
    <w:rsid w:val="003F7AA8"/>
    <w:rsid w:val="00400A56"/>
    <w:rsid w:val="00400AAC"/>
    <w:rsid w:val="00400CED"/>
    <w:rsid w:val="00402148"/>
    <w:rsid w:val="00402701"/>
    <w:rsid w:val="00402949"/>
    <w:rsid w:val="00402A2A"/>
    <w:rsid w:val="00402AF4"/>
    <w:rsid w:val="0040358D"/>
    <w:rsid w:val="0040373D"/>
    <w:rsid w:val="00403CE9"/>
    <w:rsid w:val="00403D48"/>
    <w:rsid w:val="00403F4B"/>
    <w:rsid w:val="004040F9"/>
    <w:rsid w:val="00404234"/>
    <w:rsid w:val="00404908"/>
    <w:rsid w:val="0040495C"/>
    <w:rsid w:val="00405861"/>
    <w:rsid w:val="004058B2"/>
    <w:rsid w:val="00405E09"/>
    <w:rsid w:val="004065C5"/>
    <w:rsid w:val="00406C6E"/>
    <w:rsid w:val="00406DC8"/>
    <w:rsid w:val="0040726D"/>
    <w:rsid w:val="0040784C"/>
    <w:rsid w:val="00407F67"/>
    <w:rsid w:val="0041007F"/>
    <w:rsid w:val="00410502"/>
    <w:rsid w:val="004111FB"/>
    <w:rsid w:val="00411598"/>
    <w:rsid w:val="00411706"/>
    <w:rsid w:val="00412293"/>
    <w:rsid w:val="0041243C"/>
    <w:rsid w:val="00413205"/>
    <w:rsid w:val="004140E9"/>
    <w:rsid w:val="004145C0"/>
    <w:rsid w:val="004149A8"/>
    <w:rsid w:val="00414B1F"/>
    <w:rsid w:val="00414D45"/>
    <w:rsid w:val="004153E8"/>
    <w:rsid w:val="0041558D"/>
    <w:rsid w:val="00415DCA"/>
    <w:rsid w:val="00420275"/>
    <w:rsid w:val="0042091A"/>
    <w:rsid w:val="00420B09"/>
    <w:rsid w:val="00421CAA"/>
    <w:rsid w:val="00421F7C"/>
    <w:rsid w:val="0042220C"/>
    <w:rsid w:val="004223C6"/>
    <w:rsid w:val="004226BE"/>
    <w:rsid w:val="004226E6"/>
    <w:rsid w:val="00422BEF"/>
    <w:rsid w:val="00422E51"/>
    <w:rsid w:val="0042347B"/>
    <w:rsid w:val="00423577"/>
    <w:rsid w:val="00424750"/>
    <w:rsid w:val="00424820"/>
    <w:rsid w:val="00424E41"/>
    <w:rsid w:val="00425905"/>
    <w:rsid w:val="004259FA"/>
    <w:rsid w:val="004270BB"/>
    <w:rsid w:val="004273E4"/>
    <w:rsid w:val="004275A0"/>
    <w:rsid w:val="004276C2"/>
    <w:rsid w:val="0042798B"/>
    <w:rsid w:val="004302DD"/>
    <w:rsid w:val="00430539"/>
    <w:rsid w:val="004306E4"/>
    <w:rsid w:val="00430C86"/>
    <w:rsid w:val="00430DED"/>
    <w:rsid w:val="004310BB"/>
    <w:rsid w:val="0043175E"/>
    <w:rsid w:val="0043299A"/>
    <w:rsid w:val="0043451C"/>
    <w:rsid w:val="00434605"/>
    <w:rsid w:val="00434A77"/>
    <w:rsid w:val="00434CF6"/>
    <w:rsid w:val="0043514E"/>
    <w:rsid w:val="00435583"/>
    <w:rsid w:val="00435605"/>
    <w:rsid w:val="004358A1"/>
    <w:rsid w:val="00435DAC"/>
    <w:rsid w:val="00435DF3"/>
    <w:rsid w:val="00436066"/>
    <w:rsid w:val="00436FE6"/>
    <w:rsid w:val="004372E1"/>
    <w:rsid w:val="00437444"/>
    <w:rsid w:val="004377CC"/>
    <w:rsid w:val="00437CF8"/>
    <w:rsid w:val="00437EDB"/>
    <w:rsid w:val="00437F41"/>
    <w:rsid w:val="0044115A"/>
    <w:rsid w:val="004412CE"/>
    <w:rsid w:val="00441EA7"/>
    <w:rsid w:val="00442FBE"/>
    <w:rsid w:val="00443053"/>
    <w:rsid w:val="0044310F"/>
    <w:rsid w:val="004434DA"/>
    <w:rsid w:val="00443D99"/>
    <w:rsid w:val="004440C1"/>
    <w:rsid w:val="004444DB"/>
    <w:rsid w:val="00444772"/>
    <w:rsid w:val="0044493B"/>
    <w:rsid w:val="00445322"/>
    <w:rsid w:val="004453EB"/>
    <w:rsid w:val="0044571E"/>
    <w:rsid w:val="0044578E"/>
    <w:rsid w:val="00445A1A"/>
    <w:rsid w:val="004467A2"/>
    <w:rsid w:val="00446C16"/>
    <w:rsid w:val="00446C8F"/>
    <w:rsid w:val="00447246"/>
    <w:rsid w:val="00447767"/>
    <w:rsid w:val="004479CB"/>
    <w:rsid w:val="00450D1D"/>
    <w:rsid w:val="00450EFD"/>
    <w:rsid w:val="004517C7"/>
    <w:rsid w:val="00452387"/>
    <w:rsid w:val="004534E5"/>
    <w:rsid w:val="004540A2"/>
    <w:rsid w:val="004545DE"/>
    <w:rsid w:val="0045481A"/>
    <w:rsid w:val="00454A81"/>
    <w:rsid w:val="00454D7B"/>
    <w:rsid w:val="00454FDE"/>
    <w:rsid w:val="004552D5"/>
    <w:rsid w:val="0045536B"/>
    <w:rsid w:val="00455476"/>
    <w:rsid w:val="004559C0"/>
    <w:rsid w:val="004561E3"/>
    <w:rsid w:val="00456217"/>
    <w:rsid w:val="004564C2"/>
    <w:rsid w:val="00456629"/>
    <w:rsid w:val="004569D5"/>
    <w:rsid w:val="0046142D"/>
    <w:rsid w:val="0046149A"/>
    <w:rsid w:val="00461749"/>
    <w:rsid w:val="00462088"/>
    <w:rsid w:val="004620F5"/>
    <w:rsid w:val="0046229E"/>
    <w:rsid w:val="00462673"/>
    <w:rsid w:val="004628B1"/>
    <w:rsid w:val="00462DB7"/>
    <w:rsid w:val="00462E2A"/>
    <w:rsid w:val="00462FD9"/>
    <w:rsid w:val="00463544"/>
    <w:rsid w:val="00463608"/>
    <w:rsid w:val="00463C9F"/>
    <w:rsid w:val="00463E92"/>
    <w:rsid w:val="004644A6"/>
    <w:rsid w:val="00464534"/>
    <w:rsid w:val="0046454E"/>
    <w:rsid w:val="00464AE2"/>
    <w:rsid w:val="0046543B"/>
    <w:rsid w:val="004654EB"/>
    <w:rsid w:val="004657C5"/>
    <w:rsid w:val="0046763A"/>
    <w:rsid w:val="0046787A"/>
    <w:rsid w:val="00467C95"/>
    <w:rsid w:val="00470151"/>
    <w:rsid w:val="004702CC"/>
    <w:rsid w:val="00470A6C"/>
    <w:rsid w:val="00470EDB"/>
    <w:rsid w:val="00471017"/>
    <w:rsid w:val="004712B8"/>
    <w:rsid w:val="00471C9B"/>
    <w:rsid w:val="0047274D"/>
    <w:rsid w:val="00472883"/>
    <w:rsid w:val="00472B0A"/>
    <w:rsid w:val="004730A8"/>
    <w:rsid w:val="00473600"/>
    <w:rsid w:val="00473839"/>
    <w:rsid w:val="00473A09"/>
    <w:rsid w:val="00473F9A"/>
    <w:rsid w:val="00474892"/>
    <w:rsid w:val="00474C0E"/>
    <w:rsid w:val="00475082"/>
    <w:rsid w:val="00477424"/>
    <w:rsid w:val="00477C70"/>
    <w:rsid w:val="00477D15"/>
    <w:rsid w:val="004808E5"/>
    <w:rsid w:val="0048102C"/>
    <w:rsid w:val="00481255"/>
    <w:rsid w:val="00481A76"/>
    <w:rsid w:val="00482453"/>
    <w:rsid w:val="00482553"/>
    <w:rsid w:val="0048342D"/>
    <w:rsid w:val="00483BCA"/>
    <w:rsid w:val="00483CA3"/>
    <w:rsid w:val="00483F2E"/>
    <w:rsid w:val="00483FD6"/>
    <w:rsid w:val="00483FF8"/>
    <w:rsid w:val="00484145"/>
    <w:rsid w:val="00484C4B"/>
    <w:rsid w:val="00485105"/>
    <w:rsid w:val="0048527D"/>
    <w:rsid w:val="004853C4"/>
    <w:rsid w:val="004857E0"/>
    <w:rsid w:val="004860B6"/>
    <w:rsid w:val="004862A1"/>
    <w:rsid w:val="00486AB0"/>
    <w:rsid w:val="00486C82"/>
    <w:rsid w:val="00486D7D"/>
    <w:rsid w:val="00486F98"/>
    <w:rsid w:val="00487037"/>
    <w:rsid w:val="004870D6"/>
    <w:rsid w:val="0048729D"/>
    <w:rsid w:val="00487666"/>
    <w:rsid w:val="004876CF"/>
    <w:rsid w:val="004902C7"/>
    <w:rsid w:val="004904E1"/>
    <w:rsid w:val="00490586"/>
    <w:rsid w:val="004921EB"/>
    <w:rsid w:val="0049224B"/>
    <w:rsid w:val="0049257A"/>
    <w:rsid w:val="004925E6"/>
    <w:rsid w:val="00492D84"/>
    <w:rsid w:val="00493B9B"/>
    <w:rsid w:val="0049452D"/>
    <w:rsid w:val="00494B88"/>
    <w:rsid w:val="00495227"/>
    <w:rsid w:val="0049553B"/>
    <w:rsid w:val="00495B98"/>
    <w:rsid w:val="00495FB8"/>
    <w:rsid w:val="00496A29"/>
    <w:rsid w:val="00496B0D"/>
    <w:rsid w:val="00496BB0"/>
    <w:rsid w:val="00496F31"/>
    <w:rsid w:val="0049739B"/>
    <w:rsid w:val="00497F01"/>
    <w:rsid w:val="004A0032"/>
    <w:rsid w:val="004A04F2"/>
    <w:rsid w:val="004A0908"/>
    <w:rsid w:val="004A0D3E"/>
    <w:rsid w:val="004A140B"/>
    <w:rsid w:val="004A179E"/>
    <w:rsid w:val="004A1A90"/>
    <w:rsid w:val="004A1F25"/>
    <w:rsid w:val="004A219D"/>
    <w:rsid w:val="004A23A7"/>
    <w:rsid w:val="004A2933"/>
    <w:rsid w:val="004A2A2B"/>
    <w:rsid w:val="004A2D70"/>
    <w:rsid w:val="004A3CA8"/>
    <w:rsid w:val="004A4053"/>
    <w:rsid w:val="004A4692"/>
    <w:rsid w:val="004A4B24"/>
    <w:rsid w:val="004A5963"/>
    <w:rsid w:val="004A5B09"/>
    <w:rsid w:val="004A5BCF"/>
    <w:rsid w:val="004A5CB6"/>
    <w:rsid w:val="004A5E1A"/>
    <w:rsid w:val="004A61A7"/>
    <w:rsid w:val="004A67BE"/>
    <w:rsid w:val="004B0F83"/>
    <w:rsid w:val="004B11D2"/>
    <w:rsid w:val="004B1C94"/>
    <w:rsid w:val="004B27DB"/>
    <w:rsid w:val="004B2FEC"/>
    <w:rsid w:val="004B30D0"/>
    <w:rsid w:val="004B329E"/>
    <w:rsid w:val="004B34D4"/>
    <w:rsid w:val="004B4238"/>
    <w:rsid w:val="004B5184"/>
    <w:rsid w:val="004B5540"/>
    <w:rsid w:val="004B58E8"/>
    <w:rsid w:val="004B5B10"/>
    <w:rsid w:val="004B6B6E"/>
    <w:rsid w:val="004B77D1"/>
    <w:rsid w:val="004B7C89"/>
    <w:rsid w:val="004C03A3"/>
    <w:rsid w:val="004C03BE"/>
    <w:rsid w:val="004C0606"/>
    <w:rsid w:val="004C0806"/>
    <w:rsid w:val="004C0C74"/>
    <w:rsid w:val="004C114B"/>
    <w:rsid w:val="004C13CF"/>
    <w:rsid w:val="004C178C"/>
    <w:rsid w:val="004C185B"/>
    <w:rsid w:val="004C1B39"/>
    <w:rsid w:val="004C253B"/>
    <w:rsid w:val="004C27B4"/>
    <w:rsid w:val="004C29C7"/>
    <w:rsid w:val="004C2E1C"/>
    <w:rsid w:val="004C3383"/>
    <w:rsid w:val="004C3390"/>
    <w:rsid w:val="004C3700"/>
    <w:rsid w:val="004C3C3F"/>
    <w:rsid w:val="004C3D7D"/>
    <w:rsid w:val="004C448D"/>
    <w:rsid w:val="004C54DB"/>
    <w:rsid w:val="004C70F3"/>
    <w:rsid w:val="004C71D0"/>
    <w:rsid w:val="004C724D"/>
    <w:rsid w:val="004C75FE"/>
    <w:rsid w:val="004C76F0"/>
    <w:rsid w:val="004C7945"/>
    <w:rsid w:val="004C7C04"/>
    <w:rsid w:val="004C7E4E"/>
    <w:rsid w:val="004D0099"/>
    <w:rsid w:val="004D0161"/>
    <w:rsid w:val="004D06E3"/>
    <w:rsid w:val="004D0F79"/>
    <w:rsid w:val="004D1169"/>
    <w:rsid w:val="004D21D3"/>
    <w:rsid w:val="004D253A"/>
    <w:rsid w:val="004D2738"/>
    <w:rsid w:val="004D30F1"/>
    <w:rsid w:val="004D36A2"/>
    <w:rsid w:val="004D37F7"/>
    <w:rsid w:val="004D4497"/>
    <w:rsid w:val="004D4858"/>
    <w:rsid w:val="004D4CFA"/>
    <w:rsid w:val="004D4DFA"/>
    <w:rsid w:val="004D4EF6"/>
    <w:rsid w:val="004D4F18"/>
    <w:rsid w:val="004D5EEA"/>
    <w:rsid w:val="004D6CF4"/>
    <w:rsid w:val="004D6FFA"/>
    <w:rsid w:val="004D7042"/>
    <w:rsid w:val="004D7CB2"/>
    <w:rsid w:val="004D7DD2"/>
    <w:rsid w:val="004E069C"/>
    <w:rsid w:val="004E0784"/>
    <w:rsid w:val="004E0A9C"/>
    <w:rsid w:val="004E1CD6"/>
    <w:rsid w:val="004E1FB4"/>
    <w:rsid w:val="004E35EF"/>
    <w:rsid w:val="004E38C0"/>
    <w:rsid w:val="004E3CD3"/>
    <w:rsid w:val="004E4504"/>
    <w:rsid w:val="004E49EF"/>
    <w:rsid w:val="004E4B8D"/>
    <w:rsid w:val="004E4EAA"/>
    <w:rsid w:val="004E50A2"/>
    <w:rsid w:val="004E54B7"/>
    <w:rsid w:val="004E585C"/>
    <w:rsid w:val="004E5C4B"/>
    <w:rsid w:val="004E627B"/>
    <w:rsid w:val="004E640D"/>
    <w:rsid w:val="004E6720"/>
    <w:rsid w:val="004E787F"/>
    <w:rsid w:val="004E7B46"/>
    <w:rsid w:val="004F0A49"/>
    <w:rsid w:val="004F0E62"/>
    <w:rsid w:val="004F113A"/>
    <w:rsid w:val="004F2971"/>
    <w:rsid w:val="004F2DFC"/>
    <w:rsid w:val="004F3639"/>
    <w:rsid w:val="004F39A3"/>
    <w:rsid w:val="004F3AB9"/>
    <w:rsid w:val="004F49B1"/>
    <w:rsid w:val="004F4BF8"/>
    <w:rsid w:val="004F5133"/>
    <w:rsid w:val="004F54D6"/>
    <w:rsid w:val="004F55A5"/>
    <w:rsid w:val="004F59DE"/>
    <w:rsid w:val="004F5DA4"/>
    <w:rsid w:val="004F6056"/>
    <w:rsid w:val="004F6194"/>
    <w:rsid w:val="004F7479"/>
    <w:rsid w:val="004F7646"/>
    <w:rsid w:val="005010C9"/>
    <w:rsid w:val="0050146D"/>
    <w:rsid w:val="005014A9"/>
    <w:rsid w:val="005017FB"/>
    <w:rsid w:val="00501871"/>
    <w:rsid w:val="00501FC0"/>
    <w:rsid w:val="0050211F"/>
    <w:rsid w:val="005021D7"/>
    <w:rsid w:val="00502DE9"/>
    <w:rsid w:val="00503916"/>
    <w:rsid w:val="00503934"/>
    <w:rsid w:val="00504735"/>
    <w:rsid w:val="00504C60"/>
    <w:rsid w:val="00504DDC"/>
    <w:rsid w:val="005058EE"/>
    <w:rsid w:val="00505B83"/>
    <w:rsid w:val="00506365"/>
    <w:rsid w:val="005063BF"/>
    <w:rsid w:val="005063E7"/>
    <w:rsid w:val="0050642F"/>
    <w:rsid w:val="00506AB5"/>
    <w:rsid w:val="00506C04"/>
    <w:rsid w:val="00506C0C"/>
    <w:rsid w:val="00506DDB"/>
    <w:rsid w:val="00507187"/>
    <w:rsid w:val="00507A1E"/>
    <w:rsid w:val="00507D65"/>
    <w:rsid w:val="00510029"/>
    <w:rsid w:val="0051084A"/>
    <w:rsid w:val="00510A43"/>
    <w:rsid w:val="00510E4A"/>
    <w:rsid w:val="0051164B"/>
    <w:rsid w:val="005119D3"/>
    <w:rsid w:val="00511D46"/>
    <w:rsid w:val="00513174"/>
    <w:rsid w:val="005137E5"/>
    <w:rsid w:val="005139A4"/>
    <w:rsid w:val="00513E85"/>
    <w:rsid w:val="00514511"/>
    <w:rsid w:val="00515700"/>
    <w:rsid w:val="00515ACB"/>
    <w:rsid w:val="00515FED"/>
    <w:rsid w:val="005160A8"/>
    <w:rsid w:val="005161ED"/>
    <w:rsid w:val="00516631"/>
    <w:rsid w:val="00516729"/>
    <w:rsid w:val="00516B72"/>
    <w:rsid w:val="005171DA"/>
    <w:rsid w:val="00517844"/>
    <w:rsid w:val="005212C3"/>
    <w:rsid w:val="00521F2D"/>
    <w:rsid w:val="0052238E"/>
    <w:rsid w:val="005225F0"/>
    <w:rsid w:val="00522B60"/>
    <w:rsid w:val="0052387B"/>
    <w:rsid w:val="00523DE0"/>
    <w:rsid w:val="00523F5A"/>
    <w:rsid w:val="00523F5C"/>
    <w:rsid w:val="005244EA"/>
    <w:rsid w:val="0052467D"/>
    <w:rsid w:val="0052481D"/>
    <w:rsid w:val="00524855"/>
    <w:rsid w:val="005252C9"/>
    <w:rsid w:val="0052536E"/>
    <w:rsid w:val="005256B8"/>
    <w:rsid w:val="005259F0"/>
    <w:rsid w:val="00526112"/>
    <w:rsid w:val="0052633A"/>
    <w:rsid w:val="00526FC5"/>
    <w:rsid w:val="005273B1"/>
    <w:rsid w:val="00527FDE"/>
    <w:rsid w:val="00530717"/>
    <w:rsid w:val="00530890"/>
    <w:rsid w:val="00530DD8"/>
    <w:rsid w:val="00530F06"/>
    <w:rsid w:val="0053196E"/>
    <w:rsid w:val="00531E9E"/>
    <w:rsid w:val="005321A9"/>
    <w:rsid w:val="005322A1"/>
    <w:rsid w:val="005324BE"/>
    <w:rsid w:val="00532532"/>
    <w:rsid w:val="00533C76"/>
    <w:rsid w:val="005343FC"/>
    <w:rsid w:val="00534525"/>
    <w:rsid w:val="00534A92"/>
    <w:rsid w:val="00534FE2"/>
    <w:rsid w:val="005351F0"/>
    <w:rsid w:val="005354A0"/>
    <w:rsid w:val="005367FC"/>
    <w:rsid w:val="005368D4"/>
    <w:rsid w:val="00536ABB"/>
    <w:rsid w:val="00536CD8"/>
    <w:rsid w:val="00536D32"/>
    <w:rsid w:val="00537645"/>
    <w:rsid w:val="005378AE"/>
    <w:rsid w:val="00537A71"/>
    <w:rsid w:val="00537B12"/>
    <w:rsid w:val="005402E5"/>
    <w:rsid w:val="00540DBD"/>
    <w:rsid w:val="00541213"/>
    <w:rsid w:val="00541795"/>
    <w:rsid w:val="0054179D"/>
    <w:rsid w:val="00542187"/>
    <w:rsid w:val="00542D64"/>
    <w:rsid w:val="005431F2"/>
    <w:rsid w:val="00543448"/>
    <w:rsid w:val="005447AF"/>
    <w:rsid w:val="005448A1"/>
    <w:rsid w:val="00544F17"/>
    <w:rsid w:val="00545EF4"/>
    <w:rsid w:val="00546796"/>
    <w:rsid w:val="00546F49"/>
    <w:rsid w:val="0054751B"/>
    <w:rsid w:val="00547E83"/>
    <w:rsid w:val="005506A2"/>
    <w:rsid w:val="00550E98"/>
    <w:rsid w:val="00550E9B"/>
    <w:rsid w:val="005515D7"/>
    <w:rsid w:val="0055173C"/>
    <w:rsid w:val="00551B19"/>
    <w:rsid w:val="00551BFA"/>
    <w:rsid w:val="00551F1B"/>
    <w:rsid w:val="005520DA"/>
    <w:rsid w:val="00552429"/>
    <w:rsid w:val="00552DB9"/>
    <w:rsid w:val="00552F7D"/>
    <w:rsid w:val="00552FC2"/>
    <w:rsid w:val="00553029"/>
    <w:rsid w:val="005532A1"/>
    <w:rsid w:val="00553A33"/>
    <w:rsid w:val="00553D6C"/>
    <w:rsid w:val="00553F38"/>
    <w:rsid w:val="00553F7A"/>
    <w:rsid w:val="00553FF5"/>
    <w:rsid w:val="005543EC"/>
    <w:rsid w:val="005544B0"/>
    <w:rsid w:val="005544B3"/>
    <w:rsid w:val="00554C78"/>
    <w:rsid w:val="00555174"/>
    <w:rsid w:val="00555530"/>
    <w:rsid w:val="0055563E"/>
    <w:rsid w:val="005561BF"/>
    <w:rsid w:val="00556429"/>
    <w:rsid w:val="005564E4"/>
    <w:rsid w:val="00556CFC"/>
    <w:rsid w:val="00556DDB"/>
    <w:rsid w:val="00557062"/>
    <w:rsid w:val="005571E5"/>
    <w:rsid w:val="00560081"/>
    <w:rsid w:val="005609F1"/>
    <w:rsid w:val="00560CB6"/>
    <w:rsid w:val="00560CB9"/>
    <w:rsid w:val="0056127A"/>
    <w:rsid w:val="00561E8B"/>
    <w:rsid w:val="00562871"/>
    <w:rsid w:val="00562E15"/>
    <w:rsid w:val="0056386D"/>
    <w:rsid w:val="005638F2"/>
    <w:rsid w:val="00563DBB"/>
    <w:rsid w:val="00563E94"/>
    <w:rsid w:val="005642BA"/>
    <w:rsid w:val="00564A11"/>
    <w:rsid w:val="005651A0"/>
    <w:rsid w:val="0056522C"/>
    <w:rsid w:val="00565C61"/>
    <w:rsid w:val="00566B0B"/>
    <w:rsid w:val="00570853"/>
    <w:rsid w:val="005714AF"/>
    <w:rsid w:val="00572491"/>
    <w:rsid w:val="005727D1"/>
    <w:rsid w:val="00572B10"/>
    <w:rsid w:val="00572CBD"/>
    <w:rsid w:val="00572EA3"/>
    <w:rsid w:val="00573248"/>
    <w:rsid w:val="0057366F"/>
    <w:rsid w:val="0057571D"/>
    <w:rsid w:val="0057607B"/>
    <w:rsid w:val="0057608A"/>
    <w:rsid w:val="005764C3"/>
    <w:rsid w:val="005766F7"/>
    <w:rsid w:val="005768D2"/>
    <w:rsid w:val="00576929"/>
    <w:rsid w:val="00576B7E"/>
    <w:rsid w:val="00577DBE"/>
    <w:rsid w:val="005800DA"/>
    <w:rsid w:val="00580689"/>
    <w:rsid w:val="00580943"/>
    <w:rsid w:val="00580DA8"/>
    <w:rsid w:val="0058121B"/>
    <w:rsid w:val="005816E7"/>
    <w:rsid w:val="00581AB5"/>
    <w:rsid w:val="00581C02"/>
    <w:rsid w:val="00581F09"/>
    <w:rsid w:val="00582172"/>
    <w:rsid w:val="00582870"/>
    <w:rsid w:val="00582A46"/>
    <w:rsid w:val="00584593"/>
    <w:rsid w:val="005848F5"/>
    <w:rsid w:val="005877AD"/>
    <w:rsid w:val="00587B62"/>
    <w:rsid w:val="00590B18"/>
    <w:rsid w:val="0059131F"/>
    <w:rsid w:val="00591954"/>
    <w:rsid w:val="00591A61"/>
    <w:rsid w:val="00591B56"/>
    <w:rsid w:val="00592126"/>
    <w:rsid w:val="00592505"/>
    <w:rsid w:val="00592A6F"/>
    <w:rsid w:val="0059355A"/>
    <w:rsid w:val="005935BE"/>
    <w:rsid w:val="00594393"/>
    <w:rsid w:val="005943B9"/>
    <w:rsid w:val="005943E8"/>
    <w:rsid w:val="00594669"/>
    <w:rsid w:val="00594E4D"/>
    <w:rsid w:val="0059535D"/>
    <w:rsid w:val="0059592E"/>
    <w:rsid w:val="00595A05"/>
    <w:rsid w:val="00595B39"/>
    <w:rsid w:val="0059750E"/>
    <w:rsid w:val="005977E1"/>
    <w:rsid w:val="005A0D0C"/>
    <w:rsid w:val="005A12DF"/>
    <w:rsid w:val="005A3129"/>
    <w:rsid w:val="005A3135"/>
    <w:rsid w:val="005A35F5"/>
    <w:rsid w:val="005A3821"/>
    <w:rsid w:val="005A3B75"/>
    <w:rsid w:val="005A3BFC"/>
    <w:rsid w:val="005A3CA8"/>
    <w:rsid w:val="005A3D79"/>
    <w:rsid w:val="005A4028"/>
    <w:rsid w:val="005A41CB"/>
    <w:rsid w:val="005A4917"/>
    <w:rsid w:val="005A523B"/>
    <w:rsid w:val="005A55D9"/>
    <w:rsid w:val="005A6EB5"/>
    <w:rsid w:val="005A6F6D"/>
    <w:rsid w:val="005A7044"/>
    <w:rsid w:val="005A71CA"/>
    <w:rsid w:val="005A71CB"/>
    <w:rsid w:val="005A737D"/>
    <w:rsid w:val="005A73AD"/>
    <w:rsid w:val="005A7738"/>
    <w:rsid w:val="005B0060"/>
    <w:rsid w:val="005B02EC"/>
    <w:rsid w:val="005B078E"/>
    <w:rsid w:val="005B097E"/>
    <w:rsid w:val="005B09AD"/>
    <w:rsid w:val="005B113B"/>
    <w:rsid w:val="005B332B"/>
    <w:rsid w:val="005B346F"/>
    <w:rsid w:val="005B3520"/>
    <w:rsid w:val="005B3695"/>
    <w:rsid w:val="005B4286"/>
    <w:rsid w:val="005B44AC"/>
    <w:rsid w:val="005B4535"/>
    <w:rsid w:val="005B4B87"/>
    <w:rsid w:val="005B56EF"/>
    <w:rsid w:val="005B5C4C"/>
    <w:rsid w:val="005B5E75"/>
    <w:rsid w:val="005B6281"/>
    <w:rsid w:val="005B6508"/>
    <w:rsid w:val="005B6720"/>
    <w:rsid w:val="005B7282"/>
    <w:rsid w:val="005B7F3E"/>
    <w:rsid w:val="005C0EFC"/>
    <w:rsid w:val="005C121A"/>
    <w:rsid w:val="005C1C4E"/>
    <w:rsid w:val="005C2880"/>
    <w:rsid w:val="005C29C2"/>
    <w:rsid w:val="005C2B0C"/>
    <w:rsid w:val="005C2F47"/>
    <w:rsid w:val="005C31AE"/>
    <w:rsid w:val="005C4272"/>
    <w:rsid w:val="005C42E5"/>
    <w:rsid w:val="005C460F"/>
    <w:rsid w:val="005C49C9"/>
    <w:rsid w:val="005C49ED"/>
    <w:rsid w:val="005C5003"/>
    <w:rsid w:val="005C583D"/>
    <w:rsid w:val="005C6403"/>
    <w:rsid w:val="005C6AB8"/>
    <w:rsid w:val="005C6B75"/>
    <w:rsid w:val="005C7DC3"/>
    <w:rsid w:val="005D05C4"/>
    <w:rsid w:val="005D0CA6"/>
    <w:rsid w:val="005D0D79"/>
    <w:rsid w:val="005D0F30"/>
    <w:rsid w:val="005D1233"/>
    <w:rsid w:val="005D25EE"/>
    <w:rsid w:val="005D266D"/>
    <w:rsid w:val="005D28D4"/>
    <w:rsid w:val="005D3312"/>
    <w:rsid w:val="005D3733"/>
    <w:rsid w:val="005D37D9"/>
    <w:rsid w:val="005D392E"/>
    <w:rsid w:val="005D3E68"/>
    <w:rsid w:val="005D4B65"/>
    <w:rsid w:val="005D4C6D"/>
    <w:rsid w:val="005D52C1"/>
    <w:rsid w:val="005D56F3"/>
    <w:rsid w:val="005D69CE"/>
    <w:rsid w:val="005D6D69"/>
    <w:rsid w:val="005D6EB7"/>
    <w:rsid w:val="005D7219"/>
    <w:rsid w:val="005D7701"/>
    <w:rsid w:val="005E042A"/>
    <w:rsid w:val="005E0D0C"/>
    <w:rsid w:val="005E15C1"/>
    <w:rsid w:val="005E24AF"/>
    <w:rsid w:val="005E278A"/>
    <w:rsid w:val="005E2DBF"/>
    <w:rsid w:val="005E2F90"/>
    <w:rsid w:val="005E33CA"/>
    <w:rsid w:val="005E408A"/>
    <w:rsid w:val="005E4160"/>
    <w:rsid w:val="005E4234"/>
    <w:rsid w:val="005E4644"/>
    <w:rsid w:val="005E5142"/>
    <w:rsid w:val="005E5403"/>
    <w:rsid w:val="005E591E"/>
    <w:rsid w:val="005E62D2"/>
    <w:rsid w:val="005E6F87"/>
    <w:rsid w:val="005E7128"/>
    <w:rsid w:val="005E72E7"/>
    <w:rsid w:val="005E73EE"/>
    <w:rsid w:val="005E7A1D"/>
    <w:rsid w:val="005E7E4E"/>
    <w:rsid w:val="005F02FC"/>
    <w:rsid w:val="005F0836"/>
    <w:rsid w:val="005F1839"/>
    <w:rsid w:val="005F2BCF"/>
    <w:rsid w:val="005F40AF"/>
    <w:rsid w:val="005F4617"/>
    <w:rsid w:val="005F5E8E"/>
    <w:rsid w:val="005F5FF1"/>
    <w:rsid w:val="005F6607"/>
    <w:rsid w:val="005F6759"/>
    <w:rsid w:val="005F6859"/>
    <w:rsid w:val="005F6FF6"/>
    <w:rsid w:val="005F701D"/>
    <w:rsid w:val="005F7564"/>
    <w:rsid w:val="005F771D"/>
    <w:rsid w:val="005F7A0D"/>
    <w:rsid w:val="005F7BC2"/>
    <w:rsid w:val="00600B41"/>
    <w:rsid w:val="00600FFF"/>
    <w:rsid w:val="0060105B"/>
    <w:rsid w:val="0060148E"/>
    <w:rsid w:val="006027C2"/>
    <w:rsid w:val="00602ED3"/>
    <w:rsid w:val="00603412"/>
    <w:rsid w:val="006038A4"/>
    <w:rsid w:val="00603BFC"/>
    <w:rsid w:val="00603F0D"/>
    <w:rsid w:val="006041B3"/>
    <w:rsid w:val="00604300"/>
    <w:rsid w:val="006043F7"/>
    <w:rsid w:val="00604451"/>
    <w:rsid w:val="00605129"/>
    <w:rsid w:val="006069DB"/>
    <w:rsid w:val="00606D2D"/>
    <w:rsid w:val="006107D1"/>
    <w:rsid w:val="00610A32"/>
    <w:rsid w:val="00610C18"/>
    <w:rsid w:val="006114CA"/>
    <w:rsid w:val="00611C96"/>
    <w:rsid w:val="00611FA8"/>
    <w:rsid w:val="00612200"/>
    <w:rsid w:val="006125D8"/>
    <w:rsid w:val="006128BD"/>
    <w:rsid w:val="00612D21"/>
    <w:rsid w:val="006131BB"/>
    <w:rsid w:val="00613313"/>
    <w:rsid w:val="00613525"/>
    <w:rsid w:val="00613664"/>
    <w:rsid w:val="00613A1B"/>
    <w:rsid w:val="00613BE1"/>
    <w:rsid w:val="00613C70"/>
    <w:rsid w:val="00613E92"/>
    <w:rsid w:val="006140F2"/>
    <w:rsid w:val="00614976"/>
    <w:rsid w:val="00614A60"/>
    <w:rsid w:val="00614D80"/>
    <w:rsid w:val="00615075"/>
    <w:rsid w:val="0061518A"/>
    <w:rsid w:val="006158DE"/>
    <w:rsid w:val="00615A4E"/>
    <w:rsid w:val="0061698B"/>
    <w:rsid w:val="006169B0"/>
    <w:rsid w:val="00616C38"/>
    <w:rsid w:val="00617B66"/>
    <w:rsid w:val="00620306"/>
    <w:rsid w:val="00620511"/>
    <w:rsid w:val="006207B4"/>
    <w:rsid w:val="006209BE"/>
    <w:rsid w:val="00620C06"/>
    <w:rsid w:val="00620F03"/>
    <w:rsid w:val="006211BB"/>
    <w:rsid w:val="00621679"/>
    <w:rsid w:val="006216F2"/>
    <w:rsid w:val="0062187D"/>
    <w:rsid w:val="00622567"/>
    <w:rsid w:val="00622874"/>
    <w:rsid w:val="00622AF8"/>
    <w:rsid w:val="00623753"/>
    <w:rsid w:val="00623A7D"/>
    <w:rsid w:val="0062408A"/>
    <w:rsid w:val="006244C2"/>
    <w:rsid w:val="006249A5"/>
    <w:rsid w:val="006249AC"/>
    <w:rsid w:val="00624A43"/>
    <w:rsid w:val="00624D33"/>
    <w:rsid w:val="00624EB1"/>
    <w:rsid w:val="006257E1"/>
    <w:rsid w:val="0062668F"/>
    <w:rsid w:val="00626D41"/>
    <w:rsid w:val="00626FBC"/>
    <w:rsid w:val="006277C2"/>
    <w:rsid w:val="00627FAC"/>
    <w:rsid w:val="006302DF"/>
    <w:rsid w:val="00630795"/>
    <w:rsid w:val="00630F80"/>
    <w:rsid w:val="00631BE3"/>
    <w:rsid w:val="0063207F"/>
    <w:rsid w:val="00632E45"/>
    <w:rsid w:val="00632E4C"/>
    <w:rsid w:val="0063337E"/>
    <w:rsid w:val="006339E1"/>
    <w:rsid w:val="00633F8A"/>
    <w:rsid w:val="006341A1"/>
    <w:rsid w:val="0063438B"/>
    <w:rsid w:val="006347CD"/>
    <w:rsid w:val="00634C0F"/>
    <w:rsid w:val="00635700"/>
    <w:rsid w:val="00635A5D"/>
    <w:rsid w:val="00635CA9"/>
    <w:rsid w:val="006360B2"/>
    <w:rsid w:val="0063688F"/>
    <w:rsid w:val="00636AFB"/>
    <w:rsid w:val="00637AD0"/>
    <w:rsid w:val="00637B18"/>
    <w:rsid w:val="00637C63"/>
    <w:rsid w:val="006401EA"/>
    <w:rsid w:val="0064098F"/>
    <w:rsid w:val="006409A7"/>
    <w:rsid w:val="00640A41"/>
    <w:rsid w:val="00640A9C"/>
    <w:rsid w:val="00640F04"/>
    <w:rsid w:val="00641B72"/>
    <w:rsid w:val="00642E08"/>
    <w:rsid w:val="00642EB9"/>
    <w:rsid w:val="006433F6"/>
    <w:rsid w:val="006438FC"/>
    <w:rsid w:val="006439C6"/>
    <w:rsid w:val="00643BDE"/>
    <w:rsid w:val="006444B7"/>
    <w:rsid w:val="0064459A"/>
    <w:rsid w:val="00644869"/>
    <w:rsid w:val="00644A44"/>
    <w:rsid w:val="006455F5"/>
    <w:rsid w:val="00645C31"/>
    <w:rsid w:val="006463C7"/>
    <w:rsid w:val="006464FE"/>
    <w:rsid w:val="00646512"/>
    <w:rsid w:val="00646AD5"/>
    <w:rsid w:val="00646D56"/>
    <w:rsid w:val="00646EC9"/>
    <w:rsid w:val="00647056"/>
    <w:rsid w:val="0064794B"/>
    <w:rsid w:val="00650A70"/>
    <w:rsid w:val="00651E0A"/>
    <w:rsid w:val="00652485"/>
    <w:rsid w:val="00652BBD"/>
    <w:rsid w:val="00653042"/>
    <w:rsid w:val="006530B4"/>
    <w:rsid w:val="006533FA"/>
    <w:rsid w:val="00653B4C"/>
    <w:rsid w:val="00653B55"/>
    <w:rsid w:val="00654420"/>
    <w:rsid w:val="0065449D"/>
    <w:rsid w:val="006547ED"/>
    <w:rsid w:val="00654A53"/>
    <w:rsid w:val="00654E03"/>
    <w:rsid w:val="006557A7"/>
    <w:rsid w:val="006557B1"/>
    <w:rsid w:val="00655C79"/>
    <w:rsid w:val="006561D9"/>
    <w:rsid w:val="00656337"/>
    <w:rsid w:val="006568BE"/>
    <w:rsid w:val="00656AD7"/>
    <w:rsid w:val="00656DAE"/>
    <w:rsid w:val="00656E94"/>
    <w:rsid w:val="00657A09"/>
    <w:rsid w:val="00657A18"/>
    <w:rsid w:val="00657CEC"/>
    <w:rsid w:val="0066111B"/>
    <w:rsid w:val="006625B6"/>
    <w:rsid w:val="0066330B"/>
    <w:rsid w:val="00664136"/>
    <w:rsid w:val="00664C5C"/>
    <w:rsid w:val="00665164"/>
    <w:rsid w:val="00666244"/>
    <w:rsid w:val="0066632E"/>
    <w:rsid w:val="00666526"/>
    <w:rsid w:val="00666866"/>
    <w:rsid w:val="00666AC5"/>
    <w:rsid w:val="00666B02"/>
    <w:rsid w:val="00666E5D"/>
    <w:rsid w:val="006678B4"/>
    <w:rsid w:val="00667BC0"/>
    <w:rsid w:val="00670544"/>
    <w:rsid w:val="006706D5"/>
    <w:rsid w:val="00670A4B"/>
    <w:rsid w:val="00670BB5"/>
    <w:rsid w:val="00670BE0"/>
    <w:rsid w:val="00670E1B"/>
    <w:rsid w:val="0067104B"/>
    <w:rsid w:val="00671135"/>
    <w:rsid w:val="00671184"/>
    <w:rsid w:val="00671716"/>
    <w:rsid w:val="00672A98"/>
    <w:rsid w:val="00673296"/>
    <w:rsid w:val="0067410F"/>
    <w:rsid w:val="0067426C"/>
    <w:rsid w:val="006742AB"/>
    <w:rsid w:val="006744AC"/>
    <w:rsid w:val="00674ADE"/>
    <w:rsid w:val="00674F9D"/>
    <w:rsid w:val="006750F6"/>
    <w:rsid w:val="00675197"/>
    <w:rsid w:val="0067520D"/>
    <w:rsid w:val="006758E1"/>
    <w:rsid w:val="00675AB1"/>
    <w:rsid w:val="00675B53"/>
    <w:rsid w:val="00675E36"/>
    <w:rsid w:val="00676B84"/>
    <w:rsid w:val="00676B8A"/>
    <w:rsid w:val="006804B0"/>
    <w:rsid w:val="006805B3"/>
    <w:rsid w:val="00680621"/>
    <w:rsid w:val="00680649"/>
    <w:rsid w:val="006808D0"/>
    <w:rsid w:val="006811AC"/>
    <w:rsid w:val="0068176A"/>
    <w:rsid w:val="00681D2E"/>
    <w:rsid w:val="0068242B"/>
    <w:rsid w:val="00682707"/>
    <w:rsid w:val="00682DD1"/>
    <w:rsid w:val="00683546"/>
    <w:rsid w:val="00684225"/>
    <w:rsid w:val="0068479C"/>
    <w:rsid w:val="00684B13"/>
    <w:rsid w:val="00684D02"/>
    <w:rsid w:val="00685706"/>
    <w:rsid w:val="00685910"/>
    <w:rsid w:val="00685EAF"/>
    <w:rsid w:val="00685EE9"/>
    <w:rsid w:val="00685FDD"/>
    <w:rsid w:val="006860F4"/>
    <w:rsid w:val="0068661E"/>
    <w:rsid w:val="006872C3"/>
    <w:rsid w:val="00687C0B"/>
    <w:rsid w:val="00687FED"/>
    <w:rsid w:val="00690147"/>
    <w:rsid w:val="00690223"/>
    <w:rsid w:val="00690513"/>
    <w:rsid w:val="00690D4B"/>
    <w:rsid w:val="006918F8"/>
    <w:rsid w:val="0069197F"/>
    <w:rsid w:val="006920C2"/>
    <w:rsid w:val="006920DD"/>
    <w:rsid w:val="0069322C"/>
    <w:rsid w:val="0069377A"/>
    <w:rsid w:val="00693B21"/>
    <w:rsid w:val="00693B43"/>
    <w:rsid w:val="00693EB2"/>
    <w:rsid w:val="006944AE"/>
    <w:rsid w:val="006945F5"/>
    <w:rsid w:val="00695941"/>
    <w:rsid w:val="006960A1"/>
    <w:rsid w:val="00696375"/>
    <w:rsid w:val="006966FD"/>
    <w:rsid w:val="00696777"/>
    <w:rsid w:val="006976C6"/>
    <w:rsid w:val="00697B2F"/>
    <w:rsid w:val="006A194C"/>
    <w:rsid w:val="006A1C73"/>
    <w:rsid w:val="006A2F3B"/>
    <w:rsid w:val="006A2F89"/>
    <w:rsid w:val="006A316A"/>
    <w:rsid w:val="006A3652"/>
    <w:rsid w:val="006A3E19"/>
    <w:rsid w:val="006A5081"/>
    <w:rsid w:val="006A5EB2"/>
    <w:rsid w:val="006A63CD"/>
    <w:rsid w:val="006A66F7"/>
    <w:rsid w:val="006A689A"/>
    <w:rsid w:val="006A6E51"/>
    <w:rsid w:val="006A6E60"/>
    <w:rsid w:val="006B0227"/>
    <w:rsid w:val="006B031D"/>
    <w:rsid w:val="006B08D8"/>
    <w:rsid w:val="006B0CF1"/>
    <w:rsid w:val="006B1A57"/>
    <w:rsid w:val="006B2A3A"/>
    <w:rsid w:val="006B2B76"/>
    <w:rsid w:val="006B334E"/>
    <w:rsid w:val="006B4B4B"/>
    <w:rsid w:val="006B4EFA"/>
    <w:rsid w:val="006B5A3E"/>
    <w:rsid w:val="006B5E6A"/>
    <w:rsid w:val="006B5F13"/>
    <w:rsid w:val="006B640B"/>
    <w:rsid w:val="006B64AB"/>
    <w:rsid w:val="006B65B2"/>
    <w:rsid w:val="006B762D"/>
    <w:rsid w:val="006C04FA"/>
    <w:rsid w:val="006C11F0"/>
    <w:rsid w:val="006C19F9"/>
    <w:rsid w:val="006C1E6F"/>
    <w:rsid w:val="006C2CC7"/>
    <w:rsid w:val="006C2F35"/>
    <w:rsid w:val="006C3429"/>
    <w:rsid w:val="006C3781"/>
    <w:rsid w:val="006C3A64"/>
    <w:rsid w:val="006C3F4F"/>
    <w:rsid w:val="006C5146"/>
    <w:rsid w:val="006C61F3"/>
    <w:rsid w:val="006C6253"/>
    <w:rsid w:val="006C6482"/>
    <w:rsid w:val="006C6CF3"/>
    <w:rsid w:val="006C6F0B"/>
    <w:rsid w:val="006C6F53"/>
    <w:rsid w:val="006C71C8"/>
    <w:rsid w:val="006C7209"/>
    <w:rsid w:val="006C7258"/>
    <w:rsid w:val="006C7369"/>
    <w:rsid w:val="006C7732"/>
    <w:rsid w:val="006C7A84"/>
    <w:rsid w:val="006D00BC"/>
    <w:rsid w:val="006D028A"/>
    <w:rsid w:val="006D0839"/>
    <w:rsid w:val="006D0856"/>
    <w:rsid w:val="006D08EB"/>
    <w:rsid w:val="006D175C"/>
    <w:rsid w:val="006D1B1C"/>
    <w:rsid w:val="006D2EF9"/>
    <w:rsid w:val="006D3990"/>
    <w:rsid w:val="006D3A83"/>
    <w:rsid w:val="006D43C5"/>
    <w:rsid w:val="006D43E0"/>
    <w:rsid w:val="006D4B90"/>
    <w:rsid w:val="006D4C69"/>
    <w:rsid w:val="006D576E"/>
    <w:rsid w:val="006D5A02"/>
    <w:rsid w:val="006D6D20"/>
    <w:rsid w:val="006D7618"/>
    <w:rsid w:val="006D772B"/>
    <w:rsid w:val="006D794B"/>
    <w:rsid w:val="006D7E55"/>
    <w:rsid w:val="006D7F92"/>
    <w:rsid w:val="006D7FAA"/>
    <w:rsid w:val="006E0430"/>
    <w:rsid w:val="006E0983"/>
    <w:rsid w:val="006E0B8C"/>
    <w:rsid w:val="006E118F"/>
    <w:rsid w:val="006E1FAD"/>
    <w:rsid w:val="006E2585"/>
    <w:rsid w:val="006E2F18"/>
    <w:rsid w:val="006E33FC"/>
    <w:rsid w:val="006E3AC0"/>
    <w:rsid w:val="006E4934"/>
    <w:rsid w:val="006E4B7B"/>
    <w:rsid w:val="006E5B18"/>
    <w:rsid w:val="006E61F8"/>
    <w:rsid w:val="006E6DC4"/>
    <w:rsid w:val="006E6E44"/>
    <w:rsid w:val="006E796A"/>
    <w:rsid w:val="006F055A"/>
    <w:rsid w:val="006F0CA2"/>
    <w:rsid w:val="006F1410"/>
    <w:rsid w:val="006F1E9A"/>
    <w:rsid w:val="006F2187"/>
    <w:rsid w:val="006F2254"/>
    <w:rsid w:val="006F3E25"/>
    <w:rsid w:val="006F42EB"/>
    <w:rsid w:val="006F4502"/>
    <w:rsid w:val="006F46F3"/>
    <w:rsid w:val="006F4D39"/>
    <w:rsid w:val="006F4DA8"/>
    <w:rsid w:val="006F595A"/>
    <w:rsid w:val="006F5D0E"/>
    <w:rsid w:val="006F5F2F"/>
    <w:rsid w:val="006F60D2"/>
    <w:rsid w:val="006F63F6"/>
    <w:rsid w:val="006F6532"/>
    <w:rsid w:val="006F700E"/>
    <w:rsid w:val="006F7C42"/>
    <w:rsid w:val="00700114"/>
    <w:rsid w:val="00700181"/>
    <w:rsid w:val="007003C1"/>
    <w:rsid w:val="0070042C"/>
    <w:rsid w:val="007012A9"/>
    <w:rsid w:val="007021B3"/>
    <w:rsid w:val="00703700"/>
    <w:rsid w:val="0070401D"/>
    <w:rsid w:val="007041A5"/>
    <w:rsid w:val="0070446A"/>
    <w:rsid w:val="00704C67"/>
    <w:rsid w:val="00705505"/>
    <w:rsid w:val="007057C2"/>
    <w:rsid w:val="007059C6"/>
    <w:rsid w:val="007064CC"/>
    <w:rsid w:val="00707213"/>
    <w:rsid w:val="007072C8"/>
    <w:rsid w:val="00707470"/>
    <w:rsid w:val="00707973"/>
    <w:rsid w:val="00707987"/>
    <w:rsid w:val="00707E17"/>
    <w:rsid w:val="0071000E"/>
    <w:rsid w:val="007100E2"/>
    <w:rsid w:val="007107BA"/>
    <w:rsid w:val="00710988"/>
    <w:rsid w:val="00710CDC"/>
    <w:rsid w:val="00710E25"/>
    <w:rsid w:val="00710F39"/>
    <w:rsid w:val="007112A5"/>
    <w:rsid w:val="00711AAE"/>
    <w:rsid w:val="00711AD6"/>
    <w:rsid w:val="00711C47"/>
    <w:rsid w:val="00711CBB"/>
    <w:rsid w:val="00712295"/>
    <w:rsid w:val="00712876"/>
    <w:rsid w:val="00712C8B"/>
    <w:rsid w:val="007134C9"/>
    <w:rsid w:val="0071399D"/>
    <w:rsid w:val="00714068"/>
    <w:rsid w:val="007140FE"/>
    <w:rsid w:val="007146BE"/>
    <w:rsid w:val="007149B5"/>
    <w:rsid w:val="00715651"/>
    <w:rsid w:val="00716159"/>
    <w:rsid w:val="0071664E"/>
    <w:rsid w:val="00716F13"/>
    <w:rsid w:val="007176A6"/>
    <w:rsid w:val="00717B15"/>
    <w:rsid w:val="0072078A"/>
    <w:rsid w:val="00720C9C"/>
    <w:rsid w:val="0072125A"/>
    <w:rsid w:val="00721274"/>
    <w:rsid w:val="007217D1"/>
    <w:rsid w:val="00722815"/>
    <w:rsid w:val="0072285B"/>
    <w:rsid w:val="00722AD1"/>
    <w:rsid w:val="00722BF1"/>
    <w:rsid w:val="00722E9C"/>
    <w:rsid w:val="00723317"/>
    <w:rsid w:val="00723778"/>
    <w:rsid w:val="00724F5A"/>
    <w:rsid w:val="00725BEA"/>
    <w:rsid w:val="00725C0B"/>
    <w:rsid w:val="00725F9F"/>
    <w:rsid w:val="00726007"/>
    <w:rsid w:val="007265F0"/>
    <w:rsid w:val="00726885"/>
    <w:rsid w:val="0072726C"/>
    <w:rsid w:val="00727390"/>
    <w:rsid w:val="00727622"/>
    <w:rsid w:val="007278AA"/>
    <w:rsid w:val="00730DA9"/>
    <w:rsid w:val="0073100B"/>
    <w:rsid w:val="00731345"/>
    <w:rsid w:val="0073163A"/>
    <w:rsid w:val="0073163B"/>
    <w:rsid w:val="00732E2C"/>
    <w:rsid w:val="00733466"/>
    <w:rsid w:val="0073347F"/>
    <w:rsid w:val="0073373F"/>
    <w:rsid w:val="00733792"/>
    <w:rsid w:val="007343A6"/>
    <w:rsid w:val="00734AA2"/>
    <w:rsid w:val="00735389"/>
    <w:rsid w:val="00735BDD"/>
    <w:rsid w:val="00735C87"/>
    <w:rsid w:val="00735FB3"/>
    <w:rsid w:val="0073611E"/>
    <w:rsid w:val="007361A0"/>
    <w:rsid w:val="007362E9"/>
    <w:rsid w:val="00736414"/>
    <w:rsid w:val="007365D3"/>
    <w:rsid w:val="007371B3"/>
    <w:rsid w:val="00737534"/>
    <w:rsid w:val="00737BA4"/>
    <w:rsid w:val="00737CA1"/>
    <w:rsid w:val="00737E31"/>
    <w:rsid w:val="007400BF"/>
    <w:rsid w:val="00740230"/>
    <w:rsid w:val="007402F5"/>
    <w:rsid w:val="00740A8B"/>
    <w:rsid w:val="00740C7A"/>
    <w:rsid w:val="007413F1"/>
    <w:rsid w:val="00741604"/>
    <w:rsid w:val="0074180A"/>
    <w:rsid w:val="00741888"/>
    <w:rsid w:val="00741AB8"/>
    <w:rsid w:val="0074218A"/>
    <w:rsid w:val="0074260A"/>
    <w:rsid w:val="007427C0"/>
    <w:rsid w:val="00742895"/>
    <w:rsid w:val="00743310"/>
    <w:rsid w:val="0074361E"/>
    <w:rsid w:val="00743FC1"/>
    <w:rsid w:val="00745DB7"/>
    <w:rsid w:val="007464FC"/>
    <w:rsid w:val="007467A1"/>
    <w:rsid w:val="007472DC"/>
    <w:rsid w:val="007476C5"/>
    <w:rsid w:val="00747737"/>
    <w:rsid w:val="00747D99"/>
    <w:rsid w:val="00747E55"/>
    <w:rsid w:val="00747FC4"/>
    <w:rsid w:val="007503DA"/>
    <w:rsid w:val="00750FCA"/>
    <w:rsid w:val="00751993"/>
    <w:rsid w:val="00751C70"/>
    <w:rsid w:val="00751D91"/>
    <w:rsid w:val="00751EA6"/>
    <w:rsid w:val="007520DD"/>
    <w:rsid w:val="00752A2C"/>
    <w:rsid w:val="00752FF3"/>
    <w:rsid w:val="007532AF"/>
    <w:rsid w:val="00753973"/>
    <w:rsid w:val="00754A1F"/>
    <w:rsid w:val="00754A52"/>
    <w:rsid w:val="007552B3"/>
    <w:rsid w:val="00756083"/>
    <w:rsid w:val="00756515"/>
    <w:rsid w:val="00757E96"/>
    <w:rsid w:val="00760B36"/>
    <w:rsid w:val="007614D9"/>
    <w:rsid w:val="0076154D"/>
    <w:rsid w:val="00762802"/>
    <w:rsid w:val="007635C4"/>
    <w:rsid w:val="007637E9"/>
    <w:rsid w:val="007645F4"/>
    <w:rsid w:val="00764DDB"/>
    <w:rsid w:val="00764F11"/>
    <w:rsid w:val="007651DB"/>
    <w:rsid w:val="00765490"/>
    <w:rsid w:val="00765496"/>
    <w:rsid w:val="00765976"/>
    <w:rsid w:val="00765AC9"/>
    <w:rsid w:val="00765E2A"/>
    <w:rsid w:val="00765F68"/>
    <w:rsid w:val="00766109"/>
    <w:rsid w:val="007672A6"/>
    <w:rsid w:val="0077043E"/>
    <w:rsid w:val="00770B1E"/>
    <w:rsid w:val="00770BDC"/>
    <w:rsid w:val="007711FF"/>
    <w:rsid w:val="007717F1"/>
    <w:rsid w:val="00771CA6"/>
    <w:rsid w:val="007725CF"/>
    <w:rsid w:val="0077315B"/>
    <w:rsid w:val="007732E3"/>
    <w:rsid w:val="00773512"/>
    <w:rsid w:val="00773A35"/>
    <w:rsid w:val="00773C5A"/>
    <w:rsid w:val="00774289"/>
    <w:rsid w:val="007745AD"/>
    <w:rsid w:val="00775068"/>
    <w:rsid w:val="0077560F"/>
    <w:rsid w:val="007756B1"/>
    <w:rsid w:val="00775903"/>
    <w:rsid w:val="00775DA5"/>
    <w:rsid w:val="00776AB2"/>
    <w:rsid w:val="00776D29"/>
    <w:rsid w:val="00776DC9"/>
    <w:rsid w:val="00777A95"/>
    <w:rsid w:val="00780738"/>
    <w:rsid w:val="00781635"/>
    <w:rsid w:val="007817E2"/>
    <w:rsid w:val="0078182F"/>
    <w:rsid w:val="00781A2D"/>
    <w:rsid w:val="00781ECE"/>
    <w:rsid w:val="0078221E"/>
    <w:rsid w:val="00782948"/>
    <w:rsid w:val="00783454"/>
    <w:rsid w:val="00784410"/>
    <w:rsid w:val="0078496D"/>
    <w:rsid w:val="00784D17"/>
    <w:rsid w:val="00785676"/>
    <w:rsid w:val="00786694"/>
    <w:rsid w:val="007872AC"/>
    <w:rsid w:val="00787495"/>
    <w:rsid w:val="007874A4"/>
    <w:rsid w:val="007876A3"/>
    <w:rsid w:val="00790114"/>
    <w:rsid w:val="00790391"/>
    <w:rsid w:val="00790524"/>
    <w:rsid w:val="00790BD5"/>
    <w:rsid w:val="00790DB1"/>
    <w:rsid w:val="007916C4"/>
    <w:rsid w:val="00791CFE"/>
    <w:rsid w:val="007926F4"/>
    <w:rsid w:val="00792771"/>
    <w:rsid w:val="00792978"/>
    <w:rsid w:val="00793070"/>
    <w:rsid w:val="0079415C"/>
    <w:rsid w:val="00794632"/>
    <w:rsid w:val="00794ED8"/>
    <w:rsid w:val="00795258"/>
    <w:rsid w:val="0079530F"/>
    <w:rsid w:val="00796C1A"/>
    <w:rsid w:val="00796D4A"/>
    <w:rsid w:val="0079733C"/>
    <w:rsid w:val="007A08DA"/>
    <w:rsid w:val="007A0AEA"/>
    <w:rsid w:val="007A0D54"/>
    <w:rsid w:val="007A1203"/>
    <w:rsid w:val="007A1518"/>
    <w:rsid w:val="007A15C4"/>
    <w:rsid w:val="007A1925"/>
    <w:rsid w:val="007A19AB"/>
    <w:rsid w:val="007A1E12"/>
    <w:rsid w:val="007A2387"/>
    <w:rsid w:val="007A2575"/>
    <w:rsid w:val="007A2999"/>
    <w:rsid w:val="007A2CD6"/>
    <w:rsid w:val="007A4D4F"/>
    <w:rsid w:val="007A554B"/>
    <w:rsid w:val="007A67DD"/>
    <w:rsid w:val="007A686A"/>
    <w:rsid w:val="007A7790"/>
    <w:rsid w:val="007A7A16"/>
    <w:rsid w:val="007B02E7"/>
    <w:rsid w:val="007B0B20"/>
    <w:rsid w:val="007B0DA7"/>
    <w:rsid w:val="007B15B3"/>
    <w:rsid w:val="007B165B"/>
    <w:rsid w:val="007B202B"/>
    <w:rsid w:val="007B20D2"/>
    <w:rsid w:val="007B272F"/>
    <w:rsid w:val="007B27CF"/>
    <w:rsid w:val="007B2BC0"/>
    <w:rsid w:val="007B2E36"/>
    <w:rsid w:val="007B3189"/>
    <w:rsid w:val="007B3436"/>
    <w:rsid w:val="007B376D"/>
    <w:rsid w:val="007B3FA9"/>
    <w:rsid w:val="007B4105"/>
    <w:rsid w:val="007B50F2"/>
    <w:rsid w:val="007B56A7"/>
    <w:rsid w:val="007B57F0"/>
    <w:rsid w:val="007B62C5"/>
    <w:rsid w:val="007B6628"/>
    <w:rsid w:val="007B6830"/>
    <w:rsid w:val="007B6A13"/>
    <w:rsid w:val="007B6D1C"/>
    <w:rsid w:val="007B6E47"/>
    <w:rsid w:val="007B753A"/>
    <w:rsid w:val="007B7710"/>
    <w:rsid w:val="007B7837"/>
    <w:rsid w:val="007B7A2B"/>
    <w:rsid w:val="007C058A"/>
    <w:rsid w:val="007C0B5F"/>
    <w:rsid w:val="007C0DC1"/>
    <w:rsid w:val="007C1341"/>
    <w:rsid w:val="007C1432"/>
    <w:rsid w:val="007C14DD"/>
    <w:rsid w:val="007C1740"/>
    <w:rsid w:val="007C1B71"/>
    <w:rsid w:val="007C1BA2"/>
    <w:rsid w:val="007C1F19"/>
    <w:rsid w:val="007C2526"/>
    <w:rsid w:val="007C293A"/>
    <w:rsid w:val="007C307B"/>
    <w:rsid w:val="007C3C7C"/>
    <w:rsid w:val="007C45F3"/>
    <w:rsid w:val="007C4644"/>
    <w:rsid w:val="007C47BC"/>
    <w:rsid w:val="007C603D"/>
    <w:rsid w:val="007C647A"/>
    <w:rsid w:val="007C725D"/>
    <w:rsid w:val="007C7ADC"/>
    <w:rsid w:val="007D0289"/>
    <w:rsid w:val="007D0EB0"/>
    <w:rsid w:val="007D10DF"/>
    <w:rsid w:val="007D15BF"/>
    <w:rsid w:val="007D2192"/>
    <w:rsid w:val="007D25CF"/>
    <w:rsid w:val="007D2CEF"/>
    <w:rsid w:val="007D3E18"/>
    <w:rsid w:val="007D4129"/>
    <w:rsid w:val="007D46BF"/>
    <w:rsid w:val="007D58DF"/>
    <w:rsid w:val="007D5A10"/>
    <w:rsid w:val="007D5AA7"/>
    <w:rsid w:val="007D5B02"/>
    <w:rsid w:val="007D631D"/>
    <w:rsid w:val="007D68A3"/>
    <w:rsid w:val="007D7100"/>
    <w:rsid w:val="007D7A1F"/>
    <w:rsid w:val="007D7BC4"/>
    <w:rsid w:val="007D7DD5"/>
    <w:rsid w:val="007D7EFA"/>
    <w:rsid w:val="007E03C3"/>
    <w:rsid w:val="007E07C4"/>
    <w:rsid w:val="007E0913"/>
    <w:rsid w:val="007E0A6E"/>
    <w:rsid w:val="007E1B7B"/>
    <w:rsid w:val="007E1C89"/>
    <w:rsid w:val="007E2177"/>
    <w:rsid w:val="007E29FD"/>
    <w:rsid w:val="007E2DCD"/>
    <w:rsid w:val="007E369D"/>
    <w:rsid w:val="007E3AC7"/>
    <w:rsid w:val="007E3D5D"/>
    <w:rsid w:val="007E4605"/>
    <w:rsid w:val="007E4FE5"/>
    <w:rsid w:val="007E51A1"/>
    <w:rsid w:val="007E53AC"/>
    <w:rsid w:val="007E5D98"/>
    <w:rsid w:val="007E626F"/>
    <w:rsid w:val="007E6482"/>
    <w:rsid w:val="007E6610"/>
    <w:rsid w:val="007E68BE"/>
    <w:rsid w:val="007E6B4C"/>
    <w:rsid w:val="007E6BEE"/>
    <w:rsid w:val="007E6CDE"/>
    <w:rsid w:val="007E7148"/>
    <w:rsid w:val="007E732A"/>
    <w:rsid w:val="007E7AB5"/>
    <w:rsid w:val="007E7F49"/>
    <w:rsid w:val="007F020E"/>
    <w:rsid w:val="007F06D5"/>
    <w:rsid w:val="007F0A60"/>
    <w:rsid w:val="007F0B76"/>
    <w:rsid w:val="007F13C1"/>
    <w:rsid w:val="007F1400"/>
    <w:rsid w:val="007F1572"/>
    <w:rsid w:val="007F1804"/>
    <w:rsid w:val="007F21BB"/>
    <w:rsid w:val="007F28AF"/>
    <w:rsid w:val="007F2913"/>
    <w:rsid w:val="007F29DB"/>
    <w:rsid w:val="007F2BA4"/>
    <w:rsid w:val="007F2D59"/>
    <w:rsid w:val="007F2F16"/>
    <w:rsid w:val="007F2FB3"/>
    <w:rsid w:val="007F30EA"/>
    <w:rsid w:val="007F37DE"/>
    <w:rsid w:val="007F3A8B"/>
    <w:rsid w:val="007F3CC0"/>
    <w:rsid w:val="007F3DAB"/>
    <w:rsid w:val="007F4B8A"/>
    <w:rsid w:val="007F4CB0"/>
    <w:rsid w:val="007F6658"/>
    <w:rsid w:val="007F6B32"/>
    <w:rsid w:val="007F79AC"/>
    <w:rsid w:val="00800195"/>
    <w:rsid w:val="00800252"/>
    <w:rsid w:val="008003E7"/>
    <w:rsid w:val="00800D5C"/>
    <w:rsid w:val="00801D39"/>
    <w:rsid w:val="00802051"/>
    <w:rsid w:val="00802B74"/>
    <w:rsid w:val="00803410"/>
    <w:rsid w:val="008035B4"/>
    <w:rsid w:val="00803BE1"/>
    <w:rsid w:val="00803CE2"/>
    <w:rsid w:val="00803F3E"/>
    <w:rsid w:val="00804135"/>
    <w:rsid w:val="008049BF"/>
    <w:rsid w:val="00805147"/>
    <w:rsid w:val="00805C17"/>
    <w:rsid w:val="00805E5A"/>
    <w:rsid w:val="00806AA6"/>
    <w:rsid w:val="00807B70"/>
    <w:rsid w:val="00810B26"/>
    <w:rsid w:val="00810DA3"/>
    <w:rsid w:val="00811F31"/>
    <w:rsid w:val="008139BE"/>
    <w:rsid w:val="00813C83"/>
    <w:rsid w:val="00813ECF"/>
    <w:rsid w:val="00814325"/>
    <w:rsid w:val="00814525"/>
    <w:rsid w:val="0081459C"/>
    <w:rsid w:val="008146CF"/>
    <w:rsid w:val="0081476D"/>
    <w:rsid w:val="008147D5"/>
    <w:rsid w:val="00815ECE"/>
    <w:rsid w:val="008165C0"/>
    <w:rsid w:val="00817124"/>
    <w:rsid w:val="00817133"/>
    <w:rsid w:val="00817627"/>
    <w:rsid w:val="008203DD"/>
    <w:rsid w:val="00820B12"/>
    <w:rsid w:val="00821F49"/>
    <w:rsid w:val="0082224D"/>
    <w:rsid w:val="008228CB"/>
    <w:rsid w:val="0082303A"/>
    <w:rsid w:val="0082367E"/>
    <w:rsid w:val="008238DF"/>
    <w:rsid w:val="00823A24"/>
    <w:rsid w:val="00823A8E"/>
    <w:rsid w:val="008240D6"/>
    <w:rsid w:val="0082441F"/>
    <w:rsid w:val="00824AD2"/>
    <w:rsid w:val="00825260"/>
    <w:rsid w:val="008252F0"/>
    <w:rsid w:val="008259AC"/>
    <w:rsid w:val="00825A11"/>
    <w:rsid w:val="00825A86"/>
    <w:rsid w:val="008266FA"/>
    <w:rsid w:val="00826740"/>
    <w:rsid w:val="00826D39"/>
    <w:rsid w:val="00826D48"/>
    <w:rsid w:val="00826F6A"/>
    <w:rsid w:val="00826F93"/>
    <w:rsid w:val="00827262"/>
    <w:rsid w:val="00830564"/>
    <w:rsid w:val="00830F22"/>
    <w:rsid w:val="0083178A"/>
    <w:rsid w:val="00833302"/>
    <w:rsid w:val="00833A71"/>
    <w:rsid w:val="00834357"/>
    <w:rsid w:val="00834C98"/>
    <w:rsid w:val="008352A0"/>
    <w:rsid w:val="008358CC"/>
    <w:rsid w:val="00835EF6"/>
    <w:rsid w:val="0083661D"/>
    <w:rsid w:val="00836967"/>
    <w:rsid w:val="00837024"/>
    <w:rsid w:val="008378C6"/>
    <w:rsid w:val="00837BE3"/>
    <w:rsid w:val="0084052A"/>
    <w:rsid w:val="00840B6F"/>
    <w:rsid w:val="00841287"/>
    <w:rsid w:val="008417A3"/>
    <w:rsid w:val="00841CF9"/>
    <w:rsid w:val="00841D06"/>
    <w:rsid w:val="0084210F"/>
    <w:rsid w:val="00842253"/>
    <w:rsid w:val="008429CF"/>
    <w:rsid w:val="00842B4A"/>
    <w:rsid w:val="00842D45"/>
    <w:rsid w:val="00842DB4"/>
    <w:rsid w:val="00843A85"/>
    <w:rsid w:val="00843B02"/>
    <w:rsid w:val="00843FF2"/>
    <w:rsid w:val="008441E3"/>
    <w:rsid w:val="00844B4C"/>
    <w:rsid w:val="00844FD4"/>
    <w:rsid w:val="008459A3"/>
    <w:rsid w:val="008459C9"/>
    <w:rsid w:val="00845B8E"/>
    <w:rsid w:val="00845FC2"/>
    <w:rsid w:val="0084674E"/>
    <w:rsid w:val="00847269"/>
    <w:rsid w:val="008475A2"/>
    <w:rsid w:val="00847C3F"/>
    <w:rsid w:val="00847C8A"/>
    <w:rsid w:val="00850160"/>
    <w:rsid w:val="008509FD"/>
    <w:rsid w:val="00851365"/>
    <w:rsid w:val="00851681"/>
    <w:rsid w:val="00851ADC"/>
    <w:rsid w:val="008520C2"/>
    <w:rsid w:val="008520E9"/>
    <w:rsid w:val="00852251"/>
    <w:rsid w:val="00852387"/>
    <w:rsid w:val="0085241A"/>
    <w:rsid w:val="00852C50"/>
    <w:rsid w:val="00852E76"/>
    <w:rsid w:val="00852E94"/>
    <w:rsid w:val="00852F00"/>
    <w:rsid w:val="00853D16"/>
    <w:rsid w:val="0085457A"/>
    <w:rsid w:val="00854866"/>
    <w:rsid w:val="00854EF1"/>
    <w:rsid w:val="008563CC"/>
    <w:rsid w:val="008563CF"/>
    <w:rsid w:val="00856862"/>
    <w:rsid w:val="00856FB2"/>
    <w:rsid w:val="00857353"/>
    <w:rsid w:val="0085757B"/>
    <w:rsid w:val="008600A5"/>
    <w:rsid w:val="00860574"/>
    <w:rsid w:val="008608EA"/>
    <w:rsid w:val="00860C02"/>
    <w:rsid w:val="00861611"/>
    <w:rsid w:val="00861A42"/>
    <w:rsid w:val="00863665"/>
    <w:rsid w:val="008646D2"/>
    <w:rsid w:val="00864796"/>
    <w:rsid w:val="00864DDA"/>
    <w:rsid w:val="008654B2"/>
    <w:rsid w:val="008655A8"/>
    <w:rsid w:val="00865A73"/>
    <w:rsid w:val="00866105"/>
    <w:rsid w:val="00866271"/>
    <w:rsid w:val="008662A6"/>
    <w:rsid w:val="008673C4"/>
    <w:rsid w:val="00870087"/>
    <w:rsid w:val="00870685"/>
    <w:rsid w:val="008717E2"/>
    <w:rsid w:val="00871F09"/>
    <w:rsid w:val="00872495"/>
    <w:rsid w:val="00872C69"/>
    <w:rsid w:val="00872D0F"/>
    <w:rsid w:val="00873694"/>
    <w:rsid w:val="00874999"/>
    <w:rsid w:val="008749C3"/>
    <w:rsid w:val="008753CC"/>
    <w:rsid w:val="0087621B"/>
    <w:rsid w:val="008766BD"/>
    <w:rsid w:val="00877466"/>
    <w:rsid w:val="008775C3"/>
    <w:rsid w:val="008801F9"/>
    <w:rsid w:val="0088072A"/>
    <w:rsid w:val="00880ED9"/>
    <w:rsid w:val="008810E9"/>
    <w:rsid w:val="00881418"/>
    <w:rsid w:val="00881B05"/>
    <w:rsid w:val="00881E39"/>
    <w:rsid w:val="0088271C"/>
    <w:rsid w:val="00882C59"/>
    <w:rsid w:val="008838EE"/>
    <w:rsid w:val="0088401D"/>
    <w:rsid w:val="00884A40"/>
    <w:rsid w:val="00884CD6"/>
    <w:rsid w:val="00884DAD"/>
    <w:rsid w:val="00884F83"/>
    <w:rsid w:val="008869A8"/>
    <w:rsid w:val="00886AAD"/>
    <w:rsid w:val="00886F2D"/>
    <w:rsid w:val="008870E6"/>
    <w:rsid w:val="0089016F"/>
    <w:rsid w:val="008902EA"/>
    <w:rsid w:val="00890D8F"/>
    <w:rsid w:val="00891173"/>
    <w:rsid w:val="008916D4"/>
    <w:rsid w:val="00891EB2"/>
    <w:rsid w:val="00892AB5"/>
    <w:rsid w:val="00893034"/>
    <w:rsid w:val="00893739"/>
    <w:rsid w:val="008938DF"/>
    <w:rsid w:val="008939DD"/>
    <w:rsid w:val="00893A67"/>
    <w:rsid w:val="00893BB5"/>
    <w:rsid w:val="00894441"/>
    <w:rsid w:val="00894652"/>
    <w:rsid w:val="00894789"/>
    <w:rsid w:val="008949E5"/>
    <w:rsid w:val="00894BCD"/>
    <w:rsid w:val="00895643"/>
    <w:rsid w:val="00895813"/>
    <w:rsid w:val="008959CC"/>
    <w:rsid w:val="00895A5A"/>
    <w:rsid w:val="00895D99"/>
    <w:rsid w:val="00896CAB"/>
    <w:rsid w:val="00897169"/>
    <w:rsid w:val="008974AF"/>
    <w:rsid w:val="00897656"/>
    <w:rsid w:val="008977FE"/>
    <w:rsid w:val="00897AC4"/>
    <w:rsid w:val="00897ACB"/>
    <w:rsid w:val="00897E56"/>
    <w:rsid w:val="008A04D6"/>
    <w:rsid w:val="008A138E"/>
    <w:rsid w:val="008A1EEE"/>
    <w:rsid w:val="008A1EF3"/>
    <w:rsid w:val="008A22BE"/>
    <w:rsid w:val="008A2568"/>
    <w:rsid w:val="008A2581"/>
    <w:rsid w:val="008A34BC"/>
    <w:rsid w:val="008A3975"/>
    <w:rsid w:val="008A3C88"/>
    <w:rsid w:val="008A4522"/>
    <w:rsid w:val="008A4857"/>
    <w:rsid w:val="008A5581"/>
    <w:rsid w:val="008A5982"/>
    <w:rsid w:val="008A59CB"/>
    <w:rsid w:val="008A5EF8"/>
    <w:rsid w:val="008A62AD"/>
    <w:rsid w:val="008A62C2"/>
    <w:rsid w:val="008A6540"/>
    <w:rsid w:val="008A69F6"/>
    <w:rsid w:val="008A6A58"/>
    <w:rsid w:val="008A7894"/>
    <w:rsid w:val="008B044A"/>
    <w:rsid w:val="008B0859"/>
    <w:rsid w:val="008B088C"/>
    <w:rsid w:val="008B0C7D"/>
    <w:rsid w:val="008B0DB6"/>
    <w:rsid w:val="008B0F6D"/>
    <w:rsid w:val="008B110B"/>
    <w:rsid w:val="008B1FF3"/>
    <w:rsid w:val="008B2402"/>
    <w:rsid w:val="008B26C4"/>
    <w:rsid w:val="008B2D6E"/>
    <w:rsid w:val="008B4312"/>
    <w:rsid w:val="008B4D85"/>
    <w:rsid w:val="008B50EF"/>
    <w:rsid w:val="008B5561"/>
    <w:rsid w:val="008B5637"/>
    <w:rsid w:val="008B5BE3"/>
    <w:rsid w:val="008B5D8B"/>
    <w:rsid w:val="008B5F51"/>
    <w:rsid w:val="008B6204"/>
    <w:rsid w:val="008B6836"/>
    <w:rsid w:val="008B71E8"/>
    <w:rsid w:val="008B7F07"/>
    <w:rsid w:val="008C068F"/>
    <w:rsid w:val="008C0B1E"/>
    <w:rsid w:val="008C13B5"/>
    <w:rsid w:val="008C15E3"/>
    <w:rsid w:val="008C16C7"/>
    <w:rsid w:val="008C1A58"/>
    <w:rsid w:val="008C23A1"/>
    <w:rsid w:val="008C29DE"/>
    <w:rsid w:val="008C2B0D"/>
    <w:rsid w:val="008C3812"/>
    <w:rsid w:val="008C3CE0"/>
    <w:rsid w:val="008C485D"/>
    <w:rsid w:val="008C4CCC"/>
    <w:rsid w:val="008C530E"/>
    <w:rsid w:val="008C6571"/>
    <w:rsid w:val="008C6C2B"/>
    <w:rsid w:val="008C6DFB"/>
    <w:rsid w:val="008C71B6"/>
    <w:rsid w:val="008C753A"/>
    <w:rsid w:val="008C7636"/>
    <w:rsid w:val="008D04B4"/>
    <w:rsid w:val="008D0BE2"/>
    <w:rsid w:val="008D2B8D"/>
    <w:rsid w:val="008D2BDE"/>
    <w:rsid w:val="008D32CA"/>
    <w:rsid w:val="008D3981"/>
    <w:rsid w:val="008D3C41"/>
    <w:rsid w:val="008D3CD2"/>
    <w:rsid w:val="008D3F09"/>
    <w:rsid w:val="008D42C3"/>
    <w:rsid w:val="008D4749"/>
    <w:rsid w:val="008D55C5"/>
    <w:rsid w:val="008D5DBC"/>
    <w:rsid w:val="008D65F3"/>
    <w:rsid w:val="008D6600"/>
    <w:rsid w:val="008D68E8"/>
    <w:rsid w:val="008D69FE"/>
    <w:rsid w:val="008E1C48"/>
    <w:rsid w:val="008E1C7C"/>
    <w:rsid w:val="008E3436"/>
    <w:rsid w:val="008E35FA"/>
    <w:rsid w:val="008E3DC4"/>
    <w:rsid w:val="008E4562"/>
    <w:rsid w:val="008E49A5"/>
    <w:rsid w:val="008E4FF7"/>
    <w:rsid w:val="008E50D0"/>
    <w:rsid w:val="008E5971"/>
    <w:rsid w:val="008E6356"/>
    <w:rsid w:val="008E689E"/>
    <w:rsid w:val="008E7AD5"/>
    <w:rsid w:val="008F0C37"/>
    <w:rsid w:val="008F18FA"/>
    <w:rsid w:val="008F1AF1"/>
    <w:rsid w:val="008F1D9F"/>
    <w:rsid w:val="008F2183"/>
    <w:rsid w:val="008F21C0"/>
    <w:rsid w:val="008F2244"/>
    <w:rsid w:val="008F22A6"/>
    <w:rsid w:val="008F26C2"/>
    <w:rsid w:val="008F2CDB"/>
    <w:rsid w:val="008F2D53"/>
    <w:rsid w:val="008F3358"/>
    <w:rsid w:val="008F339C"/>
    <w:rsid w:val="008F33D8"/>
    <w:rsid w:val="008F3CC7"/>
    <w:rsid w:val="008F3CCB"/>
    <w:rsid w:val="008F422B"/>
    <w:rsid w:val="008F523F"/>
    <w:rsid w:val="008F5E40"/>
    <w:rsid w:val="008F605C"/>
    <w:rsid w:val="008F61BE"/>
    <w:rsid w:val="008F6C2C"/>
    <w:rsid w:val="008F7610"/>
    <w:rsid w:val="008F768F"/>
    <w:rsid w:val="00900B97"/>
    <w:rsid w:val="00900D16"/>
    <w:rsid w:val="0090187A"/>
    <w:rsid w:val="00901A35"/>
    <w:rsid w:val="00901A65"/>
    <w:rsid w:val="00902997"/>
    <w:rsid w:val="00903103"/>
    <w:rsid w:val="00903B39"/>
    <w:rsid w:val="00903B48"/>
    <w:rsid w:val="00903EA2"/>
    <w:rsid w:val="0090518F"/>
    <w:rsid w:val="00905C87"/>
    <w:rsid w:val="009062E2"/>
    <w:rsid w:val="009066E1"/>
    <w:rsid w:val="00906E97"/>
    <w:rsid w:val="00906FD7"/>
    <w:rsid w:val="009070C5"/>
    <w:rsid w:val="009071DC"/>
    <w:rsid w:val="0090724B"/>
    <w:rsid w:val="00907440"/>
    <w:rsid w:val="009101E6"/>
    <w:rsid w:val="0091031E"/>
    <w:rsid w:val="00911719"/>
    <w:rsid w:val="00911882"/>
    <w:rsid w:val="0091223B"/>
    <w:rsid w:val="0091235B"/>
    <w:rsid w:val="009126C1"/>
    <w:rsid w:val="00913B09"/>
    <w:rsid w:val="00913C0C"/>
    <w:rsid w:val="0091412F"/>
    <w:rsid w:val="0091479A"/>
    <w:rsid w:val="00914A98"/>
    <w:rsid w:val="00914BBC"/>
    <w:rsid w:val="00914C4A"/>
    <w:rsid w:val="00914FD2"/>
    <w:rsid w:val="00915635"/>
    <w:rsid w:val="009158BA"/>
    <w:rsid w:val="00915922"/>
    <w:rsid w:val="009159F1"/>
    <w:rsid w:val="00915C82"/>
    <w:rsid w:val="00916068"/>
    <w:rsid w:val="009166AB"/>
    <w:rsid w:val="00916B7F"/>
    <w:rsid w:val="00917D8C"/>
    <w:rsid w:val="00917FB0"/>
    <w:rsid w:val="00920880"/>
    <w:rsid w:val="009208C4"/>
    <w:rsid w:val="00920CE9"/>
    <w:rsid w:val="00920F3F"/>
    <w:rsid w:val="00921BB8"/>
    <w:rsid w:val="00921ED4"/>
    <w:rsid w:val="009229BC"/>
    <w:rsid w:val="00923A15"/>
    <w:rsid w:val="00923C01"/>
    <w:rsid w:val="00923ECA"/>
    <w:rsid w:val="009241FA"/>
    <w:rsid w:val="00924D22"/>
    <w:rsid w:val="00924F4A"/>
    <w:rsid w:val="00925342"/>
    <w:rsid w:val="00925BC9"/>
    <w:rsid w:val="009264B8"/>
    <w:rsid w:val="00926FE7"/>
    <w:rsid w:val="00927E62"/>
    <w:rsid w:val="00927F21"/>
    <w:rsid w:val="00930188"/>
    <w:rsid w:val="009301D5"/>
    <w:rsid w:val="009304F3"/>
    <w:rsid w:val="0093070F"/>
    <w:rsid w:val="0093076A"/>
    <w:rsid w:val="00930881"/>
    <w:rsid w:val="00930AD0"/>
    <w:rsid w:val="0093107B"/>
    <w:rsid w:val="0093118F"/>
    <w:rsid w:val="00931FFF"/>
    <w:rsid w:val="00933512"/>
    <w:rsid w:val="009339AD"/>
    <w:rsid w:val="00933E33"/>
    <w:rsid w:val="009352CE"/>
    <w:rsid w:val="00935751"/>
    <w:rsid w:val="0093623C"/>
    <w:rsid w:val="009362B7"/>
    <w:rsid w:val="009365F0"/>
    <w:rsid w:val="00937DD0"/>
    <w:rsid w:val="00937DDA"/>
    <w:rsid w:val="00937F2F"/>
    <w:rsid w:val="009400B5"/>
    <w:rsid w:val="0094085B"/>
    <w:rsid w:val="00940996"/>
    <w:rsid w:val="00941220"/>
    <w:rsid w:val="00942C89"/>
    <w:rsid w:val="00942CC9"/>
    <w:rsid w:val="00942E90"/>
    <w:rsid w:val="00942F7C"/>
    <w:rsid w:val="009437CC"/>
    <w:rsid w:val="00943DF7"/>
    <w:rsid w:val="00944A9D"/>
    <w:rsid w:val="00944C8C"/>
    <w:rsid w:val="00945263"/>
    <w:rsid w:val="00946C32"/>
    <w:rsid w:val="00946F9B"/>
    <w:rsid w:val="00947AA3"/>
    <w:rsid w:val="0095020E"/>
    <w:rsid w:val="00950340"/>
    <w:rsid w:val="00950526"/>
    <w:rsid w:val="0095089D"/>
    <w:rsid w:val="009509D0"/>
    <w:rsid w:val="00950EFB"/>
    <w:rsid w:val="0095166D"/>
    <w:rsid w:val="00951BD6"/>
    <w:rsid w:val="009520BF"/>
    <w:rsid w:val="00952B56"/>
    <w:rsid w:val="00952BE0"/>
    <w:rsid w:val="009531E1"/>
    <w:rsid w:val="009534B4"/>
    <w:rsid w:val="00954F03"/>
    <w:rsid w:val="009551CF"/>
    <w:rsid w:val="00955293"/>
    <w:rsid w:val="009554D8"/>
    <w:rsid w:val="0095578D"/>
    <w:rsid w:val="00955A1A"/>
    <w:rsid w:val="00955CCB"/>
    <w:rsid w:val="00955D4E"/>
    <w:rsid w:val="00955DC5"/>
    <w:rsid w:val="00956121"/>
    <w:rsid w:val="0095782A"/>
    <w:rsid w:val="00957874"/>
    <w:rsid w:val="00957F38"/>
    <w:rsid w:val="009603CA"/>
    <w:rsid w:val="009603F7"/>
    <w:rsid w:val="009612CF"/>
    <w:rsid w:val="009617A8"/>
    <w:rsid w:val="009617F8"/>
    <w:rsid w:val="00961955"/>
    <w:rsid w:val="00961ABA"/>
    <w:rsid w:val="00961C86"/>
    <w:rsid w:val="00961CEF"/>
    <w:rsid w:val="00962680"/>
    <w:rsid w:val="00962AFF"/>
    <w:rsid w:val="00963222"/>
    <w:rsid w:val="0096341C"/>
    <w:rsid w:val="0096376E"/>
    <w:rsid w:val="00963D36"/>
    <w:rsid w:val="00964011"/>
    <w:rsid w:val="009641D0"/>
    <w:rsid w:val="0096437F"/>
    <w:rsid w:val="009645A4"/>
    <w:rsid w:val="009653AA"/>
    <w:rsid w:val="009653BA"/>
    <w:rsid w:val="00965AA6"/>
    <w:rsid w:val="00965AB8"/>
    <w:rsid w:val="00965C77"/>
    <w:rsid w:val="00966517"/>
    <w:rsid w:val="00966624"/>
    <w:rsid w:val="00966973"/>
    <w:rsid w:val="00966E4A"/>
    <w:rsid w:val="009674B3"/>
    <w:rsid w:val="00967600"/>
    <w:rsid w:val="0097018E"/>
    <w:rsid w:val="009702B9"/>
    <w:rsid w:val="0097036A"/>
    <w:rsid w:val="009705F9"/>
    <w:rsid w:val="0097184D"/>
    <w:rsid w:val="00971976"/>
    <w:rsid w:val="00971986"/>
    <w:rsid w:val="0097350F"/>
    <w:rsid w:val="00974AA3"/>
    <w:rsid w:val="0097571F"/>
    <w:rsid w:val="00976087"/>
    <w:rsid w:val="00976367"/>
    <w:rsid w:val="009764B8"/>
    <w:rsid w:val="0097658A"/>
    <w:rsid w:val="009765A5"/>
    <w:rsid w:val="00976E5B"/>
    <w:rsid w:val="00977707"/>
    <w:rsid w:val="00977F14"/>
    <w:rsid w:val="00980235"/>
    <w:rsid w:val="00980420"/>
    <w:rsid w:val="00980636"/>
    <w:rsid w:val="00980E29"/>
    <w:rsid w:val="00980E37"/>
    <w:rsid w:val="009817D1"/>
    <w:rsid w:val="00981D16"/>
    <w:rsid w:val="00981E87"/>
    <w:rsid w:val="009831F5"/>
    <w:rsid w:val="009843C4"/>
    <w:rsid w:val="00984820"/>
    <w:rsid w:val="009848F2"/>
    <w:rsid w:val="00984AD3"/>
    <w:rsid w:val="00984F4F"/>
    <w:rsid w:val="00985923"/>
    <w:rsid w:val="009859FF"/>
    <w:rsid w:val="00985FAA"/>
    <w:rsid w:val="009861E4"/>
    <w:rsid w:val="009864FF"/>
    <w:rsid w:val="00986E63"/>
    <w:rsid w:val="009870D0"/>
    <w:rsid w:val="009872FC"/>
    <w:rsid w:val="00987D51"/>
    <w:rsid w:val="009900C4"/>
    <w:rsid w:val="00990CAC"/>
    <w:rsid w:val="00991C4F"/>
    <w:rsid w:val="00992A33"/>
    <w:rsid w:val="00992A46"/>
    <w:rsid w:val="00994BB4"/>
    <w:rsid w:val="00994C41"/>
    <w:rsid w:val="0099510B"/>
    <w:rsid w:val="0099562D"/>
    <w:rsid w:val="00996656"/>
    <w:rsid w:val="009969D5"/>
    <w:rsid w:val="00996BC3"/>
    <w:rsid w:val="00996F24"/>
    <w:rsid w:val="009970A0"/>
    <w:rsid w:val="00997973"/>
    <w:rsid w:val="00997CAE"/>
    <w:rsid w:val="009A0BA5"/>
    <w:rsid w:val="009A0D4D"/>
    <w:rsid w:val="009A152C"/>
    <w:rsid w:val="009A19C6"/>
    <w:rsid w:val="009A3921"/>
    <w:rsid w:val="009A3A97"/>
    <w:rsid w:val="009A3B21"/>
    <w:rsid w:val="009A3EDB"/>
    <w:rsid w:val="009A49A8"/>
    <w:rsid w:val="009A4ABB"/>
    <w:rsid w:val="009A51ED"/>
    <w:rsid w:val="009A56C0"/>
    <w:rsid w:val="009A5C41"/>
    <w:rsid w:val="009A5F16"/>
    <w:rsid w:val="009A60AB"/>
    <w:rsid w:val="009A6809"/>
    <w:rsid w:val="009A6981"/>
    <w:rsid w:val="009A6CB4"/>
    <w:rsid w:val="009A7002"/>
    <w:rsid w:val="009A7214"/>
    <w:rsid w:val="009A7A31"/>
    <w:rsid w:val="009B044A"/>
    <w:rsid w:val="009B1851"/>
    <w:rsid w:val="009B2064"/>
    <w:rsid w:val="009B2521"/>
    <w:rsid w:val="009B3E3B"/>
    <w:rsid w:val="009B4DC0"/>
    <w:rsid w:val="009B4F1F"/>
    <w:rsid w:val="009B56C5"/>
    <w:rsid w:val="009B5F1F"/>
    <w:rsid w:val="009B616D"/>
    <w:rsid w:val="009B68F9"/>
    <w:rsid w:val="009B6B13"/>
    <w:rsid w:val="009B6DEE"/>
    <w:rsid w:val="009B6EA5"/>
    <w:rsid w:val="009B6F1F"/>
    <w:rsid w:val="009B7A51"/>
    <w:rsid w:val="009C061B"/>
    <w:rsid w:val="009C08B2"/>
    <w:rsid w:val="009C0B64"/>
    <w:rsid w:val="009C0D2D"/>
    <w:rsid w:val="009C0EDF"/>
    <w:rsid w:val="009C17D6"/>
    <w:rsid w:val="009C19B0"/>
    <w:rsid w:val="009C19FC"/>
    <w:rsid w:val="009C1A6C"/>
    <w:rsid w:val="009C1A95"/>
    <w:rsid w:val="009C2DE1"/>
    <w:rsid w:val="009C3368"/>
    <w:rsid w:val="009C3D8C"/>
    <w:rsid w:val="009C3D9E"/>
    <w:rsid w:val="009C3EAD"/>
    <w:rsid w:val="009C3EEC"/>
    <w:rsid w:val="009C46DC"/>
    <w:rsid w:val="009C4A15"/>
    <w:rsid w:val="009C4AC8"/>
    <w:rsid w:val="009C5086"/>
    <w:rsid w:val="009C527D"/>
    <w:rsid w:val="009C53A8"/>
    <w:rsid w:val="009C560F"/>
    <w:rsid w:val="009C5DDA"/>
    <w:rsid w:val="009C5E40"/>
    <w:rsid w:val="009C6468"/>
    <w:rsid w:val="009C6C13"/>
    <w:rsid w:val="009C6CBC"/>
    <w:rsid w:val="009C764A"/>
    <w:rsid w:val="009D1544"/>
    <w:rsid w:val="009D18CE"/>
    <w:rsid w:val="009D1902"/>
    <w:rsid w:val="009D1AC8"/>
    <w:rsid w:val="009D29DF"/>
    <w:rsid w:val="009D31BA"/>
    <w:rsid w:val="009D3EFE"/>
    <w:rsid w:val="009D483B"/>
    <w:rsid w:val="009D4F33"/>
    <w:rsid w:val="009D5026"/>
    <w:rsid w:val="009D5910"/>
    <w:rsid w:val="009D5954"/>
    <w:rsid w:val="009D5AC1"/>
    <w:rsid w:val="009D630E"/>
    <w:rsid w:val="009D63B4"/>
    <w:rsid w:val="009D6FD9"/>
    <w:rsid w:val="009D73C1"/>
    <w:rsid w:val="009D7747"/>
    <w:rsid w:val="009D7850"/>
    <w:rsid w:val="009D7A97"/>
    <w:rsid w:val="009E0024"/>
    <w:rsid w:val="009E0B15"/>
    <w:rsid w:val="009E1199"/>
    <w:rsid w:val="009E1B7B"/>
    <w:rsid w:val="009E245D"/>
    <w:rsid w:val="009E284C"/>
    <w:rsid w:val="009E2D6D"/>
    <w:rsid w:val="009E3997"/>
    <w:rsid w:val="009E3E9F"/>
    <w:rsid w:val="009E41CA"/>
    <w:rsid w:val="009E4699"/>
    <w:rsid w:val="009E4A76"/>
    <w:rsid w:val="009E4C0D"/>
    <w:rsid w:val="009E4F3D"/>
    <w:rsid w:val="009E57A5"/>
    <w:rsid w:val="009E63C4"/>
    <w:rsid w:val="009E7108"/>
    <w:rsid w:val="009E74E3"/>
    <w:rsid w:val="009F06C3"/>
    <w:rsid w:val="009F0805"/>
    <w:rsid w:val="009F08AE"/>
    <w:rsid w:val="009F1158"/>
    <w:rsid w:val="009F1250"/>
    <w:rsid w:val="009F1571"/>
    <w:rsid w:val="009F18B2"/>
    <w:rsid w:val="009F1B18"/>
    <w:rsid w:val="009F1BA4"/>
    <w:rsid w:val="009F1F7B"/>
    <w:rsid w:val="009F2342"/>
    <w:rsid w:val="009F2B61"/>
    <w:rsid w:val="009F2F18"/>
    <w:rsid w:val="009F3F04"/>
    <w:rsid w:val="009F4E22"/>
    <w:rsid w:val="009F5332"/>
    <w:rsid w:val="009F676B"/>
    <w:rsid w:val="009F682B"/>
    <w:rsid w:val="009F6BF9"/>
    <w:rsid w:val="009F6FFD"/>
    <w:rsid w:val="009F72CA"/>
    <w:rsid w:val="009F7527"/>
    <w:rsid w:val="009F7783"/>
    <w:rsid w:val="009F7AD0"/>
    <w:rsid w:val="009F7AED"/>
    <w:rsid w:val="009F7CB7"/>
    <w:rsid w:val="00A0065F"/>
    <w:rsid w:val="00A00A07"/>
    <w:rsid w:val="00A00D93"/>
    <w:rsid w:val="00A01167"/>
    <w:rsid w:val="00A012A1"/>
    <w:rsid w:val="00A01592"/>
    <w:rsid w:val="00A02D36"/>
    <w:rsid w:val="00A02D6B"/>
    <w:rsid w:val="00A03103"/>
    <w:rsid w:val="00A033E2"/>
    <w:rsid w:val="00A03409"/>
    <w:rsid w:val="00A03B56"/>
    <w:rsid w:val="00A03D36"/>
    <w:rsid w:val="00A03DDC"/>
    <w:rsid w:val="00A046DC"/>
    <w:rsid w:val="00A04841"/>
    <w:rsid w:val="00A04CF5"/>
    <w:rsid w:val="00A05154"/>
    <w:rsid w:val="00A05532"/>
    <w:rsid w:val="00A05771"/>
    <w:rsid w:val="00A05865"/>
    <w:rsid w:val="00A059F1"/>
    <w:rsid w:val="00A05B53"/>
    <w:rsid w:val="00A0616C"/>
    <w:rsid w:val="00A06359"/>
    <w:rsid w:val="00A066C5"/>
    <w:rsid w:val="00A06D45"/>
    <w:rsid w:val="00A0764B"/>
    <w:rsid w:val="00A07D6F"/>
    <w:rsid w:val="00A106BF"/>
    <w:rsid w:val="00A106F5"/>
    <w:rsid w:val="00A1074D"/>
    <w:rsid w:val="00A10D87"/>
    <w:rsid w:val="00A10DCF"/>
    <w:rsid w:val="00A10F3C"/>
    <w:rsid w:val="00A1110C"/>
    <w:rsid w:val="00A11E69"/>
    <w:rsid w:val="00A11FDC"/>
    <w:rsid w:val="00A121FA"/>
    <w:rsid w:val="00A12DB6"/>
    <w:rsid w:val="00A13636"/>
    <w:rsid w:val="00A13C08"/>
    <w:rsid w:val="00A14039"/>
    <w:rsid w:val="00A142C3"/>
    <w:rsid w:val="00A1444C"/>
    <w:rsid w:val="00A1449A"/>
    <w:rsid w:val="00A14B2D"/>
    <w:rsid w:val="00A14BFC"/>
    <w:rsid w:val="00A157F0"/>
    <w:rsid w:val="00A15D44"/>
    <w:rsid w:val="00A168AB"/>
    <w:rsid w:val="00A169F2"/>
    <w:rsid w:val="00A16B1E"/>
    <w:rsid w:val="00A16D05"/>
    <w:rsid w:val="00A171E3"/>
    <w:rsid w:val="00A17452"/>
    <w:rsid w:val="00A20020"/>
    <w:rsid w:val="00A2007D"/>
    <w:rsid w:val="00A20A55"/>
    <w:rsid w:val="00A21CB1"/>
    <w:rsid w:val="00A231FF"/>
    <w:rsid w:val="00A2329A"/>
    <w:rsid w:val="00A233D1"/>
    <w:rsid w:val="00A23840"/>
    <w:rsid w:val="00A248C6"/>
    <w:rsid w:val="00A251EA"/>
    <w:rsid w:val="00A254B3"/>
    <w:rsid w:val="00A25622"/>
    <w:rsid w:val="00A25947"/>
    <w:rsid w:val="00A26326"/>
    <w:rsid w:val="00A263A8"/>
    <w:rsid w:val="00A264D3"/>
    <w:rsid w:val="00A26599"/>
    <w:rsid w:val="00A27240"/>
    <w:rsid w:val="00A2770B"/>
    <w:rsid w:val="00A27EC7"/>
    <w:rsid w:val="00A3072E"/>
    <w:rsid w:val="00A30A32"/>
    <w:rsid w:val="00A30DB6"/>
    <w:rsid w:val="00A3122E"/>
    <w:rsid w:val="00A31629"/>
    <w:rsid w:val="00A318CF"/>
    <w:rsid w:val="00A31BBC"/>
    <w:rsid w:val="00A3286C"/>
    <w:rsid w:val="00A32C64"/>
    <w:rsid w:val="00A32E3A"/>
    <w:rsid w:val="00A33C7B"/>
    <w:rsid w:val="00A3452B"/>
    <w:rsid w:val="00A34640"/>
    <w:rsid w:val="00A34712"/>
    <w:rsid w:val="00A34CB3"/>
    <w:rsid w:val="00A34D4F"/>
    <w:rsid w:val="00A35997"/>
    <w:rsid w:val="00A35A10"/>
    <w:rsid w:val="00A35A68"/>
    <w:rsid w:val="00A3618B"/>
    <w:rsid w:val="00A36735"/>
    <w:rsid w:val="00A37160"/>
    <w:rsid w:val="00A37961"/>
    <w:rsid w:val="00A37A04"/>
    <w:rsid w:val="00A37A3C"/>
    <w:rsid w:val="00A37F2A"/>
    <w:rsid w:val="00A4033D"/>
    <w:rsid w:val="00A405AB"/>
    <w:rsid w:val="00A407F5"/>
    <w:rsid w:val="00A410CA"/>
    <w:rsid w:val="00A41488"/>
    <w:rsid w:val="00A4180D"/>
    <w:rsid w:val="00A418CD"/>
    <w:rsid w:val="00A41EAC"/>
    <w:rsid w:val="00A42385"/>
    <w:rsid w:val="00A42397"/>
    <w:rsid w:val="00A42BD8"/>
    <w:rsid w:val="00A43C45"/>
    <w:rsid w:val="00A43F06"/>
    <w:rsid w:val="00A446F4"/>
    <w:rsid w:val="00A447FD"/>
    <w:rsid w:val="00A44879"/>
    <w:rsid w:val="00A44E01"/>
    <w:rsid w:val="00A451BA"/>
    <w:rsid w:val="00A45A3A"/>
    <w:rsid w:val="00A45C0E"/>
    <w:rsid w:val="00A46767"/>
    <w:rsid w:val="00A4740B"/>
    <w:rsid w:val="00A501BD"/>
    <w:rsid w:val="00A51127"/>
    <w:rsid w:val="00A511B8"/>
    <w:rsid w:val="00A5123A"/>
    <w:rsid w:val="00A518FD"/>
    <w:rsid w:val="00A51E7D"/>
    <w:rsid w:val="00A52135"/>
    <w:rsid w:val="00A53AF5"/>
    <w:rsid w:val="00A542CA"/>
    <w:rsid w:val="00A542F9"/>
    <w:rsid w:val="00A54911"/>
    <w:rsid w:val="00A54B84"/>
    <w:rsid w:val="00A551F9"/>
    <w:rsid w:val="00A552BC"/>
    <w:rsid w:val="00A55965"/>
    <w:rsid w:val="00A55EDF"/>
    <w:rsid w:val="00A5656B"/>
    <w:rsid w:val="00A57097"/>
    <w:rsid w:val="00A57334"/>
    <w:rsid w:val="00A578F8"/>
    <w:rsid w:val="00A6042B"/>
    <w:rsid w:val="00A604D2"/>
    <w:rsid w:val="00A604F2"/>
    <w:rsid w:val="00A60B7F"/>
    <w:rsid w:val="00A61E8E"/>
    <w:rsid w:val="00A6203D"/>
    <w:rsid w:val="00A6214D"/>
    <w:rsid w:val="00A62E63"/>
    <w:rsid w:val="00A632DB"/>
    <w:rsid w:val="00A63A3E"/>
    <w:rsid w:val="00A63F2C"/>
    <w:rsid w:val="00A64707"/>
    <w:rsid w:val="00A64B65"/>
    <w:rsid w:val="00A64D58"/>
    <w:rsid w:val="00A66052"/>
    <w:rsid w:val="00A6665D"/>
    <w:rsid w:val="00A672C9"/>
    <w:rsid w:val="00A674DD"/>
    <w:rsid w:val="00A701DE"/>
    <w:rsid w:val="00A706A1"/>
    <w:rsid w:val="00A710E7"/>
    <w:rsid w:val="00A71D24"/>
    <w:rsid w:val="00A71ED6"/>
    <w:rsid w:val="00A729C8"/>
    <w:rsid w:val="00A72B0A"/>
    <w:rsid w:val="00A7451C"/>
    <w:rsid w:val="00A74C15"/>
    <w:rsid w:val="00A74CA0"/>
    <w:rsid w:val="00A751F1"/>
    <w:rsid w:val="00A7565E"/>
    <w:rsid w:val="00A75672"/>
    <w:rsid w:val="00A7577B"/>
    <w:rsid w:val="00A75F43"/>
    <w:rsid w:val="00A765CA"/>
    <w:rsid w:val="00A768A8"/>
    <w:rsid w:val="00A76D74"/>
    <w:rsid w:val="00A7751D"/>
    <w:rsid w:val="00A776E0"/>
    <w:rsid w:val="00A7777A"/>
    <w:rsid w:val="00A77C7F"/>
    <w:rsid w:val="00A77FD4"/>
    <w:rsid w:val="00A80147"/>
    <w:rsid w:val="00A80701"/>
    <w:rsid w:val="00A80E1F"/>
    <w:rsid w:val="00A80E29"/>
    <w:rsid w:val="00A80F84"/>
    <w:rsid w:val="00A81565"/>
    <w:rsid w:val="00A816DB"/>
    <w:rsid w:val="00A826B0"/>
    <w:rsid w:val="00A8291C"/>
    <w:rsid w:val="00A82ABF"/>
    <w:rsid w:val="00A841A5"/>
    <w:rsid w:val="00A84241"/>
    <w:rsid w:val="00A844FF"/>
    <w:rsid w:val="00A84D25"/>
    <w:rsid w:val="00A865A5"/>
    <w:rsid w:val="00A86864"/>
    <w:rsid w:val="00A900DF"/>
    <w:rsid w:val="00A901D8"/>
    <w:rsid w:val="00A9039E"/>
    <w:rsid w:val="00A904F1"/>
    <w:rsid w:val="00A913BA"/>
    <w:rsid w:val="00A91523"/>
    <w:rsid w:val="00A919CB"/>
    <w:rsid w:val="00A91DE2"/>
    <w:rsid w:val="00A92832"/>
    <w:rsid w:val="00A92F24"/>
    <w:rsid w:val="00A9313F"/>
    <w:rsid w:val="00A937AC"/>
    <w:rsid w:val="00A93B44"/>
    <w:rsid w:val="00A93EC4"/>
    <w:rsid w:val="00A94452"/>
    <w:rsid w:val="00A949CB"/>
    <w:rsid w:val="00A95644"/>
    <w:rsid w:val="00A96071"/>
    <w:rsid w:val="00A96278"/>
    <w:rsid w:val="00A9661D"/>
    <w:rsid w:val="00A96D4C"/>
    <w:rsid w:val="00A9745C"/>
    <w:rsid w:val="00A97901"/>
    <w:rsid w:val="00A979B7"/>
    <w:rsid w:val="00A97D08"/>
    <w:rsid w:val="00A97DF8"/>
    <w:rsid w:val="00A97EE6"/>
    <w:rsid w:val="00A97F59"/>
    <w:rsid w:val="00AA0487"/>
    <w:rsid w:val="00AA07BA"/>
    <w:rsid w:val="00AA083C"/>
    <w:rsid w:val="00AA0F60"/>
    <w:rsid w:val="00AA13C2"/>
    <w:rsid w:val="00AA1591"/>
    <w:rsid w:val="00AA1694"/>
    <w:rsid w:val="00AA26C2"/>
    <w:rsid w:val="00AA2F09"/>
    <w:rsid w:val="00AA3053"/>
    <w:rsid w:val="00AA3250"/>
    <w:rsid w:val="00AA333B"/>
    <w:rsid w:val="00AA3C49"/>
    <w:rsid w:val="00AA3D84"/>
    <w:rsid w:val="00AA3EB7"/>
    <w:rsid w:val="00AA3F3E"/>
    <w:rsid w:val="00AA4315"/>
    <w:rsid w:val="00AA44D6"/>
    <w:rsid w:val="00AA4540"/>
    <w:rsid w:val="00AA4793"/>
    <w:rsid w:val="00AA4F06"/>
    <w:rsid w:val="00AA552C"/>
    <w:rsid w:val="00AA5A94"/>
    <w:rsid w:val="00AA6075"/>
    <w:rsid w:val="00AA65AF"/>
    <w:rsid w:val="00AA677D"/>
    <w:rsid w:val="00AA6A43"/>
    <w:rsid w:val="00AA6C81"/>
    <w:rsid w:val="00AA7CCB"/>
    <w:rsid w:val="00AA7EE1"/>
    <w:rsid w:val="00AB03CA"/>
    <w:rsid w:val="00AB06F2"/>
    <w:rsid w:val="00AB0A3D"/>
    <w:rsid w:val="00AB14FB"/>
    <w:rsid w:val="00AB1731"/>
    <w:rsid w:val="00AB1DF7"/>
    <w:rsid w:val="00AB24D6"/>
    <w:rsid w:val="00AB24E0"/>
    <w:rsid w:val="00AB31A6"/>
    <w:rsid w:val="00AB3909"/>
    <w:rsid w:val="00AB3C0F"/>
    <w:rsid w:val="00AB48CE"/>
    <w:rsid w:val="00AB52ED"/>
    <w:rsid w:val="00AB56A2"/>
    <w:rsid w:val="00AB5A63"/>
    <w:rsid w:val="00AB5FD5"/>
    <w:rsid w:val="00AB642C"/>
    <w:rsid w:val="00AB67C5"/>
    <w:rsid w:val="00AB68B3"/>
    <w:rsid w:val="00AB78FC"/>
    <w:rsid w:val="00AB7C76"/>
    <w:rsid w:val="00AC01F3"/>
    <w:rsid w:val="00AC03A6"/>
    <w:rsid w:val="00AC057B"/>
    <w:rsid w:val="00AC0B9E"/>
    <w:rsid w:val="00AC0C49"/>
    <w:rsid w:val="00AC126F"/>
    <w:rsid w:val="00AC1467"/>
    <w:rsid w:val="00AC1473"/>
    <w:rsid w:val="00AC2AD0"/>
    <w:rsid w:val="00AC3C9A"/>
    <w:rsid w:val="00AC504F"/>
    <w:rsid w:val="00AC5118"/>
    <w:rsid w:val="00AC53E3"/>
    <w:rsid w:val="00AC7C3F"/>
    <w:rsid w:val="00AD04CF"/>
    <w:rsid w:val="00AD08DE"/>
    <w:rsid w:val="00AD1781"/>
    <w:rsid w:val="00AD1ACA"/>
    <w:rsid w:val="00AD34CA"/>
    <w:rsid w:val="00AD38BC"/>
    <w:rsid w:val="00AD3902"/>
    <w:rsid w:val="00AD41D9"/>
    <w:rsid w:val="00AD44BA"/>
    <w:rsid w:val="00AD453A"/>
    <w:rsid w:val="00AD4698"/>
    <w:rsid w:val="00AD4B67"/>
    <w:rsid w:val="00AD4CDA"/>
    <w:rsid w:val="00AD505F"/>
    <w:rsid w:val="00AD5119"/>
    <w:rsid w:val="00AD57F5"/>
    <w:rsid w:val="00AD6548"/>
    <w:rsid w:val="00AD65BE"/>
    <w:rsid w:val="00AD67F5"/>
    <w:rsid w:val="00AD7090"/>
    <w:rsid w:val="00AD7D17"/>
    <w:rsid w:val="00AE02DE"/>
    <w:rsid w:val="00AE078E"/>
    <w:rsid w:val="00AE0D06"/>
    <w:rsid w:val="00AE27D9"/>
    <w:rsid w:val="00AE2EA5"/>
    <w:rsid w:val="00AE33FB"/>
    <w:rsid w:val="00AE3B82"/>
    <w:rsid w:val="00AE458A"/>
    <w:rsid w:val="00AE4716"/>
    <w:rsid w:val="00AE4ED7"/>
    <w:rsid w:val="00AE50A7"/>
    <w:rsid w:val="00AE5D75"/>
    <w:rsid w:val="00AE6212"/>
    <w:rsid w:val="00AE6ABE"/>
    <w:rsid w:val="00AE6F82"/>
    <w:rsid w:val="00AE74E0"/>
    <w:rsid w:val="00AE7EC7"/>
    <w:rsid w:val="00AF0BD6"/>
    <w:rsid w:val="00AF152E"/>
    <w:rsid w:val="00AF180B"/>
    <w:rsid w:val="00AF1B27"/>
    <w:rsid w:val="00AF1BCB"/>
    <w:rsid w:val="00AF2582"/>
    <w:rsid w:val="00AF2903"/>
    <w:rsid w:val="00AF2A35"/>
    <w:rsid w:val="00AF3199"/>
    <w:rsid w:val="00AF44AE"/>
    <w:rsid w:val="00AF4DAE"/>
    <w:rsid w:val="00AF58BE"/>
    <w:rsid w:val="00AF5D51"/>
    <w:rsid w:val="00AF5F9A"/>
    <w:rsid w:val="00AF613D"/>
    <w:rsid w:val="00AF619E"/>
    <w:rsid w:val="00AF6204"/>
    <w:rsid w:val="00AF71C3"/>
    <w:rsid w:val="00AF7F26"/>
    <w:rsid w:val="00B00751"/>
    <w:rsid w:val="00B00C25"/>
    <w:rsid w:val="00B00C82"/>
    <w:rsid w:val="00B00D67"/>
    <w:rsid w:val="00B01EC9"/>
    <w:rsid w:val="00B02562"/>
    <w:rsid w:val="00B029DB"/>
    <w:rsid w:val="00B02A0D"/>
    <w:rsid w:val="00B03099"/>
    <w:rsid w:val="00B033C4"/>
    <w:rsid w:val="00B036DF"/>
    <w:rsid w:val="00B03CCB"/>
    <w:rsid w:val="00B03D7B"/>
    <w:rsid w:val="00B04546"/>
    <w:rsid w:val="00B04955"/>
    <w:rsid w:val="00B04BD7"/>
    <w:rsid w:val="00B04EDF"/>
    <w:rsid w:val="00B050EF"/>
    <w:rsid w:val="00B05191"/>
    <w:rsid w:val="00B05871"/>
    <w:rsid w:val="00B06399"/>
    <w:rsid w:val="00B067C7"/>
    <w:rsid w:val="00B071F1"/>
    <w:rsid w:val="00B07EED"/>
    <w:rsid w:val="00B1002F"/>
    <w:rsid w:val="00B1060F"/>
    <w:rsid w:val="00B10AC2"/>
    <w:rsid w:val="00B10D87"/>
    <w:rsid w:val="00B10E5D"/>
    <w:rsid w:val="00B10F03"/>
    <w:rsid w:val="00B11C34"/>
    <w:rsid w:val="00B11D1C"/>
    <w:rsid w:val="00B124A5"/>
    <w:rsid w:val="00B12DD6"/>
    <w:rsid w:val="00B13164"/>
    <w:rsid w:val="00B13A00"/>
    <w:rsid w:val="00B13A11"/>
    <w:rsid w:val="00B13D0E"/>
    <w:rsid w:val="00B13D0F"/>
    <w:rsid w:val="00B144B8"/>
    <w:rsid w:val="00B14817"/>
    <w:rsid w:val="00B14F79"/>
    <w:rsid w:val="00B153DE"/>
    <w:rsid w:val="00B1576B"/>
    <w:rsid w:val="00B15A62"/>
    <w:rsid w:val="00B15CBD"/>
    <w:rsid w:val="00B1664A"/>
    <w:rsid w:val="00B16EB3"/>
    <w:rsid w:val="00B17564"/>
    <w:rsid w:val="00B178BB"/>
    <w:rsid w:val="00B1791F"/>
    <w:rsid w:val="00B17AB3"/>
    <w:rsid w:val="00B20664"/>
    <w:rsid w:val="00B2176A"/>
    <w:rsid w:val="00B22701"/>
    <w:rsid w:val="00B22E52"/>
    <w:rsid w:val="00B22FE8"/>
    <w:rsid w:val="00B23211"/>
    <w:rsid w:val="00B2371E"/>
    <w:rsid w:val="00B23A23"/>
    <w:rsid w:val="00B23D74"/>
    <w:rsid w:val="00B2459C"/>
    <w:rsid w:val="00B2480E"/>
    <w:rsid w:val="00B24F83"/>
    <w:rsid w:val="00B2521E"/>
    <w:rsid w:val="00B265DD"/>
    <w:rsid w:val="00B267D2"/>
    <w:rsid w:val="00B27601"/>
    <w:rsid w:val="00B27C6A"/>
    <w:rsid w:val="00B3009C"/>
    <w:rsid w:val="00B305AA"/>
    <w:rsid w:val="00B30819"/>
    <w:rsid w:val="00B30A26"/>
    <w:rsid w:val="00B30BF6"/>
    <w:rsid w:val="00B30D4A"/>
    <w:rsid w:val="00B319B7"/>
    <w:rsid w:val="00B31E2A"/>
    <w:rsid w:val="00B31E94"/>
    <w:rsid w:val="00B32041"/>
    <w:rsid w:val="00B32091"/>
    <w:rsid w:val="00B3220B"/>
    <w:rsid w:val="00B323B4"/>
    <w:rsid w:val="00B328CB"/>
    <w:rsid w:val="00B3370D"/>
    <w:rsid w:val="00B33873"/>
    <w:rsid w:val="00B33BD7"/>
    <w:rsid w:val="00B33C13"/>
    <w:rsid w:val="00B34894"/>
    <w:rsid w:val="00B349B7"/>
    <w:rsid w:val="00B35BB8"/>
    <w:rsid w:val="00B35DF9"/>
    <w:rsid w:val="00B35EC7"/>
    <w:rsid w:val="00B37C01"/>
    <w:rsid w:val="00B40769"/>
    <w:rsid w:val="00B40C33"/>
    <w:rsid w:val="00B40D76"/>
    <w:rsid w:val="00B4137E"/>
    <w:rsid w:val="00B4147F"/>
    <w:rsid w:val="00B41CC9"/>
    <w:rsid w:val="00B41D58"/>
    <w:rsid w:val="00B42031"/>
    <w:rsid w:val="00B42394"/>
    <w:rsid w:val="00B42539"/>
    <w:rsid w:val="00B42B53"/>
    <w:rsid w:val="00B42C20"/>
    <w:rsid w:val="00B43036"/>
    <w:rsid w:val="00B4317B"/>
    <w:rsid w:val="00B43211"/>
    <w:rsid w:val="00B439C3"/>
    <w:rsid w:val="00B440E7"/>
    <w:rsid w:val="00B44157"/>
    <w:rsid w:val="00B443DE"/>
    <w:rsid w:val="00B4513E"/>
    <w:rsid w:val="00B451E8"/>
    <w:rsid w:val="00B457F1"/>
    <w:rsid w:val="00B45D7A"/>
    <w:rsid w:val="00B461A1"/>
    <w:rsid w:val="00B4658F"/>
    <w:rsid w:val="00B472D3"/>
    <w:rsid w:val="00B47383"/>
    <w:rsid w:val="00B47825"/>
    <w:rsid w:val="00B4790B"/>
    <w:rsid w:val="00B500D1"/>
    <w:rsid w:val="00B5062D"/>
    <w:rsid w:val="00B50BA5"/>
    <w:rsid w:val="00B50BAC"/>
    <w:rsid w:val="00B510A0"/>
    <w:rsid w:val="00B51149"/>
    <w:rsid w:val="00B51544"/>
    <w:rsid w:val="00B51B0D"/>
    <w:rsid w:val="00B5247B"/>
    <w:rsid w:val="00B525A2"/>
    <w:rsid w:val="00B528A8"/>
    <w:rsid w:val="00B52A28"/>
    <w:rsid w:val="00B52DE2"/>
    <w:rsid w:val="00B52EF1"/>
    <w:rsid w:val="00B52F77"/>
    <w:rsid w:val="00B53344"/>
    <w:rsid w:val="00B53462"/>
    <w:rsid w:val="00B537E4"/>
    <w:rsid w:val="00B53A73"/>
    <w:rsid w:val="00B548E0"/>
    <w:rsid w:val="00B54B64"/>
    <w:rsid w:val="00B5597C"/>
    <w:rsid w:val="00B55DCD"/>
    <w:rsid w:val="00B5618B"/>
    <w:rsid w:val="00B56300"/>
    <w:rsid w:val="00B5643E"/>
    <w:rsid w:val="00B56658"/>
    <w:rsid w:val="00B56B00"/>
    <w:rsid w:val="00B56D4B"/>
    <w:rsid w:val="00B574A8"/>
    <w:rsid w:val="00B57984"/>
    <w:rsid w:val="00B57D73"/>
    <w:rsid w:val="00B60105"/>
    <w:rsid w:val="00B605CB"/>
    <w:rsid w:val="00B6096F"/>
    <w:rsid w:val="00B61564"/>
    <w:rsid w:val="00B61F39"/>
    <w:rsid w:val="00B621EE"/>
    <w:rsid w:val="00B62595"/>
    <w:rsid w:val="00B62A07"/>
    <w:rsid w:val="00B62B7A"/>
    <w:rsid w:val="00B62C09"/>
    <w:rsid w:val="00B63269"/>
    <w:rsid w:val="00B63C02"/>
    <w:rsid w:val="00B63E6A"/>
    <w:rsid w:val="00B64360"/>
    <w:rsid w:val="00B64382"/>
    <w:rsid w:val="00B64C6C"/>
    <w:rsid w:val="00B651C4"/>
    <w:rsid w:val="00B6604A"/>
    <w:rsid w:val="00B672D5"/>
    <w:rsid w:val="00B67684"/>
    <w:rsid w:val="00B67F5B"/>
    <w:rsid w:val="00B700AC"/>
    <w:rsid w:val="00B704D6"/>
    <w:rsid w:val="00B71BD0"/>
    <w:rsid w:val="00B71D13"/>
    <w:rsid w:val="00B7218B"/>
    <w:rsid w:val="00B723C7"/>
    <w:rsid w:val="00B723E5"/>
    <w:rsid w:val="00B726AA"/>
    <w:rsid w:val="00B7314A"/>
    <w:rsid w:val="00B735CE"/>
    <w:rsid w:val="00B73A52"/>
    <w:rsid w:val="00B747C9"/>
    <w:rsid w:val="00B74F66"/>
    <w:rsid w:val="00B75A9D"/>
    <w:rsid w:val="00B75EB8"/>
    <w:rsid w:val="00B76B94"/>
    <w:rsid w:val="00B80392"/>
    <w:rsid w:val="00B8051F"/>
    <w:rsid w:val="00B81620"/>
    <w:rsid w:val="00B8171F"/>
    <w:rsid w:val="00B818F9"/>
    <w:rsid w:val="00B822C9"/>
    <w:rsid w:val="00B8238C"/>
    <w:rsid w:val="00B828FF"/>
    <w:rsid w:val="00B82C71"/>
    <w:rsid w:val="00B83DE0"/>
    <w:rsid w:val="00B83F90"/>
    <w:rsid w:val="00B840B9"/>
    <w:rsid w:val="00B84E94"/>
    <w:rsid w:val="00B8552F"/>
    <w:rsid w:val="00B85C47"/>
    <w:rsid w:val="00B8646C"/>
    <w:rsid w:val="00B8782C"/>
    <w:rsid w:val="00B87914"/>
    <w:rsid w:val="00B87FA8"/>
    <w:rsid w:val="00B90146"/>
    <w:rsid w:val="00B90C22"/>
    <w:rsid w:val="00B90C89"/>
    <w:rsid w:val="00B912BD"/>
    <w:rsid w:val="00B914FA"/>
    <w:rsid w:val="00B91ABC"/>
    <w:rsid w:val="00B91E65"/>
    <w:rsid w:val="00B92524"/>
    <w:rsid w:val="00B925C6"/>
    <w:rsid w:val="00B92C6E"/>
    <w:rsid w:val="00B92D0D"/>
    <w:rsid w:val="00B92D6F"/>
    <w:rsid w:val="00B92E85"/>
    <w:rsid w:val="00B93A26"/>
    <w:rsid w:val="00B9470E"/>
    <w:rsid w:val="00B9477E"/>
    <w:rsid w:val="00B948B8"/>
    <w:rsid w:val="00B94969"/>
    <w:rsid w:val="00B9565A"/>
    <w:rsid w:val="00B957F3"/>
    <w:rsid w:val="00B95D94"/>
    <w:rsid w:val="00B9617C"/>
    <w:rsid w:val="00B9646E"/>
    <w:rsid w:val="00B96E8F"/>
    <w:rsid w:val="00B974E5"/>
    <w:rsid w:val="00B978A6"/>
    <w:rsid w:val="00B97926"/>
    <w:rsid w:val="00B97C6B"/>
    <w:rsid w:val="00BA00E8"/>
    <w:rsid w:val="00BA0282"/>
    <w:rsid w:val="00BA028C"/>
    <w:rsid w:val="00BA07A4"/>
    <w:rsid w:val="00BA0D41"/>
    <w:rsid w:val="00BA195E"/>
    <w:rsid w:val="00BA39C2"/>
    <w:rsid w:val="00BA43C9"/>
    <w:rsid w:val="00BA488C"/>
    <w:rsid w:val="00BA4CA2"/>
    <w:rsid w:val="00BA5572"/>
    <w:rsid w:val="00BA577C"/>
    <w:rsid w:val="00BA6252"/>
    <w:rsid w:val="00BA62B0"/>
    <w:rsid w:val="00BA6C18"/>
    <w:rsid w:val="00BA724F"/>
    <w:rsid w:val="00BA75DD"/>
    <w:rsid w:val="00BA7D67"/>
    <w:rsid w:val="00BB1101"/>
    <w:rsid w:val="00BB1280"/>
    <w:rsid w:val="00BB1429"/>
    <w:rsid w:val="00BB18BF"/>
    <w:rsid w:val="00BB2850"/>
    <w:rsid w:val="00BB2D47"/>
    <w:rsid w:val="00BB36AF"/>
    <w:rsid w:val="00BB37C9"/>
    <w:rsid w:val="00BB506F"/>
    <w:rsid w:val="00BB51A4"/>
    <w:rsid w:val="00BB57F1"/>
    <w:rsid w:val="00BB60DB"/>
    <w:rsid w:val="00BB65A6"/>
    <w:rsid w:val="00BB6A99"/>
    <w:rsid w:val="00BB6B1F"/>
    <w:rsid w:val="00BB6E91"/>
    <w:rsid w:val="00BB745D"/>
    <w:rsid w:val="00BB7AA1"/>
    <w:rsid w:val="00BC043E"/>
    <w:rsid w:val="00BC05F9"/>
    <w:rsid w:val="00BC1A97"/>
    <w:rsid w:val="00BC1AC1"/>
    <w:rsid w:val="00BC1DAA"/>
    <w:rsid w:val="00BC1E79"/>
    <w:rsid w:val="00BC22B7"/>
    <w:rsid w:val="00BC233C"/>
    <w:rsid w:val="00BC33D7"/>
    <w:rsid w:val="00BC378E"/>
    <w:rsid w:val="00BC3B67"/>
    <w:rsid w:val="00BC3C8E"/>
    <w:rsid w:val="00BC3E55"/>
    <w:rsid w:val="00BC3F9A"/>
    <w:rsid w:val="00BC4106"/>
    <w:rsid w:val="00BC5177"/>
    <w:rsid w:val="00BC58F4"/>
    <w:rsid w:val="00BC5A03"/>
    <w:rsid w:val="00BC5CE6"/>
    <w:rsid w:val="00BC5D95"/>
    <w:rsid w:val="00BC5FB1"/>
    <w:rsid w:val="00BC61E7"/>
    <w:rsid w:val="00BC6D31"/>
    <w:rsid w:val="00BC725F"/>
    <w:rsid w:val="00BD006B"/>
    <w:rsid w:val="00BD00FE"/>
    <w:rsid w:val="00BD0D86"/>
    <w:rsid w:val="00BD0EED"/>
    <w:rsid w:val="00BD0FDA"/>
    <w:rsid w:val="00BD1BFA"/>
    <w:rsid w:val="00BD296B"/>
    <w:rsid w:val="00BD2FCF"/>
    <w:rsid w:val="00BD3271"/>
    <w:rsid w:val="00BD32B0"/>
    <w:rsid w:val="00BD3BC2"/>
    <w:rsid w:val="00BD3D7C"/>
    <w:rsid w:val="00BD4081"/>
    <w:rsid w:val="00BD42DE"/>
    <w:rsid w:val="00BD46E1"/>
    <w:rsid w:val="00BD475B"/>
    <w:rsid w:val="00BD4CF1"/>
    <w:rsid w:val="00BD4E11"/>
    <w:rsid w:val="00BD5C38"/>
    <w:rsid w:val="00BD5FD4"/>
    <w:rsid w:val="00BD6BAC"/>
    <w:rsid w:val="00BD7013"/>
    <w:rsid w:val="00BD7528"/>
    <w:rsid w:val="00BD7E57"/>
    <w:rsid w:val="00BD7FCE"/>
    <w:rsid w:val="00BE0051"/>
    <w:rsid w:val="00BE04E6"/>
    <w:rsid w:val="00BE166B"/>
    <w:rsid w:val="00BE1C59"/>
    <w:rsid w:val="00BE2408"/>
    <w:rsid w:val="00BE3152"/>
    <w:rsid w:val="00BE38E9"/>
    <w:rsid w:val="00BE4061"/>
    <w:rsid w:val="00BE4A00"/>
    <w:rsid w:val="00BE5BAC"/>
    <w:rsid w:val="00BE607D"/>
    <w:rsid w:val="00BE6175"/>
    <w:rsid w:val="00BE66F2"/>
    <w:rsid w:val="00BE6ACA"/>
    <w:rsid w:val="00BE71CB"/>
    <w:rsid w:val="00BE72F3"/>
    <w:rsid w:val="00BE79B4"/>
    <w:rsid w:val="00BE7D72"/>
    <w:rsid w:val="00BF036D"/>
    <w:rsid w:val="00BF0ADC"/>
    <w:rsid w:val="00BF203B"/>
    <w:rsid w:val="00BF2325"/>
    <w:rsid w:val="00BF23CD"/>
    <w:rsid w:val="00BF2A20"/>
    <w:rsid w:val="00BF2AAE"/>
    <w:rsid w:val="00BF313F"/>
    <w:rsid w:val="00BF3948"/>
    <w:rsid w:val="00BF4E45"/>
    <w:rsid w:val="00BF542C"/>
    <w:rsid w:val="00BF5551"/>
    <w:rsid w:val="00BF6527"/>
    <w:rsid w:val="00BF7606"/>
    <w:rsid w:val="00BF7667"/>
    <w:rsid w:val="00BF7D62"/>
    <w:rsid w:val="00C0039D"/>
    <w:rsid w:val="00C01043"/>
    <w:rsid w:val="00C01243"/>
    <w:rsid w:val="00C012B5"/>
    <w:rsid w:val="00C01B45"/>
    <w:rsid w:val="00C01EA4"/>
    <w:rsid w:val="00C020BF"/>
    <w:rsid w:val="00C02326"/>
    <w:rsid w:val="00C026EB"/>
    <w:rsid w:val="00C030A0"/>
    <w:rsid w:val="00C0327A"/>
    <w:rsid w:val="00C0397A"/>
    <w:rsid w:val="00C03B14"/>
    <w:rsid w:val="00C04D18"/>
    <w:rsid w:val="00C05017"/>
    <w:rsid w:val="00C050BC"/>
    <w:rsid w:val="00C05182"/>
    <w:rsid w:val="00C05F57"/>
    <w:rsid w:val="00C06EDA"/>
    <w:rsid w:val="00C06F41"/>
    <w:rsid w:val="00C06FD9"/>
    <w:rsid w:val="00C06FE4"/>
    <w:rsid w:val="00C07527"/>
    <w:rsid w:val="00C07C27"/>
    <w:rsid w:val="00C07EA1"/>
    <w:rsid w:val="00C107DC"/>
    <w:rsid w:val="00C10957"/>
    <w:rsid w:val="00C109FB"/>
    <w:rsid w:val="00C10B1D"/>
    <w:rsid w:val="00C10C78"/>
    <w:rsid w:val="00C10E46"/>
    <w:rsid w:val="00C10EC9"/>
    <w:rsid w:val="00C10ECA"/>
    <w:rsid w:val="00C111B3"/>
    <w:rsid w:val="00C11488"/>
    <w:rsid w:val="00C114FA"/>
    <w:rsid w:val="00C1193B"/>
    <w:rsid w:val="00C119C7"/>
    <w:rsid w:val="00C11F1C"/>
    <w:rsid w:val="00C12181"/>
    <w:rsid w:val="00C12395"/>
    <w:rsid w:val="00C127D0"/>
    <w:rsid w:val="00C12B51"/>
    <w:rsid w:val="00C13776"/>
    <w:rsid w:val="00C13A70"/>
    <w:rsid w:val="00C13BD6"/>
    <w:rsid w:val="00C13EC2"/>
    <w:rsid w:val="00C15447"/>
    <w:rsid w:val="00C156F7"/>
    <w:rsid w:val="00C15796"/>
    <w:rsid w:val="00C16C9E"/>
    <w:rsid w:val="00C16CE0"/>
    <w:rsid w:val="00C200D8"/>
    <w:rsid w:val="00C20271"/>
    <w:rsid w:val="00C2070E"/>
    <w:rsid w:val="00C21023"/>
    <w:rsid w:val="00C213AA"/>
    <w:rsid w:val="00C21BDA"/>
    <w:rsid w:val="00C22A9C"/>
    <w:rsid w:val="00C232A3"/>
    <w:rsid w:val="00C23537"/>
    <w:rsid w:val="00C23753"/>
    <w:rsid w:val="00C23B72"/>
    <w:rsid w:val="00C24098"/>
    <w:rsid w:val="00C24249"/>
    <w:rsid w:val="00C2520A"/>
    <w:rsid w:val="00C2571D"/>
    <w:rsid w:val="00C25AC9"/>
    <w:rsid w:val="00C26432"/>
    <w:rsid w:val="00C2648E"/>
    <w:rsid w:val="00C27195"/>
    <w:rsid w:val="00C3060C"/>
    <w:rsid w:val="00C309B0"/>
    <w:rsid w:val="00C31100"/>
    <w:rsid w:val="00C31432"/>
    <w:rsid w:val="00C32206"/>
    <w:rsid w:val="00C32439"/>
    <w:rsid w:val="00C32594"/>
    <w:rsid w:val="00C32C75"/>
    <w:rsid w:val="00C3328E"/>
    <w:rsid w:val="00C33827"/>
    <w:rsid w:val="00C341C6"/>
    <w:rsid w:val="00C34D14"/>
    <w:rsid w:val="00C34E7E"/>
    <w:rsid w:val="00C34EF1"/>
    <w:rsid w:val="00C34F93"/>
    <w:rsid w:val="00C3555E"/>
    <w:rsid w:val="00C3565E"/>
    <w:rsid w:val="00C35703"/>
    <w:rsid w:val="00C35764"/>
    <w:rsid w:val="00C369A0"/>
    <w:rsid w:val="00C36AB1"/>
    <w:rsid w:val="00C3727E"/>
    <w:rsid w:val="00C37BC7"/>
    <w:rsid w:val="00C4005E"/>
    <w:rsid w:val="00C402F9"/>
    <w:rsid w:val="00C4034B"/>
    <w:rsid w:val="00C4056D"/>
    <w:rsid w:val="00C40791"/>
    <w:rsid w:val="00C40840"/>
    <w:rsid w:val="00C4088C"/>
    <w:rsid w:val="00C414D2"/>
    <w:rsid w:val="00C41CD6"/>
    <w:rsid w:val="00C42175"/>
    <w:rsid w:val="00C42793"/>
    <w:rsid w:val="00C42888"/>
    <w:rsid w:val="00C42A99"/>
    <w:rsid w:val="00C43087"/>
    <w:rsid w:val="00C430CB"/>
    <w:rsid w:val="00C44228"/>
    <w:rsid w:val="00C446A9"/>
    <w:rsid w:val="00C44A1D"/>
    <w:rsid w:val="00C44E83"/>
    <w:rsid w:val="00C451E8"/>
    <w:rsid w:val="00C45BB7"/>
    <w:rsid w:val="00C45C3D"/>
    <w:rsid w:val="00C46156"/>
    <w:rsid w:val="00C461FA"/>
    <w:rsid w:val="00C46763"/>
    <w:rsid w:val="00C468A8"/>
    <w:rsid w:val="00C46B07"/>
    <w:rsid w:val="00C46FE6"/>
    <w:rsid w:val="00C47C3A"/>
    <w:rsid w:val="00C47C73"/>
    <w:rsid w:val="00C47E74"/>
    <w:rsid w:val="00C508FD"/>
    <w:rsid w:val="00C513F6"/>
    <w:rsid w:val="00C51B1C"/>
    <w:rsid w:val="00C51DD2"/>
    <w:rsid w:val="00C52487"/>
    <w:rsid w:val="00C5262F"/>
    <w:rsid w:val="00C5264A"/>
    <w:rsid w:val="00C526F9"/>
    <w:rsid w:val="00C527F6"/>
    <w:rsid w:val="00C529AF"/>
    <w:rsid w:val="00C5414C"/>
    <w:rsid w:val="00C544E6"/>
    <w:rsid w:val="00C55363"/>
    <w:rsid w:val="00C55387"/>
    <w:rsid w:val="00C553D0"/>
    <w:rsid w:val="00C55623"/>
    <w:rsid w:val="00C55C2C"/>
    <w:rsid w:val="00C55E24"/>
    <w:rsid w:val="00C55FF6"/>
    <w:rsid w:val="00C562B4"/>
    <w:rsid w:val="00C56A9F"/>
    <w:rsid w:val="00C5738B"/>
    <w:rsid w:val="00C573F5"/>
    <w:rsid w:val="00C57784"/>
    <w:rsid w:val="00C57B9A"/>
    <w:rsid w:val="00C600B3"/>
    <w:rsid w:val="00C603ED"/>
    <w:rsid w:val="00C60E8F"/>
    <w:rsid w:val="00C619C3"/>
    <w:rsid w:val="00C622CF"/>
    <w:rsid w:val="00C6265C"/>
    <w:rsid w:val="00C62881"/>
    <w:rsid w:val="00C63057"/>
    <w:rsid w:val="00C638DF"/>
    <w:rsid w:val="00C63946"/>
    <w:rsid w:val="00C63A5C"/>
    <w:rsid w:val="00C64414"/>
    <w:rsid w:val="00C6482C"/>
    <w:rsid w:val="00C649C3"/>
    <w:rsid w:val="00C6528A"/>
    <w:rsid w:val="00C65389"/>
    <w:rsid w:val="00C653ED"/>
    <w:rsid w:val="00C654C6"/>
    <w:rsid w:val="00C657F3"/>
    <w:rsid w:val="00C65A15"/>
    <w:rsid w:val="00C65E8B"/>
    <w:rsid w:val="00C66ED2"/>
    <w:rsid w:val="00C679DC"/>
    <w:rsid w:val="00C67E74"/>
    <w:rsid w:val="00C70F19"/>
    <w:rsid w:val="00C71457"/>
    <w:rsid w:val="00C7168B"/>
    <w:rsid w:val="00C71E93"/>
    <w:rsid w:val="00C72A0E"/>
    <w:rsid w:val="00C72A51"/>
    <w:rsid w:val="00C72D5F"/>
    <w:rsid w:val="00C72E79"/>
    <w:rsid w:val="00C72F20"/>
    <w:rsid w:val="00C72F4F"/>
    <w:rsid w:val="00C73961"/>
    <w:rsid w:val="00C73AF4"/>
    <w:rsid w:val="00C74128"/>
    <w:rsid w:val="00C74798"/>
    <w:rsid w:val="00C754DC"/>
    <w:rsid w:val="00C75600"/>
    <w:rsid w:val="00C75CB3"/>
    <w:rsid w:val="00C76FCA"/>
    <w:rsid w:val="00C77BDD"/>
    <w:rsid w:val="00C801C1"/>
    <w:rsid w:val="00C80946"/>
    <w:rsid w:val="00C81587"/>
    <w:rsid w:val="00C81EDD"/>
    <w:rsid w:val="00C822E5"/>
    <w:rsid w:val="00C829BC"/>
    <w:rsid w:val="00C82D24"/>
    <w:rsid w:val="00C82D70"/>
    <w:rsid w:val="00C831F8"/>
    <w:rsid w:val="00C83ADE"/>
    <w:rsid w:val="00C84C6B"/>
    <w:rsid w:val="00C8548C"/>
    <w:rsid w:val="00C858FA"/>
    <w:rsid w:val="00C868DD"/>
    <w:rsid w:val="00C87C4B"/>
    <w:rsid w:val="00C87D8E"/>
    <w:rsid w:val="00C9012A"/>
    <w:rsid w:val="00C9035B"/>
    <w:rsid w:val="00C9087C"/>
    <w:rsid w:val="00C908DF"/>
    <w:rsid w:val="00C90B6C"/>
    <w:rsid w:val="00C90EEE"/>
    <w:rsid w:val="00C90F97"/>
    <w:rsid w:val="00C91591"/>
    <w:rsid w:val="00C9181E"/>
    <w:rsid w:val="00C91A19"/>
    <w:rsid w:val="00C91A3E"/>
    <w:rsid w:val="00C920EB"/>
    <w:rsid w:val="00C9220A"/>
    <w:rsid w:val="00C925CB"/>
    <w:rsid w:val="00C92631"/>
    <w:rsid w:val="00C93891"/>
    <w:rsid w:val="00C93C1E"/>
    <w:rsid w:val="00C94224"/>
    <w:rsid w:val="00C9455E"/>
    <w:rsid w:val="00C9478A"/>
    <w:rsid w:val="00C948AD"/>
    <w:rsid w:val="00C94A27"/>
    <w:rsid w:val="00C95142"/>
    <w:rsid w:val="00C9539F"/>
    <w:rsid w:val="00C957FE"/>
    <w:rsid w:val="00C95A23"/>
    <w:rsid w:val="00C9629B"/>
    <w:rsid w:val="00C963D8"/>
    <w:rsid w:val="00C96539"/>
    <w:rsid w:val="00C965E0"/>
    <w:rsid w:val="00C966BE"/>
    <w:rsid w:val="00C97B4F"/>
    <w:rsid w:val="00C97DAF"/>
    <w:rsid w:val="00C97F62"/>
    <w:rsid w:val="00CA0E19"/>
    <w:rsid w:val="00CA228F"/>
    <w:rsid w:val="00CA242C"/>
    <w:rsid w:val="00CA3A62"/>
    <w:rsid w:val="00CA3DE0"/>
    <w:rsid w:val="00CA459F"/>
    <w:rsid w:val="00CA5D36"/>
    <w:rsid w:val="00CA6E20"/>
    <w:rsid w:val="00CA75CB"/>
    <w:rsid w:val="00CA7718"/>
    <w:rsid w:val="00CA7BB2"/>
    <w:rsid w:val="00CB0412"/>
    <w:rsid w:val="00CB08F3"/>
    <w:rsid w:val="00CB0D49"/>
    <w:rsid w:val="00CB0FA3"/>
    <w:rsid w:val="00CB20FC"/>
    <w:rsid w:val="00CB2107"/>
    <w:rsid w:val="00CB279A"/>
    <w:rsid w:val="00CB2F64"/>
    <w:rsid w:val="00CB39C9"/>
    <w:rsid w:val="00CB3D37"/>
    <w:rsid w:val="00CB4881"/>
    <w:rsid w:val="00CB5B3A"/>
    <w:rsid w:val="00CB5BE4"/>
    <w:rsid w:val="00CB5D24"/>
    <w:rsid w:val="00CB5DAC"/>
    <w:rsid w:val="00CB6BB2"/>
    <w:rsid w:val="00CB7636"/>
    <w:rsid w:val="00CB78E1"/>
    <w:rsid w:val="00CB7FB8"/>
    <w:rsid w:val="00CC0184"/>
    <w:rsid w:val="00CC08F2"/>
    <w:rsid w:val="00CC0F22"/>
    <w:rsid w:val="00CC1142"/>
    <w:rsid w:val="00CC1388"/>
    <w:rsid w:val="00CC1685"/>
    <w:rsid w:val="00CC16CE"/>
    <w:rsid w:val="00CC1996"/>
    <w:rsid w:val="00CC1B1A"/>
    <w:rsid w:val="00CC1B60"/>
    <w:rsid w:val="00CC1EF8"/>
    <w:rsid w:val="00CC237A"/>
    <w:rsid w:val="00CC2531"/>
    <w:rsid w:val="00CC2808"/>
    <w:rsid w:val="00CC319B"/>
    <w:rsid w:val="00CC3A0C"/>
    <w:rsid w:val="00CC3C2C"/>
    <w:rsid w:val="00CC3E7B"/>
    <w:rsid w:val="00CC42E1"/>
    <w:rsid w:val="00CC5259"/>
    <w:rsid w:val="00CC58C7"/>
    <w:rsid w:val="00CC611E"/>
    <w:rsid w:val="00CC65CA"/>
    <w:rsid w:val="00CC6E92"/>
    <w:rsid w:val="00CC7820"/>
    <w:rsid w:val="00CC7E2C"/>
    <w:rsid w:val="00CD0E49"/>
    <w:rsid w:val="00CD0E90"/>
    <w:rsid w:val="00CD1183"/>
    <w:rsid w:val="00CD1BE3"/>
    <w:rsid w:val="00CD1D59"/>
    <w:rsid w:val="00CD203D"/>
    <w:rsid w:val="00CD22D2"/>
    <w:rsid w:val="00CD24AC"/>
    <w:rsid w:val="00CD302C"/>
    <w:rsid w:val="00CD325B"/>
    <w:rsid w:val="00CD35CB"/>
    <w:rsid w:val="00CD3A03"/>
    <w:rsid w:val="00CD3A08"/>
    <w:rsid w:val="00CD4105"/>
    <w:rsid w:val="00CD4D02"/>
    <w:rsid w:val="00CD60AB"/>
    <w:rsid w:val="00CD6427"/>
    <w:rsid w:val="00CD6D06"/>
    <w:rsid w:val="00CD7C1A"/>
    <w:rsid w:val="00CD7DB1"/>
    <w:rsid w:val="00CE0042"/>
    <w:rsid w:val="00CE021B"/>
    <w:rsid w:val="00CE026F"/>
    <w:rsid w:val="00CE0CDC"/>
    <w:rsid w:val="00CE1763"/>
    <w:rsid w:val="00CE1A88"/>
    <w:rsid w:val="00CE3293"/>
    <w:rsid w:val="00CE3934"/>
    <w:rsid w:val="00CE4A78"/>
    <w:rsid w:val="00CE527B"/>
    <w:rsid w:val="00CE65B0"/>
    <w:rsid w:val="00CE6C9A"/>
    <w:rsid w:val="00CE6D5E"/>
    <w:rsid w:val="00CE7D3B"/>
    <w:rsid w:val="00CF05E4"/>
    <w:rsid w:val="00CF072A"/>
    <w:rsid w:val="00CF09BF"/>
    <w:rsid w:val="00CF11FF"/>
    <w:rsid w:val="00CF2499"/>
    <w:rsid w:val="00CF2675"/>
    <w:rsid w:val="00CF3523"/>
    <w:rsid w:val="00CF3B81"/>
    <w:rsid w:val="00CF3B88"/>
    <w:rsid w:val="00CF4546"/>
    <w:rsid w:val="00CF4669"/>
    <w:rsid w:val="00CF5675"/>
    <w:rsid w:val="00CF57A7"/>
    <w:rsid w:val="00CF5D88"/>
    <w:rsid w:val="00CF5E31"/>
    <w:rsid w:val="00CF612A"/>
    <w:rsid w:val="00CF6181"/>
    <w:rsid w:val="00CF6BC1"/>
    <w:rsid w:val="00CF6DC2"/>
    <w:rsid w:val="00CF6EA8"/>
    <w:rsid w:val="00CF7391"/>
    <w:rsid w:val="00CF74D1"/>
    <w:rsid w:val="00CF77E6"/>
    <w:rsid w:val="00D0002B"/>
    <w:rsid w:val="00D00CBF"/>
    <w:rsid w:val="00D00CC5"/>
    <w:rsid w:val="00D0159B"/>
    <w:rsid w:val="00D01930"/>
    <w:rsid w:val="00D01B74"/>
    <w:rsid w:val="00D02CC8"/>
    <w:rsid w:val="00D03802"/>
    <w:rsid w:val="00D038A0"/>
    <w:rsid w:val="00D038CB"/>
    <w:rsid w:val="00D03A90"/>
    <w:rsid w:val="00D03BCB"/>
    <w:rsid w:val="00D041DD"/>
    <w:rsid w:val="00D04555"/>
    <w:rsid w:val="00D0455D"/>
    <w:rsid w:val="00D046E8"/>
    <w:rsid w:val="00D04836"/>
    <w:rsid w:val="00D053AE"/>
    <w:rsid w:val="00D05460"/>
    <w:rsid w:val="00D061DD"/>
    <w:rsid w:val="00D062B8"/>
    <w:rsid w:val="00D066D6"/>
    <w:rsid w:val="00D07274"/>
    <w:rsid w:val="00D0784E"/>
    <w:rsid w:val="00D07AF2"/>
    <w:rsid w:val="00D11118"/>
    <w:rsid w:val="00D11350"/>
    <w:rsid w:val="00D11429"/>
    <w:rsid w:val="00D116A8"/>
    <w:rsid w:val="00D11C9E"/>
    <w:rsid w:val="00D12FB6"/>
    <w:rsid w:val="00D13BEF"/>
    <w:rsid w:val="00D1407D"/>
    <w:rsid w:val="00D14384"/>
    <w:rsid w:val="00D14BAD"/>
    <w:rsid w:val="00D14C3C"/>
    <w:rsid w:val="00D15582"/>
    <w:rsid w:val="00D1564F"/>
    <w:rsid w:val="00D1605B"/>
    <w:rsid w:val="00D160DE"/>
    <w:rsid w:val="00D1647D"/>
    <w:rsid w:val="00D16DCB"/>
    <w:rsid w:val="00D17547"/>
    <w:rsid w:val="00D17630"/>
    <w:rsid w:val="00D20372"/>
    <w:rsid w:val="00D20871"/>
    <w:rsid w:val="00D20B52"/>
    <w:rsid w:val="00D213FE"/>
    <w:rsid w:val="00D2150F"/>
    <w:rsid w:val="00D21610"/>
    <w:rsid w:val="00D21B44"/>
    <w:rsid w:val="00D22A6A"/>
    <w:rsid w:val="00D22AB3"/>
    <w:rsid w:val="00D239B6"/>
    <w:rsid w:val="00D24EA1"/>
    <w:rsid w:val="00D250E3"/>
    <w:rsid w:val="00D25594"/>
    <w:rsid w:val="00D25CB5"/>
    <w:rsid w:val="00D26529"/>
    <w:rsid w:val="00D26580"/>
    <w:rsid w:val="00D26F9C"/>
    <w:rsid w:val="00D26FC3"/>
    <w:rsid w:val="00D26FEF"/>
    <w:rsid w:val="00D271C1"/>
    <w:rsid w:val="00D27A0D"/>
    <w:rsid w:val="00D27BB3"/>
    <w:rsid w:val="00D27C59"/>
    <w:rsid w:val="00D30DA6"/>
    <w:rsid w:val="00D30F01"/>
    <w:rsid w:val="00D31054"/>
    <w:rsid w:val="00D323AD"/>
    <w:rsid w:val="00D32AA5"/>
    <w:rsid w:val="00D33246"/>
    <w:rsid w:val="00D339DC"/>
    <w:rsid w:val="00D33D4D"/>
    <w:rsid w:val="00D34719"/>
    <w:rsid w:val="00D351E0"/>
    <w:rsid w:val="00D355B1"/>
    <w:rsid w:val="00D35736"/>
    <w:rsid w:val="00D35C0D"/>
    <w:rsid w:val="00D35E8B"/>
    <w:rsid w:val="00D3615A"/>
    <w:rsid w:val="00D3625B"/>
    <w:rsid w:val="00D37476"/>
    <w:rsid w:val="00D375B5"/>
    <w:rsid w:val="00D37798"/>
    <w:rsid w:val="00D379B4"/>
    <w:rsid w:val="00D379C1"/>
    <w:rsid w:val="00D41167"/>
    <w:rsid w:val="00D414AD"/>
    <w:rsid w:val="00D417B0"/>
    <w:rsid w:val="00D41EBB"/>
    <w:rsid w:val="00D42210"/>
    <w:rsid w:val="00D4405B"/>
    <w:rsid w:val="00D4467E"/>
    <w:rsid w:val="00D4486F"/>
    <w:rsid w:val="00D448A7"/>
    <w:rsid w:val="00D44D7F"/>
    <w:rsid w:val="00D454CD"/>
    <w:rsid w:val="00D45F2A"/>
    <w:rsid w:val="00D46E53"/>
    <w:rsid w:val="00D47A35"/>
    <w:rsid w:val="00D518B1"/>
    <w:rsid w:val="00D51ABF"/>
    <w:rsid w:val="00D52922"/>
    <w:rsid w:val="00D53776"/>
    <w:rsid w:val="00D5398E"/>
    <w:rsid w:val="00D53C1A"/>
    <w:rsid w:val="00D53F49"/>
    <w:rsid w:val="00D5410E"/>
    <w:rsid w:val="00D54552"/>
    <w:rsid w:val="00D54B4D"/>
    <w:rsid w:val="00D54EC9"/>
    <w:rsid w:val="00D54FD7"/>
    <w:rsid w:val="00D559B2"/>
    <w:rsid w:val="00D55A98"/>
    <w:rsid w:val="00D55E8D"/>
    <w:rsid w:val="00D56800"/>
    <w:rsid w:val="00D56B62"/>
    <w:rsid w:val="00D56BB5"/>
    <w:rsid w:val="00D56EEA"/>
    <w:rsid w:val="00D60AF4"/>
    <w:rsid w:val="00D60E2B"/>
    <w:rsid w:val="00D61B2B"/>
    <w:rsid w:val="00D61FBD"/>
    <w:rsid w:val="00D62291"/>
    <w:rsid w:val="00D62AE3"/>
    <w:rsid w:val="00D62DD9"/>
    <w:rsid w:val="00D62E74"/>
    <w:rsid w:val="00D63087"/>
    <w:rsid w:val="00D632BE"/>
    <w:rsid w:val="00D636D0"/>
    <w:rsid w:val="00D639BF"/>
    <w:rsid w:val="00D63EA2"/>
    <w:rsid w:val="00D64576"/>
    <w:rsid w:val="00D6485D"/>
    <w:rsid w:val="00D64A25"/>
    <w:rsid w:val="00D65BAB"/>
    <w:rsid w:val="00D65EDA"/>
    <w:rsid w:val="00D65F45"/>
    <w:rsid w:val="00D66F60"/>
    <w:rsid w:val="00D670F9"/>
    <w:rsid w:val="00D675A6"/>
    <w:rsid w:val="00D704EE"/>
    <w:rsid w:val="00D70AE3"/>
    <w:rsid w:val="00D710DF"/>
    <w:rsid w:val="00D711C3"/>
    <w:rsid w:val="00D7127C"/>
    <w:rsid w:val="00D712BF"/>
    <w:rsid w:val="00D717F2"/>
    <w:rsid w:val="00D71810"/>
    <w:rsid w:val="00D71901"/>
    <w:rsid w:val="00D71D99"/>
    <w:rsid w:val="00D71E29"/>
    <w:rsid w:val="00D722AD"/>
    <w:rsid w:val="00D7246B"/>
    <w:rsid w:val="00D72738"/>
    <w:rsid w:val="00D7293F"/>
    <w:rsid w:val="00D72EDF"/>
    <w:rsid w:val="00D73094"/>
    <w:rsid w:val="00D73222"/>
    <w:rsid w:val="00D73919"/>
    <w:rsid w:val="00D748BC"/>
    <w:rsid w:val="00D74C9C"/>
    <w:rsid w:val="00D750E7"/>
    <w:rsid w:val="00D75775"/>
    <w:rsid w:val="00D75AC7"/>
    <w:rsid w:val="00D75E6F"/>
    <w:rsid w:val="00D760AB"/>
    <w:rsid w:val="00D760D5"/>
    <w:rsid w:val="00D7625D"/>
    <w:rsid w:val="00D76DD1"/>
    <w:rsid w:val="00D770A7"/>
    <w:rsid w:val="00D778AF"/>
    <w:rsid w:val="00D77D0B"/>
    <w:rsid w:val="00D77F04"/>
    <w:rsid w:val="00D804F4"/>
    <w:rsid w:val="00D80B20"/>
    <w:rsid w:val="00D80EFD"/>
    <w:rsid w:val="00D810FA"/>
    <w:rsid w:val="00D811F2"/>
    <w:rsid w:val="00D81833"/>
    <w:rsid w:val="00D820C0"/>
    <w:rsid w:val="00D8264E"/>
    <w:rsid w:val="00D826F2"/>
    <w:rsid w:val="00D827DB"/>
    <w:rsid w:val="00D8353D"/>
    <w:rsid w:val="00D83CCB"/>
    <w:rsid w:val="00D84500"/>
    <w:rsid w:val="00D84D04"/>
    <w:rsid w:val="00D84E82"/>
    <w:rsid w:val="00D85A9C"/>
    <w:rsid w:val="00D85C0F"/>
    <w:rsid w:val="00D862FA"/>
    <w:rsid w:val="00D863A2"/>
    <w:rsid w:val="00D86F04"/>
    <w:rsid w:val="00D87096"/>
    <w:rsid w:val="00D87211"/>
    <w:rsid w:val="00D874B6"/>
    <w:rsid w:val="00D901EA"/>
    <w:rsid w:val="00D909CA"/>
    <w:rsid w:val="00D91058"/>
    <w:rsid w:val="00D915DB"/>
    <w:rsid w:val="00D91651"/>
    <w:rsid w:val="00D91941"/>
    <w:rsid w:val="00D91DBE"/>
    <w:rsid w:val="00D92046"/>
    <w:rsid w:val="00D926AC"/>
    <w:rsid w:val="00D927DA"/>
    <w:rsid w:val="00D93006"/>
    <w:rsid w:val="00D933AC"/>
    <w:rsid w:val="00D938E6"/>
    <w:rsid w:val="00D93DEC"/>
    <w:rsid w:val="00D94431"/>
    <w:rsid w:val="00D94E74"/>
    <w:rsid w:val="00D95368"/>
    <w:rsid w:val="00D953DB"/>
    <w:rsid w:val="00D953DC"/>
    <w:rsid w:val="00D954DB"/>
    <w:rsid w:val="00D95859"/>
    <w:rsid w:val="00D9593A"/>
    <w:rsid w:val="00D95FAD"/>
    <w:rsid w:val="00D960AB"/>
    <w:rsid w:val="00D960F3"/>
    <w:rsid w:val="00D96568"/>
    <w:rsid w:val="00D96D11"/>
    <w:rsid w:val="00D97299"/>
    <w:rsid w:val="00D974BD"/>
    <w:rsid w:val="00D97DB9"/>
    <w:rsid w:val="00DA1217"/>
    <w:rsid w:val="00DA1AD3"/>
    <w:rsid w:val="00DA27C7"/>
    <w:rsid w:val="00DA29DE"/>
    <w:rsid w:val="00DA33FD"/>
    <w:rsid w:val="00DA3DF1"/>
    <w:rsid w:val="00DA42B7"/>
    <w:rsid w:val="00DA4DAF"/>
    <w:rsid w:val="00DA58EF"/>
    <w:rsid w:val="00DA592C"/>
    <w:rsid w:val="00DA5CC3"/>
    <w:rsid w:val="00DA5EF2"/>
    <w:rsid w:val="00DA6A39"/>
    <w:rsid w:val="00DA6C01"/>
    <w:rsid w:val="00DA780C"/>
    <w:rsid w:val="00DA7D73"/>
    <w:rsid w:val="00DA7EE9"/>
    <w:rsid w:val="00DB02C1"/>
    <w:rsid w:val="00DB0665"/>
    <w:rsid w:val="00DB12BD"/>
    <w:rsid w:val="00DB1AED"/>
    <w:rsid w:val="00DB1BCE"/>
    <w:rsid w:val="00DB1D8E"/>
    <w:rsid w:val="00DB35E6"/>
    <w:rsid w:val="00DB47AE"/>
    <w:rsid w:val="00DB4A88"/>
    <w:rsid w:val="00DB5506"/>
    <w:rsid w:val="00DB58C9"/>
    <w:rsid w:val="00DB5CBA"/>
    <w:rsid w:val="00DB612C"/>
    <w:rsid w:val="00DB61E4"/>
    <w:rsid w:val="00DB6931"/>
    <w:rsid w:val="00DB75EA"/>
    <w:rsid w:val="00DB7ACB"/>
    <w:rsid w:val="00DC00A0"/>
    <w:rsid w:val="00DC01C3"/>
    <w:rsid w:val="00DC0609"/>
    <w:rsid w:val="00DC0915"/>
    <w:rsid w:val="00DC0AF8"/>
    <w:rsid w:val="00DC0B25"/>
    <w:rsid w:val="00DC0C55"/>
    <w:rsid w:val="00DC0D01"/>
    <w:rsid w:val="00DC139C"/>
    <w:rsid w:val="00DC142A"/>
    <w:rsid w:val="00DC14D5"/>
    <w:rsid w:val="00DC1CF9"/>
    <w:rsid w:val="00DC1F13"/>
    <w:rsid w:val="00DC2699"/>
    <w:rsid w:val="00DC269A"/>
    <w:rsid w:val="00DC289E"/>
    <w:rsid w:val="00DC2FAC"/>
    <w:rsid w:val="00DC361C"/>
    <w:rsid w:val="00DC36FF"/>
    <w:rsid w:val="00DC3D9F"/>
    <w:rsid w:val="00DC5740"/>
    <w:rsid w:val="00DC6A16"/>
    <w:rsid w:val="00DC7247"/>
    <w:rsid w:val="00DC7428"/>
    <w:rsid w:val="00DC7540"/>
    <w:rsid w:val="00DC76FB"/>
    <w:rsid w:val="00DC7CBD"/>
    <w:rsid w:val="00DD04F8"/>
    <w:rsid w:val="00DD05F7"/>
    <w:rsid w:val="00DD0840"/>
    <w:rsid w:val="00DD0E97"/>
    <w:rsid w:val="00DD1CAC"/>
    <w:rsid w:val="00DD2068"/>
    <w:rsid w:val="00DD25B1"/>
    <w:rsid w:val="00DD2617"/>
    <w:rsid w:val="00DD34C5"/>
    <w:rsid w:val="00DD37DE"/>
    <w:rsid w:val="00DD4950"/>
    <w:rsid w:val="00DD4FB8"/>
    <w:rsid w:val="00DD6259"/>
    <w:rsid w:val="00DE0FBC"/>
    <w:rsid w:val="00DE1552"/>
    <w:rsid w:val="00DE177D"/>
    <w:rsid w:val="00DE27B9"/>
    <w:rsid w:val="00DE2AAC"/>
    <w:rsid w:val="00DE3457"/>
    <w:rsid w:val="00DE394C"/>
    <w:rsid w:val="00DE39FB"/>
    <w:rsid w:val="00DE3A39"/>
    <w:rsid w:val="00DE3F8E"/>
    <w:rsid w:val="00DE4424"/>
    <w:rsid w:val="00DE4B21"/>
    <w:rsid w:val="00DE512E"/>
    <w:rsid w:val="00DE55B8"/>
    <w:rsid w:val="00DE6493"/>
    <w:rsid w:val="00DE666D"/>
    <w:rsid w:val="00DE6765"/>
    <w:rsid w:val="00DE6C2D"/>
    <w:rsid w:val="00DE7BCB"/>
    <w:rsid w:val="00DE7C4A"/>
    <w:rsid w:val="00DE7EE5"/>
    <w:rsid w:val="00DF02F5"/>
    <w:rsid w:val="00DF0F80"/>
    <w:rsid w:val="00DF11AC"/>
    <w:rsid w:val="00DF12A8"/>
    <w:rsid w:val="00DF181B"/>
    <w:rsid w:val="00DF19DA"/>
    <w:rsid w:val="00DF1A0D"/>
    <w:rsid w:val="00DF215A"/>
    <w:rsid w:val="00DF3C87"/>
    <w:rsid w:val="00DF43C8"/>
    <w:rsid w:val="00DF5688"/>
    <w:rsid w:val="00DF67BC"/>
    <w:rsid w:val="00DF6972"/>
    <w:rsid w:val="00DF6EFD"/>
    <w:rsid w:val="00DF70B0"/>
    <w:rsid w:val="00DF75E2"/>
    <w:rsid w:val="00DF770C"/>
    <w:rsid w:val="00DF7E98"/>
    <w:rsid w:val="00DF7FF6"/>
    <w:rsid w:val="00E00145"/>
    <w:rsid w:val="00E004CF"/>
    <w:rsid w:val="00E00757"/>
    <w:rsid w:val="00E010B1"/>
    <w:rsid w:val="00E014DA"/>
    <w:rsid w:val="00E016C9"/>
    <w:rsid w:val="00E016DC"/>
    <w:rsid w:val="00E01CC2"/>
    <w:rsid w:val="00E03110"/>
    <w:rsid w:val="00E031BF"/>
    <w:rsid w:val="00E032CC"/>
    <w:rsid w:val="00E04562"/>
    <w:rsid w:val="00E04708"/>
    <w:rsid w:val="00E04A0E"/>
    <w:rsid w:val="00E04C0E"/>
    <w:rsid w:val="00E051D5"/>
    <w:rsid w:val="00E0580D"/>
    <w:rsid w:val="00E06076"/>
    <w:rsid w:val="00E069D3"/>
    <w:rsid w:val="00E07453"/>
    <w:rsid w:val="00E108F6"/>
    <w:rsid w:val="00E10F24"/>
    <w:rsid w:val="00E1160F"/>
    <w:rsid w:val="00E11803"/>
    <w:rsid w:val="00E118C7"/>
    <w:rsid w:val="00E11A5D"/>
    <w:rsid w:val="00E124CB"/>
    <w:rsid w:val="00E12790"/>
    <w:rsid w:val="00E12BEF"/>
    <w:rsid w:val="00E14DC9"/>
    <w:rsid w:val="00E15356"/>
    <w:rsid w:val="00E158F7"/>
    <w:rsid w:val="00E15CA9"/>
    <w:rsid w:val="00E15EAE"/>
    <w:rsid w:val="00E16B99"/>
    <w:rsid w:val="00E173D7"/>
    <w:rsid w:val="00E174FF"/>
    <w:rsid w:val="00E17D2B"/>
    <w:rsid w:val="00E17D5D"/>
    <w:rsid w:val="00E17FC7"/>
    <w:rsid w:val="00E204D2"/>
    <w:rsid w:val="00E20CD0"/>
    <w:rsid w:val="00E21571"/>
    <w:rsid w:val="00E21DE7"/>
    <w:rsid w:val="00E22004"/>
    <w:rsid w:val="00E22576"/>
    <w:rsid w:val="00E2257A"/>
    <w:rsid w:val="00E233CD"/>
    <w:rsid w:val="00E23CAE"/>
    <w:rsid w:val="00E249C9"/>
    <w:rsid w:val="00E24BBF"/>
    <w:rsid w:val="00E24CAD"/>
    <w:rsid w:val="00E2550B"/>
    <w:rsid w:val="00E25AF7"/>
    <w:rsid w:val="00E2634F"/>
    <w:rsid w:val="00E26E1A"/>
    <w:rsid w:val="00E27041"/>
    <w:rsid w:val="00E27105"/>
    <w:rsid w:val="00E2762D"/>
    <w:rsid w:val="00E27672"/>
    <w:rsid w:val="00E3004B"/>
    <w:rsid w:val="00E30C9B"/>
    <w:rsid w:val="00E31B22"/>
    <w:rsid w:val="00E32225"/>
    <w:rsid w:val="00E325C9"/>
    <w:rsid w:val="00E33AD0"/>
    <w:rsid w:val="00E33B05"/>
    <w:rsid w:val="00E33D83"/>
    <w:rsid w:val="00E3438F"/>
    <w:rsid w:val="00E345CA"/>
    <w:rsid w:val="00E34D16"/>
    <w:rsid w:val="00E35E20"/>
    <w:rsid w:val="00E35EB8"/>
    <w:rsid w:val="00E36AC0"/>
    <w:rsid w:val="00E36C4C"/>
    <w:rsid w:val="00E36F4A"/>
    <w:rsid w:val="00E376A4"/>
    <w:rsid w:val="00E37C4E"/>
    <w:rsid w:val="00E40914"/>
    <w:rsid w:val="00E4196A"/>
    <w:rsid w:val="00E41A8E"/>
    <w:rsid w:val="00E42539"/>
    <w:rsid w:val="00E438B4"/>
    <w:rsid w:val="00E44911"/>
    <w:rsid w:val="00E44EFB"/>
    <w:rsid w:val="00E4519E"/>
    <w:rsid w:val="00E45259"/>
    <w:rsid w:val="00E453AB"/>
    <w:rsid w:val="00E46542"/>
    <w:rsid w:val="00E47289"/>
    <w:rsid w:val="00E47C0C"/>
    <w:rsid w:val="00E47C1D"/>
    <w:rsid w:val="00E47E37"/>
    <w:rsid w:val="00E50303"/>
    <w:rsid w:val="00E50610"/>
    <w:rsid w:val="00E50660"/>
    <w:rsid w:val="00E50671"/>
    <w:rsid w:val="00E5082A"/>
    <w:rsid w:val="00E50BBB"/>
    <w:rsid w:val="00E511A4"/>
    <w:rsid w:val="00E51312"/>
    <w:rsid w:val="00E51A20"/>
    <w:rsid w:val="00E51A87"/>
    <w:rsid w:val="00E51B34"/>
    <w:rsid w:val="00E51D29"/>
    <w:rsid w:val="00E51EA5"/>
    <w:rsid w:val="00E528DF"/>
    <w:rsid w:val="00E529FD"/>
    <w:rsid w:val="00E52A83"/>
    <w:rsid w:val="00E52D46"/>
    <w:rsid w:val="00E52FC7"/>
    <w:rsid w:val="00E53AFF"/>
    <w:rsid w:val="00E53CEA"/>
    <w:rsid w:val="00E53FFD"/>
    <w:rsid w:val="00E540EF"/>
    <w:rsid w:val="00E5411A"/>
    <w:rsid w:val="00E548F0"/>
    <w:rsid w:val="00E54E12"/>
    <w:rsid w:val="00E55546"/>
    <w:rsid w:val="00E55FBC"/>
    <w:rsid w:val="00E56D91"/>
    <w:rsid w:val="00E573B4"/>
    <w:rsid w:val="00E574E2"/>
    <w:rsid w:val="00E579E1"/>
    <w:rsid w:val="00E57C7E"/>
    <w:rsid w:val="00E57EFC"/>
    <w:rsid w:val="00E601E0"/>
    <w:rsid w:val="00E60ACB"/>
    <w:rsid w:val="00E6144B"/>
    <w:rsid w:val="00E614C5"/>
    <w:rsid w:val="00E61E54"/>
    <w:rsid w:val="00E620B9"/>
    <w:rsid w:val="00E62A6F"/>
    <w:rsid w:val="00E62B50"/>
    <w:rsid w:val="00E62F90"/>
    <w:rsid w:val="00E6319B"/>
    <w:rsid w:val="00E637C4"/>
    <w:rsid w:val="00E6399F"/>
    <w:rsid w:val="00E65206"/>
    <w:rsid w:val="00E65216"/>
    <w:rsid w:val="00E65EEF"/>
    <w:rsid w:val="00E664FF"/>
    <w:rsid w:val="00E66A5C"/>
    <w:rsid w:val="00E66E60"/>
    <w:rsid w:val="00E66F08"/>
    <w:rsid w:val="00E66F33"/>
    <w:rsid w:val="00E671BA"/>
    <w:rsid w:val="00E671C3"/>
    <w:rsid w:val="00E67D9D"/>
    <w:rsid w:val="00E71392"/>
    <w:rsid w:val="00E717F6"/>
    <w:rsid w:val="00E71AB5"/>
    <w:rsid w:val="00E71E3A"/>
    <w:rsid w:val="00E71F28"/>
    <w:rsid w:val="00E7237B"/>
    <w:rsid w:val="00E725FA"/>
    <w:rsid w:val="00E72833"/>
    <w:rsid w:val="00E72958"/>
    <w:rsid w:val="00E7355E"/>
    <w:rsid w:val="00E742C5"/>
    <w:rsid w:val="00E74C9F"/>
    <w:rsid w:val="00E75171"/>
    <w:rsid w:val="00E7539F"/>
    <w:rsid w:val="00E755F8"/>
    <w:rsid w:val="00E75D71"/>
    <w:rsid w:val="00E75E53"/>
    <w:rsid w:val="00E75E94"/>
    <w:rsid w:val="00E76FAA"/>
    <w:rsid w:val="00E770CC"/>
    <w:rsid w:val="00E77485"/>
    <w:rsid w:val="00E77C92"/>
    <w:rsid w:val="00E8087D"/>
    <w:rsid w:val="00E809B7"/>
    <w:rsid w:val="00E813E5"/>
    <w:rsid w:val="00E8140D"/>
    <w:rsid w:val="00E81A2A"/>
    <w:rsid w:val="00E82533"/>
    <w:rsid w:val="00E84550"/>
    <w:rsid w:val="00E8460C"/>
    <w:rsid w:val="00E84ED3"/>
    <w:rsid w:val="00E8509F"/>
    <w:rsid w:val="00E852E7"/>
    <w:rsid w:val="00E85B8F"/>
    <w:rsid w:val="00E85D17"/>
    <w:rsid w:val="00E85E38"/>
    <w:rsid w:val="00E866B1"/>
    <w:rsid w:val="00E86726"/>
    <w:rsid w:val="00E867DC"/>
    <w:rsid w:val="00E86BA1"/>
    <w:rsid w:val="00E86BE3"/>
    <w:rsid w:val="00E8748C"/>
    <w:rsid w:val="00E8783F"/>
    <w:rsid w:val="00E90DF5"/>
    <w:rsid w:val="00E91271"/>
    <w:rsid w:val="00E914FF"/>
    <w:rsid w:val="00E919B9"/>
    <w:rsid w:val="00E91D58"/>
    <w:rsid w:val="00E91F6C"/>
    <w:rsid w:val="00E92138"/>
    <w:rsid w:val="00E92D75"/>
    <w:rsid w:val="00E9414F"/>
    <w:rsid w:val="00E94199"/>
    <w:rsid w:val="00E942ED"/>
    <w:rsid w:val="00E943B0"/>
    <w:rsid w:val="00E944A2"/>
    <w:rsid w:val="00E94C03"/>
    <w:rsid w:val="00E94D2E"/>
    <w:rsid w:val="00E95CFB"/>
    <w:rsid w:val="00E96ABB"/>
    <w:rsid w:val="00E972A0"/>
    <w:rsid w:val="00E97310"/>
    <w:rsid w:val="00E9780B"/>
    <w:rsid w:val="00E979A5"/>
    <w:rsid w:val="00E97EDE"/>
    <w:rsid w:val="00EA0080"/>
    <w:rsid w:val="00EA030E"/>
    <w:rsid w:val="00EA1A8E"/>
    <w:rsid w:val="00EA1C40"/>
    <w:rsid w:val="00EA1D16"/>
    <w:rsid w:val="00EA2C45"/>
    <w:rsid w:val="00EA30B5"/>
    <w:rsid w:val="00EA3B9C"/>
    <w:rsid w:val="00EA3BA8"/>
    <w:rsid w:val="00EA3BE1"/>
    <w:rsid w:val="00EA5A74"/>
    <w:rsid w:val="00EA5D47"/>
    <w:rsid w:val="00EA5EF0"/>
    <w:rsid w:val="00EA637A"/>
    <w:rsid w:val="00EA67D5"/>
    <w:rsid w:val="00EA6916"/>
    <w:rsid w:val="00EA787A"/>
    <w:rsid w:val="00EA7C73"/>
    <w:rsid w:val="00EB003F"/>
    <w:rsid w:val="00EB0CAB"/>
    <w:rsid w:val="00EB192B"/>
    <w:rsid w:val="00EB1CD6"/>
    <w:rsid w:val="00EB2011"/>
    <w:rsid w:val="00EB2E21"/>
    <w:rsid w:val="00EB3554"/>
    <w:rsid w:val="00EB36C2"/>
    <w:rsid w:val="00EB3DC9"/>
    <w:rsid w:val="00EB3EE9"/>
    <w:rsid w:val="00EB4155"/>
    <w:rsid w:val="00EB415B"/>
    <w:rsid w:val="00EB42D0"/>
    <w:rsid w:val="00EB49C5"/>
    <w:rsid w:val="00EB4DDE"/>
    <w:rsid w:val="00EB51BA"/>
    <w:rsid w:val="00EB5A96"/>
    <w:rsid w:val="00EB5D02"/>
    <w:rsid w:val="00EB670C"/>
    <w:rsid w:val="00EB6BCA"/>
    <w:rsid w:val="00EB6C20"/>
    <w:rsid w:val="00EB708C"/>
    <w:rsid w:val="00EB7F62"/>
    <w:rsid w:val="00EC0857"/>
    <w:rsid w:val="00EC0957"/>
    <w:rsid w:val="00EC0BC2"/>
    <w:rsid w:val="00EC1B22"/>
    <w:rsid w:val="00EC1C2E"/>
    <w:rsid w:val="00EC1D2D"/>
    <w:rsid w:val="00EC1E6C"/>
    <w:rsid w:val="00EC1F09"/>
    <w:rsid w:val="00EC292C"/>
    <w:rsid w:val="00EC2DB8"/>
    <w:rsid w:val="00EC3433"/>
    <w:rsid w:val="00EC3668"/>
    <w:rsid w:val="00EC390F"/>
    <w:rsid w:val="00EC416C"/>
    <w:rsid w:val="00EC43BE"/>
    <w:rsid w:val="00EC57DD"/>
    <w:rsid w:val="00EC6874"/>
    <w:rsid w:val="00EC6917"/>
    <w:rsid w:val="00EC715D"/>
    <w:rsid w:val="00EC7760"/>
    <w:rsid w:val="00EC7B68"/>
    <w:rsid w:val="00EC7EB5"/>
    <w:rsid w:val="00EC7FE0"/>
    <w:rsid w:val="00ED0D02"/>
    <w:rsid w:val="00ED1A56"/>
    <w:rsid w:val="00ED2866"/>
    <w:rsid w:val="00ED323E"/>
    <w:rsid w:val="00ED33C3"/>
    <w:rsid w:val="00ED3568"/>
    <w:rsid w:val="00ED35C8"/>
    <w:rsid w:val="00ED3887"/>
    <w:rsid w:val="00ED39A8"/>
    <w:rsid w:val="00ED3CBE"/>
    <w:rsid w:val="00ED3FC2"/>
    <w:rsid w:val="00ED41E0"/>
    <w:rsid w:val="00ED42E1"/>
    <w:rsid w:val="00ED49B6"/>
    <w:rsid w:val="00ED4B42"/>
    <w:rsid w:val="00ED553F"/>
    <w:rsid w:val="00ED5722"/>
    <w:rsid w:val="00ED5B2F"/>
    <w:rsid w:val="00ED5CC6"/>
    <w:rsid w:val="00ED5D4B"/>
    <w:rsid w:val="00ED5F8A"/>
    <w:rsid w:val="00ED6086"/>
    <w:rsid w:val="00ED67E3"/>
    <w:rsid w:val="00ED7284"/>
    <w:rsid w:val="00ED7494"/>
    <w:rsid w:val="00EE0473"/>
    <w:rsid w:val="00EE12CF"/>
    <w:rsid w:val="00EE1317"/>
    <w:rsid w:val="00EE16F5"/>
    <w:rsid w:val="00EE1753"/>
    <w:rsid w:val="00EE176B"/>
    <w:rsid w:val="00EE1842"/>
    <w:rsid w:val="00EE1BF1"/>
    <w:rsid w:val="00EE1F65"/>
    <w:rsid w:val="00EE264B"/>
    <w:rsid w:val="00EE3968"/>
    <w:rsid w:val="00EE3F5E"/>
    <w:rsid w:val="00EE47F0"/>
    <w:rsid w:val="00EE4E0B"/>
    <w:rsid w:val="00EE5463"/>
    <w:rsid w:val="00EE59EB"/>
    <w:rsid w:val="00EE6047"/>
    <w:rsid w:val="00EE6816"/>
    <w:rsid w:val="00EE6B53"/>
    <w:rsid w:val="00EE6C92"/>
    <w:rsid w:val="00EE6FD0"/>
    <w:rsid w:val="00EE7096"/>
    <w:rsid w:val="00EE7323"/>
    <w:rsid w:val="00EF0009"/>
    <w:rsid w:val="00EF138D"/>
    <w:rsid w:val="00EF17CF"/>
    <w:rsid w:val="00EF1B5A"/>
    <w:rsid w:val="00EF2024"/>
    <w:rsid w:val="00EF25D9"/>
    <w:rsid w:val="00EF263D"/>
    <w:rsid w:val="00EF2B6B"/>
    <w:rsid w:val="00EF2FE5"/>
    <w:rsid w:val="00EF300E"/>
    <w:rsid w:val="00EF357D"/>
    <w:rsid w:val="00EF3BB8"/>
    <w:rsid w:val="00EF3C8B"/>
    <w:rsid w:val="00EF417A"/>
    <w:rsid w:val="00EF758D"/>
    <w:rsid w:val="00EF7BFE"/>
    <w:rsid w:val="00EF7D24"/>
    <w:rsid w:val="00EF7F52"/>
    <w:rsid w:val="00F00192"/>
    <w:rsid w:val="00F00569"/>
    <w:rsid w:val="00F006D0"/>
    <w:rsid w:val="00F01A56"/>
    <w:rsid w:val="00F01DA7"/>
    <w:rsid w:val="00F02401"/>
    <w:rsid w:val="00F02510"/>
    <w:rsid w:val="00F02812"/>
    <w:rsid w:val="00F02E70"/>
    <w:rsid w:val="00F02F71"/>
    <w:rsid w:val="00F03135"/>
    <w:rsid w:val="00F03784"/>
    <w:rsid w:val="00F03C9E"/>
    <w:rsid w:val="00F03F69"/>
    <w:rsid w:val="00F0404A"/>
    <w:rsid w:val="00F0440E"/>
    <w:rsid w:val="00F04691"/>
    <w:rsid w:val="00F05126"/>
    <w:rsid w:val="00F06470"/>
    <w:rsid w:val="00F07060"/>
    <w:rsid w:val="00F0729C"/>
    <w:rsid w:val="00F07B8B"/>
    <w:rsid w:val="00F07E08"/>
    <w:rsid w:val="00F10440"/>
    <w:rsid w:val="00F104A7"/>
    <w:rsid w:val="00F10B8D"/>
    <w:rsid w:val="00F10BB8"/>
    <w:rsid w:val="00F10CF3"/>
    <w:rsid w:val="00F11282"/>
    <w:rsid w:val="00F11339"/>
    <w:rsid w:val="00F117AC"/>
    <w:rsid w:val="00F11A50"/>
    <w:rsid w:val="00F12305"/>
    <w:rsid w:val="00F12340"/>
    <w:rsid w:val="00F12BB6"/>
    <w:rsid w:val="00F134D6"/>
    <w:rsid w:val="00F13CC8"/>
    <w:rsid w:val="00F14970"/>
    <w:rsid w:val="00F14D44"/>
    <w:rsid w:val="00F15270"/>
    <w:rsid w:val="00F1535D"/>
    <w:rsid w:val="00F15DDC"/>
    <w:rsid w:val="00F16ACE"/>
    <w:rsid w:val="00F17847"/>
    <w:rsid w:val="00F21382"/>
    <w:rsid w:val="00F2187B"/>
    <w:rsid w:val="00F21C46"/>
    <w:rsid w:val="00F22184"/>
    <w:rsid w:val="00F22B37"/>
    <w:rsid w:val="00F231C6"/>
    <w:rsid w:val="00F23466"/>
    <w:rsid w:val="00F23935"/>
    <w:rsid w:val="00F23E30"/>
    <w:rsid w:val="00F242DA"/>
    <w:rsid w:val="00F249E0"/>
    <w:rsid w:val="00F24E17"/>
    <w:rsid w:val="00F24E78"/>
    <w:rsid w:val="00F24E7F"/>
    <w:rsid w:val="00F264D2"/>
    <w:rsid w:val="00F265B7"/>
    <w:rsid w:val="00F26EE5"/>
    <w:rsid w:val="00F271EB"/>
    <w:rsid w:val="00F274AA"/>
    <w:rsid w:val="00F2761B"/>
    <w:rsid w:val="00F277EF"/>
    <w:rsid w:val="00F3031D"/>
    <w:rsid w:val="00F30414"/>
    <w:rsid w:val="00F31556"/>
    <w:rsid w:val="00F32ADE"/>
    <w:rsid w:val="00F32C3C"/>
    <w:rsid w:val="00F32D7E"/>
    <w:rsid w:val="00F332D8"/>
    <w:rsid w:val="00F33515"/>
    <w:rsid w:val="00F33684"/>
    <w:rsid w:val="00F33FB3"/>
    <w:rsid w:val="00F340C7"/>
    <w:rsid w:val="00F34151"/>
    <w:rsid w:val="00F34AC3"/>
    <w:rsid w:val="00F34CE2"/>
    <w:rsid w:val="00F3532E"/>
    <w:rsid w:val="00F35B75"/>
    <w:rsid w:val="00F35F13"/>
    <w:rsid w:val="00F36ECD"/>
    <w:rsid w:val="00F36ED1"/>
    <w:rsid w:val="00F36EEC"/>
    <w:rsid w:val="00F37277"/>
    <w:rsid w:val="00F376C5"/>
    <w:rsid w:val="00F37E39"/>
    <w:rsid w:val="00F40878"/>
    <w:rsid w:val="00F41002"/>
    <w:rsid w:val="00F411EE"/>
    <w:rsid w:val="00F41AA8"/>
    <w:rsid w:val="00F41FC0"/>
    <w:rsid w:val="00F42258"/>
    <w:rsid w:val="00F43107"/>
    <w:rsid w:val="00F43932"/>
    <w:rsid w:val="00F441CB"/>
    <w:rsid w:val="00F44DCF"/>
    <w:rsid w:val="00F44E2E"/>
    <w:rsid w:val="00F457B7"/>
    <w:rsid w:val="00F45B8B"/>
    <w:rsid w:val="00F46C1C"/>
    <w:rsid w:val="00F5034A"/>
    <w:rsid w:val="00F507AD"/>
    <w:rsid w:val="00F50A7C"/>
    <w:rsid w:val="00F50B29"/>
    <w:rsid w:val="00F50BD5"/>
    <w:rsid w:val="00F50FB0"/>
    <w:rsid w:val="00F51780"/>
    <w:rsid w:val="00F52A5B"/>
    <w:rsid w:val="00F5334A"/>
    <w:rsid w:val="00F5380B"/>
    <w:rsid w:val="00F5436E"/>
    <w:rsid w:val="00F54450"/>
    <w:rsid w:val="00F54634"/>
    <w:rsid w:val="00F54854"/>
    <w:rsid w:val="00F55024"/>
    <w:rsid w:val="00F55200"/>
    <w:rsid w:val="00F55826"/>
    <w:rsid w:val="00F55842"/>
    <w:rsid w:val="00F56B78"/>
    <w:rsid w:val="00F56C70"/>
    <w:rsid w:val="00F56D3F"/>
    <w:rsid w:val="00F56EFC"/>
    <w:rsid w:val="00F573CA"/>
    <w:rsid w:val="00F579C7"/>
    <w:rsid w:val="00F60212"/>
    <w:rsid w:val="00F60927"/>
    <w:rsid w:val="00F60969"/>
    <w:rsid w:val="00F60CDD"/>
    <w:rsid w:val="00F623C3"/>
    <w:rsid w:val="00F635C7"/>
    <w:rsid w:val="00F63C1F"/>
    <w:rsid w:val="00F64092"/>
    <w:rsid w:val="00F6421B"/>
    <w:rsid w:val="00F642BC"/>
    <w:rsid w:val="00F646B6"/>
    <w:rsid w:val="00F64835"/>
    <w:rsid w:val="00F64A82"/>
    <w:rsid w:val="00F65901"/>
    <w:rsid w:val="00F66215"/>
    <w:rsid w:val="00F66253"/>
    <w:rsid w:val="00F6634F"/>
    <w:rsid w:val="00F66609"/>
    <w:rsid w:val="00F66922"/>
    <w:rsid w:val="00F67B5A"/>
    <w:rsid w:val="00F67FE8"/>
    <w:rsid w:val="00F70523"/>
    <w:rsid w:val="00F70B5A"/>
    <w:rsid w:val="00F70D95"/>
    <w:rsid w:val="00F70E04"/>
    <w:rsid w:val="00F70F5E"/>
    <w:rsid w:val="00F721BD"/>
    <w:rsid w:val="00F722B7"/>
    <w:rsid w:val="00F7233B"/>
    <w:rsid w:val="00F725BF"/>
    <w:rsid w:val="00F73141"/>
    <w:rsid w:val="00F73F81"/>
    <w:rsid w:val="00F74ABB"/>
    <w:rsid w:val="00F74AC0"/>
    <w:rsid w:val="00F75512"/>
    <w:rsid w:val="00F75C39"/>
    <w:rsid w:val="00F75C58"/>
    <w:rsid w:val="00F75DC7"/>
    <w:rsid w:val="00F76745"/>
    <w:rsid w:val="00F767FE"/>
    <w:rsid w:val="00F7692D"/>
    <w:rsid w:val="00F76D54"/>
    <w:rsid w:val="00F77D23"/>
    <w:rsid w:val="00F80697"/>
    <w:rsid w:val="00F806F6"/>
    <w:rsid w:val="00F81514"/>
    <w:rsid w:val="00F821F1"/>
    <w:rsid w:val="00F82428"/>
    <w:rsid w:val="00F825E6"/>
    <w:rsid w:val="00F83390"/>
    <w:rsid w:val="00F837ED"/>
    <w:rsid w:val="00F83993"/>
    <w:rsid w:val="00F83F43"/>
    <w:rsid w:val="00F84A93"/>
    <w:rsid w:val="00F8505D"/>
    <w:rsid w:val="00F865D1"/>
    <w:rsid w:val="00F87186"/>
    <w:rsid w:val="00F87508"/>
    <w:rsid w:val="00F87D93"/>
    <w:rsid w:val="00F90251"/>
    <w:rsid w:val="00F90706"/>
    <w:rsid w:val="00F91407"/>
    <w:rsid w:val="00F9182A"/>
    <w:rsid w:val="00F91EEF"/>
    <w:rsid w:val="00F92824"/>
    <w:rsid w:val="00F93633"/>
    <w:rsid w:val="00F9435D"/>
    <w:rsid w:val="00F9450F"/>
    <w:rsid w:val="00F9463D"/>
    <w:rsid w:val="00F94C93"/>
    <w:rsid w:val="00F9520E"/>
    <w:rsid w:val="00F95381"/>
    <w:rsid w:val="00F9583C"/>
    <w:rsid w:val="00F95C5E"/>
    <w:rsid w:val="00F9603E"/>
    <w:rsid w:val="00F968BD"/>
    <w:rsid w:val="00F9691A"/>
    <w:rsid w:val="00F96CF0"/>
    <w:rsid w:val="00F96F55"/>
    <w:rsid w:val="00F972AD"/>
    <w:rsid w:val="00F975A4"/>
    <w:rsid w:val="00F9790F"/>
    <w:rsid w:val="00F97DEB"/>
    <w:rsid w:val="00F97F42"/>
    <w:rsid w:val="00FA006B"/>
    <w:rsid w:val="00FA0B51"/>
    <w:rsid w:val="00FA0C1D"/>
    <w:rsid w:val="00FA1520"/>
    <w:rsid w:val="00FA1D05"/>
    <w:rsid w:val="00FA2210"/>
    <w:rsid w:val="00FA22CB"/>
    <w:rsid w:val="00FA2AB5"/>
    <w:rsid w:val="00FA3525"/>
    <w:rsid w:val="00FA3967"/>
    <w:rsid w:val="00FA4157"/>
    <w:rsid w:val="00FA4330"/>
    <w:rsid w:val="00FA4640"/>
    <w:rsid w:val="00FA4957"/>
    <w:rsid w:val="00FA53F9"/>
    <w:rsid w:val="00FA5476"/>
    <w:rsid w:val="00FA5A9D"/>
    <w:rsid w:val="00FA5C2B"/>
    <w:rsid w:val="00FA5C2D"/>
    <w:rsid w:val="00FA693F"/>
    <w:rsid w:val="00FA6B32"/>
    <w:rsid w:val="00FA75F8"/>
    <w:rsid w:val="00FA7A8F"/>
    <w:rsid w:val="00FA7FE7"/>
    <w:rsid w:val="00FB0423"/>
    <w:rsid w:val="00FB0916"/>
    <w:rsid w:val="00FB09C2"/>
    <w:rsid w:val="00FB0A8E"/>
    <w:rsid w:val="00FB1C86"/>
    <w:rsid w:val="00FB204E"/>
    <w:rsid w:val="00FB272E"/>
    <w:rsid w:val="00FB296D"/>
    <w:rsid w:val="00FB3173"/>
    <w:rsid w:val="00FB3745"/>
    <w:rsid w:val="00FB392A"/>
    <w:rsid w:val="00FB3C06"/>
    <w:rsid w:val="00FB3D5D"/>
    <w:rsid w:val="00FB41AE"/>
    <w:rsid w:val="00FB47F3"/>
    <w:rsid w:val="00FB4AFA"/>
    <w:rsid w:val="00FB5025"/>
    <w:rsid w:val="00FB51E2"/>
    <w:rsid w:val="00FB56D2"/>
    <w:rsid w:val="00FB64A1"/>
    <w:rsid w:val="00FB67C3"/>
    <w:rsid w:val="00FB6857"/>
    <w:rsid w:val="00FB6A94"/>
    <w:rsid w:val="00FB6F00"/>
    <w:rsid w:val="00FB7176"/>
    <w:rsid w:val="00FB77D1"/>
    <w:rsid w:val="00FC02EA"/>
    <w:rsid w:val="00FC069E"/>
    <w:rsid w:val="00FC077A"/>
    <w:rsid w:val="00FC0C6C"/>
    <w:rsid w:val="00FC16BD"/>
    <w:rsid w:val="00FC18EA"/>
    <w:rsid w:val="00FC212F"/>
    <w:rsid w:val="00FC2A08"/>
    <w:rsid w:val="00FC2CE6"/>
    <w:rsid w:val="00FC2E47"/>
    <w:rsid w:val="00FC3569"/>
    <w:rsid w:val="00FC38DA"/>
    <w:rsid w:val="00FC3AC9"/>
    <w:rsid w:val="00FC3F5A"/>
    <w:rsid w:val="00FC437E"/>
    <w:rsid w:val="00FC43F0"/>
    <w:rsid w:val="00FC4A16"/>
    <w:rsid w:val="00FC5018"/>
    <w:rsid w:val="00FC5111"/>
    <w:rsid w:val="00FC56DB"/>
    <w:rsid w:val="00FC5825"/>
    <w:rsid w:val="00FC6267"/>
    <w:rsid w:val="00FC6A18"/>
    <w:rsid w:val="00FC6E72"/>
    <w:rsid w:val="00FD0480"/>
    <w:rsid w:val="00FD09E2"/>
    <w:rsid w:val="00FD0E8B"/>
    <w:rsid w:val="00FD142A"/>
    <w:rsid w:val="00FD1A6E"/>
    <w:rsid w:val="00FD1D9D"/>
    <w:rsid w:val="00FD2640"/>
    <w:rsid w:val="00FD2D6B"/>
    <w:rsid w:val="00FD3359"/>
    <w:rsid w:val="00FD3CB6"/>
    <w:rsid w:val="00FD41AD"/>
    <w:rsid w:val="00FD4B45"/>
    <w:rsid w:val="00FD4DB2"/>
    <w:rsid w:val="00FD5613"/>
    <w:rsid w:val="00FD5775"/>
    <w:rsid w:val="00FD58F4"/>
    <w:rsid w:val="00FD5A63"/>
    <w:rsid w:val="00FD5FB7"/>
    <w:rsid w:val="00FD6473"/>
    <w:rsid w:val="00FD651F"/>
    <w:rsid w:val="00FD6A1C"/>
    <w:rsid w:val="00FD6E1F"/>
    <w:rsid w:val="00FD7024"/>
    <w:rsid w:val="00FD7552"/>
    <w:rsid w:val="00FE0186"/>
    <w:rsid w:val="00FE0B90"/>
    <w:rsid w:val="00FE0F97"/>
    <w:rsid w:val="00FE105E"/>
    <w:rsid w:val="00FE18BF"/>
    <w:rsid w:val="00FE1A38"/>
    <w:rsid w:val="00FE1A78"/>
    <w:rsid w:val="00FE1B70"/>
    <w:rsid w:val="00FE1DCC"/>
    <w:rsid w:val="00FE20C8"/>
    <w:rsid w:val="00FE2A03"/>
    <w:rsid w:val="00FE2EB7"/>
    <w:rsid w:val="00FE364C"/>
    <w:rsid w:val="00FE3B0E"/>
    <w:rsid w:val="00FE3EB7"/>
    <w:rsid w:val="00FE46F0"/>
    <w:rsid w:val="00FE4C1E"/>
    <w:rsid w:val="00FE5550"/>
    <w:rsid w:val="00FE5B95"/>
    <w:rsid w:val="00FE66B1"/>
    <w:rsid w:val="00FE704E"/>
    <w:rsid w:val="00FE71EF"/>
    <w:rsid w:val="00FE7336"/>
    <w:rsid w:val="00FF0B0F"/>
    <w:rsid w:val="00FF1812"/>
    <w:rsid w:val="00FF1D10"/>
    <w:rsid w:val="00FF1EA6"/>
    <w:rsid w:val="00FF1EBC"/>
    <w:rsid w:val="00FF1FB6"/>
    <w:rsid w:val="00FF20E7"/>
    <w:rsid w:val="00FF2CE2"/>
    <w:rsid w:val="00FF2F07"/>
    <w:rsid w:val="00FF371D"/>
    <w:rsid w:val="00FF383F"/>
    <w:rsid w:val="00FF39F6"/>
    <w:rsid w:val="00FF3E02"/>
    <w:rsid w:val="00FF4256"/>
    <w:rsid w:val="00FF45BF"/>
    <w:rsid w:val="00FF50F4"/>
    <w:rsid w:val="00FF5EFC"/>
    <w:rsid w:val="00FF626A"/>
    <w:rsid w:val="00FF68FC"/>
    <w:rsid w:val="00FF6A2F"/>
    <w:rsid w:val="00FF73E9"/>
    <w:rsid w:val="00FF7F6F"/>
    <w:rsid w:val="1BA9B94C"/>
    <w:rsid w:val="22E04E7E"/>
    <w:rsid w:val="395D6C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013B2"/>
  <w15:docId w15:val="{242167C7-ABF7-4C13-A11D-241CD973A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lv-LV"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E60"/>
    <w:pPr>
      <w:spacing w:before="120" w:after="120" w:line="240" w:lineRule="auto"/>
    </w:pPr>
    <w:rPr>
      <w:sz w:val="22"/>
    </w:rPr>
  </w:style>
  <w:style w:type="paragraph" w:styleId="Heading1">
    <w:name w:val="heading 1"/>
    <w:basedOn w:val="Normal"/>
    <w:next w:val="Normal"/>
    <w:link w:val="Heading1Char"/>
    <w:uiPriority w:val="9"/>
    <w:qFormat/>
    <w:rsid w:val="00F507AD"/>
    <w:pPr>
      <w:pBdr>
        <w:top w:val="single" w:sz="24" w:space="0" w:color="1F4979"/>
        <w:left w:val="single" w:sz="24" w:space="0" w:color="1F4979"/>
        <w:bottom w:val="single" w:sz="24" w:space="0" w:color="1F4979"/>
        <w:right w:val="single" w:sz="24" w:space="0" w:color="1F4979"/>
      </w:pBdr>
      <w:shd w:val="clear" w:color="auto" w:fill="1F4979"/>
      <w:spacing w:after="0"/>
      <w:outlineLvl w:val="0"/>
    </w:pPr>
    <w:rPr>
      <w:rFonts w:ascii="Calibri" w:hAnsi="Calibri"/>
      <w:b/>
      <w:caps/>
      <w:color w:val="FFFFFF" w:themeColor="background1"/>
      <w:sz w:val="32"/>
      <w:szCs w:val="22"/>
    </w:rPr>
  </w:style>
  <w:style w:type="paragraph" w:styleId="Heading2">
    <w:name w:val="heading 2"/>
    <w:basedOn w:val="Normal"/>
    <w:next w:val="Normal"/>
    <w:link w:val="Heading2Char"/>
    <w:autoRedefine/>
    <w:uiPriority w:val="9"/>
    <w:unhideWhenUsed/>
    <w:qFormat/>
    <w:rsid w:val="00AE5D75"/>
    <w:pPr>
      <w:numPr>
        <w:ilvl w:val="1"/>
        <w:numId w:val="5"/>
      </w:num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ind w:left="0" w:firstLine="0"/>
      <w:jc w:val="both"/>
      <w:outlineLvl w:val="1"/>
    </w:pPr>
    <w:rPr>
      <w:sz w:val="24"/>
    </w:rPr>
  </w:style>
  <w:style w:type="paragraph" w:styleId="Heading3">
    <w:name w:val="heading 3"/>
    <w:basedOn w:val="Normal"/>
    <w:next w:val="Normal"/>
    <w:link w:val="Heading3Char"/>
    <w:autoRedefine/>
    <w:uiPriority w:val="9"/>
    <w:unhideWhenUsed/>
    <w:qFormat/>
    <w:rsid w:val="00CC65CA"/>
    <w:pPr>
      <w:outlineLvl w:val="2"/>
    </w:pPr>
    <w:rPr>
      <w:b/>
      <w:color w:val="002060"/>
    </w:rPr>
  </w:style>
  <w:style w:type="paragraph" w:styleId="Heading4">
    <w:name w:val="heading 4"/>
    <w:basedOn w:val="Normal"/>
    <w:next w:val="Normal"/>
    <w:link w:val="Heading4Char"/>
    <w:autoRedefine/>
    <w:uiPriority w:val="9"/>
    <w:unhideWhenUsed/>
    <w:qFormat/>
    <w:rsid w:val="00F33FB3"/>
    <w:pPr>
      <w:numPr>
        <w:ilvl w:val="3"/>
        <w:numId w:val="2"/>
      </w:numPr>
      <w:tabs>
        <w:tab w:val="left" w:pos="2977"/>
      </w:tabs>
      <w:spacing w:before="200" w:after="0"/>
      <w:outlineLvl w:val="3"/>
    </w:pPr>
    <w:rPr>
      <w:color w:val="1F4979"/>
    </w:rPr>
  </w:style>
  <w:style w:type="paragraph" w:styleId="Heading5">
    <w:name w:val="heading 5"/>
    <w:basedOn w:val="Normal"/>
    <w:next w:val="Normal"/>
    <w:link w:val="Heading5Char"/>
    <w:autoRedefine/>
    <w:uiPriority w:val="9"/>
    <w:unhideWhenUsed/>
    <w:qFormat/>
    <w:rsid w:val="00620C06"/>
    <w:pPr>
      <w:spacing w:before="200" w:after="0"/>
      <w:outlineLvl w:val="4"/>
    </w:pPr>
    <w:rPr>
      <w:i/>
      <w:color w:val="1F4979"/>
    </w:rPr>
  </w:style>
  <w:style w:type="paragraph" w:styleId="Heading6">
    <w:name w:val="heading 6"/>
    <w:basedOn w:val="Normal"/>
    <w:next w:val="Normal"/>
    <w:link w:val="Heading6Char"/>
    <w:uiPriority w:val="9"/>
    <w:unhideWhenUsed/>
    <w:qFormat/>
    <w:rsid w:val="00F507AD"/>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unhideWhenUsed/>
    <w:qFormat/>
    <w:rsid w:val="00F507AD"/>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unhideWhenUsed/>
    <w:qFormat/>
    <w:rsid w:val="00F507AD"/>
    <w:pPr>
      <w:spacing w:before="200" w:after="0"/>
      <w:outlineLvl w:val="7"/>
    </w:pPr>
    <w:rPr>
      <w:caps/>
      <w:spacing w:val="10"/>
      <w:sz w:val="18"/>
      <w:szCs w:val="18"/>
    </w:rPr>
  </w:style>
  <w:style w:type="paragraph" w:styleId="Heading9">
    <w:name w:val="heading 9"/>
    <w:basedOn w:val="Normal"/>
    <w:next w:val="Normal"/>
    <w:link w:val="Heading9Char"/>
    <w:uiPriority w:val="9"/>
    <w:unhideWhenUsed/>
    <w:qFormat/>
    <w:rsid w:val="00F507A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507AD"/>
    <w:rPr>
      <w:rFonts w:ascii="Calibri" w:hAnsi="Calibri"/>
      <w:b/>
      <w:caps/>
      <w:color w:val="FFFFFF" w:themeColor="background1"/>
      <w:sz w:val="32"/>
      <w:szCs w:val="22"/>
      <w:shd w:val="clear" w:color="auto" w:fill="1F4979"/>
    </w:rPr>
  </w:style>
  <w:style w:type="character" w:customStyle="1" w:styleId="Heading2Char">
    <w:name w:val="Heading 2 Char"/>
    <w:basedOn w:val="DefaultParagraphFont"/>
    <w:link w:val="Heading2"/>
    <w:uiPriority w:val="9"/>
    <w:qFormat/>
    <w:rsid w:val="00AE5D75"/>
    <w:rPr>
      <w:sz w:val="24"/>
      <w:shd w:val="clear" w:color="auto" w:fill="D9E2F3" w:themeFill="accent1" w:themeFillTint="33"/>
    </w:rPr>
  </w:style>
  <w:style w:type="paragraph" w:styleId="ListParagraph">
    <w:name w:val="List Paragraph"/>
    <w:aliases w:val="Strip,H&amp;P List Paragraph,2"/>
    <w:basedOn w:val="Normal"/>
    <w:link w:val="ListParagraphChar"/>
    <w:uiPriority w:val="34"/>
    <w:qFormat/>
    <w:rsid w:val="00AC5118"/>
    <w:pPr>
      <w:ind w:left="720"/>
      <w:contextualSpacing/>
    </w:pPr>
  </w:style>
  <w:style w:type="table" w:styleId="TableGrid">
    <w:name w:val="Table Grid"/>
    <w:basedOn w:val="TableNormal"/>
    <w:uiPriority w:val="39"/>
    <w:qFormat/>
    <w:rsid w:val="00580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80DA8"/>
    <w:rPr>
      <w:sz w:val="16"/>
      <w:szCs w:val="16"/>
    </w:rPr>
  </w:style>
  <w:style w:type="paragraph" w:styleId="CommentText">
    <w:name w:val="annotation text"/>
    <w:basedOn w:val="Normal"/>
    <w:link w:val="CommentTextChar"/>
    <w:uiPriority w:val="99"/>
    <w:unhideWhenUsed/>
    <w:qFormat/>
    <w:rsid w:val="00580DA8"/>
    <w:pPr>
      <w:spacing w:after="0"/>
    </w:pPr>
  </w:style>
  <w:style w:type="character" w:customStyle="1" w:styleId="CommentTextChar">
    <w:name w:val="Comment Text Char"/>
    <w:basedOn w:val="DefaultParagraphFont"/>
    <w:link w:val="CommentText"/>
    <w:uiPriority w:val="99"/>
    <w:qFormat/>
    <w:rsid w:val="00580DA8"/>
    <w:rPr>
      <w:sz w:val="20"/>
      <w:szCs w:val="20"/>
    </w:rPr>
  </w:style>
  <w:style w:type="paragraph" w:styleId="BalloonText">
    <w:name w:val="Balloon Text"/>
    <w:basedOn w:val="Normal"/>
    <w:link w:val="BalloonTextChar"/>
    <w:uiPriority w:val="99"/>
    <w:unhideWhenUsed/>
    <w:qFormat/>
    <w:rsid w:val="00580DA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80DA8"/>
    <w:rPr>
      <w:rFonts w:ascii="Segoe UI" w:hAnsi="Segoe UI" w:cs="Segoe UI"/>
      <w:sz w:val="18"/>
      <w:szCs w:val="18"/>
      <w:lang w:val="en-GB"/>
    </w:rPr>
  </w:style>
  <w:style w:type="paragraph" w:customStyle="1" w:styleId="Default">
    <w:name w:val="Default"/>
    <w:qFormat/>
    <w:rsid w:val="00F55826"/>
    <w:pPr>
      <w:autoSpaceDE w:val="0"/>
      <w:autoSpaceDN w:val="0"/>
      <w:adjustRightInd w:val="0"/>
      <w:spacing w:after="0" w:line="240" w:lineRule="auto"/>
    </w:pPr>
    <w:rPr>
      <w:rFonts w:ascii="Arial" w:hAnsi="Arial" w:cs="Arial"/>
      <w:color w:val="000000"/>
      <w:sz w:val="24"/>
      <w:szCs w:val="24"/>
    </w:rPr>
  </w:style>
  <w:style w:type="paragraph" w:styleId="FootnoteText">
    <w:name w:val="footnote text"/>
    <w:aliases w:val="Footnote,Fußnote"/>
    <w:basedOn w:val="Normal"/>
    <w:link w:val="FootnoteTextChar"/>
    <w:uiPriority w:val="99"/>
    <w:unhideWhenUsed/>
    <w:qFormat/>
    <w:rsid w:val="00442FBE"/>
    <w:pPr>
      <w:spacing w:after="0"/>
    </w:pPr>
  </w:style>
  <w:style w:type="character" w:customStyle="1" w:styleId="FootnoteTextChar">
    <w:name w:val="Footnote Text Char"/>
    <w:aliases w:val="Footnote Char,Fußnote Char"/>
    <w:basedOn w:val="DefaultParagraphFont"/>
    <w:link w:val="FootnoteText"/>
    <w:uiPriority w:val="99"/>
    <w:qFormat/>
    <w:rsid w:val="00442FBE"/>
    <w:rPr>
      <w:sz w:val="20"/>
      <w:szCs w:val="20"/>
    </w:rPr>
  </w:style>
  <w:style w:type="character" w:styleId="FootnoteReference">
    <w:name w:val="footnote reference"/>
    <w:aliases w:val="Footnote Reference Number,Odwołanie przypisu,Footnote symbol,Footnote Reference Superscript,Footnote Refernece,ftref,BVI fnr,Footnotes refss,SUPERS,Ref,de nota al pie,-E Fußnotenzeichen,Footnote reference number,Times 10 Point,E,E FNZ"/>
    <w:basedOn w:val="DefaultParagraphFont"/>
    <w:uiPriority w:val="99"/>
    <w:unhideWhenUsed/>
    <w:qFormat/>
    <w:rsid w:val="00442FBE"/>
    <w:rPr>
      <w:vertAlign w:val="superscript"/>
    </w:rPr>
  </w:style>
  <w:style w:type="paragraph" w:styleId="Header">
    <w:name w:val="header"/>
    <w:basedOn w:val="Normal"/>
    <w:link w:val="HeaderChar"/>
    <w:uiPriority w:val="99"/>
    <w:unhideWhenUsed/>
    <w:qFormat/>
    <w:rsid w:val="005C4272"/>
    <w:pPr>
      <w:tabs>
        <w:tab w:val="center" w:pos="4153"/>
        <w:tab w:val="right" w:pos="8306"/>
      </w:tabs>
      <w:spacing w:after="0"/>
    </w:pPr>
  </w:style>
  <w:style w:type="character" w:customStyle="1" w:styleId="HeaderChar">
    <w:name w:val="Header Char"/>
    <w:basedOn w:val="DefaultParagraphFont"/>
    <w:link w:val="Header"/>
    <w:uiPriority w:val="99"/>
    <w:qFormat/>
    <w:rsid w:val="005C4272"/>
    <w:rPr>
      <w:lang w:val="en-GB"/>
    </w:rPr>
  </w:style>
  <w:style w:type="paragraph" w:styleId="Footer">
    <w:name w:val="footer"/>
    <w:basedOn w:val="Normal"/>
    <w:link w:val="FooterChar"/>
    <w:uiPriority w:val="99"/>
    <w:unhideWhenUsed/>
    <w:qFormat/>
    <w:rsid w:val="005C4272"/>
    <w:pPr>
      <w:tabs>
        <w:tab w:val="center" w:pos="4153"/>
        <w:tab w:val="right" w:pos="8306"/>
      </w:tabs>
      <w:spacing w:after="0"/>
    </w:pPr>
  </w:style>
  <w:style w:type="character" w:customStyle="1" w:styleId="FooterChar">
    <w:name w:val="Footer Char"/>
    <w:basedOn w:val="DefaultParagraphFont"/>
    <w:link w:val="Footer"/>
    <w:uiPriority w:val="99"/>
    <w:qFormat/>
    <w:rsid w:val="005C4272"/>
    <w:rPr>
      <w:lang w:val="en-GB"/>
    </w:rPr>
  </w:style>
  <w:style w:type="character" w:customStyle="1" w:styleId="Heading3Char">
    <w:name w:val="Heading 3 Char"/>
    <w:basedOn w:val="DefaultParagraphFont"/>
    <w:link w:val="Heading3"/>
    <w:uiPriority w:val="9"/>
    <w:qFormat/>
    <w:rsid w:val="00CC65CA"/>
    <w:rPr>
      <w:b/>
      <w:color w:val="002060"/>
      <w:sz w:val="22"/>
    </w:rPr>
  </w:style>
  <w:style w:type="paragraph" w:styleId="Caption">
    <w:name w:val="caption"/>
    <w:aliases w:val="Char,Caption1,Char Char Char Char Char Char Char Char Char Char Char Char Char Char Char Char Char Char Char Char Char Char,Char2,Char Char2,Char Char Char Char"/>
    <w:basedOn w:val="Normal"/>
    <w:next w:val="Normal"/>
    <w:link w:val="CaptionChar"/>
    <w:autoRedefine/>
    <w:uiPriority w:val="35"/>
    <w:unhideWhenUsed/>
    <w:qFormat/>
    <w:rsid w:val="00106A22"/>
    <w:pPr>
      <w:keepNext/>
      <w:jc w:val="center"/>
    </w:pPr>
    <w:rPr>
      <w:b/>
      <w:bCs/>
      <w:sz w:val="20"/>
    </w:rPr>
  </w:style>
  <w:style w:type="paragraph" w:styleId="EndnoteText">
    <w:name w:val="endnote text"/>
    <w:basedOn w:val="Normal"/>
    <w:link w:val="EndnoteTextChar"/>
    <w:uiPriority w:val="99"/>
    <w:unhideWhenUsed/>
    <w:qFormat/>
    <w:rsid w:val="005A71CB"/>
    <w:pPr>
      <w:spacing w:after="0"/>
    </w:pPr>
  </w:style>
  <w:style w:type="character" w:customStyle="1" w:styleId="EndnoteTextChar">
    <w:name w:val="Endnote Text Char"/>
    <w:basedOn w:val="DefaultParagraphFont"/>
    <w:link w:val="EndnoteText"/>
    <w:uiPriority w:val="99"/>
    <w:semiHidden/>
    <w:qFormat/>
    <w:rsid w:val="005A71CB"/>
    <w:rPr>
      <w:sz w:val="20"/>
      <w:szCs w:val="20"/>
    </w:rPr>
  </w:style>
  <w:style w:type="character" w:styleId="EndnoteReference">
    <w:name w:val="endnote reference"/>
    <w:basedOn w:val="DefaultParagraphFont"/>
    <w:uiPriority w:val="99"/>
    <w:unhideWhenUsed/>
    <w:qFormat/>
    <w:rsid w:val="005A71CB"/>
    <w:rPr>
      <w:vertAlign w:val="superscript"/>
    </w:rPr>
  </w:style>
  <w:style w:type="character" w:customStyle="1" w:styleId="Heading4Char">
    <w:name w:val="Heading 4 Char"/>
    <w:basedOn w:val="DefaultParagraphFont"/>
    <w:link w:val="Heading4"/>
    <w:uiPriority w:val="9"/>
    <w:qFormat/>
    <w:rsid w:val="00F33FB3"/>
    <w:rPr>
      <w:color w:val="1F4979"/>
      <w:sz w:val="22"/>
    </w:rPr>
  </w:style>
  <w:style w:type="character" w:styleId="Hyperlink">
    <w:name w:val="Hyperlink"/>
    <w:basedOn w:val="DefaultParagraphFont"/>
    <w:uiPriority w:val="99"/>
    <w:unhideWhenUsed/>
    <w:qFormat/>
    <w:rsid w:val="00E51B34"/>
    <w:rPr>
      <w:color w:val="0563C1" w:themeColor="hyperlink"/>
      <w:u w:val="single"/>
    </w:rPr>
  </w:style>
  <w:style w:type="character" w:customStyle="1" w:styleId="Neatrisintapieminana1">
    <w:name w:val="Neatrisināta pieminēšana1"/>
    <w:basedOn w:val="DefaultParagraphFont"/>
    <w:uiPriority w:val="99"/>
    <w:semiHidden/>
    <w:unhideWhenUsed/>
    <w:rsid w:val="00E51B34"/>
    <w:rPr>
      <w:color w:val="808080"/>
      <w:shd w:val="clear" w:color="auto" w:fill="E6E6E6"/>
    </w:rPr>
  </w:style>
  <w:style w:type="paragraph" w:styleId="TOCHeading">
    <w:name w:val="TOC Heading"/>
    <w:basedOn w:val="Heading1"/>
    <w:next w:val="Normal"/>
    <w:uiPriority w:val="39"/>
    <w:unhideWhenUsed/>
    <w:qFormat/>
    <w:rsid w:val="00F507AD"/>
    <w:pPr>
      <w:outlineLvl w:val="9"/>
    </w:pPr>
  </w:style>
  <w:style w:type="paragraph" w:styleId="TOC1">
    <w:name w:val="toc 1"/>
    <w:basedOn w:val="Normal"/>
    <w:next w:val="Normal"/>
    <w:autoRedefine/>
    <w:uiPriority w:val="39"/>
    <w:unhideWhenUsed/>
    <w:qFormat/>
    <w:rsid w:val="00AA65AF"/>
    <w:pPr>
      <w:spacing w:after="100"/>
    </w:pPr>
  </w:style>
  <w:style w:type="paragraph" w:styleId="TOC2">
    <w:name w:val="toc 2"/>
    <w:basedOn w:val="Normal"/>
    <w:next w:val="Normal"/>
    <w:autoRedefine/>
    <w:uiPriority w:val="39"/>
    <w:unhideWhenUsed/>
    <w:qFormat/>
    <w:rsid w:val="00AA65AF"/>
    <w:pPr>
      <w:spacing w:after="100"/>
      <w:ind w:left="220"/>
    </w:pPr>
  </w:style>
  <w:style w:type="paragraph" w:styleId="TOC3">
    <w:name w:val="toc 3"/>
    <w:basedOn w:val="Normal"/>
    <w:next w:val="Normal"/>
    <w:autoRedefine/>
    <w:uiPriority w:val="39"/>
    <w:unhideWhenUsed/>
    <w:qFormat/>
    <w:rsid w:val="00AA65AF"/>
    <w:pPr>
      <w:spacing w:after="100"/>
      <w:ind w:left="440"/>
    </w:pPr>
  </w:style>
  <w:style w:type="paragraph" w:styleId="CommentSubject">
    <w:name w:val="annotation subject"/>
    <w:basedOn w:val="CommentText"/>
    <w:next w:val="CommentText"/>
    <w:link w:val="CommentSubjectChar"/>
    <w:uiPriority w:val="99"/>
    <w:unhideWhenUsed/>
    <w:qFormat/>
    <w:rsid w:val="00FD6A1C"/>
    <w:pPr>
      <w:spacing w:after="120"/>
    </w:pPr>
    <w:rPr>
      <w:b/>
      <w:bCs/>
    </w:rPr>
  </w:style>
  <w:style w:type="character" w:customStyle="1" w:styleId="CommentSubjectChar">
    <w:name w:val="Comment Subject Char"/>
    <w:basedOn w:val="CommentTextChar"/>
    <w:link w:val="CommentSubject"/>
    <w:uiPriority w:val="99"/>
    <w:semiHidden/>
    <w:qFormat/>
    <w:rsid w:val="00FD6A1C"/>
    <w:rPr>
      <w:b/>
      <w:bCs/>
      <w:sz w:val="20"/>
      <w:szCs w:val="20"/>
    </w:rPr>
  </w:style>
  <w:style w:type="character" w:customStyle="1" w:styleId="Heading5Char">
    <w:name w:val="Heading 5 Char"/>
    <w:basedOn w:val="DefaultParagraphFont"/>
    <w:link w:val="Heading5"/>
    <w:uiPriority w:val="9"/>
    <w:qFormat/>
    <w:rsid w:val="00620C06"/>
    <w:rPr>
      <w:i/>
      <w:color w:val="1F4979"/>
      <w:sz w:val="22"/>
    </w:rPr>
  </w:style>
  <w:style w:type="character" w:customStyle="1" w:styleId="Heading6Char">
    <w:name w:val="Heading 6 Char"/>
    <w:basedOn w:val="DefaultParagraphFont"/>
    <w:link w:val="Heading6"/>
    <w:uiPriority w:val="9"/>
    <w:semiHidden/>
    <w:qFormat/>
    <w:rsid w:val="00F507AD"/>
    <w:rPr>
      <w:caps/>
      <w:color w:val="2F5496" w:themeColor="accent1" w:themeShade="BF"/>
      <w:spacing w:val="10"/>
    </w:rPr>
  </w:style>
  <w:style w:type="character" w:customStyle="1" w:styleId="Heading7Char">
    <w:name w:val="Heading 7 Char"/>
    <w:basedOn w:val="DefaultParagraphFont"/>
    <w:link w:val="Heading7"/>
    <w:uiPriority w:val="9"/>
    <w:semiHidden/>
    <w:qFormat/>
    <w:rsid w:val="00F507AD"/>
    <w:rPr>
      <w:caps/>
      <w:color w:val="2F5496" w:themeColor="accent1" w:themeShade="BF"/>
      <w:spacing w:val="10"/>
    </w:rPr>
  </w:style>
  <w:style w:type="character" w:customStyle="1" w:styleId="Heading8Char">
    <w:name w:val="Heading 8 Char"/>
    <w:basedOn w:val="DefaultParagraphFont"/>
    <w:link w:val="Heading8"/>
    <w:uiPriority w:val="9"/>
    <w:semiHidden/>
    <w:qFormat/>
    <w:rsid w:val="00F507AD"/>
    <w:rPr>
      <w:caps/>
      <w:spacing w:val="10"/>
      <w:sz w:val="18"/>
      <w:szCs w:val="18"/>
    </w:rPr>
  </w:style>
  <w:style w:type="character" w:customStyle="1" w:styleId="Heading9Char">
    <w:name w:val="Heading 9 Char"/>
    <w:basedOn w:val="DefaultParagraphFont"/>
    <w:link w:val="Heading9"/>
    <w:uiPriority w:val="9"/>
    <w:semiHidden/>
    <w:qFormat/>
    <w:rsid w:val="00F507AD"/>
    <w:rPr>
      <w:i/>
      <w:iCs/>
      <w:caps/>
      <w:spacing w:val="10"/>
      <w:sz w:val="18"/>
      <w:szCs w:val="18"/>
    </w:rPr>
  </w:style>
  <w:style w:type="paragraph" w:styleId="Title">
    <w:name w:val="Title"/>
    <w:basedOn w:val="Normal"/>
    <w:next w:val="Normal"/>
    <w:link w:val="TitleChar"/>
    <w:uiPriority w:val="10"/>
    <w:qFormat/>
    <w:rsid w:val="00F507A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qFormat/>
    <w:rsid w:val="00F507AD"/>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F507AD"/>
    <w:pPr>
      <w:spacing w:before="0" w:after="500"/>
    </w:pPr>
    <w:rPr>
      <w:caps/>
      <w:color w:val="595959" w:themeColor="text1" w:themeTint="A6"/>
      <w:spacing w:val="10"/>
      <w:sz w:val="21"/>
      <w:szCs w:val="21"/>
    </w:rPr>
  </w:style>
  <w:style w:type="character" w:customStyle="1" w:styleId="SubtitleChar">
    <w:name w:val="Subtitle Char"/>
    <w:basedOn w:val="DefaultParagraphFont"/>
    <w:link w:val="Subtitle"/>
    <w:uiPriority w:val="11"/>
    <w:qFormat/>
    <w:rsid w:val="00F507AD"/>
    <w:rPr>
      <w:caps/>
      <w:color w:val="595959" w:themeColor="text1" w:themeTint="A6"/>
      <w:spacing w:val="10"/>
      <w:sz w:val="21"/>
      <w:szCs w:val="21"/>
    </w:rPr>
  </w:style>
  <w:style w:type="character" w:styleId="Strong">
    <w:name w:val="Strong"/>
    <w:uiPriority w:val="22"/>
    <w:qFormat/>
    <w:rsid w:val="00F507AD"/>
    <w:rPr>
      <w:b/>
      <w:bCs/>
    </w:rPr>
  </w:style>
  <w:style w:type="character" w:styleId="Emphasis">
    <w:name w:val="Emphasis"/>
    <w:uiPriority w:val="20"/>
    <w:qFormat/>
    <w:rsid w:val="00F507AD"/>
    <w:rPr>
      <w:caps/>
      <w:color w:val="1F3763" w:themeColor="accent1" w:themeShade="7F"/>
      <w:spacing w:val="5"/>
    </w:rPr>
  </w:style>
  <w:style w:type="paragraph" w:styleId="NoSpacing">
    <w:name w:val="No Spacing"/>
    <w:link w:val="NoSpacingChar"/>
    <w:uiPriority w:val="1"/>
    <w:qFormat/>
    <w:rsid w:val="00F507AD"/>
    <w:pPr>
      <w:spacing w:after="0" w:line="240" w:lineRule="auto"/>
    </w:pPr>
  </w:style>
  <w:style w:type="paragraph" w:styleId="Quote">
    <w:name w:val="Quote"/>
    <w:basedOn w:val="Normal"/>
    <w:next w:val="Normal"/>
    <w:link w:val="QuoteChar"/>
    <w:uiPriority w:val="29"/>
    <w:qFormat/>
    <w:rsid w:val="00F507AD"/>
    <w:rPr>
      <w:i/>
      <w:iCs/>
      <w:sz w:val="24"/>
      <w:szCs w:val="24"/>
    </w:rPr>
  </w:style>
  <w:style w:type="character" w:customStyle="1" w:styleId="QuoteChar">
    <w:name w:val="Quote Char"/>
    <w:basedOn w:val="DefaultParagraphFont"/>
    <w:link w:val="Quote"/>
    <w:uiPriority w:val="29"/>
    <w:qFormat/>
    <w:rsid w:val="00F507AD"/>
    <w:rPr>
      <w:i/>
      <w:iCs/>
      <w:sz w:val="24"/>
      <w:szCs w:val="24"/>
    </w:rPr>
  </w:style>
  <w:style w:type="paragraph" w:styleId="IntenseQuote">
    <w:name w:val="Intense Quote"/>
    <w:basedOn w:val="Normal"/>
    <w:next w:val="Normal"/>
    <w:link w:val="IntenseQuoteChar"/>
    <w:uiPriority w:val="30"/>
    <w:qFormat/>
    <w:rsid w:val="00F507AD"/>
    <w:pPr>
      <w:spacing w:before="240" w:after="240"/>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F507AD"/>
    <w:rPr>
      <w:color w:val="4472C4" w:themeColor="accent1"/>
      <w:sz w:val="24"/>
      <w:szCs w:val="24"/>
    </w:rPr>
  </w:style>
  <w:style w:type="character" w:styleId="SubtleEmphasis">
    <w:name w:val="Subtle Emphasis"/>
    <w:uiPriority w:val="19"/>
    <w:qFormat/>
    <w:rsid w:val="00F507AD"/>
    <w:rPr>
      <w:i/>
      <w:iCs/>
      <w:color w:val="1F3763" w:themeColor="accent1" w:themeShade="7F"/>
    </w:rPr>
  </w:style>
  <w:style w:type="character" w:styleId="IntenseEmphasis">
    <w:name w:val="Intense Emphasis"/>
    <w:uiPriority w:val="21"/>
    <w:qFormat/>
    <w:rsid w:val="00F507AD"/>
    <w:rPr>
      <w:b/>
      <w:bCs/>
      <w:caps/>
      <w:color w:val="1F3763" w:themeColor="accent1" w:themeShade="7F"/>
      <w:spacing w:val="10"/>
    </w:rPr>
  </w:style>
  <w:style w:type="character" w:styleId="SubtleReference">
    <w:name w:val="Subtle Reference"/>
    <w:uiPriority w:val="31"/>
    <w:qFormat/>
    <w:rsid w:val="00F507AD"/>
    <w:rPr>
      <w:b/>
      <w:bCs/>
      <w:color w:val="4472C4" w:themeColor="accent1"/>
    </w:rPr>
  </w:style>
  <w:style w:type="character" w:styleId="IntenseReference">
    <w:name w:val="Intense Reference"/>
    <w:uiPriority w:val="32"/>
    <w:qFormat/>
    <w:rsid w:val="00F507AD"/>
    <w:rPr>
      <w:b/>
      <w:bCs/>
      <w:i/>
      <w:iCs/>
      <w:caps/>
      <w:color w:val="4472C4" w:themeColor="accent1"/>
    </w:rPr>
  </w:style>
  <w:style w:type="character" w:styleId="BookTitle">
    <w:name w:val="Book Title"/>
    <w:uiPriority w:val="33"/>
    <w:qFormat/>
    <w:rsid w:val="00F507AD"/>
    <w:rPr>
      <w:b/>
      <w:bCs/>
      <w:i/>
      <w:iCs/>
      <w:spacing w:val="0"/>
    </w:rPr>
  </w:style>
  <w:style w:type="numbering" w:customStyle="1" w:styleId="Style1">
    <w:name w:val="Style1"/>
    <w:uiPriority w:val="99"/>
    <w:rsid w:val="000F0757"/>
    <w:pPr>
      <w:numPr>
        <w:numId w:val="1"/>
      </w:numPr>
    </w:pPr>
  </w:style>
  <w:style w:type="paragraph" w:styleId="NormalWeb">
    <w:name w:val="Normal (Web)"/>
    <w:basedOn w:val="Normal"/>
    <w:uiPriority w:val="99"/>
    <w:unhideWhenUsed/>
    <w:qFormat/>
    <w:rsid w:val="00BC3F9A"/>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organization">
    <w:name w:val="organization"/>
    <w:basedOn w:val="DefaultParagraphFont"/>
    <w:qFormat/>
    <w:rsid w:val="00BC3F9A"/>
  </w:style>
  <w:style w:type="paragraph" w:customStyle="1" w:styleId="naisc">
    <w:name w:val="naisc"/>
    <w:basedOn w:val="Normal"/>
    <w:qFormat/>
    <w:rsid w:val="00B81620"/>
    <w:pPr>
      <w:spacing w:before="450" w:after="225"/>
      <w:jc w:val="center"/>
    </w:pPr>
    <w:rPr>
      <w:rFonts w:ascii="Times New Roman" w:eastAsia="Times New Roman" w:hAnsi="Times New Roman" w:cs="Times New Roman"/>
      <w:b/>
      <w:bCs/>
      <w:sz w:val="26"/>
      <w:szCs w:val="26"/>
      <w:lang w:eastAsia="lv-LV"/>
    </w:rPr>
  </w:style>
  <w:style w:type="paragraph" w:customStyle="1" w:styleId="BodySectionSub">
    <w:name w:val="Body Section (Sub)"/>
    <w:next w:val="Normal"/>
    <w:link w:val="BodySectionSubChar"/>
    <w:rsid w:val="00110DE8"/>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lang w:val="en-AU"/>
    </w:rPr>
  </w:style>
  <w:style w:type="character" w:customStyle="1" w:styleId="BodySectionSubChar">
    <w:name w:val="Body Section (Sub) Char"/>
    <w:basedOn w:val="DefaultParagraphFont"/>
    <w:link w:val="BodySectionSub"/>
    <w:qFormat/>
    <w:rsid w:val="00110DE8"/>
    <w:rPr>
      <w:rFonts w:ascii="Times New Roman" w:eastAsia="Times New Roman" w:hAnsi="Times New Roman" w:cs="Times New Roman"/>
      <w:sz w:val="24"/>
      <w:lang w:val="en-AU"/>
    </w:rPr>
  </w:style>
  <w:style w:type="paragraph" w:customStyle="1" w:styleId="DraftHeading2">
    <w:name w:val="Draft Heading 2"/>
    <w:basedOn w:val="Normal"/>
    <w:next w:val="Normal"/>
    <w:rsid w:val="00110DE8"/>
    <w:pPr>
      <w:overflowPunct w:val="0"/>
      <w:autoSpaceDE w:val="0"/>
      <w:autoSpaceDN w:val="0"/>
      <w:adjustRightInd w:val="0"/>
      <w:spacing w:after="0"/>
      <w:textAlignment w:val="baseline"/>
    </w:pPr>
    <w:rPr>
      <w:rFonts w:ascii="Times New Roman" w:eastAsia="Times New Roman" w:hAnsi="Times New Roman" w:cs="Times New Roman"/>
      <w:sz w:val="24"/>
      <w:lang w:val="en-AU"/>
    </w:rPr>
  </w:style>
  <w:style w:type="character" w:customStyle="1" w:styleId="st">
    <w:name w:val="st"/>
    <w:basedOn w:val="DefaultParagraphFont"/>
    <w:qFormat/>
    <w:rsid w:val="00161584"/>
  </w:style>
  <w:style w:type="table" w:styleId="LightShading-Accent1">
    <w:name w:val="Light Shading Accent 1"/>
    <w:basedOn w:val="TableNormal"/>
    <w:uiPriority w:val="60"/>
    <w:unhideWhenUsed/>
    <w:qFormat/>
    <w:rsid w:val="007D5B02"/>
    <w:pPr>
      <w:spacing w:before="0"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
    <w:name w:val="Light Shading"/>
    <w:basedOn w:val="TableNormal"/>
    <w:uiPriority w:val="60"/>
    <w:qFormat/>
    <w:rsid w:val="007D5B02"/>
    <w:pPr>
      <w:spacing w:before="0" w:after="0" w:line="240" w:lineRule="auto"/>
    </w:pPr>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unhideWhenUsed/>
    <w:qFormat/>
    <w:rsid w:val="007D5B02"/>
    <w:pPr>
      <w:spacing w:after="0"/>
      <w:jc w:val="both"/>
    </w:pPr>
    <w:rPr>
      <w:rFonts w:ascii="Calibri" w:eastAsia="Times New Roman" w:hAnsi="Calibri" w:cs="Times New Roman"/>
      <w:szCs w:val="24"/>
    </w:rPr>
  </w:style>
  <w:style w:type="character" w:customStyle="1" w:styleId="ListParagraphChar">
    <w:name w:val="List Paragraph Char"/>
    <w:aliases w:val="Strip Char,H&amp;P List Paragraph Char,2 Char"/>
    <w:link w:val="ListParagraph"/>
    <w:uiPriority w:val="34"/>
    <w:qFormat/>
    <w:locked/>
    <w:rsid w:val="007D5B02"/>
    <w:rPr>
      <w:sz w:val="22"/>
    </w:rPr>
  </w:style>
  <w:style w:type="character" w:customStyle="1" w:styleId="CaptionChar">
    <w:name w:val="Caption Char"/>
    <w:aliases w:val="Char Char,Caption1 Char,Char Char Char Char Char Char Char Char Char Char Char Char Char Char Char Char Char Char Char Char Char Char Char,Char2 Char,Char Char2 Char,Char Char Char Char Char"/>
    <w:basedOn w:val="DefaultParagraphFont"/>
    <w:link w:val="Caption"/>
    <w:uiPriority w:val="35"/>
    <w:qFormat/>
    <w:rsid w:val="00106A22"/>
    <w:rPr>
      <w:b/>
      <w:bCs/>
    </w:rPr>
  </w:style>
  <w:style w:type="paragraph" w:customStyle="1" w:styleId="tv213">
    <w:name w:val="tv213"/>
    <w:basedOn w:val="Normal"/>
    <w:qFormat/>
    <w:rsid w:val="007D5B02"/>
    <w:pPr>
      <w:spacing w:before="100" w:beforeAutospacing="1" w:after="100" w:afterAutospacing="1"/>
    </w:pPr>
    <w:rPr>
      <w:rFonts w:ascii="Calibri" w:eastAsia="Times New Roman" w:hAnsi="Calibri" w:cs="Times New Roman"/>
      <w:szCs w:val="24"/>
      <w:lang w:eastAsia="lv-LV"/>
    </w:rPr>
  </w:style>
  <w:style w:type="character" w:customStyle="1" w:styleId="UnresolvedMention1">
    <w:name w:val="Unresolved Mention1"/>
    <w:basedOn w:val="DefaultParagraphFont"/>
    <w:uiPriority w:val="99"/>
    <w:unhideWhenUsed/>
    <w:qFormat/>
    <w:rsid w:val="00AE74E0"/>
    <w:rPr>
      <w:color w:val="808080"/>
      <w:shd w:val="clear" w:color="auto" w:fill="E6E6E6"/>
    </w:rPr>
  </w:style>
  <w:style w:type="paragraph" w:styleId="TOC4">
    <w:name w:val="toc 4"/>
    <w:basedOn w:val="Normal"/>
    <w:next w:val="Normal"/>
    <w:autoRedefine/>
    <w:uiPriority w:val="39"/>
    <w:unhideWhenUsed/>
    <w:qFormat/>
    <w:rsid w:val="00A7577B"/>
    <w:pPr>
      <w:spacing w:before="0" w:after="100" w:line="259" w:lineRule="auto"/>
      <w:ind w:left="660"/>
    </w:pPr>
    <w:rPr>
      <w:szCs w:val="22"/>
      <w:lang w:eastAsia="lv-LV"/>
    </w:rPr>
  </w:style>
  <w:style w:type="paragraph" w:styleId="TOC5">
    <w:name w:val="toc 5"/>
    <w:basedOn w:val="Normal"/>
    <w:next w:val="Normal"/>
    <w:autoRedefine/>
    <w:uiPriority w:val="39"/>
    <w:unhideWhenUsed/>
    <w:qFormat/>
    <w:rsid w:val="00A7577B"/>
    <w:pPr>
      <w:spacing w:before="0" w:after="100" w:line="259" w:lineRule="auto"/>
      <w:ind w:left="880"/>
    </w:pPr>
    <w:rPr>
      <w:szCs w:val="22"/>
      <w:lang w:eastAsia="lv-LV"/>
    </w:rPr>
  </w:style>
  <w:style w:type="paragraph" w:styleId="TOC6">
    <w:name w:val="toc 6"/>
    <w:basedOn w:val="Normal"/>
    <w:next w:val="Normal"/>
    <w:autoRedefine/>
    <w:uiPriority w:val="39"/>
    <w:unhideWhenUsed/>
    <w:qFormat/>
    <w:rsid w:val="00A7577B"/>
    <w:pPr>
      <w:spacing w:before="0" w:after="100" w:line="259" w:lineRule="auto"/>
      <w:ind w:left="1100"/>
    </w:pPr>
    <w:rPr>
      <w:szCs w:val="22"/>
      <w:lang w:eastAsia="lv-LV"/>
    </w:rPr>
  </w:style>
  <w:style w:type="paragraph" w:styleId="TOC7">
    <w:name w:val="toc 7"/>
    <w:basedOn w:val="Normal"/>
    <w:next w:val="Normal"/>
    <w:autoRedefine/>
    <w:uiPriority w:val="39"/>
    <w:unhideWhenUsed/>
    <w:qFormat/>
    <w:rsid w:val="00A7577B"/>
    <w:pPr>
      <w:spacing w:before="0" w:after="100" w:line="259" w:lineRule="auto"/>
      <w:ind w:left="1320"/>
    </w:pPr>
    <w:rPr>
      <w:szCs w:val="22"/>
      <w:lang w:eastAsia="lv-LV"/>
    </w:rPr>
  </w:style>
  <w:style w:type="paragraph" w:styleId="TOC8">
    <w:name w:val="toc 8"/>
    <w:basedOn w:val="Normal"/>
    <w:next w:val="Normal"/>
    <w:autoRedefine/>
    <w:uiPriority w:val="39"/>
    <w:unhideWhenUsed/>
    <w:qFormat/>
    <w:rsid w:val="00A7577B"/>
    <w:pPr>
      <w:spacing w:before="0" w:after="100" w:line="259" w:lineRule="auto"/>
      <w:ind w:left="1540"/>
    </w:pPr>
    <w:rPr>
      <w:szCs w:val="22"/>
      <w:lang w:eastAsia="lv-LV"/>
    </w:rPr>
  </w:style>
  <w:style w:type="paragraph" w:styleId="TOC9">
    <w:name w:val="toc 9"/>
    <w:basedOn w:val="Normal"/>
    <w:next w:val="Normal"/>
    <w:autoRedefine/>
    <w:uiPriority w:val="39"/>
    <w:unhideWhenUsed/>
    <w:qFormat/>
    <w:rsid w:val="00A7577B"/>
    <w:pPr>
      <w:spacing w:before="0" w:after="100" w:line="259" w:lineRule="auto"/>
      <w:ind w:left="1760"/>
    </w:pPr>
    <w:rPr>
      <w:szCs w:val="22"/>
      <w:lang w:eastAsia="lv-LV"/>
    </w:rPr>
  </w:style>
  <w:style w:type="paragraph" w:customStyle="1" w:styleId="ListParagraph1">
    <w:name w:val="List Paragraph1"/>
    <w:basedOn w:val="Normal"/>
    <w:uiPriority w:val="34"/>
    <w:qFormat/>
    <w:rsid w:val="00711AAE"/>
    <w:pPr>
      <w:ind w:left="720"/>
      <w:contextualSpacing/>
    </w:pPr>
  </w:style>
  <w:style w:type="paragraph" w:customStyle="1" w:styleId="TOCHeading1">
    <w:name w:val="TOC Heading1"/>
    <w:basedOn w:val="Heading1"/>
    <w:next w:val="Normal"/>
    <w:uiPriority w:val="39"/>
    <w:unhideWhenUsed/>
    <w:qFormat/>
    <w:rsid w:val="00711AAE"/>
    <w:pPr>
      <w:outlineLvl w:val="9"/>
    </w:pPr>
  </w:style>
  <w:style w:type="paragraph" w:customStyle="1" w:styleId="NoSpacing1">
    <w:name w:val="No Spacing1"/>
    <w:uiPriority w:val="1"/>
    <w:qFormat/>
    <w:rsid w:val="00711AAE"/>
    <w:pPr>
      <w:spacing w:after="0" w:line="240" w:lineRule="auto"/>
    </w:pPr>
  </w:style>
  <w:style w:type="paragraph" w:customStyle="1" w:styleId="Quote1">
    <w:name w:val="Quote1"/>
    <w:basedOn w:val="Normal"/>
    <w:next w:val="Normal"/>
    <w:uiPriority w:val="29"/>
    <w:qFormat/>
    <w:rsid w:val="00711AAE"/>
    <w:rPr>
      <w:i/>
      <w:iCs/>
      <w:sz w:val="24"/>
      <w:szCs w:val="24"/>
    </w:rPr>
  </w:style>
  <w:style w:type="paragraph" w:customStyle="1" w:styleId="IntenseQuote1">
    <w:name w:val="Intense Quote1"/>
    <w:basedOn w:val="Normal"/>
    <w:next w:val="Normal"/>
    <w:uiPriority w:val="30"/>
    <w:qFormat/>
    <w:rsid w:val="00711AAE"/>
    <w:pPr>
      <w:spacing w:before="240" w:after="240"/>
      <w:ind w:left="1080" w:right="1080"/>
      <w:jc w:val="center"/>
    </w:pPr>
    <w:rPr>
      <w:color w:val="4472C4" w:themeColor="accent1"/>
      <w:sz w:val="24"/>
      <w:szCs w:val="24"/>
    </w:rPr>
  </w:style>
  <w:style w:type="character" w:customStyle="1" w:styleId="SubtleEmphasis1">
    <w:name w:val="Subtle Emphasis1"/>
    <w:uiPriority w:val="19"/>
    <w:qFormat/>
    <w:rsid w:val="00711AAE"/>
    <w:rPr>
      <w:i/>
      <w:iCs/>
      <w:color w:val="1F3864" w:themeColor="accent1" w:themeShade="80"/>
    </w:rPr>
  </w:style>
  <w:style w:type="character" w:customStyle="1" w:styleId="IntenseEmphasis1">
    <w:name w:val="Intense Emphasis1"/>
    <w:uiPriority w:val="21"/>
    <w:qFormat/>
    <w:rsid w:val="00711AAE"/>
    <w:rPr>
      <w:b/>
      <w:bCs/>
      <w:caps/>
      <w:color w:val="1F3864" w:themeColor="accent1" w:themeShade="80"/>
      <w:spacing w:val="10"/>
    </w:rPr>
  </w:style>
  <w:style w:type="character" w:customStyle="1" w:styleId="SubtleReference1">
    <w:name w:val="Subtle Reference1"/>
    <w:uiPriority w:val="31"/>
    <w:qFormat/>
    <w:rsid w:val="00711AAE"/>
    <w:rPr>
      <w:b/>
      <w:bCs/>
      <w:color w:val="4472C4" w:themeColor="accent1"/>
    </w:rPr>
  </w:style>
  <w:style w:type="character" w:customStyle="1" w:styleId="IntenseReference1">
    <w:name w:val="Intense Reference1"/>
    <w:uiPriority w:val="32"/>
    <w:qFormat/>
    <w:rsid w:val="00711AAE"/>
    <w:rPr>
      <w:b/>
      <w:bCs/>
      <w:i/>
      <w:iCs/>
      <w:caps/>
      <w:color w:val="4472C4" w:themeColor="accent1"/>
    </w:rPr>
  </w:style>
  <w:style w:type="character" w:customStyle="1" w:styleId="BookTitle1">
    <w:name w:val="Book Title1"/>
    <w:uiPriority w:val="33"/>
    <w:qFormat/>
    <w:rsid w:val="00711AAE"/>
    <w:rPr>
      <w:b/>
      <w:bCs/>
      <w:i/>
      <w:iCs/>
      <w:spacing w:val="0"/>
    </w:rPr>
  </w:style>
  <w:style w:type="paragraph" w:customStyle="1" w:styleId="Revision1">
    <w:name w:val="Revision1"/>
    <w:hidden/>
    <w:uiPriority w:val="99"/>
    <w:semiHidden/>
    <w:qFormat/>
    <w:rsid w:val="00711AAE"/>
    <w:pPr>
      <w:spacing w:before="0" w:after="0" w:line="240" w:lineRule="auto"/>
    </w:pPr>
    <w:rPr>
      <w:sz w:val="22"/>
    </w:rPr>
  </w:style>
  <w:style w:type="character" w:styleId="HTMLCite">
    <w:name w:val="HTML Cite"/>
    <w:basedOn w:val="DefaultParagraphFont"/>
    <w:uiPriority w:val="99"/>
    <w:semiHidden/>
    <w:unhideWhenUsed/>
    <w:rsid w:val="00B13A11"/>
    <w:rPr>
      <w:i/>
      <w:iCs/>
    </w:rPr>
  </w:style>
  <w:style w:type="character" w:customStyle="1" w:styleId="UnresolvedMention2">
    <w:name w:val="Unresolved Mention2"/>
    <w:basedOn w:val="DefaultParagraphFont"/>
    <w:uiPriority w:val="99"/>
    <w:semiHidden/>
    <w:unhideWhenUsed/>
    <w:rsid w:val="00EB0CAB"/>
    <w:rPr>
      <w:color w:val="605E5C"/>
      <w:shd w:val="clear" w:color="auto" w:fill="E1DFDD"/>
    </w:rPr>
  </w:style>
  <w:style w:type="paragraph" w:styleId="Revision">
    <w:name w:val="Revision"/>
    <w:hidden/>
    <w:uiPriority w:val="99"/>
    <w:semiHidden/>
    <w:rsid w:val="00093C59"/>
    <w:pPr>
      <w:spacing w:before="0" w:after="0" w:line="240" w:lineRule="auto"/>
    </w:pPr>
    <w:rPr>
      <w:sz w:val="22"/>
    </w:rPr>
  </w:style>
  <w:style w:type="character" w:customStyle="1" w:styleId="UnresolvedMention3">
    <w:name w:val="Unresolved Mention3"/>
    <w:basedOn w:val="DefaultParagraphFont"/>
    <w:uiPriority w:val="99"/>
    <w:semiHidden/>
    <w:unhideWhenUsed/>
    <w:rsid w:val="00F30414"/>
    <w:rPr>
      <w:color w:val="605E5C"/>
      <w:shd w:val="clear" w:color="auto" w:fill="E1DFDD"/>
    </w:rPr>
  </w:style>
  <w:style w:type="character" w:customStyle="1" w:styleId="NoSpacingChar">
    <w:name w:val="No Spacing Char"/>
    <w:basedOn w:val="DefaultParagraphFont"/>
    <w:link w:val="NoSpacing"/>
    <w:uiPriority w:val="1"/>
    <w:rsid w:val="000F3110"/>
  </w:style>
  <w:style w:type="table" w:styleId="GridTable6Colorful-Accent5">
    <w:name w:val="Grid Table 6 Colorful Accent 5"/>
    <w:basedOn w:val="TableNormal"/>
    <w:uiPriority w:val="51"/>
    <w:rsid w:val="00817124"/>
    <w:pPr>
      <w:spacing w:before="0" w:after="0" w:line="240" w:lineRule="auto"/>
    </w:pPr>
    <w:rPr>
      <w:rFonts w:eastAsiaTheme="minorHAnsi"/>
      <w:color w:val="2E74B5" w:themeColor="accent5" w:themeShade="BF"/>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Neatrisintapieminana2">
    <w:name w:val="Neatrisināta pieminēšana2"/>
    <w:basedOn w:val="DefaultParagraphFont"/>
    <w:uiPriority w:val="99"/>
    <w:semiHidden/>
    <w:unhideWhenUsed/>
    <w:rsid w:val="007C1F19"/>
    <w:rPr>
      <w:color w:val="605E5C"/>
      <w:shd w:val="clear" w:color="auto" w:fill="E1DFDD"/>
    </w:rPr>
  </w:style>
  <w:style w:type="table" w:styleId="TableGridLight">
    <w:name w:val="Grid Table Light"/>
    <w:basedOn w:val="TableNormal"/>
    <w:uiPriority w:val="40"/>
    <w:rsid w:val="003C70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C70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8170">
      <w:bodyDiv w:val="1"/>
      <w:marLeft w:val="0"/>
      <w:marRight w:val="0"/>
      <w:marTop w:val="0"/>
      <w:marBottom w:val="0"/>
      <w:divBdr>
        <w:top w:val="none" w:sz="0" w:space="0" w:color="auto"/>
        <w:left w:val="none" w:sz="0" w:space="0" w:color="auto"/>
        <w:bottom w:val="none" w:sz="0" w:space="0" w:color="auto"/>
        <w:right w:val="none" w:sz="0" w:space="0" w:color="auto"/>
      </w:divBdr>
    </w:div>
    <w:div w:id="27529887">
      <w:bodyDiv w:val="1"/>
      <w:marLeft w:val="0"/>
      <w:marRight w:val="0"/>
      <w:marTop w:val="0"/>
      <w:marBottom w:val="0"/>
      <w:divBdr>
        <w:top w:val="none" w:sz="0" w:space="0" w:color="auto"/>
        <w:left w:val="none" w:sz="0" w:space="0" w:color="auto"/>
        <w:bottom w:val="none" w:sz="0" w:space="0" w:color="auto"/>
        <w:right w:val="none" w:sz="0" w:space="0" w:color="auto"/>
      </w:divBdr>
    </w:div>
    <w:div w:id="29183792">
      <w:bodyDiv w:val="1"/>
      <w:marLeft w:val="0"/>
      <w:marRight w:val="0"/>
      <w:marTop w:val="0"/>
      <w:marBottom w:val="0"/>
      <w:divBdr>
        <w:top w:val="none" w:sz="0" w:space="0" w:color="auto"/>
        <w:left w:val="none" w:sz="0" w:space="0" w:color="auto"/>
        <w:bottom w:val="none" w:sz="0" w:space="0" w:color="auto"/>
        <w:right w:val="none" w:sz="0" w:space="0" w:color="auto"/>
      </w:divBdr>
    </w:div>
    <w:div w:id="54478211">
      <w:bodyDiv w:val="1"/>
      <w:marLeft w:val="0"/>
      <w:marRight w:val="0"/>
      <w:marTop w:val="0"/>
      <w:marBottom w:val="0"/>
      <w:divBdr>
        <w:top w:val="none" w:sz="0" w:space="0" w:color="auto"/>
        <w:left w:val="none" w:sz="0" w:space="0" w:color="auto"/>
        <w:bottom w:val="none" w:sz="0" w:space="0" w:color="auto"/>
        <w:right w:val="none" w:sz="0" w:space="0" w:color="auto"/>
      </w:divBdr>
    </w:div>
    <w:div w:id="54548939">
      <w:bodyDiv w:val="1"/>
      <w:marLeft w:val="0"/>
      <w:marRight w:val="0"/>
      <w:marTop w:val="0"/>
      <w:marBottom w:val="0"/>
      <w:divBdr>
        <w:top w:val="none" w:sz="0" w:space="0" w:color="auto"/>
        <w:left w:val="none" w:sz="0" w:space="0" w:color="auto"/>
        <w:bottom w:val="none" w:sz="0" w:space="0" w:color="auto"/>
        <w:right w:val="none" w:sz="0" w:space="0" w:color="auto"/>
      </w:divBdr>
    </w:div>
    <w:div w:id="63651728">
      <w:bodyDiv w:val="1"/>
      <w:marLeft w:val="0"/>
      <w:marRight w:val="0"/>
      <w:marTop w:val="0"/>
      <w:marBottom w:val="0"/>
      <w:divBdr>
        <w:top w:val="none" w:sz="0" w:space="0" w:color="auto"/>
        <w:left w:val="none" w:sz="0" w:space="0" w:color="auto"/>
        <w:bottom w:val="none" w:sz="0" w:space="0" w:color="auto"/>
        <w:right w:val="none" w:sz="0" w:space="0" w:color="auto"/>
      </w:divBdr>
    </w:div>
    <w:div w:id="77794679">
      <w:bodyDiv w:val="1"/>
      <w:marLeft w:val="0"/>
      <w:marRight w:val="0"/>
      <w:marTop w:val="0"/>
      <w:marBottom w:val="0"/>
      <w:divBdr>
        <w:top w:val="none" w:sz="0" w:space="0" w:color="auto"/>
        <w:left w:val="none" w:sz="0" w:space="0" w:color="auto"/>
        <w:bottom w:val="none" w:sz="0" w:space="0" w:color="auto"/>
        <w:right w:val="none" w:sz="0" w:space="0" w:color="auto"/>
      </w:divBdr>
    </w:div>
    <w:div w:id="105318665">
      <w:bodyDiv w:val="1"/>
      <w:marLeft w:val="0"/>
      <w:marRight w:val="0"/>
      <w:marTop w:val="0"/>
      <w:marBottom w:val="0"/>
      <w:divBdr>
        <w:top w:val="none" w:sz="0" w:space="0" w:color="auto"/>
        <w:left w:val="none" w:sz="0" w:space="0" w:color="auto"/>
        <w:bottom w:val="none" w:sz="0" w:space="0" w:color="auto"/>
        <w:right w:val="none" w:sz="0" w:space="0" w:color="auto"/>
      </w:divBdr>
    </w:div>
    <w:div w:id="112944338">
      <w:bodyDiv w:val="1"/>
      <w:marLeft w:val="0"/>
      <w:marRight w:val="0"/>
      <w:marTop w:val="0"/>
      <w:marBottom w:val="0"/>
      <w:divBdr>
        <w:top w:val="none" w:sz="0" w:space="0" w:color="auto"/>
        <w:left w:val="none" w:sz="0" w:space="0" w:color="auto"/>
        <w:bottom w:val="none" w:sz="0" w:space="0" w:color="auto"/>
        <w:right w:val="none" w:sz="0" w:space="0" w:color="auto"/>
      </w:divBdr>
    </w:div>
    <w:div w:id="117261013">
      <w:bodyDiv w:val="1"/>
      <w:marLeft w:val="0"/>
      <w:marRight w:val="0"/>
      <w:marTop w:val="0"/>
      <w:marBottom w:val="0"/>
      <w:divBdr>
        <w:top w:val="none" w:sz="0" w:space="0" w:color="auto"/>
        <w:left w:val="none" w:sz="0" w:space="0" w:color="auto"/>
        <w:bottom w:val="none" w:sz="0" w:space="0" w:color="auto"/>
        <w:right w:val="none" w:sz="0" w:space="0" w:color="auto"/>
      </w:divBdr>
    </w:div>
    <w:div w:id="164832968">
      <w:bodyDiv w:val="1"/>
      <w:marLeft w:val="0"/>
      <w:marRight w:val="0"/>
      <w:marTop w:val="0"/>
      <w:marBottom w:val="0"/>
      <w:divBdr>
        <w:top w:val="none" w:sz="0" w:space="0" w:color="auto"/>
        <w:left w:val="none" w:sz="0" w:space="0" w:color="auto"/>
        <w:bottom w:val="none" w:sz="0" w:space="0" w:color="auto"/>
        <w:right w:val="none" w:sz="0" w:space="0" w:color="auto"/>
      </w:divBdr>
    </w:div>
    <w:div w:id="168254406">
      <w:bodyDiv w:val="1"/>
      <w:marLeft w:val="0"/>
      <w:marRight w:val="0"/>
      <w:marTop w:val="0"/>
      <w:marBottom w:val="0"/>
      <w:divBdr>
        <w:top w:val="none" w:sz="0" w:space="0" w:color="auto"/>
        <w:left w:val="none" w:sz="0" w:space="0" w:color="auto"/>
        <w:bottom w:val="none" w:sz="0" w:space="0" w:color="auto"/>
        <w:right w:val="none" w:sz="0" w:space="0" w:color="auto"/>
      </w:divBdr>
    </w:div>
    <w:div w:id="190340673">
      <w:bodyDiv w:val="1"/>
      <w:marLeft w:val="0"/>
      <w:marRight w:val="0"/>
      <w:marTop w:val="0"/>
      <w:marBottom w:val="0"/>
      <w:divBdr>
        <w:top w:val="none" w:sz="0" w:space="0" w:color="auto"/>
        <w:left w:val="none" w:sz="0" w:space="0" w:color="auto"/>
        <w:bottom w:val="none" w:sz="0" w:space="0" w:color="auto"/>
        <w:right w:val="none" w:sz="0" w:space="0" w:color="auto"/>
      </w:divBdr>
      <w:divsChild>
        <w:div w:id="778835132">
          <w:marLeft w:val="547"/>
          <w:marRight w:val="0"/>
          <w:marTop w:val="0"/>
          <w:marBottom w:val="0"/>
          <w:divBdr>
            <w:top w:val="none" w:sz="0" w:space="0" w:color="auto"/>
            <w:left w:val="none" w:sz="0" w:space="0" w:color="auto"/>
            <w:bottom w:val="none" w:sz="0" w:space="0" w:color="auto"/>
            <w:right w:val="none" w:sz="0" w:space="0" w:color="auto"/>
          </w:divBdr>
        </w:div>
      </w:divsChild>
    </w:div>
    <w:div w:id="202251826">
      <w:bodyDiv w:val="1"/>
      <w:marLeft w:val="0"/>
      <w:marRight w:val="0"/>
      <w:marTop w:val="0"/>
      <w:marBottom w:val="0"/>
      <w:divBdr>
        <w:top w:val="none" w:sz="0" w:space="0" w:color="auto"/>
        <w:left w:val="none" w:sz="0" w:space="0" w:color="auto"/>
        <w:bottom w:val="none" w:sz="0" w:space="0" w:color="auto"/>
        <w:right w:val="none" w:sz="0" w:space="0" w:color="auto"/>
      </w:divBdr>
    </w:div>
    <w:div w:id="219556106">
      <w:bodyDiv w:val="1"/>
      <w:marLeft w:val="0"/>
      <w:marRight w:val="0"/>
      <w:marTop w:val="0"/>
      <w:marBottom w:val="0"/>
      <w:divBdr>
        <w:top w:val="none" w:sz="0" w:space="0" w:color="auto"/>
        <w:left w:val="none" w:sz="0" w:space="0" w:color="auto"/>
        <w:bottom w:val="none" w:sz="0" w:space="0" w:color="auto"/>
        <w:right w:val="none" w:sz="0" w:space="0" w:color="auto"/>
      </w:divBdr>
    </w:div>
    <w:div w:id="224995971">
      <w:bodyDiv w:val="1"/>
      <w:marLeft w:val="0"/>
      <w:marRight w:val="0"/>
      <w:marTop w:val="0"/>
      <w:marBottom w:val="0"/>
      <w:divBdr>
        <w:top w:val="none" w:sz="0" w:space="0" w:color="auto"/>
        <w:left w:val="none" w:sz="0" w:space="0" w:color="auto"/>
        <w:bottom w:val="none" w:sz="0" w:space="0" w:color="auto"/>
        <w:right w:val="none" w:sz="0" w:space="0" w:color="auto"/>
      </w:divBdr>
    </w:div>
    <w:div w:id="238101453">
      <w:bodyDiv w:val="1"/>
      <w:marLeft w:val="0"/>
      <w:marRight w:val="0"/>
      <w:marTop w:val="0"/>
      <w:marBottom w:val="0"/>
      <w:divBdr>
        <w:top w:val="none" w:sz="0" w:space="0" w:color="auto"/>
        <w:left w:val="none" w:sz="0" w:space="0" w:color="auto"/>
        <w:bottom w:val="none" w:sz="0" w:space="0" w:color="auto"/>
        <w:right w:val="none" w:sz="0" w:space="0" w:color="auto"/>
      </w:divBdr>
    </w:div>
    <w:div w:id="252082483">
      <w:bodyDiv w:val="1"/>
      <w:marLeft w:val="0"/>
      <w:marRight w:val="0"/>
      <w:marTop w:val="0"/>
      <w:marBottom w:val="0"/>
      <w:divBdr>
        <w:top w:val="none" w:sz="0" w:space="0" w:color="auto"/>
        <w:left w:val="none" w:sz="0" w:space="0" w:color="auto"/>
        <w:bottom w:val="none" w:sz="0" w:space="0" w:color="auto"/>
        <w:right w:val="none" w:sz="0" w:space="0" w:color="auto"/>
      </w:divBdr>
    </w:div>
    <w:div w:id="272787369">
      <w:bodyDiv w:val="1"/>
      <w:marLeft w:val="0"/>
      <w:marRight w:val="0"/>
      <w:marTop w:val="0"/>
      <w:marBottom w:val="0"/>
      <w:divBdr>
        <w:top w:val="none" w:sz="0" w:space="0" w:color="auto"/>
        <w:left w:val="none" w:sz="0" w:space="0" w:color="auto"/>
        <w:bottom w:val="none" w:sz="0" w:space="0" w:color="auto"/>
        <w:right w:val="none" w:sz="0" w:space="0" w:color="auto"/>
      </w:divBdr>
    </w:div>
    <w:div w:id="287012278">
      <w:bodyDiv w:val="1"/>
      <w:marLeft w:val="0"/>
      <w:marRight w:val="0"/>
      <w:marTop w:val="0"/>
      <w:marBottom w:val="0"/>
      <w:divBdr>
        <w:top w:val="none" w:sz="0" w:space="0" w:color="auto"/>
        <w:left w:val="none" w:sz="0" w:space="0" w:color="auto"/>
        <w:bottom w:val="none" w:sz="0" w:space="0" w:color="auto"/>
        <w:right w:val="none" w:sz="0" w:space="0" w:color="auto"/>
      </w:divBdr>
    </w:div>
    <w:div w:id="287857195">
      <w:bodyDiv w:val="1"/>
      <w:marLeft w:val="0"/>
      <w:marRight w:val="0"/>
      <w:marTop w:val="0"/>
      <w:marBottom w:val="0"/>
      <w:divBdr>
        <w:top w:val="none" w:sz="0" w:space="0" w:color="auto"/>
        <w:left w:val="none" w:sz="0" w:space="0" w:color="auto"/>
        <w:bottom w:val="none" w:sz="0" w:space="0" w:color="auto"/>
        <w:right w:val="none" w:sz="0" w:space="0" w:color="auto"/>
      </w:divBdr>
    </w:div>
    <w:div w:id="304622571">
      <w:bodyDiv w:val="1"/>
      <w:marLeft w:val="0"/>
      <w:marRight w:val="0"/>
      <w:marTop w:val="0"/>
      <w:marBottom w:val="0"/>
      <w:divBdr>
        <w:top w:val="none" w:sz="0" w:space="0" w:color="auto"/>
        <w:left w:val="none" w:sz="0" w:space="0" w:color="auto"/>
        <w:bottom w:val="none" w:sz="0" w:space="0" w:color="auto"/>
        <w:right w:val="none" w:sz="0" w:space="0" w:color="auto"/>
      </w:divBdr>
    </w:div>
    <w:div w:id="311913874">
      <w:bodyDiv w:val="1"/>
      <w:marLeft w:val="0"/>
      <w:marRight w:val="0"/>
      <w:marTop w:val="0"/>
      <w:marBottom w:val="0"/>
      <w:divBdr>
        <w:top w:val="none" w:sz="0" w:space="0" w:color="auto"/>
        <w:left w:val="none" w:sz="0" w:space="0" w:color="auto"/>
        <w:bottom w:val="none" w:sz="0" w:space="0" w:color="auto"/>
        <w:right w:val="none" w:sz="0" w:space="0" w:color="auto"/>
      </w:divBdr>
    </w:div>
    <w:div w:id="322242645">
      <w:bodyDiv w:val="1"/>
      <w:marLeft w:val="0"/>
      <w:marRight w:val="0"/>
      <w:marTop w:val="0"/>
      <w:marBottom w:val="0"/>
      <w:divBdr>
        <w:top w:val="none" w:sz="0" w:space="0" w:color="auto"/>
        <w:left w:val="none" w:sz="0" w:space="0" w:color="auto"/>
        <w:bottom w:val="none" w:sz="0" w:space="0" w:color="auto"/>
        <w:right w:val="none" w:sz="0" w:space="0" w:color="auto"/>
      </w:divBdr>
    </w:div>
    <w:div w:id="327025338">
      <w:bodyDiv w:val="1"/>
      <w:marLeft w:val="0"/>
      <w:marRight w:val="0"/>
      <w:marTop w:val="0"/>
      <w:marBottom w:val="0"/>
      <w:divBdr>
        <w:top w:val="none" w:sz="0" w:space="0" w:color="auto"/>
        <w:left w:val="none" w:sz="0" w:space="0" w:color="auto"/>
        <w:bottom w:val="none" w:sz="0" w:space="0" w:color="auto"/>
        <w:right w:val="none" w:sz="0" w:space="0" w:color="auto"/>
      </w:divBdr>
    </w:div>
    <w:div w:id="332878433">
      <w:bodyDiv w:val="1"/>
      <w:marLeft w:val="0"/>
      <w:marRight w:val="0"/>
      <w:marTop w:val="0"/>
      <w:marBottom w:val="0"/>
      <w:divBdr>
        <w:top w:val="none" w:sz="0" w:space="0" w:color="auto"/>
        <w:left w:val="none" w:sz="0" w:space="0" w:color="auto"/>
        <w:bottom w:val="none" w:sz="0" w:space="0" w:color="auto"/>
        <w:right w:val="none" w:sz="0" w:space="0" w:color="auto"/>
      </w:divBdr>
      <w:divsChild>
        <w:div w:id="632711113">
          <w:marLeft w:val="0"/>
          <w:marRight w:val="0"/>
          <w:marTop w:val="0"/>
          <w:marBottom w:val="0"/>
          <w:divBdr>
            <w:top w:val="none" w:sz="0" w:space="0" w:color="auto"/>
            <w:left w:val="none" w:sz="0" w:space="0" w:color="auto"/>
            <w:bottom w:val="none" w:sz="0" w:space="0" w:color="auto"/>
            <w:right w:val="none" w:sz="0" w:space="0" w:color="auto"/>
          </w:divBdr>
        </w:div>
        <w:div w:id="835191443">
          <w:marLeft w:val="0"/>
          <w:marRight w:val="0"/>
          <w:marTop w:val="0"/>
          <w:marBottom w:val="0"/>
          <w:divBdr>
            <w:top w:val="none" w:sz="0" w:space="0" w:color="auto"/>
            <w:left w:val="none" w:sz="0" w:space="0" w:color="auto"/>
            <w:bottom w:val="none" w:sz="0" w:space="0" w:color="auto"/>
            <w:right w:val="none" w:sz="0" w:space="0" w:color="auto"/>
          </w:divBdr>
        </w:div>
        <w:div w:id="1438713414">
          <w:marLeft w:val="0"/>
          <w:marRight w:val="0"/>
          <w:marTop w:val="0"/>
          <w:marBottom w:val="0"/>
          <w:divBdr>
            <w:top w:val="none" w:sz="0" w:space="0" w:color="auto"/>
            <w:left w:val="none" w:sz="0" w:space="0" w:color="auto"/>
            <w:bottom w:val="none" w:sz="0" w:space="0" w:color="auto"/>
            <w:right w:val="none" w:sz="0" w:space="0" w:color="auto"/>
          </w:divBdr>
        </w:div>
        <w:div w:id="677392270">
          <w:marLeft w:val="0"/>
          <w:marRight w:val="0"/>
          <w:marTop w:val="0"/>
          <w:marBottom w:val="0"/>
          <w:divBdr>
            <w:top w:val="none" w:sz="0" w:space="0" w:color="auto"/>
            <w:left w:val="none" w:sz="0" w:space="0" w:color="auto"/>
            <w:bottom w:val="none" w:sz="0" w:space="0" w:color="auto"/>
            <w:right w:val="none" w:sz="0" w:space="0" w:color="auto"/>
          </w:divBdr>
        </w:div>
        <w:div w:id="2125340757">
          <w:marLeft w:val="0"/>
          <w:marRight w:val="0"/>
          <w:marTop w:val="0"/>
          <w:marBottom w:val="0"/>
          <w:divBdr>
            <w:top w:val="none" w:sz="0" w:space="0" w:color="auto"/>
            <w:left w:val="none" w:sz="0" w:space="0" w:color="auto"/>
            <w:bottom w:val="none" w:sz="0" w:space="0" w:color="auto"/>
            <w:right w:val="none" w:sz="0" w:space="0" w:color="auto"/>
          </w:divBdr>
        </w:div>
        <w:div w:id="1980456477">
          <w:marLeft w:val="0"/>
          <w:marRight w:val="0"/>
          <w:marTop w:val="0"/>
          <w:marBottom w:val="0"/>
          <w:divBdr>
            <w:top w:val="none" w:sz="0" w:space="0" w:color="auto"/>
            <w:left w:val="none" w:sz="0" w:space="0" w:color="auto"/>
            <w:bottom w:val="none" w:sz="0" w:space="0" w:color="auto"/>
            <w:right w:val="none" w:sz="0" w:space="0" w:color="auto"/>
          </w:divBdr>
        </w:div>
        <w:div w:id="384988772">
          <w:marLeft w:val="0"/>
          <w:marRight w:val="0"/>
          <w:marTop w:val="0"/>
          <w:marBottom w:val="0"/>
          <w:divBdr>
            <w:top w:val="none" w:sz="0" w:space="0" w:color="auto"/>
            <w:left w:val="none" w:sz="0" w:space="0" w:color="auto"/>
            <w:bottom w:val="none" w:sz="0" w:space="0" w:color="auto"/>
            <w:right w:val="none" w:sz="0" w:space="0" w:color="auto"/>
          </w:divBdr>
        </w:div>
        <w:div w:id="2124837858">
          <w:marLeft w:val="0"/>
          <w:marRight w:val="0"/>
          <w:marTop w:val="0"/>
          <w:marBottom w:val="0"/>
          <w:divBdr>
            <w:top w:val="none" w:sz="0" w:space="0" w:color="auto"/>
            <w:left w:val="none" w:sz="0" w:space="0" w:color="auto"/>
            <w:bottom w:val="none" w:sz="0" w:space="0" w:color="auto"/>
            <w:right w:val="none" w:sz="0" w:space="0" w:color="auto"/>
          </w:divBdr>
        </w:div>
        <w:div w:id="1271209126">
          <w:marLeft w:val="0"/>
          <w:marRight w:val="0"/>
          <w:marTop w:val="0"/>
          <w:marBottom w:val="0"/>
          <w:divBdr>
            <w:top w:val="none" w:sz="0" w:space="0" w:color="auto"/>
            <w:left w:val="none" w:sz="0" w:space="0" w:color="auto"/>
            <w:bottom w:val="none" w:sz="0" w:space="0" w:color="auto"/>
            <w:right w:val="none" w:sz="0" w:space="0" w:color="auto"/>
          </w:divBdr>
        </w:div>
        <w:div w:id="343170672">
          <w:marLeft w:val="0"/>
          <w:marRight w:val="0"/>
          <w:marTop w:val="0"/>
          <w:marBottom w:val="0"/>
          <w:divBdr>
            <w:top w:val="none" w:sz="0" w:space="0" w:color="auto"/>
            <w:left w:val="none" w:sz="0" w:space="0" w:color="auto"/>
            <w:bottom w:val="none" w:sz="0" w:space="0" w:color="auto"/>
            <w:right w:val="none" w:sz="0" w:space="0" w:color="auto"/>
          </w:divBdr>
        </w:div>
      </w:divsChild>
    </w:div>
    <w:div w:id="333460062">
      <w:bodyDiv w:val="1"/>
      <w:marLeft w:val="0"/>
      <w:marRight w:val="0"/>
      <w:marTop w:val="0"/>
      <w:marBottom w:val="0"/>
      <w:divBdr>
        <w:top w:val="none" w:sz="0" w:space="0" w:color="auto"/>
        <w:left w:val="none" w:sz="0" w:space="0" w:color="auto"/>
        <w:bottom w:val="none" w:sz="0" w:space="0" w:color="auto"/>
        <w:right w:val="none" w:sz="0" w:space="0" w:color="auto"/>
      </w:divBdr>
    </w:div>
    <w:div w:id="339626747">
      <w:bodyDiv w:val="1"/>
      <w:marLeft w:val="0"/>
      <w:marRight w:val="0"/>
      <w:marTop w:val="0"/>
      <w:marBottom w:val="0"/>
      <w:divBdr>
        <w:top w:val="none" w:sz="0" w:space="0" w:color="auto"/>
        <w:left w:val="none" w:sz="0" w:space="0" w:color="auto"/>
        <w:bottom w:val="none" w:sz="0" w:space="0" w:color="auto"/>
        <w:right w:val="none" w:sz="0" w:space="0" w:color="auto"/>
      </w:divBdr>
    </w:div>
    <w:div w:id="340743979">
      <w:bodyDiv w:val="1"/>
      <w:marLeft w:val="0"/>
      <w:marRight w:val="0"/>
      <w:marTop w:val="0"/>
      <w:marBottom w:val="0"/>
      <w:divBdr>
        <w:top w:val="none" w:sz="0" w:space="0" w:color="auto"/>
        <w:left w:val="none" w:sz="0" w:space="0" w:color="auto"/>
        <w:bottom w:val="none" w:sz="0" w:space="0" w:color="auto"/>
        <w:right w:val="none" w:sz="0" w:space="0" w:color="auto"/>
      </w:divBdr>
    </w:div>
    <w:div w:id="368842006">
      <w:bodyDiv w:val="1"/>
      <w:marLeft w:val="0"/>
      <w:marRight w:val="0"/>
      <w:marTop w:val="0"/>
      <w:marBottom w:val="0"/>
      <w:divBdr>
        <w:top w:val="none" w:sz="0" w:space="0" w:color="auto"/>
        <w:left w:val="none" w:sz="0" w:space="0" w:color="auto"/>
        <w:bottom w:val="none" w:sz="0" w:space="0" w:color="auto"/>
        <w:right w:val="none" w:sz="0" w:space="0" w:color="auto"/>
      </w:divBdr>
    </w:div>
    <w:div w:id="373820952">
      <w:bodyDiv w:val="1"/>
      <w:marLeft w:val="0"/>
      <w:marRight w:val="0"/>
      <w:marTop w:val="0"/>
      <w:marBottom w:val="0"/>
      <w:divBdr>
        <w:top w:val="none" w:sz="0" w:space="0" w:color="auto"/>
        <w:left w:val="none" w:sz="0" w:space="0" w:color="auto"/>
        <w:bottom w:val="none" w:sz="0" w:space="0" w:color="auto"/>
        <w:right w:val="none" w:sz="0" w:space="0" w:color="auto"/>
      </w:divBdr>
    </w:div>
    <w:div w:id="379206016">
      <w:bodyDiv w:val="1"/>
      <w:marLeft w:val="0"/>
      <w:marRight w:val="0"/>
      <w:marTop w:val="0"/>
      <w:marBottom w:val="0"/>
      <w:divBdr>
        <w:top w:val="none" w:sz="0" w:space="0" w:color="auto"/>
        <w:left w:val="none" w:sz="0" w:space="0" w:color="auto"/>
        <w:bottom w:val="none" w:sz="0" w:space="0" w:color="auto"/>
        <w:right w:val="none" w:sz="0" w:space="0" w:color="auto"/>
      </w:divBdr>
    </w:div>
    <w:div w:id="385569392">
      <w:bodyDiv w:val="1"/>
      <w:marLeft w:val="0"/>
      <w:marRight w:val="0"/>
      <w:marTop w:val="0"/>
      <w:marBottom w:val="0"/>
      <w:divBdr>
        <w:top w:val="none" w:sz="0" w:space="0" w:color="auto"/>
        <w:left w:val="none" w:sz="0" w:space="0" w:color="auto"/>
        <w:bottom w:val="none" w:sz="0" w:space="0" w:color="auto"/>
        <w:right w:val="none" w:sz="0" w:space="0" w:color="auto"/>
      </w:divBdr>
    </w:div>
    <w:div w:id="389813784">
      <w:bodyDiv w:val="1"/>
      <w:marLeft w:val="0"/>
      <w:marRight w:val="0"/>
      <w:marTop w:val="0"/>
      <w:marBottom w:val="0"/>
      <w:divBdr>
        <w:top w:val="none" w:sz="0" w:space="0" w:color="auto"/>
        <w:left w:val="none" w:sz="0" w:space="0" w:color="auto"/>
        <w:bottom w:val="none" w:sz="0" w:space="0" w:color="auto"/>
        <w:right w:val="none" w:sz="0" w:space="0" w:color="auto"/>
      </w:divBdr>
      <w:divsChild>
        <w:div w:id="399519941">
          <w:marLeft w:val="0"/>
          <w:marRight w:val="0"/>
          <w:marTop w:val="0"/>
          <w:marBottom w:val="0"/>
          <w:divBdr>
            <w:top w:val="none" w:sz="0" w:space="0" w:color="auto"/>
            <w:left w:val="none" w:sz="0" w:space="0" w:color="auto"/>
            <w:bottom w:val="none" w:sz="0" w:space="0" w:color="auto"/>
            <w:right w:val="none" w:sz="0" w:space="0" w:color="auto"/>
          </w:divBdr>
        </w:div>
        <w:div w:id="328753393">
          <w:marLeft w:val="0"/>
          <w:marRight w:val="0"/>
          <w:marTop w:val="0"/>
          <w:marBottom w:val="0"/>
          <w:divBdr>
            <w:top w:val="none" w:sz="0" w:space="0" w:color="auto"/>
            <w:left w:val="none" w:sz="0" w:space="0" w:color="auto"/>
            <w:bottom w:val="none" w:sz="0" w:space="0" w:color="auto"/>
            <w:right w:val="none" w:sz="0" w:space="0" w:color="auto"/>
          </w:divBdr>
        </w:div>
      </w:divsChild>
    </w:div>
    <w:div w:id="390615863">
      <w:bodyDiv w:val="1"/>
      <w:marLeft w:val="0"/>
      <w:marRight w:val="0"/>
      <w:marTop w:val="0"/>
      <w:marBottom w:val="0"/>
      <w:divBdr>
        <w:top w:val="none" w:sz="0" w:space="0" w:color="auto"/>
        <w:left w:val="none" w:sz="0" w:space="0" w:color="auto"/>
        <w:bottom w:val="none" w:sz="0" w:space="0" w:color="auto"/>
        <w:right w:val="none" w:sz="0" w:space="0" w:color="auto"/>
      </w:divBdr>
    </w:div>
    <w:div w:id="395014525">
      <w:bodyDiv w:val="1"/>
      <w:marLeft w:val="0"/>
      <w:marRight w:val="0"/>
      <w:marTop w:val="0"/>
      <w:marBottom w:val="0"/>
      <w:divBdr>
        <w:top w:val="none" w:sz="0" w:space="0" w:color="auto"/>
        <w:left w:val="none" w:sz="0" w:space="0" w:color="auto"/>
        <w:bottom w:val="none" w:sz="0" w:space="0" w:color="auto"/>
        <w:right w:val="none" w:sz="0" w:space="0" w:color="auto"/>
      </w:divBdr>
    </w:div>
    <w:div w:id="397871057">
      <w:bodyDiv w:val="1"/>
      <w:marLeft w:val="0"/>
      <w:marRight w:val="0"/>
      <w:marTop w:val="0"/>
      <w:marBottom w:val="0"/>
      <w:divBdr>
        <w:top w:val="none" w:sz="0" w:space="0" w:color="auto"/>
        <w:left w:val="none" w:sz="0" w:space="0" w:color="auto"/>
        <w:bottom w:val="none" w:sz="0" w:space="0" w:color="auto"/>
        <w:right w:val="none" w:sz="0" w:space="0" w:color="auto"/>
      </w:divBdr>
    </w:div>
    <w:div w:id="437257783">
      <w:bodyDiv w:val="1"/>
      <w:marLeft w:val="0"/>
      <w:marRight w:val="0"/>
      <w:marTop w:val="0"/>
      <w:marBottom w:val="0"/>
      <w:divBdr>
        <w:top w:val="none" w:sz="0" w:space="0" w:color="auto"/>
        <w:left w:val="none" w:sz="0" w:space="0" w:color="auto"/>
        <w:bottom w:val="none" w:sz="0" w:space="0" w:color="auto"/>
        <w:right w:val="none" w:sz="0" w:space="0" w:color="auto"/>
      </w:divBdr>
    </w:div>
    <w:div w:id="449712369">
      <w:bodyDiv w:val="1"/>
      <w:marLeft w:val="0"/>
      <w:marRight w:val="0"/>
      <w:marTop w:val="0"/>
      <w:marBottom w:val="0"/>
      <w:divBdr>
        <w:top w:val="none" w:sz="0" w:space="0" w:color="auto"/>
        <w:left w:val="none" w:sz="0" w:space="0" w:color="auto"/>
        <w:bottom w:val="none" w:sz="0" w:space="0" w:color="auto"/>
        <w:right w:val="none" w:sz="0" w:space="0" w:color="auto"/>
      </w:divBdr>
    </w:div>
    <w:div w:id="465661458">
      <w:bodyDiv w:val="1"/>
      <w:marLeft w:val="0"/>
      <w:marRight w:val="0"/>
      <w:marTop w:val="0"/>
      <w:marBottom w:val="0"/>
      <w:divBdr>
        <w:top w:val="none" w:sz="0" w:space="0" w:color="auto"/>
        <w:left w:val="none" w:sz="0" w:space="0" w:color="auto"/>
        <w:bottom w:val="none" w:sz="0" w:space="0" w:color="auto"/>
        <w:right w:val="none" w:sz="0" w:space="0" w:color="auto"/>
      </w:divBdr>
    </w:div>
    <w:div w:id="480267502">
      <w:bodyDiv w:val="1"/>
      <w:marLeft w:val="0"/>
      <w:marRight w:val="0"/>
      <w:marTop w:val="0"/>
      <w:marBottom w:val="0"/>
      <w:divBdr>
        <w:top w:val="none" w:sz="0" w:space="0" w:color="auto"/>
        <w:left w:val="none" w:sz="0" w:space="0" w:color="auto"/>
        <w:bottom w:val="none" w:sz="0" w:space="0" w:color="auto"/>
        <w:right w:val="none" w:sz="0" w:space="0" w:color="auto"/>
      </w:divBdr>
    </w:div>
    <w:div w:id="498082514">
      <w:bodyDiv w:val="1"/>
      <w:marLeft w:val="0"/>
      <w:marRight w:val="0"/>
      <w:marTop w:val="0"/>
      <w:marBottom w:val="0"/>
      <w:divBdr>
        <w:top w:val="none" w:sz="0" w:space="0" w:color="auto"/>
        <w:left w:val="none" w:sz="0" w:space="0" w:color="auto"/>
        <w:bottom w:val="none" w:sz="0" w:space="0" w:color="auto"/>
        <w:right w:val="none" w:sz="0" w:space="0" w:color="auto"/>
      </w:divBdr>
    </w:div>
    <w:div w:id="516621195">
      <w:bodyDiv w:val="1"/>
      <w:marLeft w:val="0"/>
      <w:marRight w:val="0"/>
      <w:marTop w:val="0"/>
      <w:marBottom w:val="0"/>
      <w:divBdr>
        <w:top w:val="none" w:sz="0" w:space="0" w:color="auto"/>
        <w:left w:val="none" w:sz="0" w:space="0" w:color="auto"/>
        <w:bottom w:val="none" w:sz="0" w:space="0" w:color="auto"/>
        <w:right w:val="none" w:sz="0" w:space="0" w:color="auto"/>
      </w:divBdr>
    </w:div>
    <w:div w:id="520826632">
      <w:bodyDiv w:val="1"/>
      <w:marLeft w:val="0"/>
      <w:marRight w:val="0"/>
      <w:marTop w:val="0"/>
      <w:marBottom w:val="0"/>
      <w:divBdr>
        <w:top w:val="none" w:sz="0" w:space="0" w:color="auto"/>
        <w:left w:val="none" w:sz="0" w:space="0" w:color="auto"/>
        <w:bottom w:val="none" w:sz="0" w:space="0" w:color="auto"/>
        <w:right w:val="none" w:sz="0" w:space="0" w:color="auto"/>
      </w:divBdr>
    </w:div>
    <w:div w:id="525405822">
      <w:bodyDiv w:val="1"/>
      <w:marLeft w:val="0"/>
      <w:marRight w:val="0"/>
      <w:marTop w:val="0"/>
      <w:marBottom w:val="0"/>
      <w:divBdr>
        <w:top w:val="none" w:sz="0" w:space="0" w:color="auto"/>
        <w:left w:val="none" w:sz="0" w:space="0" w:color="auto"/>
        <w:bottom w:val="none" w:sz="0" w:space="0" w:color="auto"/>
        <w:right w:val="none" w:sz="0" w:space="0" w:color="auto"/>
      </w:divBdr>
    </w:div>
    <w:div w:id="543176562">
      <w:bodyDiv w:val="1"/>
      <w:marLeft w:val="0"/>
      <w:marRight w:val="0"/>
      <w:marTop w:val="0"/>
      <w:marBottom w:val="0"/>
      <w:divBdr>
        <w:top w:val="none" w:sz="0" w:space="0" w:color="auto"/>
        <w:left w:val="none" w:sz="0" w:space="0" w:color="auto"/>
        <w:bottom w:val="none" w:sz="0" w:space="0" w:color="auto"/>
        <w:right w:val="none" w:sz="0" w:space="0" w:color="auto"/>
      </w:divBdr>
    </w:div>
    <w:div w:id="548104288">
      <w:bodyDiv w:val="1"/>
      <w:marLeft w:val="0"/>
      <w:marRight w:val="0"/>
      <w:marTop w:val="0"/>
      <w:marBottom w:val="0"/>
      <w:divBdr>
        <w:top w:val="none" w:sz="0" w:space="0" w:color="auto"/>
        <w:left w:val="none" w:sz="0" w:space="0" w:color="auto"/>
        <w:bottom w:val="none" w:sz="0" w:space="0" w:color="auto"/>
        <w:right w:val="none" w:sz="0" w:space="0" w:color="auto"/>
      </w:divBdr>
    </w:div>
    <w:div w:id="548491049">
      <w:bodyDiv w:val="1"/>
      <w:marLeft w:val="0"/>
      <w:marRight w:val="0"/>
      <w:marTop w:val="0"/>
      <w:marBottom w:val="0"/>
      <w:divBdr>
        <w:top w:val="none" w:sz="0" w:space="0" w:color="auto"/>
        <w:left w:val="none" w:sz="0" w:space="0" w:color="auto"/>
        <w:bottom w:val="none" w:sz="0" w:space="0" w:color="auto"/>
        <w:right w:val="none" w:sz="0" w:space="0" w:color="auto"/>
      </w:divBdr>
    </w:div>
    <w:div w:id="558247558">
      <w:bodyDiv w:val="1"/>
      <w:marLeft w:val="0"/>
      <w:marRight w:val="0"/>
      <w:marTop w:val="0"/>
      <w:marBottom w:val="0"/>
      <w:divBdr>
        <w:top w:val="none" w:sz="0" w:space="0" w:color="auto"/>
        <w:left w:val="none" w:sz="0" w:space="0" w:color="auto"/>
        <w:bottom w:val="none" w:sz="0" w:space="0" w:color="auto"/>
        <w:right w:val="none" w:sz="0" w:space="0" w:color="auto"/>
      </w:divBdr>
    </w:div>
    <w:div w:id="571896162">
      <w:bodyDiv w:val="1"/>
      <w:marLeft w:val="0"/>
      <w:marRight w:val="0"/>
      <w:marTop w:val="0"/>
      <w:marBottom w:val="0"/>
      <w:divBdr>
        <w:top w:val="none" w:sz="0" w:space="0" w:color="auto"/>
        <w:left w:val="none" w:sz="0" w:space="0" w:color="auto"/>
        <w:bottom w:val="none" w:sz="0" w:space="0" w:color="auto"/>
        <w:right w:val="none" w:sz="0" w:space="0" w:color="auto"/>
      </w:divBdr>
    </w:div>
    <w:div w:id="578249799">
      <w:bodyDiv w:val="1"/>
      <w:marLeft w:val="0"/>
      <w:marRight w:val="0"/>
      <w:marTop w:val="0"/>
      <w:marBottom w:val="0"/>
      <w:divBdr>
        <w:top w:val="none" w:sz="0" w:space="0" w:color="auto"/>
        <w:left w:val="none" w:sz="0" w:space="0" w:color="auto"/>
        <w:bottom w:val="none" w:sz="0" w:space="0" w:color="auto"/>
        <w:right w:val="none" w:sz="0" w:space="0" w:color="auto"/>
      </w:divBdr>
    </w:div>
    <w:div w:id="615645674">
      <w:bodyDiv w:val="1"/>
      <w:marLeft w:val="0"/>
      <w:marRight w:val="0"/>
      <w:marTop w:val="0"/>
      <w:marBottom w:val="0"/>
      <w:divBdr>
        <w:top w:val="none" w:sz="0" w:space="0" w:color="auto"/>
        <w:left w:val="none" w:sz="0" w:space="0" w:color="auto"/>
        <w:bottom w:val="none" w:sz="0" w:space="0" w:color="auto"/>
        <w:right w:val="none" w:sz="0" w:space="0" w:color="auto"/>
      </w:divBdr>
    </w:div>
    <w:div w:id="626006108">
      <w:bodyDiv w:val="1"/>
      <w:marLeft w:val="0"/>
      <w:marRight w:val="0"/>
      <w:marTop w:val="0"/>
      <w:marBottom w:val="0"/>
      <w:divBdr>
        <w:top w:val="none" w:sz="0" w:space="0" w:color="auto"/>
        <w:left w:val="none" w:sz="0" w:space="0" w:color="auto"/>
        <w:bottom w:val="none" w:sz="0" w:space="0" w:color="auto"/>
        <w:right w:val="none" w:sz="0" w:space="0" w:color="auto"/>
      </w:divBdr>
    </w:div>
    <w:div w:id="634989665">
      <w:bodyDiv w:val="1"/>
      <w:marLeft w:val="0"/>
      <w:marRight w:val="0"/>
      <w:marTop w:val="0"/>
      <w:marBottom w:val="0"/>
      <w:divBdr>
        <w:top w:val="none" w:sz="0" w:space="0" w:color="auto"/>
        <w:left w:val="none" w:sz="0" w:space="0" w:color="auto"/>
        <w:bottom w:val="none" w:sz="0" w:space="0" w:color="auto"/>
        <w:right w:val="none" w:sz="0" w:space="0" w:color="auto"/>
      </w:divBdr>
    </w:div>
    <w:div w:id="637422800">
      <w:bodyDiv w:val="1"/>
      <w:marLeft w:val="0"/>
      <w:marRight w:val="0"/>
      <w:marTop w:val="0"/>
      <w:marBottom w:val="0"/>
      <w:divBdr>
        <w:top w:val="none" w:sz="0" w:space="0" w:color="auto"/>
        <w:left w:val="none" w:sz="0" w:space="0" w:color="auto"/>
        <w:bottom w:val="none" w:sz="0" w:space="0" w:color="auto"/>
        <w:right w:val="none" w:sz="0" w:space="0" w:color="auto"/>
      </w:divBdr>
    </w:div>
    <w:div w:id="650447006">
      <w:bodyDiv w:val="1"/>
      <w:marLeft w:val="0"/>
      <w:marRight w:val="0"/>
      <w:marTop w:val="0"/>
      <w:marBottom w:val="0"/>
      <w:divBdr>
        <w:top w:val="none" w:sz="0" w:space="0" w:color="auto"/>
        <w:left w:val="none" w:sz="0" w:space="0" w:color="auto"/>
        <w:bottom w:val="none" w:sz="0" w:space="0" w:color="auto"/>
        <w:right w:val="none" w:sz="0" w:space="0" w:color="auto"/>
      </w:divBdr>
    </w:div>
    <w:div w:id="654577835">
      <w:bodyDiv w:val="1"/>
      <w:marLeft w:val="0"/>
      <w:marRight w:val="0"/>
      <w:marTop w:val="0"/>
      <w:marBottom w:val="0"/>
      <w:divBdr>
        <w:top w:val="none" w:sz="0" w:space="0" w:color="auto"/>
        <w:left w:val="none" w:sz="0" w:space="0" w:color="auto"/>
        <w:bottom w:val="none" w:sz="0" w:space="0" w:color="auto"/>
        <w:right w:val="none" w:sz="0" w:space="0" w:color="auto"/>
      </w:divBdr>
    </w:div>
    <w:div w:id="672537118">
      <w:bodyDiv w:val="1"/>
      <w:marLeft w:val="0"/>
      <w:marRight w:val="0"/>
      <w:marTop w:val="0"/>
      <w:marBottom w:val="0"/>
      <w:divBdr>
        <w:top w:val="none" w:sz="0" w:space="0" w:color="auto"/>
        <w:left w:val="none" w:sz="0" w:space="0" w:color="auto"/>
        <w:bottom w:val="none" w:sz="0" w:space="0" w:color="auto"/>
        <w:right w:val="none" w:sz="0" w:space="0" w:color="auto"/>
      </w:divBdr>
    </w:div>
    <w:div w:id="683555237">
      <w:bodyDiv w:val="1"/>
      <w:marLeft w:val="0"/>
      <w:marRight w:val="0"/>
      <w:marTop w:val="0"/>
      <w:marBottom w:val="0"/>
      <w:divBdr>
        <w:top w:val="none" w:sz="0" w:space="0" w:color="auto"/>
        <w:left w:val="none" w:sz="0" w:space="0" w:color="auto"/>
        <w:bottom w:val="none" w:sz="0" w:space="0" w:color="auto"/>
        <w:right w:val="none" w:sz="0" w:space="0" w:color="auto"/>
      </w:divBdr>
    </w:div>
    <w:div w:id="690840218">
      <w:bodyDiv w:val="1"/>
      <w:marLeft w:val="0"/>
      <w:marRight w:val="0"/>
      <w:marTop w:val="0"/>
      <w:marBottom w:val="0"/>
      <w:divBdr>
        <w:top w:val="none" w:sz="0" w:space="0" w:color="auto"/>
        <w:left w:val="none" w:sz="0" w:space="0" w:color="auto"/>
        <w:bottom w:val="none" w:sz="0" w:space="0" w:color="auto"/>
        <w:right w:val="none" w:sz="0" w:space="0" w:color="auto"/>
      </w:divBdr>
    </w:div>
    <w:div w:id="706108246">
      <w:bodyDiv w:val="1"/>
      <w:marLeft w:val="0"/>
      <w:marRight w:val="0"/>
      <w:marTop w:val="0"/>
      <w:marBottom w:val="0"/>
      <w:divBdr>
        <w:top w:val="none" w:sz="0" w:space="0" w:color="auto"/>
        <w:left w:val="none" w:sz="0" w:space="0" w:color="auto"/>
        <w:bottom w:val="none" w:sz="0" w:space="0" w:color="auto"/>
        <w:right w:val="none" w:sz="0" w:space="0" w:color="auto"/>
      </w:divBdr>
    </w:div>
    <w:div w:id="716856349">
      <w:bodyDiv w:val="1"/>
      <w:marLeft w:val="0"/>
      <w:marRight w:val="0"/>
      <w:marTop w:val="0"/>
      <w:marBottom w:val="0"/>
      <w:divBdr>
        <w:top w:val="none" w:sz="0" w:space="0" w:color="auto"/>
        <w:left w:val="none" w:sz="0" w:space="0" w:color="auto"/>
        <w:bottom w:val="none" w:sz="0" w:space="0" w:color="auto"/>
        <w:right w:val="none" w:sz="0" w:space="0" w:color="auto"/>
      </w:divBdr>
    </w:div>
    <w:div w:id="720713444">
      <w:bodyDiv w:val="1"/>
      <w:marLeft w:val="0"/>
      <w:marRight w:val="0"/>
      <w:marTop w:val="0"/>
      <w:marBottom w:val="0"/>
      <w:divBdr>
        <w:top w:val="none" w:sz="0" w:space="0" w:color="auto"/>
        <w:left w:val="none" w:sz="0" w:space="0" w:color="auto"/>
        <w:bottom w:val="none" w:sz="0" w:space="0" w:color="auto"/>
        <w:right w:val="none" w:sz="0" w:space="0" w:color="auto"/>
      </w:divBdr>
    </w:div>
    <w:div w:id="728310507">
      <w:bodyDiv w:val="1"/>
      <w:marLeft w:val="0"/>
      <w:marRight w:val="0"/>
      <w:marTop w:val="0"/>
      <w:marBottom w:val="0"/>
      <w:divBdr>
        <w:top w:val="none" w:sz="0" w:space="0" w:color="auto"/>
        <w:left w:val="none" w:sz="0" w:space="0" w:color="auto"/>
        <w:bottom w:val="none" w:sz="0" w:space="0" w:color="auto"/>
        <w:right w:val="none" w:sz="0" w:space="0" w:color="auto"/>
      </w:divBdr>
    </w:div>
    <w:div w:id="730346379">
      <w:bodyDiv w:val="1"/>
      <w:marLeft w:val="0"/>
      <w:marRight w:val="0"/>
      <w:marTop w:val="0"/>
      <w:marBottom w:val="0"/>
      <w:divBdr>
        <w:top w:val="none" w:sz="0" w:space="0" w:color="auto"/>
        <w:left w:val="none" w:sz="0" w:space="0" w:color="auto"/>
        <w:bottom w:val="none" w:sz="0" w:space="0" w:color="auto"/>
        <w:right w:val="none" w:sz="0" w:space="0" w:color="auto"/>
      </w:divBdr>
    </w:div>
    <w:div w:id="734670895">
      <w:bodyDiv w:val="1"/>
      <w:marLeft w:val="0"/>
      <w:marRight w:val="0"/>
      <w:marTop w:val="0"/>
      <w:marBottom w:val="0"/>
      <w:divBdr>
        <w:top w:val="none" w:sz="0" w:space="0" w:color="auto"/>
        <w:left w:val="none" w:sz="0" w:space="0" w:color="auto"/>
        <w:bottom w:val="none" w:sz="0" w:space="0" w:color="auto"/>
        <w:right w:val="none" w:sz="0" w:space="0" w:color="auto"/>
      </w:divBdr>
    </w:div>
    <w:div w:id="739180574">
      <w:bodyDiv w:val="1"/>
      <w:marLeft w:val="0"/>
      <w:marRight w:val="0"/>
      <w:marTop w:val="0"/>
      <w:marBottom w:val="0"/>
      <w:divBdr>
        <w:top w:val="none" w:sz="0" w:space="0" w:color="auto"/>
        <w:left w:val="none" w:sz="0" w:space="0" w:color="auto"/>
        <w:bottom w:val="none" w:sz="0" w:space="0" w:color="auto"/>
        <w:right w:val="none" w:sz="0" w:space="0" w:color="auto"/>
      </w:divBdr>
    </w:div>
    <w:div w:id="774905752">
      <w:bodyDiv w:val="1"/>
      <w:marLeft w:val="0"/>
      <w:marRight w:val="0"/>
      <w:marTop w:val="0"/>
      <w:marBottom w:val="0"/>
      <w:divBdr>
        <w:top w:val="none" w:sz="0" w:space="0" w:color="auto"/>
        <w:left w:val="none" w:sz="0" w:space="0" w:color="auto"/>
        <w:bottom w:val="none" w:sz="0" w:space="0" w:color="auto"/>
        <w:right w:val="none" w:sz="0" w:space="0" w:color="auto"/>
      </w:divBdr>
    </w:div>
    <w:div w:id="792673994">
      <w:bodyDiv w:val="1"/>
      <w:marLeft w:val="0"/>
      <w:marRight w:val="0"/>
      <w:marTop w:val="0"/>
      <w:marBottom w:val="0"/>
      <w:divBdr>
        <w:top w:val="none" w:sz="0" w:space="0" w:color="auto"/>
        <w:left w:val="none" w:sz="0" w:space="0" w:color="auto"/>
        <w:bottom w:val="none" w:sz="0" w:space="0" w:color="auto"/>
        <w:right w:val="none" w:sz="0" w:space="0" w:color="auto"/>
      </w:divBdr>
    </w:div>
    <w:div w:id="805196135">
      <w:bodyDiv w:val="1"/>
      <w:marLeft w:val="0"/>
      <w:marRight w:val="0"/>
      <w:marTop w:val="0"/>
      <w:marBottom w:val="0"/>
      <w:divBdr>
        <w:top w:val="none" w:sz="0" w:space="0" w:color="auto"/>
        <w:left w:val="none" w:sz="0" w:space="0" w:color="auto"/>
        <w:bottom w:val="none" w:sz="0" w:space="0" w:color="auto"/>
        <w:right w:val="none" w:sz="0" w:space="0" w:color="auto"/>
      </w:divBdr>
      <w:divsChild>
        <w:div w:id="812868277">
          <w:marLeft w:val="0"/>
          <w:marRight w:val="0"/>
          <w:marTop w:val="0"/>
          <w:marBottom w:val="0"/>
          <w:divBdr>
            <w:top w:val="none" w:sz="0" w:space="0" w:color="auto"/>
            <w:left w:val="none" w:sz="0" w:space="0" w:color="auto"/>
            <w:bottom w:val="none" w:sz="0" w:space="0" w:color="auto"/>
            <w:right w:val="none" w:sz="0" w:space="0" w:color="auto"/>
          </w:divBdr>
        </w:div>
        <w:div w:id="1314025129">
          <w:marLeft w:val="0"/>
          <w:marRight w:val="0"/>
          <w:marTop w:val="0"/>
          <w:marBottom w:val="0"/>
          <w:divBdr>
            <w:top w:val="none" w:sz="0" w:space="0" w:color="auto"/>
            <w:left w:val="none" w:sz="0" w:space="0" w:color="auto"/>
            <w:bottom w:val="none" w:sz="0" w:space="0" w:color="auto"/>
            <w:right w:val="none" w:sz="0" w:space="0" w:color="auto"/>
          </w:divBdr>
        </w:div>
        <w:div w:id="1964190727">
          <w:marLeft w:val="0"/>
          <w:marRight w:val="0"/>
          <w:marTop w:val="0"/>
          <w:marBottom w:val="0"/>
          <w:divBdr>
            <w:top w:val="none" w:sz="0" w:space="0" w:color="auto"/>
            <w:left w:val="none" w:sz="0" w:space="0" w:color="auto"/>
            <w:bottom w:val="none" w:sz="0" w:space="0" w:color="auto"/>
            <w:right w:val="none" w:sz="0" w:space="0" w:color="auto"/>
          </w:divBdr>
        </w:div>
      </w:divsChild>
    </w:div>
    <w:div w:id="808791288">
      <w:bodyDiv w:val="1"/>
      <w:marLeft w:val="0"/>
      <w:marRight w:val="0"/>
      <w:marTop w:val="0"/>
      <w:marBottom w:val="0"/>
      <w:divBdr>
        <w:top w:val="none" w:sz="0" w:space="0" w:color="auto"/>
        <w:left w:val="none" w:sz="0" w:space="0" w:color="auto"/>
        <w:bottom w:val="none" w:sz="0" w:space="0" w:color="auto"/>
        <w:right w:val="none" w:sz="0" w:space="0" w:color="auto"/>
      </w:divBdr>
    </w:div>
    <w:div w:id="811605255">
      <w:bodyDiv w:val="1"/>
      <w:marLeft w:val="0"/>
      <w:marRight w:val="0"/>
      <w:marTop w:val="0"/>
      <w:marBottom w:val="0"/>
      <w:divBdr>
        <w:top w:val="none" w:sz="0" w:space="0" w:color="auto"/>
        <w:left w:val="none" w:sz="0" w:space="0" w:color="auto"/>
        <w:bottom w:val="none" w:sz="0" w:space="0" w:color="auto"/>
        <w:right w:val="none" w:sz="0" w:space="0" w:color="auto"/>
      </w:divBdr>
    </w:div>
    <w:div w:id="814103849">
      <w:bodyDiv w:val="1"/>
      <w:marLeft w:val="0"/>
      <w:marRight w:val="0"/>
      <w:marTop w:val="0"/>
      <w:marBottom w:val="0"/>
      <w:divBdr>
        <w:top w:val="none" w:sz="0" w:space="0" w:color="auto"/>
        <w:left w:val="none" w:sz="0" w:space="0" w:color="auto"/>
        <w:bottom w:val="none" w:sz="0" w:space="0" w:color="auto"/>
        <w:right w:val="none" w:sz="0" w:space="0" w:color="auto"/>
      </w:divBdr>
    </w:div>
    <w:div w:id="814177879">
      <w:bodyDiv w:val="1"/>
      <w:marLeft w:val="0"/>
      <w:marRight w:val="0"/>
      <w:marTop w:val="0"/>
      <w:marBottom w:val="0"/>
      <w:divBdr>
        <w:top w:val="none" w:sz="0" w:space="0" w:color="auto"/>
        <w:left w:val="none" w:sz="0" w:space="0" w:color="auto"/>
        <w:bottom w:val="none" w:sz="0" w:space="0" w:color="auto"/>
        <w:right w:val="none" w:sz="0" w:space="0" w:color="auto"/>
      </w:divBdr>
    </w:div>
    <w:div w:id="846138032">
      <w:bodyDiv w:val="1"/>
      <w:marLeft w:val="0"/>
      <w:marRight w:val="0"/>
      <w:marTop w:val="0"/>
      <w:marBottom w:val="0"/>
      <w:divBdr>
        <w:top w:val="none" w:sz="0" w:space="0" w:color="auto"/>
        <w:left w:val="none" w:sz="0" w:space="0" w:color="auto"/>
        <w:bottom w:val="none" w:sz="0" w:space="0" w:color="auto"/>
        <w:right w:val="none" w:sz="0" w:space="0" w:color="auto"/>
      </w:divBdr>
    </w:div>
    <w:div w:id="867835174">
      <w:bodyDiv w:val="1"/>
      <w:marLeft w:val="0"/>
      <w:marRight w:val="0"/>
      <w:marTop w:val="0"/>
      <w:marBottom w:val="0"/>
      <w:divBdr>
        <w:top w:val="none" w:sz="0" w:space="0" w:color="auto"/>
        <w:left w:val="none" w:sz="0" w:space="0" w:color="auto"/>
        <w:bottom w:val="none" w:sz="0" w:space="0" w:color="auto"/>
        <w:right w:val="none" w:sz="0" w:space="0" w:color="auto"/>
      </w:divBdr>
    </w:div>
    <w:div w:id="869345489">
      <w:bodyDiv w:val="1"/>
      <w:marLeft w:val="0"/>
      <w:marRight w:val="0"/>
      <w:marTop w:val="0"/>
      <w:marBottom w:val="0"/>
      <w:divBdr>
        <w:top w:val="none" w:sz="0" w:space="0" w:color="auto"/>
        <w:left w:val="none" w:sz="0" w:space="0" w:color="auto"/>
        <w:bottom w:val="none" w:sz="0" w:space="0" w:color="auto"/>
        <w:right w:val="none" w:sz="0" w:space="0" w:color="auto"/>
      </w:divBdr>
    </w:div>
    <w:div w:id="886332619">
      <w:bodyDiv w:val="1"/>
      <w:marLeft w:val="0"/>
      <w:marRight w:val="0"/>
      <w:marTop w:val="0"/>
      <w:marBottom w:val="0"/>
      <w:divBdr>
        <w:top w:val="none" w:sz="0" w:space="0" w:color="auto"/>
        <w:left w:val="none" w:sz="0" w:space="0" w:color="auto"/>
        <w:bottom w:val="none" w:sz="0" w:space="0" w:color="auto"/>
        <w:right w:val="none" w:sz="0" w:space="0" w:color="auto"/>
      </w:divBdr>
    </w:div>
    <w:div w:id="892741535">
      <w:bodyDiv w:val="1"/>
      <w:marLeft w:val="0"/>
      <w:marRight w:val="0"/>
      <w:marTop w:val="0"/>
      <w:marBottom w:val="0"/>
      <w:divBdr>
        <w:top w:val="none" w:sz="0" w:space="0" w:color="auto"/>
        <w:left w:val="none" w:sz="0" w:space="0" w:color="auto"/>
        <w:bottom w:val="none" w:sz="0" w:space="0" w:color="auto"/>
        <w:right w:val="none" w:sz="0" w:space="0" w:color="auto"/>
      </w:divBdr>
    </w:div>
    <w:div w:id="907885400">
      <w:bodyDiv w:val="1"/>
      <w:marLeft w:val="0"/>
      <w:marRight w:val="0"/>
      <w:marTop w:val="0"/>
      <w:marBottom w:val="0"/>
      <w:divBdr>
        <w:top w:val="none" w:sz="0" w:space="0" w:color="auto"/>
        <w:left w:val="none" w:sz="0" w:space="0" w:color="auto"/>
        <w:bottom w:val="none" w:sz="0" w:space="0" w:color="auto"/>
        <w:right w:val="none" w:sz="0" w:space="0" w:color="auto"/>
      </w:divBdr>
    </w:div>
    <w:div w:id="922105654">
      <w:bodyDiv w:val="1"/>
      <w:marLeft w:val="0"/>
      <w:marRight w:val="0"/>
      <w:marTop w:val="0"/>
      <w:marBottom w:val="0"/>
      <w:divBdr>
        <w:top w:val="none" w:sz="0" w:space="0" w:color="auto"/>
        <w:left w:val="none" w:sz="0" w:space="0" w:color="auto"/>
        <w:bottom w:val="none" w:sz="0" w:space="0" w:color="auto"/>
        <w:right w:val="none" w:sz="0" w:space="0" w:color="auto"/>
      </w:divBdr>
      <w:divsChild>
        <w:div w:id="54400173">
          <w:marLeft w:val="0"/>
          <w:marRight w:val="0"/>
          <w:marTop w:val="0"/>
          <w:marBottom w:val="0"/>
          <w:divBdr>
            <w:top w:val="none" w:sz="0" w:space="0" w:color="auto"/>
            <w:left w:val="none" w:sz="0" w:space="0" w:color="auto"/>
            <w:bottom w:val="none" w:sz="0" w:space="0" w:color="auto"/>
            <w:right w:val="none" w:sz="0" w:space="0" w:color="auto"/>
          </w:divBdr>
        </w:div>
        <w:div w:id="786850200">
          <w:marLeft w:val="0"/>
          <w:marRight w:val="0"/>
          <w:marTop w:val="0"/>
          <w:marBottom w:val="0"/>
          <w:divBdr>
            <w:top w:val="none" w:sz="0" w:space="0" w:color="auto"/>
            <w:left w:val="none" w:sz="0" w:space="0" w:color="auto"/>
            <w:bottom w:val="none" w:sz="0" w:space="0" w:color="auto"/>
            <w:right w:val="none" w:sz="0" w:space="0" w:color="auto"/>
          </w:divBdr>
        </w:div>
      </w:divsChild>
    </w:div>
    <w:div w:id="933049995">
      <w:bodyDiv w:val="1"/>
      <w:marLeft w:val="0"/>
      <w:marRight w:val="0"/>
      <w:marTop w:val="0"/>
      <w:marBottom w:val="0"/>
      <w:divBdr>
        <w:top w:val="none" w:sz="0" w:space="0" w:color="auto"/>
        <w:left w:val="none" w:sz="0" w:space="0" w:color="auto"/>
        <w:bottom w:val="none" w:sz="0" w:space="0" w:color="auto"/>
        <w:right w:val="none" w:sz="0" w:space="0" w:color="auto"/>
      </w:divBdr>
    </w:div>
    <w:div w:id="970522666">
      <w:bodyDiv w:val="1"/>
      <w:marLeft w:val="0"/>
      <w:marRight w:val="0"/>
      <w:marTop w:val="0"/>
      <w:marBottom w:val="0"/>
      <w:divBdr>
        <w:top w:val="none" w:sz="0" w:space="0" w:color="auto"/>
        <w:left w:val="none" w:sz="0" w:space="0" w:color="auto"/>
        <w:bottom w:val="none" w:sz="0" w:space="0" w:color="auto"/>
        <w:right w:val="none" w:sz="0" w:space="0" w:color="auto"/>
      </w:divBdr>
    </w:div>
    <w:div w:id="1001859589">
      <w:bodyDiv w:val="1"/>
      <w:marLeft w:val="0"/>
      <w:marRight w:val="0"/>
      <w:marTop w:val="0"/>
      <w:marBottom w:val="0"/>
      <w:divBdr>
        <w:top w:val="none" w:sz="0" w:space="0" w:color="auto"/>
        <w:left w:val="none" w:sz="0" w:space="0" w:color="auto"/>
        <w:bottom w:val="none" w:sz="0" w:space="0" w:color="auto"/>
        <w:right w:val="none" w:sz="0" w:space="0" w:color="auto"/>
      </w:divBdr>
    </w:div>
    <w:div w:id="1008605532">
      <w:bodyDiv w:val="1"/>
      <w:marLeft w:val="0"/>
      <w:marRight w:val="0"/>
      <w:marTop w:val="0"/>
      <w:marBottom w:val="0"/>
      <w:divBdr>
        <w:top w:val="none" w:sz="0" w:space="0" w:color="auto"/>
        <w:left w:val="none" w:sz="0" w:space="0" w:color="auto"/>
        <w:bottom w:val="none" w:sz="0" w:space="0" w:color="auto"/>
        <w:right w:val="none" w:sz="0" w:space="0" w:color="auto"/>
      </w:divBdr>
    </w:div>
    <w:div w:id="1012607954">
      <w:bodyDiv w:val="1"/>
      <w:marLeft w:val="0"/>
      <w:marRight w:val="0"/>
      <w:marTop w:val="0"/>
      <w:marBottom w:val="0"/>
      <w:divBdr>
        <w:top w:val="none" w:sz="0" w:space="0" w:color="auto"/>
        <w:left w:val="none" w:sz="0" w:space="0" w:color="auto"/>
        <w:bottom w:val="none" w:sz="0" w:space="0" w:color="auto"/>
        <w:right w:val="none" w:sz="0" w:space="0" w:color="auto"/>
      </w:divBdr>
      <w:divsChild>
        <w:div w:id="1060786083">
          <w:marLeft w:val="547"/>
          <w:marRight w:val="0"/>
          <w:marTop w:val="0"/>
          <w:marBottom w:val="0"/>
          <w:divBdr>
            <w:top w:val="none" w:sz="0" w:space="0" w:color="auto"/>
            <w:left w:val="none" w:sz="0" w:space="0" w:color="auto"/>
            <w:bottom w:val="none" w:sz="0" w:space="0" w:color="auto"/>
            <w:right w:val="none" w:sz="0" w:space="0" w:color="auto"/>
          </w:divBdr>
        </w:div>
      </w:divsChild>
    </w:div>
    <w:div w:id="1015612921">
      <w:bodyDiv w:val="1"/>
      <w:marLeft w:val="0"/>
      <w:marRight w:val="0"/>
      <w:marTop w:val="0"/>
      <w:marBottom w:val="0"/>
      <w:divBdr>
        <w:top w:val="none" w:sz="0" w:space="0" w:color="auto"/>
        <w:left w:val="none" w:sz="0" w:space="0" w:color="auto"/>
        <w:bottom w:val="none" w:sz="0" w:space="0" w:color="auto"/>
        <w:right w:val="none" w:sz="0" w:space="0" w:color="auto"/>
      </w:divBdr>
    </w:div>
    <w:div w:id="1016078967">
      <w:bodyDiv w:val="1"/>
      <w:marLeft w:val="0"/>
      <w:marRight w:val="0"/>
      <w:marTop w:val="0"/>
      <w:marBottom w:val="0"/>
      <w:divBdr>
        <w:top w:val="none" w:sz="0" w:space="0" w:color="auto"/>
        <w:left w:val="none" w:sz="0" w:space="0" w:color="auto"/>
        <w:bottom w:val="none" w:sz="0" w:space="0" w:color="auto"/>
        <w:right w:val="none" w:sz="0" w:space="0" w:color="auto"/>
      </w:divBdr>
    </w:div>
    <w:div w:id="1035350122">
      <w:bodyDiv w:val="1"/>
      <w:marLeft w:val="0"/>
      <w:marRight w:val="0"/>
      <w:marTop w:val="0"/>
      <w:marBottom w:val="0"/>
      <w:divBdr>
        <w:top w:val="none" w:sz="0" w:space="0" w:color="auto"/>
        <w:left w:val="none" w:sz="0" w:space="0" w:color="auto"/>
        <w:bottom w:val="none" w:sz="0" w:space="0" w:color="auto"/>
        <w:right w:val="none" w:sz="0" w:space="0" w:color="auto"/>
      </w:divBdr>
    </w:div>
    <w:div w:id="1051879026">
      <w:bodyDiv w:val="1"/>
      <w:marLeft w:val="0"/>
      <w:marRight w:val="0"/>
      <w:marTop w:val="0"/>
      <w:marBottom w:val="0"/>
      <w:divBdr>
        <w:top w:val="none" w:sz="0" w:space="0" w:color="auto"/>
        <w:left w:val="none" w:sz="0" w:space="0" w:color="auto"/>
        <w:bottom w:val="none" w:sz="0" w:space="0" w:color="auto"/>
        <w:right w:val="none" w:sz="0" w:space="0" w:color="auto"/>
      </w:divBdr>
    </w:div>
    <w:div w:id="1082986877">
      <w:bodyDiv w:val="1"/>
      <w:marLeft w:val="0"/>
      <w:marRight w:val="0"/>
      <w:marTop w:val="0"/>
      <w:marBottom w:val="0"/>
      <w:divBdr>
        <w:top w:val="none" w:sz="0" w:space="0" w:color="auto"/>
        <w:left w:val="none" w:sz="0" w:space="0" w:color="auto"/>
        <w:bottom w:val="none" w:sz="0" w:space="0" w:color="auto"/>
        <w:right w:val="none" w:sz="0" w:space="0" w:color="auto"/>
      </w:divBdr>
    </w:div>
    <w:div w:id="1088965955">
      <w:bodyDiv w:val="1"/>
      <w:marLeft w:val="0"/>
      <w:marRight w:val="0"/>
      <w:marTop w:val="0"/>
      <w:marBottom w:val="0"/>
      <w:divBdr>
        <w:top w:val="none" w:sz="0" w:space="0" w:color="auto"/>
        <w:left w:val="none" w:sz="0" w:space="0" w:color="auto"/>
        <w:bottom w:val="none" w:sz="0" w:space="0" w:color="auto"/>
        <w:right w:val="none" w:sz="0" w:space="0" w:color="auto"/>
      </w:divBdr>
    </w:div>
    <w:div w:id="1097874097">
      <w:bodyDiv w:val="1"/>
      <w:marLeft w:val="0"/>
      <w:marRight w:val="0"/>
      <w:marTop w:val="0"/>
      <w:marBottom w:val="0"/>
      <w:divBdr>
        <w:top w:val="none" w:sz="0" w:space="0" w:color="auto"/>
        <w:left w:val="none" w:sz="0" w:space="0" w:color="auto"/>
        <w:bottom w:val="none" w:sz="0" w:space="0" w:color="auto"/>
        <w:right w:val="none" w:sz="0" w:space="0" w:color="auto"/>
      </w:divBdr>
    </w:div>
    <w:div w:id="1102459275">
      <w:bodyDiv w:val="1"/>
      <w:marLeft w:val="0"/>
      <w:marRight w:val="0"/>
      <w:marTop w:val="0"/>
      <w:marBottom w:val="0"/>
      <w:divBdr>
        <w:top w:val="none" w:sz="0" w:space="0" w:color="auto"/>
        <w:left w:val="none" w:sz="0" w:space="0" w:color="auto"/>
        <w:bottom w:val="none" w:sz="0" w:space="0" w:color="auto"/>
        <w:right w:val="none" w:sz="0" w:space="0" w:color="auto"/>
      </w:divBdr>
    </w:div>
    <w:div w:id="1106851495">
      <w:bodyDiv w:val="1"/>
      <w:marLeft w:val="0"/>
      <w:marRight w:val="0"/>
      <w:marTop w:val="0"/>
      <w:marBottom w:val="0"/>
      <w:divBdr>
        <w:top w:val="none" w:sz="0" w:space="0" w:color="auto"/>
        <w:left w:val="none" w:sz="0" w:space="0" w:color="auto"/>
        <w:bottom w:val="none" w:sz="0" w:space="0" w:color="auto"/>
        <w:right w:val="none" w:sz="0" w:space="0" w:color="auto"/>
      </w:divBdr>
    </w:div>
    <w:div w:id="1113479885">
      <w:bodyDiv w:val="1"/>
      <w:marLeft w:val="0"/>
      <w:marRight w:val="0"/>
      <w:marTop w:val="0"/>
      <w:marBottom w:val="0"/>
      <w:divBdr>
        <w:top w:val="none" w:sz="0" w:space="0" w:color="auto"/>
        <w:left w:val="none" w:sz="0" w:space="0" w:color="auto"/>
        <w:bottom w:val="none" w:sz="0" w:space="0" w:color="auto"/>
        <w:right w:val="none" w:sz="0" w:space="0" w:color="auto"/>
      </w:divBdr>
    </w:div>
    <w:div w:id="1116296850">
      <w:bodyDiv w:val="1"/>
      <w:marLeft w:val="0"/>
      <w:marRight w:val="0"/>
      <w:marTop w:val="0"/>
      <w:marBottom w:val="0"/>
      <w:divBdr>
        <w:top w:val="none" w:sz="0" w:space="0" w:color="auto"/>
        <w:left w:val="none" w:sz="0" w:space="0" w:color="auto"/>
        <w:bottom w:val="none" w:sz="0" w:space="0" w:color="auto"/>
        <w:right w:val="none" w:sz="0" w:space="0" w:color="auto"/>
      </w:divBdr>
    </w:div>
    <w:div w:id="1122531503">
      <w:bodyDiv w:val="1"/>
      <w:marLeft w:val="0"/>
      <w:marRight w:val="0"/>
      <w:marTop w:val="0"/>
      <w:marBottom w:val="0"/>
      <w:divBdr>
        <w:top w:val="none" w:sz="0" w:space="0" w:color="auto"/>
        <w:left w:val="none" w:sz="0" w:space="0" w:color="auto"/>
        <w:bottom w:val="none" w:sz="0" w:space="0" w:color="auto"/>
        <w:right w:val="none" w:sz="0" w:space="0" w:color="auto"/>
      </w:divBdr>
    </w:div>
    <w:div w:id="1184980675">
      <w:bodyDiv w:val="1"/>
      <w:marLeft w:val="0"/>
      <w:marRight w:val="0"/>
      <w:marTop w:val="0"/>
      <w:marBottom w:val="0"/>
      <w:divBdr>
        <w:top w:val="none" w:sz="0" w:space="0" w:color="auto"/>
        <w:left w:val="none" w:sz="0" w:space="0" w:color="auto"/>
        <w:bottom w:val="none" w:sz="0" w:space="0" w:color="auto"/>
        <w:right w:val="none" w:sz="0" w:space="0" w:color="auto"/>
      </w:divBdr>
    </w:div>
    <w:div w:id="1189297629">
      <w:bodyDiv w:val="1"/>
      <w:marLeft w:val="0"/>
      <w:marRight w:val="0"/>
      <w:marTop w:val="0"/>
      <w:marBottom w:val="0"/>
      <w:divBdr>
        <w:top w:val="none" w:sz="0" w:space="0" w:color="auto"/>
        <w:left w:val="none" w:sz="0" w:space="0" w:color="auto"/>
        <w:bottom w:val="none" w:sz="0" w:space="0" w:color="auto"/>
        <w:right w:val="none" w:sz="0" w:space="0" w:color="auto"/>
      </w:divBdr>
    </w:div>
    <w:div w:id="1195002319">
      <w:bodyDiv w:val="1"/>
      <w:marLeft w:val="0"/>
      <w:marRight w:val="0"/>
      <w:marTop w:val="0"/>
      <w:marBottom w:val="0"/>
      <w:divBdr>
        <w:top w:val="none" w:sz="0" w:space="0" w:color="auto"/>
        <w:left w:val="none" w:sz="0" w:space="0" w:color="auto"/>
        <w:bottom w:val="none" w:sz="0" w:space="0" w:color="auto"/>
        <w:right w:val="none" w:sz="0" w:space="0" w:color="auto"/>
      </w:divBdr>
    </w:div>
    <w:div w:id="1200507207">
      <w:bodyDiv w:val="1"/>
      <w:marLeft w:val="0"/>
      <w:marRight w:val="0"/>
      <w:marTop w:val="0"/>
      <w:marBottom w:val="0"/>
      <w:divBdr>
        <w:top w:val="none" w:sz="0" w:space="0" w:color="auto"/>
        <w:left w:val="none" w:sz="0" w:space="0" w:color="auto"/>
        <w:bottom w:val="none" w:sz="0" w:space="0" w:color="auto"/>
        <w:right w:val="none" w:sz="0" w:space="0" w:color="auto"/>
      </w:divBdr>
    </w:div>
    <w:div w:id="1226799012">
      <w:bodyDiv w:val="1"/>
      <w:marLeft w:val="0"/>
      <w:marRight w:val="0"/>
      <w:marTop w:val="0"/>
      <w:marBottom w:val="0"/>
      <w:divBdr>
        <w:top w:val="none" w:sz="0" w:space="0" w:color="auto"/>
        <w:left w:val="none" w:sz="0" w:space="0" w:color="auto"/>
        <w:bottom w:val="none" w:sz="0" w:space="0" w:color="auto"/>
        <w:right w:val="none" w:sz="0" w:space="0" w:color="auto"/>
      </w:divBdr>
    </w:div>
    <w:div w:id="1236815951">
      <w:bodyDiv w:val="1"/>
      <w:marLeft w:val="0"/>
      <w:marRight w:val="0"/>
      <w:marTop w:val="0"/>
      <w:marBottom w:val="0"/>
      <w:divBdr>
        <w:top w:val="none" w:sz="0" w:space="0" w:color="auto"/>
        <w:left w:val="none" w:sz="0" w:space="0" w:color="auto"/>
        <w:bottom w:val="none" w:sz="0" w:space="0" w:color="auto"/>
        <w:right w:val="none" w:sz="0" w:space="0" w:color="auto"/>
      </w:divBdr>
    </w:div>
    <w:div w:id="1239560884">
      <w:bodyDiv w:val="1"/>
      <w:marLeft w:val="0"/>
      <w:marRight w:val="0"/>
      <w:marTop w:val="0"/>
      <w:marBottom w:val="0"/>
      <w:divBdr>
        <w:top w:val="none" w:sz="0" w:space="0" w:color="auto"/>
        <w:left w:val="none" w:sz="0" w:space="0" w:color="auto"/>
        <w:bottom w:val="none" w:sz="0" w:space="0" w:color="auto"/>
        <w:right w:val="none" w:sz="0" w:space="0" w:color="auto"/>
      </w:divBdr>
    </w:div>
    <w:div w:id="1290668134">
      <w:bodyDiv w:val="1"/>
      <w:marLeft w:val="0"/>
      <w:marRight w:val="0"/>
      <w:marTop w:val="0"/>
      <w:marBottom w:val="0"/>
      <w:divBdr>
        <w:top w:val="none" w:sz="0" w:space="0" w:color="auto"/>
        <w:left w:val="none" w:sz="0" w:space="0" w:color="auto"/>
        <w:bottom w:val="none" w:sz="0" w:space="0" w:color="auto"/>
        <w:right w:val="none" w:sz="0" w:space="0" w:color="auto"/>
      </w:divBdr>
    </w:div>
    <w:div w:id="1291596904">
      <w:bodyDiv w:val="1"/>
      <w:marLeft w:val="0"/>
      <w:marRight w:val="0"/>
      <w:marTop w:val="0"/>
      <w:marBottom w:val="0"/>
      <w:divBdr>
        <w:top w:val="none" w:sz="0" w:space="0" w:color="auto"/>
        <w:left w:val="none" w:sz="0" w:space="0" w:color="auto"/>
        <w:bottom w:val="none" w:sz="0" w:space="0" w:color="auto"/>
        <w:right w:val="none" w:sz="0" w:space="0" w:color="auto"/>
      </w:divBdr>
    </w:div>
    <w:div w:id="1292248558">
      <w:bodyDiv w:val="1"/>
      <w:marLeft w:val="0"/>
      <w:marRight w:val="0"/>
      <w:marTop w:val="0"/>
      <w:marBottom w:val="0"/>
      <w:divBdr>
        <w:top w:val="none" w:sz="0" w:space="0" w:color="auto"/>
        <w:left w:val="none" w:sz="0" w:space="0" w:color="auto"/>
        <w:bottom w:val="none" w:sz="0" w:space="0" w:color="auto"/>
        <w:right w:val="none" w:sz="0" w:space="0" w:color="auto"/>
      </w:divBdr>
    </w:div>
    <w:div w:id="1300066724">
      <w:bodyDiv w:val="1"/>
      <w:marLeft w:val="0"/>
      <w:marRight w:val="0"/>
      <w:marTop w:val="0"/>
      <w:marBottom w:val="0"/>
      <w:divBdr>
        <w:top w:val="none" w:sz="0" w:space="0" w:color="auto"/>
        <w:left w:val="none" w:sz="0" w:space="0" w:color="auto"/>
        <w:bottom w:val="none" w:sz="0" w:space="0" w:color="auto"/>
        <w:right w:val="none" w:sz="0" w:space="0" w:color="auto"/>
      </w:divBdr>
    </w:div>
    <w:div w:id="1303383344">
      <w:bodyDiv w:val="1"/>
      <w:marLeft w:val="0"/>
      <w:marRight w:val="0"/>
      <w:marTop w:val="0"/>
      <w:marBottom w:val="0"/>
      <w:divBdr>
        <w:top w:val="none" w:sz="0" w:space="0" w:color="auto"/>
        <w:left w:val="none" w:sz="0" w:space="0" w:color="auto"/>
        <w:bottom w:val="none" w:sz="0" w:space="0" w:color="auto"/>
        <w:right w:val="none" w:sz="0" w:space="0" w:color="auto"/>
      </w:divBdr>
    </w:div>
    <w:div w:id="1329745167">
      <w:bodyDiv w:val="1"/>
      <w:marLeft w:val="0"/>
      <w:marRight w:val="0"/>
      <w:marTop w:val="0"/>
      <w:marBottom w:val="0"/>
      <w:divBdr>
        <w:top w:val="none" w:sz="0" w:space="0" w:color="auto"/>
        <w:left w:val="none" w:sz="0" w:space="0" w:color="auto"/>
        <w:bottom w:val="none" w:sz="0" w:space="0" w:color="auto"/>
        <w:right w:val="none" w:sz="0" w:space="0" w:color="auto"/>
      </w:divBdr>
    </w:div>
    <w:div w:id="1346175446">
      <w:bodyDiv w:val="1"/>
      <w:marLeft w:val="0"/>
      <w:marRight w:val="0"/>
      <w:marTop w:val="0"/>
      <w:marBottom w:val="0"/>
      <w:divBdr>
        <w:top w:val="none" w:sz="0" w:space="0" w:color="auto"/>
        <w:left w:val="none" w:sz="0" w:space="0" w:color="auto"/>
        <w:bottom w:val="none" w:sz="0" w:space="0" w:color="auto"/>
        <w:right w:val="none" w:sz="0" w:space="0" w:color="auto"/>
      </w:divBdr>
    </w:div>
    <w:div w:id="1364746510">
      <w:bodyDiv w:val="1"/>
      <w:marLeft w:val="0"/>
      <w:marRight w:val="0"/>
      <w:marTop w:val="0"/>
      <w:marBottom w:val="0"/>
      <w:divBdr>
        <w:top w:val="none" w:sz="0" w:space="0" w:color="auto"/>
        <w:left w:val="none" w:sz="0" w:space="0" w:color="auto"/>
        <w:bottom w:val="none" w:sz="0" w:space="0" w:color="auto"/>
        <w:right w:val="none" w:sz="0" w:space="0" w:color="auto"/>
      </w:divBdr>
    </w:div>
    <w:div w:id="1370104750">
      <w:bodyDiv w:val="1"/>
      <w:marLeft w:val="0"/>
      <w:marRight w:val="0"/>
      <w:marTop w:val="0"/>
      <w:marBottom w:val="0"/>
      <w:divBdr>
        <w:top w:val="none" w:sz="0" w:space="0" w:color="auto"/>
        <w:left w:val="none" w:sz="0" w:space="0" w:color="auto"/>
        <w:bottom w:val="none" w:sz="0" w:space="0" w:color="auto"/>
        <w:right w:val="none" w:sz="0" w:space="0" w:color="auto"/>
      </w:divBdr>
    </w:div>
    <w:div w:id="1372994119">
      <w:bodyDiv w:val="1"/>
      <w:marLeft w:val="0"/>
      <w:marRight w:val="0"/>
      <w:marTop w:val="0"/>
      <w:marBottom w:val="0"/>
      <w:divBdr>
        <w:top w:val="none" w:sz="0" w:space="0" w:color="auto"/>
        <w:left w:val="none" w:sz="0" w:space="0" w:color="auto"/>
        <w:bottom w:val="none" w:sz="0" w:space="0" w:color="auto"/>
        <w:right w:val="none" w:sz="0" w:space="0" w:color="auto"/>
      </w:divBdr>
    </w:div>
    <w:div w:id="1394545846">
      <w:bodyDiv w:val="1"/>
      <w:marLeft w:val="0"/>
      <w:marRight w:val="0"/>
      <w:marTop w:val="0"/>
      <w:marBottom w:val="0"/>
      <w:divBdr>
        <w:top w:val="none" w:sz="0" w:space="0" w:color="auto"/>
        <w:left w:val="none" w:sz="0" w:space="0" w:color="auto"/>
        <w:bottom w:val="none" w:sz="0" w:space="0" w:color="auto"/>
        <w:right w:val="none" w:sz="0" w:space="0" w:color="auto"/>
      </w:divBdr>
    </w:div>
    <w:div w:id="1396901815">
      <w:bodyDiv w:val="1"/>
      <w:marLeft w:val="0"/>
      <w:marRight w:val="0"/>
      <w:marTop w:val="0"/>
      <w:marBottom w:val="0"/>
      <w:divBdr>
        <w:top w:val="none" w:sz="0" w:space="0" w:color="auto"/>
        <w:left w:val="none" w:sz="0" w:space="0" w:color="auto"/>
        <w:bottom w:val="none" w:sz="0" w:space="0" w:color="auto"/>
        <w:right w:val="none" w:sz="0" w:space="0" w:color="auto"/>
      </w:divBdr>
    </w:div>
    <w:div w:id="1398288483">
      <w:bodyDiv w:val="1"/>
      <w:marLeft w:val="0"/>
      <w:marRight w:val="0"/>
      <w:marTop w:val="0"/>
      <w:marBottom w:val="0"/>
      <w:divBdr>
        <w:top w:val="none" w:sz="0" w:space="0" w:color="auto"/>
        <w:left w:val="none" w:sz="0" w:space="0" w:color="auto"/>
        <w:bottom w:val="none" w:sz="0" w:space="0" w:color="auto"/>
        <w:right w:val="none" w:sz="0" w:space="0" w:color="auto"/>
      </w:divBdr>
    </w:div>
    <w:div w:id="1398477982">
      <w:bodyDiv w:val="1"/>
      <w:marLeft w:val="0"/>
      <w:marRight w:val="0"/>
      <w:marTop w:val="0"/>
      <w:marBottom w:val="0"/>
      <w:divBdr>
        <w:top w:val="none" w:sz="0" w:space="0" w:color="auto"/>
        <w:left w:val="none" w:sz="0" w:space="0" w:color="auto"/>
        <w:bottom w:val="none" w:sz="0" w:space="0" w:color="auto"/>
        <w:right w:val="none" w:sz="0" w:space="0" w:color="auto"/>
      </w:divBdr>
    </w:div>
    <w:div w:id="1408646650">
      <w:bodyDiv w:val="1"/>
      <w:marLeft w:val="0"/>
      <w:marRight w:val="0"/>
      <w:marTop w:val="0"/>
      <w:marBottom w:val="0"/>
      <w:divBdr>
        <w:top w:val="none" w:sz="0" w:space="0" w:color="auto"/>
        <w:left w:val="none" w:sz="0" w:space="0" w:color="auto"/>
        <w:bottom w:val="none" w:sz="0" w:space="0" w:color="auto"/>
        <w:right w:val="none" w:sz="0" w:space="0" w:color="auto"/>
      </w:divBdr>
    </w:div>
    <w:div w:id="1420443344">
      <w:bodyDiv w:val="1"/>
      <w:marLeft w:val="0"/>
      <w:marRight w:val="0"/>
      <w:marTop w:val="0"/>
      <w:marBottom w:val="0"/>
      <w:divBdr>
        <w:top w:val="none" w:sz="0" w:space="0" w:color="auto"/>
        <w:left w:val="none" w:sz="0" w:space="0" w:color="auto"/>
        <w:bottom w:val="none" w:sz="0" w:space="0" w:color="auto"/>
        <w:right w:val="none" w:sz="0" w:space="0" w:color="auto"/>
      </w:divBdr>
    </w:div>
    <w:div w:id="1425496184">
      <w:bodyDiv w:val="1"/>
      <w:marLeft w:val="0"/>
      <w:marRight w:val="0"/>
      <w:marTop w:val="0"/>
      <w:marBottom w:val="0"/>
      <w:divBdr>
        <w:top w:val="none" w:sz="0" w:space="0" w:color="auto"/>
        <w:left w:val="none" w:sz="0" w:space="0" w:color="auto"/>
        <w:bottom w:val="none" w:sz="0" w:space="0" w:color="auto"/>
        <w:right w:val="none" w:sz="0" w:space="0" w:color="auto"/>
      </w:divBdr>
    </w:div>
    <w:div w:id="1439715555">
      <w:bodyDiv w:val="1"/>
      <w:marLeft w:val="0"/>
      <w:marRight w:val="0"/>
      <w:marTop w:val="0"/>
      <w:marBottom w:val="0"/>
      <w:divBdr>
        <w:top w:val="none" w:sz="0" w:space="0" w:color="auto"/>
        <w:left w:val="none" w:sz="0" w:space="0" w:color="auto"/>
        <w:bottom w:val="none" w:sz="0" w:space="0" w:color="auto"/>
        <w:right w:val="none" w:sz="0" w:space="0" w:color="auto"/>
      </w:divBdr>
    </w:div>
    <w:div w:id="1442802429">
      <w:bodyDiv w:val="1"/>
      <w:marLeft w:val="0"/>
      <w:marRight w:val="0"/>
      <w:marTop w:val="0"/>
      <w:marBottom w:val="0"/>
      <w:divBdr>
        <w:top w:val="none" w:sz="0" w:space="0" w:color="auto"/>
        <w:left w:val="none" w:sz="0" w:space="0" w:color="auto"/>
        <w:bottom w:val="none" w:sz="0" w:space="0" w:color="auto"/>
        <w:right w:val="none" w:sz="0" w:space="0" w:color="auto"/>
      </w:divBdr>
    </w:div>
    <w:div w:id="1460952639">
      <w:bodyDiv w:val="1"/>
      <w:marLeft w:val="0"/>
      <w:marRight w:val="0"/>
      <w:marTop w:val="0"/>
      <w:marBottom w:val="0"/>
      <w:divBdr>
        <w:top w:val="none" w:sz="0" w:space="0" w:color="auto"/>
        <w:left w:val="none" w:sz="0" w:space="0" w:color="auto"/>
        <w:bottom w:val="none" w:sz="0" w:space="0" w:color="auto"/>
        <w:right w:val="none" w:sz="0" w:space="0" w:color="auto"/>
      </w:divBdr>
    </w:div>
    <w:div w:id="1473213577">
      <w:bodyDiv w:val="1"/>
      <w:marLeft w:val="0"/>
      <w:marRight w:val="0"/>
      <w:marTop w:val="0"/>
      <w:marBottom w:val="0"/>
      <w:divBdr>
        <w:top w:val="none" w:sz="0" w:space="0" w:color="auto"/>
        <w:left w:val="none" w:sz="0" w:space="0" w:color="auto"/>
        <w:bottom w:val="none" w:sz="0" w:space="0" w:color="auto"/>
        <w:right w:val="none" w:sz="0" w:space="0" w:color="auto"/>
      </w:divBdr>
    </w:div>
    <w:div w:id="1474328587">
      <w:bodyDiv w:val="1"/>
      <w:marLeft w:val="0"/>
      <w:marRight w:val="0"/>
      <w:marTop w:val="0"/>
      <w:marBottom w:val="0"/>
      <w:divBdr>
        <w:top w:val="none" w:sz="0" w:space="0" w:color="auto"/>
        <w:left w:val="none" w:sz="0" w:space="0" w:color="auto"/>
        <w:bottom w:val="none" w:sz="0" w:space="0" w:color="auto"/>
        <w:right w:val="none" w:sz="0" w:space="0" w:color="auto"/>
      </w:divBdr>
    </w:div>
    <w:div w:id="1484350479">
      <w:bodyDiv w:val="1"/>
      <w:marLeft w:val="0"/>
      <w:marRight w:val="0"/>
      <w:marTop w:val="0"/>
      <w:marBottom w:val="0"/>
      <w:divBdr>
        <w:top w:val="none" w:sz="0" w:space="0" w:color="auto"/>
        <w:left w:val="none" w:sz="0" w:space="0" w:color="auto"/>
        <w:bottom w:val="none" w:sz="0" w:space="0" w:color="auto"/>
        <w:right w:val="none" w:sz="0" w:space="0" w:color="auto"/>
      </w:divBdr>
    </w:div>
    <w:div w:id="1485659934">
      <w:bodyDiv w:val="1"/>
      <w:marLeft w:val="0"/>
      <w:marRight w:val="0"/>
      <w:marTop w:val="0"/>
      <w:marBottom w:val="0"/>
      <w:divBdr>
        <w:top w:val="none" w:sz="0" w:space="0" w:color="auto"/>
        <w:left w:val="none" w:sz="0" w:space="0" w:color="auto"/>
        <w:bottom w:val="none" w:sz="0" w:space="0" w:color="auto"/>
        <w:right w:val="none" w:sz="0" w:space="0" w:color="auto"/>
      </w:divBdr>
    </w:div>
    <w:div w:id="1495990318">
      <w:bodyDiv w:val="1"/>
      <w:marLeft w:val="0"/>
      <w:marRight w:val="0"/>
      <w:marTop w:val="0"/>
      <w:marBottom w:val="0"/>
      <w:divBdr>
        <w:top w:val="none" w:sz="0" w:space="0" w:color="auto"/>
        <w:left w:val="none" w:sz="0" w:space="0" w:color="auto"/>
        <w:bottom w:val="none" w:sz="0" w:space="0" w:color="auto"/>
        <w:right w:val="none" w:sz="0" w:space="0" w:color="auto"/>
      </w:divBdr>
    </w:div>
    <w:div w:id="1502698818">
      <w:bodyDiv w:val="1"/>
      <w:marLeft w:val="0"/>
      <w:marRight w:val="0"/>
      <w:marTop w:val="0"/>
      <w:marBottom w:val="0"/>
      <w:divBdr>
        <w:top w:val="none" w:sz="0" w:space="0" w:color="auto"/>
        <w:left w:val="none" w:sz="0" w:space="0" w:color="auto"/>
        <w:bottom w:val="none" w:sz="0" w:space="0" w:color="auto"/>
        <w:right w:val="none" w:sz="0" w:space="0" w:color="auto"/>
      </w:divBdr>
    </w:div>
    <w:div w:id="1503666386">
      <w:bodyDiv w:val="1"/>
      <w:marLeft w:val="0"/>
      <w:marRight w:val="0"/>
      <w:marTop w:val="0"/>
      <w:marBottom w:val="0"/>
      <w:divBdr>
        <w:top w:val="none" w:sz="0" w:space="0" w:color="auto"/>
        <w:left w:val="none" w:sz="0" w:space="0" w:color="auto"/>
        <w:bottom w:val="none" w:sz="0" w:space="0" w:color="auto"/>
        <w:right w:val="none" w:sz="0" w:space="0" w:color="auto"/>
      </w:divBdr>
    </w:div>
    <w:div w:id="1512137563">
      <w:bodyDiv w:val="1"/>
      <w:marLeft w:val="0"/>
      <w:marRight w:val="0"/>
      <w:marTop w:val="0"/>
      <w:marBottom w:val="0"/>
      <w:divBdr>
        <w:top w:val="none" w:sz="0" w:space="0" w:color="auto"/>
        <w:left w:val="none" w:sz="0" w:space="0" w:color="auto"/>
        <w:bottom w:val="none" w:sz="0" w:space="0" w:color="auto"/>
        <w:right w:val="none" w:sz="0" w:space="0" w:color="auto"/>
      </w:divBdr>
    </w:div>
    <w:div w:id="1519850869">
      <w:bodyDiv w:val="1"/>
      <w:marLeft w:val="0"/>
      <w:marRight w:val="0"/>
      <w:marTop w:val="0"/>
      <w:marBottom w:val="0"/>
      <w:divBdr>
        <w:top w:val="none" w:sz="0" w:space="0" w:color="auto"/>
        <w:left w:val="none" w:sz="0" w:space="0" w:color="auto"/>
        <w:bottom w:val="none" w:sz="0" w:space="0" w:color="auto"/>
        <w:right w:val="none" w:sz="0" w:space="0" w:color="auto"/>
      </w:divBdr>
    </w:div>
    <w:div w:id="1527524878">
      <w:bodyDiv w:val="1"/>
      <w:marLeft w:val="0"/>
      <w:marRight w:val="0"/>
      <w:marTop w:val="0"/>
      <w:marBottom w:val="0"/>
      <w:divBdr>
        <w:top w:val="none" w:sz="0" w:space="0" w:color="auto"/>
        <w:left w:val="none" w:sz="0" w:space="0" w:color="auto"/>
        <w:bottom w:val="none" w:sz="0" w:space="0" w:color="auto"/>
        <w:right w:val="none" w:sz="0" w:space="0" w:color="auto"/>
      </w:divBdr>
    </w:div>
    <w:div w:id="1535535626">
      <w:bodyDiv w:val="1"/>
      <w:marLeft w:val="0"/>
      <w:marRight w:val="0"/>
      <w:marTop w:val="0"/>
      <w:marBottom w:val="0"/>
      <w:divBdr>
        <w:top w:val="none" w:sz="0" w:space="0" w:color="auto"/>
        <w:left w:val="none" w:sz="0" w:space="0" w:color="auto"/>
        <w:bottom w:val="none" w:sz="0" w:space="0" w:color="auto"/>
        <w:right w:val="none" w:sz="0" w:space="0" w:color="auto"/>
      </w:divBdr>
    </w:div>
    <w:div w:id="1538807970">
      <w:bodyDiv w:val="1"/>
      <w:marLeft w:val="0"/>
      <w:marRight w:val="0"/>
      <w:marTop w:val="0"/>
      <w:marBottom w:val="0"/>
      <w:divBdr>
        <w:top w:val="none" w:sz="0" w:space="0" w:color="auto"/>
        <w:left w:val="none" w:sz="0" w:space="0" w:color="auto"/>
        <w:bottom w:val="none" w:sz="0" w:space="0" w:color="auto"/>
        <w:right w:val="none" w:sz="0" w:space="0" w:color="auto"/>
      </w:divBdr>
    </w:div>
    <w:div w:id="1547137420">
      <w:bodyDiv w:val="1"/>
      <w:marLeft w:val="0"/>
      <w:marRight w:val="0"/>
      <w:marTop w:val="0"/>
      <w:marBottom w:val="0"/>
      <w:divBdr>
        <w:top w:val="none" w:sz="0" w:space="0" w:color="auto"/>
        <w:left w:val="none" w:sz="0" w:space="0" w:color="auto"/>
        <w:bottom w:val="none" w:sz="0" w:space="0" w:color="auto"/>
        <w:right w:val="none" w:sz="0" w:space="0" w:color="auto"/>
      </w:divBdr>
    </w:div>
    <w:div w:id="1548567722">
      <w:bodyDiv w:val="1"/>
      <w:marLeft w:val="0"/>
      <w:marRight w:val="0"/>
      <w:marTop w:val="0"/>
      <w:marBottom w:val="0"/>
      <w:divBdr>
        <w:top w:val="none" w:sz="0" w:space="0" w:color="auto"/>
        <w:left w:val="none" w:sz="0" w:space="0" w:color="auto"/>
        <w:bottom w:val="none" w:sz="0" w:space="0" w:color="auto"/>
        <w:right w:val="none" w:sz="0" w:space="0" w:color="auto"/>
      </w:divBdr>
    </w:div>
    <w:div w:id="1548907446">
      <w:bodyDiv w:val="1"/>
      <w:marLeft w:val="0"/>
      <w:marRight w:val="0"/>
      <w:marTop w:val="0"/>
      <w:marBottom w:val="0"/>
      <w:divBdr>
        <w:top w:val="none" w:sz="0" w:space="0" w:color="auto"/>
        <w:left w:val="none" w:sz="0" w:space="0" w:color="auto"/>
        <w:bottom w:val="none" w:sz="0" w:space="0" w:color="auto"/>
        <w:right w:val="none" w:sz="0" w:space="0" w:color="auto"/>
      </w:divBdr>
      <w:divsChild>
        <w:div w:id="213204822">
          <w:marLeft w:val="547"/>
          <w:marRight w:val="0"/>
          <w:marTop w:val="0"/>
          <w:marBottom w:val="0"/>
          <w:divBdr>
            <w:top w:val="none" w:sz="0" w:space="0" w:color="auto"/>
            <w:left w:val="none" w:sz="0" w:space="0" w:color="auto"/>
            <w:bottom w:val="none" w:sz="0" w:space="0" w:color="auto"/>
            <w:right w:val="none" w:sz="0" w:space="0" w:color="auto"/>
          </w:divBdr>
        </w:div>
      </w:divsChild>
    </w:div>
    <w:div w:id="1552644998">
      <w:bodyDiv w:val="1"/>
      <w:marLeft w:val="0"/>
      <w:marRight w:val="0"/>
      <w:marTop w:val="0"/>
      <w:marBottom w:val="0"/>
      <w:divBdr>
        <w:top w:val="none" w:sz="0" w:space="0" w:color="auto"/>
        <w:left w:val="none" w:sz="0" w:space="0" w:color="auto"/>
        <w:bottom w:val="none" w:sz="0" w:space="0" w:color="auto"/>
        <w:right w:val="none" w:sz="0" w:space="0" w:color="auto"/>
      </w:divBdr>
    </w:div>
    <w:div w:id="1563102498">
      <w:bodyDiv w:val="1"/>
      <w:marLeft w:val="0"/>
      <w:marRight w:val="0"/>
      <w:marTop w:val="0"/>
      <w:marBottom w:val="0"/>
      <w:divBdr>
        <w:top w:val="none" w:sz="0" w:space="0" w:color="auto"/>
        <w:left w:val="none" w:sz="0" w:space="0" w:color="auto"/>
        <w:bottom w:val="none" w:sz="0" w:space="0" w:color="auto"/>
        <w:right w:val="none" w:sz="0" w:space="0" w:color="auto"/>
      </w:divBdr>
    </w:div>
    <w:div w:id="1564218944">
      <w:bodyDiv w:val="1"/>
      <w:marLeft w:val="0"/>
      <w:marRight w:val="0"/>
      <w:marTop w:val="0"/>
      <w:marBottom w:val="0"/>
      <w:divBdr>
        <w:top w:val="none" w:sz="0" w:space="0" w:color="auto"/>
        <w:left w:val="none" w:sz="0" w:space="0" w:color="auto"/>
        <w:bottom w:val="none" w:sz="0" w:space="0" w:color="auto"/>
        <w:right w:val="none" w:sz="0" w:space="0" w:color="auto"/>
      </w:divBdr>
    </w:div>
    <w:div w:id="1565875228">
      <w:bodyDiv w:val="1"/>
      <w:marLeft w:val="0"/>
      <w:marRight w:val="0"/>
      <w:marTop w:val="0"/>
      <w:marBottom w:val="0"/>
      <w:divBdr>
        <w:top w:val="none" w:sz="0" w:space="0" w:color="auto"/>
        <w:left w:val="none" w:sz="0" w:space="0" w:color="auto"/>
        <w:bottom w:val="none" w:sz="0" w:space="0" w:color="auto"/>
        <w:right w:val="none" w:sz="0" w:space="0" w:color="auto"/>
      </w:divBdr>
    </w:div>
    <w:div w:id="1580795122">
      <w:bodyDiv w:val="1"/>
      <w:marLeft w:val="0"/>
      <w:marRight w:val="0"/>
      <w:marTop w:val="0"/>
      <w:marBottom w:val="0"/>
      <w:divBdr>
        <w:top w:val="none" w:sz="0" w:space="0" w:color="auto"/>
        <w:left w:val="none" w:sz="0" w:space="0" w:color="auto"/>
        <w:bottom w:val="none" w:sz="0" w:space="0" w:color="auto"/>
        <w:right w:val="none" w:sz="0" w:space="0" w:color="auto"/>
      </w:divBdr>
    </w:div>
    <w:div w:id="1582063838">
      <w:bodyDiv w:val="1"/>
      <w:marLeft w:val="0"/>
      <w:marRight w:val="0"/>
      <w:marTop w:val="0"/>
      <w:marBottom w:val="0"/>
      <w:divBdr>
        <w:top w:val="none" w:sz="0" w:space="0" w:color="auto"/>
        <w:left w:val="none" w:sz="0" w:space="0" w:color="auto"/>
        <w:bottom w:val="none" w:sz="0" w:space="0" w:color="auto"/>
        <w:right w:val="none" w:sz="0" w:space="0" w:color="auto"/>
      </w:divBdr>
    </w:div>
    <w:div w:id="1591573487">
      <w:bodyDiv w:val="1"/>
      <w:marLeft w:val="0"/>
      <w:marRight w:val="0"/>
      <w:marTop w:val="0"/>
      <w:marBottom w:val="0"/>
      <w:divBdr>
        <w:top w:val="none" w:sz="0" w:space="0" w:color="auto"/>
        <w:left w:val="none" w:sz="0" w:space="0" w:color="auto"/>
        <w:bottom w:val="none" w:sz="0" w:space="0" w:color="auto"/>
        <w:right w:val="none" w:sz="0" w:space="0" w:color="auto"/>
      </w:divBdr>
    </w:div>
    <w:div w:id="1597782379">
      <w:bodyDiv w:val="1"/>
      <w:marLeft w:val="0"/>
      <w:marRight w:val="0"/>
      <w:marTop w:val="0"/>
      <w:marBottom w:val="0"/>
      <w:divBdr>
        <w:top w:val="none" w:sz="0" w:space="0" w:color="auto"/>
        <w:left w:val="none" w:sz="0" w:space="0" w:color="auto"/>
        <w:bottom w:val="none" w:sz="0" w:space="0" w:color="auto"/>
        <w:right w:val="none" w:sz="0" w:space="0" w:color="auto"/>
      </w:divBdr>
    </w:div>
    <w:div w:id="1626886501">
      <w:bodyDiv w:val="1"/>
      <w:marLeft w:val="0"/>
      <w:marRight w:val="0"/>
      <w:marTop w:val="0"/>
      <w:marBottom w:val="0"/>
      <w:divBdr>
        <w:top w:val="none" w:sz="0" w:space="0" w:color="auto"/>
        <w:left w:val="none" w:sz="0" w:space="0" w:color="auto"/>
        <w:bottom w:val="none" w:sz="0" w:space="0" w:color="auto"/>
        <w:right w:val="none" w:sz="0" w:space="0" w:color="auto"/>
      </w:divBdr>
    </w:div>
    <w:div w:id="1637486763">
      <w:bodyDiv w:val="1"/>
      <w:marLeft w:val="0"/>
      <w:marRight w:val="0"/>
      <w:marTop w:val="0"/>
      <w:marBottom w:val="0"/>
      <w:divBdr>
        <w:top w:val="none" w:sz="0" w:space="0" w:color="auto"/>
        <w:left w:val="none" w:sz="0" w:space="0" w:color="auto"/>
        <w:bottom w:val="none" w:sz="0" w:space="0" w:color="auto"/>
        <w:right w:val="none" w:sz="0" w:space="0" w:color="auto"/>
      </w:divBdr>
    </w:div>
    <w:div w:id="1640114481">
      <w:bodyDiv w:val="1"/>
      <w:marLeft w:val="0"/>
      <w:marRight w:val="0"/>
      <w:marTop w:val="0"/>
      <w:marBottom w:val="0"/>
      <w:divBdr>
        <w:top w:val="none" w:sz="0" w:space="0" w:color="auto"/>
        <w:left w:val="none" w:sz="0" w:space="0" w:color="auto"/>
        <w:bottom w:val="none" w:sz="0" w:space="0" w:color="auto"/>
        <w:right w:val="none" w:sz="0" w:space="0" w:color="auto"/>
      </w:divBdr>
    </w:div>
    <w:div w:id="1645160346">
      <w:bodyDiv w:val="1"/>
      <w:marLeft w:val="0"/>
      <w:marRight w:val="0"/>
      <w:marTop w:val="0"/>
      <w:marBottom w:val="0"/>
      <w:divBdr>
        <w:top w:val="none" w:sz="0" w:space="0" w:color="auto"/>
        <w:left w:val="none" w:sz="0" w:space="0" w:color="auto"/>
        <w:bottom w:val="none" w:sz="0" w:space="0" w:color="auto"/>
        <w:right w:val="none" w:sz="0" w:space="0" w:color="auto"/>
      </w:divBdr>
    </w:div>
    <w:div w:id="1655066081">
      <w:bodyDiv w:val="1"/>
      <w:marLeft w:val="0"/>
      <w:marRight w:val="0"/>
      <w:marTop w:val="0"/>
      <w:marBottom w:val="0"/>
      <w:divBdr>
        <w:top w:val="none" w:sz="0" w:space="0" w:color="auto"/>
        <w:left w:val="none" w:sz="0" w:space="0" w:color="auto"/>
        <w:bottom w:val="none" w:sz="0" w:space="0" w:color="auto"/>
        <w:right w:val="none" w:sz="0" w:space="0" w:color="auto"/>
      </w:divBdr>
    </w:div>
    <w:div w:id="1658921756">
      <w:bodyDiv w:val="1"/>
      <w:marLeft w:val="0"/>
      <w:marRight w:val="0"/>
      <w:marTop w:val="0"/>
      <w:marBottom w:val="0"/>
      <w:divBdr>
        <w:top w:val="none" w:sz="0" w:space="0" w:color="auto"/>
        <w:left w:val="none" w:sz="0" w:space="0" w:color="auto"/>
        <w:bottom w:val="none" w:sz="0" w:space="0" w:color="auto"/>
        <w:right w:val="none" w:sz="0" w:space="0" w:color="auto"/>
      </w:divBdr>
    </w:div>
    <w:div w:id="1662197917">
      <w:bodyDiv w:val="1"/>
      <w:marLeft w:val="0"/>
      <w:marRight w:val="0"/>
      <w:marTop w:val="0"/>
      <w:marBottom w:val="0"/>
      <w:divBdr>
        <w:top w:val="none" w:sz="0" w:space="0" w:color="auto"/>
        <w:left w:val="none" w:sz="0" w:space="0" w:color="auto"/>
        <w:bottom w:val="none" w:sz="0" w:space="0" w:color="auto"/>
        <w:right w:val="none" w:sz="0" w:space="0" w:color="auto"/>
      </w:divBdr>
    </w:div>
    <w:div w:id="1662344886">
      <w:bodyDiv w:val="1"/>
      <w:marLeft w:val="0"/>
      <w:marRight w:val="0"/>
      <w:marTop w:val="0"/>
      <w:marBottom w:val="0"/>
      <w:divBdr>
        <w:top w:val="none" w:sz="0" w:space="0" w:color="auto"/>
        <w:left w:val="none" w:sz="0" w:space="0" w:color="auto"/>
        <w:bottom w:val="none" w:sz="0" w:space="0" w:color="auto"/>
        <w:right w:val="none" w:sz="0" w:space="0" w:color="auto"/>
      </w:divBdr>
    </w:div>
    <w:div w:id="1666130535">
      <w:bodyDiv w:val="1"/>
      <w:marLeft w:val="0"/>
      <w:marRight w:val="0"/>
      <w:marTop w:val="0"/>
      <w:marBottom w:val="0"/>
      <w:divBdr>
        <w:top w:val="none" w:sz="0" w:space="0" w:color="auto"/>
        <w:left w:val="none" w:sz="0" w:space="0" w:color="auto"/>
        <w:bottom w:val="none" w:sz="0" w:space="0" w:color="auto"/>
        <w:right w:val="none" w:sz="0" w:space="0" w:color="auto"/>
      </w:divBdr>
    </w:div>
    <w:div w:id="1685550639">
      <w:bodyDiv w:val="1"/>
      <w:marLeft w:val="0"/>
      <w:marRight w:val="0"/>
      <w:marTop w:val="0"/>
      <w:marBottom w:val="0"/>
      <w:divBdr>
        <w:top w:val="none" w:sz="0" w:space="0" w:color="auto"/>
        <w:left w:val="none" w:sz="0" w:space="0" w:color="auto"/>
        <w:bottom w:val="none" w:sz="0" w:space="0" w:color="auto"/>
        <w:right w:val="none" w:sz="0" w:space="0" w:color="auto"/>
      </w:divBdr>
    </w:div>
    <w:div w:id="1688168240">
      <w:bodyDiv w:val="1"/>
      <w:marLeft w:val="0"/>
      <w:marRight w:val="0"/>
      <w:marTop w:val="0"/>
      <w:marBottom w:val="0"/>
      <w:divBdr>
        <w:top w:val="none" w:sz="0" w:space="0" w:color="auto"/>
        <w:left w:val="none" w:sz="0" w:space="0" w:color="auto"/>
        <w:bottom w:val="none" w:sz="0" w:space="0" w:color="auto"/>
        <w:right w:val="none" w:sz="0" w:space="0" w:color="auto"/>
      </w:divBdr>
    </w:div>
    <w:div w:id="1709407642">
      <w:bodyDiv w:val="1"/>
      <w:marLeft w:val="0"/>
      <w:marRight w:val="0"/>
      <w:marTop w:val="0"/>
      <w:marBottom w:val="0"/>
      <w:divBdr>
        <w:top w:val="none" w:sz="0" w:space="0" w:color="auto"/>
        <w:left w:val="none" w:sz="0" w:space="0" w:color="auto"/>
        <w:bottom w:val="none" w:sz="0" w:space="0" w:color="auto"/>
        <w:right w:val="none" w:sz="0" w:space="0" w:color="auto"/>
      </w:divBdr>
    </w:div>
    <w:div w:id="1718506264">
      <w:bodyDiv w:val="1"/>
      <w:marLeft w:val="0"/>
      <w:marRight w:val="0"/>
      <w:marTop w:val="0"/>
      <w:marBottom w:val="0"/>
      <w:divBdr>
        <w:top w:val="none" w:sz="0" w:space="0" w:color="auto"/>
        <w:left w:val="none" w:sz="0" w:space="0" w:color="auto"/>
        <w:bottom w:val="none" w:sz="0" w:space="0" w:color="auto"/>
        <w:right w:val="none" w:sz="0" w:space="0" w:color="auto"/>
      </w:divBdr>
    </w:div>
    <w:div w:id="1719818238">
      <w:bodyDiv w:val="1"/>
      <w:marLeft w:val="0"/>
      <w:marRight w:val="0"/>
      <w:marTop w:val="0"/>
      <w:marBottom w:val="0"/>
      <w:divBdr>
        <w:top w:val="none" w:sz="0" w:space="0" w:color="auto"/>
        <w:left w:val="none" w:sz="0" w:space="0" w:color="auto"/>
        <w:bottom w:val="none" w:sz="0" w:space="0" w:color="auto"/>
        <w:right w:val="none" w:sz="0" w:space="0" w:color="auto"/>
      </w:divBdr>
    </w:div>
    <w:div w:id="1727752371">
      <w:bodyDiv w:val="1"/>
      <w:marLeft w:val="0"/>
      <w:marRight w:val="0"/>
      <w:marTop w:val="0"/>
      <w:marBottom w:val="0"/>
      <w:divBdr>
        <w:top w:val="none" w:sz="0" w:space="0" w:color="auto"/>
        <w:left w:val="none" w:sz="0" w:space="0" w:color="auto"/>
        <w:bottom w:val="none" w:sz="0" w:space="0" w:color="auto"/>
        <w:right w:val="none" w:sz="0" w:space="0" w:color="auto"/>
      </w:divBdr>
    </w:div>
    <w:div w:id="1741444804">
      <w:bodyDiv w:val="1"/>
      <w:marLeft w:val="0"/>
      <w:marRight w:val="0"/>
      <w:marTop w:val="0"/>
      <w:marBottom w:val="0"/>
      <w:divBdr>
        <w:top w:val="none" w:sz="0" w:space="0" w:color="auto"/>
        <w:left w:val="none" w:sz="0" w:space="0" w:color="auto"/>
        <w:bottom w:val="none" w:sz="0" w:space="0" w:color="auto"/>
        <w:right w:val="none" w:sz="0" w:space="0" w:color="auto"/>
      </w:divBdr>
    </w:div>
    <w:div w:id="1743218703">
      <w:bodyDiv w:val="1"/>
      <w:marLeft w:val="0"/>
      <w:marRight w:val="0"/>
      <w:marTop w:val="0"/>
      <w:marBottom w:val="0"/>
      <w:divBdr>
        <w:top w:val="none" w:sz="0" w:space="0" w:color="auto"/>
        <w:left w:val="none" w:sz="0" w:space="0" w:color="auto"/>
        <w:bottom w:val="none" w:sz="0" w:space="0" w:color="auto"/>
        <w:right w:val="none" w:sz="0" w:space="0" w:color="auto"/>
      </w:divBdr>
    </w:div>
    <w:div w:id="1744378831">
      <w:bodyDiv w:val="1"/>
      <w:marLeft w:val="0"/>
      <w:marRight w:val="0"/>
      <w:marTop w:val="0"/>
      <w:marBottom w:val="0"/>
      <w:divBdr>
        <w:top w:val="none" w:sz="0" w:space="0" w:color="auto"/>
        <w:left w:val="none" w:sz="0" w:space="0" w:color="auto"/>
        <w:bottom w:val="none" w:sz="0" w:space="0" w:color="auto"/>
        <w:right w:val="none" w:sz="0" w:space="0" w:color="auto"/>
      </w:divBdr>
    </w:div>
    <w:div w:id="1747805241">
      <w:bodyDiv w:val="1"/>
      <w:marLeft w:val="0"/>
      <w:marRight w:val="0"/>
      <w:marTop w:val="0"/>
      <w:marBottom w:val="0"/>
      <w:divBdr>
        <w:top w:val="none" w:sz="0" w:space="0" w:color="auto"/>
        <w:left w:val="none" w:sz="0" w:space="0" w:color="auto"/>
        <w:bottom w:val="none" w:sz="0" w:space="0" w:color="auto"/>
        <w:right w:val="none" w:sz="0" w:space="0" w:color="auto"/>
      </w:divBdr>
    </w:div>
    <w:div w:id="1752388910">
      <w:bodyDiv w:val="1"/>
      <w:marLeft w:val="0"/>
      <w:marRight w:val="0"/>
      <w:marTop w:val="0"/>
      <w:marBottom w:val="0"/>
      <w:divBdr>
        <w:top w:val="none" w:sz="0" w:space="0" w:color="auto"/>
        <w:left w:val="none" w:sz="0" w:space="0" w:color="auto"/>
        <w:bottom w:val="none" w:sz="0" w:space="0" w:color="auto"/>
        <w:right w:val="none" w:sz="0" w:space="0" w:color="auto"/>
      </w:divBdr>
    </w:div>
    <w:div w:id="1808088059">
      <w:bodyDiv w:val="1"/>
      <w:marLeft w:val="0"/>
      <w:marRight w:val="0"/>
      <w:marTop w:val="0"/>
      <w:marBottom w:val="0"/>
      <w:divBdr>
        <w:top w:val="none" w:sz="0" w:space="0" w:color="auto"/>
        <w:left w:val="none" w:sz="0" w:space="0" w:color="auto"/>
        <w:bottom w:val="none" w:sz="0" w:space="0" w:color="auto"/>
        <w:right w:val="none" w:sz="0" w:space="0" w:color="auto"/>
      </w:divBdr>
    </w:div>
    <w:div w:id="1860850651">
      <w:bodyDiv w:val="1"/>
      <w:marLeft w:val="0"/>
      <w:marRight w:val="0"/>
      <w:marTop w:val="0"/>
      <w:marBottom w:val="0"/>
      <w:divBdr>
        <w:top w:val="none" w:sz="0" w:space="0" w:color="auto"/>
        <w:left w:val="none" w:sz="0" w:space="0" w:color="auto"/>
        <w:bottom w:val="none" w:sz="0" w:space="0" w:color="auto"/>
        <w:right w:val="none" w:sz="0" w:space="0" w:color="auto"/>
      </w:divBdr>
    </w:div>
    <w:div w:id="1860972933">
      <w:bodyDiv w:val="1"/>
      <w:marLeft w:val="0"/>
      <w:marRight w:val="0"/>
      <w:marTop w:val="0"/>
      <w:marBottom w:val="0"/>
      <w:divBdr>
        <w:top w:val="none" w:sz="0" w:space="0" w:color="auto"/>
        <w:left w:val="none" w:sz="0" w:space="0" w:color="auto"/>
        <w:bottom w:val="none" w:sz="0" w:space="0" w:color="auto"/>
        <w:right w:val="none" w:sz="0" w:space="0" w:color="auto"/>
      </w:divBdr>
    </w:div>
    <w:div w:id="1871258450">
      <w:bodyDiv w:val="1"/>
      <w:marLeft w:val="0"/>
      <w:marRight w:val="0"/>
      <w:marTop w:val="0"/>
      <w:marBottom w:val="0"/>
      <w:divBdr>
        <w:top w:val="none" w:sz="0" w:space="0" w:color="auto"/>
        <w:left w:val="none" w:sz="0" w:space="0" w:color="auto"/>
        <w:bottom w:val="none" w:sz="0" w:space="0" w:color="auto"/>
        <w:right w:val="none" w:sz="0" w:space="0" w:color="auto"/>
      </w:divBdr>
    </w:div>
    <w:div w:id="1882941949">
      <w:bodyDiv w:val="1"/>
      <w:marLeft w:val="0"/>
      <w:marRight w:val="0"/>
      <w:marTop w:val="0"/>
      <w:marBottom w:val="0"/>
      <w:divBdr>
        <w:top w:val="none" w:sz="0" w:space="0" w:color="auto"/>
        <w:left w:val="none" w:sz="0" w:space="0" w:color="auto"/>
        <w:bottom w:val="none" w:sz="0" w:space="0" w:color="auto"/>
        <w:right w:val="none" w:sz="0" w:space="0" w:color="auto"/>
      </w:divBdr>
    </w:div>
    <w:div w:id="1889217687">
      <w:bodyDiv w:val="1"/>
      <w:marLeft w:val="0"/>
      <w:marRight w:val="0"/>
      <w:marTop w:val="0"/>
      <w:marBottom w:val="0"/>
      <w:divBdr>
        <w:top w:val="none" w:sz="0" w:space="0" w:color="auto"/>
        <w:left w:val="none" w:sz="0" w:space="0" w:color="auto"/>
        <w:bottom w:val="none" w:sz="0" w:space="0" w:color="auto"/>
        <w:right w:val="none" w:sz="0" w:space="0" w:color="auto"/>
      </w:divBdr>
    </w:div>
    <w:div w:id="1891721608">
      <w:bodyDiv w:val="1"/>
      <w:marLeft w:val="0"/>
      <w:marRight w:val="0"/>
      <w:marTop w:val="0"/>
      <w:marBottom w:val="0"/>
      <w:divBdr>
        <w:top w:val="none" w:sz="0" w:space="0" w:color="auto"/>
        <w:left w:val="none" w:sz="0" w:space="0" w:color="auto"/>
        <w:bottom w:val="none" w:sz="0" w:space="0" w:color="auto"/>
        <w:right w:val="none" w:sz="0" w:space="0" w:color="auto"/>
      </w:divBdr>
    </w:div>
    <w:div w:id="1898971411">
      <w:bodyDiv w:val="1"/>
      <w:marLeft w:val="0"/>
      <w:marRight w:val="0"/>
      <w:marTop w:val="0"/>
      <w:marBottom w:val="0"/>
      <w:divBdr>
        <w:top w:val="none" w:sz="0" w:space="0" w:color="auto"/>
        <w:left w:val="none" w:sz="0" w:space="0" w:color="auto"/>
        <w:bottom w:val="none" w:sz="0" w:space="0" w:color="auto"/>
        <w:right w:val="none" w:sz="0" w:space="0" w:color="auto"/>
      </w:divBdr>
    </w:div>
    <w:div w:id="1901213103">
      <w:bodyDiv w:val="1"/>
      <w:marLeft w:val="0"/>
      <w:marRight w:val="0"/>
      <w:marTop w:val="0"/>
      <w:marBottom w:val="0"/>
      <w:divBdr>
        <w:top w:val="none" w:sz="0" w:space="0" w:color="auto"/>
        <w:left w:val="none" w:sz="0" w:space="0" w:color="auto"/>
        <w:bottom w:val="none" w:sz="0" w:space="0" w:color="auto"/>
        <w:right w:val="none" w:sz="0" w:space="0" w:color="auto"/>
      </w:divBdr>
    </w:div>
    <w:div w:id="1906254413">
      <w:bodyDiv w:val="1"/>
      <w:marLeft w:val="0"/>
      <w:marRight w:val="0"/>
      <w:marTop w:val="0"/>
      <w:marBottom w:val="0"/>
      <w:divBdr>
        <w:top w:val="none" w:sz="0" w:space="0" w:color="auto"/>
        <w:left w:val="none" w:sz="0" w:space="0" w:color="auto"/>
        <w:bottom w:val="none" w:sz="0" w:space="0" w:color="auto"/>
        <w:right w:val="none" w:sz="0" w:space="0" w:color="auto"/>
      </w:divBdr>
    </w:div>
    <w:div w:id="1908683370">
      <w:bodyDiv w:val="1"/>
      <w:marLeft w:val="0"/>
      <w:marRight w:val="0"/>
      <w:marTop w:val="0"/>
      <w:marBottom w:val="0"/>
      <w:divBdr>
        <w:top w:val="none" w:sz="0" w:space="0" w:color="auto"/>
        <w:left w:val="none" w:sz="0" w:space="0" w:color="auto"/>
        <w:bottom w:val="none" w:sz="0" w:space="0" w:color="auto"/>
        <w:right w:val="none" w:sz="0" w:space="0" w:color="auto"/>
      </w:divBdr>
    </w:div>
    <w:div w:id="1931811345">
      <w:bodyDiv w:val="1"/>
      <w:marLeft w:val="0"/>
      <w:marRight w:val="0"/>
      <w:marTop w:val="0"/>
      <w:marBottom w:val="0"/>
      <w:divBdr>
        <w:top w:val="none" w:sz="0" w:space="0" w:color="auto"/>
        <w:left w:val="none" w:sz="0" w:space="0" w:color="auto"/>
        <w:bottom w:val="none" w:sz="0" w:space="0" w:color="auto"/>
        <w:right w:val="none" w:sz="0" w:space="0" w:color="auto"/>
      </w:divBdr>
    </w:div>
    <w:div w:id="1942448341">
      <w:bodyDiv w:val="1"/>
      <w:marLeft w:val="0"/>
      <w:marRight w:val="0"/>
      <w:marTop w:val="0"/>
      <w:marBottom w:val="0"/>
      <w:divBdr>
        <w:top w:val="none" w:sz="0" w:space="0" w:color="auto"/>
        <w:left w:val="none" w:sz="0" w:space="0" w:color="auto"/>
        <w:bottom w:val="none" w:sz="0" w:space="0" w:color="auto"/>
        <w:right w:val="none" w:sz="0" w:space="0" w:color="auto"/>
      </w:divBdr>
    </w:div>
    <w:div w:id="1964725441">
      <w:bodyDiv w:val="1"/>
      <w:marLeft w:val="0"/>
      <w:marRight w:val="0"/>
      <w:marTop w:val="0"/>
      <w:marBottom w:val="0"/>
      <w:divBdr>
        <w:top w:val="none" w:sz="0" w:space="0" w:color="auto"/>
        <w:left w:val="none" w:sz="0" w:space="0" w:color="auto"/>
        <w:bottom w:val="none" w:sz="0" w:space="0" w:color="auto"/>
        <w:right w:val="none" w:sz="0" w:space="0" w:color="auto"/>
      </w:divBdr>
    </w:div>
    <w:div w:id="1966497983">
      <w:bodyDiv w:val="1"/>
      <w:marLeft w:val="0"/>
      <w:marRight w:val="0"/>
      <w:marTop w:val="0"/>
      <w:marBottom w:val="0"/>
      <w:divBdr>
        <w:top w:val="none" w:sz="0" w:space="0" w:color="auto"/>
        <w:left w:val="none" w:sz="0" w:space="0" w:color="auto"/>
        <w:bottom w:val="none" w:sz="0" w:space="0" w:color="auto"/>
        <w:right w:val="none" w:sz="0" w:space="0" w:color="auto"/>
      </w:divBdr>
    </w:div>
    <w:div w:id="1968930460">
      <w:bodyDiv w:val="1"/>
      <w:marLeft w:val="0"/>
      <w:marRight w:val="0"/>
      <w:marTop w:val="0"/>
      <w:marBottom w:val="0"/>
      <w:divBdr>
        <w:top w:val="none" w:sz="0" w:space="0" w:color="auto"/>
        <w:left w:val="none" w:sz="0" w:space="0" w:color="auto"/>
        <w:bottom w:val="none" w:sz="0" w:space="0" w:color="auto"/>
        <w:right w:val="none" w:sz="0" w:space="0" w:color="auto"/>
      </w:divBdr>
    </w:div>
    <w:div w:id="1974169329">
      <w:bodyDiv w:val="1"/>
      <w:marLeft w:val="0"/>
      <w:marRight w:val="0"/>
      <w:marTop w:val="0"/>
      <w:marBottom w:val="0"/>
      <w:divBdr>
        <w:top w:val="none" w:sz="0" w:space="0" w:color="auto"/>
        <w:left w:val="none" w:sz="0" w:space="0" w:color="auto"/>
        <w:bottom w:val="none" w:sz="0" w:space="0" w:color="auto"/>
        <w:right w:val="none" w:sz="0" w:space="0" w:color="auto"/>
      </w:divBdr>
    </w:div>
    <w:div w:id="1981299922">
      <w:bodyDiv w:val="1"/>
      <w:marLeft w:val="0"/>
      <w:marRight w:val="0"/>
      <w:marTop w:val="0"/>
      <w:marBottom w:val="0"/>
      <w:divBdr>
        <w:top w:val="none" w:sz="0" w:space="0" w:color="auto"/>
        <w:left w:val="none" w:sz="0" w:space="0" w:color="auto"/>
        <w:bottom w:val="none" w:sz="0" w:space="0" w:color="auto"/>
        <w:right w:val="none" w:sz="0" w:space="0" w:color="auto"/>
      </w:divBdr>
    </w:div>
    <w:div w:id="1997218106">
      <w:bodyDiv w:val="1"/>
      <w:marLeft w:val="0"/>
      <w:marRight w:val="0"/>
      <w:marTop w:val="0"/>
      <w:marBottom w:val="0"/>
      <w:divBdr>
        <w:top w:val="none" w:sz="0" w:space="0" w:color="auto"/>
        <w:left w:val="none" w:sz="0" w:space="0" w:color="auto"/>
        <w:bottom w:val="none" w:sz="0" w:space="0" w:color="auto"/>
        <w:right w:val="none" w:sz="0" w:space="0" w:color="auto"/>
      </w:divBdr>
    </w:div>
    <w:div w:id="2006744084">
      <w:bodyDiv w:val="1"/>
      <w:marLeft w:val="0"/>
      <w:marRight w:val="0"/>
      <w:marTop w:val="0"/>
      <w:marBottom w:val="0"/>
      <w:divBdr>
        <w:top w:val="none" w:sz="0" w:space="0" w:color="auto"/>
        <w:left w:val="none" w:sz="0" w:space="0" w:color="auto"/>
        <w:bottom w:val="none" w:sz="0" w:space="0" w:color="auto"/>
        <w:right w:val="none" w:sz="0" w:space="0" w:color="auto"/>
      </w:divBdr>
    </w:div>
    <w:div w:id="2013024558">
      <w:bodyDiv w:val="1"/>
      <w:marLeft w:val="0"/>
      <w:marRight w:val="0"/>
      <w:marTop w:val="0"/>
      <w:marBottom w:val="0"/>
      <w:divBdr>
        <w:top w:val="none" w:sz="0" w:space="0" w:color="auto"/>
        <w:left w:val="none" w:sz="0" w:space="0" w:color="auto"/>
        <w:bottom w:val="none" w:sz="0" w:space="0" w:color="auto"/>
        <w:right w:val="none" w:sz="0" w:space="0" w:color="auto"/>
      </w:divBdr>
    </w:div>
    <w:div w:id="2015645682">
      <w:bodyDiv w:val="1"/>
      <w:marLeft w:val="0"/>
      <w:marRight w:val="0"/>
      <w:marTop w:val="0"/>
      <w:marBottom w:val="0"/>
      <w:divBdr>
        <w:top w:val="none" w:sz="0" w:space="0" w:color="auto"/>
        <w:left w:val="none" w:sz="0" w:space="0" w:color="auto"/>
        <w:bottom w:val="none" w:sz="0" w:space="0" w:color="auto"/>
        <w:right w:val="none" w:sz="0" w:space="0" w:color="auto"/>
      </w:divBdr>
    </w:div>
    <w:div w:id="2020427462">
      <w:bodyDiv w:val="1"/>
      <w:marLeft w:val="0"/>
      <w:marRight w:val="0"/>
      <w:marTop w:val="0"/>
      <w:marBottom w:val="0"/>
      <w:divBdr>
        <w:top w:val="none" w:sz="0" w:space="0" w:color="auto"/>
        <w:left w:val="none" w:sz="0" w:space="0" w:color="auto"/>
        <w:bottom w:val="none" w:sz="0" w:space="0" w:color="auto"/>
        <w:right w:val="none" w:sz="0" w:space="0" w:color="auto"/>
      </w:divBdr>
    </w:div>
    <w:div w:id="2026049910">
      <w:bodyDiv w:val="1"/>
      <w:marLeft w:val="0"/>
      <w:marRight w:val="0"/>
      <w:marTop w:val="0"/>
      <w:marBottom w:val="0"/>
      <w:divBdr>
        <w:top w:val="none" w:sz="0" w:space="0" w:color="auto"/>
        <w:left w:val="none" w:sz="0" w:space="0" w:color="auto"/>
        <w:bottom w:val="none" w:sz="0" w:space="0" w:color="auto"/>
        <w:right w:val="none" w:sz="0" w:space="0" w:color="auto"/>
      </w:divBdr>
    </w:div>
    <w:div w:id="2031643347">
      <w:bodyDiv w:val="1"/>
      <w:marLeft w:val="0"/>
      <w:marRight w:val="0"/>
      <w:marTop w:val="0"/>
      <w:marBottom w:val="0"/>
      <w:divBdr>
        <w:top w:val="none" w:sz="0" w:space="0" w:color="auto"/>
        <w:left w:val="none" w:sz="0" w:space="0" w:color="auto"/>
        <w:bottom w:val="none" w:sz="0" w:space="0" w:color="auto"/>
        <w:right w:val="none" w:sz="0" w:space="0" w:color="auto"/>
      </w:divBdr>
    </w:div>
    <w:div w:id="2049180794">
      <w:bodyDiv w:val="1"/>
      <w:marLeft w:val="0"/>
      <w:marRight w:val="0"/>
      <w:marTop w:val="0"/>
      <w:marBottom w:val="0"/>
      <w:divBdr>
        <w:top w:val="none" w:sz="0" w:space="0" w:color="auto"/>
        <w:left w:val="none" w:sz="0" w:space="0" w:color="auto"/>
        <w:bottom w:val="none" w:sz="0" w:space="0" w:color="auto"/>
        <w:right w:val="none" w:sz="0" w:space="0" w:color="auto"/>
      </w:divBdr>
    </w:div>
    <w:div w:id="2051032334">
      <w:bodyDiv w:val="1"/>
      <w:marLeft w:val="0"/>
      <w:marRight w:val="0"/>
      <w:marTop w:val="0"/>
      <w:marBottom w:val="0"/>
      <w:divBdr>
        <w:top w:val="none" w:sz="0" w:space="0" w:color="auto"/>
        <w:left w:val="none" w:sz="0" w:space="0" w:color="auto"/>
        <w:bottom w:val="none" w:sz="0" w:space="0" w:color="auto"/>
        <w:right w:val="none" w:sz="0" w:space="0" w:color="auto"/>
      </w:divBdr>
    </w:div>
    <w:div w:id="2080244666">
      <w:bodyDiv w:val="1"/>
      <w:marLeft w:val="0"/>
      <w:marRight w:val="0"/>
      <w:marTop w:val="0"/>
      <w:marBottom w:val="0"/>
      <w:divBdr>
        <w:top w:val="none" w:sz="0" w:space="0" w:color="auto"/>
        <w:left w:val="none" w:sz="0" w:space="0" w:color="auto"/>
        <w:bottom w:val="none" w:sz="0" w:space="0" w:color="auto"/>
        <w:right w:val="none" w:sz="0" w:space="0" w:color="auto"/>
      </w:divBdr>
    </w:div>
    <w:div w:id="2084372648">
      <w:bodyDiv w:val="1"/>
      <w:marLeft w:val="0"/>
      <w:marRight w:val="0"/>
      <w:marTop w:val="0"/>
      <w:marBottom w:val="0"/>
      <w:divBdr>
        <w:top w:val="none" w:sz="0" w:space="0" w:color="auto"/>
        <w:left w:val="none" w:sz="0" w:space="0" w:color="auto"/>
        <w:bottom w:val="none" w:sz="0" w:space="0" w:color="auto"/>
        <w:right w:val="none" w:sz="0" w:space="0" w:color="auto"/>
      </w:divBdr>
    </w:div>
    <w:div w:id="2093158485">
      <w:bodyDiv w:val="1"/>
      <w:marLeft w:val="0"/>
      <w:marRight w:val="0"/>
      <w:marTop w:val="0"/>
      <w:marBottom w:val="0"/>
      <w:divBdr>
        <w:top w:val="none" w:sz="0" w:space="0" w:color="auto"/>
        <w:left w:val="none" w:sz="0" w:space="0" w:color="auto"/>
        <w:bottom w:val="none" w:sz="0" w:space="0" w:color="auto"/>
        <w:right w:val="none" w:sz="0" w:space="0" w:color="auto"/>
      </w:divBdr>
    </w:div>
    <w:div w:id="2100756748">
      <w:bodyDiv w:val="1"/>
      <w:marLeft w:val="0"/>
      <w:marRight w:val="0"/>
      <w:marTop w:val="0"/>
      <w:marBottom w:val="0"/>
      <w:divBdr>
        <w:top w:val="none" w:sz="0" w:space="0" w:color="auto"/>
        <w:left w:val="none" w:sz="0" w:space="0" w:color="auto"/>
        <w:bottom w:val="none" w:sz="0" w:space="0" w:color="auto"/>
        <w:right w:val="none" w:sz="0" w:space="0" w:color="auto"/>
      </w:divBdr>
    </w:div>
    <w:div w:id="2107534260">
      <w:bodyDiv w:val="1"/>
      <w:marLeft w:val="0"/>
      <w:marRight w:val="0"/>
      <w:marTop w:val="0"/>
      <w:marBottom w:val="0"/>
      <w:divBdr>
        <w:top w:val="none" w:sz="0" w:space="0" w:color="auto"/>
        <w:left w:val="none" w:sz="0" w:space="0" w:color="auto"/>
        <w:bottom w:val="none" w:sz="0" w:space="0" w:color="auto"/>
        <w:right w:val="none" w:sz="0" w:space="0" w:color="auto"/>
      </w:divBdr>
      <w:divsChild>
        <w:div w:id="357631807">
          <w:marLeft w:val="547"/>
          <w:marRight w:val="0"/>
          <w:marTop w:val="0"/>
          <w:marBottom w:val="0"/>
          <w:divBdr>
            <w:top w:val="none" w:sz="0" w:space="0" w:color="auto"/>
            <w:left w:val="none" w:sz="0" w:space="0" w:color="auto"/>
            <w:bottom w:val="none" w:sz="0" w:space="0" w:color="auto"/>
            <w:right w:val="none" w:sz="0" w:space="0" w:color="auto"/>
          </w:divBdr>
        </w:div>
      </w:divsChild>
    </w:div>
    <w:div w:id="2109226164">
      <w:bodyDiv w:val="1"/>
      <w:marLeft w:val="0"/>
      <w:marRight w:val="0"/>
      <w:marTop w:val="0"/>
      <w:marBottom w:val="0"/>
      <w:divBdr>
        <w:top w:val="none" w:sz="0" w:space="0" w:color="auto"/>
        <w:left w:val="none" w:sz="0" w:space="0" w:color="auto"/>
        <w:bottom w:val="none" w:sz="0" w:space="0" w:color="auto"/>
        <w:right w:val="none" w:sz="0" w:space="0" w:color="auto"/>
      </w:divBdr>
    </w:div>
    <w:div w:id="2113353043">
      <w:bodyDiv w:val="1"/>
      <w:marLeft w:val="0"/>
      <w:marRight w:val="0"/>
      <w:marTop w:val="0"/>
      <w:marBottom w:val="0"/>
      <w:divBdr>
        <w:top w:val="none" w:sz="0" w:space="0" w:color="auto"/>
        <w:left w:val="none" w:sz="0" w:space="0" w:color="auto"/>
        <w:bottom w:val="none" w:sz="0" w:space="0" w:color="auto"/>
        <w:right w:val="none" w:sz="0" w:space="0" w:color="auto"/>
      </w:divBdr>
    </w:div>
    <w:div w:id="2114859175">
      <w:bodyDiv w:val="1"/>
      <w:marLeft w:val="0"/>
      <w:marRight w:val="0"/>
      <w:marTop w:val="0"/>
      <w:marBottom w:val="0"/>
      <w:divBdr>
        <w:top w:val="none" w:sz="0" w:space="0" w:color="auto"/>
        <w:left w:val="none" w:sz="0" w:space="0" w:color="auto"/>
        <w:bottom w:val="none" w:sz="0" w:space="0" w:color="auto"/>
        <w:right w:val="none" w:sz="0" w:space="0" w:color="auto"/>
      </w:divBdr>
    </w:div>
    <w:div w:id="2127384713">
      <w:bodyDiv w:val="1"/>
      <w:marLeft w:val="0"/>
      <w:marRight w:val="0"/>
      <w:marTop w:val="0"/>
      <w:marBottom w:val="0"/>
      <w:divBdr>
        <w:top w:val="none" w:sz="0" w:space="0" w:color="auto"/>
        <w:left w:val="none" w:sz="0" w:space="0" w:color="auto"/>
        <w:bottom w:val="none" w:sz="0" w:space="0" w:color="auto"/>
        <w:right w:val="none" w:sz="0" w:space="0" w:color="auto"/>
      </w:divBdr>
    </w:div>
    <w:div w:id="2128036555">
      <w:bodyDiv w:val="1"/>
      <w:marLeft w:val="0"/>
      <w:marRight w:val="0"/>
      <w:marTop w:val="0"/>
      <w:marBottom w:val="0"/>
      <w:divBdr>
        <w:top w:val="none" w:sz="0" w:space="0" w:color="auto"/>
        <w:left w:val="none" w:sz="0" w:space="0" w:color="auto"/>
        <w:bottom w:val="none" w:sz="0" w:space="0" w:color="auto"/>
        <w:right w:val="none" w:sz="0" w:space="0" w:color="auto"/>
      </w:divBdr>
    </w:div>
    <w:div w:id="213884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QuickStyle" Target="diagrams/quickStyle1.xml"/><Relationship Id="rId26" Type="http://schemas.openxmlformats.org/officeDocument/2006/relationships/image" Target="media/image3.emf"/><Relationship Id="rId39" Type="http://schemas.openxmlformats.org/officeDocument/2006/relationships/image" Target="media/image14.jpeg"/><Relationship Id="rId21" Type="http://schemas.openxmlformats.org/officeDocument/2006/relationships/diagramData" Target="diagrams/data2.xml"/><Relationship Id="rId34" Type="http://schemas.openxmlformats.org/officeDocument/2006/relationships/image" Target="media/image9.emf"/><Relationship Id="rId42" Type="http://schemas.openxmlformats.org/officeDocument/2006/relationships/image" Target="media/image17.png"/><Relationship Id="rId47" Type="http://schemas.openxmlformats.org/officeDocument/2006/relationships/image" Target="media/image22.jpeg"/><Relationship Id="rId50" Type="http://schemas.openxmlformats.org/officeDocument/2006/relationships/image" Target="media/image25.jpeg"/><Relationship Id="rId55" Type="http://schemas.openxmlformats.org/officeDocument/2006/relationships/image" Target="media/image3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header" Target="header3.xml"/><Relationship Id="rId11" Type="http://schemas.openxmlformats.org/officeDocument/2006/relationships/image" Target="media/image2.jpeg"/><Relationship Id="rId24" Type="http://schemas.openxmlformats.org/officeDocument/2006/relationships/diagramColors" Target="diagrams/colors2.xml"/><Relationship Id="rId32" Type="http://schemas.openxmlformats.org/officeDocument/2006/relationships/image" Target="media/image7.emf"/><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png"/><Relationship Id="rId53" Type="http://schemas.openxmlformats.org/officeDocument/2006/relationships/image" Target="media/image28.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diagramLayout" Target="diagrams/layout2.xml"/><Relationship Id="rId27" Type="http://schemas.openxmlformats.org/officeDocument/2006/relationships/image" Target="media/image4.jpeg"/><Relationship Id="rId30" Type="http://schemas.openxmlformats.org/officeDocument/2006/relationships/footer" Target="footer5.xml"/><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jpeg"/><Relationship Id="rId56" Type="http://schemas.openxmlformats.org/officeDocument/2006/relationships/image" Target="media/image31.png"/><Relationship Id="rId8" Type="http://schemas.openxmlformats.org/officeDocument/2006/relationships/header" Target="header1.xml"/><Relationship Id="rId51" Type="http://schemas.openxmlformats.org/officeDocument/2006/relationships/image" Target="media/image26.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image" Target="media/image8.emf"/><Relationship Id="rId38" Type="http://schemas.openxmlformats.org/officeDocument/2006/relationships/image" Target="media/image13.jpeg"/><Relationship Id="rId46" Type="http://schemas.openxmlformats.org/officeDocument/2006/relationships/image" Target="media/image21.png"/><Relationship Id="rId20" Type="http://schemas.microsoft.com/office/2007/relationships/diagramDrawing" Target="diagrams/drawing1.xml"/><Relationship Id="rId41" Type="http://schemas.openxmlformats.org/officeDocument/2006/relationships/image" Target="media/image16.jpeg"/><Relationship Id="rId54"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diagramQuickStyle" Target="diagrams/quickStyle2.xml"/><Relationship Id="rId28" Type="http://schemas.openxmlformats.org/officeDocument/2006/relationships/image" Target="media/image5.jpeg"/><Relationship Id="rId36" Type="http://schemas.openxmlformats.org/officeDocument/2006/relationships/image" Target="media/image11.jpeg"/><Relationship Id="rId49" Type="http://schemas.openxmlformats.org/officeDocument/2006/relationships/image" Target="media/image24.jpeg"/><Relationship Id="rId57"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image" Target="media/image6.emf"/><Relationship Id="rId44" Type="http://schemas.openxmlformats.org/officeDocument/2006/relationships/image" Target="media/image19.png"/><Relationship Id="rId52" Type="http://schemas.openxmlformats.org/officeDocument/2006/relationships/image" Target="media/image27.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734C09-2300-40F3-A253-83922B1F37C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GB"/>
        </a:p>
      </dgm:t>
    </dgm:pt>
    <dgm:pt modelId="{16C321A4-4E3B-4FC0-BE74-4CD317E7CDBB}">
      <dgm:prSet phldrT="[Text]" custT="1"/>
      <dgm:spPr>
        <a:solidFill>
          <a:srgbClr val="002060"/>
        </a:solidFill>
      </dgm:spPr>
      <dgm:t>
        <a:bodyPr/>
        <a:lstStyle/>
        <a:p>
          <a:pPr algn="l"/>
          <a:r>
            <a:rPr lang="lv-LV" sz="900" b="1"/>
            <a:t>Vispārējo ekspertu intervija</a:t>
          </a:r>
          <a:endParaRPr lang="en-GB" sz="900" b="1"/>
        </a:p>
      </dgm:t>
    </dgm:pt>
    <dgm:pt modelId="{16CDE65B-3525-439B-A631-AE523484558F}" type="parTrans" cxnId="{6004723C-EEC8-4E45-AADC-76A2E64C3D9E}">
      <dgm:prSet/>
      <dgm:spPr/>
      <dgm:t>
        <a:bodyPr/>
        <a:lstStyle/>
        <a:p>
          <a:pPr algn="l"/>
          <a:endParaRPr lang="en-GB" sz="2000"/>
        </a:p>
      </dgm:t>
    </dgm:pt>
    <dgm:pt modelId="{311A5D91-3807-40E4-BA17-A0247B6930CE}" type="sibTrans" cxnId="{6004723C-EEC8-4E45-AADC-76A2E64C3D9E}">
      <dgm:prSet/>
      <dgm:spPr/>
      <dgm:t>
        <a:bodyPr/>
        <a:lstStyle/>
        <a:p>
          <a:pPr algn="l"/>
          <a:endParaRPr lang="en-GB" sz="2000"/>
        </a:p>
      </dgm:t>
    </dgm:pt>
    <dgm:pt modelId="{1BA9B573-976A-427B-AD52-D9A9B7B2900B}">
      <dgm:prSet phldrT="[Text]" custT="1"/>
      <dgm:spPr>
        <a:solidFill>
          <a:srgbClr val="002060"/>
        </a:solidFill>
      </dgm:spPr>
      <dgm:t>
        <a:bodyPr/>
        <a:lstStyle/>
        <a:p>
          <a:pPr algn="l"/>
          <a:r>
            <a:rPr lang="lv-LV" sz="900" b="1"/>
            <a:t>Apakšnozaru ekspertu intervija</a:t>
          </a:r>
          <a:endParaRPr lang="en-GB" sz="900" b="1"/>
        </a:p>
      </dgm:t>
    </dgm:pt>
    <dgm:pt modelId="{FD09F8ED-1663-4E15-9335-650E58CF784E}" type="parTrans" cxnId="{A3D041F2-C023-4178-8D8E-9817CB32380C}">
      <dgm:prSet/>
      <dgm:spPr/>
      <dgm:t>
        <a:bodyPr/>
        <a:lstStyle/>
        <a:p>
          <a:pPr algn="l"/>
          <a:endParaRPr lang="en-GB" sz="2000"/>
        </a:p>
      </dgm:t>
    </dgm:pt>
    <dgm:pt modelId="{82126C64-7B19-4563-AD6B-3864EE827721}" type="sibTrans" cxnId="{A3D041F2-C023-4178-8D8E-9817CB32380C}">
      <dgm:prSet/>
      <dgm:spPr/>
      <dgm:t>
        <a:bodyPr/>
        <a:lstStyle/>
        <a:p>
          <a:pPr algn="l"/>
          <a:endParaRPr lang="en-GB" sz="2000"/>
        </a:p>
      </dgm:t>
    </dgm:pt>
    <dgm:pt modelId="{64BDB29F-067F-4327-99B4-85319231415D}">
      <dgm:prSet phldrT="[Text]" custT="1"/>
      <dgm:spPr/>
      <dgm:t>
        <a:bodyPr/>
        <a:lstStyle/>
        <a:p>
          <a:pPr algn="just"/>
          <a:r>
            <a:rPr lang="lv-LV" sz="900" b="1"/>
            <a:t>Pētīti: </a:t>
          </a:r>
          <a:r>
            <a:rPr lang="lv-LV" sz="900"/>
            <a:t>darbaspēka un būvmateriālu izmaksu izmaiņas ietekmējošie faktori; būvniecības izmaksu izmaiņu prognozes; ēnu ekonomikas apkarošanas pasākumu ietekme; būvniecības produkcijas apjoma ietekme uz izmaksām un nozares vidējo peļņas normu.</a:t>
          </a:r>
          <a:endParaRPr lang="en-GB" sz="900"/>
        </a:p>
      </dgm:t>
    </dgm:pt>
    <dgm:pt modelId="{9BC7372C-6994-475C-BCD4-865EB7D9D693}" type="parTrans" cxnId="{3EC62722-757D-4BC6-B878-3DDD2B539C4F}">
      <dgm:prSet/>
      <dgm:spPr/>
      <dgm:t>
        <a:bodyPr/>
        <a:lstStyle/>
        <a:p>
          <a:pPr algn="l"/>
          <a:endParaRPr lang="en-GB" sz="2000"/>
        </a:p>
      </dgm:t>
    </dgm:pt>
    <dgm:pt modelId="{B1EA7C28-0583-4D05-8B33-F966A784160B}" type="sibTrans" cxnId="{3EC62722-757D-4BC6-B878-3DDD2B539C4F}">
      <dgm:prSet/>
      <dgm:spPr/>
      <dgm:t>
        <a:bodyPr/>
        <a:lstStyle/>
        <a:p>
          <a:pPr algn="l"/>
          <a:endParaRPr lang="en-GB" sz="2000"/>
        </a:p>
      </dgm:t>
    </dgm:pt>
    <dgm:pt modelId="{CA1C8FF9-3E78-4874-B05D-C4A73C1936EA}">
      <dgm:prSet phldrT="[Text]" custT="1"/>
      <dgm:spPr/>
      <dgm:t>
        <a:bodyPr/>
        <a:lstStyle/>
        <a:p>
          <a:pPr algn="just"/>
          <a:r>
            <a:rPr lang="lv-LV" sz="900" b="1"/>
            <a:t>Piedalījās: 29</a:t>
          </a:r>
          <a:r>
            <a:rPr lang="lv-LV" sz="900"/>
            <a:t> organizācijas, kas pārstāv privāto sektoru, kas saistīts ar būvniecības nozari, valsts iestādes, nevalstiskās organizācijas, akadēmiskas iestādes un bankas. </a:t>
          </a:r>
          <a:endParaRPr lang="en-GB" sz="900" b="1"/>
        </a:p>
      </dgm:t>
    </dgm:pt>
    <dgm:pt modelId="{5CD13223-869D-4693-B51D-1656C18264AB}" type="parTrans" cxnId="{34978688-FCFC-48B4-9A63-546546197FBF}">
      <dgm:prSet/>
      <dgm:spPr/>
      <dgm:t>
        <a:bodyPr/>
        <a:lstStyle/>
        <a:p>
          <a:pPr algn="l"/>
          <a:endParaRPr lang="en-GB" sz="2000"/>
        </a:p>
      </dgm:t>
    </dgm:pt>
    <dgm:pt modelId="{A3D8869A-3F79-4C73-A8FC-01D8570FC2CA}" type="sibTrans" cxnId="{34978688-FCFC-48B4-9A63-546546197FBF}">
      <dgm:prSet/>
      <dgm:spPr/>
      <dgm:t>
        <a:bodyPr/>
        <a:lstStyle/>
        <a:p>
          <a:pPr algn="l"/>
          <a:endParaRPr lang="en-GB" sz="2000"/>
        </a:p>
      </dgm:t>
    </dgm:pt>
    <dgm:pt modelId="{1650BB1B-5BC8-46A9-82A7-95817D873372}">
      <dgm:prSet custT="1"/>
      <dgm:spPr/>
      <dgm:t>
        <a:bodyPr/>
        <a:lstStyle/>
        <a:p>
          <a:pPr algn="just"/>
          <a:r>
            <a:rPr lang="lv-LV" sz="900" b="1"/>
            <a:t>Piedalījās: 20 </a:t>
          </a:r>
          <a:r>
            <a:rPr lang="lv-LV" sz="900"/>
            <a:t>dažādus uzņēmumus un organizācijas pārstāvoši respondenti, kas reprezentē būvniecības nozari, to pārstāvošas profesionālās asociācijas un savienības, valsts iestādes, nevalstiskās organizācijas, akadēmiskas iestādes, bankas, kā arī ar būvniecības nozari saistītie privātā sektora pārstāvji.</a:t>
          </a:r>
          <a:endParaRPr lang="en-GB" sz="900"/>
        </a:p>
      </dgm:t>
    </dgm:pt>
    <dgm:pt modelId="{DB6EFD35-CD96-423B-974C-B2DEEDB6A0DB}" type="parTrans" cxnId="{B6C1D39E-91C7-4733-81D2-D524B764018D}">
      <dgm:prSet/>
      <dgm:spPr/>
      <dgm:t>
        <a:bodyPr/>
        <a:lstStyle/>
        <a:p>
          <a:pPr algn="l"/>
          <a:endParaRPr lang="en-GB" sz="2000"/>
        </a:p>
      </dgm:t>
    </dgm:pt>
    <dgm:pt modelId="{43D22C13-A12B-4733-AE2F-476EDF7BBADD}" type="sibTrans" cxnId="{B6C1D39E-91C7-4733-81D2-D524B764018D}">
      <dgm:prSet/>
      <dgm:spPr/>
      <dgm:t>
        <a:bodyPr/>
        <a:lstStyle/>
        <a:p>
          <a:pPr algn="l"/>
          <a:endParaRPr lang="en-GB" sz="2000"/>
        </a:p>
      </dgm:t>
    </dgm:pt>
    <dgm:pt modelId="{135F0121-AD96-44C9-9F31-1D074BD30DB2}">
      <dgm:prSet phldrT="[Text]" custT="1"/>
      <dgm:spPr/>
      <dgm:t>
        <a:bodyPr/>
        <a:lstStyle/>
        <a:p>
          <a:pPr algn="just"/>
          <a:r>
            <a:rPr lang="lv-LV" sz="900" b="1"/>
            <a:t>Piesaistīti eksperti no piecām uzņēmumu grupām: </a:t>
          </a:r>
          <a:r>
            <a:rPr lang="lv-LV" sz="900"/>
            <a:t>Dzīvojamo un nedzīvojamo ēku būvniecība; Transporta objektu būvniecība; Pazemes maģistrālo cauruļvadu būvniecība; Komplekso būvju ražošanas uzņēmumos būvniecība; Citu inženierbūvju būvniecība, tajā skaitā elektropārvades līniju būvniecība.</a:t>
          </a:r>
          <a:endParaRPr lang="en-GB" sz="900" b="1"/>
        </a:p>
      </dgm:t>
    </dgm:pt>
    <dgm:pt modelId="{B22CC68F-0183-4310-A707-30297A0BEB2A}" type="parTrans" cxnId="{09AAC34C-D55F-4BD5-A3BA-C7D2E7F0F972}">
      <dgm:prSet/>
      <dgm:spPr/>
      <dgm:t>
        <a:bodyPr/>
        <a:lstStyle/>
        <a:p>
          <a:pPr algn="l"/>
          <a:endParaRPr lang="en-GB" sz="2000"/>
        </a:p>
      </dgm:t>
    </dgm:pt>
    <dgm:pt modelId="{31AECED0-84E9-4A2C-8A51-B4790AA96935}" type="sibTrans" cxnId="{09AAC34C-D55F-4BD5-A3BA-C7D2E7F0F972}">
      <dgm:prSet/>
      <dgm:spPr/>
      <dgm:t>
        <a:bodyPr/>
        <a:lstStyle/>
        <a:p>
          <a:pPr algn="l"/>
          <a:endParaRPr lang="en-GB" sz="2000"/>
        </a:p>
      </dgm:t>
    </dgm:pt>
    <dgm:pt modelId="{9E09D268-BEF6-4192-90FD-46B38C2DD32B}">
      <dgm:prSet phldrT="[Text]" custT="1"/>
      <dgm:spPr/>
      <dgm:t>
        <a:bodyPr/>
        <a:lstStyle/>
        <a:p>
          <a:pPr algn="just"/>
          <a:r>
            <a:rPr lang="lv-LV" sz="900"/>
            <a:t>Katras grupas ekspertiem tika </a:t>
          </a:r>
          <a:r>
            <a:rPr lang="lv-LV" sz="900" b="1"/>
            <a:t>izstrādāti pielāgoti jautājumi</a:t>
          </a:r>
          <a:r>
            <a:rPr lang="lv-LV" sz="900"/>
            <a:t>, kas tika apvienoti ar kopējiem jautājumiem no vispārējo ekspertu intervijas. Kopējie jautājumi tika vērsti uz būvniecības nozares attīstības novērtējumu, pielāgotie jautājumi bija vērsti uz noteiktās apakšnozares attīstības tendencēm, ietekmējošiem faktoriem u.c.</a:t>
          </a:r>
          <a:endParaRPr lang="en-GB" sz="900" b="1"/>
        </a:p>
      </dgm:t>
    </dgm:pt>
    <dgm:pt modelId="{90116982-1494-42B9-AD9A-98EF25D9E141}" type="parTrans" cxnId="{BE223E95-0415-4F2B-AFE8-F10F84BB5DDD}">
      <dgm:prSet/>
      <dgm:spPr/>
      <dgm:t>
        <a:bodyPr/>
        <a:lstStyle/>
        <a:p>
          <a:pPr algn="l"/>
          <a:endParaRPr lang="en-GB"/>
        </a:p>
      </dgm:t>
    </dgm:pt>
    <dgm:pt modelId="{4A9518E3-5CE7-4F49-9B0A-E507143BA95A}" type="sibTrans" cxnId="{BE223E95-0415-4F2B-AFE8-F10F84BB5DDD}">
      <dgm:prSet/>
      <dgm:spPr/>
      <dgm:t>
        <a:bodyPr/>
        <a:lstStyle/>
        <a:p>
          <a:pPr algn="l"/>
          <a:endParaRPr lang="en-GB"/>
        </a:p>
      </dgm:t>
    </dgm:pt>
    <dgm:pt modelId="{7BFF7426-26A0-4D91-868E-7DCB36B5A1F6}">
      <dgm:prSet phldrT="[Text]" custT="1"/>
      <dgm:spPr/>
      <dgm:t>
        <a:bodyPr/>
        <a:lstStyle/>
        <a:p>
          <a:pPr algn="just"/>
          <a:r>
            <a:rPr lang="lv-LV" sz="900" b="1"/>
            <a:t>Piesaistīti makroekonomikas eksperti</a:t>
          </a:r>
          <a:r>
            <a:rPr lang="lv-LV" sz="900"/>
            <a:t>, kuru kompetences joma ietver būvniecības ietekmes izvērtējumu uz tautsaimniecību.</a:t>
          </a:r>
          <a:endParaRPr lang="en-GB" sz="900"/>
        </a:p>
      </dgm:t>
    </dgm:pt>
    <dgm:pt modelId="{5C0200B4-AE5A-4392-9F4A-2C3678E946CF}" type="parTrans" cxnId="{C3D1CA62-5EE5-4537-8FA7-170BEB8B4DD8}">
      <dgm:prSet/>
      <dgm:spPr/>
      <dgm:t>
        <a:bodyPr/>
        <a:lstStyle/>
        <a:p>
          <a:pPr algn="l"/>
          <a:endParaRPr lang="en-GB"/>
        </a:p>
      </dgm:t>
    </dgm:pt>
    <dgm:pt modelId="{4BE6EA84-FEDC-48D1-B8A6-D922E8AF237B}" type="sibTrans" cxnId="{C3D1CA62-5EE5-4537-8FA7-170BEB8B4DD8}">
      <dgm:prSet/>
      <dgm:spPr/>
      <dgm:t>
        <a:bodyPr/>
        <a:lstStyle/>
        <a:p>
          <a:pPr algn="l"/>
          <a:endParaRPr lang="en-GB"/>
        </a:p>
      </dgm:t>
    </dgm:pt>
    <dgm:pt modelId="{1A129311-16E1-4453-A508-9F87B81AFA9C}" type="pres">
      <dgm:prSet presAssocID="{3E734C09-2300-40F3-A253-83922B1F37C7}" presName="linear" presStyleCnt="0">
        <dgm:presLayoutVars>
          <dgm:dir/>
          <dgm:animLvl val="lvl"/>
          <dgm:resizeHandles val="exact"/>
        </dgm:presLayoutVars>
      </dgm:prSet>
      <dgm:spPr/>
      <dgm:t>
        <a:bodyPr/>
        <a:lstStyle/>
        <a:p>
          <a:endParaRPr lang="en-US"/>
        </a:p>
      </dgm:t>
    </dgm:pt>
    <dgm:pt modelId="{1368BA87-7F0A-454C-AD30-514D197FA795}" type="pres">
      <dgm:prSet presAssocID="{16C321A4-4E3B-4FC0-BE74-4CD317E7CDBB}" presName="parentLin" presStyleCnt="0"/>
      <dgm:spPr/>
    </dgm:pt>
    <dgm:pt modelId="{D6540908-D93B-4F41-A1BB-BE6711FC20D4}" type="pres">
      <dgm:prSet presAssocID="{16C321A4-4E3B-4FC0-BE74-4CD317E7CDBB}" presName="parentLeftMargin" presStyleLbl="node1" presStyleIdx="0" presStyleCnt="2"/>
      <dgm:spPr/>
      <dgm:t>
        <a:bodyPr/>
        <a:lstStyle/>
        <a:p>
          <a:endParaRPr lang="en-US"/>
        </a:p>
      </dgm:t>
    </dgm:pt>
    <dgm:pt modelId="{5C488E9A-4DD3-416E-A2D0-85F1E21DFBB2}" type="pres">
      <dgm:prSet presAssocID="{16C321A4-4E3B-4FC0-BE74-4CD317E7CDBB}" presName="parentText" presStyleLbl="node1" presStyleIdx="0" presStyleCnt="2" custLinFactNeighborX="16668" custLinFactNeighborY="22962">
        <dgm:presLayoutVars>
          <dgm:chMax val="0"/>
          <dgm:bulletEnabled val="1"/>
        </dgm:presLayoutVars>
      </dgm:prSet>
      <dgm:spPr/>
      <dgm:t>
        <a:bodyPr/>
        <a:lstStyle/>
        <a:p>
          <a:endParaRPr lang="en-US"/>
        </a:p>
      </dgm:t>
    </dgm:pt>
    <dgm:pt modelId="{3BCF8BC8-9D3D-43F7-A630-5AC84897ED45}" type="pres">
      <dgm:prSet presAssocID="{16C321A4-4E3B-4FC0-BE74-4CD317E7CDBB}" presName="negativeSpace" presStyleCnt="0"/>
      <dgm:spPr/>
    </dgm:pt>
    <dgm:pt modelId="{ECF8E06B-4953-4B61-B759-F26FB489DC54}" type="pres">
      <dgm:prSet presAssocID="{16C321A4-4E3B-4FC0-BE74-4CD317E7CDBB}" presName="childText" presStyleLbl="conFgAcc1" presStyleIdx="0" presStyleCnt="2">
        <dgm:presLayoutVars>
          <dgm:bulletEnabled val="1"/>
        </dgm:presLayoutVars>
      </dgm:prSet>
      <dgm:spPr/>
      <dgm:t>
        <a:bodyPr/>
        <a:lstStyle/>
        <a:p>
          <a:endParaRPr lang="en-US"/>
        </a:p>
      </dgm:t>
    </dgm:pt>
    <dgm:pt modelId="{0F5F8213-CF4D-4736-9E9A-5AE209FE38A7}" type="pres">
      <dgm:prSet presAssocID="{311A5D91-3807-40E4-BA17-A0247B6930CE}" presName="spaceBetweenRectangles" presStyleCnt="0"/>
      <dgm:spPr/>
    </dgm:pt>
    <dgm:pt modelId="{4F87AF7A-A3B5-40DD-8CB5-9F2372758A1B}" type="pres">
      <dgm:prSet presAssocID="{1BA9B573-976A-427B-AD52-D9A9B7B2900B}" presName="parentLin" presStyleCnt="0"/>
      <dgm:spPr/>
    </dgm:pt>
    <dgm:pt modelId="{D9BC25B1-856D-4F66-92B1-344301226DD8}" type="pres">
      <dgm:prSet presAssocID="{1BA9B573-976A-427B-AD52-D9A9B7B2900B}" presName="parentLeftMargin" presStyleLbl="node1" presStyleIdx="0" presStyleCnt="2"/>
      <dgm:spPr/>
      <dgm:t>
        <a:bodyPr/>
        <a:lstStyle/>
        <a:p>
          <a:endParaRPr lang="en-US"/>
        </a:p>
      </dgm:t>
    </dgm:pt>
    <dgm:pt modelId="{2FAF93DC-7685-4AF6-8A72-2FF465B1606A}" type="pres">
      <dgm:prSet presAssocID="{1BA9B573-976A-427B-AD52-D9A9B7B2900B}" presName="parentText" presStyleLbl="node1" presStyleIdx="1" presStyleCnt="2" custLinFactNeighborX="2778" custLinFactNeighborY="12907">
        <dgm:presLayoutVars>
          <dgm:chMax val="0"/>
          <dgm:bulletEnabled val="1"/>
        </dgm:presLayoutVars>
      </dgm:prSet>
      <dgm:spPr/>
      <dgm:t>
        <a:bodyPr/>
        <a:lstStyle/>
        <a:p>
          <a:endParaRPr lang="en-US"/>
        </a:p>
      </dgm:t>
    </dgm:pt>
    <dgm:pt modelId="{7EF45D2C-1E38-4FA5-9149-C50AEA63C983}" type="pres">
      <dgm:prSet presAssocID="{1BA9B573-976A-427B-AD52-D9A9B7B2900B}" presName="negativeSpace" presStyleCnt="0"/>
      <dgm:spPr/>
    </dgm:pt>
    <dgm:pt modelId="{5011B033-A164-4872-B766-50030ED3C943}" type="pres">
      <dgm:prSet presAssocID="{1BA9B573-976A-427B-AD52-D9A9B7B2900B}" presName="childText" presStyleLbl="conFgAcc1" presStyleIdx="1" presStyleCnt="2">
        <dgm:presLayoutVars>
          <dgm:bulletEnabled val="1"/>
        </dgm:presLayoutVars>
      </dgm:prSet>
      <dgm:spPr/>
      <dgm:t>
        <a:bodyPr/>
        <a:lstStyle/>
        <a:p>
          <a:endParaRPr lang="en-US"/>
        </a:p>
      </dgm:t>
    </dgm:pt>
  </dgm:ptLst>
  <dgm:cxnLst>
    <dgm:cxn modelId="{6A46F418-CB3A-4930-91E5-16821DAD6B3A}" type="presOf" srcId="{1650BB1B-5BC8-46A9-82A7-95817D873372}" destId="{ECF8E06B-4953-4B61-B759-F26FB489DC54}" srcOrd="0" destOrd="0" presId="urn:microsoft.com/office/officeart/2005/8/layout/list1"/>
    <dgm:cxn modelId="{00C537B6-D3F0-46DB-99F4-DF0E83C8A76F}" type="presOf" srcId="{135F0121-AD96-44C9-9F31-1D074BD30DB2}" destId="{5011B033-A164-4872-B766-50030ED3C943}" srcOrd="0" destOrd="1" presId="urn:microsoft.com/office/officeart/2005/8/layout/list1"/>
    <dgm:cxn modelId="{34978688-FCFC-48B4-9A63-546546197FBF}" srcId="{1BA9B573-976A-427B-AD52-D9A9B7B2900B}" destId="{CA1C8FF9-3E78-4874-B05D-C4A73C1936EA}" srcOrd="0" destOrd="0" parTransId="{5CD13223-869D-4693-B51D-1656C18264AB}" sibTransId="{A3D8869A-3F79-4C73-A8FC-01D8570FC2CA}"/>
    <dgm:cxn modelId="{09AAC34C-D55F-4BD5-A3BA-C7D2E7F0F972}" srcId="{1BA9B573-976A-427B-AD52-D9A9B7B2900B}" destId="{135F0121-AD96-44C9-9F31-1D074BD30DB2}" srcOrd="1" destOrd="0" parTransId="{B22CC68F-0183-4310-A707-30297A0BEB2A}" sibTransId="{31AECED0-84E9-4A2C-8A51-B4790AA96935}"/>
    <dgm:cxn modelId="{6DA995F7-C39A-4B4A-B0FE-650F92786ADE}" type="presOf" srcId="{1BA9B573-976A-427B-AD52-D9A9B7B2900B}" destId="{D9BC25B1-856D-4F66-92B1-344301226DD8}" srcOrd="0" destOrd="0" presId="urn:microsoft.com/office/officeart/2005/8/layout/list1"/>
    <dgm:cxn modelId="{8BE4F40F-21DE-4BB6-97C2-03027D5F0F94}" type="presOf" srcId="{16C321A4-4E3B-4FC0-BE74-4CD317E7CDBB}" destId="{5C488E9A-4DD3-416E-A2D0-85F1E21DFBB2}" srcOrd="1" destOrd="0" presId="urn:microsoft.com/office/officeart/2005/8/layout/list1"/>
    <dgm:cxn modelId="{A3D041F2-C023-4178-8D8E-9817CB32380C}" srcId="{3E734C09-2300-40F3-A253-83922B1F37C7}" destId="{1BA9B573-976A-427B-AD52-D9A9B7B2900B}" srcOrd="1" destOrd="0" parTransId="{FD09F8ED-1663-4E15-9335-650E58CF784E}" sibTransId="{82126C64-7B19-4563-AD6B-3864EE827721}"/>
    <dgm:cxn modelId="{6004723C-EEC8-4E45-AADC-76A2E64C3D9E}" srcId="{3E734C09-2300-40F3-A253-83922B1F37C7}" destId="{16C321A4-4E3B-4FC0-BE74-4CD317E7CDBB}" srcOrd="0" destOrd="0" parTransId="{16CDE65B-3525-439B-A631-AE523484558F}" sibTransId="{311A5D91-3807-40E4-BA17-A0247B6930CE}"/>
    <dgm:cxn modelId="{8CB06088-F0ED-489F-881B-B9760485F676}" type="presOf" srcId="{64BDB29F-067F-4327-99B4-85319231415D}" destId="{ECF8E06B-4953-4B61-B759-F26FB489DC54}" srcOrd="0" destOrd="1" presId="urn:microsoft.com/office/officeart/2005/8/layout/list1"/>
    <dgm:cxn modelId="{24D752DD-7E5C-41C9-8DC3-11790BAEA44A}" type="presOf" srcId="{16C321A4-4E3B-4FC0-BE74-4CD317E7CDBB}" destId="{D6540908-D93B-4F41-A1BB-BE6711FC20D4}" srcOrd="0" destOrd="0" presId="urn:microsoft.com/office/officeart/2005/8/layout/list1"/>
    <dgm:cxn modelId="{62955904-D330-4BB4-AC0B-AC0C498AC417}" type="presOf" srcId="{9E09D268-BEF6-4192-90FD-46B38C2DD32B}" destId="{5011B033-A164-4872-B766-50030ED3C943}" srcOrd="0" destOrd="2" presId="urn:microsoft.com/office/officeart/2005/8/layout/list1"/>
    <dgm:cxn modelId="{7981BF48-1C41-463E-A86A-31CCB71DBDC2}" type="presOf" srcId="{3E734C09-2300-40F3-A253-83922B1F37C7}" destId="{1A129311-16E1-4453-A508-9F87B81AFA9C}" srcOrd="0" destOrd="0" presId="urn:microsoft.com/office/officeart/2005/8/layout/list1"/>
    <dgm:cxn modelId="{B6C1D39E-91C7-4733-81D2-D524B764018D}" srcId="{16C321A4-4E3B-4FC0-BE74-4CD317E7CDBB}" destId="{1650BB1B-5BC8-46A9-82A7-95817D873372}" srcOrd="0" destOrd="0" parTransId="{DB6EFD35-CD96-423B-974C-B2DEEDB6A0DB}" sibTransId="{43D22C13-A12B-4733-AE2F-476EDF7BBADD}"/>
    <dgm:cxn modelId="{800EC866-9CDD-4320-B1DB-D8D04D1AA985}" type="presOf" srcId="{CA1C8FF9-3E78-4874-B05D-C4A73C1936EA}" destId="{5011B033-A164-4872-B766-50030ED3C943}" srcOrd="0" destOrd="0" presId="urn:microsoft.com/office/officeart/2005/8/layout/list1"/>
    <dgm:cxn modelId="{C3D1CA62-5EE5-4537-8FA7-170BEB8B4DD8}" srcId="{16C321A4-4E3B-4FC0-BE74-4CD317E7CDBB}" destId="{7BFF7426-26A0-4D91-868E-7DCB36B5A1F6}" srcOrd="2" destOrd="0" parTransId="{5C0200B4-AE5A-4392-9F4A-2C3678E946CF}" sibTransId="{4BE6EA84-FEDC-48D1-B8A6-D922E8AF237B}"/>
    <dgm:cxn modelId="{EA4E4989-9DB8-4267-99B7-F03F86C6186C}" type="presOf" srcId="{7BFF7426-26A0-4D91-868E-7DCB36B5A1F6}" destId="{ECF8E06B-4953-4B61-B759-F26FB489DC54}" srcOrd="0" destOrd="2" presId="urn:microsoft.com/office/officeart/2005/8/layout/list1"/>
    <dgm:cxn modelId="{3EC62722-757D-4BC6-B878-3DDD2B539C4F}" srcId="{16C321A4-4E3B-4FC0-BE74-4CD317E7CDBB}" destId="{64BDB29F-067F-4327-99B4-85319231415D}" srcOrd="1" destOrd="0" parTransId="{9BC7372C-6994-475C-BCD4-865EB7D9D693}" sibTransId="{B1EA7C28-0583-4D05-8B33-F966A784160B}"/>
    <dgm:cxn modelId="{4CB0F91B-184D-496E-B720-1072E65FACA5}" type="presOf" srcId="{1BA9B573-976A-427B-AD52-D9A9B7B2900B}" destId="{2FAF93DC-7685-4AF6-8A72-2FF465B1606A}" srcOrd="1" destOrd="0" presId="urn:microsoft.com/office/officeart/2005/8/layout/list1"/>
    <dgm:cxn modelId="{BE223E95-0415-4F2B-AFE8-F10F84BB5DDD}" srcId="{1BA9B573-976A-427B-AD52-D9A9B7B2900B}" destId="{9E09D268-BEF6-4192-90FD-46B38C2DD32B}" srcOrd="2" destOrd="0" parTransId="{90116982-1494-42B9-AD9A-98EF25D9E141}" sibTransId="{4A9518E3-5CE7-4F49-9B0A-E507143BA95A}"/>
    <dgm:cxn modelId="{DA7B36A8-1EC0-4269-BB2F-937B332F3291}" type="presParOf" srcId="{1A129311-16E1-4453-A508-9F87B81AFA9C}" destId="{1368BA87-7F0A-454C-AD30-514D197FA795}" srcOrd="0" destOrd="0" presId="urn:microsoft.com/office/officeart/2005/8/layout/list1"/>
    <dgm:cxn modelId="{43F1D781-362F-4B0E-A932-49D5086D7D62}" type="presParOf" srcId="{1368BA87-7F0A-454C-AD30-514D197FA795}" destId="{D6540908-D93B-4F41-A1BB-BE6711FC20D4}" srcOrd="0" destOrd="0" presId="urn:microsoft.com/office/officeart/2005/8/layout/list1"/>
    <dgm:cxn modelId="{ED7785F7-4B7E-46DE-96B3-812F0A11291F}" type="presParOf" srcId="{1368BA87-7F0A-454C-AD30-514D197FA795}" destId="{5C488E9A-4DD3-416E-A2D0-85F1E21DFBB2}" srcOrd="1" destOrd="0" presId="urn:microsoft.com/office/officeart/2005/8/layout/list1"/>
    <dgm:cxn modelId="{C1C7A0D0-7A18-4672-8089-2DB6738269A2}" type="presParOf" srcId="{1A129311-16E1-4453-A508-9F87B81AFA9C}" destId="{3BCF8BC8-9D3D-43F7-A630-5AC84897ED45}" srcOrd="1" destOrd="0" presId="urn:microsoft.com/office/officeart/2005/8/layout/list1"/>
    <dgm:cxn modelId="{D00C7993-9D52-42D4-A2C1-16C04382F88F}" type="presParOf" srcId="{1A129311-16E1-4453-A508-9F87B81AFA9C}" destId="{ECF8E06B-4953-4B61-B759-F26FB489DC54}" srcOrd="2" destOrd="0" presId="urn:microsoft.com/office/officeart/2005/8/layout/list1"/>
    <dgm:cxn modelId="{8789B1A0-362B-47AE-ABA4-3DF6F1B0F696}" type="presParOf" srcId="{1A129311-16E1-4453-A508-9F87B81AFA9C}" destId="{0F5F8213-CF4D-4736-9E9A-5AE209FE38A7}" srcOrd="3" destOrd="0" presId="urn:microsoft.com/office/officeart/2005/8/layout/list1"/>
    <dgm:cxn modelId="{ACCA5945-D1E0-4AA6-ACC6-0A6C669AA0C7}" type="presParOf" srcId="{1A129311-16E1-4453-A508-9F87B81AFA9C}" destId="{4F87AF7A-A3B5-40DD-8CB5-9F2372758A1B}" srcOrd="4" destOrd="0" presId="urn:microsoft.com/office/officeart/2005/8/layout/list1"/>
    <dgm:cxn modelId="{3288B4A9-51E8-43C6-BEEA-9A94B01A2896}" type="presParOf" srcId="{4F87AF7A-A3B5-40DD-8CB5-9F2372758A1B}" destId="{D9BC25B1-856D-4F66-92B1-344301226DD8}" srcOrd="0" destOrd="0" presId="urn:microsoft.com/office/officeart/2005/8/layout/list1"/>
    <dgm:cxn modelId="{935FCF67-21C6-4F93-BFCD-3F997C6C2830}" type="presParOf" srcId="{4F87AF7A-A3B5-40DD-8CB5-9F2372758A1B}" destId="{2FAF93DC-7685-4AF6-8A72-2FF465B1606A}" srcOrd="1" destOrd="0" presId="urn:microsoft.com/office/officeart/2005/8/layout/list1"/>
    <dgm:cxn modelId="{48F104EA-1711-417A-B464-4E0BA3D42F76}" type="presParOf" srcId="{1A129311-16E1-4453-A508-9F87B81AFA9C}" destId="{7EF45D2C-1E38-4FA5-9149-C50AEA63C983}" srcOrd="5" destOrd="0" presId="urn:microsoft.com/office/officeart/2005/8/layout/list1"/>
    <dgm:cxn modelId="{DA329398-F2EA-4F20-8A8F-76A6C8CD634E}" type="presParOf" srcId="{1A129311-16E1-4453-A508-9F87B81AFA9C}" destId="{5011B033-A164-4872-B766-50030ED3C943}" srcOrd="6"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E734C09-2300-40F3-A253-83922B1F37C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GB"/>
        </a:p>
      </dgm:t>
    </dgm:pt>
    <dgm:pt modelId="{16C321A4-4E3B-4FC0-BE74-4CD317E7CDBB}">
      <dgm:prSet phldrT="[Text]" custT="1"/>
      <dgm:spPr>
        <a:solidFill>
          <a:srgbClr val="002060"/>
        </a:solidFill>
      </dgm:spPr>
      <dgm:t>
        <a:bodyPr/>
        <a:lstStyle/>
        <a:p>
          <a:pPr algn="l"/>
          <a:r>
            <a:rPr lang="lv-LV" sz="900" b="1"/>
            <a:t>Statistiskā trenda analīze</a:t>
          </a:r>
          <a:endParaRPr lang="en-GB" sz="900" b="1"/>
        </a:p>
      </dgm:t>
    </dgm:pt>
    <dgm:pt modelId="{16CDE65B-3525-439B-A631-AE523484558F}" type="parTrans" cxnId="{6004723C-EEC8-4E45-AADC-76A2E64C3D9E}">
      <dgm:prSet/>
      <dgm:spPr/>
      <dgm:t>
        <a:bodyPr/>
        <a:lstStyle/>
        <a:p>
          <a:pPr algn="l"/>
          <a:endParaRPr lang="en-GB" sz="2000"/>
        </a:p>
      </dgm:t>
    </dgm:pt>
    <dgm:pt modelId="{311A5D91-3807-40E4-BA17-A0247B6930CE}" type="sibTrans" cxnId="{6004723C-EEC8-4E45-AADC-76A2E64C3D9E}">
      <dgm:prSet/>
      <dgm:spPr/>
      <dgm:t>
        <a:bodyPr/>
        <a:lstStyle/>
        <a:p>
          <a:pPr algn="l"/>
          <a:endParaRPr lang="en-GB" sz="2000"/>
        </a:p>
      </dgm:t>
    </dgm:pt>
    <dgm:pt modelId="{CA1C8FF9-3E78-4874-B05D-C4A73C1936EA}">
      <dgm:prSet phldrT="[Text]" custT="1"/>
      <dgm:spPr/>
      <dgm:t>
        <a:bodyPr/>
        <a:lstStyle/>
        <a:p>
          <a:pPr algn="just"/>
          <a:r>
            <a:rPr lang="lv-LV" sz="900" b="1"/>
            <a:t>Mērķis: </a:t>
          </a:r>
          <a:r>
            <a:rPr lang="lv-LV" sz="900"/>
            <a:t>kompensēt kļūdas un uzlabot gala prognozes ticamību.</a:t>
          </a:r>
          <a:endParaRPr lang="en-GB" sz="900" b="1"/>
        </a:p>
      </dgm:t>
    </dgm:pt>
    <dgm:pt modelId="{5CD13223-869D-4693-B51D-1656C18264AB}" type="parTrans" cxnId="{34978688-FCFC-48B4-9A63-546546197FBF}">
      <dgm:prSet/>
      <dgm:spPr/>
      <dgm:t>
        <a:bodyPr/>
        <a:lstStyle/>
        <a:p>
          <a:pPr algn="l"/>
          <a:endParaRPr lang="en-GB" sz="2000"/>
        </a:p>
      </dgm:t>
    </dgm:pt>
    <dgm:pt modelId="{A3D8869A-3F79-4C73-A8FC-01D8570FC2CA}" type="sibTrans" cxnId="{34978688-FCFC-48B4-9A63-546546197FBF}">
      <dgm:prSet/>
      <dgm:spPr/>
      <dgm:t>
        <a:bodyPr/>
        <a:lstStyle/>
        <a:p>
          <a:pPr algn="l"/>
          <a:endParaRPr lang="en-GB" sz="2000"/>
        </a:p>
      </dgm:t>
    </dgm:pt>
    <dgm:pt modelId="{135F0121-AD96-44C9-9F31-1D074BD30DB2}">
      <dgm:prSet phldrT="[Text]" custT="1"/>
      <dgm:spPr/>
      <dgm:t>
        <a:bodyPr/>
        <a:lstStyle/>
        <a:p>
          <a:pPr algn="just"/>
          <a:r>
            <a:rPr lang="lv-LV" sz="900"/>
            <a:t>Apvieno sevī </a:t>
          </a:r>
          <a:r>
            <a:rPr lang="en-GB" sz="900"/>
            <a:t>statistikas un ekspertu novērtējuma prognozes</a:t>
          </a:r>
          <a:r>
            <a:rPr lang="lv-LV" sz="900"/>
            <a:t>.</a:t>
          </a:r>
          <a:endParaRPr lang="en-GB" sz="900" b="1"/>
        </a:p>
      </dgm:t>
    </dgm:pt>
    <dgm:pt modelId="{B22CC68F-0183-4310-A707-30297A0BEB2A}" type="parTrans" cxnId="{09AAC34C-D55F-4BD5-A3BA-C7D2E7F0F972}">
      <dgm:prSet/>
      <dgm:spPr/>
      <dgm:t>
        <a:bodyPr/>
        <a:lstStyle/>
        <a:p>
          <a:pPr algn="l"/>
          <a:endParaRPr lang="en-GB" sz="2000"/>
        </a:p>
      </dgm:t>
    </dgm:pt>
    <dgm:pt modelId="{31AECED0-84E9-4A2C-8A51-B4790AA96935}" type="sibTrans" cxnId="{09AAC34C-D55F-4BD5-A3BA-C7D2E7F0F972}">
      <dgm:prSet/>
      <dgm:spPr/>
      <dgm:t>
        <a:bodyPr/>
        <a:lstStyle/>
        <a:p>
          <a:pPr algn="l"/>
          <a:endParaRPr lang="en-GB" sz="2000"/>
        </a:p>
      </dgm:t>
    </dgm:pt>
    <dgm:pt modelId="{64BDB29F-067F-4327-99B4-85319231415D}">
      <dgm:prSet phldrT="[Text]" custT="1"/>
      <dgm:spPr/>
      <dgm:t>
        <a:bodyPr/>
        <a:lstStyle/>
        <a:p>
          <a:pPr algn="just"/>
          <a:r>
            <a:rPr lang="lv-LV" sz="900"/>
            <a:t>Statistiskie dati iegūti izmantojot CSP datubāzē pieejamo statistisko informāciju par būvniecības nozares izmaksu izmaiņām.</a:t>
          </a:r>
          <a:endParaRPr lang="en-GB" sz="900"/>
        </a:p>
      </dgm:t>
    </dgm:pt>
    <dgm:pt modelId="{B1EA7C28-0583-4D05-8B33-F966A784160B}" type="sibTrans" cxnId="{3EC62722-757D-4BC6-B878-3DDD2B539C4F}">
      <dgm:prSet/>
      <dgm:spPr/>
      <dgm:t>
        <a:bodyPr/>
        <a:lstStyle/>
        <a:p>
          <a:pPr algn="l"/>
          <a:endParaRPr lang="en-GB" sz="2000"/>
        </a:p>
      </dgm:t>
    </dgm:pt>
    <dgm:pt modelId="{9BC7372C-6994-475C-BCD4-865EB7D9D693}" type="parTrans" cxnId="{3EC62722-757D-4BC6-B878-3DDD2B539C4F}">
      <dgm:prSet/>
      <dgm:spPr/>
      <dgm:t>
        <a:bodyPr/>
        <a:lstStyle/>
        <a:p>
          <a:pPr algn="l"/>
          <a:endParaRPr lang="en-GB" sz="2000"/>
        </a:p>
      </dgm:t>
    </dgm:pt>
    <dgm:pt modelId="{7BFF7426-26A0-4D91-868E-7DCB36B5A1F6}">
      <dgm:prSet phldrT="[Text]" custT="1"/>
      <dgm:spPr/>
      <dgm:t>
        <a:bodyPr/>
        <a:lstStyle/>
        <a:p>
          <a:pPr algn="just"/>
          <a:r>
            <a:rPr lang="lv-LV" sz="900" b="0"/>
            <a:t>Valsts statistikas datos netiek apkopota informācija par būvniecības izmaksu izmaiņām šādās objektu grupās: komplekso būvju rūpnieciskās ražošanas uzņēmumi būvniecībā; c</a:t>
          </a:r>
          <a:r>
            <a:rPr lang="en-GB" sz="900" b="0"/>
            <a:t>itu inženierbūvju būvniecība.</a:t>
          </a:r>
          <a:endParaRPr lang="en-GB" sz="900"/>
        </a:p>
      </dgm:t>
    </dgm:pt>
    <dgm:pt modelId="{4BE6EA84-FEDC-48D1-B8A6-D922E8AF237B}" type="sibTrans" cxnId="{C3D1CA62-5EE5-4537-8FA7-170BEB8B4DD8}">
      <dgm:prSet/>
      <dgm:spPr/>
      <dgm:t>
        <a:bodyPr/>
        <a:lstStyle/>
        <a:p>
          <a:pPr algn="l"/>
          <a:endParaRPr lang="en-GB"/>
        </a:p>
      </dgm:t>
    </dgm:pt>
    <dgm:pt modelId="{5C0200B4-AE5A-4392-9F4A-2C3678E946CF}" type="parTrans" cxnId="{C3D1CA62-5EE5-4537-8FA7-170BEB8B4DD8}">
      <dgm:prSet/>
      <dgm:spPr/>
      <dgm:t>
        <a:bodyPr/>
        <a:lstStyle/>
        <a:p>
          <a:pPr algn="l"/>
          <a:endParaRPr lang="en-GB"/>
        </a:p>
      </dgm:t>
    </dgm:pt>
    <dgm:pt modelId="{0D068A65-B2EE-4D97-8D43-FD7DB93CEC74}">
      <dgm:prSet phldrT="[Text]" custT="1"/>
      <dgm:spPr/>
      <dgm:t>
        <a:bodyPr/>
        <a:lstStyle/>
        <a:p>
          <a:pPr algn="just"/>
          <a:r>
            <a:rPr lang="lv-LV" sz="900"/>
            <a:t>Pētījumā tika izmantoti CSP apkopotie rādītāji, kas atbilst pētāmajam rādītājam - būvniecības izmaksu indekss. Indeksi tika izmantoti gan kopējo būvniecības cenu izmaiņu izpētei, gan arī izmaiņu izpētei pa resursu veidiem un pa objektu grupām tajos griezumos, kur šādi dati eksistē.</a:t>
          </a:r>
          <a:endParaRPr lang="en-GB" sz="900"/>
        </a:p>
      </dgm:t>
    </dgm:pt>
    <dgm:pt modelId="{4CAD5AFD-24E8-483A-9C6B-696116C094B2}" type="parTrans" cxnId="{173A18AE-C5A4-408D-ADB3-27F7439FD664}">
      <dgm:prSet/>
      <dgm:spPr/>
      <dgm:t>
        <a:bodyPr/>
        <a:lstStyle/>
        <a:p>
          <a:endParaRPr lang="en-GB"/>
        </a:p>
      </dgm:t>
    </dgm:pt>
    <dgm:pt modelId="{65BB6F1B-0512-4C5D-8C5D-271351B47A30}" type="sibTrans" cxnId="{173A18AE-C5A4-408D-ADB3-27F7439FD664}">
      <dgm:prSet/>
      <dgm:spPr/>
      <dgm:t>
        <a:bodyPr/>
        <a:lstStyle/>
        <a:p>
          <a:endParaRPr lang="en-GB"/>
        </a:p>
      </dgm:t>
    </dgm:pt>
    <dgm:pt modelId="{FE0BCC41-9AFE-46F2-A682-37F110E8B655}">
      <dgm:prSet phldrT="[Text]" custT="1"/>
      <dgm:spPr/>
      <dgm:t>
        <a:bodyPr/>
        <a:lstStyle/>
        <a:p>
          <a:pPr algn="just"/>
          <a:r>
            <a:rPr lang="lv-LV" sz="900" b="0"/>
            <a:t>Izmantots papildus, </a:t>
          </a:r>
          <a:r>
            <a:rPr lang="lv-LV" sz="900"/>
            <a:t>atsevišķai statistiskās informācijas un ekspertvērtējumu analīzei.</a:t>
          </a:r>
          <a:endParaRPr lang="en-GB" sz="900" b="1"/>
        </a:p>
      </dgm:t>
    </dgm:pt>
    <dgm:pt modelId="{D79125D6-704E-4184-B860-37E57FBC6C7C}" type="parTrans" cxnId="{6C9A4A4B-BD5A-41DB-B8BC-99764B46FF6B}">
      <dgm:prSet/>
      <dgm:spPr/>
      <dgm:t>
        <a:bodyPr/>
        <a:lstStyle/>
        <a:p>
          <a:endParaRPr lang="en-GB"/>
        </a:p>
      </dgm:t>
    </dgm:pt>
    <dgm:pt modelId="{B120FA54-569D-4C21-95B2-DE4D1778F062}" type="sibTrans" cxnId="{6C9A4A4B-BD5A-41DB-B8BC-99764B46FF6B}">
      <dgm:prSet/>
      <dgm:spPr/>
      <dgm:t>
        <a:bodyPr/>
        <a:lstStyle/>
        <a:p>
          <a:endParaRPr lang="en-GB"/>
        </a:p>
      </dgm:t>
    </dgm:pt>
    <dgm:pt modelId="{379CAC03-BDB6-40E8-A41B-B18C31C64A24}">
      <dgm:prSet phldrT="[Text]" custT="1"/>
      <dgm:spPr>
        <a:solidFill>
          <a:srgbClr val="002060"/>
        </a:solidFill>
      </dgm:spPr>
      <dgm:t>
        <a:bodyPr/>
        <a:lstStyle/>
        <a:p>
          <a:pPr algn="l"/>
          <a:r>
            <a:rPr lang="lv-LV" sz="900" b="1"/>
            <a:t>Kombinētās prognozes </a:t>
          </a:r>
          <a:endParaRPr lang="en-GB" sz="900" b="1"/>
        </a:p>
      </dgm:t>
    </dgm:pt>
    <dgm:pt modelId="{03F4DA23-0129-428B-B468-95C3D3295832}" type="parTrans" cxnId="{A414FF20-35BF-405A-A859-D2ED7399F8B6}">
      <dgm:prSet/>
      <dgm:spPr/>
      <dgm:t>
        <a:bodyPr/>
        <a:lstStyle/>
        <a:p>
          <a:endParaRPr lang="en-GB"/>
        </a:p>
      </dgm:t>
    </dgm:pt>
    <dgm:pt modelId="{29B2BB67-E4BA-455D-A3F0-363B5C051F47}" type="sibTrans" cxnId="{A414FF20-35BF-405A-A859-D2ED7399F8B6}">
      <dgm:prSet/>
      <dgm:spPr/>
      <dgm:t>
        <a:bodyPr/>
        <a:lstStyle/>
        <a:p>
          <a:endParaRPr lang="en-GB"/>
        </a:p>
      </dgm:t>
    </dgm:pt>
    <dgm:pt modelId="{1A129311-16E1-4453-A508-9F87B81AFA9C}" type="pres">
      <dgm:prSet presAssocID="{3E734C09-2300-40F3-A253-83922B1F37C7}" presName="linear" presStyleCnt="0">
        <dgm:presLayoutVars>
          <dgm:dir/>
          <dgm:animLvl val="lvl"/>
          <dgm:resizeHandles val="exact"/>
        </dgm:presLayoutVars>
      </dgm:prSet>
      <dgm:spPr/>
      <dgm:t>
        <a:bodyPr/>
        <a:lstStyle/>
        <a:p>
          <a:endParaRPr lang="en-US"/>
        </a:p>
      </dgm:t>
    </dgm:pt>
    <dgm:pt modelId="{1368BA87-7F0A-454C-AD30-514D197FA795}" type="pres">
      <dgm:prSet presAssocID="{16C321A4-4E3B-4FC0-BE74-4CD317E7CDBB}" presName="parentLin" presStyleCnt="0"/>
      <dgm:spPr/>
    </dgm:pt>
    <dgm:pt modelId="{D6540908-D93B-4F41-A1BB-BE6711FC20D4}" type="pres">
      <dgm:prSet presAssocID="{16C321A4-4E3B-4FC0-BE74-4CD317E7CDBB}" presName="parentLeftMargin" presStyleLbl="node1" presStyleIdx="0" presStyleCnt="2"/>
      <dgm:spPr/>
      <dgm:t>
        <a:bodyPr/>
        <a:lstStyle/>
        <a:p>
          <a:endParaRPr lang="en-US"/>
        </a:p>
      </dgm:t>
    </dgm:pt>
    <dgm:pt modelId="{5C488E9A-4DD3-416E-A2D0-85F1E21DFBB2}" type="pres">
      <dgm:prSet presAssocID="{16C321A4-4E3B-4FC0-BE74-4CD317E7CDBB}" presName="parentText" presStyleLbl="node1" presStyleIdx="0" presStyleCnt="2" custScaleY="45314" custLinFactNeighborX="-18519" custLinFactNeighborY="-36083">
        <dgm:presLayoutVars>
          <dgm:chMax val="0"/>
          <dgm:bulletEnabled val="1"/>
        </dgm:presLayoutVars>
      </dgm:prSet>
      <dgm:spPr/>
      <dgm:t>
        <a:bodyPr/>
        <a:lstStyle/>
        <a:p>
          <a:endParaRPr lang="en-US"/>
        </a:p>
      </dgm:t>
    </dgm:pt>
    <dgm:pt modelId="{3BCF8BC8-9D3D-43F7-A630-5AC84897ED45}" type="pres">
      <dgm:prSet presAssocID="{16C321A4-4E3B-4FC0-BE74-4CD317E7CDBB}" presName="negativeSpace" presStyleCnt="0"/>
      <dgm:spPr/>
    </dgm:pt>
    <dgm:pt modelId="{ECF8E06B-4953-4B61-B759-F26FB489DC54}" type="pres">
      <dgm:prSet presAssocID="{16C321A4-4E3B-4FC0-BE74-4CD317E7CDBB}" presName="childText" presStyleLbl="conFgAcc1" presStyleIdx="0" presStyleCnt="2" custScaleY="88007" custLinFactNeighborX="2917" custLinFactNeighborY="0">
        <dgm:presLayoutVars>
          <dgm:bulletEnabled val="1"/>
        </dgm:presLayoutVars>
      </dgm:prSet>
      <dgm:spPr/>
      <dgm:t>
        <a:bodyPr/>
        <a:lstStyle/>
        <a:p>
          <a:endParaRPr lang="en-US"/>
        </a:p>
      </dgm:t>
    </dgm:pt>
    <dgm:pt modelId="{0F5F8213-CF4D-4736-9E9A-5AE209FE38A7}" type="pres">
      <dgm:prSet presAssocID="{311A5D91-3807-40E4-BA17-A0247B6930CE}" presName="spaceBetweenRectangles" presStyleCnt="0"/>
      <dgm:spPr/>
    </dgm:pt>
    <dgm:pt modelId="{F1E34514-3A21-4E8A-A5EA-EF90BFF52C7F}" type="pres">
      <dgm:prSet presAssocID="{379CAC03-BDB6-40E8-A41B-B18C31C64A24}" presName="parentLin" presStyleCnt="0"/>
      <dgm:spPr/>
    </dgm:pt>
    <dgm:pt modelId="{8A050B9C-1FC9-4EAB-A80A-76579D8B3551}" type="pres">
      <dgm:prSet presAssocID="{379CAC03-BDB6-40E8-A41B-B18C31C64A24}" presName="parentLeftMargin" presStyleLbl="node1" presStyleIdx="0" presStyleCnt="2"/>
      <dgm:spPr/>
      <dgm:t>
        <a:bodyPr/>
        <a:lstStyle/>
        <a:p>
          <a:endParaRPr lang="en-US"/>
        </a:p>
      </dgm:t>
    </dgm:pt>
    <dgm:pt modelId="{F87FEA1E-3456-4E9D-B630-BE5C6E557DEA}" type="pres">
      <dgm:prSet presAssocID="{379CAC03-BDB6-40E8-A41B-B18C31C64A24}" presName="parentText" presStyleLbl="node1" presStyleIdx="1" presStyleCnt="2" custScaleY="38401" custLinFactNeighborX="-13889" custLinFactNeighborY="-20794">
        <dgm:presLayoutVars>
          <dgm:chMax val="0"/>
          <dgm:bulletEnabled val="1"/>
        </dgm:presLayoutVars>
      </dgm:prSet>
      <dgm:spPr/>
      <dgm:t>
        <a:bodyPr/>
        <a:lstStyle/>
        <a:p>
          <a:endParaRPr lang="en-US"/>
        </a:p>
      </dgm:t>
    </dgm:pt>
    <dgm:pt modelId="{D7CE7C09-2FAC-45AE-A4C5-2820C2BF1AD7}" type="pres">
      <dgm:prSet presAssocID="{379CAC03-BDB6-40E8-A41B-B18C31C64A24}" presName="negativeSpace" presStyleCnt="0"/>
      <dgm:spPr/>
    </dgm:pt>
    <dgm:pt modelId="{768F054A-210B-48E7-8824-7A2FD6036DCC}" type="pres">
      <dgm:prSet presAssocID="{379CAC03-BDB6-40E8-A41B-B18C31C64A24}" presName="childText" presStyleLbl="conFgAcc1" presStyleIdx="1" presStyleCnt="2">
        <dgm:presLayoutVars>
          <dgm:bulletEnabled val="1"/>
        </dgm:presLayoutVars>
      </dgm:prSet>
      <dgm:spPr/>
      <dgm:t>
        <a:bodyPr/>
        <a:lstStyle/>
        <a:p>
          <a:endParaRPr lang="en-US"/>
        </a:p>
      </dgm:t>
    </dgm:pt>
  </dgm:ptLst>
  <dgm:cxnLst>
    <dgm:cxn modelId="{173A18AE-C5A4-408D-ADB3-27F7439FD664}" srcId="{16C321A4-4E3B-4FC0-BE74-4CD317E7CDBB}" destId="{0D068A65-B2EE-4D97-8D43-FD7DB93CEC74}" srcOrd="1" destOrd="0" parTransId="{4CAD5AFD-24E8-483A-9C6B-696116C094B2}" sibTransId="{65BB6F1B-0512-4C5D-8C5D-271351B47A30}"/>
    <dgm:cxn modelId="{C3D1CA62-5EE5-4537-8FA7-170BEB8B4DD8}" srcId="{16C321A4-4E3B-4FC0-BE74-4CD317E7CDBB}" destId="{7BFF7426-26A0-4D91-868E-7DCB36B5A1F6}" srcOrd="2" destOrd="0" parTransId="{5C0200B4-AE5A-4392-9F4A-2C3678E946CF}" sibTransId="{4BE6EA84-FEDC-48D1-B8A6-D922E8AF237B}"/>
    <dgm:cxn modelId="{395FBF78-547A-4AF1-AA48-874D7C4F97BB}" type="presOf" srcId="{16C321A4-4E3B-4FC0-BE74-4CD317E7CDBB}" destId="{D6540908-D93B-4F41-A1BB-BE6711FC20D4}" srcOrd="0" destOrd="0" presId="urn:microsoft.com/office/officeart/2005/8/layout/list1"/>
    <dgm:cxn modelId="{84057371-C018-4C5F-91C3-33D03366D17F}" type="presOf" srcId="{0D068A65-B2EE-4D97-8D43-FD7DB93CEC74}" destId="{ECF8E06B-4953-4B61-B759-F26FB489DC54}" srcOrd="0" destOrd="1" presId="urn:microsoft.com/office/officeart/2005/8/layout/list1"/>
    <dgm:cxn modelId="{A414FF20-35BF-405A-A859-D2ED7399F8B6}" srcId="{3E734C09-2300-40F3-A253-83922B1F37C7}" destId="{379CAC03-BDB6-40E8-A41B-B18C31C64A24}" srcOrd="1" destOrd="0" parTransId="{03F4DA23-0129-428B-B468-95C3D3295832}" sibTransId="{29B2BB67-E4BA-455D-A3F0-363B5C051F47}"/>
    <dgm:cxn modelId="{34978688-FCFC-48B4-9A63-546546197FBF}" srcId="{379CAC03-BDB6-40E8-A41B-B18C31C64A24}" destId="{CA1C8FF9-3E78-4874-B05D-C4A73C1936EA}" srcOrd="0" destOrd="0" parTransId="{5CD13223-869D-4693-B51D-1656C18264AB}" sibTransId="{A3D8869A-3F79-4C73-A8FC-01D8570FC2CA}"/>
    <dgm:cxn modelId="{917697E6-B056-4568-A367-27C23133153B}" type="presOf" srcId="{FE0BCC41-9AFE-46F2-A682-37F110E8B655}" destId="{768F054A-210B-48E7-8824-7A2FD6036DCC}" srcOrd="0" destOrd="2" presId="urn:microsoft.com/office/officeart/2005/8/layout/list1"/>
    <dgm:cxn modelId="{6C9A4A4B-BD5A-41DB-B8BC-99764B46FF6B}" srcId="{379CAC03-BDB6-40E8-A41B-B18C31C64A24}" destId="{FE0BCC41-9AFE-46F2-A682-37F110E8B655}" srcOrd="2" destOrd="0" parTransId="{D79125D6-704E-4184-B860-37E57FBC6C7C}" sibTransId="{B120FA54-569D-4C21-95B2-DE4D1778F062}"/>
    <dgm:cxn modelId="{6004723C-EEC8-4E45-AADC-76A2E64C3D9E}" srcId="{3E734C09-2300-40F3-A253-83922B1F37C7}" destId="{16C321A4-4E3B-4FC0-BE74-4CD317E7CDBB}" srcOrd="0" destOrd="0" parTransId="{16CDE65B-3525-439B-A631-AE523484558F}" sibTransId="{311A5D91-3807-40E4-BA17-A0247B6930CE}"/>
    <dgm:cxn modelId="{5E6C7CA4-A5A3-47C5-8368-C2951CBD0567}" type="presOf" srcId="{3E734C09-2300-40F3-A253-83922B1F37C7}" destId="{1A129311-16E1-4453-A508-9F87B81AFA9C}" srcOrd="0" destOrd="0" presId="urn:microsoft.com/office/officeart/2005/8/layout/list1"/>
    <dgm:cxn modelId="{647332FC-DFFE-4D70-AAAD-AC7584EB66BC}" type="presOf" srcId="{379CAC03-BDB6-40E8-A41B-B18C31C64A24}" destId="{F87FEA1E-3456-4E9D-B630-BE5C6E557DEA}" srcOrd="1" destOrd="0" presId="urn:microsoft.com/office/officeart/2005/8/layout/list1"/>
    <dgm:cxn modelId="{6CEA8EC4-323A-4B42-9728-856377C60300}" type="presOf" srcId="{CA1C8FF9-3E78-4874-B05D-C4A73C1936EA}" destId="{768F054A-210B-48E7-8824-7A2FD6036DCC}" srcOrd="0" destOrd="0" presId="urn:microsoft.com/office/officeart/2005/8/layout/list1"/>
    <dgm:cxn modelId="{1CDBAFC6-D504-489A-891A-7853A97373D7}" type="presOf" srcId="{16C321A4-4E3B-4FC0-BE74-4CD317E7CDBB}" destId="{5C488E9A-4DD3-416E-A2D0-85F1E21DFBB2}" srcOrd="1" destOrd="0" presId="urn:microsoft.com/office/officeart/2005/8/layout/list1"/>
    <dgm:cxn modelId="{69DA84DB-9000-41BC-9A84-4C6FFCCD798A}" type="presOf" srcId="{7BFF7426-26A0-4D91-868E-7DCB36B5A1F6}" destId="{ECF8E06B-4953-4B61-B759-F26FB489DC54}" srcOrd="0" destOrd="2" presId="urn:microsoft.com/office/officeart/2005/8/layout/list1"/>
    <dgm:cxn modelId="{6DAF335D-00EE-4C1E-8F3D-8A4D4C297337}" type="presOf" srcId="{135F0121-AD96-44C9-9F31-1D074BD30DB2}" destId="{768F054A-210B-48E7-8824-7A2FD6036DCC}" srcOrd="0" destOrd="1" presId="urn:microsoft.com/office/officeart/2005/8/layout/list1"/>
    <dgm:cxn modelId="{8040E28A-0C96-46AE-B04E-573A08DF93BA}" type="presOf" srcId="{64BDB29F-067F-4327-99B4-85319231415D}" destId="{ECF8E06B-4953-4B61-B759-F26FB489DC54}" srcOrd="0" destOrd="0" presId="urn:microsoft.com/office/officeart/2005/8/layout/list1"/>
    <dgm:cxn modelId="{09AAC34C-D55F-4BD5-A3BA-C7D2E7F0F972}" srcId="{379CAC03-BDB6-40E8-A41B-B18C31C64A24}" destId="{135F0121-AD96-44C9-9F31-1D074BD30DB2}" srcOrd="1" destOrd="0" parTransId="{B22CC68F-0183-4310-A707-30297A0BEB2A}" sibTransId="{31AECED0-84E9-4A2C-8A51-B4790AA96935}"/>
    <dgm:cxn modelId="{3EC62722-757D-4BC6-B878-3DDD2B539C4F}" srcId="{16C321A4-4E3B-4FC0-BE74-4CD317E7CDBB}" destId="{64BDB29F-067F-4327-99B4-85319231415D}" srcOrd="0" destOrd="0" parTransId="{9BC7372C-6994-475C-BCD4-865EB7D9D693}" sibTransId="{B1EA7C28-0583-4D05-8B33-F966A784160B}"/>
    <dgm:cxn modelId="{4D5D5AA0-17D9-48A5-98DC-62450ABD58D5}" type="presOf" srcId="{379CAC03-BDB6-40E8-A41B-B18C31C64A24}" destId="{8A050B9C-1FC9-4EAB-A80A-76579D8B3551}" srcOrd="0" destOrd="0" presId="urn:microsoft.com/office/officeart/2005/8/layout/list1"/>
    <dgm:cxn modelId="{8A2ABA82-27E2-4278-B50A-EC47C0194EA4}" type="presParOf" srcId="{1A129311-16E1-4453-A508-9F87B81AFA9C}" destId="{1368BA87-7F0A-454C-AD30-514D197FA795}" srcOrd="0" destOrd="0" presId="urn:microsoft.com/office/officeart/2005/8/layout/list1"/>
    <dgm:cxn modelId="{0FCE11AE-0841-4A8F-89E5-20658D5573F5}" type="presParOf" srcId="{1368BA87-7F0A-454C-AD30-514D197FA795}" destId="{D6540908-D93B-4F41-A1BB-BE6711FC20D4}" srcOrd="0" destOrd="0" presId="urn:microsoft.com/office/officeart/2005/8/layout/list1"/>
    <dgm:cxn modelId="{68265E9A-396E-4531-87B3-FD2DB5F28AFA}" type="presParOf" srcId="{1368BA87-7F0A-454C-AD30-514D197FA795}" destId="{5C488E9A-4DD3-416E-A2D0-85F1E21DFBB2}" srcOrd="1" destOrd="0" presId="urn:microsoft.com/office/officeart/2005/8/layout/list1"/>
    <dgm:cxn modelId="{7BBD84EF-9807-475A-8D0D-15AA94B01810}" type="presParOf" srcId="{1A129311-16E1-4453-A508-9F87B81AFA9C}" destId="{3BCF8BC8-9D3D-43F7-A630-5AC84897ED45}" srcOrd="1" destOrd="0" presId="urn:microsoft.com/office/officeart/2005/8/layout/list1"/>
    <dgm:cxn modelId="{3E8591BC-AB3D-43AB-8815-B87499A81583}" type="presParOf" srcId="{1A129311-16E1-4453-A508-9F87B81AFA9C}" destId="{ECF8E06B-4953-4B61-B759-F26FB489DC54}" srcOrd="2" destOrd="0" presId="urn:microsoft.com/office/officeart/2005/8/layout/list1"/>
    <dgm:cxn modelId="{379F661C-A80E-422F-87AF-A92F7C3D8665}" type="presParOf" srcId="{1A129311-16E1-4453-A508-9F87B81AFA9C}" destId="{0F5F8213-CF4D-4736-9E9A-5AE209FE38A7}" srcOrd="3" destOrd="0" presId="urn:microsoft.com/office/officeart/2005/8/layout/list1"/>
    <dgm:cxn modelId="{035B9210-86D7-4B44-A81E-83E5FF7331BF}" type="presParOf" srcId="{1A129311-16E1-4453-A508-9F87B81AFA9C}" destId="{F1E34514-3A21-4E8A-A5EA-EF90BFF52C7F}" srcOrd="4" destOrd="0" presId="urn:microsoft.com/office/officeart/2005/8/layout/list1"/>
    <dgm:cxn modelId="{9DACE33D-BD88-4436-A6CE-0158476AE777}" type="presParOf" srcId="{F1E34514-3A21-4E8A-A5EA-EF90BFF52C7F}" destId="{8A050B9C-1FC9-4EAB-A80A-76579D8B3551}" srcOrd="0" destOrd="0" presId="urn:microsoft.com/office/officeart/2005/8/layout/list1"/>
    <dgm:cxn modelId="{3BCC72B3-B5CE-401A-A469-7D7CCBFBDCAC}" type="presParOf" srcId="{F1E34514-3A21-4E8A-A5EA-EF90BFF52C7F}" destId="{F87FEA1E-3456-4E9D-B630-BE5C6E557DEA}" srcOrd="1" destOrd="0" presId="urn:microsoft.com/office/officeart/2005/8/layout/list1"/>
    <dgm:cxn modelId="{5241DED7-FBF1-46C7-9A37-8F36DEE2ACC4}" type="presParOf" srcId="{1A129311-16E1-4453-A508-9F87B81AFA9C}" destId="{D7CE7C09-2FAC-45AE-A4C5-2820C2BF1AD7}" srcOrd="5" destOrd="0" presId="urn:microsoft.com/office/officeart/2005/8/layout/list1"/>
    <dgm:cxn modelId="{F6B44DF0-82D6-44FF-9507-68C54FA4D707}" type="presParOf" srcId="{1A129311-16E1-4453-A508-9F87B81AFA9C}" destId="{768F054A-210B-48E7-8824-7A2FD6036DCC}" srcOrd="6" destOrd="0" presId="urn:microsoft.com/office/officeart/2005/8/layout/lis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F8E06B-4953-4B61-B759-F26FB489DC54}">
      <dsp:nvSpPr>
        <dsp:cNvPr id="0" name=""/>
        <dsp:cNvSpPr/>
      </dsp:nvSpPr>
      <dsp:spPr>
        <a:xfrm>
          <a:off x="0" y="138690"/>
          <a:ext cx="5486400" cy="1411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166624" rIns="425806" bIns="64008" numCol="1" spcCol="1270" anchor="t" anchorCtr="0">
          <a:noAutofit/>
        </a:bodyPr>
        <a:lstStyle/>
        <a:p>
          <a:pPr marL="57150" lvl="1" indent="-57150" algn="just" defTabSz="400050">
            <a:lnSpc>
              <a:spcPct val="90000"/>
            </a:lnSpc>
            <a:spcBef>
              <a:spcPct val="0"/>
            </a:spcBef>
            <a:spcAft>
              <a:spcPct val="15000"/>
            </a:spcAft>
            <a:buChar char="••"/>
          </a:pPr>
          <a:r>
            <a:rPr lang="lv-LV" sz="900" b="1" kern="1200"/>
            <a:t>Piedalījās: 20 </a:t>
          </a:r>
          <a:r>
            <a:rPr lang="lv-LV" sz="900" kern="1200"/>
            <a:t>dažādus uzņēmumus un organizācijas pārstāvoši respondenti, kas reprezentē būvniecības nozari, to pārstāvošas profesionālās asociācijas un savienības, valsts iestādes, nevalstiskās organizācijas, akadēmiskas iestādes, bankas, kā arī ar būvniecības nozari saistītie privātā sektora pārstāvji.</a:t>
          </a:r>
          <a:endParaRPr lang="en-GB" sz="900" kern="1200"/>
        </a:p>
        <a:p>
          <a:pPr marL="57150" lvl="1" indent="-57150" algn="just" defTabSz="400050">
            <a:lnSpc>
              <a:spcPct val="90000"/>
            </a:lnSpc>
            <a:spcBef>
              <a:spcPct val="0"/>
            </a:spcBef>
            <a:spcAft>
              <a:spcPct val="15000"/>
            </a:spcAft>
            <a:buChar char="••"/>
          </a:pPr>
          <a:r>
            <a:rPr lang="lv-LV" sz="900" b="1" kern="1200"/>
            <a:t>Pētīti: </a:t>
          </a:r>
          <a:r>
            <a:rPr lang="lv-LV" sz="900" kern="1200"/>
            <a:t>darbaspēka un būvmateriālu izmaksu izmaiņas ietekmējošie faktori; būvniecības izmaksu izmaiņu prognozes; ēnu ekonomikas apkarošanas pasākumu ietekme; būvniecības produkcijas apjoma ietekme uz izmaksām un nozares vidējo peļņas normu.</a:t>
          </a:r>
          <a:endParaRPr lang="en-GB" sz="900" kern="1200"/>
        </a:p>
        <a:p>
          <a:pPr marL="57150" lvl="1" indent="-57150" algn="just" defTabSz="400050">
            <a:lnSpc>
              <a:spcPct val="90000"/>
            </a:lnSpc>
            <a:spcBef>
              <a:spcPct val="0"/>
            </a:spcBef>
            <a:spcAft>
              <a:spcPct val="15000"/>
            </a:spcAft>
            <a:buChar char="••"/>
          </a:pPr>
          <a:r>
            <a:rPr lang="lv-LV" sz="900" b="1" kern="1200"/>
            <a:t>Piesaistīti makroekonomikas eksperti</a:t>
          </a:r>
          <a:r>
            <a:rPr lang="lv-LV" sz="900" kern="1200"/>
            <a:t>, kuru kompetences joma ietver būvniecības ietekmes izvērtējumu uz tautsaimniecību.</a:t>
          </a:r>
          <a:endParaRPr lang="en-GB" sz="900" kern="1200"/>
        </a:p>
      </dsp:txBody>
      <dsp:txXfrm>
        <a:off x="0" y="138690"/>
        <a:ext cx="5486400" cy="1411200"/>
      </dsp:txXfrm>
    </dsp:sp>
    <dsp:sp modelId="{5C488E9A-4DD3-416E-A2D0-85F1E21DFBB2}">
      <dsp:nvSpPr>
        <dsp:cNvPr id="0" name=""/>
        <dsp:cNvSpPr/>
      </dsp:nvSpPr>
      <dsp:spPr>
        <a:xfrm>
          <a:off x="320043" y="74837"/>
          <a:ext cx="3840480" cy="236160"/>
        </a:xfrm>
        <a:prstGeom prst="round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00050">
            <a:lnSpc>
              <a:spcPct val="90000"/>
            </a:lnSpc>
            <a:spcBef>
              <a:spcPct val="0"/>
            </a:spcBef>
            <a:spcAft>
              <a:spcPct val="35000"/>
            </a:spcAft>
          </a:pPr>
          <a:r>
            <a:rPr lang="lv-LV" sz="900" b="1" kern="1200"/>
            <a:t>Vispārējo ekspertu intervija</a:t>
          </a:r>
          <a:endParaRPr lang="en-GB" sz="900" b="1" kern="1200"/>
        </a:p>
      </dsp:txBody>
      <dsp:txXfrm>
        <a:off x="331571" y="86365"/>
        <a:ext cx="3817424" cy="213104"/>
      </dsp:txXfrm>
    </dsp:sp>
    <dsp:sp modelId="{5011B033-A164-4872-B766-50030ED3C943}">
      <dsp:nvSpPr>
        <dsp:cNvPr id="0" name=""/>
        <dsp:cNvSpPr/>
      </dsp:nvSpPr>
      <dsp:spPr>
        <a:xfrm>
          <a:off x="0" y="1711170"/>
          <a:ext cx="5486400" cy="1537199"/>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166624" rIns="425806" bIns="64008" numCol="1" spcCol="1270" anchor="t" anchorCtr="0">
          <a:noAutofit/>
        </a:bodyPr>
        <a:lstStyle/>
        <a:p>
          <a:pPr marL="57150" lvl="1" indent="-57150" algn="just" defTabSz="400050">
            <a:lnSpc>
              <a:spcPct val="90000"/>
            </a:lnSpc>
            <a:spcBef>
              <a:spcPct val="0"/>
            </a:spcBef>
            <a:spcAft>
              <a:spcPct val="15000"/>
            </a:spcAft>
            <a:buChar char="••"/>
          </a:pPr>
          <a:r>
            <a:rPr lang="lv-LV" sz="900" b="1" kern="1200"/>
            <a:t>Piedalījās: 29</a:t>
          </a:r>
          <a:r>
            <a:rPr lang="lv-LV" sz="900" kern="1200"/>
            <a:t> organizācijas, kas pārstāv privāto sektoru, kas saistīts ar būvniecības nozari, valsts iestādes, nevalstiskās organizācijas, akadēmiskas iestādes un bankas. </a:t>
          </a:r>
          <a:endParaRPr lang="en-GB" sz="900" b="1" kern="1200"/>
        </a:p>
        <a:p>
          <a:pPr marL="57150" lvl="1" indent="-57150" algn="just" defTabSz="400050">
            <a:lnSpc>
              <a:spcPct val="90000"/>
            </a:lnSpc>
            <a:spcBef>
              <a:spcPct val="0"/>
            </a:spcBef>
            <a:spcAft>
              <a:spcPct val="15000"/>
            </a:spcAft>
            <a:buChar char="••"/>
          </a:pPr>
          <a:r>
            <a:rPr lang="lv-LV" sz="900" b="1" kern="1200"/>
            <a:t>Piesaistīti eksperti no piecām uzņēmumu grupām: </a:t>
          </a:r>
          <a:r>
            <a:rPr lang="lv-LV" sz="900" kern="1200"/>
            <a:t>Dzīvojamo un nedzīvojamo ēku būvniecība; Transporta objektu būvniecība; Pazemes maģistrālo cauruļvadu būvniecība; Komplekso būvju ražošanas uzņēmumos būvniecība; Citu inženierbūvju būvniecība, tajā skaitā elektropārvades līniju būvniecība.</a:t>
          </a:r>
          <a:endParaRPr lang="en-GB" sz="900" b="1" kern="1200"/>
        </a:p>
        <a:p>
          <a:pPr marL="57150" lvl="1" indent="-57150" algn="just" defTabSz="400050">
            <a:lnSpc>
              <a:spcPct val="90000"/>
            </a:lnSpc>
            <a:spcBef>
              <a:spcPct val="0"/>
            </a:spcBef>
            <a:spcAft>
              <a:spcPct val="15000"/>
            </a:spcAft>
            <a:buChar char="••"/>
          </a:pPr>
          <a:r>
            <a:rPr lang="lv-LV" sz="900" kern="1200"/>
            <a:t>Katras grupas ekspertiem tika </a:t>
          </a:r>
          <a:r>
            <a:rPr lang="lv-LV" sz="900" b="1" kern="1200"/>
            <a:t>izstrādāti pielāgoti jautājumi</a:t>
          </a:r>
          <a:r>
            <a:rPr lang="lv-LV" sz="900" kern="1200"/>
            <a:t>, kas tika apvienoti ar kopējiem jautājumiem no vispārējo ekspertu intervijas. Kopējie jautājumi tika vērsti uz būvniecības nozares attīstības novērtējumu, pielāgotie jautājumi bija vērsti uz noteiktās apakšnozares attīstības tendencēm, ietekmējošiem faktoriem u.c.</a:t>
          </a:r>
          <a:endParaRPr lang="en-GB" sz="900" b="1" kern="1200"/>
        </a:p>
      </dsp:txBody>
      <dsp:txXfrm>
        <a:off x="0" y="1711170"/>
        <a:ext cx="5486400" cy="1537199"/>
      </dsp:txXfrm>
    </dsp:sp>
    <dsp:sp modelId="{2FAF93DC-7685-4AF6-8A72-2FF465B1606A}">
      <dsp:nvSpPr>
        <dsp:cNvPr id="0" name=""/>
        <dsp:cNvSpPr/>
      </dsp:nvSpPr>
      <dsp:spPr>
        <a:xfrm>
          <a:off x="281940" y="1623571"/>
          <a:ext cx="3840480" cy="236160"/>
        </a:xfrm>
        <a:prstGeom prst="round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00050">
            <a:lnSpc>
              <a:spcPct val="90000"/>
            </a:lnSpc>
            <a:spcBef>
              <a:spcPct val="0"/>
            </a:spcBef>
            <a:spcAft>
              <a:spcPct val="35000"/>
            </a:spcAft>
          </a:pPr>
          <a:r>
            <a:rPr lang="lv-LV" sz="900" b="1" kern="1200"/>
            <a:t>Apakšnozaru ekspertu intervija</a:t>
          </a:r>
          <a:endParaRPr lang="en-GB" sz="900" b="1" kern="1200"/>
        </a:p>
      </dsp:txBody>
      <dsp:txXfrm>
        <a:off x="293468" y="1635099"/>
        <a:ext cx="3817424" cy="2131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F8E06B-4953-4B61-B759-F26FB489DC54}">
      <dsp:nvSpPr>
        <dsp:cNvPr id="0" name=""/>
        <dsp:cNvSpPr/>
      </dsp:nvSpPr>
      <dsp:spPr>
        <a:xfrm>
          <a:off x="0" y="25956"/>
          <a:ext cx="5486400" cy="136809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64008" numCol="1" spcCol="1270" anchor="t" anchorCtr="0">
          <a:noAutofit/>
        </a:bodyPr>
        <a:lstStyle/>
        <a:p>
          <a:pPr marL="57150" lvl="1" indent="-57150" algn="just" defTabSz="400050">
            <a:lnSpc>
              <a:spcPct val="90000"/>
            </a:lnSpc>
            <a:spcBef>
              <a:spcPct val="0"/>
            </a:spcBef>
            <a:spcAft>
              <a:spcPct val="15000"/>
            </a:spcAft>
            <a:buChar char="••"/>
          </a:pPr>
          <a:r>
            <a:rPr lang="lv-LV" sz="900" kern="1200"/>
            <a:t>Statistiskie dati iegūti izmantojot CSP datubāzē pieejamo statistisko informāciju par būvniecības nozares izmaksu izmaiņām.</a:t>
          </a:r>
          <a:endParaRPr lang="en-GB" sz="900" kern="1200"/>
        </a:p>
        <a:p>
          <a:pPr marL="57150" lvl="1" indent="-57150" algn="just" defTabSz="400050">
            <a:lnSpc>
              <a:spcPct val="90000"/>
            </a:lnSpc>
            <a:spcBef>
              <a:spcPct val="0"/>
            </a:spcBef>
            <a:spcAft>
              <a:spcPct val="15000"/>
            </a:spcAft>
            <a:buChar char="••"/>
          </a:pPr>
          <a:r>
            <a:rPr lang="lv-LV" sz="900" kern="1200"/>
            <a:t>Pētījumā tika izmantoti CSP apkopotie rādītāji, kas atbilst pētāmajam rādītājam - būvniecības izmaksu indekss. Indeksi tika izmantoti gan kopējo būvniecības cenu izmaiņu izpētei, gan arī izmaiņu izpētei pa resursu veidiem un pa objektu grupām tajos griezumos, kur šādi dati eksistē.</a:t>
          </a:r>
          <a:endParaRPr lang="en-GB" sz="900" kern="1200"/>
        </a:p>
        <a:p>
          <a:pPr marL="57150" lvl="1" indent="-57150" algn="just" defTabSz="400050">
            <a:lnSpc>
              <a:spcPct val="90000"/>
            </a:lnSpc>
            <a:spcBef>
              <a:spcPct val="0"/>
            </a:spcBef>
            <a:spcAft>
              <a:spcPct val="15000"/>
            </a:spcAft>
            <a:buChar char="••"/>
          </a:pPr>
          <a:r>
            <a:rPr lang="lv-LV" sz="900" b="0" kern="1200"/>
            <a:t>Valsts statistikas datos netiek apkopota informācija par būvniecības izmaksu izmaiņām šādās objektu grupās: komplekso būvju rūpnieciskās ražošanas uzņēmumi būvniecībā; c</a:t>
          </a:r>
          <a:r>
            <a:rPr lang="en-GB" sz="900" b="0" kern="1200"/>
            <a:t>itu inženierbūvju būvniecība.</a:t>
          </a:r>
          <a:endParaRPr lang="en-GB" sz="900" kern="1200"/>
        </a:p>
      </dsp:txBody>
      <dsp:txXfrm>
        <a:off x="0" y="25956"/>
        <a:ext cx="5486400" cy="1368090"/>
      </dsp:txXfrm>
    </dsp:sp>
    <dsp:sp modelId="{5C488E9A-4DD3-416E-A2D0-85F1E21DFBB2}">
      <dsp:nvSpPr>
        <dsp:cNvPr id="0" name=""/>
        <dsp:cNvSpPr/>
      </dsp:nvSpPr>
      <dsp:spPr>
        <a:xfrm>
          <a:off x="223518" y="0"/>
          <a:ext cx="3840480" cy="280910"/>
        </a:xfrm>
        <a:prstGeom prst="round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00050">
            <a:lnSpc>
              <a:spcPct val="90000"/>
            </a:lnSpc>
            <a:spcBef>
              <a:spcPct val="0"/>
            </a:spcBef>
            <a:spcAft>
              <a:spcPct val="35000"/>
            </a:spcAft>
          </a:pPr>
          <a:r>
            <a:rPr lang="lv-LV" sz="900" b="1" kern="1200"/>
            <a:t>Statistiskā trenda analīze</a:t>
          </a:r>
          <a:endParaRPr lang="en-GB" sz="900" b="1" kern="1200"/>
        </a:p>
      </dsp:txBody>
      <dsp:txXfrm>
        <a:off x="237231" y="13713"/>
        <a:ext cx="3813054" cy="253484"/>
      </dsp:txXfrm>
    </dsp:sp>
    <dsp:sp modelId="{768F054A-210B-48E7-8824-7A2FD6036DCC}">
      <dsp:nvSpPr>
        <dsp:cNvPr id="0" name=""/>
        <dsp:cNvSpPr/>
      </dsp:nvSpPr>
      <dsp:spPr>
        <a:xfrm>
          <a:off x="0" y="1435543"/>
          <a:ext cx="5486400" cy="9261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64008" numCol="1" spcCol="1270" anchor="t" anchorCtr="0">
          <a:noAutofit/>
        </a:bodyPr>
        <a:lstStyle/>
        <a:p>
          <a:pPr marL="57150" lvl="1" indent="-57150" algn="just" defTabSz="400050">
            <a:lnSpc>
              <a:spcPct val="90000"/>
            </a:lnSpc>
            <a:spcBef>
              <a:spcPct val="0"/>
            </a:spcBef>
            <a:spcAft>
              <a:spcPct val="15000"/>
            </a:spcAft>
            <a:buChar char="••"/>
          </a:pPr>
          <a:r>
            <a:rPr lang="lv-LV" sz="900" b="1" kern="1200"/>
            <a:t>Mērķis: </a:t>
          </a:r>
          <a:r>
            <a:rPr lang="lv-LV" sz="900" kern="1200"/>
            <a:t>kompensēt kļūdas un uzlabot gala prognozes ticamību.</a:t>
          </a:r>
          <a:endParaRPr lang="en-GB" sz="900" b="1" kern="1200"/>
        </a:p>
        <a:p>
          <a:pPr marL="57150" lvl="1" indent="-57150" algn="just" defTabSz="400050">
            <a:lnSpc>
              <a:spcPct val="90000"/>
            </a:lnSpc>
            <a:spcBef>
              <a:spcPct val="0"/>
            </a:spcBef>
            <a:spcAft>
              <a:spcPct val="15000"/>
            </a:spcAft>
            <a:buChar char="••"/>
          </a:pPr>
          <a:r>
            <a:rPr lang="lv-LV" sz="900" kern="1200"/>
            <a:t>Apvieno sevī </a:t>
          </a:r>
          <a:r>
            <a:rPr lang="en-GB" sz="900" kern="1200"/>
            <a:t>statistikas un ekspertu novērtējuma prognozes</a:t>
          </a:r>
          <a:r>
            <a:rPr lang="lv-LV" sz="900" kern="1200"/>
            <a:t>.</a:t>
          </a:r>
          <a:endParaRPr lang="en-GB" sz="900" b="1" kern="1200"/>
        </a:p>
        <a:p>
          <a:pPr marL="57150" lvl="1" indent="-57150" algn="just" defTabSz="400050">
            <a:lnSpc>
              <a:spcPct val="90000"/>
            </a:lnSpc>
            <a:spcBef>
              <a:spcPct val="0"/>
            </a:spcBef>
            <a:spcAft>
              <a:spcPct val="15000"/>
            </a:spcAft>
            <a:buChar char="••"/>
          </a:pPr>
          <a:r>
            <a:rPr lang="lv-LV" sz="900" b="0" kern="1200"/>
            <a:t>Izmantots papildus, </a:t>
          </a:r>
          <a:r>
            <a:rPr lang="lv-LV" sz="900" kern="1200"/>
            <a:t>atsevišķai statistiskās informācijas un ekspertvērtējumu analīzei.</a:t>
          </a:r>
          <a:endParaRPr lang="en-GB" sz="900" b="1" kern="1200"/>
        </a:p>
      </dsp:txBody>
      <dsp:txXfrm>
        <a:off x="0" y="1435543"/>
        <a:ext cx="5486400" cy="926100"/>
      </dsp:txXfrm>
    </dsp:sp>
    <dsp:sp modelId="{F87FEA1E-3456-4E9D-B630-BE5C6E557DEA}">
      <dsp:nvSpPr>
        <dsp:cNvPr id="0" name=""/>
        <dsp:cNvSpPr/>
      </dsp:nvSpPr>
      <dsp:spPr>
        <a:xfrm>
          <a:off x="236219" y="1378541"/>
          <a:ext cx="3840480" cy="238055"/>
        </a:xfrm>
        <a:prstGeom prst="round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00050">
            <a:lnSpc>
              <a:spcPct val="90000"/>
            </a:lnSpc>
            <a:spcBef>
              <a:spcPct val="0"/>
            </a:spcBef>
            <a:spcAft>
              <a:spcPct val="35000"/>
            </a:spcAft>
          </a:pPr>
          <a:r>
            <a:rPr lang="lv-LV" sz="900" b="1" kern="1200"/>
            <a:t>Kombinētās prognozes </a:t>
          </a:r>
          <a:endParaRPr lang="en-GB" sz="900" b="1" kern="1200"/>
        </a:p>
      </dsp:txBody>
      <dsp:txXfrm>
        <a:off x="247840" y="1390162"/>
        <a:ext cx="3817238" cy="214813"/>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1F4979"/>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51572-BC2D-4A1C-A146-657326745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42</Pages>
  <Words>11773</Words>
  <Characters>67109</Characters>
  <Application>Microsoft Office Word</Application>
  <DocSecurity>0</DocSecurity>
  <Lines>559</Lines>
  <Paragraphs>157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EM ziņojums</vt:lpstr>
      <vt:lpstr>EM ziņojums</vt:lpstr>
    </vt:vector>
  </TitlesOfParts>
  <Company/>
  <LinksUpToDate>false</LinksUpToDate>
  <CharactersWithSpaces>78725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 ziņojums</dc:title>
  <dc:subject>Rīga, 2019</dc:subject>
  <dc:creator>Home</dc:creator>
  <cp:keywords/>
  <dc:description/>
  <cp:lastModifiedBy>Home</cp:lastModifiedBy>
  <cp:revision>11</cp:revision>
  <cp:lastPrinted>2019-07-03T12:48:00Z</cp:lastPrinted>
  <dcterms:created xsi:type="dcterms:W3CDTF">2019-10-28T12:02:00Z</dcterms:created>
  <dcterms:modified xsi:type="dcterms:W3CDTF">2019-10-29T12:45:00Z</dcterms:modified>
</cp:coreProperties>
</file>