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2F143" w14:textId="0FAE7D65" w:rsidR="004F6056" w:rsidRPr="00B2521E" w:rsidRDefault="004F6056" w:rsidP="00B13164">
      <w:bookmarkStart w:id="0" w:name="_Hlk10466447"/>
      <w:bookmarkEnd w:id="0"/>
      <w:r>
        <w:t xml:space="preserve"> </w:t>
      </w:r>
    </w:p>
    <w:sdt>
      <w:sdtPr>
        <w:id w:val="-837072791"/>
        <w:docPartObj>
          <w:docPartGallery w:val="Cover Pages"/>
          <w:docPartUnique/>
        </w:docPartObj>
      </w:sdtPr>
      <w:sdtEndPr>
        <w:rPr>
          <w:sz w:val="20"/>
        </w:rPr>
      </w:sdtEndPr>
      <w:sdtContent>
        <w:p w14:paraId="54E302F3" w14:textId="4DF8A446" w:rsidR="00696375" w:rsidRPr="00B2521E" w:rsidRDefault="00874999" w:rsidP="00B13164">
          <w:r>
            <w:rPr>
              <w:noProof/>
              <w:lang w:val="en-US"/>
            </w:rPr>
            <mc:AlternateContent>
              <mc:Choice Requires="wpg">
                <w:drawing>
                  <wp:anchor distT="0" distB="0" distL="114300" distR="114300" simplePos="0" relativeHeight="251665408" behindDoc="1" locked="0" layoutInCell="1" allowOverlap="1" wp14:anchorId="23F514D2" wp14:editId="70EF7812">
                    <wp:simplePos x="0" y="0"/>
                    <wp:positionH relativeFrom="page">
                      <wp:posOffset>0</wp:posOffset>
                    </wp:positionH>
                    <wp:positionV relativeFrom="page">
                      <wp:posOffset>-16042</wp:posOffset>
                    </wp:positionV>
                    <wp:extent cx="7668934" cy="10764253"/>
                    <wp:effectExtent l="0" t="0" r="0" b="0"/>
                    <wp:wrapNone/>
                    <wp:docPr id="35" name="Group 35"/>
                    <wp:cNvGraphicFramePr/>
                    <a:graphic xmlns:a="http://schemas.openxmlformats.org/drawingml/2006/main">
                      <a:graphicData uri="http://schemas.microsoft.com/office/word/2010/wordprocessingGroup">
                        <wpg:wgp>
                          <wpg:cNvGrpSpPr/>
                          <wpg:grpSpPr>
                            <a:xfrm>
                              <a:off x="0" y="0"/>
                              <a:ext cx="7668934" cy="10764253"/>
                              <a:chOff x="-192514" y="-497305"/>
                              <a:chExt cx="7669283" cy="10764358"/>
                            </a:xfrm>
                          </wpg:grpSpPr>
                          <wpg:grpSp>
                            <wpg:cNvPr id="38" name="Group 38"/>
                            <wpg:cNvGrpSpPr/>
                            <wpg:grpSpPr>
                              <a:xfrm>
                                <a:off x="-192514" y="-497305"/>
                                <a:ext cx="7539798" cy="10764358"/>
                                <a:chOff x="-192514" y="-497305"/>
                                <a:chExt cx="7539798" cy="10764358"/>
                              </a:xfrm>
                            </wpg:grpSpPr>
                            <wps:wsp>
                              <wps:cNvPr id="44" name="Rectangle 44"/>
                              <wps:cNvSpPr/>
                              <wps:spPr>
                                <a:xfrm>
                                  <a:off x="-192514" y="-497305"/>
                                  <a:ext cx="7539798" cy="10764358"/>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013C31EA" w14:textId="77777777" w:rsidR="00835592" w:rsidRDefault="00835592" w:rsidP="00874999">
                                    <w:pPr>
                                      <w:pStyle w:val="NoSpacing"/>
                                      <w:jc w:val="center"/>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45" name="Group 2"/>
                              <wpg:cNvGrpSpPr/>
                              <wpg:grpSpPr>
                                <a:xfrm>
                                  <a:off x="2524125" y="0"/>
                                  <a:ext cx="4329113" cy="4491038"/>
                                  <a:chOff x="0" y="0"/>
                                  <a:chExt cx="4329113" cy="4491038"/>
                                </a:xfrm>
                                <a:solidFill>
                                  <a:schemeClr val="bg1"/>
                                </a:solidFill>
                              </wpg:grpSpPr>
                              <wps:wsp>
                                <wps:cNvPr id="47"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53" name="Text Box 53"/>
                            <wps:cNvSpPr txBox="1"/>
                            <wps:spPr>
                              <a:xfrm>
                                <a:off x="401071" y="4327829"/>
                                <a:ext cx="7075698" cy="51531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3ED33" w14:textId="40769458" w:rsidR="00835592" w:rsidRDefault="00835592" w:rsidP="00874999">
                                  <w:pPr>
                                    <w:pStyle w:val="NoSpacing"/>
                                    <w:jc w:val="center"/>
                                    <w:rPr>
                                      <w:rFonts w:asciiTheme="majorHAnsi" w:eastAsiaTheme="majorEastAsia" w:hAnsiTheme="majorHAnsi" w:cstheme="majorBidi"/>
                                      <w:caps/>
                                      <w:color w:val="FFFFFF" w:themeColor="background1"/>
                                      <w:sz w:val="64"/>
                                      <w:szCs w:val="64"/>
                                    </w:rPr>
                                  </w:pPr>
                                  <w:r>
                                    <w:rPr>
                                      <w:rFonts w:asciiTheme="majorHAnsi" w:hAnsiTheme="majorHAnsi"/>
                                      <w:caps/>
                                      <w:color w:val="FFFFFF" w:themeColor="background1"/>
                                      <w:sz w:val="64"/>
                                      <w:szCs w:val="64"/>
                                    </w:rPr>
                                    <w:t>Study on expected changes in costs of labour force and construction materials in the construction sector in Latvia</w:t>
                                  </w:r>
                                </w:p>
                                <w:p w14:paraId="1667560C" w14:textId="155CB572" w:rsidR="00835592" w:rsidRPr="00874999" w:rsidRDefault="00835592" w:rsidP="00696375">
                                  <w:pPr>
                                    <w:pStyle w:val="NoSpacing"/>
                                    <w:jc w:val="center"/>
                                    <w:rPr>
                                      <w:rFonts w:asciiTheme="majorHAnsi" w:eastAsiaTheme="majorEastAsia" w:hAnsiTheme="majorHAnsi" w:cstheme="majorBidi"/>
                                      <w:caps/>
                                      <w:color w:val="FFFFFF" w:themeColor="background1"/>
                                      <w:sz w:val="52"/>
                                      <w:szCs w:val="52"/>
                                    </w:rPr>
                                  </w:pPr>
                                </w:p>
                                <w:p w14:paraId="20A99AE7" w14:textId="25A84425" w:rsidR="00835592" w:rsidRPr="00874999" w:rsidRDefault="00835592" w:rsidP="00696375">
                                  <w:pPr>
                                    <w:pStyle w:val="NoSpacing"/>
                                    <w:jc w:val="center"/>
                                    <w:rPr>
                                      <w:rFonts w:asciiTheme="majorHAnsi" w:eastAsiaTheme="majorEastAsia" w:hAnsiTheme="majorHAnsi" w:cstheme="majorBidi"/>
                                      <w:caps/>
                                      <w:color w:val="FFFFFF" w:themeColor="background1"/>
                                      <w:sz w:val="48"/>
                                      <w:szCs w:val="48"/>
                                    </w:rPr>
                                  </w:pPr>
                                </w:p>
                                <w:p w14:paraId="49597B35" w14:textId="30CE2B15" w:rsidR="00835592" w:rsidRDefault="00835592" w:rsidP="00696375">
                                  <w:pPr>
                                    <w:pStyle w:val="NoSpacing"/>
                                    <w:jc w:val="center"/>
                                    <w:rPr>
                                      <w:rFonts w:asciiTheme="majorHAnsi" w:eastAsiaTheme="majorEastAsia" w:hAnsiTheme="majorHAnsi" w:cstheme="majorBidi"/>
                                      <w:b/>
                                      <w:bCs/>
                                      <w:caps/>
                                      <w:color w:val="FFFFFF" w:themeColor="background1"/>
                                      <w:sz w:val="64"/>
                                      <w:szCs w:val="64"/>
                                    </w:rPr>
                                  </w:pPr>
                                  <w:r>
                                    <w:rPr>
                                      <w:rFonts w:asciiTheme="majorHAnsi" w:hAnsiTheme="majorHAnsi"/>
                                      <w:b/>
                                      <w:bCs/>
                                      <w:caps/>
                                      <w:color w:val="FFFFFF" w:themeColor="background1"/>
                                      <w:sz w:val="64"/>
                                      <w:szCs w:val="64"/>
                                    </w:rPr>
                                    <w:t>REPORT</w:t>
                                  </w:r>
                                </w:p>
                                <w:p w14:paraId="70579699" w14:textId="6B3960D8" w:rsidR="00835592" w:rsidRDefault="00835592" w:rsidP="00696375">
                                  <w:pPr>
                                    <w:pStyle w:val="NoSpacing"/>
                                    <w:jc w:val="center"/>
                                    <w:rPr>
                                      <w:rFonts w:asciiTheme="majorHAnsi" w:eastAsiaTheme="majorEastAsia" w:hAnsiTheme="majorHAnsi" w:cstheme="majorBidi"/>
                                      <w:b/>
                                      <w:bCs/>
                                      <w:caps/>
                                      <w:color w:val="FFFFFF" w:themeColor="background1"/>
                                      <w:sz w:val="64"/>
                                      <w:szCs w:val="64"/>
                                    </w:rPr>
                                  </w:pPr>
                                </w:p>
                                <w:p w14:paraId="088E4468" w14:textId="08D8735A" w:rsidR="00835592" w:rsidRPr="00696375" w:rsidRDefault="00835592" w:rsidP="00696375">
                                  <w:pPr>
                                    <w:pStyle w:val="NoSpacing"/>
                                    <w:jc w:val="center"/>
                                    <w:rPr>
                                      <w:color w:val="FFFFFF" w:themeColor="background1"/>
                                      <w:sz w:val="36"/>
                                      <w:szCs w:val="36"/>
                                    </w:rPr>
                                  </w:pPr>
                                  <w:sdt>
                                    <w:sdtPr>
                                      <w:rPr>
                                        <w:color w:val="FFFFFF" w:themeColor="background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r w:rsidRPr="00696375">
                                        <w:rPr>
                                          <w:color w:val="FFFFFF" w:themeColor="background1"/>
                                          <w:sz w:val="36"/>
                                          <w:szCs w:val="36"/>
                                        </w:rPr>
                                        <w:t>Rīga, 2019</w:t>
                                      </w:r>
                                    </w:sdtContent>
                                  </w:sdt>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F514D2" id="Group 35" o:spid="_x0000_s1026" style="position:absolute;margin-left:0;margin-top:-1.25pt;width:603.85pt;height:847.6pt;z-index:-251651072;mso-position-horizontal-relative:page;mso-position-vertical-relative:page" coordorigin="-1925,-4973" coordsize="76692,10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">
                    <v:group id="Group 38" o:spid="_x0000_s1027" style="position:absolute;left:-1925;top:-4973;width:75397;height:107643" coordorigin="-1925,-4973" coordsize="75397,10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44" o:spid="_x0000_s1028" style="position:absolute;left:-1925;top:-4973;width:75397;height:10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" fillcolor="#485870 [3122]" stroked="f" strokeweight="1pt">
                        <v:fill color2="#3d4b5f [2882]" angle="348" colors="0 #88acbb;6554f #88acbb" focus="100%" type="gradient"/>
                        <v:textbox inset="54pt,54pt,1in,5in">
                          <w:txbxContent>
                            <w:p w14:paraId="013C31EA" w14:textId="77777777" w:rsidR="00835592" w:rsidRDefault="00835592" w:rsidP="00874999">
                              <w:pPr>
                                <w:pStyle w:val="NoSpacing"/>
                                <w:jc w:val="center"/>
                                <w:rPr>
                                  <w:color w:val="FFFFFF" w:themeColor="background1"/>
                                  <w:sz w:val="48"/>
                                  <w:szCs w:val="48"/>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fHwwAAANsAAAAPAAAAZHJzL2Rvd25yZXYueG1sRI9PawIx&#10;FMTvgt8hPKE3zbZI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eZgXx8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53" o:spid="_x0000_s1035" type="#_x0000_t202" style="position:absolute;left:4010;top:43278;width:70757;height:515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" filled="f" stroked="f" strokeweight=".5pt">
                      <v:textbox inset="54pt,0,1in,0">
                        <w:txbxContent>
                          <w:p w14:paraId="1E73ED33" w14:textId="40769458" w:rsidR="00835592" w:rsidRDefault="00835592" w:rsidP="00874999">
                            <w:pPr>
                              <w:pStyle w:val="NoSpacing"/>
                              <w:jc w:val="center"/>
                              <w:rPr>
                                <w:rFonts w:asciiTheme="majorHAnsi" w:eastAsiaTheme="majorEastAsia" w:hAnsiTheme="majorHAnsi" w:cstheme="majorBidi"/>
                                <w:caps/>
                                <w:color w:val="FFFFFF" w:themeColor="background1"/>
                                <w:sz w:val="64"/>
                                <w:szCs w:val="64"/>
                              </w:rPr>
                            </w:pPr>
                            <w:r>
                              <w:rPr>
                                <w:rFonts w:asciiTheme="majorHAnsi" w:hAnsiTheme="majorHAnsi"/>
                                <w:caps/>
                                <w:color w:val="FFFFFF" w:themeColor="background1"/>
                                <w:sz w:val="64"/>
                                <w:szCs w:val="64"/>
                              </w:rPr>
                              <w:t>Study on expected changes in costs of labour force and construction materials in the construction sector in Latvia</w:t>
                            </w:r>
                          </w:p>
                          <w:p w14:paraId="1667560C" w14:textId="155CB572" w:rsidR="00835592" w:rsidRPr="00874999" w:rsidRDefault="00835592" w:rsidP="00696375">
                            <w:pPr>
                              <w:pStyle w:val="NoSpacing"/>
                              <w:jc w:val="center"/>
                              <w:rPr>
                                <w:rFonts w:asciiTheme="majorHAnsi" w:eastAsiaTheme="majorEastAsia" w:hAnsiTheme="majorHAnsi" w:cstheme="majorBidi"/>
                                <w:caps/>
                                <w:color w:val="FFFFFF" w:themeColor="background1"/>
                                <w:sz w:val="52"/>
                                <w:szCs w:val="52"/>
                              </w:rPr>
                            </w:pPr>
                          </w:p>
                          <w:p w14:paraId="20A99AE7" w14:textId="25A84425" w:rsidR="00835592" w:rsidRPr="00874999" w:rsidRDefault="00835592" w:rsidP="00696375">
                            <w:pPr>
                              <w:pStyle w:val="NoSpacing"/>
                              <w:jc w:val="center"/>
                              <w:rPr>
                                <w:rFonts w:asciiTheme="majorHAnsi" w:eastAsiaTheme="majorEastAsia" w:hAnsiTheme="majorHAnsi" w:cstheme="majorBidi"/>
                                <w:caps/>
                                <w:color w:val="FFFFFF" w:themeColor="background1"/>
                                <w:sz w:val="48"/>
                                <w:szCs w:val="48"/>
                              </w:rPr>
                            </w:pPr>
                          </w:p>
                          <w:p w14:paraId="49597B35" w14:textId="30CE2B15" w:rsidR="00835592" w:rsidRDefault="00835592" w:rsidP="00696375">
                            <w:pPr>
                              <w:pStyle w:val="NoSpacing"/>
                              <w:jc w:val="center"/>
                              <w:rPr>
                                <w:rFonts w:asciiTheme="majorHAnsi" w:eastAsiaTheme="majorEastAsia" w:hAnsiTheme="majorHAnsi" w:cstheme="majorBidi"/>
                                <w:b/>
                                <w:bCs/>
                                <w:caps/>
                                <w:color w:val="FFFFFF" w:themeColor="background1"/>
                                <w:sz w:val="64"/>
                                <w:szCs w:val="64"/>
                              </w:rPr>
                            </w:pPr>
                            <w:r>
                              <w:rPr>
                                <w:rFonts w:asciiTheme="majorHAnsi" w:hAnsiTheme="majorHAnsi"/>
                                <w:b/>
                                <w:bCs/>
                                <w:caps/>
                                <w:color w:val="FFFFFF" w:themeColor="background1"/>
                                <w:sz w:val="64"/>
                                <w:szCs w:val="64"/>
                              </w:rPr>
                              <w:t>REPORT</w:t>
                            </w:r>
                          </w:p>
                          <w:p w14:paraId="70579699" w14:textId="6B3960D8" w:rsidR="00835592" w:rsidRDefault="00835592" w:rsidP="00696375">
                            <w:pPr>
                              <w:pStyle w:val="NoSpacing"/>
                              <w:jc w:val="center"/>
                              <w:rPr>
                                <w:rFonts w:asciiTheme="majorHAnsi" w:eastAsiaTheme="majorEastAsia" w:hAnsiTheme="majorHAnsi" w:cstheme="majorBidi"/>
                                <w:b/>
                                <w:bCs/>
                                <w:caps/>
                                <w:color w:val="FFFFFF" w:themeColor="background1"/>
                                <w:sz w:val="64"/>
                                <w:szCs w:val="64"/>
                              </w:rPr>
                            </w:pPr>
                          </w:p>
                          <w:p w14:paraId="088E4468" w14:textId="08D8735A" w:rsidR="00835592" w:rsidRPr="00696375" w:rsidRDefault="00835592" w:rsidP="00696375">
                            <w:pPr>
                              <w:pStyle w:val="NoSpacing"/>
                              <w:jc w:val="center"/>
                              <w:rPr>
                                <w:color w:val="FFFFFF" w:themeColor="background1"/>
                                <w:sz w:val="36"/>
                                <w:szCs w:val="36"/>
                              </w:rPr>
                            </w:pPr>
                            <w:sdt>
                              <w:sdtPr>
                                <w:rPr>
                                  <w:color w:val="FFFFFF" w:themeColor="background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r w:rsidRPr="00696375">
                                  <w:rPr>
                                    <w:color w:val="FFFFFF" w:themeColor="background1"/>
                                    <w:sz w:val="36"/>
                                    <w:szCs w:val="36"/>
                                  </w:rPr>
                                  <w:t>Rīga, 2019</w:t>
                                </w:r>
                              </w:sdtContent>
                            </w:sdt>
                          </w:p>
                        </w:txbxContent>
                      </v:textbox>
                    </v:shape>
                    <w10:wrap anchorx="page" anchory="page"/>
                  </v:group>
                </w:pict>
              </mc:Fallback>
            </mc:AlternateContent>
          </w:r>
        </w:p>
        <w:p w14:paraId="5AD2D381" w14:textId="2038A0DF" w:rsidR="00696375" w:rsidRPr="00B2521E" w:rsidRDefault="00696375" w:rsidP="00B13164">
          <w:pPr>
            <w:spacing w:before="100" w:after="200" w:line="276" w:lineRule="auto"/>
            <w:rPr>
              <w:sz w:val="20"/>
            </w:rPr>
          </w:pPr>
          <w:r>
            <w:br w:type="page"/>
          </w:r>
        </w:p>
      </w:sdtContent>
    </w:sdt>
    <w:p w14:paraId="4C27AB43" w14:textId="77777777" w:rsidR="0064459A" w:rsidRPr="00B2521E" w:rsidRDefault="0064459A" w:rsidP="00B13164">
      <w:pPr>
        <w:shd w:val="clear" w:color="auto" w:fill="1F4979"/>
        <w:tabs>
          <w:tab w:val="left" w:pos="1548"/>
        </w:tabs>
        <w:sectPr w:rsidR="0064459A" w:rsidRPr="00B2521E" w:rsidSect="000F3110">
          <w:headerReference w:type="default" r:id="rId8"/>
          <w:footerReference w:type="default" r:id="rId9"/>
          <w:pgSz w:w="11906" w:h="16838" w:code="9"/>
          <w:pgMar w:top="0" w:right="0" w:bottom="0" w:left="0" w:header="709" w:footer="709" w:gutter="0"/>
          <w:pgNumType w:start="0"/>
          <w:cols w:space="708"/>
          <w:titlePg/>
          <w:docGrid w:linePitch="360"/>
        </w:sectPr>
      </w:pPr>
    </w:p>
    <w:p w14:paraId="792BED31" w14:textId="77777777" w:rsidR="00741888" w:rsidRPr="00B2521E" w:rsidRDefault="00741888" w:rsidP="00B13164">
      <w:pPr>
        <w:jc w:val="both"/>
      </w:pPr>
      <w:bookmarkStart w:id="1" w:name="_Toc505265583"/>
    </w:p>
    <w:p w14:paraId="25375D39" w14:textId="77777777" w:rsidR="00741888" w:rsidRPr="00B2521E" w:rsidRDefault="00741888" w:rsidP="00B13164">
      <w:pPr>
        <w:jc w:val="both"/>
      </w:pPr>
    </w:p>
    <w:p w14:paraId="58002740" w14:textId="77777777" w:rsidR="00741888" w:rsidRPr="00B2521E" w:rsidRDefault="00741888" w:rsidP="00B13164">
      <w:pPr>
        <w:jc w:val="both"/>
      </w:pPr>
    </w:p>
    <w:p w14:paraId="18EEB066" w14:textId="30868E54" w:rsidR="00741888" w:rsidRPr="00B2521E" w:rsidRDefault="00741888" w:rsidP="00B13164">
      <w:pPr>
        <w:jc w:val="both"/>
      </w:pPr>
    </w:p>
    <w:p w14:paraId="350F0874" w14:textId="1CC41F1D" w:rsidR="001C715D" w:rsidRPr="00B2521E" w:rsidRDefault="001C715D" w:rsidP="00B13164">
      <w:pPr>
        <w:jc w:val="both"/>
      </w:pPr>
    </w:p>
    <w:p w14:paraId="2AEA4E43" w14:textId="79C9390D" w:rsidR="001C715D" w:rsidRPr="00B2521E" w:rsidRDefault="001C715D" w:rsidP="00B13164">
      <w:pPr>
        <w:jc w:val="both"/>
      </w:pPr>
    </w:p>
    <w:p w14:paraId="321DE5AD" w14:textId="77777777" w:rsidR="001C715D" w:rsidRPr="00B2521E" w:rsidRDefault="001C715D" w:rsidP="00B13164">
      <w:pPr>
        <w:jc w:val="both"/>
      </w:pPr>
    </w:p>
    <w:p w14:paraId="371D2E4E" w14:textId="77777777" w:rsidR="00741888" w:rsidRPr="00B2521E" w:rsidRDefault="00741888" w:rsidP="00B13164">
      <w:pPr>
        <w:jc w:val="both"/>
      </w:pPr>
    </w:p>
    <w:p w14:paraId="6540AB75" w14:textId="4AEB7C2F" w:rsidR="00696375" w:rsidRPr="00B2521E" w:rsidRDefault="00696375" w:rsidP="00B13164">
      <w:pPr>
        <w:jc w:val="center"/>
        <w:rPr>
          <w:b/>
          <w:bCs/>
          <w:caps/>
          <w:color w:val="1F4979"/>
          <w:sz w:val="36"/>
          <w:szCs w:val="36"/>
        </w:rPr>
      </w:pPr>
      <w:r>
        <w:rPr>
          <w:b/>
          <w:bCs/>
          <w:caps/>
          <w:color w:val="1F4979"/>
          <w:sz w:val="36"/>
          <w:szCs w:val="36"/>
        </w:rPr>
        <w:t>Study on expected changes in costs of labour force</w:t>
      </w:r>
    </w:p>
    <w:p w14:paraId="3692FB79" w14:textId="7CFE82C3" w:rsidR="00741888" w:rsidRPr="00B2521E" w:rsidRDefault="00696375" w:rsidP="00B13164">
      <w:pPr>
        <w:jc w:val="center"/>
      </w:pPr>
      <w:r>
        <w:rPr>
          <w:b/>
          <w:bCs/>
          <w:caps/>
          <w:color w:val="1F4979"/>
          <w:sz w:val="36"/>
          <w:szCs w:val="36"/>
        </w:rPr>
        <w:t>and construction materials in the construction sector in Latvia</w:t>
      </w:r>
    </w:p>
    <w:p w14:paraId="3FC62E18" w14:textId="3B9F1B9C" w:rsidR="00741888" w:rsidRPr="00B2521E" w:rsidRDefault="00741888" w:rsidP="00B13164">
      <w:pPr>
        <w:jc w:val="both"/>
      </w:pPr>
    </w:p>
    <w:p w14:paraId="08A9CB51" w14:textId="415CD8E1" w:rsidR="00D22AB3" w:rsidRPr="00B2521E" w:rsidRDefault="00DC7CBD" w:rsidP="00B13164">
      <w:pPr>
        <w:jc w:val="center"/>
      </w:pPr>
      <w:r>
        <w:t>The study was carried out for the period from 1 January 2019 to 31 December 2020 and provides an evaluation of trends for the period from 1 January 2021 to 31 December 2023 for changes in total volumes of construction products and costs and for subsectors of the construction sector.</w:t>
      </w:r>
    </w:p>
    <w:p w14:paraId="74E9923A" w14:textId="77777777" w:rsidR="00D22AB3" w:rsidRPr="00B2521E" w:rsidRDefault="00D22AB3" w:rsidP="00B13164">
      <w:pPr>
        <w:jc w:val="both"/>
      </w:pPr>
    </w:p>
    <w:p w14:paraId="3B3F6E50" w14:textId="77777777" w:rsidR="00D22AB3" w:rsidRPr="00B2521E" w:rsidRDefault="00D22AB3" w:rsidP="00B13164">
      <w:pPr>
        <w:jc w:val="both"/>
      </w:pPr>
    </w:p>
    <w:p w14:paraId="136485ED" w14:textId="12729AEF" w:rsidR="00F37277" w:rsidRPr="00B2521E" w:rsidRDefault="00F37277" w:rsidP="00B13164">
      <w:pPr>
        <w:jc w:val="both"/>
      </w:pPr>
    </w:p>
    <w:p w14:paraId="51AE8163" w14:textId="2EA6A681" w:rsidR="00F37277" w:rsidRPr="00B2521E" w:rsidRDefault="00F37277" w:rsidP="00B13164">
      <w:pPr>
        <w:jc w:val="both"/>
      </w:pPr>
    </w:p>
    <w:p w14:paraId="4A4E8026" w14:textId="4097111D" w:rsidR="00F37277" w:rsidRPr="00B2521E" w:rsidRDefault="00F37277" w:rsidP="00B13164">
      <w:pPr>
        <w:jc w:val="both"/>
      </w:pPr>
    </w:p>
    <w:p w14:paraId="7E78612B" w14:textId="77777777" w:rsidR="00F37277" w:rsidRPr="00B2521E" w:rsidRDefault="00F37277" w:rsidP="00B13164">
      <w:pPr>
        <w:jc w:val="both"/>
      </w:pPr>
    </w:p>
    <w:p w14:paraId="47E1463D" w14:textId="4000E388" w:rsidR="001C715D" w:rsidRPr="00B2521E" w:rsidRDefault="001C715D" w:rsidP="00B13164">
      <w:pPr>
        <w:jc w:val="both"/>
      </w:pPr>
    </w:p>
    <w:p w14:paraId="7D25AF65" w14:textId="77777777" w:rsidR="001C715D" w:rsidRPr="00B2521E" w:rsidRDefault="001C715D" w:rsidP="00B13164">
      <w:pPr>
        <w:jc w:val="both"/>
      </w:pPr>
    </w:p>
    <w:p w14:paraId="3193BEEE" w14:textId="0C10806A" w:rsidR="001C715D" w:rsidRPr="00B2521E" w:rsidRDefault="001C715D" w:rsidP="00B13164">
      <w:pPr>
        <w:jc w:val="both"/>
      </w:pPr>
    </w:p>
    <w:p w14:paraId="701B0EB7" w14:textId="5E8C4F25" w:rsidR="001C715D" w:rsidRPr="00B2521E" w:rsidRDefault="001C715D" w:rsidP="00B13164">
      <w:pPr>
        <w:jc w:val="both"/>
      </w:pPr>
    </w:p>
    <w:p w14:paraId="47C51522" w14:textId="77777777" w:rsidR="00696375" w:rsidRPr="00B2521E" w:rsidRDefault="00696375" w:rsidP="00B13164">
      <w:pPr>
        <w:jc w:val="both"/>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646"/>
        <w:gridCol w:w="2208"/>
        <w:gridCol w:w="2528"/>
      </w:tblGrid>
      <w:tr w:rsidR="00696375" w:rsidRPr="00B2521E" w14:paraId="3B99FE68" w14:textId="77777777" w:rsidTr="005C2880">
        <w:tc>
          <w:tcPr>
            <w:tcW w:w="2411" w:type="dxa"/>
          </w:tcPr>
          <w:p w14:paraId="52598866" w14:textId="77777777" w:rsidR="00F37277" w:rsidRPr="00B2521E" w:rsidRDefault="00F37277" w:rsidP="00B13164">
            <w:pPr>
              <w:spacing w:beforeLines="120" w:before="288" w:afterLines="120" w:after="288"/>
              <w:contextualSpacing/>
              <w:jc w:val="both"/>
              <w:rPr>
                <w:color w:val="1F3864"/>
                <w:sz w:val="32"/>
                <w:szCs w:val="32"/>
              </w:rPr>
            </w:pPr>
            <w:r>
              <w:rPr>
                <w:noProof/>
                <w:lang w:val="en-US"/>
              </w:rPr>
              <w:drawing>
                <wp:inline distT="0" distB="0" distL="0" distR="0" wp14:anchorId="1DC1BC4B" wp14:editId="2C613AED">
                  <wp:extent cx="1338767" cy="5193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8912" cy="534954"/>
                          </a:xfrm>
                          <a:prstGeom prst="rect">
                            <a:avLst/>
                          </a:prstGeom>
                          <a:noFill/>
                          <a:ln>
                            <a:noFill/>
                          </a:ln>
                        </pic:spPr>
                      </pic:pic>
                    </a:graphicData>
                  </a:graphic>
                </wp:inline>
              </w:drawing>
            </w:r>
          </w:p>
          <w:p w14:paraId="5D9FA869" w14:textId="77777777" w:rsidR="00F37277" w:rsidRPr="00B2521E" w:rsidRDefault="00F37277" w:rsidP="00B13164">
            <w:pPr>
              <w:spacing w:beforeLines="120" w:before="288" w:afterLines="120" w:after="288"/>
              <w:contextualSpacing/>
              <w:jc w:val="both"/>
              <w:rPr>
                <w:color w:val="1F3864"/>
                <w:sz w:val="32"/>
                <w:szCs w:val="32"/>
              </w:rPr>
            </w:pPr>
          </w:p>
          <w:p w14:paraId="510CAB9F" w14:textId="77777777" w:rsidR="00F37277" w:rsidRPr="00B2521E" w:rsidRDefault="00F37277" w:rsidP="00B13164">
            <w:pPr>
              <w:spacing w:beforeLines="120" w:before="288" w:afterLines="120" w:after="288"/>
              <w:contextualSpacing/>
              <w:jc w:val="both"/>
              <w:rPr>
                <w:color w:val="1F3864"/>
                <w:sz w:val="32"/>
                <w:szCs w:val="32"/>
              </w:rPr>
            </w:pPr>
          </w:p>
        </w:tc>
        <w:tc>
          <w:tcPr>
            <w:tcW w:w="2830" w:type="dxa"/>
          </w:tcPr>
          <w:p w14:paraId="6E20C6AE" w14:textId="77777777" w:rsidR="00F37277" w:rsidRPr="00B2521E" w:rsidRDefault="00F37277" w:rsidP="00B13164">
            <w:pPr>
              <w:contextualSpacing/>
              <w:jc w:val="both"/>
              <w:rPr>
                <w:b/>
              </w:rPr>
            </w:pPr>
            <w:r>
              <w:rPr>
                <w:b/>
              </w:rPr>
              <w:t>Contractor:</w:t>
            </w:r>
          </w:p>
          <w:p w14:paraId="7A72EBD5" w14:textId="77777777" w:rsidR="00F37277" w:rsidRPr="00B2521E" w:rsidRDefault="00F37277" w:rsidP="00B13164">
            <w:pPr>
              <w:contextualSpacing/>
              <w:jc w:val="both"/>
              <w:rPr>
                <w:szCs w:val="32"/>
              </w:rPr>
            </w:pPr>
            <w:r>
              <w:t>SIA “Oxford Research Baltics”</w:t>
            </w:r>
          </w:p>
          <w:p w14:paraId="730DAA88" w14:textId="3109BEC6" w:rsidR="00F37277" w:rsidRPr="00B2521E" w:rsidRDefault="00696375" w:rsidP="00B13164">
            <w:pPr>
              <w:contextualSpacing/>
              <w:jc w:val="both"/>
              <w:rPr>
                <w:color w:val="1F3864"/>
                <w:sz w:val="32"/>
                <w:szCs w:val="32"/>
              </w:rPr>
            </w:pPr>
            <w:r>
              <w:t xml:space="preserve">Kr. </w:t>
            </w:r>
            <w:proofErr w:type="spellStart"/>
            <w:r>
              <w:t>Valdemāra</w:t>
            </w:r>
            <w:proofErr w:type="spellEnd"/>
            <w:r>
              <w:t xml:space="preserve"> </w:t>
            </w:r>
            <w:proofErr w:type="spellStart"/>
            <w:r>
              <w:t>iela</w:t>
            </w:r>
            <w:proofErr w:type="spellEnd"/>
            <w:r>
              <w:t xml:space="preserve"> 23-37 k.2, Riga, LV-1010</w:t>
            </w:r>
          </w:p>
        </w:tc>
        <w:tc>
          <w:tcPr>
            <w:tcW w:w="1847" w:type="dxa"/>
          </w:tcPr>
          <w:p w14:paraId="0AE6D841" w14:textId="77777777" w:rsidR="00F37277" w:rsidRPr="00B2521E" w:rsidRDefault="00696375" w:rsidP="00B13164">
            <w:pPr>
              <w:spacing w:beforeLines="120" w:before="288" w:afterLines="120" w:after="288"/>
              <w:contextualSpacing/>
              <w:jc w:val="right"/>
              <w:rPr>
                <w:color w:val="1F3864"/>
                <w:sz w:val="32"/>
                <w:szCs w:val="32"/>
              </w:rPr>
            </w:pPr>
            <w:r>
              <w:rPr>
                <w:noProof/>
                <w:lang w:val="en-US"/>
              </w:rPr>
              <w:drawing>
                <wp:inline distT="0" distB="0" distL="0" distR="0" wp14:anchorId="3E2F7011" wp14:editId="7DAD75CF">
                  <wp:extent cx="1265544" cy="1043517"/>
                  <wp:effectExtent l="0" t="0" r="0" b="4445"/>
                  <wp:docPr id="54" name="Picture 54" descr="AttÄlu rezultÄti vaicÄjumam âekonomikas ministrija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Älu rezultÄti vaicÄjumam âekonomikas ministrija logoâ"/>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397" b="24"/>
                          <a:stretch/>
                        </pic:blipFill>
                        <pic:spPr bwMode="auto">
                          <a:xfrm>
                            <a:off x="0" y="0"/>
                            <a:ext cx="1284164" cy="1058870"/>
                          </a:xfrm>
                          <a:prstGeom prst="rect">
                            <a:avLst/>
                          </a:prstGeom>
                          <a:noFill/>
                          <a:ln>
                            <a:noFill/>
                          </a:ln>
                          <a:extLst>
                            <a:ext uri="{53640926-AAD7-44D8-BBD7-CCE9431645EC}">
                              <a14:shadowObscured xmlns:a14="http://schemas.microsoft.com/office/drawing/2010/main"/>
                            </a:ext>
                          </a:extLst>
                        </pic:spPr>
                      </pic:pic>
                    </a:graphicData>
                  </a:graphic>
                </wp:inline>
              </w:drawing>
            </w:r>
          </w:p>
          <w:p w14:paraId="6A4AB952" w14:textId="77777777" w:rsidR="00696375" w:rsidRPr="00B2521E" w:rsidRDefault="00696375" w:rsidP="00B13164">
            <w:pPr>
              <w:rPr>
                <w:color w:val="1F3864"/>
                <w:sz w:val="32"/>
                <w:szCs w:val="32"/>
              </w:rPr>
            </w:pPr>
          </w:p>
          <w:p w14:paraId="6E542208" w14:textId="5502DFA6" w:rsidR="00696375" w:rsidRPr="00B2521E" w:rsidRDefault="00696375" w:rsidP="00B13164">
            <w:pPr>
              <w:rPr>
                <w:sz w:val="32"/>
                <w:szCs w:val="32"/>
              </w:rPr>
            </w:pPr>
          </w:p>
        </w:tc>
        <w:tc>
          <w:tcPr>
            <w:tcW w:w="2694" w:type="dxa"/>
          </w:tcPr>
          <w:p w14:paraId="2CAA8C36" w14:textId="77777777" w:rsidR="00F37277" w:rsidRPr="00B2521E" w:rsidRDefault="00F37277" w:rsidP="00B13164">
            <w:pPr>
              <w:spacing w:before="100" w:beforeAutospacing="1"/>
              <w:contextualSpacing/>
              <w:jc w:val="both"/>
              <w:rPr>
                <w:b/>
              </w:rPr>
            </w:pPr>
            <w:r>
              <w:rPr>
                <w:b/>
              </w:rPr>
              <w:t>Contracting Authority:</w:t>
            </w:r>
          </w:p>
          <w:p w14:paraId="349FB096" w14:textId="59F62BB9" w:rsidR="00F37277" w:rsidRPr="00B2521E" w:rsidRDefault="00F37277" w:rsidP="00B13164">
            <w:pPr>
              <w:contextualSpacing/>
              <w:jc w:val="both"/>
            </w:pPr>
            <w:r>
              <w:t>Ministry of Economics of the Republic of Latvia</w:t>
            </w:r>
          </w:p>
          <w:p w14:paraId="0DA61165" w14:textId="77777777" w:rsidR="00696375" w:rsidRPr="00B2521E" w:rsidRDefault="00696375" w:rsidP="00B13164">
            <w:pPr>
              <w:contextualSpacing/>
              <w:jc w:val="both"/>
            </w:pPr>
            <w:proofErr w:type="spellStart"/>
            <w:r>
              <w:t>Brīvības</w:t>
            </w:r>
            <w:proofErr w:type="spellEnd"/>
            <w:r>
              <w:t xml:space="preserve"> </w:t>
            </w:r>
            <w:proofErr w:type="spellStart"/>
            <w:r>
              <w:t>iela</w:t>
            </w:r>
            <w:proofErr w:type="spellEnd"/>
            <w:r>
              <w:t xml:space="preserve"> 55, Riga, </w:t>
            </w:r>
          </w:p>
          <w:p w14:paraId="5886849A" w14:textId="4447B2E0" w:rsidR="00F37277" w:rsidRPr="00B2521E" w:rsidRDefault="00696375" w:rsidP="00B13164">
            <w:pPr>
              <w:contextualSpacing/>
              <w:jc w:val="both"/>
              <w:rPr>
                <w:color w:val="1F3864"/>
              </w:rPr>
            </w:pPr>
            <w:r>
              <w:t>LV-1519</w:t>
            </w:r>
          </w:p>
        </w:tc>
      </w:tr>
    </w:tbl>
    <w:p w14:paraId="3B99FAB6" w14:textId="77777777" w:rsidR="00DD1CAC" w:rsidRPr="00B2521E" w:rsidRDefault="00DD1CAC" w:rsidP="00B13164">
      <w:pPr>
        <w:jc w:val="both"/>
      </w:pPr>
    </w:p>
    <w:p w14:paraId="1D33F6FB" w14:textId="77777777" w:rsidR="00DD1CAC" w:rsidRPr="00B2521E" w:rsidRDefault="00DD1CAC" w:rsidP="00B13164">
      <w:pPr>
        <w:sectPr w:rsidR="00DD1CAC" w:rsidRPr="00B2521E" w:rsidSect="00741888">
          <w:headerReference w:type="default" r:id="rId12"/>
          <w:footerReference w:type="default" r:id="rId13"/>
          <w:pgSz w:w="11906" w:h="16838"/>
          <w:pgMar w:top="1418" w:right="1134" w:bottom="1418" w:left="1418" w:header="709" w:footer="709" w:gutter="0"/>
          <w:cols w:space="708"/>
          <w:docGrid w:linePitch="360"/>
        </w:sectPr>
      </w:pPr>
    </w:p>
    <w:p w14:paraId="5CCEDDE8" w14:textId="77777777" w:rsidR="00654420" w:rsidRPr="00B2521E" w:rsidRDefault="00654420" w:rsidP="00654420">
      <w:pPr>
        <w:pStyle w:val="Heading1"/>
      </w:pPr>
      <w:bookmarkStart w:id="2" w:name="_Toc509311922"/>
      <w:bookmarkStart w:id="3" w:name="_Toc510100700"/>
      <w:bookmarkStart w:id="4" w:name="_Toc512608471"/>
      <w:bookmarkStart w:id="5" w:name="_Toc518053397"/>
      <w:bookmarkStart w:id="6" w:name="_Toc528943262"/>
      <w:bookmarkStart w:id="7" w:name="_Toc533153353"/>
      <w:bookmarkStart w:id="8" w:name="_Toc794801"/>
      <w:bookmarkStart w:id="9" w:name="_Toc799330"/>
      <w:bookmarkStart w:id="10" w:name="_Toc18682392"/>
      <w:bookmarkEnd w:id="1"/>
      <w:r>
        <w:lastRenderedPageBreak/>
        <w:t>Table of contents</w:t>
      </w:r>
      <w:bookmarkEnd w:id="2"/>
      <w:bookmarkEnd w:id="3"/>
      <w:bookmarkEnd w:id="4"/>
      <w:bookmarkEnd w:id="5"/>
      <w:bookmarkEnd w:id="6"/>
      <w:bookmarkEnd w:id="7"/>
      <w:bookmarkEnd w:id="8"/>
      <w:bookmarkEnd w:id="9"/>
      <w:bookmarkEnd w:id="10"/>
    </w:p>
    <w:sdt>
      <w:sdtPr>
        <w:id w:val="-610659766"/>
        <w:docPartObj>
          <w:docPartGallery w:val="Table of Contents"/>
          <w:docPartUnique/>
        </w:docPartObj>
      </w:sdtPr>
      <w:sdtEndPr>
        <w:rPr>
          <w:b/>
          <w:bCs/>
        </w:rPr>
      </w:sdtEndPr>
      <w:sdtContent>
        <w:p w14:paraId="7F9BF4D6" w14:textId="3981CAC9" w:rsidR="00C86A08" w:rsidRDefault="00654420">
          <w:pPr>
            <w:pStyle w:val="TOC1"/>
            <w:tabs>
              <w:tab w:val="right" w:leader="dot" w:pos="9344"/>
            </w:tabs>
            <w:rPr>
              <w:noProof/>
              <w:szCs w:val="22"/>
              <w:lang w:val="lv-LV" w:eastAsia="lv-LV"/>
            </w:rPr>
          </w:pPr>
          <w:r w:rsidRPr="00B2521E">
            <w:fldChar w:fldCharType="begin"/>
          </w:r>
          <w:r w:rsidRPr="00B2521E">
            <w:instrText xml:space="preserve"> TOC \o "1-2" \h \z \u </w:instrText>
          </w:r>
          <w:r w:rsidRPr="00B2521E">
            <w:fldChar w:fldCharType="separate"/>
          </w:r>
          <w:hyperlink w:anchor="_Toc18682392" w:history="1">
            <w:r w:rsidR="00C86A08" w:rsidRPr="001D75F0">
              <w:rPr>
                <w:rStyle w:val="Hyperlink"/>
                <w:noProof/>
              </w:rPr>
              <w:t>Table of contents</w:t>
            </w:r>
            <w:r w:rsidR="00C86A08">
              <w:rPr>
                <w:noProof/>
                <w:webHidden/>
              </w:rPr>
              <w:tab/>
            </w:r>
            <w:r w:rsidR="00C86A08">
              <w:rPr>
                <w:noProof/>
                <w:webHidden/>
              </w:rPr>
              <w:fldChar w:fldCharType="begin"/>
            </w:r>
            <w:r w:rsidR="00C86A08">
              <w:rPr>
                <w:noProof/>
                <w:webHidden/>
              </w:rPr>
              <w:instrText xml:space="preserve"> PAGEREF _Toc18682392 \h </w:instrText>
            </w:r>
            <w:r w:rsidR="00C86A08">
              <w:rPr>
                <w:noProof/>
                <w:webHidden/>
              </w:rPr>
            </w:r>
            <w:r w:rsidR="00C86A08">
              <w:rPr>
                <w:noProof/>
                <w:webHidden/>
              </w:rPr>
              <w:fldChar w:fldCharType="separate"/>
            </w:r>
            <w:r w:rsidR="00C86A08">
              <w:rPr>
                <w:noProof/>
                <w:webHidden/>
              </w:rPr>
              <w:t>2</w:t>
            </w:r>
            <w:r w:rsidR="00C86A08">
              <w:rPr>
                <w:noProof/>
                <w:webHidden/>
              </w:rPr>
              <w:fldChar w:fldCharType="end"/>
            </w:r>
          </w:hyperlink>
        </w:p>
        <w:p w14:paraId="1D0CC575" w14:textId="381D61C6" w:rsidR="00C86A08" w:rsidRDefault="00835592">
          <w:pPr>
            <w:pStyle w:val="TOC1"/>
            <w:tabs>
              <w:tab w:val="right" w:leader="dot" w:pos="9344"/>
            </w:tabs>
            <w:rPr>
              <w:noProof/>
              <w:szCs w:val="22"/>
              <w:lang w:val="lv-LV" w:eastAsia="lv-LV"/>
            </w:rPr>
          </w:pPr>
          <w:hyperlink w:anchor="_Toc18682393" w:history="1">
            <w:r w:rsidR="00C86A08" w:rsidRPr="001D75F0">
              <w:rPr>
                <w:rStyle w:val="Hyperlink"/>
                <w:noProof/>
              </w:rPr>
              <w:t>ABBREVIATIONS USED</w:t>
            </w:r>
            <w:r w:rsidR="00C86A08">
              <w:rPr>
                <w:noProof/>
                <w:webHidden/>
              </w:rPr>
              <w:tab/>
            </w:r>
            <w:r w:rsidR="00C86A08">
              <w:rPr>
                <w:noProof/>
                <w:webHidden/>
              </w:rPr>
              <w:fldChar w:fldCharType="begin"/>
            </w:r>
            <w:r w:rsidR="00C86A08">
              <w:rPr>
                <w:noProof/>
                <w:webHidden/>
              </w:rPr>
              <w:instrText xml:space="preserve"> PAGEREF _Toc18682393 \h </w:instrText>
            </w:r>
            <w:r w:rsidR="00C86A08">
              <w:rPr>
                <w:noProof/>
                <w:webHidden/>
              </w:rPr>
            </w:r>
            <w:r w:rsidR="00C86A08">
              <w:rPr>
                <w:noProof/>
                <w:webHidden/>
              </w:rPr>
              <w:fldChar w:fldCharType="separate"/>
            </w:r>
            <w:r w:rsidR="00C86A08">
              <w:rPr>
                <w:noProof/>
                <w:webHidden/>
              </w:rPr>
              <w:t>3</w:t>
            </w:r>
            <w:r w:rsidR="00C86A08">
              <w:rPr>
                <w:noProof/>
                <w:webHidden/>
              </w:rPr>
              <w:fldChar w:fldCharType="end"/>
            </w:r>
          </w:hyperlink>
        </w:p>
        <w:p w14:paraId="0DFFDBF8" w14:textId="676956F7" w:rsidR="00C86A08" w:rsidRDefault="00835592">
          <w:pPr>
            <w:pStyle w:val="TOC1"/>
            <w:tabs>
              <w:tab w:val="right" w:leader="dot" w:pos="9344"/>
            </w:tabs>
            <w:rPr>
              <w:noProof/>
              <w:szCs w:val="22"/>
              <w:lang w:val="lv-LV" w:eastAsia="lv-LV"/>
            </w:rPr>
          </w:pPr>
          <w:hyperlink w:anchor="_Toc18682394" w:history="1">
            <w:r w:rsidR="00C86A08" w:rsidRPr="001D75F0">
              <w:rPr>
                <w:rStyle w:val="Hyperlink"/>
                <w:noProof/>
              </w:rPr>
              <w:t>OVERVIEW</w:t>
            </w:r>
            <w:r w:rsidR="00C86A08">
              <w:rPr>
                <w:noProof/>
                <w:webHidden/>
              </w:rPr>
              <w:tab/>
            </w:r>
            <w:r w:rsidR="00C86A08">
              <w:rPr>
                <w:noProof/>
                <w:webHidden/>
              </w:rPr>
              <w:fldChar w:fldCharType="begin"/>
            </w:r>
            <w:r w:rsidR="00C86A08">
              <w:rPr>
                <w:noProof/>
                <w:webHidden/>
              </w:rPr>
              <w:instrText xml:space="preserve"> PAGEREF _Toc18682394 \h </w:instrText>
            </w:r>
            <w:r w:rsidR="00C86A08">
              <w:rPr>
                <w:noProof/>
                <w:webHidden/>
              </w:rPr>
            </w:r>
            <w:r w:rsidR="00C86A08">
              <w:rPr>
                <w:noProof/>
                <w:webHidden/>
              </w:rPr>
              <w:fldChar w:fldCharType="separate"/>
            </w:r>
            <w:r w:rsidR="00C86A08">
              <w:rPr>
                <w:noProof/>
                <w:webHidden/>
              </w:rPr>
              <w:t>4</w:t>
            </w:r>
            <w:r w:rsidR="00C86A08">
              <w:rPr>
                <w:noProof/>
                <w:webHidden/>
              </w:rPr>
              <w:fldChar w:fldCharType="end"/>
            </w:r>
          </w:hyperlink>
        </w:p>
        <w:p w14:paraId="2BA670FE" w14:textId="39971323" w:rsidR="00C86A08" w:rsidRDefault="00835592">
          <w:pPr>
            <w:pStyle w:val="TOC1"/>
            <w:tabs>
              <w:tab w:val="left" w:pos="440"/>
              <w:tab w:val="right" w:leader="dot" w:pos="9344"/>
            </w:tabs>
            <w:rPr>
              <w:noProof/>
              <w:szCs w:val="22"/>
              <w:lang w:val="lv-LV" w:eastAsia="lv-LV"/>
            </w:rPr>
          </w:pPr>
          <w:hyperlink w:anchor="_Toc18682395" w:history="1">
            <w:r w:rsidR="00C86A08" w:rsidRPr="001D75F0">
              <w:rPr>
                <w:rStyle w:val="Hyperlink"/>
                <w:noProof/>
              </w:rPr>
              <w:t>1.</w:t>
            </w:r>
            <w:r w:rsidR="00C86A08">
              <w:rPr>
                <w:noProof/>
                <w:szCs w:val="22"/>
                <w:lang w:val="lv-LV" w:eastAsia="lv-LV"/>
              </w:rPr>
              <w:tab/>
            </w:r>
            <w:r w:rsidR="00C86A08" w:rsidRPr="001D75F0">
              <w:rPr>
                <w:rStyle w:val="Hyperlink"/>
                <w:noProof/>
              </w:rPr>
              <w:t>INTRODUCTION</w:t>
            </w:r>
            <w:r w:rsidR="00C86A08">
              <w:rPr>
                <w:noProof/>
                <w:webHidden/>
              </w:rPr>
              <w:tab/>
            </w:r>
            <w:r w:rsidR="00C86A08">
              <w:rPr>
                <w:noProof/>
                <w:webHidden/>
              </w:rPr>
              <w:fldChar w:fldCharType="begin"/>
            </w:r>
            <w:r w:rsidR="00C86A08">
              <w:rPr>
                <w:noProof/>
                <w:webHidden/>
              </w:rPr>
              <w:instrText xml:space="preserve"> PAGEREF _Toc18682395 \h </w:instrText>
            </w:r>
            <w:r w:rsidR="00C86A08">
              <w:rPr>
                <w:noProof/>
                <w:webHidden/>
              </w:rPr>
            </w:r>
            <w:r w:rsidR="00C86A08">
              <w:rPr>
                <w:noProof/>
                <w:webHidden/>
              </w:rPr>
              <w:fldChar w:fldCharType="separate"/>
            </w:r>
            <w:r w:rsidR="00C86A08">
              <w:rPr>
                <w:noProof/>
                <w:webHidden/>
              </w:rPr>
              <w:t>6</w:t>
            </w:r>
            <w:r w:rsidR="00C86A08">
              <w:rPr>
                <w:noProof/>
                <w:webHidden/>
              </w:rPr>
              <w:fldChar w:fldCharType="end"/>
            </w:r>
          </w:hyperlink>
        </w:p>
        <w:p w14:paraId="2B498715" w14:textId="69538CBB" w:rsidR="00C86A08" w:rsidRDefault="00835592">
          <w:pPr>
            <w:pStyle w:val="TOC1"/>
            <w:tabs>
              <w:tab w:val="left" w:pos="440"/>
              <w:tab w:val="right" w:leader="dot" w:pos="9344"/>
            </w:tabs>
            <w:rPr>
              <w:noProof/>
              <w:szCs w:val="22"/>
              <w:lang w:val="lv-LV" w:eastAsia="lv-LV"/>
            </w:rPr>
          </w:pPr>
          <w:hyperlink w:anchor="_Toc18682396" w:history="1">
            <w:r w:rsidR="00C86A08" w:rsidRPr="001D75F0">
              <w:rPr>
                <w:rStyle w:val="Hyperlink"/>
                <w:noProof/>
              </w:rPr>
              <w:t>2.</w:t>
            </w:r>
            <w:r w:rsidR="00C86A08">
              <w:rPr>
                <w:noProof/>
                <w:szCs w:val="22"/>
                <w:lang w:val="lv-LV" w:eastAsia="lv-LV"/>
              </w:rPr>
              <w:tab/>
            </w:r>
            <w:r w:rsidR="00C86A08" w:rsidRPr="001D75F0">
              <w:rPr>
                <w:rStyle w:val="Hyperlink"/>
                <w:noProof/>
              </w:rPr>
              <w:t>GENERAL FORECASTS OF CHANGES IN THE VOLUME AND COSTS OF CONSTRUCTION PRODUCTS</w:t>
            </w:r>
            <w:r w:rsidR="00C86A08">
              <w:rPr>
                <w:noProof/>
                <w:webHidden/>
              </w:rPr>
              <w:tab/>
            </w:r>
            <w:r w:rsidR="00C86A08">
              <w:rPr>
                <w:noProof/>
                <w:webHidden/>
              </w:rPr>
              <w:fldChar w:fldCharType="begin"/>
            </w:r>
            <w:r w:rsidR="00C86A08">
              <w:rPr>
                <w:noProof/>
                <w:webHidden/>
              </w:rPr>
              <w:instrText xml:space="preserve"> PAGEREF _Toc18682396 \h </w:instrText>
            </w:r>
            <w:r w:rsidR="00C86A08">
              <w:rPr>
                <w:noProof/>
                <w:webHidden/>
              </w:rPr>
            </w:r>
            <w:r w:rsidR="00C86A08">
              <w:rPr>
                <w:noProof/>
                <w:webHidden/>
              </w:rPr>
              <w:fldChar w:fldCharType="separate"/>
            </w:r>
            <w:r w:rsidR="00C86A08">
              <w:rPr>
                <w:noProof/>
                <w:webHidden/>
              </w:rPr>
              <w:t>9</w:t>
            </w:r>
            <w:r w:rsidR="00C86A08">
              <w:rPr>
                <w:noProof/>
                <w:webHidden/>
              </w:rPr>
              <w:fldChar w:fldCharType="end"/>
            </w:r>
          </w:hyperlink>
        </w:p>
        <w:p w14:paraId="3ECFFD0E" w14:textId="35AB6FF4" w:rsidR="00C86A08" w:rsidRDefault="00835592">
          <w:pPr>
            <w:pStyle w:val="TOC2"/>
            <w:tabs>
              <w:tab w:val="left" w:pos="880"/>
              <w:tab w:val="right" w:leader="dot" w:pos="9344"/>
            </w:tabs>
            <w:rPr>
              <w:noProof/>
              <w:szCs w:val="22"/>
              <w:lang w:val="lv-LV" w:eastAsia="lv-LV"/>
            </w:rPr>
          </w:pPr>
          <w:hyperlink w:anchor="_Toc18682397" w:history="1">
            <w:r w:rsidR="00C86A08" w:rsidRPr="001D75F0">
              <w:rPr>
                <w:rStyle w:val="Hyperlink"/>
                <w:noProof/>
              </w:rPr>
              <w:t>2.1.</w:t>
            </w:r>
            <w:r w:rsidR="00C86A08">
              <w:rPr>
                <w:noProof/>
                <w:szCs w:val="22"/>
                <w:lang w:val="lv-LV" w:eastAsia="lv-LV"/>
              </w:rPr>
              <w:tab/>
            </w:r>
            <w:r w:rsidR="00C86A08" w:rsidRPr="001D75F0">
              <w:rPr>
                <w:rStyle w:val="Hyperlink"/>
                <w:noProof/>
              </w:rPr>
              <w:t>Forecasts of changes in the total volume of construction products</w:t>
            </w:r>
            <w:r w:rsidR="00C86A08">
              <w:rPr>
                <w:noProof/>
                <w:webHidden/>
              </w:rPr>
              <w:tab/>
            </w:r>
            <w:r w:rsidR="00C86A08">
              <w:rPr>
                <w:noProof/>
                <w:webHidden/>
              </w:rPr>
              <w:fldChar w:fldCharType="begin"/>
            </w:r>
            <w:r w:rsidR="00C86A08">
              <w:rPr>
                <w:noProof/>
                <w:webHidden/>
              </w:rPr>
              <w:instrText xml:space="preserve"> PAGEREF _Toc18682397 \h </w:instrText>
            </w:r>
            <w:r w:rsidR="00C86A08">
              <w:rPr>
                <w:noProof/>
                <w:webHidden/>
              </w:rPr>
            </w:r>
            <w:r w:rsidR="00C86A08">
              <w:rPr>
                <w:noProof/>
                <w:webHidden/>
              </w:rPr>
              <w:fldChar w:fldCharType="separate"/>
            </w:r>
            <w:r w:rsidR="00C86A08">
              <w:rPr>
                <w:noProof/>
                <w:webHidden/>
              </w:rPr>
              <w:t>9</w:t>
            </w:r>
            <w:r w:rsidR="00C86A08">
              <w:rPr>
                <w:noProof/>
                <w:webHidden/>
              </w:rPr>
              <w:fldChar w:fldCharType="end"/>
            </w:r>
          </w:hyperlink>
        </w:p>
        <w:p w14:paraId="4C2BE66A" w14:textId="53FA577C" w:rsidR="00C86A08" w:rsidRDefault="00835592">
          <w:pPr>
            <w:pStyle w:val="TOC2"/>
            <w:tabs>
              <w:tab w:val="left" w:pos="880"/>
              <w:tab w:val="right" w:leader="dot" w:pos="9344"/>
            </w:tabs>
            <w:rPr>
              <w:noProof/>
              <w:szCs w:val="22"/>
              <w:lang w:val="lv-LV" w:eastAsia="lv-LV"/>
            </w:rPr>
          </w:pPr>
          <w:hyperlink w:anchor="_Toc18682398" w:history="1">
            <w:r w:rsidR="00C86A08" w:rsidRPr="001D75F0">
              <w:rPr>
                <w:rStyle w:val="Hyperlink"/>
                <w:noProof/>
              </w:rPr>
              <w:t>2.2.</w:t>
            </w:r>
            <w:r w:rsidR="00C86A08">
              <w:rPr>
                <w:noProof/>
                <w:szCs w:val="22"/>
                <w:lang w:val="lv-LV" w:eastAsia="lv-LV"/>
              </w:rPr>
              <w:tab/>
            </w:r>
            <w:r w:rsidR="00C86A08" w:rsidRPr="001D75F0">
              <w:rPr>
                <w:rStyle w:val="Hyperlink"/>
                <w:noProof/>
              </w:rPr>
              <w:t>Forecasts of changes in the total construction costs</w:t>
            </w:r>
            <w:r w:rsidR="00C86A08">
              <w:rPr>
                <w:noProof/>
                <w:webHidden/>
              </w:rPr>
              <w:tab/>
            </w:r>
            <w:r w:rsidR="00C86A08">
              <w:rPr>
                <w:noProof/>
                <w:webHidden/>
              </w:rPr>
              <w:fldChar w:fldCharType="begin"/>
            </w:r>
            <w:r w:rsidR="00C86A08">
              <w:rPr>
                <w:noProof/>
                <w:webHidden/>
              </w:rPr>
              <w:instrText xml:space="preserve"> PAGEREF _Toc18682398 \h </w:instrText>
            </w:r>
            <w:r w:rsidR="00C86A08">
              <w:rPr>
                <w:noProof/>
                <w:webHidden/>
              </w:rPr>
            </w:r>
            <w:r w:rsidR="00C86A08">
              <w:rPr>
                <w:noProof/>
                <w:webHidden/>
              </w:rPr>
              <w:fldChar w:fldCharType="separate"/>
            </w:r>
            <w:r w:rsidR="00C86A08">
              <w:rPr>
                <w:noProof/>
                <w:webHidden/>
              </w:rPr>
              <w:t>11</w:t>
            </w:r>
            <w:r w:rsidR="00C86A08">
              <w:rPr>
                <w:noProof/>
                <w:webHidden/>
              </w:rPr>
              <w:fldChar w:fldCharType="end"/>
            </w:r>
          </w:hyperlink>
        </w:p>
        <w:p w14:paraId="4B3352AA" w14:textId="72DD395F" w:rsidR="00C86A08" w:rsidRDefault="00835592">
          <w:pPr>
            <w:pStyle w:val="TOC1"/>
            <w:tabs>
              <w:tab w:val="left" w:pos="440"/>
              <w:tab w:val="right" w:leader="dot" w:pos="9344"/>
            </w:tabs>
            <w:rPr>
              <w:noProof/>
              <w:szCs w:val="22"/>
              <w:lang w:val="lv-LV" w:eastAsia="lv-LV"/>
            </w:rPr>
          </w:pPr>
          <w:hyperlink w:anchor="_Toc18682399" w:history="1">
            <w:r w:rsidR="00C86A08" w:rsidRPr="001D75F0">
              <w:rPr>
                <w:rStyle w:val="Hyperlink"/>
                <w:noProof/>
              </w:rPr>
              <w:t>3.</w:t>
            </w:r>
            <w:r w:rsidR="00C86A08">
              <w:rPr>
                <w:noProof/>
                <w:szCs w:val="22"/>
                <w:lang w:val="lv-LV" w:eastAsia="lv-LV"/>
              </w:rPr>
              <w:tab/>
            </w:r>
            <w:r w:rsidR="00C86A08" w:rsidRPr="001D75F0">
              <w:rPr>
                <w:rStyle w:val="Hyperlink"/>
                <w:noProof/>
              </w:rPr>
              <w:t>FORECASTS OF CHANGES IN COSTS OF CONSTRUCTION RESOURCES</w:t>
            </w:r>
            <w:r w:rsidR="00C86A08">
              <w:rPr>
                <w:noProof/>
                <w:webHidden/>
              </w:rPr>
              <w:tab/>
            </w:r>
            <w:r w:rsidR="00C86A08">
              <w:rPr>
                <w:noProof/>
                <w:webHidden/>
              </w:rPr>
              <w:fldChar w:fldCharType="begin"/>
            </w:r>
            <w:r w:rsidR="00C86A08">
              <w:rPr>
                <w:noProof/>
                <w:webHidden/>
              </w:rPr>
              <w:instrText xml:space="preserve"> PAGEREF _Toc18682399 \h </w:instrText>
            </w:r>
            <w:r w:rsidR="00C86A08">
              <w:rPr>
                <w:noProof/>
                <w:webHidden/>
              </w:rPr>
            </w:r>
            <w:r w:rsidR="00C86A08">
              <w:rPr>
                <w:noProof/>
                <w:webHidden/>
              </w:rPr>
              <w:fldChar w:fldCharType="separate"/>
            </w:r>
            <w:r w:rsidR="00C86A08">
              <w:rPr>
                <w:noProof/>
                <w:webHidden/>
              </w:rPr>
              <w:t>17</w:t>
            </w:r>
            <w:r w:rsidR="00C86A08">
              <w:rPr>
                <w:noProof/>
                <w:webHidden/>
              </w:rPr>
              <w:fldChar w:fldCharType="end"/>
            </w:r>
          </w:hyperlink>
        </w:p>
        <w:p w14:paraId="0AF71BA7" w14:textId="01366CF0" w:rsidR="00C86A08" w:rsidRDefault="00835592">
          <w:pPr>
            <w:pStyle w:val="TOC2"/>
            <w:tabs>
              <w:tab w:val="left" w:pos="880"/>
              <w:tab w:val="right" w:leader="dot" w:pos="9344"/>
            </w:tabs>
            <w:rPr>
              <w:noProof/>
              <w:szCs w:val="22"/>
              <w:lang w:val="lv-LV" w:eastAsia="lv-LV"/>
            </w:rPr>
          </w:pPr>
          <w:hyperlink w:anchor="_Toc18682400" w:history="1">
            <w:r w:rsidR="00C86A08" w:rsidRPr="001D75F0">
              <w:rPr>
                <w:rStyle w:val="Hyperlink"/>
                <w:noProof/>
              </w:rPr>
              <w:t>3.1.</w:t>
            </w:r>
            <w:r w:rsidR="00C86A08">
              <w:rPr>
                <w:noProof/>
                <w:szCs w:val="22"/>
                <w:lang w:val="lv-LV" w:eastAsia="lv-LV"/>
              </w:rPr>
              <w:tab/>
            </w:r>
            <w:r w:rsidR="00C86A08" w:rsidRPr="001D75F0">
              <w:rPr>
                <w:rStyle w:val="Hyperlink"/>
                <w:noProof/>
              </w:rPr>
              <w:t>Factors affecting changes in costs of labour force and construction materials</w:t>
            </w:r>
            <w:r w:rsidR="00C86A08">
              <w:rPr>
                <w:noProof/>
                <w:webHidden/>
              </w:rPr>
              <w:tab/>
            </w:r>
            <w:r w:rsidR="00C86A08">
              <w:rPr>
                <w:noProof/>
                <w:webHidden/>
              </w:rPr>
              <w:fldChar w:fldCharType="begin"/>
            </w:r>
            <w:r w:rsidR="00C86A08">
              <w:rPr>
                <w:noProof/>
                <w:webHidden/>
              </w:rPr>
              <w:instrText xml:space="preserve"> PAGEREF _Toc18682400 \h </w:instrText>
            </w:r>
            <w:r w:rsidR="00C86A08">
              <w:rPr>
                <w:noProof/>
                <w:webHidden/>
              </w:rPr>
            </w:r>
            <w:r w:rsidR="00C86A08">
              <w:rPr>
                <w:noProof/>
                <w:webHidden/>
              </w:rPr>
              <w:fldChar w:fldCharType="separate"/>
            </w:r>
            <w:r w:rsidR="00C86A08">
              <w:rPr>
                <w:noProof/>
                <w:webHidden/>
              </w:rPr>
              <w:t>17</w:t>
            </w:r>
            <w:r w:rsidR="00C86A08">
              <w:rPr>
                <w:noProof/>
                <w:webHidden/>
              </w:rPr>
              <w:fldChar w:fldCharType="end"/>
            </w:r>
          </w:hyperlink>
        </w:p>
        <w:p w14:paraId="44EC8B9E" w14:textId="4E98AD9A" w:rsidR="00C86A08" w:rsidRDefault="00835592">
          <w:pPr>
            <w:pStyle w:val="TOC2"/>
            <w:tabs>
              <w:tab w:val="left" w:pos="880"/>
              <w:tab w:val="right" w:leader="dot" w:pos="9344"/>
            </w:tabs>
            <w:rPr>
              <w:noProof/>
              <w:szCs w:val="22"/>
              <w:lang w:val="lv-LV" w:eastAsia="lv-LV"/>
            </w:rPr>
          </w:pPr>
          <w:hyperlink w:anchor="_Toc18682401" w:history="1">
            <w:r w:rsidR="00C86A08" w:rsidRPr="001D75F0">
              <w:rPr>
                <w:rStyle w:val="Hyperlink"/>
                <w:noProof/>
              </w:rPr>
              <w:t>3.2.</w:t>
            </w:r>
            <w:r w:rsidR="00C86A08">
              <w:rPr>
                <w:noProof/>
                <w:szCs w:val="22"/>
                <w:lang w:val="lv-LV" w:eastAsia="lv-LV"/>
              </w:rPr>
              <w:tab/>
            </w:r>
            <w:r w:rsidR="00C86A08" w:rsidRPr="001D75F0">
              <w:rPr>
                <w:rStyle w:val="Hyperlink"/>
                <w:noProof/>
              </w:rPr>
              <w:t>Summary of changes in costs of construction resources for forecasts</w:t>
            </w:r>
            <w:r w:rsidR="00C86A08">
              <w:rPr>
                <w:noProof/>
                <w:webHidden/>
              </w:rPr>
              <w:tab/>
            </w:r>
            <w:r w:rsidR="00C86A08">
              <w:rPr>
                <w:noProof/>
                <w:webHidden/>
              </w:rPr>
              <w:fldChar w:fldCharType="begin"/>
            </w:r>
            <w:r w:rsidR="00C86A08">
              <w:rPr>
                <w:noProof/>
                <w:webHidden/>
              </w:rPr>
              <w:instrText xml:space="preserve"> PAGEREF _Toc18682401 \h </w:instrText>
            </w:r>
            <w:r w:rsidR="00C86A08">
              <w:rPr>
                <w:noProof/>
                <w:webHidden/>
              </w:rPr>
            </w:r>
            <w:r w:rsidR="00C86A08">
              <w:rPr>
                <w:noProof/>
                <w:webHidden/>
              </w:rPr>
              <w:fldChar w:fldCharType="separate"/>
            </w:r>
            <w:r w:rsidR="00C86A08">
              <w:rPr>
                <w:noProof/>
                <w:webHidden/>
              </w:rPr>
              <w:t>23</w:t>
            </w:r>
            <w:r w:rsidR="00C86A08">
              <w:rPr>
                <w:noProof/>
                <w:webHidden/>
              </w:rPr>
              <w:fldChar w:fldCharType="end"/>
            </w:r>
          </w:hyperlink>
        </w:p>
        <w:p w14:paraId="41B4FDD9" w14:textId="22CC9176" w:rsidR="00C86A08" w:rsidRDefault="00835592">
          <w:pPr>
            <w:pStyle w:val="TOC1"/>
            <w:tabs>
              <w:tab w:val="left" w:pos="440"/>
              <w:tab w:val="right" w:leader="dot" w:pos="9344"/>
            </w:tabs>
            <w:rPr>
              <w:noProof/>
              <w:szCs w:val="22"/>
              <w:lang w:val="lv-LV" w:eastAsia="lv-LV"/>
            </w:rPr>
          </w:pPr>
          <w:hyperlink w:anchor="_Toc18682402" w:history="1">
            <w:r w:rsidR="00C86A08" w:rsidRPr="001D75F0">
              <w:rPr>
                <w:rStyle w:val="Hyperlink"/>
                <w:noProof/>
              </w:rPr>
              <w:t>4.</w:t>
            </w:r>
            <w:r w:rsidR="00C86A08">
              <w:rPr>
                <w:noProof/>
                <w:szCs w:val="22"/>
                <w:lang w:val="lv-LV" w:eastAsia="lv-LV"/>
              </w:rPr>
              <w:tab/>
            </w:r>
            <w:r w:rsidR="00C86A08" w:rsidRPr="001D75F0">
              <w:rPr>
                <w:rStyle w:val="Hyperlink"/>
                <w:noProof/>
              </w:rPr>
              <w:t>FORECASTS OF CHANGES IN THE VOLUME AND COSTS OF CONSTRUCTION PRODUCTS AND COSTS OF RESOURCES BY CONSTRUCTION SUBSECTORS</w:t>
            </w:r>
            <w:r w:rsidR="00C86A08">
              <w:rPr>
                <w:noProof/>
                <w:webHidden/>
              </w:rPr>
              <w:tab/>
            </w:r>
            <w:r w:rsidR="00C86A08">
              <w:rPr>
                <w:noProof/>
                <w:webHidden/>
              </w:rPr>
              <w:fldChar w:fldCharType="begin"/>
            </w:r>
            <w:r w:rsidR="00C86A08">
              <w:rPr>
                <w:noProof/>
                <w:webHidden/>
              </w:rPr>
              <w:instrText xml:space="preserve"> PAGEREF _Toc18682402 \h </w:instrText>
            </w:r>
            <w:r w:rsidR="00C86A08">
              <w:rPr>
                <w:noProof/>
                <w:webHidden/>
              </w:rPr>
            </w:r>
            <w:r w:rsidR="00C86A08">
              <w:rPr>
                <w:noProof/>
                <w:webHidden/>
              </w:rPr>
              <w:fldChar w:fldCharType="separate"/>
            </w:r>
            <w:r w:rsidR="00C86A08">
              <w:rPr>
                <w:noProof/>
                <w:webHidden/>
              </w:rPr>
              <w:t>24</w:t>
            </w:r>
            <w:r w:rsidR="00C86A08">
              <w:rPr>
                <w:noProof/>
                <w:webHidden/>
              </w:rPr>
              <w:fldChar w:fldCharType="end"/>
            </w:r>
          </w:hyperlink>
        </w:p>
        <w:p w14:paraId="577B3251" w14:textId="41D3FAA7" w:rsidR="00C86A08" w:rsidRDefault="00835592">
          <w:pPr>
            <w:pStyle w:val="TOC2"/>
            <w:tabs>
              <w:tab w:val="left" w:pos="880"/>
              <w:tab w:val="right" w:leader="dot" w:pos="9344"/>
            </w:tabs>
            <w:rPr>
              <w:noProof/>
              <w:szCs w:val="22"/>
              <w:lang w:val="lv-LV" w:eastAsia="lv-LV"/>
            </w:rPr>
          </w:pPr>
          <w:hyperlink w:anchor="_Toc18682403" w:history="1">
            <w:r w:rsidR="00C86A08" w:rsidRPr="001D75F0">
              <w:rPr>
                <w:rStyle w:val="Hyperlink"/>
                <w:noProof/>
              </w:rPr>
              <w:t>4.1.</w:t>
            </w:r>
            <w:r w:rsidR="00C86A08">
              <w:rPr>
                <w:noProof/>
                <w:szCs w:val="22"/>
                <w:lang w:val="lv-LV" w:eastAsia="lv-LV"/>
              </w:rPr>
              <w:tab/>
            </w:r>
            <w:r w:rsidR="00C86A08" w:rsidRPr="001D75F0">
              <w:rPr>
                <w:rStyle w:val="Hyperlink"/>
                <w:noProof/>
              </w:rPr>
              <w:t>Forecasts of changes in costs of the subsector Construction of residential and non-residential buildings</w:t>
            </w:r>
            <w:r w:rsidR="00C86A08">
              <w:rPr>
                <w:noProof/>
                <w:webHidden/>
              </w:rPr>
              <w:tab/>
            </w:r>
            <w:r w:rsidR="00C86A08">
              <w:rPr>
                <w:noProof/>
                <w:webHidden/>
              </w:rPr>
              <w:fldChar w:fldCharType="begin"/>
            </w:r>
            <w:r w:rsidR="00C86A08">
              <w:rPr>
                <w:noProof/>
                <w:webHidden/>
              </w:rPr>
              <w:instrText xml:space="preserve"> PAGEREF _Toc18682403 \h </w:instrText>
            </w:r>
            <w:r w:rsidR="00C86A08">
              <w:rPr>
                <w:noProof/>
                <w:webHidden/>
              </w:rPr>
            </w:r>
            <w:r w:rsidR="00C86A08">
              <w:rPr>
                <w:noProof/>
                <w:webHidden/>
              </w:rPr>
              <w:fldChar w:fldCharType="separate"/>
            </w:r>
            <w:r w:rsidR="00C86A08">
              <w:rPr>
                <w:noProof/>
                <w:webHidden/>
              </w:rPr>
              <w:t>24</w:t>
            </w:r>
            <w:r w:rsidR="00C86A08">
              <w:rPr>
                <w:noProof/>
                <w:webHidden/>
              </w:rPr>
              <w:fldChar w:fldCharType="end"/>
            </w:r>
          </w:hyperlink>
        </w:p>
        <w:p w14:paraId="2C462804" w14:textId="3DBDC7E1" w:rsidR="00C86A08" w:rsidRDefault="00835592">
          <w:pPr>
            <w:pStyle w:val="TOC2"/>
            <w:tabs>
              <w:tab w:val="left" w:pos="880"/>
              <w:tab w:val="right" w:leader="dot" w:pos="9344"/>
            </w:tabs>
            <w:rPr>
              <w:noProof/>
              <w:szCs w:val="22"/>
              <w:lang w:val="lv-LV" w:eastAsia="lv-LV"/>
            </w:rPr>
          </w:pPr>
          <w:hyperlink w:anchor="_Toc18682404" w:history="1">
            <w:r w:rsidR="00C86A08" w:rsidRPr="001D75F0">
              <w:rPr>
                <w:rStyle w:val="Hyperlink"/>
                <w:rFonts w:eastAsia="Times New Roman"/>
                <w:noProof/>
              </w:rPr>
              <w:t>4.2.</w:t>
            </w:r>
            <w:r w:rsidR="00C86A08">
              <w:rPr>
                <w:noProof/>
                <w:szCs w:val="22"/>
                <w:lang w:val="lv-LV" w:eastAsia="lv-LV"/>
              </w:rPr>
              <w:tab/>
            </w:r>
            <w:r w:rsidR="00C86A08" w:rsidRPr="001D75F0">
              <w:rPr>
                <w:rStyle w:val="Hyperlink"/>
                <w:noProof/>
              </w:rPr>
              <w:t>Forecasts of changes in costs of the subsector Construction of transport objects</w:t>
            </w:r>
            <w:r w:rsidR="00C86A08">
              <w:rPr>
                <w:noProof/>
                <w:webHidden/>
              </w:rPr>
              <w:tab/>
            </w:r>
            <w:r w:rsidR="00C86A08">
              <w:rPr>
                <w:noProof/>
                <w:webHidden/>
              </w:rPr>
              <w:fldChar w:fldCharType="begin"/>
            </w:r>
            <w:r w:rsidR="00C86A08">
              <w:rPr>
                <w:noProof/>
                <w:webHidden/>
              </w:rPr>
              <w:instrText xml:space="preserve"> PAGEREF _Toc18682404 \h </w:instrText>
            </w:r>
            <w:r w:rsidR="00C86A08">
              <w:rPr>
                <w:noProof/>
                <w:webHidden/>
              </w:rPr>
            </w:r>
            <w:r w:rsidR="00C86A08">
              <w:rPr>
                <w:noProof/>
                <w:webHidden/>
              </w:rPr>
              <w:fldChar w:fldCharType="separate"/>
            </w:r>
            <w:r w:rsidR="00C86A08">
              <w:rPr>
                <w:noProof/>
                <w:webHidden/>
              </w:rPr>
              <w:t>31</w:t>
            </w:r>
            <w:r w:rsidR="00C86A08">
              <w:rPr>
                <w:noProof/>
                <w:webHidden/>
              </w:rPr>
              <w:fldChar w:fldCharType="end"/>
            </w:r>
          </w:hyperlink>
        </w:p>
        <w:p w14:paraId="1A79EC16" w14:textId="229CDAAC" w:rsidR="00C86A08" w:rsidRDefault="00835592">
          <w:pPr>
            <w:pStyle w:val="TOC2"/>
            <w:tabs>
              <w:tab w:val="left" w:pos="880"/>
              <w:tab w:val="right" w:leader="dot" w:pos="9344"/>
            </w:tabs>
            <w:rPr>
              <w:noProof/>
              <w:szCs w:val="22"/>
              <w:lang w:val="lv-LV" w:eastAsia="lv-LV"/>
            </w:rPr>
          </w:pPr>
          <w:hyperlink w:anchor="_Toc18682405" w:history="1">
            <w:r w:rsidR="00C86A08" w:rsidRPr="001D75F0">
              <w:rPr>
                <w:rStyle w:val="Hyperlink"/>
                <w:rFonts w:eastAsia="Times New Roman"/>
                <w:noProof/>
              </w:rPr>
              <w:t>4.3.</w:t>
            </w:r>
            <w:r w:rsidR="00C86A08">
              <w:rPr>
                <w:noProof/>
                <w:szCs w:val="22"/>
                <w:lang w:val="lv-LV" w:eastAsia="lv-LV"/>
              </w:rPr>
              <w:tab/>
            </w:r>
            <w:r w:rsidR="00C86A08" w:rsidRPr="001D75F0">
              <w:rPr>
                <w:rStyle w:val="Hyperlink"/>
                <w:noProof/>
              </w:rPr>
              <w:t>Forecasts of changes in costs of the subsector of construction of main underground pipelines</w:t>
            </w:r>
            <w:r w:rsidR="00C86A08">
              <w:rPr>
                <w:noProof/>
                <w:webHidden/>
              </w:rPr>
              <w:tab/>
            </w:r>
            <w:r w:rsidR="00C86A08">
              <w:rPr>
                <w:noProof/>
                <w:webHidden/>
              </w:rPr>
              <w:fldChar w:fldCharType="begin"/>
            </w:r>
            <w:r w:rsidR="00C86A08">
              <w:rPr>
                <w:noProof/>
                <w:webHidden/>
              </w:rPr>
              <w:instrText xml:space="preserve"> PAGEREF _Toc18682405 \h </w:instrText>
            </w:r>
            <w:r w:rsidR="00C86A08">
              <w:rPr>
                <w:noProof/>
                <w:webHidden/>
              </w:rPr>
            </w:r>
            <w:r w:rsidR="00C86A08">
              <w:rPr>
                <w:noProof/>
                <w:webHidden/>
              </w:rPr>
              <w:fldChar w:fldCharType="separate"/>
            </w:r>
            <w:r w:rsidR="00C86A08">
              <w:rPr>
                <w:noProof/>
                <w:webHidden/>
              </w:rPr>
              <w:t>35</w:t>
            </w:r>
            <w:r w:rsidR="00C86A08">
              <w:rPr>
                <w:noProof/>
                <w:webHidden/>
              </w:rPr>
              <w:fldChar w:fldCharType="end"/>
            </w:r>
          </w:hyperlink>
        </w:p>
        <w:p w14:paraId="5262B82C" w14:textId="56432F19" w:rsidR="00C86A08" w:rsidRDefault="00835592">
          <w:pPr>
            <w:pStyle w:val="TOC2"/>
            <w:tabs>
              <w:tab w:val="left" w:pos="880"/>
              <w:tab w:val="right" w:leader="dot" w:pos="9344"/>
            </w:tabs>
            <w:rPr>
              <w:noProof/>
              <w:szCs w:val="22"/>
              <w:lang w:val="lv-LV" w:eastAsia="lv-LV"/>
            </w:rPr>
          </w:pPr>
          <w:hyperlink w:anchor="_Toc18682406" w:history="1">
            <w:r w:rsidR="00C86A08" w:rsidRPr="001D75F0">
              <w:rPr>
                <w:rStyle w:val="Hyperlink"/>
                <w:rFonts w:eastAsia="Times New Roman"/>
                <w:noProof/>
              </w:rPr>
              <w:t>4.4.</w:t>
            </w:r>
            <w:r w:rsidR="00C86A08">
              <w:rPr>
                <w:noProof/>
                <w:szCs w:val="22"/>
                <w:lang w:val="lv-LV" w:eastAsia="lv-LV"/>
              </w:rPr>
              <w:tab/>
            </w:r>
            <w:r w:rsidR="00C86A08" w:rsidRPr="001D75F0">
              <w:rPr>
                <w:rStyle w:val="Hyperlink"/>
                <w:noProof/>
              </w:rPr>
              <w:t>Forecasts of changes in costs of the subsector of other civil engineering projects</w:t>
            </w:r>
            <w:r w:rsidR="00C86A08">
              <w:rPr>
                <w:noProof/>
                <w:webHidden/>
              </w:rPr>
              <w:tab/>
            </w:r>
            <w:r w:rsidR="00C86A08">
              <w:rPr>
                <w:noProof/>
                <w:webHidden/>
              </w:rPr>
              <w:fldChar w:fldCharType="begin"/>
            </w:r>
            <w:r w:rsidR="00C86A08">
              <w:rPr>
                <w:noProof/>
                <w:webHidden/>
              </w:rPr>
              <w:instrText xml:space="preserve"> PAGEREF _Toc18682406 \h </w:instrText>
            </w:r>
            <w:r w:rsidR="00C86A08">
              <w:rPr>
                <w:noProof/>
                <w:webHidden/>
              </w:rPr>
            </w:r>
            <w:r w:rsidR="00C86A08">
              <w:rPr>
                <w:noProof/>
                <w:webHidden/>
              </w:rPr>
              <w:fldChar w:fldCharType="separate"/>
            </w:r>
            <w:r w:rsidR="00C86A08">
              <w:rPr>
                <w:noProof/>
                <w:webHidden/>
              </w:rPr>
              <w:t>39</w:t>
            </w:r>
            <w:r w:rsidR="00C86A08">
              <w:rPr>
                <w:noProof/>
                <w:webHidden/>
              </w:rPr>
              <w:fldChar w:fldCharType="end"/>
            </w:r>
          </w:hyperlink>
        </w:p>
        <w:p w14:paraId="304041F5" w14:textId="161BF060" w:rsidR="00C86A08" w:rsidRDefault="00835592">
          <w:pPr>
            <w:pStyle w:val="TOC2"/>
            <w:tabs>
              <w:tab w:val="left" w:pos="880"/>
              <w:tab w:val="right" w:leader="dot" w:pos="9344"/>
            </w:tabs>
            <w:rPr>
              <w:noProof/>
              <w:szCs w:val="22"/>
              <w:lang w:val="lv-LV" w:eastAsia="lv-LV"/>
            </w:rPr>
          </w:pPr>
          <w:hyperlink w:anchor="_Toc18682407" w:history="1">
            <w:r w:rsidR="00C86A08" w:rsidRPr="001D75F0">
              <w:rPr>
                <w:rStyle w:val="Hyperlink"/>
                <w:noProof/>
              </w:rPr>
              <w:t>4.5.</w:t>
            </w:r>
            <w:r w:rsidR="00C86A08">
              <w:rPr>
                <w:noProof/>
                <w:szCs w:val="22"/>
                <w:lang w:val="lv-LV" w:eastAsia="lv-LV"/>
              </w:rPr>
              <w:tab/>
            </w:r>
            <w:r w:rsidR="00C86A08" w:rsidRPr="001D75F0">
              <w:rPr>
                <w:rStyle w:val="Hyperlink"/>
                <w:noProof/>
              </w:rPr>
              <w:t>Forecasts of changes in costs of the subsector construction of complex structures in industrial manufacturing companies</w:t>
            </w:r>
            <w:r w:rsidR="00C86A08">
              <w:rPr>
                <w:noProof/>
                <w:webHidden/>
              </w:rPr>
              <w:tab/>
            </w:r>
            <w:r w:rsidR="00C86A08">
              <w:rPr>
                <w:noProof/>
                <w:webHidden/>
              </w:rPr>
              <w:fldChar w:fldCharType="begin"/>
            </w:r>
            <w:r w:rsidR="00C86A08">
              <w:rPr>
                <w:noProof/>
                <w:webHidden/>
              </w:rPr>
              <w:instrText xml:space="preserve"> PAGEREF _Toc18682407 \h </w:instrText>
            </w:r>
            <w:r w:rsidR="00C86A08">
              <w:rPr>
                <w:noProof/>
                <w:webHidden/>
              </w:rPr>
            </w:r>
            <w:r w:rsidR="00C86A08">
              <w:rPr>
                <w:noProof/>
                <w:webHidden/>
              </w:rPr>
              <w:fldChar w:fldCharType="separate"/>
            </w:r>
            <w:r w:rsidR="00C86A08">
              <w:rPr>
                <w:noProof/>
                <w:webHidden/>
              </w:rPr>
              <w:t>42</w:t>
            </w:r>
            <w:r w:rsidR="00C86A08">
              <w:rPr>
                <w:noProof/>
                <w:webHidden/>
              </w:rPr>
              <w:fldChar w:fldCharType="end"/>
            </w:r>
          </w:hyperlink>
        </w:p>
        <w:p w14:paraId="2C2F22E8" w14:textId="1230B203" w:rsidR="00C86A08" w:rsidRDefault="00835592">
          <w:pPr>
            <w:pStyle w:val="TOC2"/>
            <w:tabs>
              <w:tab w:val="left" w:pos="880"/>
              <w:tab w:val="right" w:leader="dot" w:pos="9344"/>
            </w:tabs>
            <w:rPr>
              <w:noProof/>
              <w:szCs w:val="22"/>
              <w:lang w:val="lv-LV" w:eastAsia="lv-LV"/>
            </w:rPr>
          </w:pPr>
          <w:hyperlink w:anchor="_Toc18682408" w:history="1">
            <w:r w:rsidR="00C86A08" w:rsidRPr="001D75F0">
              <w:rPr>
                <w:rStyle w:val="Hyperlink"/>
                <w:noProof/>
              </w:rPr>
              <w:t>4.6.</w:t>
            </w:r>
            <w:r w:rsidR="00C86A08">
              <w:rPr>
                <w:noProof/>
                <w:szCs w:val="22"/>
                <w:lang w:val="lv-LV" w:eastAsia="lv-LV"/>
              </w:rPr>
              <w:tab/>
            </w:r>
            <w:r w:rsidR="00C86A08" w:rsidRPr="001D75F0">
              <w:rPr>
                <w:rStyle w:val="Hyperlink"/>
                <w:noProof/>
              </w:rPr>
              <w:t>Summary of forecasts of changes in costs by subsectors</w:t>
            </w:r>
            <w:r w:rsidR="00C86A08">
              <w:rPr>
                <w:noProof/>
                <w:webHidden/>
              </w:rPr>
              <w:tab/>
            </w:r>
            <w:r w:rsidR="00C86A08">
              <w:rPr>
                <w:noProof/>
                <w:webHidden/>
              </w:rPr>
              <w:fldChar w:fldCharType="begin"/>
            </w:r>
            <w:r w:rsidR="00C86A08">
              <w:rPr>
                <w:noProof/>
                <w:webHidden/>
              </w:rPr>
              <w:instrText xml:space="preserve"> PAGEREF _Toc18682408 \h </w:instrText>
            </w:r>
            <w:r w:rsidR="00C86A08">
              <w:rPr>
                <w:noProof/>
                <w:webHidden/>
              </w:rPr>
            </w:r>
            <w:r w:rsidR="00C86A08">
              <w:rPr>
                <w:noProof/>
                <w:webHidden/>
              </w:rPr>
              <w:fldChar w:fldCharType="separate"/>
            </w:r>
            <w:r w:rsidR="00C86A08">
              <w:rPr>
                <w:noProof/>
                <w:webHidden/>
              </w:rPr>
              <w:t>45</w:t>
            </w:r>
            <w:r w:rsidR="00C86A08">
              <w:rPr>
                <w:noProof/>
                <w:webHidden/>
              </w:rPr>
              <w:fldChar w:fldCharType="end"/>
            </w:r>
          </w:hyperlink>
        </w:p>
        <w:p w14:paraId="275ADC06" w14:textId="5FDBD2D1" w:rsidR="00C86A08" w:rsidRDefault="00835592">
          <w:pPr>
            <w:pStyle w:val="TOC1"/>
            <w:tabs>
              <w:tab w:val="right" w:leader="dot" w:pos="9344"/>
            </w:tabs>
            <w:rPr>
              <w:noProof/>
              <w:szCs w:val="22"/>
              <w:lang w:val="lv-LV" w:eastAsia="lv-LV"/>
            </w:rPr>
          </w:pPr>
          <w:hyperlink w:anchor="_Toc18682409" w:history="1">
            <w:r w:rsidR="00C86A08" w:rsidRPr="001D75F0">
              <w:rPr>
                <w:rStyle w:val="Hyperlink"/>
                <w:noProof/>
              </w:rPr>
              <w:t>MAIN RESULTS</w:t>
            </w:r>
            <w:r w:rsidR="00C86A08">
              <w:rPr>
                <w:noProof/>
                <w:webHidden/>
              </w:rPr>
              <w:tab/>
            </w:r>
            <w:r w:rsidR="00C86A08">
              <w:rPr>
                <w:noProof/>
                <w:webHidden/>
              </w:rPr>
              <w:fldChar w:fldCharType="begin"/>
            </w:r>
            <w:r w:rsidR="00C86A08">
              <w:rPr>
                <w:noProof/>
                <w:webHidden/>
              </w:rPr>
              <w:instrText xml:space="preserve"> PAGEREF _Toc18682409 \h </w:instrText>
            </w:r>
            <w:r w:rsidR="00C86A08">
              <w:rPr>
                <w:noProof/>
                <w:webHidden/>
              </w:rPr>
            </w:r>
            <w:r w:rsidR="00C86A08">
              <w:rPr>
                <w:noProof/>
                <w:webHidden/>
              </w:rPr>
              <w:fldChar w:fldCharType="separate"/>
            </w:r>
            <w:r w:rsidR="00C86A08">
              <w:rPr>
                <w:noProof/>
                <w:webHidden/>
              </w:rPr>
              <w:t>47</w:t>
            </w:r>
            <w:r w:rsidR="00C86A08">
              <w:rPr>
                <w:noProof/>
                <w:webHidden/>
              </w:rPr>
              <w:fldChar w:fldCharType="end"/>
            </w:r>
          </w:hyperlink>
        </w:p>
        <w:p w14:paraId="63B79F6E" w14:textId="6F500EA7" w:rsidR="00C86A08" w:rsidRDefault="00835592">
          <w:pPr>
            <w:pStyle w:val="TOC1"/>
            <w:tabs>
              <w:tab w:val="right" w:leader="dot" w:pos="9344"/>
            </w:tabs>
            <w:rPr>
              <w:noProof/>
              <w:szCs w:val="22"/>
              <w:lang w:val="lv-LV" w:eastAsia="lv-LV"/>
            </w:rPr>
          </w:pPr>
          <w:hyperlink w:anchor="_Toc18682410" w:history="1">
            <w:r w:rsidR="00C86A08" w:rsidRPr="001D75F0">
              <w:rPr>
                <w:rStyle w:val="Hyperlink"/>
                <w:noProof/>
              </w:rPr>
              <w:t>CONCLUSIONS</w:t>
            </w:r>
            <w:r w:rsidR="00C86A08">
              <w:rPr>
                <w:noProof/>
                <w:webHidden/>
              </w:rPr>
              <w:tab/>
            </w:r>
            <w:r w:rsidR="00C86A08">
              <w:rPr>
                <w:noProof/>
                <w:webHidden/>
              </w:rPr>
              <w:fldChar w:fldCharType="begin"/>
            </w:r>
            <w:r w:rsidR="00C86A08">
              <w:rPr>
                <w:noProof/>
                <w:webHidden/>
              </w:rPr>
              <w:instrText xml:space="preserve"> PAGEREF _Toc18682410 \h </w:instrText>
            </w:r>
            <w:r w:rsidR="00C86A08">
              <w:rPr>
                <w:noProof/>
                <w:webHidden/>
              </w:rPr>
            </w:r>
            <w:r w:rsidR="00C86A08">
              <w:rPr>
                <w:noProof/>
                <w:webHidden/>
              </w:rPr>
              <w:fldChar w:fldCharType="separate"/>
            </w:r>
            <w:r w:rsidR="00C86A08">
              <w:rPr>
                <w:noProof/>
                <w:webHidden/>
              </w:rPr>
              <w:t>49</w:t>
            </w:r>
            <w:r w:rsidR="00C86A08">
              <w:rPr>
                <w:noProof/>
                <w:webHidden/>
              </w:rPr>
              <w:fldChar w:fldCharType="end"/>
            </w:r>
          </w:hyperlink>
        </w:p>
        <w:p w14:paraId="166C2338" w14:textId="15B8263F" w:rsidR="00C86A08" w:rsidRDefault="00835592">
          <w:pPr>
            <w:pStyle w:val="TOC1"/>
            <w:tabs>
              <w:tab w:val="right" w:leader="dot" w:pos="9344"/>
            </w:tabs>
            <w:rPr>
              <w:noProof/>
              <w:szCs w:val="22"/>
              <w:lang w:val="lv-LV" w:eastAsia="lv-LV"/>
            </w:rPr>
          </w:pPr>
          <w:hyperlink w:anchor="_Toc18682411" w:history="1">
            <w:r w:rsidR="00C86A08" w:rsidRPr="001D75F0">
              <w:rPr>
                <w:rStyle w:val="Hyperlink"/>
                <w:noProof/>
              </w:rPr>
              <w:t>ANNEXES</w:t>
            </w:r>
            <w:r w:rsidR="00C86A08">
              <w:rPr>
                <w:noProof/>
                <w:webHidden/>
              </w:rPr>
              <w:tab/>
            </w:r>
            <w:r w:rsidR="00C86A08">
              <w:rPr>
                <w:noProof/>
                <w:webHidden/>
              </w:rPr>
              <w:fldChar w:fldCharType="begin"/>
            </w:r>
            <w:r w:rsidR="00C86A08">
              <w:rPr>
                <w:noProof/>
                <w:webHidden/>
              </w:rPr>
              <w:instrText xml:space="preserve"> PAGEREF _Toc18682411 \h </w:instrText>
            </w:r>
            <w:r w:rsidR="00C86A08">
              <w:rPr>
                <w:noProof/>
                <w:webHidden/>
              </w:rPr>
            </w:r>
            <w:r w:rsidR="00C86A08">
              <w:rPr>
                <w:noProof/>
                <w:webHidden/>
              </w:rPr>
              <w:fldChar w:fldCharType="separate"/>
            </w:r>
            <w:r w:rsidR="00C86A08">
              <w:rPr>
                <w:noProof/>
                <w:webHidden/>
              </w:rPr>
              <w:t>51</w:t>
            </w:r>
            <w:r w:rsidR="00C86A08">
              <w:rPr>
                <w:noProof/>
                <w:webHidden/>
              </w:rPr>
              <w:fldChar w:fldCharType="end"/>
            </w:r>
          </w:hyperlink>
        </w:p>
        <w:p w14:paraId="0F310550" w14:textId="7AD948C7" w:rsidR="00654420" w:rsidRPr="00B2521E" w:rsidRDefault="00654420" w:rsidP="00654420">
          <w:pPr>
            <w:pStyle w:val="TOC1"/>
            <w:tabs>
              <w:tab w:val="right" w:leader="dot" w:pos="9344"/>
            </w:tabs>
            <w:sectPr w:rsidR="00654420" w:rsidRPr="00B2521E" w:rsidSect="00741888">
              <w:footerReference w:type="default" r:id="rId14"/>
              <w:pgSz w:w="11906" w:h="16838"/>
              <w:pgMar w:top="1418" w:right="1134" w:bottom="1418" w:left="1418" w:header="709" w:footer="709" w:gutter="0"/>
              <w:cols w:space="708"/>
              <w:docGrid w:linePitch="360"/>
            </w:sectPr>
          </w:pPr>
          <w:r w:rsidRPr="00B2521E">
            <w:fldChar w:fldCharType="end"/>
          </w:r>
        </w:p>
      </w:sdtContent>
    </w:sdt>
    <w:p w14:paraId="3296BBDF" w14:textId="13980B59" w:rsidR="00705505" w:rsidRPr="00B2521E" w:rsidRDefault="00E8087D" w:rsidP="00654420">
      <w:pPr>
        <w:pStyle w:val="Heading1"/>
      </w:pPr>
      <w:bookmarkStart w:id="11" w:name="_Toc18682393"/>
      <w:r>
        <w:rPr>
          <w:caps w:val="0"/>
        </w:rPr>
        <w:lastRenderedPageBreak/>
        <w:t>ABBREVIATIONS USED</w:t>
      </w:r>
      <w:bookmarkEnd w:id="11"/>
    </w:p>
    <w:p w14:paraId="0D4A9D61" w14:textId="77777777" w:rsidR="00D64A25" w:rsidRPr="00B2521E" w:rsidRDefault="00D64A25" w:rsidP="00B13164"/>
    <w:tbl>
      <w:tblPr>
        <w:tblStyle w:val="TableGrid"/>
        <w:tblW w:w="0" w:type="auto"/>
        <w:tblInd w:w="-5" w:type="dxa"/>
        <w:tblBorders>
          <w:top w:val="dashSmallGap" w:sz="4" w:space="0" w:color="1F4979"/>
          <w:left w:val="dashSmallGap" w:sz="4" w:space="0" w:color="1F4979"/>
          <w:bottom w:val="dashSmallGap" w:sz="4" w:space="0" w:color="1F4979"/>
          <w:right w:val="dashSmallGap" w:sz="4" w:space="0" w:color="1F4979"/>
          <w:insideH w:val="dashSmallGap" w:sz="4" w:space="0" w:color="1F4979"/>
          <w:insideV w:val="dashSmallGap" w:sz="4" w:space="0" w:color="1F4979"/>
        </w:tblBorders>
        <w:tblCellMar>
          <w:left w:w="57" w:type="dxa"/>
          <w:right w:w="57" w:type="dxa"/>
        </w:tblCellMar>
        <w:tblLook w:val="04A0" w:firstRow="1" w:lastRow="0" w:firstColumn="1" w:lastColumn="0" w:noHBand="0" w:noVBand="1"/>
      </w:tblPr>
      <w:tblGrid>
        <w:gridCol w:w="3464"/>
        <w:gridCol w:w="5880"/>
      </w:tblGrid>
      <w:tr w:rsidR="00242D63" w:rsidRPr="00B2521E" w14:paraId="2176918D" w14:textId="77777777" w:rsidTr="00DC7CBD">
        <w:tc>
          <w:tcPr>
            <w:tcW w:w="3464" w:type="dxa"/>
          </w:tcPr>
          <w:p w14:paraId="0184F282" w14:textId="396D975F" w:rsidR="00242D63" w:rsidRPr="00B2521E" w:rsidRDefault="00DC7CBD" w:rsidP="00B13164">
            <w:pPr>
              <w:spacing w:before="0" w:after="0"/>
              <w:jc w:val="center"/>
              <w:rPr>
                <w:b/>
                <w:bCs/>
              </w:rPr>
            </w:pPr>
            <w:bookmarkStart w:id="12" w:name="_Toc509311925"/>
            <w:bookmarkStart w:id="13" w:name="_Toc510100703"/>
            <w:bookmarkStart w:id="14" w:name="_Toc512608474"/>
            <w:r>
              <w:rPr>
                <w:b/>
                <w:bCs/>
              </w:rPr>
              <w:t>Abbreviation</w:t>
            </w:r>
          </w:p>
        </w:tc>
        <w:tc>
          <w:tcPr>
            <w:tcW w:w="5880" w:type="dxa"/>
          </w:tcPr>
          <w:p w14:paraId="6458104F" w14:textId="167C9B90" w:rsidR="00242D63" w:rsidRPr="00B2521E" w:rsidRDefault="00DC7CBD" w:rsidP="00B13164">
            <w:pPr>
              <w:spacing w:before="0" w:after="0"/>
              <w:jc w:val="center"/>
              <w:rPr>
                <w:b/>
                <w:bCs/>
              </w:rPr>
            </w:pPr>
            <w:r>
              <w:rPr>
                <w:b/>
                <w:bCs/>
              </w:rPr>
              <w:t>Explanation</w:t>
            </w:r>
          </w:p>
        </w:tc>
      </w:tr>
      <w:tr w:rsidR="003755CB" w:rsidRPr="00B2521E" w14:paraId="2480BD29" w14:textId="77777777" w:rsidTr="00DC7CBD">
        <w:tc>
          <w:tcPr>
            <w:tcW w:w="3464" w:type="dxa"/>
          </w:tcPr>
          <w:p w14:paraId="4D34726B" w14:textId="77777777" w:rsidR="003755CB" w:rsidRPr="00B2521E" w:rsidRDefault="003755CB" w:rsidP="00B13164">
            <w:pPr>
              <w:spacing w:before="0" w:after="0"/>
            </w:pPr>
            <w:r>
              <w:t xml:space="preserve">CAGR  </w:t>
            </w:r>
          </w:p>
        </w:tc>
        <w:tc>
          <w:tcPr>
            <w:tcW w:w="5880" w:type="dxa"/>
          </w:tcPr>
          <w:p w14:paraId="701659D2" w14:textId="77777777" w:rsidR="003755CB" w:rsidRPr="00B2521E" w:rsidRDefault="003755CB" w:rsidP="00B13164">
            <w:pPr>
              <w:spacing w:before="0" w:after="0"/>
              <w:jc w:val="both"/>
            </w:pPr>
            <w:r>
              <w:t>Compound annual growth rate</w:t>
            </w:r>
          </w:p>
        </w:tc>
      </w:tr>
      <w:tr w:rsidR="003755CB" w:rsidRPr="00B2521E" w14:paraId="135FCCC0" w14:textId="77777777" w:rsidTr="00DC7CBD">
        <w:tc>
          <w:tcPr>
            <w:tcW w:w="3464" w:type="dxa"/>
          </w:tcPr>
          <w:p w14:paraId="79E588B6" w14:textId="77777777" w:rsidR="003755CB" w:rsidRPr="00B2521E" w:rsidRDefault="003755CB" w:rsidP="00B13164">
            <w:pPr>
              <w:spacing w:before="0" w:after="0"/>
            </w:pPr>
            <w:r>
              <w:t xml:space="preserve">CFCA  </w:t>
            </w:r>
          </w:p>
        </w:tc>
        <w:tc>
          <w:tcPr>
            <w:tcW w:w="5880" w:type="dxa"/>
          </w:tcPr>
          <w:p w14:paraId="75BA9E82" w14:textId="77777777" w:rsidR="003755CB" w:rsidRPr="00B2521E" w:rsidRDefault="003755CB" w:rsidP="00B13164">
            <w:pPr>
              <w:spacing w:before="0" w:after="0"/>
              <w:jc w:val="both"/>
            </w:pPr>
            <w:r>
              <w:t>Central Finance and Contracting Agency</w:t>
            </w:r>
          </w:p>
        </w:tc>
      </w:tr>
      <w:tr w:rsidR="003755CB" w:rsidRPr="00B2521E" w14:paraId="74D484AC" w14:textId="77777777" w:rsidTr="00DC7CBD">
        <w:tc>
          <w:tcPr>
            <w:tcW w:w="3464" w:type="dxa"/>
          </w:tcPr>
          <w:p w14:paraId="5D3EAE66" w14:textId="77777777" w:rsidR="003755CB" w:rsidRPr="00B2521E" w:rsidRDefault="003755CB" w:rsidP="00B13164">
            <w:pPr>
              <w:spacing w:before="0" w:after="0"/>
            </w:pPr>
            <w:r>
              <w:t xml:space="preserve">CSB  </w:t>
            </w:r>
          </w:p>
        </w:tc>
        <w:tc>
          <w:tcPr>
            <w:tcW w:w="5880" w:type="dxa"/>
          </w:tcPr>
          <w:p w14:paraId="48B5784A" w14:textId="77777777" w:rsidR="003755CB" w:rsidRPr="00B2521E" w:rsidRDefault="003755CB" w:rsidP="00B13164">
            <w:pPr>
              <w:spacing w:before="0" w:after="0"/>
              <w:jc w:val="both"/>
            </w:pPr>
            <w:r>
              <w:t>Central Statistical Bureau</w:t>
            </w:r>
          </w:p>
        </w:tc>
      </w:tr>
      <w:tr w:rsidR="003755CB" w:rsidRPr="00B2521E" w14:paraId="53868443" w14:textId="77777777" w:rsidTr="00DC7CBD">
        <w:tc>
          <w:tcPr>
            <w:tcW w:w="3464" w:type="dxa"/>
          </w:tcPr>
          <w:p w14:paraId="17F2B9DE" w14:textId="77777777" w:rsidR="003755CB" w:rsidRPr="00B2521E" w:rsidRDefault="003755CB" w:rsidP="00B13164">
            <w:pPr>
              <w:spacing w:before="0" w:after="0"/>
            </w:pPr>
            <w:r>
              <w:t xml:space="preserve">Subsector Construction of residential and non-residential buildings </w:t>
            </w:r>
          </w:p>
        </w:tc>
        <w:tc>
          <w:tcPr>
            <w:tcW w:w="5880" w:type="dxa"/>
          </w:tcPr>
          <w:p w14:paraId="55D12508" w14:textId="77777777" w:rsidR="003755CB" w:rsidRPr="00B2521E" w:rsidRDefault="003755CB" w:rsidP="00B13164">
            <w:pPr>
              <w:spacing w:before="0" w:after="0"/>
              <w:jc w:val="both"/>
            </w:pPr>
            <w:r>
              <w:t xml:space="preserve">This group includes full-cycle construction of residential and non-residential buildings, as well as for compensation or </w:t>
            </w:r>
            <w:proofErr w:type="gramStart"/>
            <w:r>
              <w:t>on the basis of</w:t>
            </w:r>
            <w:proofErr w:type="gramEnd"/>
            <w:r>
              <w:t xml:space="preserve"> a contract. Part of construction works or even the entire scope of construction works may be fulfilled by subcontractors</w:t>
            </w:r>
          </w:p>
        </w:tc>
      </w:tr>
      <w:tr w:rsidR="003755CB" w:rsidRPr="00B2521E" w14:paraId="416729F9" w14:textId="77777777" w:rsidTr="00DC7CBD">
        <w:tc>
          <w:tcPr>
            <w:tcW w:w="3464" w:type="dxa"/>
          </w:tcPr>
          <w:p w14:paraId="6A8CEECE" w14:textId="77777777" w:rsidR="003755CB" w:rsidRPr="00B2521E" w:rsidRDefault="003755CB" w:rsidP="00B13164">
            <w:pPr>
              <w:spacing w:before="0" w:after="0"/>
            </w:pPr>
            <w:proofErr w:type="spellStart"/>
            <w:r>
              <w:t>MoE</w:t>
            </w:r>
            <w:proofErr w:type="spellEnd"/>
            <w:r>
              <w:t xml:space="preserve"> </w:t>
            </w:r>
          </w:p>
        </w:tc>
        <w:tc>
          <w:tcPr>
            <w:tcW w:w="5880" w:type="dxa"/>
          </w:tcPr>
          <w:p w14:paraId="3BB24754" w14:textId="77777777" w:rsidR="003755CB" w:rsidRPr="00B2521E" w:rsidRDefault="003755CB" w:rsidP="00B13164">
            <w:pPr>
              <w:spacing w:before="0" w:after="0"/>
              <w:jc w:val="both"/>
            </w:pPr>
            <w:r>
              <w:t>Ministry of Economics of the Republic of Latvia</w:t>
            </w:r>
          </w:p>
        </w:tc>
      </w:tr>
      <w:tr w:rsidR="003755CB" w:rsidRPr="00B2521E" w14:paraId="7668CD55" w14:textId="77777777" w:rsidTr="00DC7CBD">
        <w:tc>
          <w:tcPr>
            <w:tcW w:w="3464" w:type="dxa"/>
          </w:tcPr>
          <w:p w14:paraId="2DC201BC" w14:textId="77777777" w:rsidR="003755CB" w:rsidRPr="00B2521E" w:rsidRDefault="003755CB" w:rsidP="00B13164">
            <w:pPr>
              <w:spacing w:before="0" w:after="0"/>
            </w:pPr>
            <w:r>
              <w:t xml:space="preserve">EU  </w:t>
            </w:r>
          </w:p>
        </w:tc>
        <w:tc>
          <w:tcPr>
            <w:tcW w:w="5880" w:type="dxa"/>
          </w:tcPr>
          <w:p w14:paraId="06C95FB1" w14:textId="77777777" w:rsidR="003755CB" w:rsidRPr="00B2521E" w:rsidRDefault="003755CB" w:rsidP="00B13164">
            <w:pPr>
              <w:spacing w:before="0" w:after="0"/>
              <w:jc w:val="both"/>
            </w:pPr>
            <w:r>
              <w:t>European Union</w:t>
            </w:r>
          </w:p>
        </w:tc>
      </w:tr>
      <w:tr w:rsidR="003755CB" w:rsidRPr="00B2521E" w14:paraId="3E9D802B" w14:textId="77777777" w:rsidTr="00DC7CBD">
        <w:tc>
          <w:tcPr>
            <w:tcW w:w="3464" w:type="dxa"/>
          </w:tcPr>
          <w:p w14:paraId="2D9A3363" w14:textId="77777777" w:rsidR="003755CB" w:rsidRPr="00B2521E" w:rsidRDefault="003755CB" w:rsidP="00B13164">
            <w:pPr>
              <w:spacing w:before="0" w:after="0"/>
            </w:pPr>
            <w:r>
              <w:t xml:space="preserve">Eurostat  </w:t>
            </w:r>
          </w:p>
        </w:tc>
        <w:tc>
          <w:tcPr>
            <w:tcW w:w="5880" w:type="dxa"/>
          </w:tcPr>
          <w:p w14:paraId="0FB21A09" w14:textId="77777777" w:rsidR="003755CB" w:rsidRPr="00B2521E" w:rsidRDefault="003755CB" w:rsidP="00B13164">
            <w:pPr>
              <w:spacing w:before="0" w:after="0"/>
              <w:jc w:val="both"/>
            </w:pPr>
            <w:r>
              <w:t>Statistical office of the European Commission</w:t>
            </w:r>
          </w:p>
        </w:tc>
      </w:tr>
      <w:tr w:rsidR="003755CB" w:rsidRPr="00B2521E" w14:paraId="49B9EC2A" w14:textId="77777777" w:rsidTr="00DC7CBD">
        <w:tc>
          <w:tcPr>
            <w:tcW w:w="3464" w:type="dxa"/>
          </w:tcPr>
          <w:p w14:paraId="470C4453" w14:textId="052631D3" w:rsidR="003755CB" w:rsidRPr="00B2521E" w:rsidRDefault="003755CB" w:rsidP="003755CB">
            <w:pPr>
              <w:spacing w:before="0" w:after="0"/>
            </w:pPr>
            <w:proofErr w:type="spellStart"/>
            <w:r>
              <w:t>MoF</w:t>
            </w:r>
            <w:proofErr w:type="spellEnd"/>
          </w:p>
        </w:tc>
        <w:tc>
          <w:tcPr>
            <w:tcW w:w="5880" w:type="dxa"/>
          </w:tcPr>
          <w:p w14:paraId="3CA60FD3" w14:textId="2148F602" w:rsidR="003755CB" w:rsidRPr="00B2521E" w:rsidRDefault="003755CB" w:rsidP="003755CB">
            <w:pPr>
              <w:spacing w:before="0" w:after="0"/>
              <w:jc w:val="both"/>
            </w:pPr>
            <w:r>
              <w:t>Ministry of Finance of the Republic of Latvia</w:t>
            </w:r>
          </w:p>
        </w:tc>
      </w:tr>
      <w:tr w:rsidR="003755CB" w:rsidRPr="00B2521E" w14:paraId="445CE12F" w14:textId="77777777" w:rsidTr="00DC7CBD">
        <w:tc>
          <w:tcPr>
            <w:tcW w:w="3464" w:type="dxa"/>
          </w:tcPr>
          <w:p w14:paraId="3B4AD49A" w14:textId="77777777" w:rsidR="003755CB" w:rsidRPr="00B2521E" w:rsidRDefault="003755CB" w:rsidP="003755CB">
            <w:pPr>
              <w:spacing w:before="0" w:after="0"/>
            </w:pPr>
            <w:r>
              <w:t xml:space="preserve">GDP  </w:t>
            </w:r>
          </w:p>
        </w:tc>
        <w:tc>
          <w:tcPr>
            <w:tcW w:w="5880" w:type="dxa"/>
          </w:tcPr>
          <w:p w14:paraId="40CAEFC3" w14:textId="77777777" w:rsidR="003755CB" w:rsidRPr="00B2521E" w:rsidRDefault="003755CB" w:rsidP="003755CB">
            <w:pPr>
              <w:spacing w:before="0" w:after="0"/>
              <w:jc w:val="both"/>
            </w:pPr>
            <w:r>
              <w:t>Gross domestic product</w:t>
            </w:r>
          </w:p>
        </w:tc>
      </w:tr>
      <w:tr w:rsidR="003755CB" w:rsidRPr="00B2521E" w14:paraId="6FF4DBD4" w14:textId="77777777" w:rsidTr="00DC7CBD">
        <w:tc>
          <w:tcPr>
            <w:tcW w:w="3464" w:type="dxa"/>
          </w:tcPr>
          <w:p w14:paraId="3A379DA5" w14:textId="77777777" w:rsidR="003755CB" w:rsidRPr="00B2521E" w:rsidRDefault="003755CB" w:rsidP="003755CB">
            <w:pPr>
              <w:spacing w:before="0" w:after="0"/>
            </w:pPr>
            <w:r>
              <w:t>Contractor</w:t>
            </w:r>
          </w:p>
        </w:tc>
        <w:tc>
          <w:tcPr>
            <w:tcW w:w="5880" w:type="dxa"/>
          </w:tcPr>
          <w:p w14:paraId="02A7870E" w14:textId="77777777" w:rsidR="003755CB" w:rsidRPr="00B2521E" w:rsidRDefault="003755CB" w:rsidP="003755CB">
            <w:pPr>
              <w:contextualSpacing/>
              <w:jc w:val="both"/>
            </w:pPr>
            <w:r>
              <w:t>SIA “Oxford Research Baltics”</w:t>
            </w:r>
          </w:p>
        </w:tc>
      </w:tr>
      <w:tr w:rsidR="003755CB" w:rsidRPr="00B2521E" w14:paraId="797E4544" w14:textId="77777777" w:rsidTr="00DC7CBD">
        <w:tc>
          <w:tcPr>
            <w:tcW w:w="3464" w:type="dxa"/>
          </w:tcPr>
          <w:p w14:paraId="1FA2599E" w14:textId="77777777" w:rsidR="003755CB" w:rsidRPr="00B2521E" w:rsidRDefault="003755CB" w:rsidP="003755CB">
            <w:pPr>
              <w:spacing w:before="0" w:after="0"/>
            </w:pPr>
            <w:r>
              <w:t xml:space="preserve">Subsector Construction of complex structures in manufacturing companies </w:t>
            </w:r>
          </w:p>
        </w:tc>
        <w:tc>
          <w:tcPr>
            <w:tcW w:w="5880" w:type="dxa"/>
          </w:tcPr>
          <w:p w14:paraId="3254C7B5" w14:textId="77777777" w:rsidR="003755CB" w:rsidRPr="00B2521E" w:rsidRDefault="003755CB" w:rsidP="003755CB">
            <w:pPr>
              <w:spacing w:before="0" w:after="0"/>
              <w:jc w:val="both"/>
            </w:pPr>
            <w:r>
              <w:t>Structures having no signs of buildings – structures of mining industry or rock mining, power plants, chemical industry companies</w:t>
            </w:r>
          </w:p>
        </w:tc>
      </w:tr>
      <w:tr w:rsidR="003755CB" w:rsidRPr="00B2521E" w14:paraId="22350457" w14:textId="77777777" w:rsidTr="00DC7CBD">
        <w:tc>
          <w:tcPr>
            <w:tcW w:w="3464" w:type="dxa"/>
          </w:tcPr>
          <w:p w14:paraId="7C342BB9" w14:textId="77777777" w:rsidR="003755CB" w:rsidRPr="00B2521E" w:rsidRDefault="003755CB" w:rsidP="003755CB">
            <w:pPr>
              <w:spacing w:before="0" w:after="0"/>
            </w:pPr>
            <w:r>
              <w:t xml:space="preserve">Contracting Authority </w:t>
            </w:r>
          </w:p>
        </w:tc>
        <w:tc>
          <w:tcPr>
            <w:tcW w:w="5880" w:type="dxa"/>
          </w:tcPr>
          <w:p w14:paraId="787E594E" w14:textId="77777777" w:rsidR="003755CB" w:rsidRPr="00B2521E" w:rsidRDefault="003755CB" w:rsidP="003755CB">
            <w:pPr>
              <w:spacing w:before="0" w:after="0"/>
              <w:jc w:val="both"/>
            </w:pPr>
            <w:r>
              <w:t xml:space="preserve">Ministry of Economics of the Republic of Latvia  </w:t>
            </w:r>
          </w:p>
        </w:tc>
      </w:tr>
      <w:tr w:rsidR="003755CB" w:rsidRPr="00B2521E" w14:paraId="2FC98DF1" w14:textId="77777777" w:rsidTr="00DC7CBD">
        <w:tc>
          <w:tcPr>
            <w:tcW w:w="3464" w:type="dxa"/>
          </w:tcPr>
          <w:p w14:paraId="66F452F2" w14:textId="77777777" w:rsidR="003755CB" w:rsidRPr="00B2521E" w:rsidRDefault="003755CB" w:rsidP="003755CB">
            <w:pPr>
              <w:spacing w:before="0" w:after="0"/>
              <w:jc w:val="both"/>
            </w:pPr>
            <w:r>
              <w:t xml:space="preserve">Subsector Construction of other civil engineering projects </w:t>
            </w:r>
          </w:p>
        </w:tc>
        <w:tc>
          <w:tcPr>
            <w:tcW w:w="5880" w:type="dxa"/>
          </w:tcPr>
          <w:p w14:paraId="461F09D8" w14:textId="77777777" w:rsidR="003755CB" w:rsidRPr="00B2521E" w:rsidRDefault="003755CB" w:rsidP="003755CB">
            <w:pPr>
              <w:spacing w:before="0" w:after="0"/>
              <w:jc w:val="both"/>
            </w:pPr>
            <w:r>
              <w:t>Construction of waterways, ports and river berths, locks, dikes and dams; dredging of waterways. Construction of complex industrial (manufacturing, chemical plants) buildings, except construction of buildings, structures, open air sport grounds. Division of land into plots with improvement of land</w:t>
            </w:r>
          </w:p>
        </w:tc>
      </w:tr>
      <w:tr w:rsidR="003755CB" w:rsidRPr="00B2521E" w14:paraId="074CF329" w14:textId="77777777" w:rsidTr="00DC7CBD">
        <w:tc>
          <w:tcPr>
            <w:tcW w:w="3464" w:type="dxa"/>
          </w:tcPr>
          <w:p w14:paraId="625734A9" w14:textId="77777777" w:rsidR="003755CB" w:rsidRPr="00B2521E" w:rsidRDefault="003755CB" w:rsidP="003755CB">
            <w:pPr>
              <w:spacing w:before="0" w:after="0"/>
              <w:jc w:val="both"/>
            </w:pPr>
            <w:r>
              <w:t xml:space="preserve">Profit margin </w:t>
            </w:r>
          </w:p>
        </w:tc>
        <w:tc>
          <w:tcPr>
            <w:tcW w:w="5880" w:type="dxa"/>
          </w:tcPr>
          <w:p w14:paraId="468C16A1" w14:textId="77777777" w:rsidR="003755CB" w:rsidRPr="00B2521E" w:rsidRDefault="003755CB" w:rsidP="003755CB">
            <w:pPr>
              <w:spacing w:before="0" w:after="0"/>
              <w:jc w:val="both"/>
            </w:pPr>
            <w:r>
              <w:t>Profit margin is viewed in this study as profit after tax as a percentage of turnover.</w:t>
            </w:r>
          </w:p>
        </w:tc>
      </w:tr>
      <w:tr w:rsidR="003755CB" w:rsidRPr="00B2521E" w14:paraId="565A1740" w14:textId="77777777" w:rsidTr="00DC7CBD">
        <w:tc>
          <w:tcPr>
            <w:tcW w:w="3464" w:type="dxa"/>
          </w:tcPr>
          <w:p w14:paraId="2E19291D" w14:textId="77777777" w:rsidR="003755CB" w:rsidRPr="00B2521E" w:rsidRDefault="003755CB" w:rsidP="003755CB">
            <w:pPr>
              <w:spacing w:before="0" w:after="0"/>
            </w:pPr>
            <w:r>
              <w:t xml:space="preserve">Study </w:t>
            </w:r>
          </w:p>
        </w:tc>
        <w:tc>
          <w:tcPr>
            <w:tcW w:w="5880" w:type="dxa"/>
          </w:tcPr>
          <w:p w14:paraId="164B0060" w14:textId="77777777" w:rsidR="003755CB" w:rsidRPr="00B2521E" w:rsidRDefault="003755CB" w:rsidP="003755CB">
            <w:pPr>
              <w:spacing w:before="0" w:after="0"/>
              <w:jc w:val="both"/>
            </w:pPr>
            <w:r>
              <w:t>Final deliverable, report “Study on expected changes in costs of labour force and construction materials in the construction sector in Latvia”</w:t>
            </w:r>
          </w:p>
        </w:tc>
      </w:tr>
      <w:tr w:rsidR="003755CB" w:rsidRPr="00B2521E" w14:paraId="3327BDCB" w14:textId="77777777" w:rsidTr="00DC7CBD">
        <w:tc>
          <w:tcPr>
            <w:tcW w:w="3464" w:type="dxa"/>
          </w:tcPr>
          <w:p w14:paraId="593ACAD0" w14:textId="77777777" w:rsidR="003755CB" w:rsidRPr="00B2521E" w:rsidRDefault="003755CB" w:rsidP="003755CB">
            <w:pPr>
              <w:spacing w:before="0" w:after="0"/>
            </w:pPr>
            <w:r>
              <w:t xml:space="preserve">Subsector Construction of utility projects </w:t>
            </w:r>
          </w:p>
        </w:tc>
        <w:tc>
          <w:tcPr>
            <w:tcW w:w="5880" w:type="dxa"/>
          </w:tcPr>
          <w:p w14:paraId="3F83823A" w14:textId="77777777" w:rsidR="003755CB" w:rsidRPr="00B2521E" w:rsidRDefault="003755CB" w:rsidP="003755CB">
            <w:pPr>
              <w:spacing w:before="0" w:after="0"/>
              <w:jc w:val="both"/>
            </w:pPr>
            <w:r>
              <w:t>Construction of distribution lines for transportation of liquids and related buildings and objects, which are components of these systems (main and city pipelines; construction of water pipelines and water lines; irrigation systems; reservoirs; waste treatment plants; pump stations, drilling of water wells). Construction of electricity transmission and communication distribution lines and related buildings and objects (for example, power plants), which are components of these systems.</w:t>
            </w:r>
          </w:p>
        </w:tc>
      </w:tr>
      <w:tr w:rsidR="003755CB" w:rsidRPr="00B2521E" w14:paraId="668358E3" w14:textId="77777777" w:rsidTr="00DC7CBD">
        <w:tc>
          <w:tcPr>
            <w:tcW w:w="3464" w:type="dxa"/>
          </w:tcPr>
          <w:p w14:paraId="16A8DC9B" w14:textId="77777777" w:rsidR="003755CB" w:rsidRPr="00B2521E" w:rsidRDefault="003755CB" w:rsidP="003755CB">
            <w:pPr>
              <w:spacing w:before="0" w:after="0"/>
              <w:jc w:val="both"/>
            </w:pPr>
            <w:r>
              <w:t xml:space="preserve">Subsector Construction of transport objects </w:t>
            </w:r>
          </w:p>
        </w:tc>
        <w:tc>
          <w:tcPr>
            <w:tcW w:w="5880" w:type="dxa"/>
          </w:tcPr>
          <w:p w14:paraId="6723E133" w14:textId="77777777" w:rsidR="003755CB" w:rsidRPr="00B2521E" w:rsidRDefault="003755CB" w:rsidP="003755CB">
            <w:pPr>
              <w:spacing w:before="0" w:after="0"/>
              <w:jc w:val="both"/>
            </w:pPr>
            <w:r>
              <w:t>Construction of motorways, streets, roads, other roads; runways of airfields. Construction of railway and subway tracks. Construction of bridges, including connecting bridges and overpasses on land motorways, construction of tunnels</w:t>
            </w:r>
          </w:p>
        </w:tc>
      </w:tr>
      <w:tr w:rsidR="00665164" w:rsidRPr="00B2521E" w14:paraId="4018F159" w14:textId="77777777" w:rsidTr="00DC7CBD">
        <w:tc>
          <w:tcPr>
            <w:tcW w:w="3464" w:type="dxa"/>
          </w:tcPr>
          <w:p w14:paraId="7A12D3D2" w14:textId="63877780" w:rsidR="00665164" w:rsidRPr="00B2521E" w:rsidRDefault="00665164" w:rsidP="003755CB">
            <w:pPr>
              <w:spacing w:before="0" w:after="0"/>
              <w:jc w:val="both"/>
            </w:pPr>
            <w:r>
              <w:t>CIT</w:t>
            </w:r>
          </w:p>
        </w:tc>
        <w:tc>
          <w:tcPr>
            <w:tcW w:w="5880" w:type="dxa"/>
          </w:tcPr>
          <w:p w14:paraId="3F55227D" w14:textId="59FFEA67" w:rsidR="00665164" w:rsidRPr="00B2521E" w:rsidRDefault="00665164" w:rsidP="003755CB">
            <w:pPr>
              <w:spacing w:before="0" w:after="0"/>
              <w:jc w:val="both"/>
            </w:pPr>
            <w:r>
              <w:t>Corporate income tax</w:t>
            </w:r>
          </w:p>
        </w:tc>
      </w:tr>
      <w:tr w:rsidR="00053E59" w:rsidRPr="00B2521E" w14:paraId="7C9C18A1" w14:textId="77777777" w:rsidTr="00DC7CBD">
        <w:tc>
          <w:tcPr>
            <w:tcW w:w="3464" w:type="dxa"/>
          </w:tcPr>
          <w:p w14:paraId="5D3077DA" w14:textId="7053B753" w:rsidR="00053E59" w:rsidRPr="00B2521E" w:rsidRDefault="00053E59" w:rsidP="003755CB">
            <w:pPr>
              <w:spacing w:before="0" w:after="0"/>
              <w:jc w:val="both"/>
            </w:pPr>
            <w:r>
              <w:t>SRS</w:t>
            </w:r>
          </w:p>
        </w:tc>
        <w:tc>
          <w:tcPr>
            <w:tcW w:w="5880" w:type="dxa"/>
          </w:tcPr>
          <w:p w14:paraId="2772DD2F" w14:textId="4AEACAA1" w:rsidR="00053E59" w:rsidRPr="00B2521E" w:rsidRDefault="00053E59" w:rsidP="003755CB">
            <w:pPr>
              <w:spacing w:before="0" w:after="0"/>
              <w:jc w:val="both"/>
            </w:pPr>
            <w:r>
              <w:t>State Revenue Service</w:t>
            </w:r>
          </w:p>
        </w:tc>
      </w:tr>
    </w:tbl>
    <w:p w14:paraId="45476260" w14:textId="088108BF" w:rsidR="00671716" w:rsidRPr="00B2521E" w:rsidRDefault="00671716" w:rsidP="00B13164">
      <w:pPr>
        <w:pStyle w:val="Default"/>
        <w:sectPr w:rsidR="00671716" w:rsidRPr="00B2521E" w:rsidSect="00741888">
          <w:footerReference w:type="default" r:id="rId15"/>
          <w:pgSz w:w="11906" w:h="16838"/>
          <w:pgMar w:top="1418" w:right="1134" w:bottom="1418" w:left="1418" w:header="709" w:footer="709" w:gutter="0"/>
          <w:cols w:space="708"/>
          <w:docGrid w:linePitch="360"/>
        </w:sectPr>
      </w:pPr>
    </w:p>
    <w:p w14:paraId="016FADB4" w14:textId="47A7B2B1" w:rsidR="00AD41D9" w:rsidRPr="00B2521E" w:rsidRDefault="00AE4716" w:rsidP="00B13164">
      <w:pPr>
        <w:pStyle w:val="Heading1"/>
        <w:jc w:val="both"/>
      </w:pPr>
      <w:bookmarkStart w:id="15" w:name="_Toc18682394"/>
      <w:bookmarkEnd w:id="12"/>
      <w:bookmarkEnd w:id="13"/>
      <w:bookmarkEnd w:id="14"/>
      <w:r>
        <w:lastRenderedPageBreak/>
        <w:t>OVERVIEW</w:t>
      </w:r>
      <w:bookmarkEnd w:id="15"/>
    </w:p>
    <w:p w14:paraId="541632ED" w14:textId="1680086D" w:rsidR="00E8087D" w:rsidRPr="00B2521E" w:rsidRDefault="00E8087D" w:rsidP="00D046E8">
      <w:pPr>
        <w:ind w:firstLine="851"/>
        <w:jc w:val="both"/>
        <w:rPr>
          <w:rFonts w:cstheme="minorHAnsi"/>
          <w:szCs w:val="22"/>
        </w:rPr>
      </w:pPr>
      <w:r>
        <w:t>The “Study on expected changes in costs of labour force and construction materials in the construction sector in Latvia” was prepared in accordance with the agreement concluded between the Ministry of Economics of the Republic of Latvia and the research company SIA “Oxford Research Baltics” on 14 May 2019.</w:t>
      </w:r>
    </w:p>
    <w:p w14:paraId="47DB33F8" w14:textId="1A2A439C" w:rsidR="00EA5D47" w:rsidRPr="00B2521E" w:rsidRDefault="00F3031D" w:rsidP="00D046E8">
      <w:pPr>
        <w:ind w:firstLine="851"/>
        <w:jc w:val="both"/>
        <w:rPr>
          <w:rFonts w:cstheme="minorHAnsi"/>
          <w:szCs w:val="22"/>
        </w:rPr>
      </w:pPr>
      <w:r>
        <w:t>A study on expected changes in costs of labour force and construction materials in the construction sector was carried out in accordance with the task given in Paragraph 7 of §1 of protocol No.41 of the meeting of the Cabinet of Ministers of 28 August 2017 to be able to plan potential costs of public construction procurements more effectively and evaluate potential changes in prices in the nearest years.</w:t>
      </w:r>
    </w:p>
    <w:p w14:paraId="47C29F24" w14:textId="62708885" w:rsidR="00F3031D" w:rsidRPr="00B2521E" w:rsidRDefault="00F3031D" w:rsidP="00D046E8">
      <w:pPr>
        <w:ind w:firstLine="851"/>
        <w:jc w:val="both"/>
        <w:rPr>
          <w:rFonts w:cstheme="minorHAnsi"/>
          <w:szCs w:val="22"/>
        </w:rPr>
      </w:pPr>
      <w:r>
        <w:t>The study was carried out on the basis of the study of 2018 on expected changes in the costs of labour force and construction materials in the construction sector in Latvia and drafted methodology</w:t>
      </w:r>
      <w:r w:rsidRPr="00B2521E">
        <w:rPr>
          <w:rStyle w:val="FootnoteReference"/>
          <w:rFonts w:cstheme="minorHAnsi"/>
          <w:szCs w:val="22"/>
        </w:rPr>
        <w:footnoteReference w:id="1"/>
      </w:r>
      <w:r>
        <w:t xml:space="preserve"> (hereinafter referred to as the Methodology) to ensure equal approach and comparability of obtained results. </w:t>
      </w:r>
    </w:p>
    <w:p w14:paraId="2CCDFD44" w14:textId="41A499D5" w:rsidR="00F3031D" w:rsidRPr="00B2521E" w:rsidRDefault="00F3031D" w:rsidP="00D046E8">
      <w:pPr>
        <w:ind w:firstLine="851"/>
        <w:jc w:val="both"/>
        <w:rPr>
          <w:rFonts w:cstheme="minorHAnsi"/>
          <w:szCs w:val="22"/>
        </w:rPr>
      </w:pPr>
      <w:r>
        <w:t>The study was carried out for the period from 1 January 2019 to 31 December 2020 and provides an evaluation of trends for the period from 1 January 2021 to 31 December 2023.</w:t>
      </w:r>
    </w:p>
    <w:p w14:paraId="5CE00CBE" w14:textId="0DCC7C2E" w:rsidR="00F3031D" w:rsidRPr="00B2521E" w:rsidRDefault="00F3031D" w:rsidP="00D046E8">
      <w:pPr>
        <w:ind w:firstLine="851"/>
        <w:jc w:val="both"/>
        <w:rPr>
          <w:rFonts w:cstheme="minorHAnsi"/>
          <w:szCs w:val="22"/>
        </w:rPr>
      </w:pPr>
      <w:r>
        <w:t>The study includes a detailed evaluation and forecasts for the period from 2021 to 2023 on changes in total volumes of construction products and changes in costs and for the following subsectors of the construction industry – residential buildings, non-residential buildings, other civil engineering structures, transport objects, underground main pipelines, construction of complex structures in industrial manufacturing companies and construction of other civil engineering projects.</w:t>
      </w:r>
    </w:p>
    <w:p w14:paraId="30B6A404" w14:textId="2B45F253" w:rsidR="00F3031D" w:rsidRPr="00B2521E" w:rsidRDefault="00F3031D" w:rsidP="00D046E8">
      <w:pPr>
        <w:ind w:firstLine="851"/>
        <w:jc w:val="both"/>
        <w:rPr>
          <w:rFonts w:cstheme="minorHAnsi"/>
          <w:szCs w:val="22"/>
        </w:rPr>
      </w:pPr>
      <w:r>
        <w:t xml:space="preserve">An evaluation and analysis of factors affecting changes in costs of labour force and construction materials, as well as the potential effect of shadow economy combating measures were implemented during the study.  </w:t>
      </w:r>
    </w:p>
    <w:p w14:paraId="0ACDD347" w14:textId="356E3497" w:rsidR="0002521C" w:rsidRPr="00B2521E" w:rsidRDefault="00A37A04" w:rsidP="00D046E8">
      <w:pPr>
        <w:ind w:firstLine="851"/>
        <w:jc w:val="both"/>
        <w:rPr>
          <w:rFonts w:cstheme="minorHAnsi"/>
          <w:szCs w:val="22"/>
        </w:rPr>
      </w:pPr>
      <w:r>
        <w:t xml:space="preserve">The study has taken into consideration the effect of the introduced and planned shadow economy combating measures on the construction industry. </w:t>
      </w:r>
    </w:p>
    <w:p w14:paraId="19C12701" w14:textId="18C6BB57" w:rsidR="0002521C" w:rsidRPr="00B2521E" w:rsidRDefault="00F3031D" w:rsidP="00D046E8">
      <w:pPr>
        <w:ind w:firstLine="851"/>
        <w:jc w:val="both"/>
        <w:rPr>
          <w:rFonts w:cstheme="minorHAnsi"/>
          <w:szCs w:val="22"/>
        </w:rPr>
      </w:pPr>
      <w:r>
        <w:t xml:space="preserve">Statistical methods, expert interviews and combination of research methods were used to achieve the study results, in accordance with the Methodology. Statistical data form the data array of the study. Expert interviews identified the factors affecting changes in construction costs, their impact level, expert evaluations of trends in price changes. Time series with their up-to-date development were retrieved for the identified factors. </w:t>
      </w:r>
    </w:p>
    <w:p w14:paraId="4EC04F63" w14:textId="56AF312F" w:rsidR="00E8087D" w:rsidRPr="00B2521E" w:rsidRDefault="00C83ADE" w:rsidP="00D046E8">
      <w:pPr>
        <w:ind w:firstLine="851"/>
        <w:jc w:val="both"/>
        <w:rPr>
          <w:rFonts w:cstheme="minorHAnsi"/>
          <w:szCs w:val="22"/>
        </w:rPr>
      </w:pPr>
      <w:r>
        <w:t xml:space="preserve">CSB data and expert interviews with representatives of the construction industry and experts in subsectors of the construction industry were used in the study as sources of information. The study also includes forecasts of experts in macroeconomics for the evaluation of impact of general factors. No less than four experts were involved in each group of experts. Expert groups were set up and selected at several stages identifying company by their main area of business in the construction industry, their region of operations, the turnover range and the competence level. </w:t>
      </w:r>
    </w:p>
    <w:p w14:paraId="63709CAB" w14:textId="026D1604" w:rsidR="00E8087D" w:rsidRPr="00B2521E" w:rsidRDefault="00B704D6" w:rsidP="00D046E8">
      <w:pPr>
        <w:ind w:firstLine="851"/>
        <w:jc w:val="both"/>
        <w:rPr>
          <w:rFonts w:cstheme="minorHAnsi"/>
          <w:szCs w:val="22"/>
        </w:rPr>
      </w:pPr>
      <w:r>
        <w:t xml:space="preserve">Different analytical methods, according to the studied task, data development trends and the expert evaluation scale were used for the analysis of statistical data and expert evaluations obtained during the study. Different types of models characterising further development of basic trends of time series </w:t>
      </w:r>
      <w:proofErr w:type="gramStart"/>
      <w:r>
        <w:t>on the basis of</w:t>
      </w:r>
      <w:proofErr w:type="gramEnd"/>
      <w:r>
        <w:t xml:space="preserve"> previous trend extrapolation were used to determine further development of changes in costs. The quality of obtained models was evaluated with dispersion indicators.</w:t>
      </w:r>
    </w:p>
    <w:p w14:paraId="2CFBC854" w14:textId="5A66B667" w:rsidR="00E8087D" w:rsidRPr="00B2521E" w:rsidRDefault="008C13B5" w:rsidP="00D046E8">
      <w:pPr>
        <w:ind w:firstLine="851"/>
        <w:jc w:val="both"/>
        <w:rPr>
          <w:rFonts w:cstheme="minorHAnsi"/>
          <w:szCs w:val="22"/>
        </w:rPr>
      </w:pPr>
      <w:r>
        <w:lastRenderedPageBreak/>
        <w:t xml:space="preserve">Calculations of cumulative average, structural average and dispersion indicators were used in processing of the expert evaluations obtained in interviews depending on the form of questions and the scale used. In addition to the separate analysis of statistical information and expert evaluations, combined forecasts, which included different types of forecasting used in the study, were used as the final forecast tool, which was done for the purposes of compensation for errors and improvement of the credibility of the final forecast and data. </w:t>
      </w:r>
    </w:p>
    <w:p w14:paraId="1993FC51" w14:textId="17B086A4" w:rsidR="00630795" w:rsidRPr="00B2521E" w:rsidRDefault="00630795" w:rsidP="00D046E8">
      <w:pPr>
        <w:ind w:firstLine="851"/>
        <w:jc w:val="both"/>
        <w:rPr>
          <w:rFonts w:cstheme="minorHAnsi"/>
          <w:szCs w:val="22"/>
        </w:rPr>
      </w:pPr>
      <w:r>
        <w:t>Main conclusions:</w:t>
      </w:r>
    </w:p>
    <w:p w14:paraId="590C87D6" w14:textId="1C6CF58D" w:rsidR="008D3981" w:rsidRPr="00B2521E" w:rsidRDefault="008D3981" w:rsidP="008D3981">
      <w:pPr>
        <w:jc w:val="both"/>
        <w:rPr>
          <w:rFonts w:cstheme="minorHAnsi"/>
          <w:szCs w:val="22"/>
        </w:rPr>
      </w:pPr>
      <w:r>
        <w:t xml:space="preserve">1. The forecasts provide that the total volume of construction products will increase by more than 10% in 2019 and 2020 compared to the previous year, and a drop in the increase and a drop in volumes </w:t>
      </w:r>
      <w:proofErr w:type="gramStart"/>
      <w:r>
        <w:t>is expected</w:t>
      </w:r>
      <w:proofErr w:type="gramEnd"/>
      <w:r>
        <w:t xml:space="preserve"> after 2021.</w:t>
      </w:r>
    </w:p>
    <w:p w14:paraId="50C40737" w14:textId="0C9B8012" w:rsidR="008D3981" w:rsidRPr="00B2521E" w:rsidRDefault="008D3981" w:rsidP="008D3981">
      <w:pPr>
        <w:jc w:val="both"/>
        <w:rPr>
          <w:rFonts w:cstheme="minorHAnsi"/>
          <w:szCs w:val="22"/>
        </w:rPr>
      </w:pPr>
      <w:r>
        <w:t>2. The increase in total volumes of construction products will directly affect changes in costs, which will increase by about 5% in 2019 and 2020 compared to the previous year, and might even reduce in 2022.</w:t>
      </w:r>
    </w:p>
    <w:p w14:paraId="0B55A718" w14:textId="3B7D4DA5" w:rsidR="008D3981" w:rsidRPr="00B2521E" w:rsidRDefault="008D3981" w:rsidP="008D3981">
      <w:pPr>
        <w:jc w:val="both"/>
        <w:rPr>
          <w:rFonts w:cstheme="minorHAnsi"/>
          <w:szCs w:val="22"/>
        </w:rPr>
      </w:pPr>
      <w:r>
        <w:t>3. The forecasts provide that wages of workers will increase the most among all types of resources and may reach a cumulative increase of 20% in 2023 compared to the level of 2018, but changes in costs of architectural and engineering activities and technical testing and analysis – a 15% increase. Changes in costs of construction materials and maintenance and operation machines and mechanisms will reach a cumulative increase of 6-7% in 2020 compared to the level of 2018 and will almost remain unchanged.</w:t>
      </w:r>
    </w:p>
    <w:p w14:paraId="6FF7FC96" w14:textId="3479365E" w:rsidR="008D3981" w:rsidRPr="00B2521E" w:rsidRDefault="008D3981" w:rsidP="008D3981">
      <w:pPr>
        <w:jc w:val="both"/>
        <w:rPr>
          <w:rFonts w:cstheme="minorHAnsi"/>
          <w:szCs w:val="22"/>
        </w:rPr>
      </w:pPr>
      <w:r>
        <w:t>4. The subsectors, where the forecasts expect to have the highest increase in changes in costs are buildings and complex structures, where a more rapid increase in 2019 and 2020 will be replaced by a slower increase. The second group includes transport objects, underground main pipelines and construction of other civil engineering projects, whether an increase in 2019 and 2020 will be followed by a decline or fluctuation around the zero level of changes in costs.</w:t>
      </w:r>
    </w:p>
    <w:p w14:paraId="17A20187" w14:textId="5C97F918" w:rsidR="008D3981" w:rsidRPr="00B2521E" w:rsidRDefault="008D3981" w:rsidP="008D3981">
      <w:pPr>
        <w:jc w:val="both"/>
        <w:rPr>
          <w:rFonts w:cstheme="minorHAnsi"/>
          <w:szCs w:val="22"/>
        </w:rPr>
      </w:pPr>
      <w:r>
        <w:t xml:space="preserve">5. Volumes of construction products are the main factor affecting changes in labour force and construction costs in Latvia. </w:t>
      </w:r>
    </w:p>
    <w:p w14:paraId="3D215569" w14:textId="29277377" w:rsidR="008D3981" w:rsidRPr="00B2521E" w:rsidRDefault="008D3981" w:rsidP="008D3981">
      <w:pPr>
        <w:jc w:val="both"/>
        <w:rPr>
          <w:rFonts w:cstheme="minorHAnsi"/>
          <w:szCs w:val="22"/>
        </w:rPr>
      </w:pPr>
      <w:r>
        <w:t>6. The scope of public procurement in construction has significant effect on the construction sector due to its share. The risk of significant drop of the scope of public procurement in construction is forecast after 2020, if the volume dynamics is similar to the previous EU funds programming period after 2014, and the drop in the volume of project co-financed by EU funds is not replaced with state, local government, private sector projects and projects started in the new EU funds programming period in a timely manner.</w:t>
      </w:r>
    </w:p>
    <w:p w14:paraId="42D66DEB" w14:textId="6985625C" w:rsidR="008D3981" w:rsidRPr="00B2521E" w:rsidRDefault="008D3981" w:rsidP="008D3981">
      <w:pPr>
        <w:jc w:val="both"/>
        <w:rPr>
          <w:rFonts w:cstheme="minorHAnsi"/>
          <w:szCs w:val="22"/>
        </w:rPr>
      </w:pPr>
      <w:r>
        <w:t>7. Total volumes of construction products will depend on market elasticity adapting to the deferred private demand in 2018-2020.</w:t>
      </w:r>
    </w:p>
    <w:p w14:paraId="3743A2DE" w14:textId="5EE0C1C3" w:rsidR="008D3981" w:rsidRPr="00B2521E" w:rsidRDefault="008D3981" w:rsidP="008D3981">
      <w:pPr>
        <w:jc w:val="both"/>
        <w:rPr>
          <w:rFonts w:cstheme="minorHAnsi"/>
          <w:szCs w:val="22"/>
        </w:rPr>
      </w:pPr>
      <w:r>
        <w:t xml:space="preserve">8. Forecasts of changes in costs evidence that the level of construction costs is expected to remain practically unchanged also after 2020, similarly to 2014-2016. </w:t>
      </w:r>
      <w:proofErr w:type="gramStart"/>
      <w:r>
        <w:t>Therefore</w:t>
      </w:r>
      <w:proofErr w:type="gramEnd"/>
      <w:r>
        <w:t xml:space="preserve"> there is a significant risk that private demand will not immediately replace the drop in public procurement and a significant drop in construction volumes is possible.</w:t>
      </w:r>
    </w:p>
    <w:p w14:paraId="38CBF7F7" w14:textId="38382C02" w:rsidR="008D3981" w:rsidRPr="00B2521E" w:rsidRDefault="008D3981" w:rsidP="008D3981">
      <w:pPr>
        <w:jc w:val="both"/>
        <w:rPr>
          <w:rFonts w:cstheme="minorHAnsi"/>
          <w:szCs w:val="22"/>
        </w:rPr>
      </w:pPr>
      <w:r>
        <w:t>9. It is recommended to use public order as a tool for balance of market fluctuations.</w:t>
      </w:r>
    </w:p>
    <w:p w14:paraId="03F485FE" w14:textId="4BE73756" w:rsidR="008D3981" w:rsidRPr="00B2521E" w:rsidRDefault="008D3981" w:rsidP="008D3981">
      <w:pPr>
        <w:jc w:val="both"/>
        <w:rPr>
          <w:rFonts w:cstheme="minorHAnsi"/>
          <w:szCs w:val="22"/>
        </w:rPr>
      </w:pPr>
      <w:r>
        <w:t>10. The implementation of shadow economy combating measures increases changes in costs of construction materials and labour force. However, this effect is much more pronounced in terms of the effect on changes in labour costs, it is most affected by two shadow economy combating measures: the full implementation of the electronic system for registration of working hours, incl. transfer of data to SRS, and determination of the minimum wage level in the construction sector, using the general agreement. Unlike for the effect of shadow economy combating measures on changes in costs of labour force, some specific evidently the most important factor cannot be determined for changes in costs of construction materials due to similar average values in evaluations.</w:t>
      </w:r>
    </w:p>
    <w:p w14:paraId="56C50AC8" w14:textId="24CDAF59" w:rsidR="008D3981" w:rsidRPr="00B2521E" w:rsidRDefault="008D3981" w:rsidP="008D3981">
      <w:pPr>
        <w:jc w:val="both"/>
        <w:rPr>
          <w:rFonts w:cstheme="minorHAnsi"/>
          <w:szCs w:val="22"/>
        </w:rPr>
      </w:pPr>
      <w:r>
        <w:t xml:space="preserve">11. If we compare the forecasts of the study for 2019 with the study for 2018, the forecasts of increase in volumes of construction products have become considerably more cautious in the context of the entire </w:t>
      </w:r>
      <w:r>
        <w:lastRenderedPageBreak/>
        <w:t>period of the forecasts, and the increase in construction costs is therefore forecast at a lower level – the five-year annual average forecast for an increase in construction costs reduced from 4.3% to 2.1%.</w:t>
      </w:r>
    </w:p>
    <w:p w14:paraId="7329072C" w14:textId="77777777" w:rsidR="00C5262F" w:rsidRPr="00B2521E" w:rsidRDefault="00C5262F" w:rsidP="00D046E8">
      <w:pPr>
        <w:ind w:firstLine="851"/>
        <w:jc w:val="both"/>
        <w:rPr>
          <w:rFonts w:cstheme="minorHAnsi"/>
          <w:i/>
          <w:iCs/>
          <w:szCs w:val="22"/>
        </w:rPr>
      </w:pPr>
    </w:p>
    <w:p w14:paraId="3146F499" w14:textId="77777777" w:rsidR="0048102C" w:rsidRPr="00B2521E" w:rsidRDefault="0048102C" w:rsidP="00D046E8">
      <w:pPr>
        <w:ind w:firstLine="851"/>
        <w:jc w:val="both"/>
        <w:rPr>
          <w:i/>
          <w:iCs/>
          <w:szCs w:val="22"/>
        </w:rPr>
      </w:pPr>
      <w:r>
        <w:rPr>
          <w:i/>
          <w:iCs/>
          <w:szCs w:val="22"/>
        </w:rPr>
        <w:t xml:space="preserve">The study cannot be duplicated, transferred, rewritten, stored in an electronic search system or translated into another language without a prior consent from </w:t>
      </w:r>
      <w:proofErr w:type="spellStart"/>
      <w:r>
        <w:rPr>
          <w:i/>
          <w:iCs/>
          <w:szCs w:val="22"/>
        </w:rPr>
        <w:t>MoE</w:t>
      </w:r>
      <w:proofErr w:type="spellEnd"/>
      <w:r>
        <w:rPr>
          <w:i/>
          <w:iCs/>
          <w:szCs w:val="22"/>
        </w:rPr>
        <w:t xml:space="preserve">. </w:t>
      </w:r>
    </w:p>
    <w:p w14:paraId="52410266" w14:textId="53FCBCC3" w:rsidR="00E8087D" w:rsidRPr="00B2521E" w:rsidRDefault="0048102C" w:rsidP="00895643">
      <w:pPr>
        <w:ind w:firstLine="851"/>
        <w:jc w:val="both"/>
        <w:rPr>
          <w:rFonts w:cstheme="minorHAnsi"/>
          <w:i/>
          <w:iCs/>
          <w:szCs w:val="22"/>
        </w:rPr>
      </w:pPr>
      <w:r>
        <w:rPr>
          <w:i/>
          <w:iCs/>
          <w:szCs w:val="22"/>
        </w:rPr>
        <w:t xml:space="preserve">It is not allowed to transform the content of the information included in the document. The information included in the document may be quoted providing a reference to the original document. </w:t>
      </w:r>
    </w:p>
    <w:p w14:paraId="4F834AE0" w14:textId="1B6B2702" w:rsidR="00536D32" w:rsidRPr="00B2521E" w:rsidRDefault="00536D32" w:rsidP="00B13164">
      <w:pPr>
        <w:jc w:val="both"/>
      </w:pPr>
    </w:p>
    <w:p w14:paraId="528348ED" w14:textId="21E2681F" w:rsidR="00556CFC" w:rsidRPr="00B2521E" w:rsidRDefault="00515FED" w:rsidP="00A35997">
      <w:pPr>
        <w:pStyle w:val="Heading1"/>
        <w:numPr>
          <w:ilvl w:val="0"/>
          <w:numId w:val="5"/>
        </w:numPr>
        <w:ind w:left="0" w:firstLine="0"/>
        <w:jc w:val="both"/>
        <w:rPr>
          <w:caps w:val="0"/>
          <w:sz w:val="30"/>
          <w:szCs w:val="30"/>
        </w:rPr>
      </w:pPr>
      <w:bookmarkStart w:id="16" w:name="_Toc18682395"/>
      <w:bookmarkStart w:id="17" w:name="_Hlk536008333"/>
      <w:r>
        <w:rPr>
          <w:caps w:val="0"/>
          <w:sz w:val="30"/>
          <w:szCs w:val="30"/>
        </w:rPr>
        <w:t>INTRODUCTION</w:t>
      </w:r>
      <w:bookmarkEnd w:id="16"/>
    </w:p>
    <w:p w14:paraId="4B5446CC" w14:textId="1E259D40" w:rsidR="00654420" w:rsidRPr="00B2521E" w:rsidRDefault="00654420" w:rsidP="00654420">
      <w:pPr>
        <w:ind w:firstLine="851"/>
        <w:jc w:val="both"/>
      </w:pPr>
      <w:bookmarkStart w:id="18" w:name="_Hlk776145"/>
      <w:r>
        <w:t>The study on expected changes in costs of labour force and construction materials in the construction sector in Latvia was carried out for the period from 1 January 2019 to 31 December 2020 and provides an evaluation of trends for the period from 1 January 2021 to 31 December 2023. This is the second study of such type and it is based on the methodology drafted for the study for 2018</w:t>
      </w:r>
      <w:r w:rsidRPr="00B2521E">
        <w:rPr>
          <w:rStyle w:val="FootnoteReference"/>
          <w:rFonts w:cstheme="minorHAnsi"/>
          <w:szCs w:val="22"/>
        </w:rPr>
        <w:footnoteReference w:id="2"/>
      </w:r>
      <w:r>
        <w:t xml:space="preserve">. Study of 2018 on expected changes in costs of labour force and construction materials in the construction sector in Latvia in the period from 2018 to 2022. </w:t>
      </w:r>
    </w:p>
    <w:p w14:paraId="38E6E481" w14:textId="06F118FB" w:rsidR="006E796A" w:rsidRPr="00B2521E" w:rsidRDefault="22E04E7E" w:rsidP="0010773A">
      <w:pPr>
        <w:ind w:firstLine="851"/>
        <w:jc w:val="both"/>
        <w:rPr>
          <w:szCs w:val="22"/>
        </w:rPr>
      </w:pPr>
      <w:r>
        <w:t xml:space="preserve">The study includes a detailed evaluation and forecasts on changes in total volumes of construction products and changes in costs and separately for the following subsectors of the construction industry – residential buildings, non-residential buildings, transport objects, underground main pipelines, complex structures in industrial manufacturing companies and construction of other civil engineering projects. </w:t>
      </w:r>
      <w:proofErr w:type="gramStart"/>
      <w:r>
        <w:t>And also</w:t>
      </w:r>
      <w:proofErr w:type="gramEnd"/>
      <w:r>
        <w:t xml:space="preserve"> a detailed evaluation and forecasts of types of resources: changes in costs of construction materials, wages of workers, changes in costs of maintenance and operation of machines and mechanisms, and designing (architecture, construction engineers, etc.). An evaluation and analysis of factors affecting changes in costs of labour force and construction materials, incl. the effect of shadow economy combating measures were also implemented during the study.</w:t>
      </w:r>
    </w:p>
    <w:p w14:paraId="3D2F30A8" w14:textId="04774E3F" w:rsidR="001F2426" w:rsidRPr="00B2521E" w:rsidRDefault="006E796A" w:rsidP="00654420">
      <w:pPr>
        <w:ind w:firstLine="851"/>
        <w:jc w:val="both"/>
      </w:pPr>
      <w:r>
        <w:t xml:space="preserve">CSB data and expert interviews with representatives of the construction industry and experts in subsectors of the construction industry were used as sources of information in the study. Forecasts of experts in macroeconomics were also included in the study for the evaluation of impact of general factors. The statistical trend analysis, expert interviews and combination of methods (see Figure No. 1) were also used as data acquisition methods in the study. </w:t>
      </w:r>
    </w:p>
    <w:p w14:paraId="19D91340" w14:textId="2CEF90DB" w:rsidR="004B6B6E" w:rsidRPr="00B2521E" w:rsidRDefault="00066F21" w:rsidP="00106A22">
      <w:pPr>
        <w:pStyle w:val="Caption"/>
      </w:pPr>
      <w:r>
        <w:rPr>
          <w:noProof/>
          <w:lang w:val="en-US"/>
        </w:rPr>
        <w:lastRenderedPageBreak/>
        <w:drawing>
          <wp:anchor distT="0" distB="0" distL="114300" distR="114300" simplePos="0" relativeHeight="251666432" behindDoc="0" locked="0" layoutInCell="1" allowOverlap="1" wp14:anchorId="2DB94027" wp14:editId="02BAE2EF">
            <wp:simplePos x="0" y="0"/>
            <wp:positionH relativeFrom="column">
              <wp:posOffset>451485</wp:posOffset>
            </wp:positionH>
            <wp:positionV relativeFrom="paragraph">
              <wp:posOffset>158750</wp:posOffset>
            </wp:positionV>
            <wp:extent cx="5486400" cy="3268980"/>
            <wp:effectExtent l="0" t="0" r="19050" b="7620"/>
            <wp:wrapSquare wrapText="bothSides"/>
            <wp:docPr id="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t xml:space="preserve">Figure No. </w:t>
      </w:r>
      <w:fldSimple w:instr=" SEQ Attēls \* ARABIC ">
        <w:r w:rsidR="00C86A08">
          <w:rPr>
            <w:noProof/>
          </w:rPr>
          <w:t>1</w:t>
        </w:r>
      </w:fldSimple>
      <w:r>
        <w:t>. Data acquisition methods used and their sequence</w:t>
      </w:r>
    </w:p>
    <w:p w14:paraId="2AE82E4A" w14:textId="77777777" w:rsidR="004B6B6E" w:rsidRPr="00B2521E" w:rsidRDefault="004B6B6E">
      <w:pPr>
        <w:spacing w:before="100" w:after="200" w:line="276" w:lineRule="auto"/>
        <w:rPr>
          <w:b/>
          <w:bCs/>
          <w:color w:val="1F4979"/>
          <w:sz w:val="20"/>
        </w:rPr>
      </w:pPr>
      <w:r>
        <w:br w:type="page"/>
      </w:r>
    </w:p>
    <w:p w14:paraId="617983C6" w14:textId="5632071C" w:rsidR="004B6B6E" w:rsidRPr="00B2521E" w:rsidRDefault="004D035D" w:rsidP="00B13164">
      <w:pPr>
        <w:jc w:val="center"/>
        <w:rPr>
          <w:rFonts w:cstheme="minorHAnsi"/>
          <w:sz w:val="20"/>
          <w:szCs w:val="22"/>
        </w:rPr>
      </w:pPr>
      <w:r>
        <w:rPr>
          <w:noProof/>
          <w:lang w:val="en-US"/>
        </w:rPr>
        <w:lastRenderedPageBreak/>
        <w:drawing>
          <wp:anchor distT="0" distB="0" distL="114300" distR="114300" simplePos="0" relativeHeight="251668480" behindDoc="0" locked="0" layoutInCell="1" allowOverlap="1" wp14:anchorId="619194D1" wp14:editId="5CE16124">
            <wp:simplePos x="0" y="0"/>
            <wp:positionH relativeFrom="column">
              <wp:posOffset>513715</wp:posOffset>
            </wp:positionH>
            <wp:positionV relativeFrom="paragraph">
              <wp:posOffset>213995</wp:posOffset>
            </wp:positionV>
            <wp:extent cx="5486400" cy="2387600"/>
            <wp:effectExtent l="0" t="38100" r="19050" b="0"/>
            <wp:wrapSquare wrapText="bothSides"/>
            <wp:docPr id="1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14:paraId="46DAE7D2" w14:textId="608B2C5E" w:rsidR="004B6B6E" w:rsidRPr="00B2521E" w:rsidRDefault="004B6B6E" w:rsidP="00B13164">
      <w:pPr>
        <w:jc w:val="center"/>
        <w:rPr>
          <w:rFonts w:cstheme="minorHAnsi"/>
          <w:sz w:val="20"/>
          <w:szCs w:val="22"/>
        </w:rPr>
      </w:pPr>
    </w:p>
    <w:p w14:paraId="26FE1E70" w14:textId="77777777" w:rsidR="004B6B6E" w:rsidRPr="00B2521E" w:rsidRDefault="004B6B6E" w:rsidP="00B13164">
      <w:pPr>
        <w:jc w:val="center"/>
        <w:rPr>
          <w:rFonts w:cstheme="minorHAnsi"/>
          <w:sz w:val="20"/>
          <w:szCs w:val="22"/>
        </w:rPr>
      </w:pPr>
    </w:p>
    <w:p w14:paraId="71D9AB8C" w14:textId="77777777" w:rsidR="004B6B6E" w:rsidRPr="00B2521E" w:rsidRDefault="004B6B6E" w:rsidP="00B13164">
      <w:pPr>
        <w:jc w:val="center"/>
        <w:rPr>
          <w:rFonts w:cstheme="minorHAnsi"/>
          <w:sz w:val="20"/>
          <w:szCs w:val="22"/>
        </w:rPr>
      </w:pPr>
    </w:p>
    <w:p w14:paraId="2B294815" w14:textId="77777777" w:rsidR="004B6B6E" w:rsidRPr="00B2521E" w:rsidRDefault="004B6B6E" w:rsidP="00B13164">
      <w:pPr>
        <w:jc w:val="center"/>
        <w:rPr>
          <w:rFonts w:cstheme="minorHAnsi"/>
          <w:sz w:val="20"/>
          <w:szCs w:val="22"/>
        </w:rPr>
      </w:pPr>
    </w:p>
    <w:p w14:paraId="6299B7F3" w14:textId="77777777" w:rsidR="004B6B6E" w:rsidRPr="00B2521E" w:rsidRDefault="004B6B6E" w:rsidP="00B13164">
      <w:pPr>
        <w:jc w:val="center"/>
        <w:rPr>
          <w:rFonts w:cstheme="minorHAnsi"/>
          <w:sz w:val="20"/>
          <w:szCs w:val="22"/>
        </w:rPr>
      </w:pPr>
    </w:p>
    <w:p w14:paraId="3D9DFF44" w14:textId="77777777" w:rsidR="004B6B6E" w:rsidRPr="00B2521E" w:rsidRDefault="004B6B6E" w:rsidP="00B13164">
      <w:pPr>
        <w:jc w:val="center"/>
        <w:rPr>
          <w:rFonts w:cstheme="minorHAnsi"/>
          <w:sz w:val="20"/>
          <w:szCs w:val="22"/>
        </w:rPr>
      </w:pPr>
    </w:p>
    <w:p w14:paraId="26019706" w14:textId="77777777" w:rsidR="004B6B6E" w:rsidRPr="00B2521E" w:rsidRDefault="004B6B6E" w:rsidP="00B13164">
      <w:pPr>
        <w:jc w:val="center"/>
        <w:rPr>
          <w:rFonts w:cstheme="minorHAnsi"/>
          <w:sz w:val="20"/>
          <w:szCs w:val="22"/>
        </w:rPr>
      </w:pPr>
    </w:p>
    <w:p w14:paraId="21CED3F6" w14:textId="77777777" w:rsidR="004B6B6E" w:rsidRPr="00B2521E" w:rsidRDefault="004B6B6E" w:rsidP="00B13164">
      <w:pPr>
        <w:jc w:val="center"/>
        <w:rPr>
          <w:rFonts w:cstheme="minorHAnsi"/>
          <w:sz w:val="20"/>
          <w:szCs w:val="22"/>
        </w:rPr>
      </w:pPr>
    </w:p>
    <w:p w14:paraId="05FD7A00" w14:textId="77777777" w:rsidR="004B6B6E" w:rsidRPr="00B2521E" w:rsidRDefault="004B6B6E" w:rsidP="00B13164">
      <w:pPr>
        <w:jc w:val="center"/>
        <w:rPr>
          <w:rFonts w:cstheme="minorHAnsi"/>
          <w:sz w:val="20"/>
          <w:szCs w:val="22"/>
        </w:rPr>
      </w:pPr>
    </w:p>
    <w:p w14:paraId="2F5C1FDF" w14:textId="11C9B74D" w:rsidR="004B6B6E" w:rsidRPr="00B2521E" w:rsidRDefault="004B6B6E" w:rsidP="00B13164">
      <w:pPr>
        <w:jc w:val="center"/>
        <w:rPr>
          <w:rFonts w:cstheme="minorHAnsi"/>
          <w:sz w:val="20"/>
          <w:szCs w:val="22"/>
        </w:rPr>
      </w:pPr>
    </w:p>
    <w:p w14:paraId="0289ACFD" w14:textId="77777777" w:rsidR="00EF1B5A" w:rsidRPr="00B2521E" w:rsidRDefault="00EF1B5A" w:rsidP="00B13164">
      <w:pPr>
        <w:jc w:val="center"/>
        <w:rPr>
          <w:rFonts w:cstheme="minorHAnsi"/>
          <w:sz w:val="20"/>
          <w:szCs w:val="22"/>
        </w:rPr>
      </w:pPr>
    </w:p>
    <w:p w14:paraId="7FF0DF6E" w14:textId="42DD98EE" w:rsidR="00EF1B5A" w:rsidRPr="00B2521E" w:rsidRDefault="00FD7008" w:rsidP="00B13164">
      <w:pPr>
        <w:jc w:val="center"/>
        <w:rPr>
          <w:rFonts w:cstheme="minorHAnsi"/>
          <w:sz w:val="20"/>
          <w:szCs w:val="22"/>
        </w:rPr>
      </w:pPr>
      <w:r w:rsidRPr="00FD7008">
        <w:rPr>
          <w:noProof/>
          <w:lang w:val="en-US"/>
        </w:rPr>
        <w:drawing>
          <wp:inline distT="0" distB="0" distL="0" distR="0" wp14:anchorId="4A40B2DC" wp14:editId="6FE70411">
            <wp:extent cx="5939790" cy="2276475"/>
            <wp:effectExtent l="0" t="0" r="3810" b="9525"/>
            <wp:docPr id="1006675223" name="Picture 100667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2276475"/>
                    </a:xfrm>
                    <a:prstGeom prst="rect">
                      <a:avLst/>
                    </a:prstGeom>
                  </pic:spPr>
                </pic:pic>
              </a:graphicData>
            </a:graphic>
          </wp:inline>
        </w:drawing>
      </w:r>
    </w:p>
    <w:p w14:paraId="358D88E6" w14:textId="3D0F3D6B" w:rsidR="00EF1B5A" w:rsidRDefault="00EF1B5A" w:rsidP="00EF1B5A">
      <w:pPr>
        <w:jc w:val="center"/>
        <w:rPr>
          <w:sz w:val="20"/>
          <w:szCs w:val="22"/>
        </w:rPr>
      </w:pPr>
      <w:r>
        <w:rPr>
          <w:sz w:val="20"/>
          <w:szCs w:val="22"/>
        </w:rPr>
        <w:t>Source: created by the authors</w:t>
      </w:r>
    </w:p>
    <w:p w14:paraId="7F6C3048" w14:textId="77777777" w:rsidR="00D22E7B" w:rsidRPr="00B2521E" w:rsidRDefault="00D22E7B" w:rsidP="00EF1B5A">
      <w:pPr>
        <w:jc w:val="center"/>
        <w:rPr>
          <w:rFonts w:cstheme="minorHAnsi"/>
          <w:sz w:val="20"/>
          <w:szCs w:val="22"/>
        </w:rPr>
      </w:pPr>
    </w:p>
    <w:p w14:paraId="45B669CB" w14:textId="4F6A525B" w:rsidR="00B13164" w:rsidRPr="00B2521E" w:rsidRDefault="00066F21" w:rsidP="00066F21">
      <w:pPr>
        <w:ind w:firstLine="851"/>
        <w:jc w:val="both"/>
      </w:pPr>
      <w:proofErr w:type="gramStart"/>
      <w:r>
        <w:t>At the beginning of the report forecasts of changes in total costs across the sector are analysed and described paying special attention to the factors influencing changes in costs of labour force and construction materials, forecasts of changes in the volume and costs of construction products, as well as the impact of the volume of construction products on changes in costs and the industry average profit margin.</w:t>
      </w:r>
      <w:proofErr w:type="gramEnd"/>
      <w:r>
        <w:t xml:space="preserve"> Further analysis is broken down by construction subsectors and types of resources. </w:t>
      </w:r>
    </w:p>
    <w:p w14:paraId="560083AD" w14:textId="1C8AC5DE" w:rsidR="00047B16" w:rsidRPr="00B2521E" w:rsidRDefault="00047B16" w:rsidP="00066F21">
      <w:pPr>
        <w:ind w:firstLine="851"/>
        <w:jc w:val="both"/>
      </w:pPr>
      <w:r>
        <w:t xml:space="preserve">The obtained results show accurate values of forecast changes in construction costs, however the interpretation of results should take into account that the obtained results are more likely an indication of general trends and may change in practice depending on actual progress of large construction projects, market response to changes in construction volume and a number of other factors, which cannot be forecast accurately. </w:t>
      </w:r>
    </w:p>
    <w:p w14:paraId="7088A6A1" w14:textId="456D65D9" w:rsidR="00D91DBE" w:rsidRPr="00B2521E" w:rsidRDefault="00D91DBE" w:rsidP="00066F21">
      <w:pPr>
        <w:ind w:firstLine="851"/>
        <w:jc w:val="both"/>
      </w:pPr>
    </w:p>
    <w:p w14:paraId="10E91D50" w14:textId="5A16339E" w:rsidR="00D91DBE" w:rsidRPr="00B2521E" w:rsidRDefault="00D91DBE" w:rsidP="00066F21">
      <w:pPr>
        <w:ind w:firstLine="851"/>
        <w:jc w:val="both"/>
      </w:pPr>
    </w:p>
    <w:p w14:paraId="20C71F06" w14:textId="11FDEEDE" w:rsidR="00D91DBE" w:rsidRPr="00B2521E" w:rsidRDefault="00D91DBE" w:rsidP="00066F21">
      <w:pPr>
        <w:ind w:firstLine="851"/>
        <w:jc w:val="both"/>
      </w:pPr>
    </w:p>
    <w:p w14:paraId="55C16B47" w14:textId="783D5835" w:rsidR="00D91DBE" w:rsidRPr="00B2521E" w:rsidRDefault="00D91DBE" w:rsidP="00066F21">
      <w:pPr>
        <w:ind w:firstLine="851"/>
        <w:jc w:val="both"/>
      </w:pPr>
    </w:p>
    <w:p w14:paraId="646DEC27" w14:textId="68097A98" w:rsidR="00D91DBE" w:rsidRPr="00B2521E" w:rsidRDefault="00D91DBE" w:rsidP="00066F21">
      <w:pPr>
        <w:ind w:firstLine="851"/>
        <w:jc w:val="both"/>
      </w:pPr>
    </w:p>
    <w:p w14:paraId="4EB0FEAC" w14:textId="7726E413" w:rsidR="00D91DBE" w:rsidRPr="00B2521E" w:rsidRDefault="00D91DBE" w:rsidP="00066F21">
      <w:pPr>
        <w:ind w:firstLine="851"/>
        <w:jc w:val="both"/>
      </w:pPr>
    </w:p>
    <w:p w14:paraId="7EE6CA91" w14:textId="40F6DBC1" w:rsidR="00515FED" w:rsidRPr="00B2521E" w:rsidRDefault="00515FED" w:rsidP="00515FED">
      <w:pPr>
        <w:pStyle w:val="Heading1"/>
        <w:numPr>
          <w:ilvl w:val="0"/>
          <w:numId w:val="5"/>
        </w:numPr>
        <w:ind w:left="0" w:firstLine="0"/>
        <w:jc w:val="both"/>
        <w:rPr>
          <w:caps w:val="0"/>
          <w:sz w:val="30"/>
          <w:szCs w:val="30"/>
        </w:rPr>
      </w:pPr>
      <w:bookmarkStart w:id="19" w:name="_Toc13492534"/>
      <w:bookmarkStart w:id="20" w:name="_Toc13574574"/>
      <w:bookmarkStart w:id="21" w:name="_Toc13576361"/>
      <w:bookmarkStart w:id="22" w:name="_Toc13580114"/>
      <w:bookmarkStart w:id="23" w:name="_Toc13673296"/>
      <w:bookmarkStart w:id="24" w:name="_Toc13673612"/>
      <w:bookmarkStart w:id="25" w:name="_Toc13492535"/>
      <w:bookmarkStart w:id="26" w:name="_Toc13574575"/>
      <w:bookmarkStart w:id="27" w:name="_Toc13576362"/>
      <w:bookmarkStart w:id="28" w:name="_Toc13580115"/>
      <w:bookmarkStart w:id="29" w:name="_Toc13673297"/>
      <w:bookmarkStart w:id="30" w:name="_Toc13673613"/>
      <w:bookmarkStart w:id="31" w:name="_Toc13492536"/>
      <w:bookmarkStart w:id="32" w:name="_Toc13574576"/>
      <w:bookmarkStart w:id="33" w:name="_Toc13576363"/>
      <w:bookmarkStart w:id="34" w:name="_Toc13580116"/>
      <w:bookmarkStart w:id="35" w:name="_Toc13673298"/>
      <w:bookmarkStart w:id="36" w:name="_Toc13673614"/>
      <w:bookmarkStart w:id="37" w:name="_Toc13492537"/>
      <w:bookmarkStart w:id="38" w:name="_Toc13574577"/>
      <w:bookmarkStart w:id="39" w:name="_Toc13576364"/>
      <w:bookmarkStart w:id="40" w:name="_Toc13580117"/>
      <w:bookmarkStart w:id="41" w:name="_Toc13673299"/>
      <w:bookmarkStart w:id="42" w:name="_Toc13673615"/>
      <w:bookmarkStart w:id="43" w:name="_Toc13492538"/>
      <w:bookmarkStart w:id="44" w:name="_Toc13574578"/>
      <w:bookmarkStart w:id="45" w:name="_Toc13576365"/>
      <w:bookmarkStart w:id="46" w:name="_Toc13580118"/>
      <w:bookmarkStart w:id="47" w:name="_Toc13673300"/>
      <w:bookmarkStart w:id="48" w:name="_Toc13673616"/>
      <w:bookmarkStart w:id="49" w:name="_Toc13492539"/>
      <w:bookmarkStart w:id="50" w:name="_Toc13574579"/>
      <w:bookmarkStart w:id="51" w:name="_Toc13576366"/>
      <w:bookmarkStart w:id="52" w:name="_Toc13580119"/>
      <w:bookmarkStart w:id="53" w:name="_Toc13673301"/>
      <w:bookmarkStart w:id="54" w:name="_Toc13673617"/>
      <w:bookmarkStart w:id="55" w:name="_Toc1868239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caps w:val="0"/>
          <w:sz w:val="30"/>
          <w:szCs w:val="30"/>
        </w:rPr>
        <w:lastRenderedPageBreak/>
        <w:t>GENERAL FORECASTS OF CHANGES IN THE VOLUME AND COSTS OF CONSTRUCTION PRODUCTS</w:t>
      </w:r>
      <w:bookmarkEnd w:id="55"/>
    </w:p>
    <w:p w14:paraId="0F5AB77D" w14:textId="0E9A06A2" w:rsidR="000E0072" w:rsidRPr="00B2521E" w:rsidRDefault="00F70523" w:rsidP="00AE5D75">
      <w:pPr>
        <w:pStyle w:val="Heading2"/>
      </w:pPr>
      <w:bookmarkStart w:id="56" w:name="_Toc13475933"/>
      <w:bookmarkStart w:id="57" w:name="_Toc13492541"/>
      <w:bookmarkStart w:id="58" w:name="_Toc13574581"/>
      <w:bookmarkStart w:id="59" w:name="_Toc13576368"/>
      <w:bookmarkStart w:id="60" w:name="_Toc13580121"/>
      <w:bookmarkStart w:id="61" w:name="_Toc13673303"/>
      <w:bookmarkStart w:id="62" w:name="_Toc13673619"/>
      <w:bookmarkStart w:id="63" w:name="_Toc18682397"/>
      <w:bookmarkEnd w:id="18"/>
      <w:bookmarkEnd w:id="56"/>
      <w:bookmarkEnd w:id="57"/>
      <w:bookmarkEnd w:id="58"/>
      <w:bookmarkEnd w:id="59"/>
      <w:bookmarkEnd w:id="60"/>
      <w:bookmarkEnd w:id="61"/>
      <w:bookmarkEnd w:id="62"/>
      <w:r>
        <w:t>Forecasts of changes in the total volume of construction products</w:t>
      </w:r>
      <w:bookmarkStart w:id="64" w:name="_Hlk536008099"/>
      <w:bookmarkEnd w:id="63"/>
    </w:p>
    <w:p w14:paraId="5ED6E69E" w14:textId="03235933" w:rsidR="00AA6075" w:rsidRPr="00B2521E" w:rsidRDefault="008F18FA" w:rsidP="00CD203D">
      <w:pPr>
        <w:ind w:firstLine="851"/>
        <w:jc w:val="both"/>
        <w:rPr>
          <w:rStyle w:val="st"/>
        </w:rPr>
      </w:pPr>
      <w:bookmarkStart w:id="65" w:name="_Hlk536008167"/>
      <w:bookmarkStart w:id="66" w:name="_Hlk536008129"/>
      <w:r>
        <w:rPr>
          <w:rStyle w:val="st"/>
        </w:rPr>
        <w:t>In accordance with the results of analysis of the factors affecting changes in costs and statistical data, changes in construction costs are largely affected by the demand for the volume of construction products and the sold volume/supply, to which market prices respond, therefore, it is important to identify potential trends and fluctuations in volume. The drop in volumes of construction products in 2016 (-16.60% compared to the previous year) was followed by a rapid increase in 2017 (18.71% compared to the previous year) and in 2018 (21.82% compared to the previous year).</w:t>
      </w:r>
      <w:r w:rsidR="00AA6075" w:rsidRPr="00B2521E">
        <w:rPr>
          <w:rStyle w:val="FootnoteReference"/>
        </w:rPr>
        <w:footnoteReference w:id="3"/>
      </w:r>
      <w:r>
        <w:rPr>
          <w:rStyle w:val="st"/>
        </w:rPr>
        <w:t xml:space="preserve"> The main reason of the increase was an increase in the volume of EU funds construction projects.</w:t>
      </w:r>
      <w:r w:rsidR="00AA6075" w:rsidRPr="00B2521E">
        <w:rPr>
          <w:rStyle w:val="FootnoteReference"/>
        </w:rPr>
        <w:footnoteReference w:id="4"/>
      </w:r>
      <w:r>
        <w:rPr>
          <w:rStyle w:val="st"/>
        </w:rPr>
        <w:t xml:space="preserve"> </w:t>
      </w:r>
    </w:p>
    <w:p w14:paraId="1ED79D9C" w14:textId="6A6A4E64" w:rsidR="00CE1763" w:rsidRPr="00B2521E" w:rsidRDefault="006811AC" w:rsidP="00895643">
      <w:pPr>
        <w:spacing w:before="100" w:after="200" w:line="276" w:lineRule="auto"/>
        <w:ind w:firstLine="851"/>
        <w:jc w:val="both"/>
        <w:rPr>
          <w:rStyle w:val="st"/>
        </w:rPr>
      </w:pPr>
      <w:r>
        <w:rPr>
          <w:rStyle w:val="st"/>
        </w:rPr>
        <w:t>Summary of industry expert evaluations</w:t>
      </w:r>
      <w:r w:rsidR="00AA1591" w:rsidRPr="00B2521E">
        <w:rPr>
          <w:rStyle w:val="FootnoteReference"/>
        </w:rPr>
        <w:footnoteReference w:id="5"/>
      </w:r>
      <w:r>
        <w:rPr>
          <w:rStyle w:val="st"/>
        </w:rPr>
        <w:t xml:space="preserve"> show that an increase in volumes of construction products is expected in 2019 – 2021 cumulatively reaching 38% compared to the level of 2018. Rather significant differences in evaluations of different experts are observed, however, the average evaluation shows that the volume of construction </w:t>
      </w:r>
      <w:r>
        <w:t>products</w:t>
      </w:r>
      <w:r>
        <w:rPr>
          <w:rStyle w:val="st"/>
        </w:rPr>
        <w:t xml:space="preserve"> will remain almost unchanged after 2021 (see Figure No.2). </w:t>
      </w:r>
    </w:p>
    <w:p w14:paraId="0EE1950D" w14:textId="3EAF8B1B" w:rsidR="00E51A20" w:rsidRPr="00B2521E" w:rsidRDefault="00E51A20" w:rsidP="00B13164">
      <w:pPr>
        <w:jc w:val="center"/>
        <w:rPr>
          <w:b/>
          <w:sz w:val="20"/>
        </w:rPr>
      </w:pPr>
      <w:bookmarkStart w:id="67" w:name="_Hlk10810290"/>
      <w:r>
        <w:rPr>
          <w:b/>
          <w:sz w:val="20"/>
        </w:rPr>
        <w:t>Figure No. 2. Changes in volumes of construction products before 2018 and forecasts from 2019 to 2023</w:t>
      </w:r>
      <w:bookmarkEnd w:id="67"/>
      <w:r>
        <w:rPr>
          <w:b/>
          <w:sz w:val="20"/>
        </w:rPr>
        <w:t>, cumulative changes compared to 2018, %</w:t>
      </w:r>
    </w:p>
    <w:p w14:paraId="6F785D61" w14:textId="6E5A8FDB" w:rsidR="00BE3152" w:rsidRPr="00B2521E" w:rsidRDefault="00D07810" w:rsidP="00B13164">
      <w:pPr>
        <w:jc w:val="center"/>
        <w:rPr>
          <w:bCs/>
          <w:sz w:val="20"/>
        </w:rPr>
      </w:pPr>
      <w:r w:rsidRPr="00D07810">
        <w:rPr>
          <w:noProof/>
          <w:lang w:val="en-US"/>
        </w:rPr>
        <w:drawing>
          <wp:inline distT="0" distB="0" distL="0" distR="0" wp14:anchorId="234DB6AD" wp14:editId="32A584E9">
            <wp:extent cx="5301635" cy="384898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47396" cy="3882208"/>
                    </a:xfrm>
                    <a:prstGeom prst="rect">
                      <a:avLst/>
                    </a:prstGeom>
                  </pic:spPr>
                </pic:pic>
              </a:graphicData>
            </a:graphic>
          </wp:inline>
        </w:drawing>
      </w:r>
    </w:p>
    <w:p w14:paraId="64B287C8" w14:textId="6FDB9CD7" w:rsidR="00DA58EF" w:rsidRDefault="00E51A20">
      <w:pPr>
        <w:jc w:val="center"/>
        <w:rPr>
          <w:sz w:val="20"/>
        </w:rPr>
      </w:pPr>
      <w:r>
        <w:rPr>
          <w:sz w:val="20"/>
        </w:rPr>
        <w:t xml:space="preserve">Source: </w:t>
      </w:r>
      <w:bookmarkStart w:id="68" w:name="_Hlk10810282"/>
      <w:r>
        <w:rPr>
          <w:sz w:val="20"/>
        </w:rPr>
        <w:t>CSB historical data before 2018 (inclusive) and calculations made by authors, based on expert evaluations and results of the drafted statistical trend – forecast for 2019-2023</w:t>
      </w:r>
      <w:bookmarkEnd w:id="68"/>
    </w:p>
    <w:p w14:paraId="22CDD462" w14:textId="77777777" w:rsidR="001C0061" w:rsidRPr="00B2521E" w:rsidRDefault="001C0061" w:rsidP="001C0061">
      <w:pPr>
        <w:ind w:firstLine="851"/>
        <w:jc w:val="both"/>
        <w:rPr>
          <w:rStyle w:val="st"/>
        </w:rPr>
      </w:pPr>
      <w:r>
        <w:rPr>
          <w:rStyle w:val="st"/>
        </w:rPr>
        <w:lastRenderedPageBreak/>
        <w:t xml:space="preserve">The statistical trend, which </w:t>
      </w:r>
      <w:proofErr w:type="gramStart"/>
      <w:r>
        <w:rPr>
          <w:rStyle w:val="st"/>
        </w:rPr>
        <w:t>is based</w:t>
      </w:r>
      <w:proofErr w:type="gramEnd"/>
      <w:r>
        <w:rPr>
          <w:rStyle w:val="st"/>
        </w:rPr>
        <w:t xml:space="preserve"> on a cyclic behaviour model, since 2010, therefore without taking into account the economic crisis decline effect, shows that a decline in volume similar to that expected in 2016 is possible in 2022. However, the total volume of construction </w:t>
      </w:r>
      <w:r>
        <w:t>products</w:t>
      </w:r>
      <w:r>
        <w:rPr>
          <w:rStyle w:val="st"/>
        </w:rPr>
        <w:t xml:space="preserve"> within the scope of this model event in the lowest point would be 7.8% of the volume of 2018 in 2022. </w:t>
      </w:r>
    </w:p>
    <w:p w14:paraId="38CA1573" w14:textId="2D7C38C0" w:rsidR="00F75DC7" w:rsidRPr="00B2521E" w:rsidRDefault="22E04E7E" w:rsidP="22E04E7E">
      <w:pPr>
        <w:ind w:firstLine="851"/>
        <w:jc w:val="both"/>
        <w:rPr>
          <w:rStyle w:val="st"/>
        </w:rPr>
      </w:pPr>
      <w:r>
        <w:rPr>
          <w:rStyle w:val="st"/>
        </w:rPr>
        <w:t xml:space="preserve">When comparing both data sources of forecasts, it </w:t>
      </w:r>
      <w:proofErr w:type="gramStart"/>
      <w:r>
        <w:rPr>
          <w:rStyle w:val="st"/>
        </w:rPr>
        <w:t>can be concluded</w:t>
      </w:r>
      <w:proofErr w:type="gramEnd"/>
      <w:r>
        <w:rPr>
          <w:rStyle w:val="st"/>
        </w:rPr>
        <w:t xml:space="preserve"> that the vision of experts is more optimistic and this may be related to the real understanding of the demand, however, the experience of rapid increase of recent years may have caused exaggerated optimism. The statistical model indicates the risk of a drop, which would occur, if, as the volume of public construction procurement shrinks, the market is not sufficiently flexible to respond with a drop in prices, and thus private demand would not replace public demand, as well as to a situation, when in the first years of a EU funds programming period construction projects are not yet implemented in practice on a significant scale.</w:t>
      </w:r>
    </w:p>
    <w:p w14:paraId="3B542422" w14:textId="21125391" w:rsidR="000B416B" w:rsidRPr="00B2521E" w:rsidRDefault="000B416B" w:rsidP="000B416B">
      <w:pPr>
        <w:ind w:firstLine="851"/>
        <w:jc w:val="both"/>
        <w:rPr>
          <w:rStyle w:val="st"/>
        </w:rPr>
      </w:pPr>
      <w:r>
        <w:t>Therefore, the approach defined in the methodology to take into account data from both sources is considered justified, and the combined forecast form as an arithmetic mean value of data from both sources shows an increase in each year within the forecast period except 2022 (see Table No. 1).</w:t>
      </w:r>
    </w:p>
    <w:p w14:paraId="1DC08CE9" w14:textId="5D9DA9AE" w:rsidR="00DA58EF" w:rsidRPr="00B2521E" w:rsidRDefault="00DA58EF" w:rsidP="00DA58EF">
      <w:pPr>
        <w:jc w:val="center"/>
        <w:rPr>
          <w:b/>
          <w:bCs/>
          <w:sz w:val="20"/>
        </w:rPr>
      </w:pPr>
      <w:r>
        <w:rPr>
          <w:b/>
          <w:bCs/>
          <w:sz w:val="20"/>
        </w:rPr>
        <w:t>Table No. 1. Combined forecast –</w:t>
      </w:r>
      <w:r>
        <w:rPr>
          <w:b/>
          <w:bCs/>
        </w:rPr>
        <w:t xml:space="preserve"> </w:t>
      </w:r>
      <w:r>
        <w:rPr>
          <w:b/>
          <w:bCs/>
          <w:sz w:val="20"/>
        </w:rPr>
        <w:t xml:space="preserve">changes in the </w:t>
      </w:r>
      <w:r>
        <w:rPr>
          <w:b/>
          <w:bCs/>
          <w:sz w:val="20"/>
          <w:u w:val="single"/>
        </w:rPr>
        <w:t>volume</w:t>
      </w:r>
      <w:r>
        <w:rPr>
          <w:b/>
          <w:bCs/>
          <w:sz w:val="20"/>
        </w:rPr>
        <w:t xml:space="preserve"> of construction products compared to the previous year, %</w:t>
      </w:r>
    </w:p>
    <w:tbl>
      <w:tblPr>
        <w:tblStyle w:val="PlainTable1"/>
        <w:tblW w:w="8964" w:type="dxa"/>
        <w:jc w:val="center"/>
        <w:tblLook w:val="04A0" w:firstRow="1" w:lastRow="0" w:firstColumn="1" w:lastColumn="0" w:noHBand="0" w:noVBand="1"/>
      </w:tblPr>
      <w:tblGrid>
        <w:gridCol w:w="2549"/>
        <w:gridCol w:w="1283"/>
        <w:gridCol w:w="1283"/>
        <w:gridCol w:w="1283"/>
        <w:gridCol w:w="1283"/>
        <w:gridCol w:w="1283"/>
      </w:tblGrid>
      <w:tr w:rsidR="00DA58EF" w:rsidRPr="00B2521E" w14:paraId="4A09A31D" w14:textId="77777777" w:rsidTr="00D91DB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7EEA832F" w14:textId="77777777" w:rsidR="00DA58EF" w:rsidRPr="00B2521E" w:rsidRDefault="00DA58EF" w:rsidP="00D91DBE">
            <w:pPr>
              <w:spacing w:before="0" w:after="0"/>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Year</w:t>
            </w:r>
          </w:p>
        </w:tc>
        <w:tc>
          <w:tcPr>
            <w:tcW w:w="0" w:type="dxa"/>
            <w:shd w:val="clear" w:color="auto" w:fill="1F3864"/>
            <w:vAlign w:val="center"/>
          </w:tcPr>
          <w:p w14:paraId="05B7994A" w14:textId="77777777" w:rsidR="00DA58EF" w:rsidRPr="00B2521E"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2019</w:t>
            </w:r>
          </w:p>
        </w:tc>
        <w:tc>
          <w:tcPr>
            <w:tcW w:w="0" w:type="dxa"/>
            <w:shd w:val="clear" w:color="auto" w:fill="1F3864"/>
            <w:vAlign w:val="center"/>
          </w:tcPr>
          <w:p w14:paraId="6F805F0E" w14:textId="77777777" w:rsidR="00DA58EF" w:rsidRPr="00B2521E"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2020</w:t>
            </w:r>
          </w:p>
        </w:tc>
        <w:tc>
          <w:tcPr>
            <w:tcW w:w="0" w:type="dxa"/>
            <w:shd w:val="clear" w:color="auto" w:fill="1F3864"/>
            <w:vAlign w:val="center"/>
          </w:tcPr>
          <w:p w14:paraId="2ACB9E9D" w14:textId="77777777" w:rsidR="00DA58EF" w:rsidRPr="00B2521E"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2021</w:t>
            </w:r>
          </w:p>
        </w:tc>
        <w:tc>
          <w:tcPr>
            <w:tcW w:w="0" w:type="dxa"/>
            <w:shd w:val="clear" w:color="auto" w:fill="1F3864"/>
            <w:vAlign w:val="center"/>
          </w:tcPr>
          <w:p w14:paraId="6090B0B2" w14:textId="77777777" w:rsidR="00DA58EF" w:rsidRPr="00B2521E"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2022</w:t>
            </w:r>
          </w:p>
        </w:tc>
        <w:tc>
          <w:tcPr>
            <w:tcW w:w="0" w:type="dxa"/>
            <w:shd w:val="clear" w:color="auto" w:fill="1F3864"/>
            <w:vAlign w:val="center"/>
          </w:tcPr>
          <w:p w14:paraId="29D77754" w14:textId="77777777" w:rsidR="00DA58EF" w:rsidRPr="00B2521E"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2023</w:t>
            </w:r>
          </w:p>
        </w:tc>
      </w:tr>
      <w:tr w:rsidR="00DA58EF" w:rsidRPr="00B2521E" w14:paraId="4B8DAE7B" w14:textId="77777777" w:rsidTr="00D91DB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6EC361F4" w14:textId="5A737E31" w:rsidR="00DA58EF" w:rsidRPr="00B2521E" w:rsidRDefault="00CF05E4" w:rsidP="00D91DBE">
            <w:pPr>
              <w:spacing w:before="0" w:after="0"/>
              <w:rPr>
                <w:rFonts w:eastAsia="Times New Roman" w:cstheme="minorHAnsi"/>
                <w:b w:val="0"/>
                <w:bCs w:val="0"/>
                <w:color w:val="000000"/>
                <w:sz w:val="18"/>
                <w:szCs w:val="16"/>
              </w:rPr>
            </w:pPr>
            <w:r>
              <w:rPr>
                <w:rFonts w:ascii="Calibri" w:hAnsi="Calibri"/>
                <w:color w:val="000000"/>
                <w:sz w:val="18"/>
                <w:szCs w:val="16"/>
              </w:rPr>
              <w:t>Changes in the volume of construction products compared to the previous year, %</w:t>
            </w:r>
          </w:p>
        </w:tc>
        <w:tc>
          <w:tcPr>
            <w:tcW w:w="0" w:type="dxa"/>
            <w:noWrap/>
            <w:vAlign w:val="center"/>
          </w:tcPr>
          <w:p w14:paraId="5891C659" w14:textId="10B6A265" w:rsidR="00DA58EF" w:rsidRPr="00B2521E" w:rsidRDefault="00DA58EF"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rPr>
            </w:pPr>
            <w:r>
              <w:rPr>
                <w:sz w:val="18"/>
                <w:szCs w:val="16"/>
              </w:rPr>
              <w:t>12.5</w:t>
            </w:r>
          </w:p>
        </w:tc>
        <w:tc>
          <w:tcPr>
            <w:tcW w:w="0" w:type="dxa"/>
            <w:vAlign w:val="center"/>
          </w:tcPr>
          <w:p w14:paraId="6B733625" w14:textId="51DECA3E" w:rsidR="00DA58EF" w:rsidRPr="00B2521E"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rPr>
            </w:pPr>
            <w:r>
              <w:rPr>
                <w:color w:val="000000"/>
                <w:sz w:val="18"/>
                <w:szCs w:val="16"/>
              </w:rPr>
              <w:t>14.8</w:t>
            </w:r>
          </w:p>
        </w:tc>
        <w:tc>
          <w:tcPr>
            <w:tcW w:w="0" w:type="dxa"/>
            <w:noWrap/>
            <w:vAlign w:val="center"/>
          </w:tcPr>
          <w:p w14:paraId="3DF12646" w14:textId="66F8FE1D" w:rsidR="00DA58EF" w:rsidRPr="00B2521E"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rPr>
            </w:pPr>
            <w:r>
              <w:rPr>
                <w:sz w:val="18"/>
                <w:szCs w:val="16"/>
              </w:rPr>
              <w:t>4.1</w:t>
            </w:r>
          </w:p>
        </w:tc>
        <w:tc>
          <w:tcPr>
            <w:tcW w:w="0" w:type="dxa"/>
            <w:noWrap/>
            <w:vAlign w:val="center"/>
          </w:tcPr>
          <w:p w14:paraId="67561695" w14:textId="3D98E128" w:rsidR="00DA58EF" w:rsidRPr="00B2521E" w:rsidRDefault="00DA58EF"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rPr>
            </w:pPr>
            <w:r>
              <w:rPr>
                <w:sz w:val="18"/>
                <w:szCs w:val="16"/>
              </w:rPr>
              <w:t>-9.2</w:t>
            </w:r>
          </w:p>
        </w:tc>
        <w:tc>
          <w:tcPr>
            <w:tcW w:w="0" w:type="dxa"/>
            <w:noWrap/>
            <w:vAlign w:val="center"/>
          </w:tcPr>
          <w:p w14:paraId="6CAD3315" w14:textId="77BB864E" w:rsidR="00DA58EF" w:rsidRPr="00B2521E"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rPr>
            </w:pPr>
            <w:r>
              <w:rPr>
                <w:color w:val="000000"/>
                <w:sz w:val="18"/>
                <w:szCs w:val="16"/>
              </w:rPr>
              <w:t>2.2</w:t>
            </w:r>
          </w:p>
        </w:tc>
      </w:tr>
    </w:tbl>
    <w:p w14:paraId="156B7649" w14:textId="0266FEBE" w:rsidR="00DA58EF" w:rsidRPr="00B2521E" w:rsidRDefault="00DA58EF" w:rsidP="00DA58EF">
      <w:pPr>
        <w:jc w:val="center"/>
        <w:rPr>
          <w:sz w:val="20"/>
        </w:rPr>
      </w:pPr>
      <w:r>
        <w:rPr>
          <w:sz w:val="20"/>
        </w:rPr>
        <w:t>Source: calculations of the authors based on expert evaluations and results of the drafted statistical data trend</w:t>
      </w:r>
    </w:p>
    <w:p w14:paraId="3AB9CEF7" w14:textId="7A4C846E" w:rsidR="00F75DC7" w:rsidRPr="00B2521E" w:rsidRDefault="001A08E5" w:rsidP="006557A7">
      <w:pPr>
        <w:ind w:firstLine="851"/>
        <w:jc w:val="both"/>
        <w:rPr>
          <w:rStyle w:val="st"/>
        </w:rPr>
      </w:pPr>
      <w:r>
        <w:rPr>
          <w:rStyle w:val="st"/>
        </w:rPr>
        <w:t>The interpretation of result should take into account also several specific factors:</w:t>
      </w:r>
    </w:p>
    <w:p w14:paraId="6948999B" w14:textId="29253A4F" w:rsidR="00F75DC7" w:rsidRPr="00B2521E" w:rsidRDefault="00F75DC7" w:rsidP="006F595A">
      <w:pPr>
        <w:pStyle w:val="ListParagraph"/>
        <w:numPr>
          <w:ilvl w:val="0"/>
          <w:numId w:val="28"/>
        </w:numPr>
        <w:ind w:left="0" w:firstLine="0"/>
        <w:jc w:val="both"/>
        <w:rPr>
          <w:rStyle w:val="st"/>
        </w:rPr>
      </w:pPr>
      <w:r>
        <w:rPr>
          <w:rStyle w:val="st"/>
        </w:rPr>
        <w:t xml:space="preserve">large public procurements like Rail </w:t>
      </w:r>
      <w:proofErr w:type="spellStart"/>
      <w:r>
        <w:rPr>
          <w:rStyle w:val="st"/>
        </w:rPr>
        <w:t>Baltica</w:t>
      </w:r>
      <w:proofErr w:type="spellEnd"/>
      <w:r>
        <w:rPr>
          <w:rStyle w:val="st"/>
        </w:rPr>
        <w:t xml:space="preserve"> and so on have a big effect, and their implementation, postponement and delay may have a significant impact on volumes of construction projects;</w:t>
      </w:r>
    </w:p>
    <w:p w14:paraId="1EC6ABB9" w14:textId="555FB19E" w:rsidR="00486F98" w:rsidRPr="00B2521E" w:rsidRDefault="00486F98" w:rsidP="006F595A">
      <w:pPr>
        <w:pStyle w:val="ListParagraph"/>
        <w:numPr>
          <w:ilvl w:val="0"/>
          <w:numId w:val="28"/>
        </w:numPr>
        <w:ind w:left="0" w:firstLine="0"/>
        <w:jc w:val="both"/>
        <w:rPr>
          <w:rStyle w:val="st"/>
        </w:rPr>
      </w:pPr>
      <w:proofErr w:type="gramStart"/>
      <w:r>
        <w:rPr>
          <w:rStyle w:val="st"/>
        </w:rPr>
        <w:t>in</w:t>
      </w:r>
      <w:proofErr w:type="gramEnd"/>
      <w:r>
        <w:rPr>
          <w:rStyle w:val="st"/>
        </w:rPr>
        <w:t xml:space="preserve"> accordance with expert evaluations the trend that part of public order plans are postponed for the next year is observed.</w:t>
      </w:r>
    </w:p>
    <w:p w14:paraId="760CAD06" w14:textId="4D141CE4" w:rsidR="00F75DC7" w:rsidRPr="00B2521E" w:rsidRDefault="003A4A3A" w:rsidP="006F595A">
      <w:pPr>
        <w:pStyle w:val="ListParagraph"/>
        <w:numPr>
          <w:ilvl w:val="0"/>
          <w:numId w:val="28"/>
        </w:numPr>
        <w:ind w:left="0" w:firstLine="0"/>
        <w:jc w:val="both"/>
        <w:rPr>
          <w:rStyle w:val="st"/>
        </w:rPr>
      </w:pPr>
      <w:r>
        <w:rPr>
          <w:rStyle w:val="st"/>
        </w:rPr>
        <w:t>market contains contradictory information on the extent of postponement of private investments to a later time, because public demand has quickly grown since 2018;</w:t>
      </w:r>
    </w:p>
    <w:p w14:paraId="738C1825" w14:textId="58AF945C" w:rsidR="00AD67F5" w:rsidRPr="00B2521E" w:rsidRDefault="00F75DC7" w:rsidP="006F595A">
      <w:pPr>
        <w:pStyle w:val="ListParagraph"/>
        <w:numPr>
          <w:ilvl w:val="0"/>
          <w:numId w:val="28"/>
        </w:numPr>
        <w:ind w:left="0" w:firstLine="0"/>
        <w:jc w:val="both"/>
        <w:rPr>
          <w:rStyle w:val="st"/>
        </w:rPr>
      </w:pPr>
      <w:r>
        <w:rPr>
          <w:rStyle w:val="st"/>
        </w:rPr>
        <w:t xml:space="preserve">the model does not include projects supported by EU funds in the new planning period after 2020, however the experience of the previous EU funds programming period shows that no significant construction projects would be expected until 2023. On the other hand, indications about plans for a more timely EU funds absorption process in the next programming period </w:t>
      </w:r>
      <w:proofErr w:type="gramStart"/>
      <w:r>
        <w:rPr>
          <w:rStyle w:val="st"/>
        </w:rPr>
        <w:t>are observed</w:t>
      </w:r>
      <w:proofErr w:type="gramEnd"/>
      <w:r>
        <w:rPr>
          <w:rStyle w:val="st"/>
        </w:rPr>
        <w:t xml:space="preserve"> from the </w:t>
      </w:r>
      <w:proofErr w:type="spellStart"/>
      <w:r>
        <w:rPr>
          <w:rStyle w:val="st"/>
        </w:rPr>
        <w:t>MoF</w:t>
      </w:r>
      <w:proofErr w:type="spellEnd"/>
      <w:r>
        <w:rPr>
          <w:rStyle w:val="st"/>
        </w:rPr>
        <w:t xml:space="preserve">. </w:t>
      </w:r>
    </w:p>
    <w:p w14:paraId="77AB8355" w14:textId="3D3C6B39" w:rsidR="00E86BA1" w:rsidRPr="00B2521E" w:rsidRDefault="00294D1F" w:rsidP="00813C83">
      <w:pPr>
        <w:ind w:firstLine="851"/>
        <w:jc w:val="both"/>
      </w:pPr>
      <w:r>
        <w:rPr>
          <w:rStyle w:val="st"/>
        </w:rPr>
        <w:t xml:space="preserve">Taking into account the risks related to the scope of projects co-financed by EU funds and the expected drop at the end of the forecast period, it is very important whether the dynamics of state and local government budget orders is adapted to the situation, planning the largest works in this period of drop in the volume of construction products. </w:t>
      </w:r>
    </w:p>
    <w:p w14:paraId="7F73A357" w14:textId="3CB1A2A9" w:rsidR="00515FED" w:rsidRPr="00B2521E" w:rsidRDefault="00515FED" w:rsidP="00515FED">
      <w:pPr>
        <w:pStyle w:val="Heading2"/>
      </w:pPr>
      <w:bookmarkStart w:id="69" w:name="_Toc13475935"/>
      <w:bookmarkStart w:id="70" w:name="_Toc13492543"/>
      <w:bookmarkStart w:id="71" w:name="_Toc13574583"/>
      <w:bookmarkStart w:id="72" w:name="_Toc13576370"/>
      <w:bookmarkStart w:id="73" w:name="_Toc13580123"/>
      <w:bookmarkStart w:id="74" w:name="_Toc13673305"/>
      <w:bookmarkStart w:id="75" w:name="_Toc13673621"/>
      <w:bookmarkStart w:id="76" w:name="_Toc18682398"/>
      <w:bookmarkEnd w:id="69"/>
      <w:bookmarkEnd w:id="70"/>
      <w:bookmarkEnd w:id="71"/>
      <w:bookmarkEnd w:id="72"/>
      <w:bookmarkEnd w:id="73"/>
      <w:bookmarkEnd w:id="74"/>
      <w:bookmarkEnd w:id="75"/>
      <w:r>
        <w:t>Forecasts of changes in the total construction costs</w:t>
      </w:r>
      <w:bookmarkEnd w:id="76"/>
    </w:p>
    <w:p w14:paraId="53C9F7B5" w14:textId="395F60F6" w:rsidR="00725BEA" w:rsidRPr="00895643" w:rsidRDefault="00725BEA" w:rsidP="00895643">
      <w:pPr>
        <w:pStyle w:val="ListParagraph"/>
        <w:numPr>
          <w:ilvl w:val="2"/>
          <w:numId w:val="5"/>
        </w:numPr>
        <w:rPr>
          <w:b/>
          <w:bCs/>
          <w:color w:val="002060"/>
        </w:rPr>
      </w:pPr>
      <w:r>
        <w:rPr>
          <w:b/>
          <w:bCs/>
          <w:color w:val="002060"/>
        </w:rPr>
        <w:t xml:space="preserve">Elasticity of changes in costs depending on the scope of the volume of construction products </w:t>
      </w:r>
    </w:p>
    <w:p w14:paraId="6EBA7C58" w14:textId="77777777" w:rsidR="00486F98" w:rsidRPr="00B2521E" w:rsidRDefault="00486F98" w:rsidP="00486F98">
      <w:pPr>
        <w:spacing w:before="100" w:after="200" w:line="276" w:lineRule="auto"/>
        <w:ind w:firstLine="851"/>
        <w:rPr>
          <w:rStyle w:val="st"/>
        </w:rPr>
      </w:pPr>
      <w:r>
        <w:rPr>
          <w:rStyle w:val="st"/>
        </w:rPr>
        <w:t xml:space="preserve">Elasticity of changes in average costs to changes in volume was calculated within the scope of the study, which further allowed </w:t>
      </w:r>
      <w:proofErr w:type="gramStart"/>
      <w:r>
        <w:rPr>
          <w:rStyle w:val="st"/>
        </w:rPr>
        <w:t>to forecast</w:t>
      </w:r>
      <w:proofErr w:type="gramEnd"/>
      <w:r>
        <w:rPr>
          <w:rStyle w:val="st"/>
        </w:rPr>
        <w:t xml:space="preserve"> changes in costs taking into account forecasts of changes in volume. Average elasticity is calculated using:</w:t>
      </w:r>
    </w:p>
    <w:p w14:paraId="03412193" w14:textId="77777777" w:rsidR="00486F98" w:rsidRPr="00B2521E" w:rsidRDefault="00486F98" w:rsidP="00486F98">
      <w:pPr>
        <w:pStyle w:val="ListParagraph"/>
        <w:numPr>
          <w:ilvl w:val="0"/>
          <w:numId w:val="26"/>
        </w:numPr>
        <w:spacing w:before="100" w:after="200" w:line="276" w:lineRule="auto"/>
        <w:jc w:val="both"/>
        <w:rPr>
          <w:rStyle w:val="st"/>
        </w:rPr>
      </w:pPr>
      <w:r>
        <w:rPr>
          <w:rStyle w:val="st"/>
        </w:rPr>
        <w:t>elasticity of changes in costs to changes in production volumes, which was obtained when interviewing experts in the first and second round of interviews;</w:t>
      </w:r>
    </w:p>
    <w:p w14:paraId="74B1C390" w14:textId="77777777" w:rsidR="00486F98" w:rsidRPr="00B2521E" w:rsidRDefault="00486F98" w:rsidP="00486F98">
      <w:pPr>
        <w:pStyle w:val="ListParagraph"/>
        <w:numPr>
          <w:ilvl w:val="0"/>
          <w:numId w:val="26"/>
        </w:numPr>
        <w:spacing w:before="100" w:after="200" w:line="276" w:lineRule="auto"/>
        <w:jc w:val="both"/>
        <w:rPr>
          <w:rStyle w:val="st"/>
        </w:rPr>
      </w:pPr>
      <w:r>
        <w:rPr>
          <w:rStyle w:val="st"/>
        </w:rPr>
        <w:lastRenderedPageBreak/>
        <w:t>elasticity of changes in costs to changes in production volumes, which was obtained from historical volume of construction products and data on changes in costs;</w:t>
      </w:r>
    </w:p>
    <w:p w14:paraId="62A8703C" w14:textId="77777777" w:rsidR="00486F98" w:rsidRPr="00B2521E" w:rsidRDefault="00486F98" w:rsidP="00486F98">
      <w:pPr>
        <w:pStyle w:val="ListParagraph"/>
        <w:numPr>
          <w:ilvl w:val="0"/>
          <w:numId w:val="26"/>
        </w:numPr>
        <w:spacing w:before="100" w:after="200" w:line="276" w:lineRule="auto"/>
        <w:jc w:val="both"/>
        <w:rPr>
          <w:rStyle w:val="st"/>
        </w:rPr>
      </w:pPr>
      <w:r>
        <w:rPr>
          <w:rStyle w:val="st"/>
        </w:rPr>
        <w:t>elasticity of changes in costs to changes in production volumes, which was obtained from historical volume of construction products and data on changes in costs, except values of 2006 – 2009.</w:t>
      </w:r>
    </w:p>
    <w:p w14:paraId="72E6A78D" w14:textId="6522BF97" w:rsidR="00486F98" w:rsidRPr="00B2521E" w:rsidRDefault="00486F98" w:rsidP="00FD6E1F">
      <w:pPr>
        <w:ind w:firstLine="851"/>
        <w:jc w:val="both"/>
      </w:pPr>
      <w:r>
        <w:t>Industry experts were asked how they forecast changes in costs depending on changes in volume in five different intervals (see Table No.2).</w:t>
      </w:r>
    </w:p>
    <w:p w14:paraId="011D026A" w14:textId="77777777" w:rsidR="001F432D" w:rsidRPr="00B2521E" w:rsidRDefault="001F432D" w:rsidP="00486F98">
      <w:pPr>
        <w:ind w:left="360"/>
        <w:jc w:val="both"/>
      </w:pPr>
    </w:p>
    <w:p w14:paraId="15B6D2CC" w14:textId="3624AEA5" w:rsidR="00486F98" w:rsidRPr="00B2521E" w:rsidRDefault="00486F98" w:rsidP="001F432D">
      <w:pPr>
        <w:pStyle w:val="ListParagraph"/>
        <w:rPr>
          <w:b/>
          <w:bCs/>
          <w:sz w:val="20"/>
        </w:rPr>
      </w:pPr>
      <w:r>
        <w:rPr>
          <w:b/>
          <w:bCs/>
          <w:sz w:val="20"/>
        </w:rPr>
        <w:t>Table No. 2. Results of expert interviews – changes in costs depending on changes in volume, %</w:t>
      </w:r>
    </w:p>
    <w:tbl>
      <w:tblPr>
        <w:tblStyle w:val="PlainTable1"/>
        <w:tblW w:w="8964" w:type="dxa"/>
        <w:jc w:val="center"/>
        <w:tblLook w:val="04A0" w:firstRow="1" w:lastRow="0" w:firstColumn="1" w:lastColumn="0" w:noHBand="0" w:noVBand="1"/>
      </w:tblPr>
      <w:tblGrid>
        <w:gridCol w:w="2746"/>
        <w:gridCol w:w="1293"/>
        <w:gridCol w:w="1124"/>
        <w:gridCol w:w="1207"/>
        <w:gridCol w:w="1293"/>
        <w:gridCol w:w="1301"/>
      </w:tblGrid>
      <w:tr w:rsidR="00486F98" w:rsidRPr="00B2521E" w14:paraId="22B8FFD0"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shd w:val="clear" w:color="auto" w:fill="1F3864"/>
            <w:vAlign w:val="center"/>
          </w:tcPr>
          <w:p w14:paraId="21C19847" w14:textId="77777777" w:rsidR="00486F98" w:rsidRPr="00B2521E" w:rsidRDefault="00486F98" w:rsidP="00486F98">
            <w:pPr>
              <w:spacing w:before="0" w:after="0"/>
              <w:contextualSpacing/>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Level of changes in volume</w:t>
            </w:r>
          </w:p>
        </w:tc>
        <w:tc>
          <w:tcPr>
            <w:tcW w:w="1293" w:type="dxa"/>
            <w:shd w:val="clear" w:color="auto" w:fill="1F3864"/>
            <w:vAlign w:val="center"/>
          </w:tcPr>
          <w:p w14:paraId="1AFBB02A" w14:textId="77777777" w:rsidR="00486F98" w:rsidRPr="00B2521E"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-10%</w:t>
            </w:r>
          </w:p>
        </w:tc>
        <w:tc>
          <w:tcPr>
            <w:tcW w:w="1124" w:type="dxa"/>
            <w:shd w:val="clear" w:color="auto" w:fill="1F3864"/>
            <w:vAlign w:val="center"/>
          </w:tcPr>
          <w:p w14:paraId="44A202F7" w14:textId="77777777" w:rsidR="00486F98" w:rsidRPr="00B2521E"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0%</w:t>
            </w:r>
          </w:p>
        </w:tc>
        <w:tc>
          <w:tcPr>
            <w:tcW w:w="1207" w:type="dxa"/>
            <w:shd w:val="clear" w:color="auto" w:fill="1F3864"/>
            <w:vAlign w:val="center"/>
          </w:tcPr>
          <w:p w14:paraId="1658910E" w14:textId="77777777" w:rsidR="00486F98" w:rsidRPr="00B2521E"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0% to +10%</w:t>
            </w:r>
          </w:p>
        </w:tc>
        <w:tc>
          <w:tcPr>
            <w:tcW w:w="1293" w:type="dxa"/>
            <w:shd w:val="clear" w:color="auto" w:fill="1F3864"/>
            <w:vAlign w:val="center"/>
          </w:tcPr>
          <w:p w14:paraId="5EC178F6" w14:textId="77777777" w:rsidR="00486F98" w:rsidRPr="00B2521E"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+20%</w:t>
            </w:r>
          </w:p>
        </w:tc>
        <w:tc>
          <w:tcPr>
            <w:tcW w:w="1301" w:type="dxa"/>
            <w:shd w:val="clear" w:color="auto" w:fill="1F3864"/>
            <w:vAlign w:val="center"/>
          </w:tcPr>
          <w:p w14:paraId="3F4A5C05" w14:textId="77777777" w:rsidR="00486F98" w:rsidRPr="00B2521E"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+30%</w:t>
            </w:r>
          </w:p>
        </w:tc>
      </w:tr>
      <w:tr w:rsidR="00486F98" w:rsidRPr="00B2521E" w14:paraId="2915CC30"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2E3A99CB" w14:textId="77777777" w:rsidR="00486F98" w:rsidRPr="00B2521E" w:rsidRDefault="00486F98" w:rsidP="00486F98">
            <w:pPr>
              <w:spacing w:before="0" w:after="0"/>
              <w:contextualSpacing/>
              <w:rPr>
                <w:rFonts w:eastAsia="Times New Roman" w:cstheme="minorHAnsi"/>
                <w:b w:val="0"/>
                <w:bCs w:val="0"/>
                <w:color w:val="000000"/>
                <w:sz w:val="18"/>
                <w:szCs w:val="16"/>
              </w:rPr>
            </w:pPr>
            <w:r>
              <w:rPr>
                <w:rFonts w:ascii="Calibri" w:hAnsi="Calibri"/>
                <w:color w:val="000000"/>
                <w:sz w:val="18"/>
                <w:szCs w:val="16"/>
              </w:rPr>
              <w:t>Average evaluation</w:t>
            </w:r>
          </w:p>
        </w:tc>
        <w:tc>
          <w:tcPr>
            <w:tcW w:w="1293" w:type="dxa"/>
            <w:noWrap/>
            <w:vAlign w:val="center"/>
          </w:tcPr>
          <w:p w14:paraId="192AC250"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-3.1%</w:t>
            </w:r>
          </w:p>
        </w:tc>
        <w:tc>
          <w:tcPr>
            <w:tcW w:w="1124" w:type="dxa"/>
            <w:vAlign w:val="center"/>
          </w:tcPr>
          <w:p w14:paraId="186D2811"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-0.8%</w:t>
            </w:r>
          </w:p>
        </w:tc>
        <w:tc>
          <w:tcPr>
            <w:tcW w:w="1207" w:type="dxa"/>
            <w:noWrap/>
            <w:vAlign w:val="center"/>
          </w:tcPr>
          <w:p w14:paraId="2EA6E613"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4.5%</w:t>
            </w:r>
          </w:p>
        </w:tc>
        <w:tc>
          <w:tcPr>
            <w:tcW w:w="1293" w:type="dxa"/>
            <w:noWrap/>
            <w:vAlign w:val="center"/>
          </w:tcPr>
          <w:p w14:paraId="53D52ED5"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8.8%</w:t>
            </w:r>
          </w:p>
        </w:tc>
        <w:tc>
          <w:tcPr>
            <w:tcW w:w="1301" w:type="dxa"/>
            <w:noWrap/>
            <w:vAlign w:val="center"/>
          </w:tcPr>
          <w:p w14:paraId="3472899B"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12.6%</w:t>
            </w:r>
          </w:p>
        </w:tc>
      </w:tr>
      <w:tr w:rsidR="00486F98" w:rsidRPr="00B2521E" w14:paraId="69722C07"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44470EDA" w14:textId="77777777" w:rsidR="00486F98" w:rsidRPr="00B2521E" w:rsidRDefault="00486F98" w:rsidP="00486F98">
            <w:pPr>
              <w:spacing w:before="0" w:after="0"/>
              <w:contextualSpacing/>
              <w:rPr>
                <w:b w:val="0"/>
                <w:bCs w:val="0"/>
                <w:sz w:val="18"/>
                <w:szCs w:val="16"/>
              </w:rPr>
            </w:pPr>
            <w:r>
              <w:rPr>
                <w:rFonts w:ascii="Calibri" w:hAnsi="Calibri"/>
                <w:color w:val="000000"/>
                <w:sz w:val="18"/>
                <w:szCs w:val="16"/>
              </w:rPr>
              <w:t>Standard deviation</w:t>
            </w:r>
          </w:p>
        </w:tc>
        <w:tc>
          <w:tcPr>
            <w:tcW w:w="1293" w:type="dxa"/>
            <w:noWrap/>
            <w:vAlign w:val="center"/>
          </w:tcPr>
          <w:p w14:paraId="75118A9F" w14:textId="77777777" w:rsidR="00486F98" w:rsidRPr="00B2521E"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7.5%</w:t>
            </w:r>
          </w:p>
        </w:tc>
        <w:tc>
          <w:tcPr>
            <w:tcW w:w="1124" w:type="dxa"/>
            <w:vAlign w:val="center"/>
          </w:tcPr>
          <w:p w14:paraId="3CFFF644" w14:textId="77777777" w:rsidR="00486F98" w:rsidRPr="00B2521E"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4.7%</w:t>
            </w:r>
          </w:p>
        </w:tc>
        <w:tc>
          <w:tcPr>
            <w:tcW w:w="1207" w:type="dxa"/>
            <w:noWrap/>
            <w:vAlign w:val="center"/>
          </w:tcPr>
          <w:p w14:paraId="429755F6" w14:textId="77777777" w:rsidR="00486F98" w:rsidRPr="00B2521E"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7.1%</w:t>
            </w:r>
          </w:p>
        </w:tc>
        <w:tc>
          <w:tcPr>
            <w:tcW w:w="1293" w:type="dxa"/>
            <w:noWrap/>
            <w:vAlign w:val="center"/>
          </w:tcPr>
          <w:p w14:paraId="42C98E3E" w14:textId="77777777" w:rsidR="00486F98" w:rsidRPr="00B2521E"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7.3%</w:t>
            </w:r>
          </w:p>
        </w:tc>
        <w:tc>
          <w:tcPr>
            <w:tcW w:w="1301" w:type="dxa"/>
            <w:noWrap/>
            <w:vAlign w:val="center"/>
          </w:tcPr>
          <w:p w14:paraId="4962AC20" w14:textId="77777777" w:rsidR="00486F98" w:rsidRPr="00B2521E"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8.1%</w:t>
            </w:r>
          </w:p>
        </w:tc>
      </w:tr>
      <w:tr w:rsidR="00486F98" w:rsidRPr="00B2521E" w14:paraId="5AC2E353"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5C0FF1AA" w14:textId="77777777" w:rsidR="00486F98" w:rsidRPr="00B2521E" w:rsidRDefault="00486F98" w:rsidP="00486F98">
            <w:pPr>
              <w:spacing w:before="0" w:after="0"/>
              <w:contextualSpacing/>
              <w:rPr>
                <w:b w:val="0"/>
                <w:bCs w:val="0"/>
                <w:sz w:val="18"/>
                <w:szCs w:val="16"/>
              </w:rPr>
            </w:pPr>
            <w:r>
              <w:rPr>
                <w:rFonts w:ascii="Calibri" w:hAnsi="Calibri"/>
                <w:color w:val="000000"/>
                <w:sz w:val="18"/>
                <w:szCs w:val="16"/>
              </w:rPr>
              <w:t>Standard error</w:t>
            </w:r>
          </w:p>
        </w:tc>
        <w:tc>
          <w:tcPr>
            <w:tcW w:w="1293" w:type="dxa"/>
            <w:noWrap/>
            <w:vAlign w:val="center"/>
          </w:tcPr>
          <w:p w14:paraId="6AB700E3"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1.3%</w:t>
            </w:r>
          </w:p>
        </w:tc>
        <w:tc>
          <w:tcPr>
            <w:tcW w:w="1124" w:type="dxa"/>
            <w:vAlign w:val="center"/>
          </w:tcPr>
          <w:p w14:paraId="09AA0785"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0.8%</w:t>
            </w:r>
          </w:p>
        </w:tc>
        <w:tc>
          <w:tcPr>
            <w:tcW w:w="1207" w:type="dxa"/>
            <w:noWrap/>
            <w:vAlign w:val="center"/>
          </w:tcPr>
          <w:p w14:paraId="5AEF20E1"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1.3%</w:t>
            </w:r>
          </w:p>
        </w:tc>
        <w:tc>
          <w:tcPr>
            <w:tcW w:w="1293" w:type="dxa"/>
            <w:noWrap/>
            <w:vAlign w:val="center"/>
          </w:tcPr>
          <w:p w14:paraId="22CD2DFC"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1.3%</w:t>
            </w:r>
          </w:p>
        </w:tc>
        <w:tc>
          <w:tcPr>
            <w:tcW w:w="1301" w:type="dxa"/>
            <w:noWrap/>
            <w:vAlign w:val="center"/>
          </w:tcPr>
          <w:p w14:paraId="3469D2A5" w14:textId="77777777" w:rsidR="00486F98" w:rsidRPr="00B2521E"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1.4%</w:t>
            </w:r>
          </w:p>
        </w:tc>
      </w:tr>
    </w:tbl>
    <w:p w14:paraId="0197C9C3" w14:textId="77777777" w:rsidR="00486F98" w:rsidRPr="00B2521E" w:rsidRDefault="00486F98" w:rsidP="00486F98">
      <w:pPr>
        <w:pStyle w:val="ListParagraph"/>
        <w:jc w:val="center"/>
      </w:pPr>
      <w:r>
        <w:rPr>
          <w:sz w:val="20"/>
        </w:rPr>
        <w:t>Source: calculations of the authors based on interview results</w:t>
      </w:r>
    </w:p>
    <w:p w14:paraId="3723F2D1" w14:textId="1A808142" w:rsidR="00486F98" w:rsidRPr="00B2521E" w:rsidRDefault="00486F98" w:rsidP="00486F98">
      <w:pPr>
        <w:ind w:firstLine="851"/>
        <w:jc w:val="both"/>
        <w:rPr>
          <w:rStyle w:val="st"/>
        </w:rPr>
      </w:pPr>
      <w:r>
        <w:rPr>
          <w:rStyle w:val="st"/>
        </w:rPr>
        <w:t>Historical elasticity indicators from data, from which the “construction boom” of 2006 – 2009 was removed, showed an effect smaller by half on an increase in changes in costs, when the volume of construction products increases, than from the entire data series since 2004. Furthermore, expert evaluations showed a higher impact. For the needs of forecasting, the formula consisting of the mean arithmetic of all the three models with elasticity coefficient 0.2594 – the combined forecast for the volume of construction products in each section of cost forecasts was included in the following formula:</w:t>
      </w:r>
    </w:p>
    <w:p w14:paraId="7926FF82" w14:textId="77777777" w:rsidR="00486F98" w:rsidRPr="00B2521E" w:rsidRDefault="00486F98" w:rsidP="00486F98">
      <w:pPr>
        <w:jc w:val="both"/>
        <w:rPr>
          <w:rStyle w:val="st"/>
        </w:rPr>
      </w:pPr>
      <w:r>
        <w:rPr>
          <w:rStyle w:val="st"/>
        </w:rPr>
        <w:t>I=0,2594 x A + 0,0183, where</w:t>
      </w:r>
    </w:p>
    <w:p w14:paraId="682523BF" w14:textId="77777777" w:rsidR="00486F98" w:rsidRPr="00B2521E" w:rsidRDefault="00486F98" w:rsidP="00486F98">
      <w:pPr>
        <w:jc w:val="both"/>
        <w:rPr>
          <w:rStyle w:val="st"/>
        </w:rPr>
      </w:pPr>
      <w:r>
        <w:rPr>
          <w:rStyle w:val="st"/>
        </w:rPr>
        <w:t>I – changes in forecast costs compared to the previous year within the elasticity model, %;</w:t>
      </w:r>
    </w:p>
    <w:p w14:paraId="73D94A99" w14:textId="4EEB6F35" w:rsidR="00486F98" w:rsidRPr="00B2521E" w:rsidRDefault="00486F98" w:rsidP="00486F98">
      <w:pPr>
        <w:jc w:val="both"/>
        <w:rPr>
          <w:rStyle w:val="st"/>
        </w:rPr>
      </w:pPr>
      <w:r>
        <w:rPr>
          <w:rStyle w:val="st"/>
        </w:rPr>
        <w:t>A – combined forecast for changes in the volume of construction products compared to the previous year, %.</w:t>
      </w:r>
    </w:p>
    <w:p w14:paraId="720FC537" w14:textId="77777777" w:rsidR="00486F98" w:rsidRPr="00B2521E" w:rsidRDefault="00486F98" w:rsidP="001F432D">
      <w:pPr>
        <w:ind w:firstLine="720"/>
        <w:jc w:val="both"/>
        <w:rPr>
          <w:rStyle w:val="st"/>
        </w:rPr>
      </w:pPr>
      <w:r>
        <w:rPr>
          <w:rStyle w:val="st"/>
        </w:rPr>
        <w:t>The resulting forecasts of changes in costs were the ones, which would form, taking into account only the causal relationship between changes in costs, depending on changes in the volume of construction products. This was used as one of three sources to create a combined forecast of costs.</w:t>
      </w:r>
    </w:p>
    <w:p w14:paraId="620DD613" w14:textId="77777777" w:rsidR="00486F98" w:rsidRPr="00B2521E" w:rsidRDefault="00486F98" w:rsidP="001F432D">
      <w:pPr>
        <w:ind w:firstLine="720"/>
        <w:jc w:val="both"/>
        <w:rPr>
          <w:rStyle w:val="st"/>
        </w:rPr>
      </w:pPr>
      <w:r>
        <w:rPr>
          <w:rStyle w:val="st"/>
        </w:rPr>
        <w:t xml:space="preserve">When interpreting these results, it is important to take into account that in practice there is a known response time between changes in volume and changes in costs. Having statistically checked dependence of costs on volume of construction products in the previous rather than the current year no higher correlation </w:t>
      </w:r>
      <w:proofErr w:type="gramStart"/>
      <w:r>
        <w:rPr>
          <w:rStyle w:val="st"/>
        </w:rPr>
        <w:t>was identified</w:t>
      </w:r>
      <w:proofErr w:type="gramEnd"/>
      <w:r>
        <w:rPr>
          <w:rStyle w:val="st"/>
        </w:rPr>
        <w:t>, therefore this model takes into account the volume of construction products in the year being analysed.</w:t>
      </w:r>
    </w:p>
    <w:p w14:paraId="47DA83EC" w14:textId="77777777" w:rsidR="00486F98" w:rsidRPr="00B2521E" w:rsidRDefault="00486F98" w:rsidP="00486F98">
      <w:pPr>
        <w:ind w:firstLine="851"/>
        <w:jc w:val="both"/>
        <w:rPr>
          <w:rStyle w:val="st"/>
        </w:rPr>
      </w:pPr>
      <w:r>
        <w:rPr>
          <w:rStyle w:val="st"/>
        </w:rPr>
        <w:t xml:space="preserve">In order to check the importance of the impact of profit margin, elasticity of the profit margin depending on the volume of construction products is evaluated in the same way. The elasticity coefficient matches both in evaluation of experts and historical data, except values of 2006 – 2009, – 0.19. The level, however, is different – the profit margin assumed by the expert evaluation is by 3 percentage points higher. </w:t>
      </w:r>
    </w:p>
    <w:p w14:paraId="2503D997" w14:textId="77777777" w:rsidR="00486F98" w:rsidRPr="00B2521E" w:rsidRDefault="00486F98" w:rsidP="00486F98">
      <w:pPr>
        <w:ind w:firstLine="851"/>
        <w:jc w:val="both"/>
        <w:rPr>
          <w:rStyle w:val="st"/>
        </w:rPr>
      </w:pPr>
      <w:r>
        <w:rPr>
          <w:rStyle w:val="st"/>
        </w:rPr>
        <w:t xml:space="preserve">The results show that in case of 20% increase in the volume of construction products historical data show about 4% profit margin, while expert evaluations – about 7%. </w:t>
      </w:r>
      <w:r>
        <w:rPr>
          <w:color w:val="222222"/>
        </w:rPr>
        <w:t xml:space="preserve">This is explained by the fact that experts were asked about a profit margin acceptable for them rather than actual depending on changes in construction volume. Taking into account that it is the primary task of companies to gain profit, such rather optimistic expert evaluations compared to actual data are understandable. </w:t>
      </w:r>
      <w:r>
        <w:rPr>
          <w:rStyle w:val="st"/>
        </w:rPr>
        <w:t xml:space="preserve">Both values are considered proportionate and it is assumed that prices and costs do not inadequately change even in case of a rapid increase in the volume of construction products. However, it </w:t>
      </w:r>
      <w:proofErr w:type="gramStart"/>
      <w:r>
        <w:rPr>
          <w:rStyle w:val="st"/>
        </w:rPr>
        <w:t>should be taken</w:t>
      </w:r>
      <w:proofErr w:type="gramEnd"/>
      <w:r>
        <w:rPr>
          <w:rStyle w:val="st"/>
        </w:rPr>
        <w:t xml:space="preserve"> into account that this analysis does not differentiate the solution practically used by companies to reduce profit at the expense of an increase of changes in costs to reduce the amount of CIT to be paid. Amendments to the </w:t>
      </w:r>
      <w:r>
        <w:rPr>
          <w:rStyle w:val="st"/>
        </w:rPr>
        <w:lastRenderedPageBreak/>
        <w:t xml:space="preserve">law are expected to be made in 2019 promoting an investment of company profit in development, which might change elasticity indicators of profit margin in the future, however the impact of these improvements can be evaluated only in several years. </w:t>
      </w:r>
    </w:p>
    <w:p w14:paraId="1FBF3C11" w14:textId="384CB16E" w:rsidR="00486F98" w:rsidRPr="00B2521E" w:rsidRDefault="00486F98" w:rsidP="00486F98">
      <w:pPr>
        <w:jc w:val="center"/>
        <w:rPr>
          <w:b/>
          <w:bCs/>
          <w:sz w:val="20"/>
        </w:rPr>
      </w:pPr>
      <w:r>
        <w:rPr>
          <w:b/>
          <w:bCs/>
          <w:sz w:val="20"/>
        </w:rPr>
        <w:t>Table No. 3. Results of industry expert interviews – changes in profit margin depending on changes in volume, %</w:t>
      </w:r>
    </w:p>
    <w:tbl>
      <w:tblPr>
        <w:tblStyle w:val="PlainTable1"/>
        <w:tblW w:w="8964" w:type="dxa"/>
        <w:jc w:val="center"/>
        <w:tblLook w:val="04A0" w:firstRow="1" w:lastRow="0" w:firstColumn="1" w:lastColumn="0" w:noHBand="0" w:noVBand="1"/>
      </w:tblPr>
      <w:tblGrid>
        <w:gridCol w:w="2828"/>
        <w:gridCol w:w="1158"/>
        <w:gridCol w:w="1158"/>
        <w:gridCol w:w="1244"/>
        <w:gridCol w:w="1244"/>
        <w:gridCol w:w="1332"/>
      </w:tblGrid>
      <w:tr w:rsidR="00486F98" w:rsidRPr="00B2521E" w14:paraId="072EAB28"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shd w:val="clear" w:color="auto" w:fill="1F3864"/>
            <w:vAlign w:val="center"/>
          </w:tcPr>
          <w:p w14:paraId="06701339" w14:textId="77777777" w:rsidR="00486F98" w:rsidRPr="00B2521E" w:rsidRDefault="00486F98" w:rsidP="00486F98">
            <w:pPr>
              <w:spacing w:before="0" w:after="0"/>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Level of changes in volume</w:t>
            </w:r>
          </w:p>
        </w:tc>
        <w:tc>
          <w:tcPr>
            <w:tcW w:w="1158" w:type="dxa"/>
            <w:shd w:val="clear" w:color="auto" w:fill="1F3864"/>
            <w:vAlign w:val="center"/>
          </w:tcPr>
          <w:p w14:paraId="149E2A48"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-10%</w:t>
            </w:r>
          </w:p>
        </w:tc>
        <w:tc>
          <w:tcPr>
            <w:tcW w:w="1158" w:type="dxa"/>
            <w:shd w:val="clear" w:color="auto" w:fill="1F3864"/>
            <w:vAlign w:val="center"/>
          </w:tcPr>
          <w:p w14:paraId="12C8C4F4"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0%</w:t>
            </w:r>
          </w:p>
        </w:tc>
        <w:tc>
          <w:tcPr>
            <w:tcW w:w="1244" w:type="dxa"/>
            <w:shd w:val="clear" w:color="auto" w:fill="1F3864"/>
            <w:vAlign w:val="center"/>
          </w:tcPr>
          <w:p w14:paraId="3B389258"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0% to +10%</w:t>
            </w:r>
          </w:p>
        </w:tc>
        <w:tc>
          <w:tcPr>
            <w:tcW w:w="1244" w:type="dxa"/>
            <w:shd w:val="clear" w:color="auto" w:fill="1F3864"/>
            <w:vAlign w:val="center"/>
          </w:tcPr>
          <w:p w14:paraId="0452FB4F"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+20%</w:t>
            </w:r>
          </w:p>
        </w:tc>
        <w:tc>
          <w:tcPr>
            <w:tcW w:w="1332" w:type="dxa"/>
            <w:shd w:val="clear" w:color="auto" w:fill="1F3864"/>
            <w:vAlign w:val="center"/>
          </w:tcPr>
          <w:p w14:paraId="7E7FC828"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+30%</w:t>
            </w:r>
          </w:p>
        </w:tc>
      </w:tr>
      <w:tr w:rsidR="00486F98" w:rsidRPr="00B2521E" w14:paraId="12FE399A"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2468E47E" w14:textId="77777777" w:rsidR="00486F98" w:rsidRPr="00B2521E" w:rsidRDefault="00486F98" w:rsidP="00486F98">
            <w:pPr>
              <w:spacing w:before="0" w:after="0"/>
              <w:rPr>
                <w:rFonts w:eastAsia="Times New Roman" w:cstheme="minorHAnsi"/>
                <w:b w:val="0"/>
                <w:bCs w:val="0"/>
                <w:color w:val="000000"/>
                <w:sz w:val="18"/>
                <w:szCs w:val="16"/>
              </w:rPr>
            </w:pPr>
            <w:r>
              <w:rPr>
                <w:rFonts w:ascii="Calibri" w:hAnsi="Calibri"/>
                <w:color w:val="000000"/>
                <w:sz w:val="18"/>
                <w:szCs w:val="16"/>
              </w:rPr>
              <w:t>Average evaluation</w:t>
            </w:r>
          </w:p>
        </w:tc>
        <w:tc>
          <w:tcPr>
            <w:tcW w:w="1158" w:type="dxa"/>
            <w:noWrap/>
            <w:vAlign w:val="center"/>
          </w:tcPr>
          <w:p w14:paraId="671269C6"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0.9%</w:t>
            </w:r>
          </w:p>
        </w:tc>
        <w:tc>
          <w:tcPr>
            <w:tcW w:w="1158" w:type="dxa"/>
            <w:vAlign w:val="center"/>
          </w:tcPr>
          <w:p w14:paraId="4870AD04"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2.1%</w:t>
            </w:r>
          </w:p>
        </w:tc>
        <w:tc>
          <w:tcPr>
            <w:tcW w:w="1244" w:type="dxa"/>
            <w:noWrap/>
            <w:vAlign w:val="center"/>
          </w:tcPr>
          <w:p w14:paraId="25AA555C"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4.6%</w:t>
            </w:r>
          </w:p>
        </w:tc>
        <w:tc>
          <w:tcPr>
            <w:tcW w:w="1244" w:type="dxa"/>
            <w:noWrap/>
            <w:vAlign w:val="center"/>
          </w:tcPr>
          <w:p w14:paraId="12997B46"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6.1%</w:t>
            </w:r>
          </w:p>
        </w:tc>
        <w:tc>
          <w:tcPr>
            <w:tcW w:w="1332" w:type="dxa"/>
            <w:noWrap/>
            <w:vAlign w:val="center"/>
          </w:tcPr>
          <w:p w14:paraId="251ADF88"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rPr>
            </w:pPr>
            <w:r>
              <w:rPr>
                <w:b/>
                <w:bCs/>
                <w:sz w:val="18"/>
                <w:szCs w:val="16"/>
              </w:rPr>
              <w:t>8.5%</w:t>
            </w:r>
          </w:p>
        </w:tc>
      </w:tr>
      <w:tr w:rsidR="00486F98" w:rsidRPr="00B2521E" w14:paraId="66B4D86A"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3DF49094" w14:textId="77777777" w:rsidR="00486F98" w:rsidRPr="00B2521E" w:rsidRDefault="00486F98" w:rsidP="00486F98">
            <w:pPr>
              <w:spacing w:before="0" w:after="0"/>
              <w:rPr>
                <w:b w:val="0"/>
                <w:bCs w:val="0"/>
                <w:sz w:val="18"/>
                <w:szCs w:val="16"/>
              </w:rPr>
            </w:pPr>
            <w:r>
              <w:rPr>
                <w:rFonts w:ascii="Calibri" w:hAnsi="Calibri"/>
                <w:color w:val="000000"/>
                <w:sz w:val="18"/>
                <w:szCs w:val="16"/>
              </w:rPr>
              <w:t>Standard deviation</w:t>
            </w:r>
          </w:p>
        </w:tc>
        <w:tc>
          <w:tcPr>
            <w:tcW w:w="1158" w:type="dxa"/>
            <w:noWrap/>
            <w:vAlign w:val="center"/>
          </w:tcPr>
          <w:p w14:paraId="6A5B4A1E"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6.6%</w:t>
            </w:r>
          </w:p>
        </w:tc>
        <w:tc>
          <w:tcPr>
            <w:tcW w:w="1158" w:type="dxa"/>
            <w:vAlign w:val="center"/>
          </w:tcPr>
          <w:p w14:paraId="4B373E42"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5.2%</w:t>
            </w:r>
          </w:p>
        </w:tc>
        <w:tc>
          <w:tcPr>
            <w:tcW w:w="1244" w:type="dxa"/>
            <w:noWrap/>
            <w:vAlign w:val="center"/>
          </w:tcPr>
          <w:p w14:paraId="215C5042"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3.0%</w:t>
            </w:r>
          </w:p>
        </w:tc>
        <w:tc>
          <w:tcPr>
            <w:tcW w:w="1244" w:type="dxa"/>
            <w:noWrap/>
            <w:vAlign w:val="center"/>
          </w:tcPr>
          <w:p w14:paraId="6D7FA521"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2.9%</w:t>
            </w:r>
          </w:p>
        </w:tc>
        <w:tc>
          <w:tcPr>
            <w:tcW w:w="1332" w:type="dxa"/>
            <w:noWrap/>
            <w:vAlign w:val="center"/>
          </w:tcPr>
          <w:p w14:paraId="54EEC2D2"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Pr>
                <w:sz w:val="18"/>
                <w:szCs w:val="16"/>
              </w:rPr>
              <w:t>4.7%</w:t>
            </w:r>
          </w:p>
        </w:tc>
      </w:tr>
      <w:tr w:rsidR="00486F98" w:rsidRPr="00B2521E" w14:paraId="6F944C64"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42DF4A73" w14:textId="77777777" w:rsidR="00486F98" w:rsidRPr="00B2521E" w:rsidRDefault="00486F98" w:rsidP="00486F98">
            <w:pPr>
              <w:spacing w:before="0" w:after="0"/>
              <w:rPr>
                <w:b w:val="0"/>
                <w:bCs w:val="0"/>
                <w:sz w:val="18"/>
                <w:szCs w:val="16"/>
              </w:rPr>
            </w:pPr>
            <w:r>
              <w:rPr>
                <w:rFonts w:ascii="Calibri" w:hAnsi="Calibri"/>
                <w:color w:val="000000"/>
                <w:sz w:val="18"/>
                <w:szCs w:val="16"/>
              </w:rPr>
              <w:t>Standard error</w:t>
            </w:r>
          </w:p>
        </w:tc>
        <w:tc>
          <w:tcPr>
            <w:tcW w:w="1158" w:type="dxa"/>
            <w:noWrap/>
            <w:vAlign w:val="center"/>
          </w:tcPr>
          <w:p w14:paraId="0B3805DB"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1.2%</w:t>
            </w:r>
          </w:p>
        </w:tc>
        <w:tc>
          <w:tcPr>
            <w:tcW w:w="1158" w:type="dxa"/>
            <w:vAlign w:val="center"/>
          </w:tcPr>
          <w:p w14:paraId="7F45617F"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0.9%</w:t>
            </w:r>
          </w:p>
        </w:tc>
        <w:tc>
          <w:tcPr>
            <w:tcW w:w="1244" w:type="dxa"/>
            <w:noWrap/>
            <w:vAlign w:val="center"/>
          </w:tcPr>
          <w:p w14:paraId="23BA3528"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0.5%</w:t>
            </w:r>
          </w:p>
        </w:tc>
        <w:tc>
          <w:tcPr>
            <w:tcW w:w="1244" w:type="dxa"/>
            <w:noWrap/>
            <w:vAlign w:val="center"/>
          </w:tcPr>
          <w:p w14:paraId="3996084A"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0.5%</w:t>
            </w:r>
          </w:p>
        </w:tc>
        <w:tc>
          <w:tcPr>
            <w:tcW w:w="1332" w:type="dxa"/>
            <w:noWrap/>
            <w:vAlign w:val="center"/>
          </w:tcPr>
          <w:p w14:paraId="4BC8C0AB"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Pr>
                <w:sz w:val="18"/>
                <w:szCs w:val="16"/>
              </w:rPr>
              <w:t>0.8%</w:t>
            </w:r>
          </w:p>
        </w:tc>
      </w:tr>
    </w:tbl>
    <w:p w14:paraId="79BFB60E" w14:textId="77777777" w:rsidR="001F432D" w:rsidRPr="00B2521E" w:rsidRDefault="001F432D" w:rsidP="001F432D">
      <w:pPr>
        <w:jc w:val="center"/>
      </w:pPr>
      <w:r>
        <w:rPr>
          <w:sz w:val="20"/>
        </w:rPr>
        <w:t>Source: calculations of the authors based on interview results</w:t>
      </w:r>
    </w:p>
    <w:p w14:paraId="2743843A" w14:textId="77777777" w:rsidR="00486F98" w:rsidRPr="00B2521E" w:rsidRDefault="00486F98" w:rsidP="00486F98">
      <w:pPr>
        <w:jc w:val="center"/>
        <w:rPr>
          <w:sz w:val="20"/>
        </w:rPr>
      </w:pPr>
    </w:p>
    <w:p w14:paraId="64346E20" w14:textId="713F995B" w:rsidR="00486F98" w:rsidRPr="00B2521E" w:rsidRDefault="00486F98" w:rsidP="00486F98">
      <w:pPr>
        <w:jc w:val="center"/>
        <w:rPr>
          <w:b/>
          <w:bCs/>
          <w:sz w:val="20"/>
        </w:rPr>
      </w:pPr>
      <w:r>
        <w:rPr>
          <w:b/>
          <w:bCs/>
          <w:sz w:val="20"/>
        </w:rPr>
        <w:t>Table No.4. Results of expert interviews – acceptable profit margin in subsectors depending on changes in volume, %</w:t>
      </w:r>
    </w:p>
    <w:tbl>
      <w:tblPr>
        <w:tblStyle w:val="PlainTable1"/>
        <w:tblW w:w="8964" w:type="dxa"/>
        <w:jc w:val="center"/>
        <w:tblLook w:val="04A0" w:firstRow="1" w:lastRow="0" w:firstColumn="1" w:lastColumn="0" w:noHBand="0" w:noVBand="1"/>
      </w:tblPr>
      <w:tblGrid>
        <w:gridCol w:w="1938"/>
        <w:gridCol w:w="1275"/>
        <w:gridCol w:w="1275"/>
        <w:gridCol w:w="1492"/>
        <w:gridCol w:w="1492"/>
        <w:gridCol w:w="1492"/>
      </w:tblGrid>
      <w:tr w:rsidR="00486F98" w:rsidRPr="00B2521E" w14:paraId="4B7A7881"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1F3864"/>
            <w:vAlign w:val="center"/>
          </w:tcPr>
          <w:p w14:paraId="4A719F49" w14:textId="77777777" w:rsidR="00486F98" w:rsidRPr="00B2521E" w:rsidRDefault="00486F98" w:rsidP="00486F98">
            <w:pPr>
              <w:spacing w:before="0" w:after="0"/>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Level of changes in volume</w:t>
            </w:r>
          </w:p>
        </w:tc>
        <w:tc>
          <w:tcPr>
            <w:tcW w:w="1275" w:type="dxa"/>
            <w:shd w:val="clear" w:color="auto" w:fill="1F3864"/>
            <w:vAlign w:val="center"/>
          </w:tcPr>
          <w:p w14:paraId="03F88F50"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-10%</w:t>
            </w:r>
          </w:p>
        </w:tc>
        <w:tc>
          <w:tcPr>
            <w:tcW w:w="1275" w:type="dxa"/>
            <w:shd w:val="clear" w:color="auto" w:fill="1F3864"/>
            <w:vAlign w:val="center"/>
          </w:tcPr>
          <w:p w14:paraId="719E90BB"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0%</w:t>
            </w:r>
          </w:p>
        </w:tc>
        <w:tc>
          <w:tcPr>
            <w:tcW w:w="1492" w:type="dxa"/>
            <w:shd w:val="clear" w:color="auto" w:fill="1F3864"/>
            <w:vAlign w:val="center"/>
          </w:tcPr>
          <w:p w14:paraId="6B233743"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0% to +10%</w:t>
            </w:r>
          </w:p>
        </w:tc>
        <w:tc>
          <w:tcPr>
            <w:tcW w:w="1492" w:type="dxa"/>
            <w:shd w:val="clear" w:color="auto" w:fill="1F3864"/>
            <w:vAlign w:val="center"/>
          </w:tcPr>
          <w:p w14:paraId="410C03BE"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+10% to +20%</w:t>
            </w:r>
          </w:p>
        </w:tc>
        <w:tc>
          <w:tcPr>
            <w:tcW w:w="1492" w:type="dxa"/>
            <w:shd w:val="clear" w:color="auto" w:fill="1F3864"/>
            <w:vAlign w:val="center"/>
          </w:tcPr>
          <w:p w14:paraId="04F87A5A" w14:textId="77777777" w:rsidR="00486F98" w:rsidRPr="00B2521E"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 to +30%</w:t>
            </w:r>
          </w:p>
        </w:tc>
      </w:tr>
      <w:tr w:rsidR="00486F98" w:rsidRPr="00B2521E" w14:paraId="2B8E9C24"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346DD457" w14:textId="77777777" w:rsidR="00486F98" w:rsidRPr="00B2521E" w:rsidRDefault="00486F98" w:rsidP="00486F98">
            <w:pPr>
              <w:spacing w:before="0" w:after="0"/>
              <w:rPr>
                <w:rFonts w:eastAsia="Times New Roman" w:cstheme="minorHAnsi"/>
                <w:b w:val="0"/>
                <w:bCs w:val="0"/>
                <w:color w:val="000000"/>
                <w:sz w:val="18"/>
                <w:szCs w:val="18"/>
              </w:rPr>
            </w:pPr>
            <w:r>
              <w:rPr>
                <w:sz w:val="18"/>
                <w:szCs w:val="18"/>
              </w:rPr>
              <w:t>Construction of residential buildings</w:t>
            </w:r>
          </w:p>
        </w:tc>
        <w:tc>
          <w:tcPr>
            <w:tcW w:w="1275" w:type="dxa"/>
            <w:noWrap/>
            <w:vAlign w:val="center"/>
          </w:tcPr>
          <w:p w14:paraId="7477E186"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Pr>
                <w:sz w:val="18"/>
                <w:szCs w:val="18"/>
              </w:rPr>
              <w:t>6.25</w:t>
            </w:r>
          </w:p>
        </w:tc>
        <w:tc>
          <w:tcPr>
            <w:tcW w:w="1275" w:type="dxa"/>
            <w:vAlign w:val="center"/>
          </w:tcPr>
          <w:p w14:paraId="3613BC4E"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Pr>
                <w:sz w:val="18"/>
                <w:szCs w:val="18"/>
              </w:rPr>
              <w:t>6.63</w:t>
            </w:r>
          </w:p>
        </w:tc>
        <w:tc>
          <w:tcPr>
            <w:tcW w:w="1492" w:type="dxa"/>
            <w:noWrap/>
            <w:vAlign w:val="center"/>
          </w:tcPr>
          <w:p w14:paraId="2E2BC218"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Pr>
                <w:sz w:val="18"/>
                <w:szCs w:val="18"/>
              </w:rPr>
              <w:t>7.13</w:t>
            </w:r>
          </w:p>
        </w:tc>
        <w:tc>
          <w:tcPr>
            <w:tcW w:w="1492" w:type="dxa"/>
            <w:noWrap/>
            <w:vAlign w:val="center"/>
          </w:tcPr>
          <w:p w14:paraId="5FC1F0AD"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Pr>
                <w:sz w:val="18"/>
                <w:szCs w:val="18"/>
              </w:rPr>
              <w:t>7.75</w:t>
            </w:r>
          </w:p>
        </w:tc>
        <w:tc>
          <w:tcPr>
            <w:tcW w:w="1492" w:type="dxa"/>
            <w:noWrap/>
            <w:vAlign w:val="center"/>
          </w:tcPr>
          <w:p w14:paraId="2E3B1482"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Pr>
                <w:sz w:val="18"/>
                <w:szCs w:val="18"/>
              </w:rPr>
              <w:t>10.67</w:t>
            </w:r>
          </w:p>
        </w:tc>
      </w:tr>
      <w:tr w:rsidR="00486F98" w:rsidRPr="00B2521E" w14:paraId="7352A914"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1908CD8C" w14:textId="77777777" w:rsidR="00486F98" w:rsidRPr="00B2521E" w:rsidRDefault="00486F98" w:rsidP="00486F98">
            <w:pPr>
              <w:spacing w:before="0" w:after="0"/>
              <w:rPr>
                <w:b w:val="0"/>
                <w:bCs w:val="0"/>
                <w:sz w:val="18"/>
                <w:szCs w:val="18"/>
              </w:rPr>
            </w:pPr>
            <w:r>
              <w:rPr>
                <w:sz w:val="18"/>
                <w:szCs w:val="18"/>
              </w:rPr>
              <w:t>Construction of non-residential buildings</w:t>
            </w:r>
          </w:p>
        </w:tc>
        <w:tc>
          <w:tcPr>
            <w:tcW w:w="1275" w:type="dxa"/>
            <w:noWrap/>
            <w:vAlign w:val="center"/>
          </w:tcPr>
          <w:p w14:paraId="01C23DBE"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6.13</w:t>
            </w:r>
          </w:p>
        </w:tc>
        <w:tc>
          <w:tcPr>
            <w:tcW w:w="1275" w:type="dxa"/>
            <w:vAlign w:val="center"/>
          </w:tcPr>
          <w:p w14:paraId="13C75940"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6.50</w:t>
            </w:r>
          </w:p>
        </w:tc>
        <w:tc>
          <w:tcPr>
            <w:tcW w:w="1492" w:type="dxa"/>
            <w:noWrap/>
            <w:vAlign w:val="center"/>
          </w:tcPr>
          <w:p w14:paraId="61B79AB5"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7.13</w:t>
            </w:r>
          </w:p>
        </w:tc>
        <w:tc>
          <w:tcPr>
            <w:tcW w:w="1492" w:type="dxa"/>
            <w:noWrap/>
            <w:vAlign w:val="center"/>
          </w:tcPr>
          <w:p w14:paraId="5BB6F3E9"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7.75</w:t>
            </w:r>
          </w:p>
        </w:tc>
        <w:tc>
          <w:tcPr>
            <w:tcW w:w="1492" w:type="dxa"/>
            <w:noWrap/>
            <w:vAlign w:val="center"/>
          </w:tcPr>
          <w:p w14:paraId="14B8098A"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10.67</w:t>
            </w:r>
          </w:p>
        </w:tc>
      </w:tr>
      <w:tr w:rsidR="00486F98" w:rsidRPr="00B2521E" w14:paraId="172629FB"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452D5C13" w14:textId="77777777" w:rsidR="00486F98" w:rsidRPr="00B2521E" w:rsidRDefault="00486F98" w:rsidP="00486F98">
            <w:pPr>
              <w:spacing w:before="0" w:after="0"/>
              <w:rPr>
                <w:rFonts w:ascii="Calibri" w:hAnsi="Calibri" w:cs="Calibri"/>
                <w:b w:val="0"/>
                <w:bCs w:val="0"/>
                <w:color w:val="000000"/>
                <w:sz w:val="18"/>
                <w:szCs w:val="18"/>
              </w:rPr>
            </w:pPr>
            <w:r>
              <w:rPr>
                <w:sz w:val="18"/>
                <w:szCs w:val="18"/>
              </w:rPr>
              <w:t>Construction of transport objects</w:t>
            </w:r>
          </w:p>
        </w:tc>
        <w:tc>
          <w:tcPr>
            <w:tcW w:w="1275" w:type="dxa"/>
            <w:noWrap/>
            <w:vAlign w:val="center"/>
          </w:tcPr>
          <w:p w14:paraId="78322FD2"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4.33</w:t>
            </w:r>
          </w:p>
        </w:tc>
        <w:tc>
          <w:tcPr>
            <w:tcW w:w="1275" w:type="dxa"/>
            <w:vAlign w:val="center"/>
          </w:tcPr>
          <w:p w14:paraId="38619336"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3.67</w:t>
            </w:r>
          </w:p>
        </w:tc>
        <w:tc>
          <w:tcPr>
            <w:tcW w:w="1492" w:type="dxa"/>
            <w:noWrap/>
            <w:vAlign w:val="center"/>
          </w:tcPr>
          <w:p w14:paraId="12594547"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5.33</w:t>
            </w:r>
          </w:p>
        </w:tc>
        <w:tc>
          <w:tcPr>
            <w:tcW w:w="1492" w:type="dxa"/>
            <w:noWrap/>
            <w:vAlign w:val="center"/>
          </w:tcPr>
          <w:p w14:paraId="05C37349"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7.67</w:t>
            </w:r>
          </w:p>
        </w:tc>
        <w:tc>
          <w:tcPr>
            <w:tcW w:w="1492" w:type="dxa"/>
            <w:noWrap/>
            <w:vAlign w:val="center"/>
          </w:tcPr>
          <w:p w14:paraId="362A7DBA"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8.33</w:t>
            </w:r>
          </w:p>
        </w:tc>
      </w:tr>
      <w:tr w:rsidR="00486F98" w:rsidRPr="00B2521E" w14:paraId="275EA041"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E253AC2" w14:textId="77777777" w:rsidR="00486F98" w:rsidRPr="00B2521E" w:rsidRDefault="00486F98" w:rsidP="00486F98">
            <w:pPr>
              <w:spacing w:before="0" w:after="0"/>
              <w:rPr>
                <w:b w:val="0"/>
                <w:bCs w:val="0"/>
                <w:sz w:val="18"/>
                <w:szCs w:val="18"/>
              </w:rPr>
            </w:pPr>
            <w:r>
              <w:rPr>
                <w:sz w:val="18"/>
                <w:szCs w:val="18"/>
              </w:rPr>
              <w:t>Construction of city infrastructure objects</w:t>
            </w:r>
          </w:p>
        </w:tc>
        <w:tc>
          <w:tcPr>
            <w:tcW w:w="1275" w:type="dxa"/>
            <w:noWrap/>
            <w:vAlign w:val="center"/>
          </w:tcPr>
          <w:p w14:paraId="654BDD45"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1.00</w:t>
            </w:r>
          </w:p>
        </w:tc>
        <w:tc>
          <w:tcPr>
            <w:tcW w:w="1275" w:type="dxa"/>
            <w:vAlign w:val="center"/>
          </w:tcPr>
          <w:p w14:paraId="2A749422"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2.67</w:t>
            </w:r>
          </w:p>
        </w:tc>
        <w:tc>
          <w:tcPr>
            <w:tcW w:w="1492" w:type="dxa"/>
            <w:noWrap/>
            <w:vAlign w:val="center"/>
          </w:tcPr>
          <w:p w14:paraId="55639DB0"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5.67</w:t>
            </w:r>
          </w:p>
        </w:tc>
        <w:tc>
          <w:tcPr>
            <w:tcW w:w="1492" w:type="dxa"/>
            <w:noWrap/>
            <w:vAlign w:val="center"/>
          </w:tcPr>
          <w:p w14:paraId="69A551C3"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7.00</w:t>
            </w:r>
          </w:p>
        </w:tc>
        <w:tc>
          <w:tcPr>
            <w:tcW w:w="1492" w:type="dxa"/>
            <w:noWrap/>
            <w:vAlign w:val="center"/>
          </w:tcPr>
          <w:p w14:paraId="063E841A"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8.00</w:t>
            </w:r>
          </w:p>
        </w:tc>
      </w:tr>
      <w:tr w:rsidR="00486F98" w:rsidRPr="00B2521E" w14:paraId="375A76CC"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7436AA0A" w14:textId="77777777" w:rsidR="00486F98" w:rsidRPr="00B2521E" w:rsidRDefault="00486F98" w:rsidP="00486F98">
            <w:pPr>
              <w:spacing w:before="0" w:after="0"/>
              <w:rPr>
                <w:b w:val="0"/>
                <w:bCs w:val="0"/>
                <w:sz w:val="18"/>
                <w:szCs w:val="18"/>
              </w:rPr>
            </w:pPr>
            <w:r>
              <w:rPr>
                <w:sz w:val="18"/>
                <w:szCs w:val="18"/>
              </w:rPr>
              <w:t>Construction of other civil engineering projects</w:t>
            </w:r>
          </w:p>
        </w:tc>
        <w:tc>
          <w:tcPr>
            <w:tcW w:w="1275" w:type="dxa"/>
            <w:noWrap/>
            <w:vAlign w:val="center"/>
          </w:tcPr>
          <w:p w14:paraId="702625F6"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sz w:val="18"/>
                <w:szCs w:val="18"/>
              </w:rPr>
              <w:t>-1.00</w:t>
            </w:r>
          </w:p>
        </w:tc>
        <w:tc>
          <w:tcPr>
            <w:tcW w:w="1275" w:type="dxa"/>
            <w:vAlign w:val="center"/>
          </w:tcPr>
          <w:p w14:paraId="028B309A"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sz w:val="18"/>
                <w:szCs w:val="18"/>
              </w:rPr>
              <w:t>-1.67</w:t>
            </w:r>
          </w:p>
        </w:tc>
        <w:tc>
          <w:tcPr>
            <w:tcW w:w="1492" w:type="dxa"/>
            <w:noWrap/>
            <w:vAlign w:val="center"/>
          </w:tcPr>
          <w:p w14:paraId="30D43C84"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sz w:val="18"/>
                <w:szCs w:val="18"/>
              </w:rPr>
              <w:t>3.33</w:t>
            </w:r>
          </w:p>
        </w:tc>
        <w:tc>
          <w:tcPr>
            <w:tcW w:w="1492" w:type="dxa"/>
            <w:noWrap/>
            <w:vAlign w:val="center"/>
          </w:tcPr>
          <w:p w14:paraId="5922731D"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sz w:val="18"/>
                <w:szCs w:val="18"/>
              </w:rPr>
              <w:t>4.00</w:t>
            </w:r>
          </w:p>
        </w:tc>
        <w:tc>
          <w:tcPr>
            <w:tcW w:w="1492" w:type="dxa"/>
            <w:noWrap/>
            <w:vAlign w:val="center"/>
          </w:tcPr>
          <w:p w14:paraId="19A7043E" w14:textId="77777777" w:rsidR="00486F98" w:rsidRPr="00B2521E"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sz w:val="18"/>
                <w:szCs w:val="18"/>
              </w:rPr>
              <w:t>5.67</w:t>
            </w:r>
          </w:p>
        </w:tc>
      </w:tr>
      <w:tr w:rsidR="00486F98" w:rsidRPr="00B2521E" w14:paraId="1174C27D"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8C3366" w14:textId="77777777" w:rsidR="00486F98" w:rsidRPr="00B2521E" w:rsidRDefault="00486F98" w:rsidP="00486F98">
            <w:pPr>
              <w:spacing w:before="0" w:after="0"/>
              <w:rPr>
                <w:b w:val="0"/>
                <w:bCs w:val="0"/>
                <w:sz w:val="18"/>
                <w:szCs w:val="18"/>
              </w:rPr>
            </w:pPr>
            <w:r>
              <w:rPr>
                <w:sz w:val="18"/>
                <w:szCs w:val="18"/>
              </w:rPr>
              <w:t>Construction of complex structures in manufacturing companies</w:t>
            </w:r>
          </w:p>
        </w:tc>
        <w:tc>
          <w:tcPr>
            <w:tcW w:w="1275" w:type="dxa"/>
            <w:noWrap/>
            <w:vAlign w:val="center"/>
          </w:tcPr>
          <w:p w14:paraId="319C87E1"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1.00</w:t>
            </w:r>
          </w:p>
        </w:tc>
        <w:tc>
          <w:tcPr>
            <w:tcW w:w="1275" w:type="dxa"/>
            <w:vAlign w:val="center"/>
          </w:tcPr>
          <w:p w14:paraId="5D158293"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1.00</w:t>
            </w:r>
          </w:p>
        </w:tc>
        <w:tc>
          <w:tcPr>
            <w:tcW w:w="1492" w:type="dxa"/>
            <w:noWrap/>
            <w:vAlign w:val="center"/>
          </w:tcPr>
          <w:p w14:paraId="1D3F3851"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6.00</w:t>
            </w:r>
          </w:p>
        </w:tc>
        <w:tc>
          <w:tcPr>
            <w:tcW w:w="1492" w:type="dxa"/>
            <w:noWrap/>
            <w:vAlign w:val="center"/>
          </w:tcPr>
          <w:p w14:paraId="1D603905"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7.00</w:t>
            </w:r>
          </w:p>
        </w:tc>
        <w:tc>
          <w:tcPr>
            <w:tcW w:w="1492" w:type="dxa"/>
            <w:noWrap/>
            <w:vAlign w:val="center"/>
          </w:tcPr>
          <w:p w14:paraId="0F783422" w14:textId="77777777" w:rsidR="00486F98" w:rsidRPr="00B2521E"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sz w:val="18"/>
                <w:szCs w:val="18"/>
              </w:rPr>
              <w:t>7.00</w:t>
            </w:r>
          </w:p>
        </w:tc>
      </w:tr>
    </w:tbl>
    <w:p w14:paraId="4755E97C" w14:textId="77777777" w:rsidR="00486F98" w:rsidRPr="00B2521E" w:rsidRDefault="00486F98" w:rsidP="00486F98">
      <w:pPr>
        <w:jc w:val="center"/>
      </w:pPr>
      <w:r>
        <w:rPr>
          <w:sz w:val="20"/>
        </w:rPr>
        <w:t>Source: calculations of the authors based on interview results</w:t>
      </w:r>
    </w:p>
    <w:p w14:paraId="0A47A1A9" w14:textId="0AB3EE3C" w:rsidR="00486F98" w:rsidRPr="00B2521E" w:rsidRDefault="00486F98" w:rsidP="001F432D">
      <w:pPr>
        <w:ind w:firstLine="720"/>
        <w:jc w:val="both"/>
      </w:pPr>
      <w:r>
        <w:t xml:space="preserve">The experts were also asked about an acceptable profit margin in their subsector (see Table No.4). Overall, it </w:t>
      </w:r>
      <w:proofErr w:type="gramStart"/>
      <w:r>
        <w:t>is evaluated</w:t>
      </w:r>
      <w:proofErr w:type="gramEnd"/>
      <w:r>
        <w:t xml:space="preserve"> that an acceptable profit margin in building and transport subsectors is higher, in particular in case of reduction of volumes of construction products. A negative acceptable profit margin in case of reduction of volume is indicated only in subsector Construction of other civil engineering projects.</w:t>
      </w:r>
    </w:p>
    <w:p w14:paraId="2B342919" w14:textId="3004865D" w:rsidR="00A31629" w:rsidRPr="00B2521E" w:rsidRDefault="00A31629" w:rsidP="00882C59">
      <w:pPr>
        <w:jc w:val="both"/>
        <w:rPr>
          <w:b/>
          <w:bCs/>
          <w:color w:val="002060"/>
        </w:rPr>
      </w:pPr>
      <w:r>
        <w:rPr>
          <w:b/>
          <w:bCs/>
          <w:color w:val="002060"/>
        </w:rPr>
        <w:t>2.2.2. Statistical trend</w:t>
      </w:r>
    </w:p>
    <w:p w14:paraId="633B24E4" w14:textId="6859F6AC" w:rsidR="00350C54" w:rsidRPr="00B2521E" w:rsidRDefault="005D392E" w:rsidP="00350C54">
      <w:pPr>
        <w:ind w:firstLine="851"/>
        <w:jc w:val="both"/>
      </w:pPr>
      <w:r>
        <w:t>Historical indicators of changes in construction costs were analysed with different statistical trend methods. The models used in the study for 2018 were initially verified. More accurate models, which include short-term fluctuations were used, considering the need for more credible short-term forecasts. A trigonometric model perfectly matching the historical wave trend was found iteratively. Thus, the correlation coefficient of the model has improved from 43% to 93%.</w:t>
      </w:r>
    </w:p>
    <w:p w14:paraId="20B4F4DC" w14:textId="5E590CDC" w:rsidR="00350C54" w:rsidRPr="00B2521E" w:rsidRDefault="00350C54" w:rsidP="00895643">
      <w:pPr>
        <w:ind w:firstLine="851"/>
        <w:jc w:val="both"/>
      </w:pPr>
      <w:r>
        <w:t>The justification of selection of the model are historical cyclic fluctuations of changes in construction costs, which, according to the analysis of historical data, was largely affected by the link of public construction order to the cycle of EU funds programming period.</w:t>
      </w:r>
    </w:p>
    <w:p w14:paraId="65301CD5" w14:textId="2F7EB4A0" w:rsidR="005D392E" w:rsidRPr="00B2521E" w:rsidRDefault="005D392E" w:rsidP="005D392E">
      <w:pPr>
        <w:jc w:val="both"/>
        <w:rPr>
          <w:b/>
          <w:bCs/>
          <w:color w:val="002060"/>
        </w:rPr>
      </w:pPr>
      <w:r>
        <w:rPr>
          <w:b/>
          <w:bCs/>
          <w:color w:val="002060"/>
        </w:rPr>
        <w:t>2.2.3. Expert evaluations</w:t>
      </w:r>
    </w:p>
    <w:p w14:paraId="594B8F68" w14:textId="5D6D0FB1" w:rsidR="00D91DBE" w:rsidRPr="00B2521E" w:rsidRDefault="00D91DBE" w:rsidP="00D91DBE">
      <w:pPr>
        <w:ind w:firstLine="851"/>
        <w:jc w:val="both"/>
        <w:rPr>
          <w:rStyle w:val="st"/>
        </w:rPr>
      </w:pPr>
      <w:r>
        <w:rPr>
          <w:rStyle w:val="st"/>
        </w:rPr>
        <w:t xml:space="preserve">Ten general construction experts were asked in the interviews to forecast changes in costs of construction materials. The experts have studied the dynamics of statistical data in the previous years. The average expert evaluation shows that an increase of changes in costs of </w:t>
      </w:r>
      <w:r>
        <w:t>construction materials</w:t>
      </w:r>
      <w:r>
        <w:rPr>
          <w:rStyle w:val="st"/>
        </w:rPr>
        <w:t xml:space="preserve"> is expected in the nearest years: by 4.6% in 2019, by 3.9% in 2020 and by 2.1% in 2021. After that, the </w:t>
      </w:r>
      <w:r>
        <w:rPr>
          <w:rStyle w:val="st"/>
        </w:rPr>
        <w:lastRenderedPageBreak/>
        <w:t>forecasts for 2022 and 2023 show a smaller increase of 0.6% and 0.7%, respectively. However, evaluations of individual experts differ rather seriously and the standard error evidences that if the group of experts is increased, average evaluations might fluctuate within a percent.</w:t>
      </w:r>
    </w:p>
    <w:p w14:paraId="280FD92C" w14:textId="3BFFEC51" w:rsidR="005D392E" w:rsidRPr="00B2521E" w:rsidRDefault="00D91DBE" w:rsidP="005D392E">
      <w:pPr>
        <w:jc w:val="both"/>
      </w:pPr>
      <w:r>
        <w:rPr>
          <w:b/>
          <w:bCs/>
          <w:color w:val="002060"/>
        </w:rPr>
        <w:t xml:space="preserve">2.2.4. Summary of </w:t>
      </w:r>
      <w:r>
        <w:rPr>
          <w:b/>
          <w:color w:val="1F3864" w:themeColor="accent1" w:themeShade="80"/>
          <w:szCs w:val="22"/>
        </w:rPr>
        <w:t>forecasts of changes in construction costs</w:t>
      </w:r>
    </w:p>
    <w:p w14:paraId="0A0C0699" w14:textId="68DEE9C6" w:rsidR="006811AC" w:rsidRPr="00B2521E" w:rsidRDefault="006811AC" w:rsidP="0011595E">
      <w:pPr>
        <w:ind w:firstLine="851"/>
        <w:jc w:val="both"/>
      </w:pPr>
      <w:r>
        <w:t xml:space="preserve">In connection with the increase in the volume of construction products in 2017 and 2018 an increase in </w:t>
      </w:r>
      <w:r>
        <w:rPr>
          <w:rStyle w:val="st"/>
        </w:rPr>
        <w:t>changes</w:t>
      </w:r>
      <w:r>
        <w:t xml:space="preserve"> in construction costs was observed as well (see Figure No. 3). Forecasts of changes in costs demonstrate a trend that the annual increase will become slower compared to the previous year, and </w:t>
      </w:r>
      <w:r>
        <w:rPr>
          <w:rStyle w:val="st"/>
        </w:rPr>
        <w:t>changes</w:t>
      </w:r>
      <w:r>
        <w:t xml:space="preserve"> in costs will slightly reduce in 2022.</w:t>
      </w:r>
    </w:p>
    <w:p w14:paraId="0D1CEFEA" w14:textId="3E10D440" w:rsidR="00CF3B81" w:rsidRPr="00B2521E" w:rsidRDefault="00CF3B81" w:rsidP="00CF3B81">
      <w:pPr>
        <w:jc w:val="center"/>
        <w:rPr>
          <w:b/>
          <w:sz w:val="20"/>
        </w:rPr>
      </w:pPr>
      <w:r>
        <w:rPr>
          <w:b/>
          <w:sz w:val="20"/>
        </w:rPr>
        <w:t xml:space="preserve">Figure No. 3. Changes in construction costs before 2018 and forecasts from 2019 to 2023, cumulative changes compared to 2018, % </w:t>
      </w:r>
    </w:p>
    <w:p w14:paraId="2A2CA0ED" w14:textId="34FD31EF" w:rsidR="00CF3B81" w:rsidRPr="00B2521E" w:rsidRDefault="009000A0" w:rsidP="00CF3B81">
      <w:pPr>
        <w:jc w:val="center"/>
        <w:rPr>
          <w:bCs/>
          <w:sz w:val="20"/>
        </w:rPr>
      </w:pPr>
      <w:r w:rsidRPr="009000A0">
        <w:rPr>
          <w:noProof/>
          <w:lang w:val="en-US"/>
        </w:rPr>
        <w:drawing>
          <wp:inline distT="0" distB="0" distL="0" distR="0" wp14:anchorId="707169E0" wp14:editId="62A3C7A1">
            <wp:extent cx="5188688" cy="3766985"/>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93190" cy="3770253"/>
                    </a:xfrm>
                    <a:prstGeom prst="rect">
                      <a:avLst/>
                    </a:prstGeom>
                  </pic:spPr>
                </pic:pic>
              </a:graphicData>
            </a:graphic>
          </wp:inline>
        </w:drawing>
      </w:r>
    </w:p>
    <w:p w14:paraId="7EA32F75" w14:textId="20EE2D6F" w:rsidR="00D22E7B" w:rsidRPr="00B2521E" w:rsidRDefault="00CF3B81" w:rsidP="009000A0">
      <w:pPr>
        <w:spacing w:before="100" w:after="200" w:line="276" w:lineRule="auto"/>
        <w:jc w:val="center"/>
        <w:rPr>
          <w:sz w:val="24"/>
          <w:szCs w:val="22"/>
        </w:rPr>
      </w:pPr>
      <w:r>
        <w:rPr>
          <w:sz w:val="20"/>
        </w:rPr>
        <w:t>Source: CSB historical data before 2018 (inclusive) and calculations made by authors, based on expert evaluations, the statistical data trend and elasticity modelling – forecast for 2019-2023.</w:t>
      </w:r>
      <w:r w:rsidR="009000A0" w:rsidRPr="00B2521E">
        <w:rPr>
          <w:sz w:val="24"/>
          <w:szCs w:val="22"/>
        </w:rPr>
        <w:t xml:space="preserve"> </w:t>
      </w:r>
    </w:p>
    <w:p w14:paraId="3F9CDEAC" w14:textId="149C5AC5" w:rsidR="00F9583C" w:rsidRPr="00B2521E" w:rsidRDefault="00560081" w:rsidP="0011595E">
      <w:pPr>
        <w:ind w:firstLine="851"/>
        <w:jc w:val="both"/>
      </w:pPr>
      <w:r>
        <w:t xml:space="preserve">Evaluations of industry representatives show that a slower increase of </w:t>
      </w:r>
      <w:r>
        <w:rPr>
          <w:rStyle w:val="st"/>
        </w:rPr>
        <w:t>changes</w:t>
      </w:r>
      <w:r>
        <w:t xml:space="preserve"> in costs is expected in 2019 and 2020 (compared to the previous year) than in 2018. Furthermore, overall </w:t>
      </w:r>
      <w:r>
        <w:rPr>
          <w:rStyle w:val="st"/>
        </w:rPr>
        <w:t>changes</w:t>
      </w:r>
      <w:r>
        <w:t xml:space="preserve"> in costs will have increased almost by 20% in 2023, compared to 2018. </w:t>
      </w:r>
    </w:p>
    <w:p w14:paraId="6014F87D" w14:textId="4DA4D0A8" w:rsidR="00BD00FE" w:rsidRPr="00B2521E" w:rsidRDefault="00BD00FE" w:rsidP="0011595E">
      <w:pPr>
        <w:ind w:firstLine="851"/>
        <w:jc w:val="both"/>
        <w:rPr>
          <w:rStyle w:val="st"/>
        </w:rPr>
      </w:pPr>
      <w:r>
        <w:rPr>
          <w:rStyle w:val="st"/>
        </w:rPr>
        <w:t>The statistical trend based on cyclic dynamics since 2010 without considering the drop during the economic crisis, shows a much more cautious forecast with a reduction in the increase of changes in costs in 2021 and 2022, which will result in a level of changes in costs by 6% higher than in 2018 in 2023. The cost-volume elasticity model, which includes evaluations of industry representatives on changes in the costs, if the volume of products changes, and causal relationships of historical data of this links was used to improve accuracy of forecasts (for a more detailed analysis of cost-volume and profit margin-volume models see Annex No. 1). This model shows cautious forecasts, which are very close to the statistical trend of changes in costs reaching an increase of only 6.5% in 2023 compared to 2018.</w:t>
      </w:r>
    </w:p>
    <w:p w14:paraId="12A5D7BA" w14:textId="6A4CCE73" w:rsidR="00B47383" w:rsidRPr="00B2521E" w:rsidRDefault="22E04E7E" w:rsidP="00B47383">
      <w:pPr>
        <w:ind w:firstLine="851"/>
        <w:jc w:val="both"/>
        <w:rPr>
          <w:rStyle w:val="st"/>
        </w:rPr>
      </w:pPr>
      <w:r>
        <w:rPr>
          <w:rStyle w:val="st"/>
        </w:rPr>
        <w:t xml:space="preserve">The rapid increase in the volume of construction products in recent years thanks to the implementation of project co-funded by EU funds, may increase the deficit of resources also in 2019 – 2021, which may have an unpredictable impact on the increase in changes in costs. Therefore, it is </w:t>
      </w:r>
      <w:r>
        <w:rPr>
          <w:rStyle w:val="st"/>
        </w:rPr>
        <w:lastRenderedPageBreak/>
        <w:t xml:space="preserve">impossible to unambiguously state that the forecast evaluations of industry experts would be exaggerated. It is also difficult to forecast whether the drop of changes in costs after the implementation of projects co-financed by EU funds might be as slow as forecast of the statistical trend and elasticity. </w:t>
      </w:r>
      <w:proofErr w:type="gramStart"/>
      <w:r>
        <w:rPr>
          <w:rStyle w:val="st"/>
        </w:rPr>
        <w:t>Or</w:t>
      </w:r>
      <w:proofErr w:type="gramEnd"/>
      <w:r>
        <w:rPr>
          <w:rStyle w:val="st"/>
        </w:rPr>
        <w:t>, quite the opposite – the drop in changes in costs due to inertial effects may be delayed due to the drop in the demand in volume. Actual changes in costs may largely depend on fluctuations in the volume of public orders and the extent to which state and local government projects without co-funding from EU funds level the drop in volume of co-financed projects.</w:t>
      </w:r>
    </w:p>
    <w:p w14:paraId="70673877" w14:textId="4E8199C9" w:rsidR="00F9583C" w:rsidRPr="00B2521E" w:rsidRDefault="00F9583C" w:rsidP="00F9583C">
      <w:pPr>
        <w:ind w:firstLine="851"/>
        <w:jc w:val="both"/>
      </w:pPr>
      <w:r>
        <w:t>Therefore, the approach defined in the improved methodology to take into account three data sources in the final forecast is considered justified and the combined forecast, which is formed as mean arithmetic value from three data sources, show an increase in each year of the period of forecast except 2022 (see Table No. 5).</w:t>
      </w:r>
    </w:p>
    <w:p w14:paraId="42EE2E42" w14:textId="5CF59832" w:rsidR="00F9583C" w:rsidRPr="00B2521E" w:rsidRDefault="00F9583C" w:rsidP="00F9583C">
      <w:pPr>
        <w:jc w:val="center"/>
        <w:rPr>
          <w:b/>
          <w:bCs/>
          <w:sz w:val="20"/>
        </w:rPr>
      </w:pPr>
      <w:r>
        <w:rPr>
          <w:b/>
          <w:bCs/>
          <w:sz w:val="20"/>
        </w:rPr>
        <w:t>Table No. 5. Combined forecast –</w:t>
      </w:r>
      <w:r>
        <w:rPr>
          <w:b/>
          <w:bCs/>
        </w:rPr>
        <w:t xml:space="preserve"> </w:t>
      </w:r>
      <w:r>
        <w:rPr>
          <w:b/>
          <w:bCs/>
          <w:sz w:val="20"/>
        </w:rPr>
        <w:t>changes in construction costs compared to the previous year, %</w:t>
      </w:r>
    </w:p>
    <w:tbl>
      <w:tblPr>
        <w:tblStyle w:val="PlainTable1"/>
        <w:tblW w:w="8964" w:type="dxa"/>
        <w:jc w:val="center"/>
        <w:tblLook w:val="04A0" w:firstRow="1" w:lastRow="0" w:firstColumn="1" w:lastColumn="0" w:noHBand="0" w:noVBand="1"/>
      </w:tblPr>
      <w:tblGrid>
        <w:gridCol w:w="2468"/>
        <w:gridCol w:w="1300"/>
        <w:gridCol w:w="1299"/>
        <w:gridCol w:w="1299"/>
        <w:gridCol w:w="1299"/>
        <w:gridCol w:w="1299"/>
      </w:tblGrid>
      <w:tr w:rsidR="00F9583C" w:rsidRPr="00B2521E" w14:paraId="05D51721" w14:textId="77777777" w:rsidTr="0089564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46716BB9" w14:textId="77777777" w:rsidR="00F9583C" w:rsidRPr="00B2521E" w:rsidRDefault="00F9583C" w:rsidP="00D91DBE">
            <w:pPr>
              <w:spacing w:before="0" w:after="0"/>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Year</w:t>
            </w:r>
          </w:p>
        </w:tc>
        <w:tc>
          <w:tcPr>
            <w:tcW w:w="0" w:type="dxa"/>
            <w:shd w:val="clear" w:color="auto" w:fill="1F3864"/>
            <w:vAlign w:val="center"/>
          </w:tcPr>
          <w:p w14:paraId="083E7892" w14:textId="77777777" w:rsidR="00F9583C" w:rsidRPr="00B2521E"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2019</w:t>
            </w:r>
          </w:p>
        </w:tc>
        <w:tc>
          <w:tcPr>
            <w:tcW w:w="0" w:type="dxa"/>
            <w:shd w:val="clear" w:color="auto" w:fill="1F3864"/>
            <w:vAlign w:val="center"/>
          </w:tcPr>
          <w:p w14:paraId="5FA41CC7" w14:textId="77777777" w:rsidR="00F9583C" w:rsidRPr="00B2521E"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2020</w:t>
            </w:r>
          </w:p>
        </w:tc>
        <w:tc>
          <w:tcPr>
            <w:tcW w:w="0" w:type="dxa"/>
            <w:shd w:val="clear" w:color="auto" w:fill="1F3864"/>
            <w:vAlign w:val="center"/>
          </w:tcPr>
          <w:p w14:paraId="35F0F0C9" w14:textId="77777777" w:rsidR="00F9583C" w:rsidRPr="00B2521E"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2021</w:t>
            </w:r>
          </w:p>
        </w:tc>
        <w:tc>
          <w:tcPr>
            <w:tcW w:w="0" w:type="dxa"/>
            <w:shd w:val="clear" w:color="auto" w:fill="1F3864"/>
            <w:vAlign w:val="center"/>
          </w:tcPr>
          <w:p w14:paraId="77521779" w14:textId="77777777" w:rsidR="00F9583C" w:rsidRPr="00B2521E"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2022</w:t>
            </w:r>
          </w:p>
        </w:tc>
        <w:tc>
          <w:tcPr>
            <w:tcW w:w="0" w:type="dxa"/>
            <w:shd w:val="clear" w:color="auto" w:fill="1F3864"/>
            <w:vAlign w:val="center"/>
          </w:tcPr>
          <w:p w14:paraId="235B6F99" w14:textId="77777777" w:rsidR="00F9583C" w:rsidRPr="00B2521E"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2023</w:t>
            </w:r>
          </w:p>
        </w:tc>
      </w:tr>
      <w:tr w:rsidR="00CF05E4" w:rsidRPr="00B2521E" w14:paraId="32E0F3A6" w14:textId="77777777" w:rsidTr="008956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68" w:type="dxa"/>
            <w:vAlign w:val="center"/>
          </w:tcPr>
          <w:p w14:paraId="5AE4F898" w14:textId="54DCB0BF" w:rsidR="00CF05E4" w:rsidRPr="00B2521E" w:rsidRDefault="00CF05E4" w:rsidP="00CF05E4">
            <w:pPr>
              <w:spacing w:before="0" w:after="0"/>
              <w:rPr>
                <w:rFonts w:eastAsia="Times New Roman" w:cstheme="minorHAnsi"/>
                <w:b w:val="0"/>
                <w:bCs w:val="0"/>
                <w:color w:val="000000"/>
                <w:sz w:val="18"/>
                <w:szCs w:val="16"/>
              </w:rPr>
            </w:pPr>
            <w:r>
              <w:rPr>
                <w:rFonts w:ascii="Calibri" w:hAnsi="Calibri"/>
                <w:color w:val="000000"/>
                <w:sz w:val="18"/>
                <w:szCs w:val="16"/>
              </w:rPr>
              <w:t>Changes in construction costs compared to the previous year, %</w:t>
            </w:r>
          </w:p>
        </w:tc>
        <w:tc>
          <w:tcPr>
            <w:tcW w:w="1300" w:type="dxa"/>
            <w:noWrap/>
            <w:vAlign w:val="center"/>
          </w:tcPr>
          <w:p w14:paraId="1D21D47C" w14:textId="4BE60B5A" w:rsidR="00CF05E4" w:rsidRPr="00B2521E"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4.9</w:t>
            </w:r>
          </w:p>
        </w:tc>
        <w:tc>
          <w:tcPr>
            <w:tcW w:w="1299" w:type="dxa"/>
            <w:vAlign w:val="center"/>
          </w:tcPr>
          <w:p w14:paraId="35E156CA" w14:textId="0289FF80" w:rsidR="00CF05E4" w:rsidRPr="00B2521E"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4.4</w:t>
            </w:r>
          </w:p>
        </w:tc>
        <w:tc>
          <w:tcPr>
            <w:tcW w:w="1299" w:type="dxa"/>
            <w:noWrap/>
            <w:vAlign w:val="center"/>
          </w:tcPr>
          <w:p w14:paraId="20CB50A3" w14:textId="511144C5" w:rsidR="00CF05E4" w:rsidRPr="00B2521E"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1.5</w:t>
            </w:r>
          </w:p>
        </w:tc>
        <w:tc>
          <w:tcPr>
            <w:tcW w:w="1299" w:type="dxa"/>
            <w:noWrap/>
            <w:vAlign w:val="center"/>
          </w:tcPr>
          <w:p w14:paraId="32E13B1B" w14:textId="57E2A906" w:rsidR="00CF05E4" w:rsidRPr="00B2521E"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-1.1</w:t>
            </w:r>
          </w:p>
        </w:tc>
        <w:tc>
          <w:tcPr>
            <w:tcW w:w="1299" w:type="dxa"/>
            <w:noWrap/>
            <w:vAlign w:val="center"/>
          </w:tcPr>
          <w:p w14:paraId="05A55600" w14:textId="681A048E" w:rsidR="00CF05E4" w:rsidRPr="00B2521E"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0.7</w:t>
            </w:r>
          </w:p>
        </w:tc>
      </w:tr>
    </w:tbl>
    <w:p w14:paraId="468305C3" w14:textId="7EA93961" w:rsidR="00F9583C" w:rsidRPr="00B2521E" w:rsidRDefault="00F9583C" w:rsidP="00CF05E4">
      <w:pPr>
        <w:ind w:firstLine="851"/>
        <w:jc w:val="center"/>
        <w:rPr>
          <w:sz w:val="20"/>
        </w:rPr>
      </w:pPr>
      <w:r>
        <w:rPr>
          <w:sz w:val="20"/>
        </w:rPr>
        <w:t>Source: calculations of the authors based on expert evaluations, the statistical data trend and elasticity modelling</w:t>
      </w:r>
    </w:p>
    <w:p w14:paraId="3D9740F2" w14:textId="667189DD" w:rsidR="00477D15" w:rsidRPr="00B2521E" w:rsidRDefault="00884DAD" w:rsidP="00B47383">
      <w:pPr>
        <w:ind w:firstLine="851"/>
        <w:jc w:val="both"/>
      </w:pPr>
      <w:r>
        <w:t>The total trend of changes in construction costs is an annual increase of about 5% until 2020 followed by small fluctuations of changes at a zero level until 2023. The forecast for 2019 is confirmed by CSB data: The total level of changes in construction costs increased by 5.0% in Q1 2019, compared to Q1 2018.</w:t>
      </w:r>
      <w:r w:rsidRPr="00B2521E">
        <w:rPr>
          <w:rStyle w:val="FootnoteReference"/>
        </w:rPr>
        <w:footnoteReference w:id="6"/>
      </w:r>
    </w:p>
    <w:p w14:paraId="08CCCF45" w14:textId="644331D9" w:rsidR="00477D15" w:rsidRPr="00B2521E" w:rsidRDefault="00477D15" w:rsidP="00B47383">
      <w:pPr>
        <w:ind w:firstLine="851"/>
        <w:jc w:val="both"/>
      </w:pPr>
      <w:r>
        <w:t xml:space="preserve">However, it should be taken into account that actual changes in construction costs may be considerably affected by specific factors related to the deficit of resources in case of rapid implementation of large projects, for example, the demand for local gravel quarry resources in case of implementation of Rail </w:t>
      </w:r>
      <w:proofErr w:type="spellStart"/>
      <w:r>
        <w:t>Baltica</w:t>
      </w:r>
      <w:proofErr w:type="spellEnd"/>
      <w:r>
        <w:t>, and specific market solutions, for example, attraction of labour force from “third countries” and state initiatives in the development of the construction sector and the implementation of shadow economy combating measures. Therefore, the forecasts should be interpreted as a general market trend, the real dynamics of changes in construction costs may be affected by specific factors and circumstances.</w:t>
      </w:r>
    </w:p>
    <w:p w14:paraId="051F7BA5" w14:textId="134E2CAA" w:rsidR="00515FED" w:rsidRPr="00B2521E" w:rsidRDefault="00515FED" w:rsidP="00B47383">
      <w:pPr>
        <w:ind w:firstLine="851"/>
        <w:jc w:val="both"/>
      </w:pPr>
    </w:p>
    <w:p w14:paraId="39142809" w14:textId="77777777" w:rsidR="00725BEA" w:rsidRPr="00B2521E" w:rsidRDefault="00725BEA" w:rsidP="00B47383">
      <w:pPr>
        <w:ind w:firstLine="851"/>
        <w:jc w:val="both"/>
      </w:pPr>
    </w:p>
    <w:p w14:paraId="6DB05092" w14:textId="200FD871" w:rsidR="003A2005" w:rsidRPr="00B2521E" w:rsidRDefault="003A2005" w:rsidP="003C707C">
      <w:pPr>
        <w:ind w:firstLine="851"/>
        <w:jc w:val="both"/>
      </w:pPr>
    </w:p>
    <w:p w14:paraId="1AEF3401" w14:textId="65AAD2BE" w:rsidR="003A2005" w:rsidRPr="00B2521E" w:rsidRDefault="003A2005" w:rsidP="003C707C">
      <w:pPr>
        <w:ind w:firstLine="851"/>
        <w:jc w:val="both"/>
      </w:pPr>
    </w:p>
    <w:p w14:paraId="6563AEB2" w14:textId="3C31BD2E" w:rsidR="003A2005" w:rsidRPr="00B2521E" w:rsidRDefault="003A2005" w:rsidP="003C707C">
      <w:pPr>
        <w:ind w:firstLine="851"/>
        <w:jc w:val="both"/>
      </w:pPr>
    </w:p>
    <w:p w14:paraId="5B33515F" w14:textId="5AC5842C" w:rsidR="003A2005" w:rsidRPr="00B2521E" w:rsidRDefault="003A2005" w:rsidP="003C707C">
      <w:pPr>
        <w:ind w:firstLine="851"/>
        <w:jc w:val="both"/>
      </w:pPr>
    </w:p>
    <w:p w14:paraId="666C83F1" w14:textId="6C0EAD55" w:rsidR="003A2005" w:rsidRPr="00B2521E" w:rsidRDefault="003A2005" w:rsidP="003C707C">
      <w:pPr>
        <w:ind w:firstLine="851"/>
        <w:jc w:val="both"/>
      </w:pPr>
    </w:p>
    <w:p w14:paraId="0A1C8E98" w14:textId="04970250" w:rsidR="003A2005" w:rsidRPr="00B2521E" w:rsidRDefault="003A2005" w:rsidP="003C707C">
      <w:pPr>
        <w:ind w:firstLine="851"/>
        <w:jc w:val="both"/>
      </w:pPr>
    </w:p>
    <w:p w14:paraId="3040672B" w14:textId="31C2A7A0" w:rsidR="003A2005" w:rsidRPr="00B2521E" w:rsidRDefault="003A2005" w:rsidP="003C707C">
      <w:pPr>
        <w:ind w:firstLine="851"/>
        <w:jc w:val="both"/>
      </w:pPr>
    </w:p>
    <w:p w14:paraId="13A57826" w14:textId="4DFF072C" w:rsidR="003A2005" w:rsidRPr="00B2521E" w:rsidRDefault="003A2005" w:rsidP="003C707C">
      <w:pPr>
        <w:ind w:firstLine="851"/>
        <w:jc w:val="both"/>
      </w:pPr>
    </w:p>
    <w:p w14:paraId="4BC2F3C2" w14:textId="110E2BFA" w:rsidR="003A2005" w:rsidRPr="00B2521E" w:rsidRDefault="003A2005" w:rsidP="003C707C">
      <w:pPr>
        <w:ind w:firstLine="851"/>
        <w:jc w:val="both"/>
      </w:pPr>
    </w:p>
    <w:p w14:paraId="67B9C8C5" w14:textId="5D581B2F" w:rsidR="003A2005" w:rsidRPr="00B2521E" w:rsidRDefault="003A2005" w:rsidP="003C707C">
      <w:pPr>
        <w:ind w:firstLine="851"/>
        <w:jc w:val="both"/>
      </w:pPr>
    </w:p>
    <w:p w14:paraId="5A63F843" w14:textId="77777777" w:rsidR="00B34894" w:rsidRPr="00B2521E" w:rsidRDefault="00B34894" w:rsidP="00B47383">
      <w:pPr>
        <w:ind w:firstLine="851"/>
        <w:jc w:val="both"/>
        <w:sectPr w:rsidR="00B34894" w:rsidRPr="00B2521E" w:rsidSect="00741888">
          <w:headerReference w:type="default" r:id="rId29"/>
          <w:footerReference w:type="default" r:id="rId30"/>
          <w:pgSz w:w="11906" w:h="16838"/>
          <w:pgMar w:top="1418" w:right="851" w:bottom="1418" w:left="1701" w:header="709" w:footer="709" w:gutter="0"/>
          <w:cols w:space="708"/>
          <w:docGrid w:linePitch="360"/>
        </w:sectPr>
      </w:pPr>
    </w:p>
    <w:p w14:paraId="55C67638" w14:textId="6D9D5E6E" w:rsidR="00515FED" w:rsidRPr="00B2521E" w:rsidRDefault="00515FED" w:rsidP="00515FED">
      <w:pPr>
        <w:pStyle w:val="Heading1"/>
        <w:numPr>
          <w:ilvl w:val="0"/>
          <w:numId w:val="5"/>
        </w:numPr>
        <w:ind w:left="0" w:firstLine="0"/>
        <w:jc w:val="both"/>
        <w:rPr>
          <w:caps w:val="0"/>
          <w:sz w:val="30"/>
          <w:szCs w:val="30"/>
        </w:rPr>
      </w:pPr>
      <w:bookmarkStart w:id="77" w:name="_Toc13475937"/>
      <w:bookmarkStart w:id="78" w:name="_Toc13492545"/>
      <w:bookmarkStart w:id="79" w:name="_Toc13574585"/>
      <w:bookmarkStart w:id="80" w:name="_Toc13576372"/>
      <w:bookmarkStart w:id="81" w:name="_Toc13580125"/>
      <w:bookmarkStart w:id="82" w:name="_Toc13673307"/>
      <w:bookmarkStart w:id="83" w:name="_Toc13673623"/>
      <w:bookmarkStart w:id="84" w:name="_Toc18682399"/>
      <w:bookmarkEnd w:id="77"/>
      <w:bookmarkEnd w:id="78"/>
      <w:bookmarkEnd w:id="79"/>
      <w:bookmarkEnd w:id="80"/>
      <w:bookmarkEnd w:id="81"/>
      <w:bookmarkEnd w:id="82"/>
      <w:bookmarkEnd w:id="83"/>
      <w:r>
        <w:rPr>
          <w:caps w:val="0"/>
          <w:sz w:val="30"/>
          <w:szCs w:val="30"/>
        </w:rPr>
        <w:lastRenderedPageBreak/>
        <w:t>FORECASTS OF CHANGES IN COSTS OF CONSTRUCTION RESOURCES</w:t>
      </w:r>
      <w:bookmarkEnd w:id="84"/>
    </w:p>
    <w:p w14:paraId="20D1C360" w14:textId="7947F6D3" w:rsidR="00515FED" w:rsidRPr="00B2521E" w:rsidRDefault="00515FED" w:rsidP="00515FED">
      <w:pPr>
        <w:pStyle w:val="Heading2"/>
      </w:pPr>
      <w:bookmarkStart w:id="85" w:name="_Toc13475939"/>
      <w:bookmarkStart w:id="86" w:name="_Toc13492547"/>
      <w:bookmarkStart w:id="87" w:name="_Toc13574587"/>
      <w:bookmarkStart w:id="88" w:name="_Toc13576374"/>
      <w:bookmarkStart w:id="89" w:name="_Toc13580127"/>
      <w:bookmarkStart w:id="90" w:name="_Toc13673309"/>
      <w:bookmarkStart w:id="91" w:name="_Toc13673625"/>
      <w:bookmarkStart w:id="92" w:name="_Toc13475940"/>
      <w:bookmarkStart w:id="93" w:name="_Toc13492548"/>
      <w:bookmarkStart w:id="94" w:name="_Toc13574588"/>
      <w:bookmarkStart w:id="95" w:name="_Toc13576375"/>
      <w:bookmarkStart w:id="96" w:name="_Toc13580128"/>
      <w:bookmarkStart w:id="97" w:name="_Toc13673310"/>
      <w:bookmarkStart w:id="98" w:name="_Toc13673626"/>
      <w:bookmarkStart w:id="99" w:name="_Toc13475941"/>
      <w:bookmarkStart w:id="100" w:name="_Toc13492549"/>
      <w:bookmarkStart w:id="101" w:name="_Toc13574589"/>
      <w:bookmarkStart w:id="102" w:name="_Toc13576376"/>
      <w:bookmarkStart w:id="103" w:name="_Toc13580129"/>
      <w:bookmarkStart w:id="104" w:name="_Toc13673311"/>
      <w:bookmarkStart w:id="105" w:name="_Toc13673627"/>
      <w:bookmarkStart w:id="106" w:name="_Toc13475942"/>
      <w:bookmarkStart w:id="107" w:name="_Toc13492550"/>
      <w:bookmarkStart w:id="108" w:name="_Toc13574590"/>
      <w:bookmarkStart w:id="109" w:name="_Toc13576377"/>
      <w:bookmarkStart w:id="110" w:name="_Toc13580130"/>
      <w:bookmarkStart w:id="111" w:name="_Toc13673312"/>
      <w:bookmarkStart w:id="112" w:name="_Toc13673628"/>
      <w:bookmarkStart w:id="113" w:name="_Toc13475943"/>
      <w:bookmarkStart w:id="114" w:name="_Toc13492551"/>
      <w:bookmarkStart w:id="115" w:name="_Toc13574591"/>
      <w:bookmarkStart w:id="116" w:name="_Toc13576378"/>
      <w:bookmarkStart w:id="117" w:name="_Toc13580131"/>
      <w:bookmarkStart w:id="118" w:name="_Toc13673313"/>
      <w:bookmarkStart w:id="119" w:name="_Toc13673629"/>
      <w:bookmarkStart w:id="120" w:name="_Toc13475944"/>
      <w:bookmarkStart w:id="121" w:name="_Toc13492552"/>
      <w:bookmarkStart w:id="122" w:name="_Toc13574592"/>
      <w:bookmarkStart w:id="123" w:name="_Toc13576379"/>
      <w:bookmarkStart w:id="124" w:name="_Toc13580132"/>
      <w:bookmarkStart w:id="125" w:name="_Toc13673314"/>
      <w:bookmarkStart w:id="126" w:name="_Toc13673630"/>
      <w:bookmarkStart w:id="127" w:name="_Toc13475945"/>
      <w:bookmarkStart w:id="128" w:name="_Toc13492553"/>
      <w:bookmarkStart w:id="129" w:name="_Toc13574593"/>
      <w:bookmarkStart w:id="130" w:name="_Toc13576380"/>
      <w:bookmarkStart w:id="131" w:name="_Toc13580133"/>
      <w:bookmarkStart w:id="132" w:name="_Toc13673315"/>
      <w:bookmarkStart w:id="133" w:name="_Toc13673631"/>
      <w:bookmarkStart w:id="134" w:name="_Toc13475946"/>
      <w:bookmarkStart w:id="135" w:name="_Toc13492554"/>
      <w:bookmarkStart w:id="136" w:name="_Toc13574594"/>
      <w:bookmarkStart w:id="137" w:name="_Toc13576381"/>
      <w:bookmarkStart w:id="138" w:name="_Toc13580134"/>
      <w:bookmarkStart w:id="139" w:name="_Toc13673316"/>
      <w:bookmarkStart w:id="140" w:name="_Toc13673632"/>
      <w:bookmarkStart w:id="141" w:name="_Toc13475947"/>
      <w:bookmarkStart w:id="142" w:name="_Toc13492555"/>
      <w:bookmarkStart w:id="143" w:name="_Toc13574595"/>
      <w:bookmarkStart w:id="144" w:name="_Toc13576382"/>
      <w:bookmarkStart w:id="145" w:name="_Toc13580135"/>
      <w:bookmarkStart w:id="146" w:name="_Toc13673317"/>
      <w:bookmarkStart w:id="147" w:name="_Toc13673633"/>
      <w:bookmarkStart w:id="148" w:name="_Toc18682400"/>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t>Factors affecting changes in costs of labour force and construction materials</w:t>
      </w:r>
      <w:bookmarkEnd w:id="148"/>
    </w:p>
    <w:bookmarkEnd w:id="65"/>
    <w:bookmarkEnd w:id="66"/>
    <w:p w14:paraId="551D35A2" w14:textId="040BC4A2" w:rsidR="00445A1A" w:rsidRPr="00B2521E" w:rsidRDefault="00725BEA" w:rsidP="00895643">
      <w:pPr>
        <w:ind w:firstLine="851"/>
        <w:jc w:val="both"/>
        <w:rPr>
          <w:bCs/>
          <w:szCs w:val="22"/>
        </w:rPr>
      </w:pPr>
      <w:r>
        <w:rPr>
          <w:b/>
          <w:bCs/>
          <w:color w:val="002060"/>
          <w:szCs w:val="22"/>
        </w:rPr>
        <w:t>3.2.1. Factors affecting changes in costs of labour force and construction materials</w:t>
      </w:r>
    </w:p>
    <w:p w14:paraId="6F9E7B44" w14:textId="71A4AC6C" w:rsidR="00E86BE3" w:rsidRPr="00B2521E" w:rsidRDefault="00E86BE3" w:rsidP="00E55546">
      <w:pPr>
        <w:ind w:firstLine="851"/>
        <w:jc w:val="both"/>
        <w:rPr>
          <w:rStyle w:val="st"/>
        </w:rPr>
      </w:pPr>
      <w:r>
        <w:rPr>
          <w:rStyle w:val="st"/>
        </w:rPr>
        <w:t>In order to identify the most important factors affecting changes in construction costs, expert evaluations of the first and second round of interviews were evaluated on a 10-point scale, where the highest evaluation means the largest impact of the factor on changes in costs. 10 most important factors with the highest average score were selected for interviews after the first round of expert interviews, which were then evaluated by experts interviewed during the second round. Thus, a total evaluation of the impact of 10 factors on changes in costs of labour force and construction materials was obtained.</w:t>
      </w:r>
    </w:p>
    <w:p w14:paraId="2DEBDF28" w14:textId="55779435" w:rsidR="00E86BE3" w:rsidRPr="00B2521E" w:rsidRDefault="00E86BE3" w:rsidP="00E55546">
      <w:pPr>
        <w:ind w:firstLine="851"/>
        <w:jc w:val="both"/>
        <w:rPr>
          <w:rStyle w:val="st"/>
        </w:rPr>
      </w:pPr>
      <w:r>
        <w:rPr>
          <w:rStyle w:val="st"/>
        </w:rPr>
        <w:t xml:space="preserve">The </w:t>
      </w:r>
      <w:r>
        <w:t>volume</w:t>
      </w:r>
      <w:r>
        <w:rPr>
          <w:rStyle w:val="st"/>
        </w:rPr>
        <w:t xml:space="preserve"> of construction products was the most important factor affecting changes in labour costs in Latvia with the average score of 8.72 (see Figure No. 4). </w:t>
      </w:r>
    </w:p>
    <w:p w14:paraId="1147A235" w14:textId="59AA7D93" w:rsidR="00E86BE3" w:rsidRPr="00B2521E" w:rsidRDefault="00E86BE3" w:rsidP="00E86BE3">
      <w:pPr>
        <w:jc w:val="center"/>
        <w:rPr>
          <w:b/>
          <w:sz w:val="20"/>
        </w:rPr>
      </w:pPr>
      <w:r>
        <w:rPr>
          <w:b/>
          <w:sz w:val="20"/>
        </w:rPr>
        <w:t>Figure No. 4. Criticality of the factors affecting changes in labour costs (on a 10-point scale) and variation of expert evaluations (standard deviation)</w:t>
      </w:r>
    </w:p>
    <w:p w14:paraId="042682C8" w14:textId="30943577" w:rsidR="00E86BE3" w:rsidRPr="00B2521E" w:rsidRDefault="004A18B5" w:rsidP="00E86BE3">
      <w:pPr>
        <w:pStyle w:val="ListParagraph"/>
        <w:ind w:left="0"/>
        <w:rPr>
          <w:rFonts w:cs="Arial"/>
          <w:color w:val="222222"/>
        </w:rPr>
      </w:pPr>
      <w:r w:rsidRPr="004A18B5">
        <w:rPr>
          <w:noProof/>
          <w:lang w:val="en-US"/>
        </w:rPr>
        <w:drawing>
          <wp:inline distT="0" distB="0" distL="0" distR="0" wp14:anchorId="40D3DC97" wp14:editId="52D7CF74">
            <wp:extent cx="5939790" cy="3784600"/>
            <wp:effectExtent l="0" t="0" r="3810" b="6350"/>
            <wp:docPr id="1006675215" name="Picture 100667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9790" cy="3784600"/>
                    </a:xfrm>
                    <a:prstGeom prst="rect">
                      <a:avLst/>
                    </a:prstGeom>
                  </pic:spPr>
                </pic:pic>
              </a:graphicData>
            </a:graphic>
          </wp:inline>
        </w:drawing>
      </w:r>
    </w:p>
    <w:p w14:paraId="5473D69F" w14:textId="25EDC908" w:rsidR="00E86BE3" w:rsidRDefault="00E86BE3" w:rsidP="00E86BE3">
      <w:pPr>
        <w:jc w:val="center"/>
        <w:rPr>
          <w:sz w:val="20"/>
          <w:szCs w:val="18"/>
        </w:rPr>
      </w:pPr>
      <w:r>
        <w:rPr>
          <w:sz w:val="20"/>
          <w:szCs w:val="18"/>
        </w:rPr>
        <w:t>Source: Expert interviews</w:t>
      </w:r>
    </w:p>
    <w:p w14:paraId="00534239" w14:textId="77777777" w:rsidR="00D22E7B" w:rsidRPr="00B2521E" w:rsidRDefault="00D22E7B" w:rsidP="00E86BE3">
      <w:pPr>
        <w:jc w:val="center"/>
        <w:rPr>
          <w:sz w:val="20"/>
          <w:szCs w:val="18"/>
        </w:rPr>
      </w:pPr>
    </w:p>
    <w:p w14:paraId="05E87037" w14:textId="77777777" w:rsidR="00AE5D75" w:rsidRPr="00B2521E" w:rsidRDefault="00AE5D75" w:rsidP="00AE5D75">
      <w:pPr>
        <w:ind w:firstLine="851"/>
        <w:jc w:val="both"/>
        <w:rPr>
          <w:rStyle w:val="st"/>
        </w:rPr>
      </w:pPr>
      <w:r>
        <w:rPr>
          <w:rStyle w:val="st"/>
        </w:rPr>
        <w:t xml:space="preserve">The next </w:t>
      </w:r>
      <w:proofErr w:type="gramStart"/>
      <w:r>
        <w:rPr>
          <w:rStyle w:val="st"/>
        </w:rPr>
        <w:t>5</w:t>
      </w:r>
      <w:proofErr w:type="gramEnd"/>
      <w:r>
        <w:rPr>
          <w:rStyle w:val="st"/>
        </w:rPr>
        <w:t xml:space="preserve"> most important factors with the average score of 7 to 8:</w:t>
      </w:r>
    </w:p>
    <w:p w14:paraId="4125AE0B" w14:textId="77777777" w:rsidR="00AE5D75" w:rsidRPr="00B2521E" w:rsidRDefault="00AE5D75" w:rsidP="00AE5D75">
      <w:pPr>
        <w:pStyle w:val="ListParagraph"/>
        <w:numPr>
          <w:ilvl w:val="0"/>
          <w:numId w:val="23"/>
        </w:numPr>
        <w:ind w:left="0" w:firstLine="0"/>
        <w:rPr>
          <w:rStyle w:val="st"/>
        </w:rPr>
      </w:pPr>
      <w:r>
        <w:rPr>
          <w:rStyle w:val="st"/>
        </w:rPr>
        <w:t>Labour tax rate in Latvia;</w:t>
      </w:r>
    </w:p>
    <w:p w14:paraId="5D92C173" w14:textId="77777777" w:rsidR="00AE5D75" w:rsidRPr="00B2521E" w:rsidRDefault="00AE5D75" w:rsidP="00AE5D75">
      <w:pPr>
        <w:pStyle w:val="ListParagraph"/>
        <w:numPr>
          <w:ilvl w:val="0"/>
          <w:numId w:val="23"/>
        </w:numPr>
        <w:ind w:left="0" w:firstLine="0"/>
        <w:rPr>
          <w:rStyle w:val="st"/>
        </w:rPr>
      </w:pPr>
      <w:r>
        <w:rPr>
          <w:rStyle w:val="st"/>
        </w:rPr>
        <w:t>Volume of construction concepts implemented for public funds;</w:t>
      </w:r>
    </w:p>
    <w:p w14:paraId="6214305E" w14:textId="77777777" w:rsidR="00AE5D75" w:rsidRPr="00B2521E" w:rsidRDefault="00AE5D75" w:rsidP="00AE5D75">
      <w:pPr>
        <w:pStyle w:val="ListParagraph"/>
        <w:numPr>
          <w:ilvl w:val="0"/>
          <w:numId w:val="23"/>
        </w:numPr>
        <w:ind w:left="0" w:firstLine="0"/>
        <w:rPr>
          <w:rStyle w:val="st"/>
        </w:rPr>
      </w:pPr>
      <w:r>
        <w:rPr>
          <w:rStyle w:val="st"/>
        </w:rPr>
        <w:t>Demand for EU labour force in the construction sector;</w:t>
      </w:r>
    </w:p>
    <w:p w14:paraId="3B906CF3" w14:textId="77777777" w:rsidR="00AE5D75" w:rsidRPr="00B2521E" w:rsidRDefault="00AE5D75" w:rsidP="00AE5D75">
      <w:pPr>
        <w:pStyle w:val="ListParagraph"/>
        <w:numPr>
          <w:ilvl w:val="0"/>
          <w:numId w:val="23"/>
        </w:numPr>
        <w:ind w:left="0" w:firstLine="0"/>
        <w:rPr>
          <w:rStyle w:val="st"/>
        </w:rPr>
      </w:pPr>
      <w:r>
        <w:rPr>
          <w:rStyle w:val="st"/>
        </w:rPr>
        <w:t>Labour force wage rate in EU countries in the construction sector;</w:t>
      </w:r>
    </w:p>
    <w:p w14:paraId="2EB08836" w14:textId="77777777" w:rsidR="00AE5D75" w:rsidRPr="00B2521E" w:rsidRDefault="00AE5D75" w:rsidP="00AE5D75">
      <w:pPr>
        <w:pStyle w:val="ListParagraph"/>
        <w:numPr>
          <w:ilvl w:val="0"/>
          <w:numId w:val="23"/>
        </w:numPr>
        <w:spacing w:line="360" w:lineRule="auto"/>
        <w:ind w:left="0" w:firstLine="0"/>
        <w:rPr>
          <w:rStyle w:val="st"/>
        </w:rPr>
      </w:pPr>
      <w:r>
        <w:rPr>
          <w:rStyle w:val="st"/>
        </w:rPr>
        <w:t>Net labour migration in Latvia.</w:t>
      </w:r>
    </w:p>
    <w:p w14:paraId="4566429A" w14:textId="7093D50A" w:rsidR="00AE5D75" w:rsidRPr="00B2521E" w:rsidRDefault="00AE5D75" w:rsidP="00AE5D75">
      <w:pPr>
        <w:pStyle w:val="ListParagraph"/>
        <w:ind w:left="0" w:firstLine="851"/>
        <w:jc w:val="both"/>
        <w:rPr>
          <w:rStyle w:val="st"/>
        </w:rPr>
      </w:pPr>
      <w:r>
        <w:rPr>
          <w:rStyle w:val="st"/>
        </w:rPr>
        <w:t xml:space="preserve">However, it should be noted that the sequence of importance of the factors cannot be evaluated as stable, because expert opinions varied comparatively largely, as evidenced by the standard deviation </w:t>
      </w:r>
      <w:r>
        <w:rPr>
          <w:rStyle w:val="st"/>
        </w:rPr>
        <w:lastRenderedPageBreak/>
        <w:t>interval around the average value. For example, the unemployment rate, which is ranked 13</w:t>
      </w:r>
      <w:r>
        <w:rPr>
          <w:rStyle w:val="st"/>
          <w:vertAlign w:val="superscript"/>
        </w:rPr>
        <w:t>th</w:t>
      </w:r>
      <w:r>
        <w:rPr>
          <w:rStyle w:val="st"/>
        </w:rPr>
        <w:t xml:space="preserve"> based on average evaluations, would be the 3</w:t>
      </w:r>
      <w:r>
        <w:rPr>
          <w:rStyle w:val="st"/>
          <w:vertAlign w:val="superscript"/>
        </w:rPr>
        <w:t>rd</w:t>
      </w:r>
      <w:r>
        <w:rPr>
          <w:rStyle w:val="st"/>
        </w:rPr>
        <w:t xml:space="preserve"> most important factor according to evaluations of individual experts. </w:t>
      </w:r>
    </w:p>
    <w:p w14:paraId="7F15F69E" w14:textId="2FF7BE37" w:rsidR="00AE5D75" w:rsidRPr="00B2521E" w:rsidRDefault="00AE5D75" w:rsidP="00AE5D75">
      <w:pPr>
        <w:pStyle w:val="ListParagraph"/>
        <w:ind w:left="0" w:firstLine="851"/>
        <w:jc w:val="both"/>
        <w:rPr>
          <w:rStyle w:val="st"/>
        </w:rPr>
      </w:pPr>
      <w:r>
        <w:rPr>
          <w:rStyle w:val="st"/>
        </w:rPr>
        <w:t>When considering the mean arithmetic standard error in the selection of the average evaluation of the factors affecting changes in costs of labour force and construction costs, it can also be concluded that the number in sequence of individual factors might differ. However, it is possible to differentiate factors in general, which have most or least impact on changes in costs of labour force and construction materials, i.e. the factors specified as the most important most likely are indeed the most important.</w:t>
      </w:r>
    </w:p>
    <w:p w14:paraId="6A0B67D9" w14:textId="4E4918F3" w:rsidR="00E86BE3" w:rsidRPr="00B2521E" w:rsidRDefault="00E86BE3" w:rsidP="00AE5D75">
      <w:pPr>
        <w:ind w:firstLine="851"/>
        <w:jc w:val="both"/>
        <w:rPr>
          <w:rStyle w:val="st"/>
        </w:rPr>
      </w:pPr>
      <w:r>
        <w:rPr>
          <w:rStyle w:val="st"/>
        </w:rPr>
        <w:t xml:space="preserve">The </w:t>
      </w:r>
      <w:r>
        <w:t>volume</w:t>
      </w:r>
      <w:r>
        <w:rPr>
          <w:rStyle w:val="st"/>
        </w:rPr>
        <w:t xml:space="preserve"> of construction products was the most important factor affecting changes also in costs of construction materials in Latvia with the average score of 7.93 (see Figure No. 5). However, although the volume construction </w:t>
      </w:r>
      <w:r>
        <w:t>products</w:t>
      </w:r>
      <w:r>
        <w:rPr>
          <w:rStyle w:val="st"/>
        </w:rPr>
        <w:t xml:space="preserve"> is convincingly ranked first in case of changes in labour costs, variations are possible in case of changes in costs of construction materials. </w:t>
      </w:r>
    </w:p>
    <w:p w14:paraId="41BF0D2D" w14:textId="220E1DDE" w:rsidR="00E86BE3" w:rsidRPr="00B2521E" w:rsidRDefault="00E86BE3" w:rsidP="00E86BE3">
      <w:pPr>
        <w:jc w:val="center"/>
        <w:rPr>
          <w:b/>
          <w:sz w:val="20"/>
        </w:rPr>
      </w:pPr>
      <w:r>
        <w:rPr>
          <w:b/>
          <w:sz w:val="20"/>
        </w:rPr>
        <w:t>Figure No. 5. Criticality of the factors affecting changes in costs of construction materials (on a 10-point scale) and variation of expert evaluations (standard deviation)</w:t>
      </w:r>
    </w:p>
    <w:p w14:paraId="5969565B" w14:textId="51F1A040" w:rsidR="00E86BE3" w:rsidRPr="00B2521E" w:rsidRDefault="004A18B5" w:rsidP="00E86BE3">
      <w:r w:rsidRPr="004A18B5">
        <w:rPr>
          <w:noProof/>
          <w:lang w:val="en-US"/>
        </w:rPr>
        <w:drawing>
          <wp:inline distT="0" distB="0" distL="0" distR="0" wp14:anchorId="3D9D9E6D" wp14:editId="458DC34E">
            <wp:extent cx="5939790" cy="3773170"/>
            <wp:effectExtent l="0" t="0" r="3810" b="0"/>
            <wp:docPr id="1006675216" name="Picture 100667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9790" cy="3773170"/>
                    </a:xfrm>
                    <a:prstGeom prst="rect">
                      <a:avLst/>
                    </a:prstGeom>
                  </pic:spPr>
                </pic:pic>
              </a:graphicData>
            </a:graphic>
          </wp:inline>
        </w:drawing>
      </w:r>
    </w:p>
    <w:p w14:paraId="3922C730" w14:textId="68850123" w:rsidR="00E86BE3" w:rsidRDefault="00E86BE3" w:rsidP="00E86BE3">
      <w:pPr>
        <w:jc w:val="center"/>
        <w:rPr>
          <w:sz w:val="20"/>
          <w:szCs w:val="18"/>
        </w:rPr>
      </w:pPr>
      <w:r>
        <w:rPr>
          <w:sz w:val="20"/>
          <w:szCs w:val="18"/>
        </w:rPr>
        <w:t>Source: Expert interviews</w:t>
      </w:r>
    </w:p>
    <w:p w14:paraId="607E50A2" w14:textId="3DB7CB80" w:rsidR="00AE5D75" w:rsidRPr="00B2521E" w:rsidRDefault="00AE5D75" w:rsidP="00AE5D75">
      <w:pPr>
        <w:ind w:firstLine="851"/>
        <w:jc w:val="both"/>
        <w:rPr>
          <w:rStyle w:val="st"/>
        </w:rPr>
      </w:pPr>
      <w:r>
        <w:rPr>
          <w:rStyle w:val="st"/>
        </w:rPr>
        <w:t>When reviewing mean arithmetic standard errors of the selection, it can be concluded that the EU’s total demand of the construction market could be the first as the most important factor affecting changes in costs of construction materials, if the number of observations increased, i.e. more experts were asked during interviews. As it was mentioned before, when analysing the factors affecting changes in costs of labour force, the sequence of other individual factors might differ as well, however, it may safely be said that five most important factors and five least important factors are as they are.</w:t>
      </w:r>
    </w:p>
    <w:p w14:paraId="68E83376" w14:textId="77777777" w:rsidR="00AE5D75" w:rsidRPr="00B2521E" w:rsidRDefault="00AE5D75" w:rsidP="00AE5D75">
      <w:pPr>
        <w:ind w:firstLine="851"/>
        <w:jc w:val="both"/>
        <w:rPr>
          <w:rStyle w:val="st"/>
        </w:rPr>
      </w:pPr>
      <w:r>
        <w:rPr>
          <w:rStyle w:val="st"/>
        </w:rPr>
        <w:t>The next 5 most important factors by construction volume are:</w:t>
      </w:r>
    </w:p>
    <w:p w14:paraId="2F0B2330" w14:textId="34045F3F" w:rsidR="00AE5D75" w:rsidRPr="00B2521E" w:rsidRDefault="00AE5D75" w:rsidP="00AE5D75">
      <w:pPr>
        <w:pStyle w:val="ListParagraph"/>
        <w:numPr>
          <w:ilvl w:val="0"/>
          <w:numId w:val="24"/>
        </w:numPr>
        <w:jc w:val="both"/>
        <w:rPr>
          <w:rStyle w:val="st"/>
        </w:rPr>
      </w:pPr>
      <w:r>
        <w:rPr>
          <w:rStyle w:val="st"/>
        </w:rPr>
        <w:t>EU’s total demand of the construction market;</w:t>
      </w:r>
    </w:p>
    <w:p w14:paraId="5951C2CD" w14:textId="26C6C915" w:rsidR="00AE5D75" w:rsidRPr="00B2521E" w:rsidRDefault="00AE5D75" w:rsidP="00AE5D75">
      <w:pPr>
        <w:pStyle w:val="ListParagraph"/>
        <w:numPr>
          <w:ilvl w:val="0"/>
          <w:numId w:val="24"/>
        </w:numPr>
        <w:jc w:val="both"/>
        <w:rPr>
          <w:rStyle w:val="st"/>
        </w:rPr>
      </w:pPr>
      <w:r>
        <w:rPr>
          <w:rStyle w:val="st"/>
        </w:rPr>
        <w:t>Volume of construction concepts implemented for public funds;</w:t>
      </w:r>
    </w:p>
    <w:p w14:paraId="30AB0E90" w14:textId="331D00A6" w:rsidR="00AE5D75" w:rsidRPr="00B2521E" w:rsidRDefault="00AE5D75" w:rsidP="00AE5D75">
      <w:pPr>
        <w:pStyle w:val="ListParagraph"/>
        <w:numPr>
          <w:ilvl w:val="0"/>
          <w:numId w:val="24"/>
        </w:numPr>
        <w:jc w:val="both"/>
        <w:rPr>
          <w:rStyle w:val="st"/>
        </w:rPr>
      </w:pPr>
      <w:r>
        <w:rPr>
          <w:rStyle w:val="st"/>
        </w:rPr>
        <w:t>Competition concentration indicators on the market of construction materials in the country;</w:t>
      </w:r>
    </w:p>
    <w:p w14:paraId="2D5A66DB" w14:textId="7AAEA7DC" w:rsidR="00AE5D75" w:rsidRPr="00B2521E" w:rsidRDefault="00AE5D75" w:rsidP="00AE5D75">
      <w:pPr>
        <w:pStyle w:val="ListParagraph"/>
        <w:numPr>
          <w:ilvl w:val="0"/>
          <w:numId w:val="24"/>
        </w:numPr>
        <w:jc w:val="both"/>
        <w:rPr>
          <w:rStyle w:val="st"/>
        </w:rPr>
      </w:pPr>
      <w:r>
        <w:rPr>
          <w:rStyle w:val="st"/>
        </w:rPr>
        <w:t>Immovable property crediting volumes in the country;</w:t>
      </w:r>
    </w:p>
    <w:p w14:paraId="0028B069" w14:textId="196A8EAC" w:rsidR="00AE5D75" w:rsidRPr="00B2521E" w:rsidRDefault="00AE5D75" w:rsidP="00AE5D75">
      <w:pPr>
        <w:pStyle w:val="ListParagraph"/>
        <w:numPr>
          <w:ilvl w:val="0"/>
          <w:numId w:val="24"/>
        </w:numPr>
        <w:jc w:val="both"/>
        <w:rPr>
          <w:rStyle w:val="st"/>
        </w:rPr>
      </w:pPr>
      <w:r>
        <w:rPr>
          <w:rStyle w:val="st"/>
        </w:rPr>
        <w:t>Technical requirements to building construction quality in the EU.</w:t>
      </w:r>
    </w:p>
    <w:p w14:paraId="6ACAEF87" w14:textId="4F06C7B7" w:rsidR="00E86BE3" w:rsidRPr="00B2521E" w:rsidRDefault="00725BEA" w:rsidP="00FD6E1F">
      <w:pPr>
        <w:jc w:val="both"/>
        <w:rPr>
          <w:b/>
          <w:color w:val="002060"/>
        </w:rPr>
      </w:pPr>
      <w:r>
        <w:rPr>
          <w:b/>
          <w:color w:val="002060"/>
        </w:rPr>
        <w:lastRenderedPageBreak/>
        <w:t>3.2.2. Impact of shadow economy combating measures on changes in costs of construction materials and labour force</w:t>
      </w:r>
    </w:p>
    <w:p w14:paraId="0653F35A" w14:textId="1F545A68" w:rsidR="00E86BE3" w:rsidRPr="00B2521E" w:rsidRDefault="00E86BE3" w:rsidP="00E55546">
      <w:pPr>
        <w:ind w:firstLine="851"/>
        <w:jc w:val="both"/>
        <w:rPr>
          <w:rStyle w:val="st"/>
        </w:rPr>
      </w:pPr>
      <w:r>
        <w:rPr>
          <w:rStyle w:val="st"/>
        </w:rPr>
        <w:t xml:space="preserve">After the first and second round of expert interviews total average evaluations of the impact of shadow economy combating measures on changes in costs of labour force (see Figure No. 6) and construction materials (see Figure No. 7) were summarised. </w:t>
      </w:r>
      <w:bookmarkStart w:id="149" w:name="_Hlk13490196"/>
      <w:r>
        <w:rPr>
          <w:rStyle w:val="st"/>
        </w:rPr>
        <w:t>Overall, all shadow economy combating measures have a positive effect on changes in costs of labour force and construction materials, i.e. the implementation of shadow economy combating measures increases changes in costs of construction materials and labour force. However, this effect is much more pronounced in terms of impact on changes in labour costs, where the criticality of impact of individual shadow economy combating measures differs multiple times.</w:t>
      </w:r>
      <w:bookmarkEnd w:id="149"/>
    </w:p>
    <w:p w14:paraId="5DAB66FC" w14:textId="25BDFD56" w:rsidR="00E86BE3" w:rsidRPr="00B2521E" w:rsidRDefault="00E86BE3" w:rsidP="00895643">
      <w:pPr>
        <w:spacing w:before="100" w:after="200" w:line="276" w:lineRule="auto"/>
        <w:jc w:val="center"/>
        <w:rPr>
          <w:b/>
          <w:sz w:val="20"/>
        </w:rPr>
      </w:pPr>
      <w:r>
        <w:rPr>
          <w:b/>
          <w:sz w:val="20"/>
        </w:rPr>
        <w:t>Figure No. 6. Criticality of the impact of shadow economy combating measures on changes in costs of labour force (on a -10 to 10-point scale) and variation of expert evaluations (standard deviation)</w:t>
      </w:r>
    </w:p>
    <w:p w14:paraId="139AC098" w14:textId="322C664E" w:rsidR="00E86BE3" w:rsidRPr="00B2521E" w:rsidRDefault="00025596" w:rsidP="00E86BE3">
      <w:pPr>
        <w:rPr>
          <w:sz w:val="20"/>
        </w:rPr>
      </w:pPr>
      <w:r w:rsidRPr="00025596">
        <w:rPr>
          <w:noProof/>
          <w:lang w:val="en-US"/>
        </w:rPr>
        <w:drawing>
          <wp:inline distT="0" distB="0" distL="0" distR="0" wp14:anchorId="6C5D8E82" wp14:editId="2C5189BA">
            <wp:extent cx="5939790" cy="3374390"/>
            <wp:effectExtent l="0" t="0" r="3810" b="0"/>
            <wp:docPr id="1006675220" name="Picture 100667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790" cy="3374390"/>
                    </a:xfrm>
                    <a:prstGeom prst="rect">
                      <a:avLst/>
                    </a:prstGeom>
                  </pic:spPr>
                </pic:pic>
              </a:graphicData>
            </a:graphic>
          </wp:inline>
        </w:drawing>
      </w:r>
    </w:p>
    <w:p w14:paraId="32DB420A" w14:textId="246EBCAB" w:rsidR="00E86BE3" w:rsidRDefault="00E86BE3" w:rsidP="00E86BE3">
      <w:pPr>
        <w:jc w:val="center"/>
        <w:rPr>
          <w:sz w:val="20"/>
          <w:szCs w:val="18"/>
        </w:rPr>
      </w:pPr>
      <w:r>
        <w:rPr>
          <w:sz w:val="20"/>
          <w:szCs w:val="18"/>
        </w:rPr>
        <w:t>Source: Expert interviews</w:t>
      </w:r>
    </w:p>
    <w:p w14:paraId="60ED0B53" w14:textId="77777777" w:rsidR="00CC3F12" w:rsidRPr="00B2521E" w:rsidRDefault="00CC3F12" w:rsidP="00E86BE3">
      <w:pPr>
        <w:jc w:val="center"/>
        <w:rPr>
          <w:sz w:val="20"/>
          <w:szCs w:val="18"/>
        </w:rPr>
      </w:pPr>
    </w:p>
    <w:p w14:paraId="208143AA" w14:textId="69C07B19" w:rsidR="00E86BE3" w:rsidRPr="00B2521E" w:rsidRDefault="00E86BE3" w:rsidP="00E55546">
      <w:pPr>
        <w:ind w:firstLine="851"/>
        <w:jc w:val="both"/>
        <w:rPr>
          <w:rStyle w:val="st"/>
        </w:rPr>
      </w:pPr>
      <w:bookmarkStart w:id="150" w:name="_Hlk13490149"/>
      <w:r>
        <w:rPr>
          <w:rStyle w:val="st"/>
        </w:rPr>
        <w:t xml:space="preserve">Changes in labour costs are most affected by two shadow </w:t>
      </w:r>
      <w:proofErr w:type="gramStart"/>
      <w:r>
        <w:rPr>
          <w:rStyle w:val="st"/>
        </w:rPr>
        <w:t>economy combating</w:t>
      </w:r>
      <w:proofErr w:type="gramEnd"/>
      <w:r>
        <w:rPr>
          <w:rStyle w:val="st"/>
        </w:rPr>
        <w:t xml:space="preserve"> measures:</w:t>
      </w:r>
    </w:p>
    <w:p w14:paraId="1A0D95EB" w14:textId="1197BC66" w:rsidR="00E86BE3" w:rsidRPr="00B2521E" w:rsidRDefault="00E86BE3" w:rsidP="00AE5D75">
      <w:pPr>
        <w:pStyle w:val="ListParagraph"/>
        <w:numPr>
          <w:ilvl w:val="0"/>
          <w:numId w:val="25"/>
        </w:numPr>
        <w:jc w:val="both"/>
        <w:rPr>
          <w:rStyle w:val="st"/>
        </w:rPr>
      </w:pPr>
      <w:r>
        <w:rPr>
          <w:rStyle w:val="st"/>
        </w:rPr>
        <w:t>Full implementation of the electronic system for registration of working hours, incl. transfer of data to SRS;</w:t>
      </w:r>
    </w:p>
    <w:p w14:paraId="163D24F3" w14:textId="05233ECB" w:rsidR="00E86BE3" w:rsidRPr="00B2521E" w:rsidRDefault="00E86BE3" w:rsidP="00AE5D75">
      <w:pPr>
        <w:pStyle w:val="ListParagraph"/>
        <w:numPr>
          <w:ilvl w:val="0"/>
          <w:numId w:val="25"/>
        </w:numPr>
        <w:jc w:val="both"/>
        <w:rPr>
          <w:rStyle w:val="st"/>
        </w:rPr>
      </w:pPr>
      <w:r>
        <w:rPr>
          <w:rStyle w:val="st"/>
        </w:rPr>
        <w:t>Determination of the minimum wage level in the construction sector, using the general agreement.</w:t>
      </w:r>
    </w:p>
    <w:bookmarkEnd w:id="150"/>
    <w:p w14:paraId="42BF4A2E" w14:textId="52998DA9" w:rsidR="00E86BE3" w:rsidRPr="00B2521E" w:rsidRDefault="00E86BE3" w:rsidP="00E55546">
      <w:pPr>
        <w:ind w:firstLine="851"/>
        <w:jc w:val="both"/>
        <w:rPr>
          <w:rStyle w:val="st"/>
        </w:rPr>
      </w:pPr>
      <w:r>
        <w:rPr>
          <w:rStyle w:val="st"/>
        </w:rPr>
        <w:t>These measures, as well as the next two measures, the criticality of impact of which is much lower, were positively evaluated by most experts, however although their average evaluation is positive, individual experts evaluated negatively the effect of the last five shadow economy combating measures on changes in labour costs, i.e. the implementation of the measure reduces changes in labour costs.</w:t>
      </w:r>
    </w:p>
    <w:p w14:paraId="45ACCF02" w14:textId="77777777" w:rsidR="00B34894" w:rsidRPr="00B2521E" w:rsidRDefault="00B34894">
      <w:pPr>
        <w:spacing w:before="100" w:after="200" w:line="276" w:lineRule="auto"/>
        <w:rPr>
          <w:b/>
          <w:sz w:val="20"/>
        </w:rPr>
      </w:pPr>
      <w:r>
        <w:br w:type="page"/>
      </w:r>
    </w:p>
    <w:p w14:paraId="44091E79" w14:textId="0C42695F" w:rsidR="00E86BE3" w:rsidRPr="00B2521E" w:rsidRDefault="00E86BE3" w:rsidP="00E86BE3">
      <w:pPr>
        <w:jc w:val="center"/>
        <w:rPr>
          <w:b/>
          <w:sz w:val="18"/>
          <w:szCs w:val="18"/>
        </w:rPr>
      </w:pPr>
      <w:r>
        <w:rPr>
          <w:b/>
          <w:sz w:val="20"/>
        </w:rPr>
        <w:lastRenderedPageBreak/>
        <w:t xml:space="preserve">Figure No. 7. Criticality of the impact of shadow economy combating measures on changes in costs of </w:t>
      </w:r>
      <w:r>
        <w:rPr>
          <w:b/>
          <w:color w:val="222222"/>
          <w:sz w:val="20"/>
        </w:rPr>
        <w:t>construction materials</w:t>
      </w:r>
      <w:r>
        <w:rPr>
          <w:b/>
          <w:sz w:val="20"/>
        </w:rPr>
        <w:t xml:space="preserve"> (on a -10 to 10-point scale) and variation of expert evaluations (standard deviation)</w:t>
      </w:r>
    </w:p>
    <w:p w14:paraId="2CE2D68F" w14:textId="2656496E" w:rsidR="00E86BE3" w:rsidRPr="00B2521E" w:rsidRDefault="00025596" w:rsidP="00E86BE3">
      <w:pPr>
        <w:jc w:val="center"/>
        <w:rPr>
          <w:sz w:val="20"/>
        </w:rPr>
      </w:pPr>
      <w:r w:rsidRPr="00025596">
        <w:rPr>
          <w:noProof/>
          <w:lang w:val="en-US"/>
        </w:rPr>
        <w:drawing>
          <wp:inline distT="0" distB="0" distL="0" distR="0" wp14:anchorId="574BB602" wp14:editId="2BED58E3">
            <wp:extent cx="5939790" cy="3374390"/>
            <wp:effectExtent l="0" t="0" r="3810" b="0"/>
            <wp:docPr id="1006675221" name="Picture 100667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9790" cy="3374390"/>
                    </a:xfrm>
                    <a:prstGeom prst="rect">
                      <a:avLst/>
                    </a:prstGeom>
                  </pic:spPr>
                </pic:pic>
              </a:graphicData>
            </a:graphic>
          </wp:inline>
        </w:drawing>
      </w:r>
    </w:p>
    <w:p w14:paraId="154DF42F" w14:textId="229E4A60" w:rsidR="00E86BE3" w:rsidRDefault="00E86BE3" w:rsidP="00E86BE3">
      <w:pPr>
        <w:jc w:val="center"/>
        <w:rPr>
          <w:sz w:val="20"/>
          <w:szCs w:val="18"/>
        </w:rPr>
      </w:pPr>
      <w:r>
        <w:rPr>
          <w:sz w:val="20"/>
          <w:szCs w:val="18"/>
        </w:rPr>
        <w:t>Source: Expert interviews</w:t>
      </w:r>
    </w:p>
    <w:p w14:paraId="521D8EB6" w14:textId="46AF6AF6" w:rsidR="00725BEA" w:rsidRPr="00B2521E" w:rsidRDefault="00E86BE3" w:rsidP="00E55546">
      <w:pPr>
        <w:ind w:firstLine="851"/>
        <w:jc w:val="both"/>
      </w:pPr>
      <w:bookmarkStart w:id="151" w:name="_Hlk13490242"/>
      <w:r>
        <w:t>Unlike for the effect of shadow economy combating measures on changes in costs of labour force, some specific evidently the most important factor cannot be determined for changes in costs of construction materials due to similar average values in evaluations. Higher diversity of opinions is also observed in the evaluation the impact of the measures on changes in costs of construction materials, i.e. several experts evaluate the impact as negative although average evaluations are positive</w:t>
      </w:r>
      <w:bookmarkEnd w:id="151"/>
      <w:r>
        <w:t>.</w:t>
      </w:r>
    </w:p>
    <w:p w14:paraId="1E6881F1" w14:textId="42726290" w:rsidR="00725BEA" w:rsidRPr="00B2521E" w:rsidRDefault="00725BEA" w:rsidP="00725BEA">
      <w:pPr>
        <w:pStyle w:val="Heading2"/>
      </w:pPr>
      <w:bookmarkStart w:id="152" w:name="_Toc18682401"/>
      <w:r>
        <w:t>Summary of changes in costs of construction resources for forecasts</w:t>
      </w:r>
      <w:bookmarkEnd w:id="152"/>
    </w:p>
    <w:p w14:paraId="2A4DB8AB" w14:textId="5E8A65F4" w:rsidR="00725BEA" w:rsidRPr="00B2521E" w:rsidRDefault="00725BEA" w:rsidP="00725BEA">
      <w:pPr>
        <w:ind w:firstLine="851"/>
        <w:jc w:val="both"/>
        <w:rPr>
          <w:szCs w:val="22"/>
        </w:rPr>
      </w:pPr>
      <w:r>
        <w:t xml:space="preserve">In 2018, an increase was observed in </w:t>
      </w:r>
      <w:r>
        <w:rPr>
          <w:rStyle w:val="st"/>
        </w:rPr>
        <w:t>changes</w:t>
      </w:r>
      <w:r>
        <w:t xml:space="preserve"> in construction costs in all types of resources, and the prepared forecasts evidence that this will continue also in 2019 and 2020 (see Figure No. 8). From 2021 changes in costs of construction materials and maintenance of machines and mechanisms are expected to stabilise at a level below 8% compared to 2018. Changes in costs of architectural and engineering activities will continue to cumulatively grow to 15.18% in 2023 compared to 2018. However, a stable constant increase is forecast for wages of workers reaching 20.39% in 2023 compared to the level of 2018. </w:t>
      </w:r>
    </w:p>
    <w:p w14:paraId="3A9BC656" w14:textId="1567BF95" w:rsidR="0071000E" w:rsidRPr="00B2521E" w:rsidRDefault="0071000E" w:rsidP="0071000E">
      <w:pPr>
        <w:ind w:firstLine="851"/>
        <w:jc w:val="both"/>
      </w:pPr>
      <w:proofErr w:type="gramStart"/>
      <w:r>
        <w:t>Similarly</w:t>
      </w:r>
      <w:proofErr w:type="gramEnd"/>
      <w:r>
        <w:t xml:space="preserve"> to changes in construction costs as a whole, three individual sources of data demonstrate that evaluations of industry experts generally show a higher increase of </w:t>
      </w:r>
      <w:r>
        <w:rPr>
          <w:rStyle w:val="st"/>
        </w:rPr>
        <w:t>change</w:t>
      </w:r>
      <w:r>
        <w:t xml:space="preserve"> in costs than the statistical data trend and the cost-volume elasticity model. Taking into account the comparatively big variations in opinions of experts, the reason may be too intense perception of individual items of changes in costs, which have become much higher recently. However, </w:t>
      </w:r>
      <w:proofErr w:type="gramStart"/>
      <w:r>
        <w:t>taking into account market development and modifications in recent years,</w:t>
      </w:r>
      <w:proofErr w:type="gramEnd"/>
      <w:r>
        <w:t xml:space="preserve"> </w:t>
      </w:r>
      <w:proofErr w:type="gramStart"/>
      <w:r>
        <w:t>it</w:t>
      </w:r>
      <w:proofErr w:type="gramEnd"/>
      <w:r>
        <w:t xml:space="preserve"> is impossible to state that the statistical data trend and the cost-volume historical causal relationships would should a more accurate forecast. Therefore, in all three types of resources the combine forecast in the selected methodology will be the selected mean arithmetic value from all three sources of forecast data (see Table No. 6).</w:t>
      </w:r>
    </w:p>
    <w:p w14:paraId="256F51A4" w14:textId="0514AF35" w:rsidR="0071000E" w:rsidRPr="00B2521E" w:rsidRDefault="0071000E" w:rsidP="00725BEA">
      <w:pPr>
        <w:ind w:firstLine="851"/>
        <w:jc w:val="both"/>
        <w:rPr>
          <w:szCs w:val="22"/>
        </w:rPr>
      </w:pPr>
    </w:p>
    <w:p w14:paraId="05922F31" w14:textId="54292159" w:rsidR="0071000E" w:rsidRPr="00B2521E" w:rsidRDefault="0071000E" w:rsidP="00725BEA">
      <w:pPr>
        <w:ind w:firstLine="851"/>
        <w:jc w:val="both"/>
        <w:rPr>
          <w:szCs w:val="22"/>
        </w:rPr>
      </w:pPr>
    </w:p>
    <w:p w14:paraId="48F1362A" w14:textId="68B7B323" w:rsidR="0071000E" w:rsidRPr="00B2521E" w:rsidRDefault="0071000E" w:rsidP="00725BEA">
      <w:pPr>
        <w:ind w:firstLine="851"/>
        <w:jc w:val="both"/>
        <w:rPr>
          <w:szCs w:val="22"/>
        </w:rPr>
      </w:pPr>
    </w:p>
    <w:p w14:paraId="6A60234C" w14:textId="77777777" w:rsidR="0071000E" w:rsidRPr="00B2521E" w:rsidRDefault="0071000E" w:rsidP="00725BEA">
      <w:pPr>
        <w:ind w:firstLine="851"/>
        <w:jc w:val="both"/>
        <w:rPr>
          <w:szCs w:val="22"/>
        </w:rPr>
      </w:pPr>
    </w:p>
    <w:p w14:paraId="02B241DB" w14:textId="4155DE22" w:rsidR="00725BEA" w:rsidRPr="00B2521E" w:rsidRDefault="00725BEA" w:rsidP="00725BEA">
      <w:pPr>
        <w:jc w:val="center"/>
        <w:rPr>
          <w:b/>
          <w:sz w:val="20"/>
        </w:rPr>
      </w:pPr>
      <w:r>
        <w:rPr>
          <w:b/>
          <w:sz w:val="20"/>
        </w:rPr>
        <w:t>Figure No. 8. Changes in construction costs before 2018 and forecasts by types of resources from 2019 to 2023, cumulative changes compared to 2018, %</w:t>
      </w:r>
    </w:p>
    <w:p w14:paraId="0B9517D9" w14:textId="6F37E124" w:rsidR="00725BEA" w:rsidRPr="00B2521E" w:rsidRDefault="00F977A9" w:rsidP="00725BEA">
      <w:pPr>
        <w:jc w:val="center"/>
        <w:rPr>
          <w:bCs/>
          <w:sz w:val="20"/>
        </w:rPr>
      </w:pPr>
      <w:r w:rsidRPr="00F977A9">
        <w:rPr>
          <w:noProof/>
          <w:lang w:val="en-US"/>
        </w:rPr>
        <w:drawing>
          <wp:inline distT="0" distB="0" distL="0" distR="0" wp14:anchorId="4DC52594" wp14:editId="369928E9">
            <wp:extent cx="5048250" cy="3666646"/>
            <wp:effectExtent l="0" t="0" r="0" b="0"/>
            <wp:docPr id="1006675213" name="Picture 100667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56992" cy="3672995"/>
                    </a:xfrm>
                    <a:prstGeom prst="rect">
                      <a:avLst/>
                    </a:prstGeom>
                  </pic:spPr>
                </pic:pic>
              </a:graphicData>
            </a:graphic>
          </wp:inline>
        </w:drawing>
      </w:r>
    </w:p>
    <w:p w14:paraId="71C09688" w14:textId="06115775" w:rsidR="00725BEA" w:rsidRDefault="00725BEA" w:rsidP="00725BEA">
      <w:pPr>
        <w:jc w:val="center"/>
        <w:rPr>
          <w:sz w:val="20"/>
        </w:rPr>
      </w:pPr>
      <w:r>
        <w:rPr>
          <w:sz w:val="20"/>
        </w:rPr>
        <w:t>Source: CSB historical data before 2018 (inclusive) and calculations made by authors, based on expert evaluations, the statistical data trend and elasticity modelling – forecast for 2019-2023</w:t>
      </w:r>
    </w:p>
    <w:p w14:paraId="21107444" w14:textId="77777777" w:rsidR="00BC1CAC" w:rsidRPr="00B2521E" w:rsidRDefault="00BC1CAC" w:rsidP="00725BEA">
      <w:pPr>
        <w:jc w:val="center"/>
        <w:rPr>
          <w:sz w:val="20"/>
        </w:rPr>
      </w:pPr>
    </w:p>
    <w:p w14:paraId="5895ABBB" w14:textId="2C8A5844" w:rsidR="00894441" w:rsidRPr="00B2521E" w:rsidRDefault="00894441" w:rsidP="00894441">
      <w:pPr>
        <w:jc w:val="center"/>
        <w:rPr>
          <w:b/>
          <w:bCs/>
          <w:sz w:val="20"/>
        </w:rPr>
      </w:pPr>
      <w:r>
        <w:rPr>
          <w:b/>
          <w:bCs/>
          <w:sz w:val="20"/>
        </w:rPr>
        <w:t>Table No. 6. Combined forecast –</w:t>
      </w:r>
      <w:r>
        <w:rPr>
          <w:b/>
          <w:bCs/>
        </w:rPr>
        <w:t xml:space="preserve"> </w:t>
      </w:r>
      <w:r>
        <w:rPr>
          <w:b/>
          <w:bCs/>
          <w:sz w:val="20"/>
        </w:rPr>
        <w:t>changes in construction costs compared to the previous year, %</w:t>
      </w:r>
    </w:p>
    <w:tbl>
      <w:tblPr>
        <w:tblStyle w:val="PlainTable1"/>
        <w:tblW w:w="8964" w:type="dxa"/>
        <w:jc w:val="center"/>
        <w:tblLook w:val="04A0" w:firstRow="1" w:lastRow="0" w:firstColumn="1" w:lastColumn="0" w:noHBand="0" w:noVBand="1"/>
      </w:tblPr>
      <w:tblGrid>
        <w:gridCol w:w="2468"/>
        <w:gridCol w:w="1300"/>
        <w:gridCol w:w="1299"/>
        <w:gridCol w:w="1299"/>
        <w:gridCol w:w="1299"/>
        <w:gridCol w:w="1299"/>
      </w:tblGrid>
      <w:tr w:rsidR="00894441" w:rsidRPr="00B2521E" w14:paraId="1AE968A7" w14:textId="77777777" w:rsidTr="000C2E2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00EA07FE" w14:textId="77777777" w:rsidR="00894441" w:rsidRPr="00B2521E" w:rsidRDefault="00894441" w:rsidP="000C2E28">
            <w:pPr>
              <w:spacing w:before="0" w:after="0"/>
              <w:jc w:val="center"/>
              <w:rPr>
                <w:rFonts w:eastAsia="Times New Roman" w:cstheme="minorHAnsi"/>
                <w:b w:val="0"/>
                <w:bCs w:val="0"/>
                <w:color w:val="FFFFFF" w:themeColor="background1"/>
                <w:sz w:val="18"/>
                <w:szCs w:val="16"/>
              </w:rPr>
            </w:pPr>
            <w:r>
              <w:rPr>
                <w:rFonts w:ascii="Calibri" w:hAnsi="Calibri"/>
                <w:color w:val="FFFFFF" w:themeColor="background1"/>
                <w:sz w:val="18"/>
                <w:szCs w:val="16"/>
              </w:rPr>
              <w:t>Year</w:t>
            </w:r>
          </w:p>
        </w:tc>
        <w:tc>
          <w:tcPr>
            <w:tcW w:w="0" w:type="dxa"/>
            <w:shd w:val="clear" w:color="auto" w:fill="1F3864"/>
            <w:vAlign w:val="center"/>
          </w:tcPr>
          <w:p w14:paraId="2D4153B2" w14:textId="77777777" w:rsidR="00894441" w:rsidRPr="00B2521E"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2019</w:t>
            </w:r>
          </w:p>
        </w:tc>
        <w:tc>
          <w:tcPr>
            <w:tcW w:w="0" w:type="dxa"/>
            <w:shd w:val="clear" w:color="auto" w:fill="1F3864"/>
            <w:vAlign w:val="center"/>
          </w:tcPr>
          <w:p w14:paraId="3E34A4E3" w14:textId="77777777" w:rsidR="00894441" w:rsidRPr="00B2521E"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2020</w:t>
            </w:r>
          </w:p>
        </w:tc>
        <w:tc>
          <w:tcPr>
            <w:tcW w:w="0" w:type="dxa"/>
            <w:shd w:val="clear" w:color="auto" w:fill="1F3864"/>
            <w:vAlign w:val="center"/>
          </w:tcPr>
          <w:p w14:paraId="04A679EA" w14:textId="77777777" w:rsidR="00894441" w:rsidRPr="00B2521E"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2021</w:t>
            </w:r>
          </w:p>
        </w:tc>
        <w:tc>
          <w:tcPr>
            <w:tcW w:w="0" w:type="dxa"/>
            <w:shd w:val="clear" w:color="auto" w:fill="1F3864"/>
            <w:vAlign w:val="center"/>
          </w:tcPr>
          <w:p w14:paraId="019FAEEC" w14:textId="77777777" w:rsidR="00894441" w:rsidRPr="00B2521E"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2022</w:t>
            </w:r>
          </w:p>
        </w:tc>
        <w:tc>
          <w:tcPr>
            <w:tcW w:w="0" w:type="dxa"/>
            <w:shd w:val="clear" w:color="auto" w:fill="1F3864"/>
            <w:vAlign w:val="center"/>
          </w:tcPr>
          <w:p w14:paraId="66064DF4" w14:textId="77777777" w:rsidR="00894441" w:rsidRPr="00B2521E"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rPr>
            </w:pPr>
            <w:r>
              <w:rPr>
                <w:rFonts w:ascii="Calibri" w:hAnsi="Calibri"/>
                <w:color w:val="FFFFFF" w:themeColor="background1"/>
                <w:sz w:val="18"/>
                <w:szCs w:val="16"/>
              </w:rPr>
              <w:t>2023</w:t>
            </w:r>
          </w:p>
        </w:tc>
      </w:tr>
      <w:tr w:rsidR="00894441" w:rsidRPr="00B2521E" w14:paraId="4FE8BEE5" w14:textId="77777777" w:rsidTr="000C2E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68" w:type="dxa"/>
            <w:vAlign w:val="center"/>
          </w:tcPr>
          <w:p w14:paraId="076099E6" w14:textId="5268F97A" w:rsidR="00894441" w:rsidRPr="00B2521E" w:rsidRDefault="00894441" w:rsidP="000C2E28">
            <w:pPr>
              <w:spacing w:before="0" w:after="0"/>
              <w:rPr>
                <w:rFonts w:eastAsia="Times New Roman" w:cstheme="minorHAnsi"/>
                <w:b w:val="0"/>
                <w:bCs w:val="0"/>
                <w:color w:val="000000"/>
                <w:sz w:val="18"/>
                <w:szCs w:val="16"/>
              </w:rPr>
            </w:pPr>
            <w:r>
              <w:rPr>
                <w:rFonts w:ascii="Calibri" w:hAnsi="Calibri"/>
                <w:color w:val="000000"/>
                <w:sz w:val="18"/>
                <w:szCs w:val="16"/>
              </w:rPr>
              <w:t>Changes in construction costs compared to the previous year, %</w:t>
            </w:r>
          </w:p>
        </w:tc>
        <w:tc>
          <w:tcPr>
            <w:tcW w:w="1300" w:type="dxa"/>
            <w:noWrap/>
            <w:vAlign w:val="center"/>
          </w:tcPr>
          <w:p w14:paraId="1FFCCE1F" w14:textId="77777777" w:rsidR="00894441" w:rsidRPr="00B2521E"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4.9</w:t>
            </w:r>
          </w:p>
        </w:tc>
        <w:tc>
          <w:tcPr>
            <w:tcW w:w="1299" w:type="dxa"/>
            <w:vAlign w:val="center"/>
          </w:tcPr>
          <w:p w14:paraId="407C2C44" w14:textId="77777777" w:rsidR="00894441" w:rsidRPr="00B2521E"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4.4</w:t>
            </w:r>
          </w:p>
        </w:tc>
        <w:tc>
          <w:tcPr>
            <w:tcW w:w="1299" w:type="dxa"/>
            <w:noWrap/>
            <w:vAlign w:val="center"/>
          </w:tcPr>
          <w:p w14:paraId="76BAFE99" w14:textId="77777777" w:rsidR="00894441" w:rsidRPr="00B2521E"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1.5</w:t>
            </w:r>
          </w:p>
        </w:tc>
        <w:tc>
          <w:tcPr>
            <w:tcW w:w="1299" w:type="dxa"/>
            <w:noWrap/>
            <w:vAlign w:val="center"/>
          </w:tcPr>
          <w:p w14:paraId="7EC621DF" w14:textId="77777777" w:rsidR="00894441" w:rsidRPr="00B2521E"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-1.1</w:t>
            </w:r>
          </w:p>
        </w:tc>
        <w:tc>
          <w:tcPr>
            <w:tcW w:w="1299" w:type="dxa"/>
            <w:noWrap/>
            <w:vAlign w:val="center"/>
          </w:tcPr>
          <w:p w14:paraId="120E769A" w14:textId="77777777" w:rsidR="00894441" w:rsidRPr="00B2521E"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sz w:val="18"/>
                <w:szCs w:val="18"/>
              </w:rPr>
              <w:t>0.7</w:t>
            </w:r>
          </w:p>
        </w:tc>
      </w:tr>
    </w:tbl>
    <w:p w14:paraId="4C8DAECF" w14:textId="2EF045F0" w:rsidR="00894441" w:rsidRPr="00B2521E" w:rsidRDefault="00894441" w:rsidP="00895643">
      <w:pPr>
        <w:ind w:firstLine="851"/>
        <w:jc w:val="center"/>
      </w:pPr>
      <w:r>
        <w:rPr>
          <w:sz w:val="20"/>
        </w:rPr>
        <w:t>Source: calculations of the authors based on expert evaluations, the statistical data trend and elasticity modelling</w:t>
      </w:r>
    </w:p>
    <w:p w14:paraId="4F006EA2" w14:textId="126D8C1E" w:rsidR="00725BEA" w:rsidRPr="00B2521E" w:rsidRDefault="00725BEA" w:rsidP="00725BEA">
      <w:pPr>
        <w:ind w:firstLine="851"/>
        <w:jc w:val="both"/>
      </w:pPr>
      <w:r>
        <w:t xml:space="preserve">The general trend in changes in construction costs broken down by types of resources is a stable increase for changes in costs of human resources, while changes in costs related to raw materials and equipment are expected to have higher elasticity depending on changes in the volume of construction products – after 2020 the forecast </w:t>
      </w:r>
      <w:r>
        <w:rPr>
          <w:rStyle w:val="st"/>
        </w:rPr>
        <w:t>changes</w:t>
      </w:r>
      <w:r>
        <w:t xml:space="preserve"> in costs will fluctuate around zero. </w:t>
      </w:r>
    </w:p>
    <w:p w14:paraId="5EA127D9" w14:textId="1DA89F00" w:rsidR="00725BEA" w:rsidRPr="00B2521E" w:rsidRDefault="00725BEA" w:rsidP="00725BEA">
      <w:pPr>
        <w:ind w:firstLine="851"/>
        <w:jc w:val="both"/>
      </w:pPr>
      <w:r>
        <w:t xml:space="preserve">However, it </w:t>
      </w:r>
      <w:proofErr w:type="gramStart"/>
      <w:r>
        <w:t>should be taken</w:t>
      </w:r>
      <w:proofErr w:type="gramEnd"/>
      <w:r>
        <w:t xml:space="preserve"> into account that actual changes in construction costs by types of resources may be significantly influenced by specific demand and supply solution factors and it is expected that they will be more applicable to changes in costs of labour force and construction materials. Expert evaluations about the impact of shadow economy combating measures show that most impact is expected on the increase in </w:t>
      </w:r>
      <w:r>
        <w:rPr>
          <w:rStyle w:val="st"/>
        </w:rPr>
        <w:t>changes</w:t>
      </w:r>
      <w:r>
        <w:t xml:space="preserve"> in labour costs. This means that the size and dynamics of the increase in </w:t>
      </w:r>
      <w:r>
        <w:rPr>
          <w:rStyle w:val="st"/>
        </w:rPr>
        <w:t>changes</w:t>
      </w:r>
      <w:r>
        <w:t xml:space="preserve"> in labour costs also depends on the efficiency of implementation of shadow economy combating measures.</w:t>
      </w:r>
    </w:p>
    <w:p w14:paraId="2D4BD7E7" w14:textId="51A67383" w:rsidR="0071000E" w:rsidRPr="00B2521E" w:rsidRDefault="0071000E" w:rsidP="00725BEA">
      <w:pPr>
        <w:ind w:firstLine="851"/>
        <w:jc w:val="both"/>
      </w:pPr>
    </w:p>
    <w:p w14:paraId="79AA4413" w14:textId="77777777" w:rsidR="0071000E" w:rsidRPr="00B2521E" w:rsidRDefault="0071000E" w:rsidP="00725BEA">
      <w:pPr>
        <w:ind w:firstLine="851"/>
        <w:jc w:val="both"/>
      </w:pPr>
    </w:p>
    <w:p w14:paraId="4AAC70D5" w14:textId="412014EA" w:rsidR="00515FED" w:rsidRPr="00B2521E" w:rsidRDefault="00515FED" w:rsidP="00515FED">
      <w:pPr>
        <w:pStyle w:val="Heading1"/>
        <w:numPr>
          <w:ilvl w:val="0"/>
          <w:numId w:val="5"/>
        </w:numPr>
        <w:ind w:left="0" w:firstLine="0"/>
        <w:jc w:val="both"/>
        <w:rPr>
          <w:caps w:val="0"/>
          <w:sz w:val="30"/>
          <w:szCs w:val="30"/>
        </w:rPr>
      </w:pPr>
      <w:bookmarkStart w:id="153" w:name="_Toc18682402"/>
      <w:r>
        <w:rPr>
          <w:caps w:val="0"/>
          <w:sz w:val="30"/>
          <w:szCs w:val="30"/>
        </w:rPr>
        <w:lastRenderedPageBreak/>
        <w:t>FORECASTS OF CHANGES IN THE VOLUME AND COSTS OF CONSTRUCTION PRODUCTS AND COSTS OF RESOURCES BY CONSTRUCTION SUBSECTORS</w:t>
      </w:r>
      <w:bookmarkEnd w:id="153"/>
    </w:p>
    <w:p w14:paraId="749E101A" w14:textId="77777777" w:rsidR="00364CA7" w:rsidRPr="00B2521E" w:rsidRDefault="00364CA7" w:rsidP="00364CA7">
      <w:pPr>
        <w:pStyle w:val="Heading2"/>
      </w:pPr>
      <w:bookmarkStart w:id="154" w:name="_Toc13492559"/>
      <w:bookmarkStart w:id="155" w:name="_Toc13574599"/>
      <w:bookmarkStart w:id="156" w:name="_Toc13576386"/>
      <w:bookmarkStart w:id="157" w:name="_Toc13580139"/>
      <w:bookmarkStart w:id="158" w:name="_Toc13673321"/>
      <w:bookmarkStart w:id="159" w:name="_Toc13673637"/>
      <w:bookmarkStart w:id="160" w:name="_Toc13492560"/>
      <w:bookmarkStart w:id="161" w:name="_Toc13574600"/>
      <w:bookmarkStart w:id="162" w:name="_Toc13576387"/>
      <w:bookmarkStart w:id="163" w:name="_Toc13580140"/>
      <w:bookmarkStart w:id="164" w:name="_Toc13673322"/>
      <w:bookmarkStart w:id="165" w:name="_Toc13673638"/>
      <w:bookmarkStart w:id="166" w:name="_Toc13492561"/>
      <w:bookmarkStart w:id="167" w:name="_Toc13574601"/>
      <w:bookmarkStart w:id="168" w:name="_Toc13576388"/>
      <w:bookmarkStart w:id="169" w:name="_Toc13580141"/>
      <w:bookmarkStart w:id="170" w:name="_Toc13673323"/>
      <w:bookmarkStart w:id="171" w:name="_Toc13673639"/>
      <w:bookmarkStart w:id="172" w:name="_Toc13492562"/>
      <w:bookmarkStart w:id="173" w:name="_Toc13574602"/>
      <w:bookmarkStart w:id="174" w:name="_Toc13576389"/>
      <w:bookmarkStart w:id="175" w:name="_Toc13580142"/>
      <w:bookmarkStart w:id="176" w:name="_Toc13673324"/>
      <w:bookmarkStart w:id="177" w:name="_Toc13673640"/>
      <w:bookmarkStart w:id="178" w:name="_Toc13492563"/>
      <w:bookmarkStart w:id="179" w:name="_Toc13574603"/>
      <w:bookmarkStart w:id="180" w:name="_Toc13576390"/>
      <w:bookmarkStart w:id="181" w:name="_Toc13580143"/>
      <w:bookmarkStart w:id="182" w:name="_Toc13673325"/>
      <w:bookmarkStart w:id="183" w:name="_Toc13673641"/>
      <w:bookmarkStart w:id="184" w:name="_Toc13492564"/>
      <w:bookmarkStart w:id="185" w:name="_Toc13574604"/>
      <w:bookmarkStart w:id="186" w:name="_Toc13576391"/>
      <w:bookmarkStart w:id="187" w:name="_Toc13580144"/>
      <w:bookmarkStart w:id="188" w:name="_Toc13673326"/>
      <w:bookmarkStart w:id="189" w:name="_Toc13673642"/>
      <w:bookmarkStart w:id="190" w:name="_Toc13492565"/>
      <w:bookmarkStart w:id="191" w:name="_Toc13574605"/>
      <w:bookmarkStart w:id="192" w:name="_Toc13576392"/>
      <w:bookmarkStart w:id="193" w:name="_Toc13580145"/>
      <w:bookmarkStart w:id="194" w:name="_Toc13673327"/>
      <w:bookmarkStart w:id="195" w:name="_Toc13673643"/>
      <w:bookmarkStart w:id="196" w:name="_Toc13492566"/>
      <w:bookmarkStart w:id="197" w:name="_Toc13574606"/>
      <w:bookmarkStart w:id="198" w:name="_Toc13576393"/>
      <w:bookmarkStart w:id="199" w:name="_Toc13580146"/>
      <w:bookmarkStart w:id="200" w:name="_Toc13673328"/>
      <w:bookmarkStart w:id="201" w:name="_Toc13673644"/>
      <w:bookmarkStart w:id="202" w:name="_Toc13492567"/>
      <w:bookmarkStart w:id="203" w:name="_Toc13574607"/>
      <w:bookmarkStart w:id="204" w:name="_Toc13576394"/>
      <w:bookmarkStart w:id="205" w:name="_Toc13580147"/>
      <w:bookmarkStart w:id="206" w:name="_Toc13673329"/>
      <w:bookmarkStart w:id="207" w:name="_Toc13673645"/>
      <w:bookmarkStart w:id="208" w:name="_Toc13492568"/>
      <w:bookmarkStart w:id="209" w:name="_Toc13574608"/>
      <w:bookmarkStart w:id="210" w:name="_Toc13576395"/>
      <w:bookmarkStart w:id="211" w:name="_Toc13580148"/>
      <w:bookmarkStart w:id="212" w:name="_Toc13673330"/>
      <w:bookmarkStart w:id="213" w:name="_Toc13673646"/>
      <w:bookmarkStart w:id="214" w:name="_Toc13492569"/>
      <w:bookmarkStart w:id="215" w:name="_Toc13574609"/>
      <w:bookmarkStart w:id="216" w:name="_Toc13576396"/>
      <w:bookmarkStart w:id="217" w:name="_Toc13580149"/>
      <w:bookmarkStart w:id="218" w:name="_Toc13673331"/>
      <w:bookmarkStart w:id="219" w:name="_Toc13673647"/>
      <w:bookmarkStart w:id="220" w:name="_Toc13492570"/>
      <w:bookmarkStart w:id="221" w:name="_Toc13574610"/>
      <w:bookmarkStart w:id="222" w:name="_Toc13576397"/>
      <w:bookmarkStart w:id="223" w:name="_Toc13580150"/>
      <w:bookmarkStart w:id="224" w:name="_Toc13673332"/>
      <w:bookmarkStart w:id="225" w:name="_Toc13673648"/>
      <w:bookmarkStart w:id="226" w:name="_Toc13492571"/>
      <w:bookmarkStart w:id="227" w:name="_Toc13574611"/>
      <w:bookmarkStart w:id="228" w:name="_Toc13576398"/>
      <w:bookmarkStart w:id="229" w:name="_Toc13580151"/>
      <w:bookmarkStart w:id="230" w:name="_Toc13673333"/>
      <w:bookmarkStart w:id="231" w:name="_Toc13673649"/>
      <w:bookmarkStart w:id="232" w:name="_Toc13492572"/>
      <w:bookmarkStart w:id="233" w:name="_Toc13574612"/>
      <w:bookmarkStart w:id="234" w:name="_Toc13576399"/>
      <w:bookmarkStart w:id="235" w:name="_Toc13580152"/>
      <w:bookmarkStart w:id="236" w:name="_Toc13673334"/>
      <w:bookmarkStart w:id="237" w:name="_Toc13673650"/>
      <w:bookmarkStart w:id="238" w:name="_Toc13492573"/>
      <w:bookmarkStart w:id="239" w:name="_Toc13574613"/>
      <w:bookmarkStart w:id="240" w:name="_Toc13576400"/>
      <w:bookmarkStart w:id="241" w:name="_Toc13580153"/>
      <w:bookmarkStart w:id="242" w:name="_Toc13673335"/>
      <w:bookmarkStart w:id="243" w:name="_Toc13673651"/>
      <w:bookmarkStart w:id="244" w:name="_Toc13492574"/>
      <w:bookmarkStart w:id="245" w:name="_Toc13574614"/>
      <w:bookmarkStart w:id="246" w:name="_Toc13576401"/>
      <w:bookmarkStart w:id="247" w:name="_Toc13580154"/>
      <w:bookmarkStart w:id="248" w:name="_Toc13673336"/>
      <w:bookmarkStart w:id="249" w:name="_Toc13673652"/>
      <w:bookmarkStart w:id="250" w:name="_Toc13492575"/>
      <w:bookmarkStart w:id="251" w:name="_Toc13574615"/>
      <w:bookmarkStart w:id="252" w:name="_Toc13576402"/>
      <w:bookmarkStart w:id="253" w:name="_Toc13580155"/>
      <w:bookmarkStart w:id="254" w:name="_Toc13673337"/>
      <w:bookmarkStart w:id="255" w:name="_Toc13673653"/>
      <w:bookmarkStart w:id="256" w:name="_Toc13492576"/>
      <w:bookmarkStart w:id="257" w:name="_Toc13574616"/>
      <w:bookmarkStart w:id="258" w:name="_Toc13576403"/>
      <w:bookmarkStart w:id="259" w:name="_Toc13580156"/>
      <w:bookmarkStart w:id="260" w:name="_Toc13673338"/>
      <w:bookmarkStart w:id="261" w:name="_Toc13673654"/>
      <w:bookmarkStart w:id="262" w:name="_Toc13492577"/>
      <w:bookmarkStart w:id="263" w:name="_Toc13574617"/>
      <w:bookmarkStart w:id="264" w:name="_Toc13576404"/>
      <w:bookmarkStart w:id="265" w:name="_Toc13580157"/>
      <w:bookmarkStart w:id="266" w:name="_Toc13673339"/>
      <w:bookmarkStart w:id="267" w:name="_Toc13673655"/>
      <w:bookmarkStart w:id="268" w:name="_Toc13492578"/>
      <w:bookmarkStart w:id="269" w:name="_Toc13574618"/>
      <w:bookmarkStart w:id="270" w:name="_Toc13576405"/>
      <w:bookmarkStart w:id="271" w:name="_Toc13580158"/>
      <w:bookmarkStart w:id="272" w:name="_Toc13673340"/>
      <w:bookmarkStart w:id="273" w:name="_Toc13673656"/>
      <w:bookmarkStart w:id="274" w:name="_Toc13492579"/>
      <w:bookmarkStart w:id="275" w:name="_Toc13574619"/>
      <w:bookmarkStart w:id="276" w:name="_Toc13576406"/>
      <w:bookmarkStart w:id="277" w:name="_Toc13580159"/>
      <w:bookmarkStart w:id="278" w:name="_Toc13673341"/>
      <w:bookmarkStart w:id="279" w:name="_Toc13673657"/>
      <w:bookmarkStart w:id="280" w:name="_Toc13492580"/>
      <w:bookmarkStart w:id="281" w:name="_Toc13574620"/>
      <w:bookmarkStart w:id="282" w:name="_Toc13576407"/>
      <w:bookmarkStart w:id="283" w:name="_Toc13580160"/>
      <w:bookmarkStart w:id="284" w:name="_Toc13673342"/>
      <w:bookmarkStart w:id="285" w:name="_Toc13673658"/>
      <w:bookmarkStart w:id="286" w:name="_Toc13492581"/>
      <w:bookmarkStart w:id="287" w:name="_Toc13574621"/>
      <w:bookmarkStart w:id="288" w:name="_Toc13576408"/>
      <w:bookmarkStart w:id="289" w:name="_Toc13580161"/>
      <w:bookmarkStart w:id="290" w:name="_Toc13673343"/>
      <w:bookmarkStart w:id="291" w:name="_Toc13673659"/>
      <w:bookmarkStart w:id="292" w:name="_Toc13492582"/>
      <w:bookmarkStart w:id="293" w:name="_Toc13574622"/>
      <w:bookmarkStart w:id="294" w:name="_Toc13576409"/>
      <w:bookmarkStart w:id="295" w:name="_Toc13580162"/>
      <w:bookmarkStart w:id="296" w:name="_Toc13673344"/>
      <w:bookmarkStart w:id="297" w:name="_Toc13673660"/>
      <w:bookmarkStart w:id="298" w:name="_Toc13492583"/>
      <w:bookmarkStart w:id="299" w:name="_Toc13574623"/>
      <w:bookmarkStart w:id="300" w:name="_Toc13576410"/>
      <w:bookmarkStart w:id="301" w:name="_Toc13580163"/>
      <w:bookmarkStart w:id="302" w:name="_Toc13673345"/>
      <w:bookmarkStart w:id="303" w:name="_Toc13673661"/>
      <w:bookmarkStart w:id="304" w:name="_Toc13492584"/>
      <w:bookmarkStart w:id="305" w:name="_Toc13574624"/>
      <w:bookmarkStart w:id="306" w:name="_Toc13576411"/>
      <w:bookmarkStart w:id="307" w:name="_Toc13580164"/>
      <w:bookmarkStart w:id="308" w:name="_Toc13673346"/>
      <w:bookmarkStart w:id="309" w:name="_Toc13673662"/>
      <w:bookmarkStart w:id="310" w:name="_Toc13492585"/>
      <w:bookmarkStart w:id="311" w:name="_Toc13574625"/>
      <w:bookmarkStart w:id="312" w:name="_Toc13576412"/>
      <w:bookmarkStart w:id="313" w:name="_Toc13580165"/>
      <w:bookmarkStart w:id="314" w:name="_Toc13673347"/>
      <w:bookmarkStart w:id="315" w:name="_Toc13673663"/>
      <w:bookmarkStart w:id="316" w:name="_Toc13492586"/>
      <w:bookmarkStart w:id="317" w:name="_Toc13574626"/>
      <w:bookmarkStart w:id="318" w:name="_Toc13576413"/>
      <w:bookmarkStart w:id="319" w:name="_Toc13580166"/>
      <w:bookmarkStart w:id="320" w:name="_Toc13673348"/>
      <w:bookmarkStart w:id="321" w:name="_Toc13673664"/>
      <w:bookmarkStart w:id="322" w:name="_Toc13492587"/>
      <w:bookmarkStart w:id="323" w:name="_Toc13574627"/>
      <w:bookmarkStart w:id="324" w:name="_Toc13576414"/>
      <w:bookmarkStart w:id="325" w:name="_Toc13580167"/>
      <w:bookmarkStart w:id="326" w:name="_Toc13673349"/>
      <w:bookmarkStart w:id="327" w:name="_Toc13673665"/>
      <w:bookmarkStart w:id="328" w:name="_Toc13492588"/>
      <w:bookmarkStart w:id="329" w:name="_Toc13574628"/>
      <w:bookmarkStart w:id="330" w:name="_Toc13576415"/>
      <w:bookmarkStart w:id="331" w:name="_Toc13580168"/>
      <w:bookmarkStart w:id="332" w:name="_Toc13673350"/>
      <w:bookmarkStart w:id="333" w:name="_Toc13673666"/>
      <w:bookmarkStart w:id="334" w:name="_Toc13492589"/>
      <w:bookmarkStart w:id="335" w:name="_Toc13574629"/>
      <w:bookmarkStart w:id="336" w:name="_Toc13576416"/>
      <w:bookmarkStart w:id="337" w:name="_Toc13580169"/>
      <w:bookmarkStart w:id="338" w:name="_Toc13673351"/>
      <w:bookmarkStart w:id="339" w:name="_Toc13673667"/>
      <w:bookmarkStart w:id="340" w:name="_Toc13492590"/>
      <w:bookmarkStart w:id="341" w:name="_Toc13574630"/>
      <w:bookmarkStart w:id="342" w:name="_Toc13576417"/>
      <w:bookmarkStart w:id="343" w:name="_Toc13580170"/>
      <w:bookmarkStart w:id="344" w:name="_Toc13673352"/>
      <w:bookmarkStart w:id="345" w:name="_Toc13673668"/>
      <w:bookmarkStart w:id="346" w:name="_Toc13492591"/>
      <w:bookmarkStart w:id="347" w:name="_Toc13574631"/>
      <w:bookmarkStart w:id="348" w:name="_Toc13576418"/>
      <w:bookmarkStart w:id="349" w:name="_Toc13580171"/>
      <w:bookmarkStart w:id="350" w:name="_Toc13673353"/>
      <w:bookmarkStart w:id="351" w:name="_Toc13673669"/>
      <w:bookmarkStart w:id="352" w:name="_Toc13492592"/>
      <w:bookmarkStart w:id="353" w:name="_Toc13574632"/>
      <w:bookmarkStart w:id="354" w:name="_Toc13576419"/>
      <w:bookmarkStart w:id="355" w:name="_Toc13580172"/>
      <w:bookmarkStart w:id="356" w:name="_Toc13673354"/>
      <w:bookmarkStart w:id="357" w:name="_Toc13673670"/>
      <w:bookmarkStart w:id="358" w:name="_Toc13492593"/>
      <w:bookmarkStart w:id="359" w:name="_Toc13574633"/>
      <w:bookmarkStart w:id="360" w:name="_Toc13576420"/>
      <w:bookmarkStart w:id="361" w:name="_Toc13580173"/>
      <w:bookmarkStart w:id="362" w:name="_Toc13673355"/>
      <w:bookmarkStart w:id="363" w:name="_Toc13673671"/>
      <w:bookmarkStart w:id="364" w:name="_Toc13492594"/>
      <w:bookmarkStart w:id="365" w:name="_Toc13574634"/>
      <w:bookmarkStart w:id="366" w:name="_Toc13576421"/>
      <w:bookmarkStart w:id="367" w:name="_Toc13580174"/>
      <w:bookmarkStart w:id="368" w:name="_Toc13673356"/>
      <w:bookmarkStart w:id="369" w:name="_Toc13673672"/>
      <w:bookmarkStart w:id="370" w:name="_Toc13492610"/>
      <w:bookmarkStart w:id="371" w:name="_Toc13574650"/>
      <w:bookmarkStart w:id="372" w:name="_Toc13576437"/>
      <w:bookmarkStart w:id="373" w:name="_Toc13580190"/>
      <w:bookmarkStart w:id="374" w:name="_Toc13673372"/>
      <w:bookmarkStart w:id="375" w:name="_Toc13673688"/>
      <w:bookmarkStart w:id="376" w:name="_Toc13492626"/>
      <w:bookmarkStart w:id="377" w:name="_Toc13574666"/>
      <w:bookmarkStart w:id="378" w:name="_Toc13576453"/>
      <w:bookmarkStart w:id="379" w:name="_Toc13580206"/>
      <w:bookmarkStart w:id="380" w:name="_Toc13673388"/>
      <w:bookmarkStart w:id="381" w:name="_Toc13673704"/>
      <w:bookmarkStart w:id="382" w:name="_Toc13492642"/>
      <w:bookmarkStart w:id="383" w:name="_Toc13574682"/>
      <w:bookmarkStart w:id="384" w:name="_Toc13576469"/>
      <w:bookmarkStart w:id="385" w:name="_Toc13580222"/>
      <w:bookmarkStart w:id="386" w:name="_Toc13673404"/>
      <w:bookmarkStart w:id="387" w:name="_Toc13673720"/>
      <w:bookmarkStart w:id="388" w:name="_Toc13492658"/>
      <w:bookmarkStart w:id="389" w:name="_Toc13574698"/>
      <w:bookmarkStart w:id="390" w:name="_Toc13576485"/>
      <w:bookmarkStart w:id="391" w:name="_Toc13580238"/>
      <w:bookmarkStart w:id="392" w:name="_Toc13673420"/>
      <w:bookmarkStart w:id="393" w:name="_Toc13673736"/>
      <w:bookmarkStart w:id="394" w:name="_Toc18682403"/>
      <w:bookmarkEnd w:id="6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t>Forecasts of changes in costs of the subsector Construction of residential and non-residential buildings</w:t>
      </w:r>
      <w:bookmarkEnd w:id="394"/>
    </w:p>
    <w:p w14:paraId="6EDC9893" w14:textId="77777777" w:rsidR="00364CA7" w:rsidRPr="00B2521E" w:rsidRDefault="00364CA7" w:rsidP="00364CA7">
      <w:pPr>
        <w:ind w:firstLine="851"/>
        <w:jc w:val="both"/>
      </w:pPr>
      <w:r>
        <w:t xml:space="preserve">When conducting interviews of construction experts in subsectors, companies engaged in construction of residential and non-residential buildings </w:t>
      </w:r>
      <w:proofErr w:type="gramStart"/>
      <w:r>
        <w:t>were united</w:t>
      </w:r>
      <w:proofErr w:type="gramEnd"/>
      <w:r>
        <w:t xml:space="preserve"> into one group of experts, taking into account that NACE Rev.2 classification</w:t>
      </w:r>
      <w:r w:rsidRPr="00B2521E">
        <w:rPr>
          <w:rStyle w:val="FootnoteReference"/>
        </w:rPr>
        <w:footnoteReference w:id="7"/>
      </w:r>
      <w:r>
        <w:t xml:space="preserve"> does not differentiate individual codes of companies engaged in construction of residential and separately non-residential buildings. Moreover, specialisations of the companies is not so narrow and it would be therefore very difficult to separate each group.</w:t>
      </w:r>
    </w:p>
    <w:p w14:paraId="1FD6253B" w14:textId="498B8382" w:rsidR="00364CA7" w:rsidRPr="00B2521E" w:rsidRDefault="00364CA7" w:rsidP="00364CA7">
      <w:pPr>
        <w:ind w:firstLine="851"/>
        <w:jc w:val="both"/>
      </w:pPr>
      <w:r>
        <w:t>In the subsector of residential and non-residential buildings forecasts expect an increase in volume in 2019 – 2023 with a potential drop in 2022, as well as there is a risk that the volume will drop in 2020 (see Figures No.9 and 10).</w:t>
      </w:r>
    </w:p>
    <w:p w14:paraId="755F1C93" w14:textId="38933B5A" w:rsidR="00364CA7" w:rsidRPr="00B2521E" w:rsidRDefault="00364CA7" w:rsidP="00364CA7">
      <w:pPr>
        <w:jc w:val="center"/>
        <w:rPr>
          <w:b/>
          <w:sz w:val="20"/>
        </w:rPr>
      </w:pPr>
      <w:r>
        <w:rPr>
          <w:b/>
          <w:sz w:val="20"/>
        </w:rPr>
        <w:t>Figure No. 9. Changes in volumes of construction products in the subsector of residential buildings before 2018 and forecasts from 2019 to 2023, cumulative changes compared to 2018, %</w:t>
      </w:r>
    </w:p>
    <w:p w14:paraId="5CD832EE" w14:textId="6EB70A19" w:rsidR="00364CA7" w:rsidRPr="00B2521E" w:rsidRDefault="009000A0" w:rsidP="00364CA7">
      <w:pPr>
        <w:jc w:val="center"/>
        <w:rPr>
          <w:bCs/>
        </w:rPr>
      </w:pPr>
      <w:r w:rsidRPr="009000A0">
        <w:rPr>
          <w:noProof/>
          <w:lang w:val="en-US"/>
        </w:rPr>
        <w:drawing>
          <wp:inline distT="0" distB="0" distL="0" distR="0" wp14:anchorId="7F0B50F2" wp14:editId="13F9BD66">
            <wp:extent cx="5133975" cy="3727264"/>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56865" cy="3743882"/>
                    </a:xfrm>
                    <a:prstGeom prst="rect">
                      <a:avLst/>
                    </a:prstGeom>
                  </pic:spPr>
                </pic:pic>
              </a:graphicData>
            </a:graphic>
          </wp:inline>
        </w:drawing>
      </w:r>
    </w:p>
    <w:p w14:paraId="3FAD04D6" w14:textId="4B907079" w:rsidR="0071000E" w:rsidRPr="00B2521E" w:rsidRDefault="00364CA7" w:rsidP="009000A0">
      <w:pPr>
        <w:jc w:val="center"/>
        <w:rPr>
          <w:b/>
          <w:sz w:val="20"/>
        </w:rPr>
      </w:pPr>
      <w:r>
        <w:rPr>
          <w:sz w:val="20"/>
        </w:rPr>
        <w:t>Source: CSB historical data before 2018 (inclusive) and calculations made by authors, based on expert evaluations and developed models – forecast for 2019-2023</w:t>
      </w:r>
    </w:p>
    <w:p w14:paraId="5BA14E9E" w14:textId="77777777" w:rsidR="0071000E" w:rsidRPr="00B2521E" w:rsidRDefault="0071000E" w:rsidP="00364CA7">
      <w:pPr>
        <w:jc w:val="center"/>
        <w:rPr>
          <w:b/>
          <w:sz w:val="20"/>
        </w:rPr>
      </w:pPr>
    </w:p>
    <w:p w14:paraId="225E4842" w14:textId="77777777" w:rsidR="0071000E" w:rsidRPr="00B2521E" w:rsidRDefault="0071000E" w:rsidP="00364CA7">
      <w:pPr>
        <w:jc w:val="center"/>
        <w:rPr>
          <w:b/>
          <w:sz w:val="20"/>
        </w:rPr>
      </w:pPr>
    </w:p>
    <w:p w14:paraId="1FB16B5C" w14:textId="77777777" w:rsidR="0071000E" w:rsidRPr="00B2521E" w:rsidRDefault="0071000E" w:rsidP="00364CA7">
      <w:pPr>
        <w:jc w:val="center"/>
        <w:rPr>
          <w:b/>
          <w:sz w:val="20"/>
        </w:rPr>
      </w:pPr>
    </w:p>
    <w:p w14:paraId="00DF874D" w14:textId="7AD6F35A" w:rsidR="00364CA7" w:rsidRPr="00B2521E" w:rsidRDefault="00364CA7" w:rsidP="00364CA7">
      <w:pPr>
        <w:jc w:val="center"/>
        <w:rPr>
          <w:b/>
        </w:rPr>
      </w:pPr>
      <w:r>
        <w:rPr>
          <w:b/>
          <w:sz w:val="20"/>
        </w:rPr>
        <w:lastRenderedPageBreak/>
        <w:t>Figure No. 10. Changes in volumes of construction products in the subsector of non-residential buildings before 2018 and forecasts from 2019 to 2023, cumulative changes compared to 2018, %</w:t>
      </w:r>
    </w:p>
    <w:p w14:paraId="1A5657BD" w14:textId="695CDDA4" w:rsidR="00364CA7" w:rsidRPr="00B2521E" w:rsidRDefault="009000A0" w:rsidP="002B0DE5">
      <w:pPr>
        <w:jc w:val="center"/>
      </w:pPr>
      <w:r w:rsidRPr="009000A0">
        <w:rPr>
          <w:noProof/>
          <w:lang w:val="en-US"/>
        </w:rPr>
        <w:drawing>
          <wp:inline distT="0" distB="0" distL="0" distR="0" wp14:anchorId="2AAFD55D" wp14:editId="2AB095C7">
            <wp:extent cx="5076825" cy="368577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85985" cy="3692423"/>
                    </a:xfrm>
                    <a:prstGeom prst="rect">
                      <a:avLst/>
                    </a:prstGeom>
                  </pic:spPr>
                </pic:pic>
              </a:graphicData>
            </a:graphic>
          </wp:inline>
        </w:drawing>
      </w:r>
    </w:p>
    <w:p w14:paraId="7C09E8BE" w14:textId="446E25BD" w:rsidR="00BC1CAC" w:rsidRPr="00B2521E" w:rsidRDefault="00364CA7" w:rsidP="009000A0">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63F9C35D" w14:textId="58F25B92" w:rsidR="00364CA7" w:rsidRPr="00B2521E" w:rsidRDefault="00364CA7" w:rsidP="00364CA7">
      <w:pPr>
        <w:ind w:firstLine="851"/>
        <w:jc w:val="both"/>
      </w:pPr>
      <w:r>
        <w:t xml:space="preserve">The expert evaluation is the most optimistic in the sector of both residential and non-residential buildings – a cumulative increase in volume in 2023 would reach almost 50% of the level of 2018. </w:t>
      </w:r>
    </w:p>
    <w:p w14:paraId="7FC8A378" w14:textId="177C1D7D" w:rsidR="00364CA7" w:rsidRPr="00B2521E" w:rsidRDefault="00364CA7" w:rsidP="00364CA7">
      <w:pPr>
        <w:ind w:firstLine="851"/>
        <w:jc w:val="both"/>
      </w:pPr>
      <w:r>
        <w:t xml:space="preserve">The statistical model points put to a significant risk of a drop in 2022, similarly to 2016, due to the cyclic nature of absorption of EU funds. </w:t>
      </w:r>
    </w:p>
    <w:p w14:paraId="4F3426E2" w14:textId="6F4C09BF" w:rsidR="00364CA7" w:rsidRPr="00B2521E" w:rsidRDefault="00364CA7" w:rsidP="00364CA7">
      <w:pPr>
        <w:ind w:firstLine="851"/>
        <w:jc w:val="both"/>
      </w:pPr>
      <w:r>
        <w:t>In sectors of residential and non-residential buildings forecasts show a very similar volume dynamics, which differs in some places within 2%. The data are similar due to two reasons: expert evaluations in both sectors are similar: specificity of CSB’s statistical registration – volumes of products in construction of residential and non-residential buildings are not registered separately, therefore the combined forecast in both sectors takes into account general CSB data on dynamics in the volume of construction products in construction of buildings.</w:t>
      </w:r>
    </w:p>
    <w:p w14:paraId="1EC48259" w14:textId="531EC4F8" w:rsidR="00364CA7" w:rsidRPr="00B2521E" w:rsidRDefault="00364CA7" w:rsidP="00364CA7">
      <w:pPr>
        <w:ind w:firstLine="851"/>
        <w:jc w:val="both"/>
      </w:pPr>
      <w:r>
        <w:t xml:space="preserve">Evaluations of public construction experts show a considerable drop in volumes after 2021 due to closure of absorption of EU funds within the current programming period. Therefore, there is reason to believe that part of interviewed subsector experts have not sufficiently taken into account the risks of fluctuations in public construction orders in their forecasts. This justifies the solution selected in the methodology – the final forecast is a combined forecast formed by the mean arithmetic value from both sources. </w:t>
      </w:r>
    </w:p>
    <w:p w14:paraId="73C9466D" w14:textId="1F72D472" w:rsidR="00364CA7" w:rsidRPr="00B2521E" w:rsidRDefault="00364CA7" w:rsidP="00364CA7">
      <w:pPr>
        <w:ind w:firstLine="851"/>
        <w:jc w:val="both"/>
      </w:pPr>
      <w:r>
        <w:t>The combined forecast shows that the cumulative increase in volumes in 2023 will exceed 30% of the level of 2018 both in subsector of construction of residential and non-residential buildings.</w:t>
      </w:r>
    </w:p>
    <w:p w14:paraId="0B9FC959" w14:textId="648505A6" w:rsidR="00364CA7" w:rsidRPr="00B2521E" w:rsidRDefault="00364CA7" w:rsidP="00364CA7">
      <w:pPr>
        <w:ind w:firstLine="851"/>
        <w:jc w:val="both"/>
      </w:pPr>
      <w:r>
        <w:t xml:space="preserve">Taking into account the forecast volume, as well as the expert evaluation and the statistical data trend in the subsector of residential and non-residential buildings, an increase in changes in </w:t>
      </w:r>
      <w:r>
        <w:rPr>
          <w:rStyle w:val="st"/>
        </w:rPr>
        <w:t>costs</w:t>
      </w:r>
      <w:r>
        <w:t xml:space="preserve"> is expected during the entire period from 2019 to 2023 (see Figures No. 11 and No. 12).</w:t>
      </w:r>
    </w:p>
    <w:p w14:paraId="1025A416" w14:textId="0F14A873" w:rsidR="0071000E" w:rsidRPr="00B2521E" w:rsidRDefault="0071000E" w:rsidP="00364CA7">
      <w:pPr>
        <w:ind w:firstLine="851"/>
        <w:jc w:val="both"/>
      </w:pPr>
    </w:p>
    <w:p w14:paraId="61241D9C" w14:textId="7AB46FBA" w:rsidR="00364CA7" w:rsidRPr="00B2521E" w:rsidRDefault="00364CA7" w:rsidP="00364CA7">
      <w:pPr>
        <w:jc w:val="center"/>
        <w:rPr>
          <w:b/>
          <w:sz w:val="20"/>
        </w:rPr>
      </w:pPr>
      <w:r>
        <w:rPr>
          <w:b/>
          <w:sz w:val="20"/>
        </w:rPr>
        <w:lastRenderedPageBreak/>
        <w:t>Figure No. 11. Changes in construction costs in the subsector of residential buildings before 2018 and forecasts from 2019 to 2023, cumulative changes compared to 2018, %</w:t>
      </w:r>
    </w:p>
    <w:p w14:paraId="4190CF80" w14:textId="1C9FE5AA" w:rsidR="00364CA7" w:rsidRPr="00B2521E" w:rsidRDefault="009000A0" w:rsidP="00364CA7">
      <w:pPr>
        <w:jc w:val="center"/>
        <w:rPr>
          <w:bCs/>
          <w:sz w:val="20"/>
        </w:rPr>
      </w:pPr>
      <w:r w:rsidRPr="009000A0">
        <w:rPr>
          <w:noProof/>
          <w:lang w:val="en-US"/>
        </w:rPr>
        <w:drawing>
          <wp:inline distT="0" distB="0" distL="0" distR="0" wp14:anchorId="3D3A5997" wp14:editId="598BD423">
            <wp:extent cx="4933507" cy="3581724"/>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42613" cy="3588335"/>
                    </a:xfrm>
                    <a:prstGeom prst="rect">
                      <a:avLst/>
                    </a:prstGeom>
                  </pic:spPr>
                </pic:pic>
              </a:graphicData>
            </a:graphic>
          </wp:inline>
        </w:drawing>
      </w:r>
    </w:p>
    <w:p w14:paraId="34D5ABB0" w14:textId="7FB7F761" w:rsidR="00BC1CAC" w:rsidRPr="00B2521E" w:rsidRDefault="00364CA7" w:rsidP="009000A0">
      <w:pPr>
        <w:jc w:val="center"/>
        <w:rPr>
          <w:sz w:val="20"/>
        </w:rPr>
      </w:pPr>
      <w:r>
        <w:rPr>
          <w:sz w:val="20"/>
        </w:rPr>
        <w:t>Source: CSB historical data before 2018 (inclusive) and calculations made by authors, based on expert evaluations and developed models – forecast for 2019-2023</w:t>
      </w:r>
    </w:p>
    <w:p w14:paraId="0A94F43D" w14:textId="3F9A9813" w:rsidR="00364CA7" w:rsidRPr="00B2521E" w:rsidRDefault="00364CA7" w:rsidP="00364CA7">
      <w:pPr>
        <w:jc w:val="center"/>
        <w:rPr>
          <w:b/>
          <w:sz w:val="20"/>
        </w:rPr>
      </w:pPr>
      <w:r>
        <w:rPr>
          <w:b/>
          <w:sz w:val="20"/>
        </w:rPr>
        <w:t>Figure No. 12. Changes in construction costs in the subsector of non-residential buildings before 2018 and forecasts from 2019 to 2023, cumulative changes compared to 2018, %</w:t>
      </w:r>
    </w:p>
    <w:p w14:paraId="0F6A85AE" w14:textId="0969E132" w:rsidR="00364CA7" w:rsidRPr="00B2521E" w:rsidRDefault="009000A0" w:rsidP="00364CA7">
      <w:pPr>
        <w:jc w:val="center"/>
        <w:rPr>
          <w:bCs/>
          <w:sz w:val="20"/>
        </w:rPr>
      </w:pPr>
      <w:r w:rsidRPr="009000A0">
        <w:rPr>
          <w:noProof/>
          <w:lang w:val="en-US"/>
        </w:rPr>
        <w:drawing>
          <wp:inline distT="0" distB="0" distL="0" distR="0" wp14:anchorId="3DF0E44D" wp14:editId="7D4F60A2">
            <wp:extent cx="5015112" cy="364096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25666" cy="3648631"/>
                    </a:xfrm>
                    <a:prstGeom prst="rect">
                      <a:avLst/>
                    </a:prstGeom>
                  </pic:spPr>
                </pic:pic>
              </a:graphicData>
            </a:graphic>
          </wp:inline>
        </w:drawing>
      </w:r>
    </w:p>
    <w:p w14:paraId="44FCF913" w14:textId="49F7D139" w:rsidR="00BC1CAC" w:rsidRPr="00B2521E" w:rsidRDefault="00364CA7" w:rsidP="009000A0">
      <w:pPr>
        <w:jc w:val="center"/>
        <w:rPr>
          <w:sz w:val="20"/>
        </w:rPr>
      </w:pPr>
      <w:r>
        <w:rPr>
          <w:sz w:val="20"/>
        </w:rPr>
        <w:t>Source: CSB historical data before 2018 (inclusive) and calculations made by authors, based on expert evaluations and developed models – forecast for 2019-2023</w:t>
      </w:r>
    </w:p>
    <w:p w14:paraId="342F6434" w14:textId="455479AF" w:rsidR="00364CA7" w:rsidRPr="00B2521E" w:rsidRDefault="00364CA7" w:rsidP="00364CA7">
      <w:pPr>
        <w:ind w:firstLine="851"/>
        <w:jc w:val="both"/>
      </w:pPr>
      <w:r>
        <w:lastRenderedPageBreak/>
        <w:t xml:space="preserve">The expert evaluation is the most optimistic – the cumulative increase of </w:t>
      </w:r>
      <w:r>
        <w:rPr>
          <w:rStyle w:val="st"/>
        </w:rPr>
        <w:t>changes</w:t>
      </w:r>
      <w:r>
        <w:t xml:space="preserve"> in costs in 2023 would reach 26.1% of the level of 2018 for residential buildings and 31.6% – for non-residential buildings.</w:t>
      </w:r>
    </w:p>
    <w:p w14:paraId="1923F8F5" w14:textId="591745E4" w:rsidR="00364CA7" w:rsidRPr="00B2521E" w:rsidRDefault="00E65EEF" w:rsidP="00364CA7">
      <w:pPr>
        <w:ind w:firstLine="851"/>
        <w:jc w:val="both"/>
      </w:pPr>
      <w:r>
        <w:t>The cost-volume elasticity model shows more cautious forecasts – a cumulative increase in volume in 2023 will reach 8.5% of the level of 2018.</w:t>
      </w:r>
    </w:p>
    <w:p w14:paraId="14128F38" w14:textId="6CE12241" w:rsidR="00364CA7" w:rsidRPr="00B2521E" w:rsidRDefault="00364CA7" w:rsidP="00364CA7">
      <w:pPr>
        <w:ind w:firstLine="851"/>
        <w:jc w:val="both"/>
      </w:pPr>
      <w:r>
        <w:t>The results of the statistical model are rather close to the results of the elasticity model for residential buildings, and is in the middle between expert evaluations and the results of the elasticity model for non-residential buildings. Differences in the results are related to differences in forecasts of construction volumes. Differences of the statistical data trend are also confirmed by indications of individual experts that a higher volume of public procurements is expected in the sector of non-residential buildings compared to the sector of residential buildings in the nearest years.</w:t>
      </w:r>
    </w:p>
    <w:p w14:paraId="270D245F" w14:textId="5F584CEA" w:rsidR="00364CA7" w:rsidRPr="00B2521E" w:rsidRDefault="00364CA7" w:rsidP="00364CA7">
      <w:pPr>
        <w:ind w:firstLine="851"/>
        <w:jc w:val="both"/>
      </w:pPr>
      <w:r>
        <w:t xml:space="preserve">The combined forecast shows that the cumulative increase of changes in volumes of products in 2023 will reach around 14.5% of the level of 2018 for residential buildings and 21.1% – for non-residential buildings. However, it </w:t>
      </w:r>
      <w:proofErr w:type="gramStart"/>
      <w:r>
        <w:t>should be taken</w:t>
      </w:r>
      <w:proofErr w:type="gramEnd"/>
      <w:r>
        <w:t xml:space="preserve"> into account that these differences should be evaluated as conditional differences, because considerable sections in the changes of costs in both sectors overlap.</w:t>
      </w:r>
    </w:p>
    <w:p w14:paraId="3E391FDC" w14:textId="598BA1BF" w:rsidR="00364CA7" w:rsidRPr="00B2521E" w:rsidRDefault="00364CA7" w:rsidP="00364CA7">
      <w:pPr>
        <w:ind w:firstLine="851"/>
        <w:jc w:val="both"/>
      </w:pPr>
      <w:r>
        <w:t xml:space="preserve">Opinions of experts in subsectors by types of resources show that the volume of construction products in Latvia is the most important factor, which will affect changes in labour costs. The resources available to the population and the share of professional construction education specialists in both sectors is in the second place, but the level of wages of labour force in Latvia in other sectors – in the third place. The factors affecting </w:t>
      </w:r>
      <w:r>
        <w:rPr>
          <w:rStyle w:val="st"/>
        </w:rPr>
        <w:t>changes</w:t>
      </w:r>
      <w:r>
        <w:t xml:space="preserve"> in costs of construction materials are similar except that the factors available only with financial resources are in the second place, but GDP dynamics is in the third place.</w:t>
      </w:r>
    </w:p>
    <w:p w14:paraId="30882279" w14:textId="5CC8F613" w:rsidR="00364CA7" w:rsidRPr="00B2521E" w:rsidRDefault="00364CA7" w:rsidP="00364CA7">
      <w:pPr>
        <w:jc w:val="center"/>
        <w:rPr>
          <w:rFonts w:cstheme="minorHAnsi"/>
          <w:b/>
          <w:bCs/>
          <w:sz w:val="20"/>
          <w:szCs w:val="22"/>
        </w:rPr>
      </w:pPr>
      <w:r>
        <w:rPr>
          <w:b/>
          <w:bCs/>
          <w:sz w:val="20"/>
          <w:szCs w:val="18"/>
        </w:rPr>
        <w:t>Table</w:t>
      </w:r>
      <w:r>
        <w:rPr>
          <w:b/>
          <w:bCs/>
          <w:color w:val="222222"/>
          <w:sz w:val="20"/>
          <w:szCs w:val="18"/>
        </w:rPr>
        <w:t xml:space="preserve"> No. 7. Factors affecting changes in costs of labour force and construction materials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B2521E" w14:paraId="35545084" w14:textId="77777777" w:rsidTr="00FC437E">
        <w:trPr>
          <w:trHeight w:val="300"/>
        </w:trPr>
        <w:tc>
          <w:tcPr>
            <w:tcW w:w="7366" w:type="dxa"/>
            <w:shd w:val="clear" w:color="auto" w:fill="1F3763"/>
            <w:noWrap/>
            <w:vAlign w:val="bottom"/>
          </w:tcPr>
          <w:p w14:paraId="719F56D8"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Factor affecting changes in costs of labour force in the subsector of construction of residential buildings</w:t>
            </w:r>
          </w:p>
        </w:tc>
        <w:tc>
          <w:tcPr>
            <w:tcW w:w="1985" w:type="dxa"/>
            <w:shd w:val="clear" w:color="auto" w:fill="1F3763"/>
            <w:noWrap/>
            <w:vAlign w:val="bottom"/>
          </w:tcPr>
          <w:p w14:paraId="08D382F9"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364CA7" w:rsidRPr="00B2521E" w14:paraId="231FDBA2" w14:textId="77777777" w:rsidTr="00FC437E">
        <w:trPr>
          <w:trHeight w:val="300"/>
        </w:trPr>
        <w:tc>
          <w:tcPr>
            <w:tcW w:w="7366" w:type="dxa"/>
            <w:shd w:val="clear" w:color="auto" w:fill="auto"/>
            <w:noWrap/>
            <w:vAlign w:val="bottom"/>
            <w:hideMark/>
          </w:tcPr>
          <w:p w14:paraId="7EA1AB6B" w14:textId="46B7F57E" w:rsidR="00364CA7" w:rsidRPr="00B2521E" w:rsidRDefault="00364CA7" w:rsidP="00FC437E">
            <w:pPr>
              <w:spacing w:before="0" w:after="0"/>
              <w:rPr>
                <w:rFonts w:cstheme="minorHAnsi"/>
                <w:color w:val="000000"/>
                <w:sz w:val="18"/>
                <w:szCs w:val="18"/>
              </w:rPr>
            </w:pPr>
            <w:r>
              <w:t>Volume of construction products in Latvia</w:t>
            </w:r>
          </w:p>
        </w:tc>
        <w:tc>
          <w:tcPr>
            <w:tcW w:w="1985" w:type="dxa"/>
            <w:shd w:val="clear" w:color="auto" w:fill="auto"/>
            <w:noWrap/>
            <w:vAlign w:val="bottom"/>
            <w:hideMark/>
          </w:tcPr>
          <w:p w14:paraId="1B3A356A" w14:textId="77777777" w:rsidR="00364CA7" w:rsidRPr="00B2521E" w:rsidRDefault="00364CA7" w:rsidP="00FC437E">
            <w:pPr>
              <w:spacing w:before="0" w:after="0"/>
              <w:jc w:val="center"/>
              <w:rPr>
                <w:rFonts w:cstheme="minorHAnsi"/>
                <w:color w:val="000000"/>
                <w:sz w:val="18"/>
                <w:szCs w:val="18"/>
              </w:rPr>
            </w:pPr>
            <w:r>
              <w:rPr>
                <w:color w:val="000000"/>
                <w:sz w:val="18"/>
                <w:szCs w:val="18"/>
              </w:rPr>
              <w:t>7.83</w:t>
            </w:r>
          </w:p>
        </w:tc>
      </w:tr>
      <w:tr w:rsidR="00364CA7" w:rsidRPr="00B2521E" w14:paraId="33F0BB18" w14:textId="77777777" w:rsidTr="00FC437E">
        <w:trPr>
          <w:trHeight w:val="300"/>
        </w:trPr>
        <w:tc>
          <w:tcPr>
            <w:tcW w:w="7366" w:type="dxa"/>
            <w:shd w:val="clear" w:color="auto" w:fill="auto"/>
            <w:noWrap/>
            <w:vAlign w:val="bottom"/>
          </w:tcPr>
          <w:p w14:paraId="18398B34" w14:textId="77777777" w:rsidR="00364CA7" w:rsidRPr="00B2521E" w:rsidRDefault="00364CA7" w:rsidP="00FC437E">
            <w:pPr>
              <w:spacing w:before="0" w:after="0"/>
              <w:rPr>
                <w:rFonts w:cstheme="minorHAnsi"/>
                <w:color w:val="000000"/>
                <w:sz w:val="18"/>
                <w:szCs w:val="18"/>
              </w:rPr>
            </w:pPr>
            <w:r>
              <w:rPr>
                <w:color w:val="000000"/>
                <w:sz w:val="18"/>
                <w:szCs w:val="18"/>
              </w:rPr>
              <w:t>Resources available to the population (own/bank, etc.)</w:t>
            </w:r>
          </w:p>
        </w:tc>
        <w:tc>
          <w:tcPr>
            <w:tcW w:w="1985" w:type="dxa"/>
            <w:shd w:val="clear" w:color="auto" w:fill="auto"/>
            <w:noWrap/>
            <w:vAlign w:val="bottom"/>
          </w:tcPr>
          <w:p w14:paraId="729E09F4" w14:textId="77777777" w:rsidR="00364CA7" w:rsidRPr="00B2521E" w:rsidRDefault="00364CA7" w:rsidP="00FC437E">
            <w:pPr>
              <w:spacing w:before="0" w:after="0"/>
              <w:jc w:val="center"/>
              <w:rPr>
                <w:rFonts w:cstheme="minorHAnsi"/>
                <w:color w:val="000000"/>
                <w:sz w:val="18"/>
                <w:szCs w:val="18"/>
              </w:rPr>
            </w:pPr>
            <w:r>
              <w:rPr>
                <w:color w:val="000000"/>
                <w:sz w:val="18"/>
                <w:szCs w:val="18"/>
              </w:rPr>
              <w:t>6.33</w:t>
            </w:r>
          </w:p>
        </w:tc>
      </w:tr>
      <w:tr w:rsidR="00364CA7" w:rsidRPr="00B2521E" w14:paraId="251B2437" w14:textId="77777777" w:rsidTr="00FC437E">
        <w:trPr>
          <w:trHeight w:val="300"/>
        </w:trPr>
        <w:tc>
          <w:tcPr>
            <w:tcW w:w="7366" w:type="dxa"/>
            <w:shd w:val="clear" w:color="auto" w:fill="auto"/>
            <w:noWrap/>
            <w:vAlign w:val="bottom"/>
          </w:tcPr>
          <w:p w14:paraId="35465F76" w14:textId="77777777" w:rsidR="00364CA7" w:rsidRPr="00B2521E" w:rsidRDefault="00364CA7" w:rsidP="00FC437E">
            <w:pPr>
              <w:spacing w:before="0" w:after="0"/>
              <w:rPr>
                <w:rFonts w:cstheme="minorHAnsi"/>
                <w:color w:val="000000"/>
                <w:sz w:val="18"/>
                <w:szCs w:val="18"/>
              </w:rPr>
            </w:pPr>
            <w:r>
              <w:rPr>
                <w:color w:val="000000"/>
                <w:sz w:val="18"/>
                <w:szCs w:val="18"/>
              </w:rPr>
              <w:t>Share of the population with vocational education in professions related to construction</w:t>
            </w:r>
          </w:p>
        </w:tc>
        <w:tc>
          <w:tcPr>
            <w:tcW w:w="1985" w:type="dxa"/>
            <w:shd w:val="clear" w:color="auto" w:fill="auto"/>
            <w:noWrap/>
            <w:vAlign w:val="bottom"/>
          </w:tcPr>
          <w:p w14:paraId="67C9003D" w14:textId="77777777" w:rsidR="00364CA7" w:rsidRPr="00B2521E" w:rsidRDefault="00364CA7" w:rsidP="00FC437E">
            <w:pPr>
              <w:spacing w:before="0" w:after="0"/>
              <w:jc w:val="center"/>
              <w:rPr>
                <w:rFonts w:cstheme="minorHAnsi"/>
                <w:color w:val="000000"/>
                <w:sz w:val="18"/>
                <w:szCs w:val="18"/>
              </w:rPr>
            </w:pPr>
            <w:r>
              <w:rPr>
                <w:color w:val="000000"/>
                <w:sz w:val="18"/>
                <w:szCs w:val="18"/>
              </w:rPr>
              <w:t>5.75</w:t>
            </w:r>
          </w:p>
        </w:tc>
      </w:tr>
      <w:tr w:rsidR="00364CA7" w:rsidRPr="00B2521E" w14:paraId="122BF904" w14:textId="77777777" w:rsidTr="00FC437E">
        <w:trPr>
          <w:trHeight w:val="300"/>
        </w:trPr>
        <w:tc>
          <w:tcPr>
            <w:tcW w:w="7366" w:type="dxa"/>
            <w:shd w:val="clear" w:color="auto" w:fill="auto"/>
            <w:noWrap/>
            <w:vAlign w:val="bottom"/>
            <w:hideMark/>
          </w:tcPr>
          <w:p w14:paraId="1D4915B8" w14:textId="77777777" w:rsidR="00364CA7" w:rsidRPr="00B2521E" w:rsidRDefault="00364CA7" w:rsidP="00FC437E">
            <w:pPr>
              <w:spacing w:before="0" w:after="0"/>
              <w:rPr>
                <w:rFonts w:cstheme="minorHAnsi"/>
                <w:color w:val="000000"/>
                <w:sz w:val="18"/>
                <w:szCs w:val="18"/>
              </w:rPr>
            </w:pPr>
            <w:r>
              <w:rPr>
                <w:color w:val="000000"/>
                <w:sz w:val="18"/>
                <w:szCs w:val="18"/>
              </w:rPr>
              <w:t>Labour force wage rate in Latvia in other sectors (not construction)</w:t>
            </w:r>
          </w:p>
        </w:tc>
        <w:tc>
          <w:tcPr>
            <w:tcW w:w="1985" w:type="dxa"/>
            <w:shd w:val="clear" w:color="auto" w:fill="auto"/>
            <w:noWrap/>
            <w:vAlign w:val="bottom"/>
            <w:hideMark/>
          </w:tcPr>
          <w:p w14:paraId="17D2EF1D" w14:textId="77777777" w:rsidR="00364CA7" w:rsidRPr="00B2521E" w:rsidRDefault="00364CA7" w:rsidP="00FC437E">
            <w:pPr>
              <w:spacing w:before="0" w:after="0"/>
              <w:jc w:val="center"/>
              <w:rPr>
                <w:rFonts w:cstheme="minorHAnsi"/>
                <w:color w:val="000000"/>
                <w:sz w:val="18"/>
                <w:szCs w:val="18"/>
              </w:rPr>
            </w:pPr>
            <w:r>
              <w:rPr>
                <w:color w:val="000000"/>
                <w:sz w:val="18"/>
                <w:szCs w:val="18"/>
              </w:rPr>
              <w:t>5.50</w:t>
            </w:r>
          </w:p>
        </w:tc>
      </w:tr>
    </w:tbl>
    <w:p w14:paraId="3BFCBAE3" w14:textId="77777777" w:rsidR="00364CA7" w:rsidRPr="003035DE" w:rsidRDefault="00364CA7" w:rsidP="00364CA7">
      <w:pPr>
        <w:rPr>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B2521E" w14:paraId="42C38230" w14:textId="77777777" w:rsidTr="00FC437E">
        <w:trPr>
          <w:trHeight w:val="300"/>
        </w:trPr>
        <w:tc>
          <w:tcPr>
            <w:tcW w:w="7366" w:type="dxa"/>
            <w:shd w:val="clear" w:color="auto" w:fill="1F3763"/>
            <w:noWrap/>
            <w:vAlign w:val="bottom"/>
          </w:tcPr>
          <w:p w14:paraId="699A654A"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Factor affecting changes in costs of labour force in the subsector of construction of non-residential buildings</w:t>
            </w:r>
          </w:p>
        </w:tc>
        <w:tc>
          <w:tcPr>
            <w:tcW w:w="1985" w:type="dxa"/>
            <w:shd w:val="clear" w:color="auto" w:fill="1F3763"/>
            <w:noWrap/>
            <w:vAlign w:val="bottom"/>
          </w:tcPr>
          <w:p w14:paraId="632CA504"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364CA7" w:rsidRPr="00B2521E" w14:paraId="1C1AC9F9" w14:textId="77777777" w:rsidTr="00FC437E">
        <w:trPr>
          <w:trHeight w:val="300"/>
        </w:trPr>
        <w:tc>
          <w:tcPr>
            <w:tcW w:w="7366" w:type="dxa"/>
            <w:shd w:val="clear" w:color="auto" w:fill="auto"/>
            <w:noWrap/>
            <w:vAlign w:val="bottom"/>
            <w:hideMark/>
          </w:tcPr>
          <w:p w14:paraId="61664F51" w14:textId="4B742FCB" w:rsidR="00364CA7" w:rsidRPr="00B2521E" w:rsidRDefault="00364CA7" w:rsidP="00FC437E">
            <w:pPr>
              <w:spacing w:before="0" w:after="0"/>
              <w:rPr>
                <w:rFonts w:cstheme="minorHAnsi"/>
                <w:color w:val="000000"/>
                <w:sz w:val="18"/>
                <w:szCs w:val="18"/>
              </w:rPr>
            </w:pPr>
            <w:r>
              <w:t>Volume of construction products in Latvia</w:t>
            </w:r>
          </w:p>
        </w:tc>
        <w:tc>
          <w:tcPr>
            <w:tcW w:w="1985" w:type="dxa"/>
            <w:shd w:val="clear" w:color="auto" w:fill="auto"/>
            <w:noWrap/>
            <w:vAlign w:val="bottom"/>
            <w:hideMark/>
          </w:tcPr>
          <w:p w14:paraId="2CFDB523" w14:textId="77777777" w:rsidR="00364CA7" w:rsidRPr="00B2521E" w:rsidRDefault="00364CA7" w:rsidP="00FC437E">
            <w:pPr>
              <w:spacing w:before="0" w:after="0"/>
              <w:jc w:val="center"/>
              <w:rPr>
                <w:rFonts w:cstheme="minorHAnsi"/>
                <w:color w:val="000000"/>
                <w:sz w:val="18"/>
                <w:szCs w:val="18"/>
              </w:rPr>
            </w:pPr>
            <w:r>
              <w:rPr>
                <w:color w:val="000000"/>
                <w:sz w:val="18"/>
                <w:szCs w:val="18"/>
              </w:rPr>
              <w:t>7.92</w:t>
            </w:r>
          </w:p>
        </w:tc>
      </w:tr>
      <w:tr w:rsidR="00364CA7" w:rsidRPr="00B2521E" w14:paraId="26B34133" w14:textId="77777777" w:rsidTr="00FC437E">
        <w:trPr>
          <w:trHeight w:val="300"/>
        </w:trPr>
        <w:tc>
          <w:tcPr>
            <w:tcW w:w="7366" w:type="dxa"/>
            <w:shd w:val="clear" w:color="auto" w:fill="auto"/>
            <w:noWrap/>
            <w:vAlign w:val="bottom"/>
          </w:tcPr>
          <w:p w14:paraId="4AC30928" w14:textId="77777777" w:rsidR="00364CA7" w:rsidRPr="00B2521E" w:rsidRDefault="00364CA7" w:rsidP="00FC437E">
            <w:pPr>
              <w:spacing w:before="0" w:after="0"/>
              <w:rPr>
                <w:rFonts w:cstheme="minorHAnsi"/>
                <w:color w:val="000000"/>
                <w:sz w:val="18"/>
                <w:szCs w:val="18"/>
              </w:rPr>
            </w:pPr>
            <w:r>
              <w:rPr>
                <w:color w:val="000000"/>
                <w:sz w:val="18"/>
                <w:szCs w:val="18"/>
              </w:rPr>
              <w:t>Share of the population with vocational education in professions related to construction</w:t>
            </w:r>
          </w:p>
        </w:tc>
        <w:tc>
          <w:tcPr>
            <w:tcW w:w="1985" w:type="dxa"/>
            <w:shd w:val="clear" w:color="auto" w:fill="auto"/>
            <w:noWrap/>
            <w:vAlign w:val="bottom"/>
          </w:tcPr>
          <w:p w14:paraId="37432A1C" w14:textId="77777777" w:rsidR="00364CA7" w:rsidRPr="00B2521E" w:rsidRDefault="00364CA7" w:rsidP="00FC437E">
            <w:pPr>
              <w:spacing w:before="0" w:after="0"/>
              <w:jc w:val="center"/>
              <w:rPr>
                <w:rFonts w:cstheme="minorHAnsi"/>
                <w:color w:val="000000"/>
                <w:sz w:val="18"/>
                <w:szCs w:val="18"/>
              </w:rPr>
            </w:pPr>
            <w:r>
              <w:rPr>
                <w:color w:val="000000"/>
                <w:sz w:val="18"/>
                <w:szCs w:val="18"/>
              </w:rPr>
              <w:t>5.67</w:t>
            </w:r>
          </w:p>
        </w:tc>
      </w:tr>
      <w:tr w:rsidR="00364CA7" w:rsidRPr="00B2521E" w14:paraId="691F86FC" w14:textId="77777777" w:rsidTr="00FC437E">
        <w:trPr>
          <w:trHeight w:val="300"/>
        </w:trPr>
        <w:tc>
          <w:tcPr>
            <w:tcW w:w="7366" w:type="dxa"/>
            <w:shd w:val="clear" w:color="auto" w:fill="auto"/>
            <w:noWrap/>
            <w:vAlign w:val="bottom"/>
            <w:hideMark/>
          </w:tcPr>
          <w:p w14:paraId="45D910E0" w14:textId="77777777" w:rsidR="00364CA7" w:rsidRPr="00B2521E" w:rsidRDefault="00364CA7" w:rsidP="00FC437E">
            <w:pPr>
              <w:spacing w:before="0" w:after="0"/>
              <w:rPr>
                <w:rFonts w:cstheme="minorHAnsi"/>
                <w:color w:val="000000"/>
                <w:sz w:val="18"/>
                <w:szCs w:val="18"/>
              </w:rPr>
            </w:pPr>
            <w:r>
              <w:rPr>
                <w:color w:val="000000"/>
                <w:sz w:val="18"/>
                <w:szCs w:val="18"/>
              </w:rPr>
              <w:t>Resources available to the population (own/bank, etc.)</w:t>
            </w:r>
          </w:p>
        </w:tc>
        <w:tc>
          <w:tcPr>
            <w:tcW w:w="1985" w:type="dxa"/>
            <w:shd w:val="clear" w:color="auto" w:fill="auto"/>
            <w:noWrap/>
            <w:vAlign w:val="bottom"/>
            <w:hideMark/>
          </w:tcPr>
          <w:p w14:paraId="336948ED" w14:textId="77777777" w:rsidR="00364CA7" w:rsidRPr="00B2521E" w:rsidRDefault="00364CA7" w:rsidP="00FC437E">
            <w:pPr>
              <w:spacing w:before="0" w:after="0"/>
              <w:jc w:val="center"/>
              <w:rPr>
                <w:rFonts w:cstheme="minorHAnsi"/>
                <w:color w:val="000000"/>
                <w:sz w:val="18"/>
                <w:szCs w:val="18"/>
              </w:rPr>
            </w:pPr>
            <w:r>
              <w:rPr>
                <w:color w:val="000000"/>
                <w:sz w:val="18"/>
                <w:szCs w:val="18"/>
              </w:rPr>
              <w:t>5.25</w:t>
            </w:r>
          </w:p>
        </w:tc>
      </w:tr>
      <w:tr w:rsidR="00364CA7" w:rsidRPr="00B2521E" w14:paraId="576ABC33" w14:textId="77777777" w:rsidTr="00FC437E">
        <w:trPr>
          <w:trHeight w:val="300"/>
        </w:trPr>
        <w:tc>
          <w:tcPr>
            <w:tcW w:w="7366" w:type="dxa"/>
            <w:shd w:val="clear" w:color="auto" w:fill="auto"/>
            <w:noWrap/>
            <w:vAlign w:val="bottom"/>
            <w:hideMark/>
          </w:tcPr>
          <w:p w14:paraId="798A580C" w14:textId="77777777" w:rsidR="00364CA7" w:rsidRPr="00B2521E" w:rsidRDefault="00364CA7" w:rsidP="00FC437E">
            <w:pPr>
              <w:spacing w:before="0" w:after="0"/>
              <w:rPr>
                <w:rFonts w:cstheme="minorHAnsi"/>
                <w:color w:val="000000"/>
                <w:sz w:val="18"/>
                <w:szCs w:val="18"/>
              </w:rPr>
            </w:pPr>
            <w:r>
              <w:rPr>
                <w:color w:val="000000"/>
                <w:sz w:val="18"/>
                <w:szCs w:val="18"/>
              </w:rPr>
              <w:t>Labour force wage rate in Latvia in other sectors (not construction)</w:t>
            </w:r>
          </w:p>
        </w:tc>
        <w:tc>
          <w:tcPr>
            <w:tcW w:w="1985" w:type="dxa"/>
            <w:shd w:val="clear" w:color="auto" w:fill="auto"/>
            <w:noWrap/>
            <w:vAlign w:val="bottom"/>
            <w:hideMark/>
          </w:tcPr>
          <w:p w14:paraId="4B60B0C8" w14:textId="77777777" w:rsidR="00364CA7" w:rsidRPr="00B2521E" w:rsidRDefault="00364CA7" w:rsidP="00FC437E">
            <w:pPr>
              <w:spacing w:before="0" w:after="0"/>
              <w:jc w:val="center"/>
              <w:rPr>
                <w:rFonts w:cstheme="minorHAnsi"/>
                <w:color w:val="000000"/>
                <w:sz w:val="18"/>
                <w:szCs w:val="18"/>
              </w:rPr>
            </w:pPr>
            <w:r>
              <w:rPr>
                <w:color w:val="000000"/>
                <w:sz w:val="18"/>
                <w:szCs w:val="18"/>
              </w:rPr>
              <w:t>5.33</w:t>
            </w:r>
          </w:p>
        </w:tc>
      </w:tr>
    </w:tbl>
    <w:p w14:paraId="34C2DEAC" w14:textId="77777777" w:rsidR="00364CA7" w:rsidRPr="00B2521E" w:rsidRDefault="00364CA7" w:rsidP="00364CA7">
      <w:pPr>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B2521E" w14:paraId="3D578663" w14:textId="77777777" w:rsidTr="00FC437E">
        <w:trPr>
          <w:trHeight w:val="295"/>
        </w:trPr>
        <w:tc>
          <w:tcPr>
            <w:tcW w:w="7366" w:type="dxa"/>
            <w:shd w:val="clear" w:color="auto" w:fill="1F3763"/>
            <w:noWrap/>
            <w:vAlign w:val="bottom"/>
          </w:tcPr>
          <w:p w14:paraId="32E546C6"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Factor affecting changes in costs of construction materials in the subsector of construction of residential buildings</w:t>
            </w:r>
          </w:p>
        </w:tc>
        <w:tc>
          <w:tcPr>
            <w:tcW w:w="1985" w:type="dxa"/>
            <w:shd w:val="clear" w:color="auto" w:fill="1F3763"/>
            <w:noWrap/>
            <w:vAlign w:val="bottom"/>
          </w:tcPr>
          <w:p w14:paraId="20D8EF0D"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364CA7" w:rsidRPr="00B2521E" w14:paraId="6D129548" w14:textId="77777777" w:rsidTr="00FC437E">
        <w:trPr>
          <w:trHeight w:val="295"/>
        </w:trPr>
        <w:tc>
          <w:tcPr>
            <w:tcW w:w="7366" w:type="dxa"/>
            <w:shd w:val="clear" w:color="auto" w:fill="auto"/>
            <w:noWrap/>
            <w:vAlign w:val="bottom"/>
            <w:hideMark/>
          </w:tcPr>
          <w:p w14:paraId="61CB5470" w14:textId="40C4118A" w:rsidR="00364CA7" w:rsidRPr="00B2521E" w:rsidRDefault="00364CA7" w:rsidP="00FC437E">
            <w:pPr>
              <w:spacing w:before="0" w:after="0"/>
              <w:rPr>
                <w:rFonts w:cstheme="minorHAnsi"/>
                <w:color w:val="000000"/>
                <w:sz w:val="18"/>
                <w:szCs w:val="18"/>
              </w:rPr>
            </w:pPr>
            <w:r>
              <w:rPr>
                <w:color w:val="000000"/>
                <w:sz w:val="18"/>
                <w:szCs w:val="18"/>
              </w:rPr>
              <w:t>Volume of construction products in the country</w:t>
            </w:r>
          </w:p>
        </w:tc>
        <w:tc>
          <w:tcPr>
            <w:tcW w:w="1985" w:type="dxa"/>
            <w:shd w:val="clear" w:color="auto" w:fill="auto"/>
            <w:noWrap/>
            <w:vAlign w:val="bottom"/>
            <w:hideMark/>
          </w:tcPr>
          <w:p w14:paraId="507329AC" w14:textId="77777777" w:rsidR="00364CA7" w:rsidRPr="00B2521E" w:rsidRDefault="00364CA7" w:rsidP="00FC437E">
            <w:pPr>
              <w:spacing w:before="0" w:after="0"/>
              <w:jc w:val="center"/>
              <w:rPr>
                <w:rFonts w:cstheme="minorHAnsi"/>
                <w:color w:val="000000"/>
                <w:sz w:val="18"/>
                <w:szCs w:val="18"/>
              </w:rPr>
            </w:pPr>
            <w:r>
              <w:rPr>
                <w:color w:val="000000"/>
                <w:sz w:val="18"/>
                <w:szCs w:val="18"/>
              </w:rPr>
              <w:t>6.75</w:t>
            </w:r>
          </w:p>
        </w:tc>
      </w:tr>
      <w:tr w:rsidR="00364CA7" w:rsidRPr="00B2521E" w14:paraId="759D495A" w14:textId="77777777" w:rsidTr="00FC437E">
        <w:trPr>
          <w:trHeight w:val="295"/>
        </w:trPr>
        <w:tc>
          <w:tcPr>
            <w:tcW w:w="7366" w:type="dxa"/>
            <w:shd w:val="clear" w:color="auto" w:fill="auto"/>
            <w:noWrap/>
            <w:vAlign w:val="bottom"/>
            <w:hideMark/>
          </w:tcPr>
          <w:p w14:paraId="7CF5D746" w14:textId="77777777" w:rsidR="00364CA7" w:rsidRPr="00B2521E" w:rsidRDefault="00364CA7" w:rsidP="00FC437E">
            <w:pPr>
              <w:spacing w:before="0" w:after="0"/>
              <w:rPr>
                <w:rFonts w:cstheme="minorHAnsi"/>
                <w:color w:val="000000"/>
                <w:sz w:val="18"/>
                <w:szCs w:val="18"/>
              </w:rPr>
            </w:pPr>
            <w:r>
              <w:rPr>
                <w:color w:val="000000"/>
                <w:sz w:val="18"/>
                <w:szCs w:val="18"/>
              </w:rPr>
              <w:t>Immovable property crediting volumes in the country</w:t>
            </w:r>
          </w:p>
        </w:tc>
        <w:tc>
          <w:tcPr>
            <w:tcW w:w="1985" w:type="dxa"/>
            <w:shd w:val="clear" w:color="auto" w:fill="auto"/>
            <w:noWrap/>
            <w:vAlign w:val="bottom"/>
            <w:hideMark/>
          </w:tcPr>
          <w:p w14:paraId="7E509CD3" w14:textId="77777777" w:rsidR="00364CA7" w:rsidRPr="00B2521E" w:rsidRDefault="00364CA7" w:rsidP="00FC437E">
            <w:pPr>
              <w:spacing w:before="0" w:after="0"/>
              <w:jc w:val="center"/>
              <w:rPr>
                <w:rFonts w:cstheme="minorHAnsi"/>
                <w:color w:val="000000"/>
                <w:sz w:val="18"/>
                <w:szCs w:val="18"/>
              </w:rPr>
            </w:pPr>
            <w:r>
              <w:rPr>
                <w:color w:val="000000"/>
                <w:sz w:val="18"/>
                <w:szCs w:val="18"/>
              </w:rPr>
              <w:t>6.25</w:t>
            </w:r>
          </w:p>
        </w:tc>
      </w:tr>
      <w:tr w:rsidR="00364CA7" w:rsidRPr="00B2521E" w14:paraId="278ECF96" w14:textId="77777777" w:rsidTr="00FC437E">
        <w:trPr>
          <w:trHeight w:val="295"/>
        </w:trPr>
        <w:tc>
          <w:tcPr>
            <w:tcW w:w="7366" w:type="dxa"/>
            <w:shd w:val="clear" w:color="auto" w:fill="auto"/>
            <w:noWrap/>
            <w:vAlign w:val="bottom"/>
            <w:hideMark/>
          </w:tcPr>
          <w:p w14:paraId="2E1407E5" w14:textId="77777777" w:rsidR="00364CA7" w:rsidRPr="00B2521E" w:rsidRDefault="00364CA7" w:rsidP="00FC437E">
            <w:pPr>
              <w:spacing w:before="0" w:after="0"/>
              <w:rPr>
                <w:rFonts w:cstheme="minorHAnsi"/>
                <w:color w:val="000000"/>
                <w:sz w:val="18"/>
                <w:szCs w:val="18"/>
              </w:rPr>
            </w:pPr>
            <w:r>
              <w:rPr>
                <w:color w:val="000000"/>
                <w:sz w:val="18"/>
                <w:szCs w:val="18"/>
              </w:rPr>
              <w:t>Resources available to the population (own/bank, etc.)</w:t>
            </w:r>
          </w:p>
        </w:tc>
        <w:tc>
          <w:tcPr>
            <w:tcW w:w="1985" w:type="dxa"/>
            <w:shd w:val="clear" w:color="auto" w:fill="auto"/>
            <w:noWrap/>
            <w:vAlign w:val="bottom"/>
            <w:hideMark/>
          </w:tcPr>
          <w:p w14:paraId="517F9BF4" w14:textId="77777777" w:rsidR="00364CA7" w:rsidRPr="00B2521E" w:rsidRDefault="00364CA7" w:rsidP="00FC437E">
            <w:pPr>
              <w:spacing w:before="0" w:after="0"/>
              <w:jc w:val="center"/>
              <w:rPr>
                <w:rFonts w:cstheme="minorHAnsi"/>
                <w:color w:val="000000"/>
                <w:sz w:val="18"/>
                <w:szCs w:val="18"/>
              </w:rPr>
            </w:pPr>
            <w:r>
              <w:rPr>
                <w:color w:val="000000"/>
                <w:sz w:val="18"/>
                <w:szCs w:val="18"/>
              </w:rPr>
              <w:t>6.00</w:t>
            </w:r>
          </w:p>
        </w:tc>
      </w:tr>
      <w:tr w:rsidR="00364CA7" w:rsidRPr="00B2521E" w14:paraId="0E305ED2" w14:textId="77777777" w:rsidTr="00FC437E">
        <w:trPr>
          <w:trHeight w:val="295"/>
        </w:trPr>
        <w:tc>
          <w:tcPr>
            <w:tcW w:w="7366" w:type="dxa"/>
            <w:shd w:val="clear" w:color="auto" w:fill="auto"/>
            <w:noWrap/>
            <w:vAlign w:val="bottom"/>
            <w:hideMark/>
          </w:tcPr>
          <w:p w14:paraId="2CBE6F35" w14:textId="77777777" w:rsidR="00364CA7" w:rsidRPr="00B2521E" w:rsidRDefault="00364CA7" w:rsidP="00FC437E">
            <w:pPr>
              <w:spacing w:before="0" w:after="0"/>
              <w:rPr>
                <w:rFonts w:cstheme="minorHAnsi"/>
                <w:color w:val="000000"/>
                <w:sz w:val="18"/>
                <w:szCs w:val="18"/>
              </w:rPr>
            </w:pPr>
            <w:r>
              <w:rPr>
                <w:color w:val="000000"/>
                <w:sz w:val="18"/>
                <w:szCs w:val="18"/>
              </w:rPr>
              <w:t>Changes in gross domestic product in the country</w:t>
            </w:r>
          </w:p>
        </w:tc>
        <w:tc>
          <w:tcPr>
            <w:tcW w:w="1985" w:type="dxa"/>
            <w:shd w:val="clear" w:color="auto" w:fill="auto"/>
            <w:noWrap/>
            <w:vAlign w:val="bottom"/>
            <w:hideMark/>
          </w:tcPr>
          <w:p w14:paraId="20BD0332" w14:textId="77777777" w:rsidR="00364CA7" w:rsidRPr="00B2521E" w:rsidRDefault="00364CA7" w:rsidP="00FC437E">
            <w:pPr>
              <w:spacing w:before="0" w:after="0"/>
              <w:jc w:val="center"/>
              <w:rPr>
                <w:rFonts w:cstheme="minorHAnsi"/>
                <w:color w:val="000000"/>
                <w:sz w:val="18"/>
                <w:szCs w:val="18"/>
              </w:rPr>
            </w:pPr>
            <w:r>
              <w:rPr>
                <w:color w:val="000000"/>
                <w:sz w:val="18"/>
                <w:szCs w:val="18"/>
              </w:rPr>
              <w:t>4.83</w:t>
            </w:r>
          </w:p>
        </w:tc>
      </w:tr>
    </w:tbl>
    <w:p w14:paraId="70B266F8" w14:textId="77777777" w:rsidR="00364CA7" w:rsidRPr="00B2521E" w:rsidRDefault="00364CA7" w:rsidP="00364CA7">
      <w:pPr>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B2521E" w14:paraId="13757DAF" w14:textId="77777777" w:rsidTr="00FC437E">
        <w:trPr>
          <w:trHeight w:val="300"/>
        </w:trPr>
        <w:tc>
          <w:tcPr>
            <w:tcW w:w="7366" w:type="dxa"/>
            <w:shd w:val="clear" w:color="auto" w:fill="1F3763"/>
            <w:noWrap/>
            <w:vAlign w:val="bottom"/>
          </w:tcPr>
          <w:p w14:paraId="07251948"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Factor affecting changes in costs of construction materials in the subsector of construction of non-residential buildings</w:t>
            </w:r>
          </w:p>
        </w:tc>
        <w:tc>
          <w:tcPr>
            <w:tcW w:w="1985" w:type="dxa"/>
            <w:shd w:val="clear" w:color="auto" w:fill="1F3763"/>
            <w:noWrap/>
            <w:vAlign w:val="bottom"/>
          </w:tcPr>
          <w:p w14:paraId="354782E6" w14:textId="77777777" w:rsidR="00364CA7" w:rsidRPr="00B2521E" w:rsidRDefault="00364CA7" w:rsidP="00FC437E">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364CA7" w:rsidRPr="00B2521E" w14:paraId="51118777" w14:textId="77777777" w:rsidTr="00FC437E">
        <w:trPr>
          <w:trHeight w:val="300"/>
        </w:trPr>
        <w:tc>
          <w:tcPr>
            <w:tcW w:w="7366" w:type="dxa"/>
            <w:shd w:val="clear" w:color="auto" w:fill="auto"/>
            <w:noWrap/>
            <w:vAlign w:val="bottom"/>
            <w:hideMark/>
          </w:tcPr>
          <w:p w14:paraId="1D636B08" w14:textId="3EEB9720" w:rsidR="00364CA7" w:rsidRPr="00B2521E" w:rsidRDefault="00364CA7" w:rsidP="00FC437E">
            <w:pPr>
              <w:spacing w:before="0" w:after="0"/>
              <w:rPr>
                <w:rFonts w:cstheme="minorHAnsi"/>
                <w:color w:val="000000"/>
                <w:sz w:val="18"/>
                <w:szCs w:val="18"/>
              </w:rPr>
            </w:pPr>
            <w:r>
              <w:rPr>
                <w:color w:val="000000"/>
                <w:sz w:val="18"/>
                <w:szCs w:val="18"/>
              </w:rPr>
              <w:t>Volume of construction products in the country</w:t>
            </w:r>
          </w:p>
        </w:tc>
        <w:tc>
          <w:tcPr>
            <w:tcW w:w="1985" w:type="dxa"/>
            <w:shd w:val="clear" w:color="auto" w:fill="auto"/>
            <w:noWrap/>
            <w:vAlign w:val="bottom"/>
            <w:hideMark/>
          </w:tcPr>
          <w:p w14:paraId="0A0DDE30" w14:textId="77777777" w:rsidR="00364CA7" w:rsidRPr="00B2521E" w:rsidRDefault="00364CA7" w:rsidP="00FC437E">
            <w:pPr>
              <w:spacing w:before="0" w:after="0"/>
              <w:jc w:val="center"/>
              <w:rPr>
                <w:rFonts w:cstheme="minorHAnsi"/>
                <w:color w:val="000000"/>
                <w:sz w:val="18"/>
                <w:szCs w:val="18"/>
              </w:rPr>
            </w:pPr>
            <w:r>
              <w:rPr>
                <w:color w:val="000000"/>
                <w:sz w:val="18"/>
                <w:szCs w:val="18"/>
              </w:rPr>
              <w:t>6.75</w:t>
            </w:r>
          </w:p>
        </w:tc>
      </w:tr>
      <w:tr w:rsidR="00364CA7" w:rsidRPr="00B2521E" w14:paraId="7F3358D7" w14:textId="77777777" w:rsidTr="00FC437E">
        <w:trPr>
          <w:trHeight w:val="300"/>
        </w:trPr>
        <w:tc>
          <w:tcPr>
            <w:tcW w:w="7366" w:type="dxa"/>
            <w:shd w:val="clear" w:color="auto" w:fill="auto"/>
            <w:noWrap/>
            <w:vAlign w:val="bottom"/>
            <w:hideMark/>
          </w:tcPr>
          <w:p w14:paraId="2886CAA1" w14:textId="77777777" w:rsidR="00364CA7" w:rsidRPr="00B2521E" w:rsidRDefault="00364CA7" w:rsidP="00FC437E">
            <w:pPr>
              <w:spacing w:before="0" w:after="0"/>
              <w:rPr>
                <w:rFonts w:cstheme="minorHAnsi"/>
                <w:color w:val="000000"/>
                <w:sz w:val="18"/>
                <w:szCs w:val="18"/>
              </w:rPr>
            </w:pPr>
            <w:r>
              <w:rPr>
                <w:color w:val="000000"/>
                <w:sz w:val="18"/>
                <w:szCs w:val="18"/>
              </w:rPr>
              <w:lastRenderedPageBreak/>
              <w:t>Immovable property crediting volumes in the country</w:t>
            </w:r>
          </w:p>
        </w:tc>
        <w:tc>
          <w:tcPr>
            <w:tcW w:w="1985" w:type="dxa"/>
            <w:shd w:val="clear" w:color="auto" w:fill="auto"/>
            <w:noWrap/>
            <w:vAlign w:val="bottom"/>
            <w:hideMark/>
          </w:tcPr>
          <w:p w14:paraId="561859A1" w14:textId="77777777" w:rsidR="00364CA7" w:rsidRPr="00B2521E" w:rsidRDefault="00364CA7" w:rsidP="00FC437E">
            <w:pPr>
              <w:spacing w:before="0" w:after="0"/>
              <w:jc w:val="center"/>
              <w:rPr>
                <w:rFonts w:cstheme="minorHAnsi"/>
                <w:color w:val="000000"/>
                <w:sz w:val="18"/>
                <w:szCs w:val="18"/>
              </w:rPr>
            </w:pPr>
            <w:r>
              <w:rPr>
                <w:color w:val="000000"/>
                <w:sz w:val="18"/>
                <w:szCs w:val="18"/>
              </w:rPr>
              <w:t>6.08</w:t>
            </w:r>
          </w:p>
        </w:tc>
      </w:tr>
      <w:tr w:rsidR="00364CA7" w:rsidRPr="00B2521E" w14:paraId="5D4211F0" w14:textId="77777777" w:rsidTr="00FC437E">
        <w:trPr>
          <w:trHeight w:val="300"/>
        </w:trPr>
        <w:tc>
          <w:tcPr>
            <w:tcW w:w="7366" w:type="dxa"/>
            <w:shd w:val="clear" w:color="auto" w:fill="auto"/>
            <w:noWrap/>
            <w:vAlign w:val="bottom"/>
            <w:hideMark/>
          </w:tcPr>
          <w:p w14:paraId="6FE42AC3" w14:textId="77777777" w:rsidR="00364CA7" w:rsidRPr="00B2521E" w:rsidRDefault="00364CA7" w:rsidP="00FC437E">
            <w:pPr>
              <w:spacing w:before="0" w:after="0"/>
              <w:rPr>
                <w:rFonts w:cstheme="minorHAnsi"/>
                <w:color w:val="000000"/>
                <w:sz w:val="18"/>
                <w:szCs w:val="18"/>
              </w:rPr>
            </w:pPr>
            <w:r>
              <w:rPr>
                <w:color w:val="000000"/>
                <w:sz w:val="18"/>
                <w:szCs w:val="18"/>
              </w:rPr>
              <w:t>Resources available to the population (own/bank, etc.)</w:t>
            </w:r>
          </w:p>
        </w:tc>
        <w:tc>
          <w:tcPr>
            <w:tcW w:w="1985" w:type="dxa"/>
            <w:shd w:val="clear" w:color="auto" w:fill="auto"/>
            <w:noWrap/>
            <w:vAlign w:val="bottom"/>
            <w:hideMark/>
          </w:tcPr>
          <w:p w14:paraId="1F496205" w14:textId="77777777" w:rsidR="00364CA7" w:rsidRPr="00B2521E" w:rsidRDefault="00364CA7" w:rsidP="00FC437E">
            <w:pPr>
              <w:spacing w:before="0" w:after="0"/>
              <w:jc w:val="center"/>
              <w:rPr>
                <w:rFonts w:cstheme="minorHAnsi"/>
                <w:color w:val="000000"/>
                <w:sz w:val="18"/>
                <w:szCs w:val="18"/>
              </w:rPr>
            </w:pPr>
            <w:r>
              <w:rPr>
                <w:color w:val="000000"/>
                <w:sz w:val="18"/>
                <w:szCs w:val="18"/>
              </w:rPr>
              <w:t>5.17</w:t>
            </w:r>
          </w:p>
        </w:tc>
      </w:tr>
      <w:tr w:rsidR="00364CA7" w:rsidRPr="00B2521E" w14:paraId="082682A4" w14:textId="77777777" w:rsidTr="00FC437E">
        <w:trPr>
          <w:trHeight w:val="300"/>
        </w:trPr>
        <w:tc>
          <w:tcPr>
            <w:tcW w:w="7366" w:type="dxa"/>
            <w:shd w:val="clear" w:color="auto" w:fill="auto"/>
            <w:noWrap/>
            <w:vAlign w:val="bottom"/>
            <w:hideMark/>
          </w:tcPr>
          <w:p w14:paraId="4AB6FFE6" w14:textId="77777777" w:rsidR="00364CA7" w:rsidRPr="00B2521E" w:rsidRDefault="00364CA7" w:rsidP="00FC437E">
            <w:pPr>
              <w:spacing w:before="0" w:after="0"/>
              <w:rPr>
                <w:rFonts w:cstheme="minorHAnsi"/>
                <w:color w:val="000000"/>
                <w:sz w:val="18"/>
                <w:szCs w:val="18"/>
              </w:rPr>
            </w:pPr>
            <w:r>
              <w:rPr>
                <w:color w:val="000000"/>
                <w:sz w:val="18"/>
                <w:szCs w:val="18"/>
              </w:rPr>
              <w:t>Changes in gross domestic product in the country</w:t>
            </w:r>
          </w:p>
        </w:tc>
        <w:tc>
          <w:tcPr>
            <w:tcW w:w="1985" w:type="dxa"/>
            <w:shd w:val="clear" w:color="auto" w:fill="auto"/>
            <w:noWrap/>
            <w:vAlign w:val="bottom"/>
            <w:hideMark/>
          </w:tcPr>
          <w:p w14:paraId="698400FB" w14:textId="77777777" w:rsidR="00364CA7" w:rsidRPr="00B2521E" w:rsidRDefault="00364CA7" w:rsidP="00FC437E">
            <w:pPr>
              <w:spacing w:before="0" w:after="0"/>
              <w:jc w:val="center"/>
              <w:rPr>
                <w:rFonts w:cstheme="minorHAnsi"/>
                <w:color w:val="000000"/>
                <w:sz w:val="18"/>
                <w:szCs w:val="18"/>
              </w:rPr>
            </w:pPr>
            <w:r>
              <w:rPr>
                <w:color w:val="000000"/>
                <w:sz w:val="18"/>
                <w:szCs w:val="18"/>
              </w:rPr>
              <w:t>5.25</w:t>
            </w:r>
          </w:p>
        </w:tc>
      </w:tr>
    </w:tbl>
    <w:p w14:paraId="486E7ECE" w14:textId="77777777" w:rsidR="00364CA7" w:rsidRPr="00895643" w:rsidRDefault="00364CA7" w:rsidP="003035DE">
      <w:pPr>
        <w:jc w:val="center"/>
        <w:rPr>
          <w:sz w:val="20"/>
          <w:szCs w:val="18"/>
        </w:rPr>
      </w:pPr>
      <w:r>
        <w:rPr>
          <w:color w:val="000000"/>
          <w:sz w:val="20"/>
        </w:rPr>
        <w:t>Source: Expert interviews</w:t>
      </w:r>
    </w:p>
    <w:p w14:paraId="52038BA3" w14:textId="081FDEA3" w:rsidR="00364CA7" w:rsidRPr="00B2521E" w:rsidRDefault="00364CA7" w:rsidP="00895643">
      <w:pPr>
        <w:ind w:firstLine="851"/>
        <w:jc w:val="both"/>
      </w:pPr>
      <w:r>
        <w:t>The evaluation of forecasts of changes of costs by types of resources by subsector experts is very close in sectors of residential and non-residential buildings and generally corresponds to the evaluation of the forecasts of changes in all construction costs by types of resources – a more rapid increase is expected in changes in the costs related to human resources. Unlike in the forecasts of changes in the total construction costs, a more stable increase is expected for changes in costs related to raw materials and equipment.</w:t>
      </w:r>
    </w:p>
    <w:p w14:paraId="6D10CE25" w14:textId="49ACBA54" w:rsidR="00364CA7" w:rsidRPr="00B2521E" w:rsidRDefault="00364CA7" w:rsidP="00364CA7">
      <w:pPr>
        <w:jc w:val="center"/>
        <w:rPr>
          <w:b/>
          <w:sz w:val="20"/>
          <w:szCs w:val="18"/>
        </w:rPr>
      </w:pPr>
      <w:r>
        <w:rPr>
          <w:b/>
          <w:sz w:val="20"/>
          <w:szCs w:val="18"/>
        </w:rPr>
        <w:t>Figure No. 13. Forecast of changes in construction costs by types of resources in the subsector of residential buildings,</w:t>
      </w:r>
      <w:r>
        <w:rPr>
          <w:b/>
          <w:sz w:val="18"/>
          <w:szCs w:val="18"/>
        </w:rPr>
        <w:t xml:space="preserve"> </w:t>
      </w:r>
      <w:r>
        <w:rPr>
          <w:b/>
          <w:sz w:val="20"/>
        </w:rPr>
        <w:t>cumulative changes compared to 2018, %</w:t>
      </w:r>
    </w:p>
    <w:p w14:paraId="38C14ACB" w14:textId="56D33DB4" w:rsidR="00364CA7" w:rsidRDefault="00AC6CE9" w:rsidP="00364CA7">
      <w:pPr>
        <w:jc w:val="center"/>
      </w:pPr>
      <w:r w:rsidRPr="00AC6CE9">
        <w:rPr>
          <w:noProof/>
          <w:lang w:val="en-US"/>
        </w:rPr>
        <w:drawing>
          <wp:inline distT="0" distB="0" distL="0" distR="0" wp14:anchorId="00F30B72" wp14:editId="070ABADB">
            <wp:extent cx="4342857" cy="2514286"/>
            <wp:effectExtent l="0" t="0" r="635" b="635"/>
            <wp:docPr id="1006675205" name="Picture 100667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42857" cy="2514286"/>
                    </a:xfrm>
                    <a:prstGeom prst="rect">
                      <a:avLst/>
                    </a:prstGeom>
                  </pic:spPr>
                </pic:pic>
              </a:graphicData>
            </a:graphic>
          </wp:inline>
        </w:drawing>
      </w:r>
    </w:p>
    <w:p w14:paraId="6A5F1035" w14:textId="424653E5" w:rsidR="00364CA7" w:rsidRDefault="00364CA7" w:rsidP="00364CA7">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5BFD9F83" w14:textId="7B56D2DC" w:rsidR="00364CA7" w:rsidRPr="00B2521E" w:rsidRDefault="00364CA7" w:rsidP="00364CA7">
      <w:pPr>
        <w:jc w:val="center"/>
        <w:rPr>
          <w:b/>
          <w:sz w:val="20"/>
          <w:szCs w:val="18"/>
        </w:rPr>
      </w:pPr>
      <w:r>
        <w:rPr>
          <w:b/>
          <w:sz w:val="20"/>
          <w:szCs w:val="18"/>
        </w:rPr>
        <w:t>Figure No. 14. Forecast of changes in construction costs by types of resources in the subsector of non-residential buildings,</w:t>
      </w:r>
      <w:r>
        <w:rPr>
          <w:b/>
          <w:sz w:val="20"/>
        </w:rPr>
        <w:t xml:space="preserve"> cumulative changes compared to 2018, %</w:t>
      </w:r>
    </w:p>
    <w:p w14:paraId="2BDD51C3" w14:textId="4B3CD496" w:rsidR="00364CA7" w:rsidRPr="00B2521E" w:rsidRDefault="00AC6CE9" w:rsidP="00364CA7">
      <w:pPr>
        <w:jc w:val="center"/>
      </w:pPr>
      <w:r w:rsidRPr="00AC6CE9">
        <w:rPr>
          <w:noProof/>
          <w:lang w:val="en-US"/>
        </w:rPr>
        <w:drawing>
          <wp:inline distT="0" distB="0" distL="0" distR="0" wp14:anchorId="77B463B8" wp14:editId="5E6272E4">
            <wp:extent cx="4342857" cy="2523809"/>
            <wp:effectExtent l="0" t="0" r="635" b="0"/>
            <wp:docPr id="1006675208" name="Picture 100667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2857" cy="2523809"/>
                    </a:xfrm>
                    <a:prstGeom prst="rect">
                      <a:avLst/>
                    </a:prstGeom>
                  </pic:spPr>
                </pic:pic>
              </a:graphicData>
            </a:graphic>
          </wp:inline>
        </w:drawing>
      </w:r>
    </w:p>
    <w:p w14:paraId="64967244" w14:textId="5021FE2F" w:rsidR="00364CA7" w:rsidRDefault="00364CA7" w:rsidP="00364CA7">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06BFD36B" w14:textId="304E59C9" w:rsidR="00FD3359" w:rsidRPr="00B2521E" w:rsidRDefault="00FD3359" w:rsidP="00FD3359">
      <w:pPr>
        <w:pStyle w:val="Heading2"/>
        <w:rPr>
          <w:rFonts w:eastAsia="Times New Roman"/>
        </w:rPr>
      </w:pPr>
      <w:bookmarkStart w:id="395" w:name="_Toc13492660"/>
      <w:bookmarkStart w:id="396" w:name="_Toc13574700"/>
      <w:bookmarkStart w:id="397" w:name="_Toc13576487"/>
      <w:bookmarkStart w:id="398" w:name="_Toc13580240"/>
      <w:bookmarkStart w:id="399" w:name="_Toc13673422"/>
      <w:bookmarkStart w:id="400" w:name="_Toc13673738"/>
      <w:bookmarkStart w:id="401" w:name="_Toc13492661"/>
      <w:bookmarkStart w:id="402" w:name="_Toc13574701"/>
      <w:bookmarkStart w:id="403" w:name="_Toc13576488"/>
      <w:bookmarkStart w:id="404" w:name="_Toc13580241"/>
      <w:bookmarkStart w:id="405" w:name="_Toc13673423"/>
      <w:bookmarkStart w:id="406" w:name="_Toc13673739"/>
      <w:bookmarkStart w:id="407" w:name="_Toc13492662"/>
      <w:bookmarkStart w:id="408" w:name="_Toc13574702"/>
      <w:bookmarkStart w:id="409" w:name="_Toc13576489"/>
      <w:bookmarkStart w:id="410" w:name="_Toc13580242"/>
      <w:bookmarkStart w:id="411" w:name="_Toc13673424"/>
      <w:bookmarkStart w:id="412" w:name="_Toc13673740"/>
      <w:bookmarkStart w:id="413" w:name="_Toc13492663"/>
      <w:bookmarkStart w:id="414" w:name="_Toc13574703"/>
      <w:bookmarkStart w:id="415" w:name="_Toc13576490"/>
      <w:bookmarkStart w:id="416" w:name="_Toc13580243"/>
      <w:bookmarkStart w:id="417" w:name="_Toc13673425"/>
      <w:bookmarkStart w:id="418" w:name="_Toc13673741"/>
      <w:bookmarkStart w:id="419" w:name="_Toc13492664"/>
      <w:bookmarkStart w:id="420" w:name="_Toc13574704"/>
      <w:bookmarkStart w:id="421" w:name="_Toc13576491"/>
      <w:bookmarkStart w:id="422" w:name="_Toc13580244"/>
      <w:bookmarkStart w:id="423" w:name="_Toc13673426"/>
      <w:bookmarkStart w:id="424" w:name="_Toc13673742"/>
      <w:bookmarkStart w:id="425" w:name="_Toc13492665"/>
      <w:bookmarkStart w:id="426" w:name="_Toc13574705"/>
      <w:bookmarkStart w:id="427" w:name="_Toc13576492"/>
      <w:bookmarkStart w:id="428" w:name="_Toc13580245"/>
      <w:bookmarkStart w:id="429" w:name="_Toc13673427"/>
      <w:bookmarkStart w:id="430" w:name="_Toc13673743"/>
      <w:bookmarkStart w:id="431" w:name="_Toc13492666"/>
      <w:bookmarkStart w:id="432" w:name="_Toc13574706"/>
      <w:bookmarkStart w:id="433" w:name="_Toc13576493"/>
      <w:bookmarkStart w:id="434" w:name="_Toc13580246"/>
      <w:bookmarkStart w:id="435" w:name="_Toc13673428"/>
      <w:bookmarkStart w:id="436" w:name="_Toc13673744"/>
      <w:bookmarkStart w:id="437" w:name="_Toc13492667"/>
      <w:bookmarkStart w:id="438" w:name="_Toc13574707"/>
      <w:bookmarkStart w:id="439" w:name="_Toc13576494"/>
      <w:bookmarkStart w:id="440" w:name="_Toc13580247"/>
      <w:bookmarkStart w:id="441" w:name="_Toc13673429"/>
      <w:bookmarkStart w:id="442" w:name="_Toc13673745"/>
      <w:bookmarkStart w:id="443" w:name="_Toc13492668"/>
      <w:bookmarkStart w:id="444" w:name="_Toc13574708"/>
      <w:bookmarkStart w:id="445" w:name="_Toc13576495"/>
      <w:bookmarkStart w:id="446" w:name="_Toc13580248"/>
      <w:bookmarkStart w:id="447" w:name="_Toc13673430"/>
      <w:bookmarkStart w:id="448" w:name="_Toc13673746"/>
      <w:bookmarkStart w:id="449" w:name="_Toc13492669"/>
      <w:bookmarkStart w:id="450" w:name="_Toc13574709"/>
      <w:bookmarkStart w:id="451" w:name="_Toc13576496"/>
      <w:bookmarkStart w:id="452" w:name="_Toc13580249"/>
      <w:bookmarkStart w:id="453" w:name="_Toc13673431"/>
      <w:bookmarkStart w:id="454" w:name="_Toc13673747"/>
      <w:bookmarkStart w:id="455" w:name="_Toc13492670"/>
      <w:bookmarkStart w:id="456" w:name="_Toc13574710"/>
      <w:bookmarkStart w:id="457" w:name="_Toc13576497"/>
      <w:bookmarkStart w:id="458" w:name="_Toc13580250"/>
      <w:bookmarkStart w:id="459" w:name="_Toc13673432"/>
      <w:bookmarkStart w:id="460" w:name="_Toc13673748"/>
      <w:bookmarkStart w:id="461" w:name="_Toc13492671"/>
      <w:bookmarkStart w:id="462" w:name="_Toc13574711"/>
      <w:bookmarkStart w:id="463" w:name="_Toc13576498"/>
      <w:bookmarkStart w:id="464" w:name="_Toc13580251"/>
      <w:bookmarkStart w:id="465" w:name="_Toc13673433"/>
      <w:bookmarkStart w:id="466" w:name="_Toc13673749"/>
      <w:bookmarkStart w:id="467" w:name="_Toc13492672"/>
      <w:bookmarkStart w:id="468" w:name="_Toc13574712"/>
      <w:bookmarkStart w:id="469" w:name="_Toc13576499"/>
      <w:bookmarkStart w:id="470" w:name="_Toc13580252"/>
      <w:bookmarkStart w:id="471" w:name="_Toc13673434"/>
      <w:bookmarkStart w:id="472" w:name="_Toc13673750"/>
      <w:bookmarkStart w:id="473" w:name="_Toc13492673"/>
      <w:bookmarkStart w:id="474" w:name="_Toc13574713"/>
      <w:bookmarkStart w:id="475" w:name="_Toc13576500"/>
      <w:bookmarkStart w:id="476" w:name="_Toc13580253"/>
      <w:bookmarkStart w:id="477" w:name="_Toc13673435"/>
      <w:bookmarkStart w:id="478" w:name="_Toc13673751"/>
      <w:bookmarkStart w:id="479" w:name="_Toc13492674"/>
      <w:bookmarkStart w:id="480" w:name="_Toc13574714"/>
      <w:bookmarkStart w:id="481" w:name="_Toc13576501"/>
      <w:bookmarkStart w:id="482" w:name="_Toc13580254"/>
      <w:bookmarkStart w:id="483" w:name="_Toc13673436"/>
      <w:bookmarkStart w:id="484" w:name="_Toc13673752"/>
      <w:bookmarkStart w:id="485" w:name="_Toc13492675"/>
      <w:bookmarkStart w:id="486" w:name="_Toc13574715"/>
      <w:bookmarkStart w:id="487" w:name="_Toc13576502"/>
      <w:bookmarkStart w:id="488" w:name="_Toc13580255"/>
      <w:bookmarkStart w:id="489" w:name="_Toc13673437"/>
      <w:bookmarkStart w:id="490" w:name="_Toc13673753"/>
      <w:bookmarkStart w:id="491" w:name="_Toc13492688"/>
      <w:bookmarkStart w:id="492" w:name="_Toc13574728"/>
      <w:bookmarkStart w:id="493" w:name="_Toc13576515"/>
      <w:bookmarkStart w:id="494" w:name="_Toc13580268"/>
      <w:bookmarkStart w:id="495" w:name="_Toc13673450"/>
      <w:bookmarkStart w:id="496" w:name="_Toc13673766"/>
      <w:bookmarkStart w:id="497" w:name="_Toc1868240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lastRenderedPageBreak/>
        <w:t>Forecasts of changes in costs of the subsector Construction of transport objects</w:t>
      </w:r>
      <w:bookmarkEnd w:id="497"/>
    </w:p>
    <w:p w14:paraId="369A5BA2" w14:textId="2973CAE0" w:rsidR="00FA4A2D" w:rsidRDefault="00FA4A2D" w:rsidP="00FD3359">
      <w:pPr>
        <w:ind w:firstLine="851"/>
        <w:jc w:val="both"/>
      </w:pPr>
      <w:r w:rsidRPr="00FA4A2D">
        <w:t xml:space="preserve">Forecasts for construction volumes in the sub-sector of transport construction have been developed </w:t>
      </w:r>
      <w:proofErr w:type="gramStart"/>
      <w:r w:rsidRPr="00FA4A2D">
        <w:t>on the basis of</w:t>
      </w:r>
      <w:proofErr w:type="gramEnd"/>
      <w:r w:rsidRPr="00FA4A2D">
        <w:t xml:space="preserve"> a more detailed methodology</w:t>
      </w:r>
      <w:r w:rsidR="00810BF8">
        <w:t>. The parties involved</w:t>
      </w:r>
      <w:r w:rsidRPr="00FA4A2D">
        <w:t xml:space="preserve"> found that trends of road and bridge (“roads”) and </w:t>
      </w:r>
      <w:proofErr w:type="gramStart"/>
      <w:r w:rsidRPr="00FA4A2D">
        <w:t>railway infrastructure construction volumes</w:t>
      </w:r>
      <w:proofErr w:type="gramEnd"/>
      <w:r w:rsidRPr="00FA4A2D">
        <w:t xml:space="preserve"> are expected to reverse radically over the next 5 years. The improved methodology included forecasting roads and railways</w:t>
      </w:r>
      <w:r w:rsidR="00810BF8">
        <w:t xml:space="preserve"> separately and </w:t>
      </w:r>
      <w:r w:rsidR="00197BBD">
        <w:t xml:space="preserve">merging </w:t>
      </w:r>
      <w:r w:rsidR="00810BF8">
        <w:t xml:space="preserve">for </w:t>
      </w:r>
      <w:proofErr w:type="spellStart"/>
      <w:proofErr w:type="gramStart"/>
      <w:r w:rsidR="00810BF8">
        <w:t>owerall</w:t>
      </w:r>
      <w:proofErr w:type="spellEnd"/>
      <w:proofErr w:type="gramEnd"/>
      <w:r w:rsidR="00810BF8">
        <w:t xml:space="preserve"> sub-</w:t>
      </w:r>
      <w:proofErr w:type="spellStart"/>
      <w:r w:rsidR="00810BF8">
        <w:t>setor</w:t>
      </w:r>
      <w:proofErr w:type="spellEnd"/>
      <w:r w:rsidR="00810BF8">
        <w:t xml:space="preserve"> forecast.</w:t>
      </w:r>
      <w:r w:rsidR="00197BBD">
        <w:t xml:space="preserve"> </w:t>
      </w:r>
      <w:r w:rsidRPr="00FA4A2D">
        <w:t xml:space="preserve">In order to do this, additional experts </w:t>
      </w:r>
      <w:r w:rsidR="00F058F4">
        <w:t xml:space="preserve">for detailed assessment </w:t>
      </w:r>
      <w:r w:rsidRPr="00FA4A2D">
        <w:t>were attracted.</w:t>
      </w:r>
    </w:p>
    <w:p w14:paraId="183DD305" w14:textId="53BE8003" w:rsidR="00FA4A2D" w:rsidRDefault="00332FB0" w:rsidP="00FD3359">
      <w:pPr>
        <w:ind w:firstLine="851"/>
        <w:jc w:val="both"/>
      </w:pPr>
      <w:r>
        <w:t>A</w:t>
      </w:r>
      <w:r w:rsidR="001B00E8">
        <w:t xml:space="preserve"> sharp drop in volume </w:t>
      </w:r>
      <w:proofErr w:type="gramStart"/>
      <w:r w:rsidR="001B00E8">
        <w:t>is forecasted</w:t>
      </w:r>
      <w:proofErr w:type="gramEnd"/>
      <w:r>
        <w:t xml:space="preserve"> for </w:t>
      </w:r>
      <w:r w:rsidRPr="00197BBD">
        <w:t>road infrastructure construction</w:t>
      </w:r>
      <w:r w:rsidR="00197BBD" w:rsidRPr="00197BBD">
        <w:t>, which will start in 2020. Cumulative changes in road infras</w:t>
      </w:r>
      <w:r w:rsidR="008A19F0">
        <w:t>tructure construction</w:t>
      </w:r>
      <w:r w:rsidR="00197BBD" w:rsidRPr="00197BBD">
        <w:t xml:space="preserve"> against 2018 are expected to result in a slight increase of 4.2% in 2019 and a drop of 12.6% in 2020, 29.7% in 2021, 32.3% in 2022 (see Fi</w:t>
      </w:r>
      <w:r w:rsidR="008A19F0">
        <w:t>gure 15). This forecast relay</w:t>
      </w:r>
      <w:r w:rsidR="00197BBD" w:rsidRPr="00197BBD">
        <w:t xml:space="preserve"> on both statisti</w:t>
      </w:r>
      <w:r w:rsidR="00F834E4">
        <w:t>cal data and expert assessments</w:t>
      </w:r>
      <w:r w:rsidR="00197BBD" w:rsidRPr="00197BBD">
        <w:t xml:space="preserve">. The statistical model points </w:t>
      </w:r>
      <w:r w:rsidR="008A19F0">
        <w:t>to a significant risk of decrease</w:t>
      </w:r>
      <w:r w:rsidR="00197BBD" w:rsidRPr="00197BBD">
        <w:t xml:space="preserve"> between 2</w:t>
      </w:r>
      <w:r w:rsidR="00F834E4">
        <w:t>020 and 2022</w:t>
      </w:r>
      <w:r w:rsidR="008A19F0">
        <w:t>, as it was in 2016 due to cyclical nature of EU funding investments</w:t>
      </w:r>
      <w:r w:rsidR="00197BBD" w:rsidRPr="00197BBD">
        <w:t>.</w:t>
      </w:r>
      <w:r w:rsidR="00F834E4" w:rsidRPr="00F834E4">
        <w:t xml:space="preserve"> The data for the 2023 forecasts were too controversial to put forward a certain trend.</w:t>
      </w:r>
      <w:r w:rsidR="008A19F0">
        <w:t xml:space="preserve"> </w:t>
      </w:r>
    </w:p>
    <w:p w14:paraId="52914E2F" w14:textId="122AB77B" w:rsidR="00FA4A2D" w:rsidRDefault="001B00E8" w:rsidP="001B00E8">
      <w:pPr>
        <w:ind w:firstLine="851"/>
        <w:jc w:val="center"/>
      </w:pPr>
      <w:r>
        <w:rPr>
          <w:b/>
          <w:sz w:val="20"/>
        </w:rPr>
        <w:t xml:space="preserve">Figure No. 15. Changes in volumes of road construction products in the transport subsector before 2018 and forecasts from 2019 to 2023, cumulative changes compared to 2018, </w:t>
      </w:r>
      <w:proofErr w:type="gramStart"/>
      <w:r>
        <w:rPr>
          <w:b/>
          <w:sz w:val="20"/>
        </w:rPr>
        <w:t>%</w:t>
      </w:r>
      <w:proofErr w:type="gramEnd"/>
    </w:p>
    <w:p w14:paraId="06970451" w14:textId="3118DC5A" w:rsidR="00FA4A2D" w:rsidRDefault="00F834E4" w:rsidP="00FD3359">
      <w:pPr>
        <w:ind w:firstLine="851"/>
        <w:jc w:val="both"/>
      </w:pPr>
      <w:r w:rsidRPr="00F834E4">
        <w:drawing>
          <wp:inline distT="0" distB="0" distL="0" distR="0" wp14:anchorId="21CA259D" wp14:editId="48ABE95F">
            <wp:extent cx="4981575" cy="361662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89735" cy="3622545"/>
                    </a:xfrm>
                    <a:prstGeom prst="rect">
                      <a:avLst/>
                    </a:prstGeom>
                  </pic:spPr>
                </pic:pic>
              </a:graphicData>
            </a:graphic>
          </wp:inline>
        </w:drawing>
      </w:r>
    </w:p>
    <w:p w14:paraId="66C4682A" w14:textId="411A5958" w:rsidR="001B00E8" w:rsidRDefault="001B00E8" w:rsidP="001B00E8">
      <w:pPr>
        <w:ind w:firstLine="851"/>
        <w:jc w:val="center"/>
      </w:pPr>
      <w:r>
        <w:rPr>
          <w:sz w:val="20"/>
        </w:rPr>
        <w:t>Source: CSB historical data before 2018 (inclusive) and calculations made by authors, based on expert evaluations and developed models – forecast for 2019-202</w:t>
      </w:r>
      <w:r w:rsidR="00FF06FD">
        <w:rPr>
          <w:sz w:val="20"/>
        </w:rPr>
        <w:t>2</w:t>
      </w:r>
    </w:p>
    <w:p w14:paraId="1CAED331" w14:textId="77777777" w:rsidR="00FA4A2D" w:rsidRDefault="00FA4A2D" w:rsidP="00FD3359">
      <w:pPr>
        <w:ind w:firstLine="851"/>
        <w:jc w:val="both"/>
      </w:pPr>
    </w:p>
    <w:p w14:paraId="79B6AA7E" w14:textId="38BD70E7" w:rsidR="00695B24" w:rsidRDefault="00695B24" w:rsidP="00695B24">
      <w:pPr>
        <w:ind w:firstLine="851"/>
        <w:jc w:val="both"/>
      </w:pPr>
      <w:r>
        <w:t xml:space="preserve">A rapid increase in volume </w:t>
      </w:r>
      <w:proofErr w:type="gramStart"/>
      <w:r>
        <w:t>is expected</w:t>
      </w:r>
      <w:proofErr w:type="gramEnd"/>
      <w:r>
        <w:t xml:space="preserve"> in the construction of railw</w:t>
      </w:r>
      <w:r w:rsidR="00FF06FD">
        <w:t>ay infrastructure (see Figure 16</w:t>
      </w:r>
      <w:r>
        <w:t xml:space="preserve">). This forecast is based on </w:t>
      </w:r>
      <w:r w:rsidR="00FF06FD">
        <w:t xml:space="preserve">expert assessments </w:t>
      </w:r>
      <w:r>
        <w:t>which includes the planned railway infrastructure projects of the “</w:t>
      </w:r>
      <w:proofErr w:type="spellStart"/>
      <w:r>
        <w:t>Latvijas</w:t>
      </w:r>
      <w:proofErr w:type="spellEnd"/>
      <w:r>
        <w:t xml:space="preserve"> </w:t>
      </w:r>
      <w:proofErr w:type="spellStart"/>
      <w:r>
        <w:t>dzelzceļš</w:t>
      </w:r>
      <w:proofErr w:type="spellEnd"/>
      <w:r>
        <w:t>”</w:t>
      </w:r>
      <w:r w:rsidRPr="00695B24">
        <w:t xml:space="preserve"> </w:t>
      </w:r>
      <w:r>
        <w:t>SSC and “European Railway Line” Ltd.</w:t>
      </w:r>
    </w:p>
    <w:p w14:paraId="56A12DD3" w14:textId="374108E8" w:rsidR="001C0061" w:rsidRDefault="001C0061" w:rsidP="00695B24">
      <w:pPr>
        <w:ind w:firstLine="851"/>
        <w:jc w:val="both"/>
      </w:pPr>
    </w:p>
    <w:p w14:paraId="54FF8944" w14:textId="42746028" w:rsidR="001C0061" w:rsidRDefault="001C0061" w:rsidP="00695B24">
      <w:pPr>
        <w:ind w:firstLine="851"/>
        <w:jc w:val="both"/>
      </w:pPr>
    </w:p>
    <w:p w14:paraId="0599BC0C" w14:textId="49EEA68E" w:rsidR="001C0061" w:rsidRDefault="001C0061" w:rsidP="00695B24">
      <w:pPr>
        <w:ind w:firstLine="851"/>
        <w:jc w:val="both"/>
      </w:pPr>
    </w:p>
    <w:p w14:paraId="63786A07" w14:textId="77777777" w:rsidR="001C0061" w:rsidRDefault="001C0061" w:rsidP="00695B24">
      <w:pPr>
        <w:ind w:firstLine="851"/>
        <w:jc w:val="both"/>
      </w:pPr>
    </w:p>
    <w:p w14:paraId="1B0F73C6" w14:textId="6D56F172" w:rsidR="00FB6968" w:rsidRDefault="00FF06FD" w:rsidP="00FB6968">
      <w:pPr>
        <w:ind w:firstLine="851"/>
        <w:jc w:val="center"/>
        <w:rPr>
          <w:b/>
          <w:sz w:val="20"/>
        </w:rPr>
      </w:pPr>
      <w:r>
        <w:rPr>
          <w:b/>
          <w:sz w:val="20"/>
        </w:rPr>
        <w:lastRenderedPageBreak/>
        <w:t>Figure No. 16</w:t>
      </w:r>
      <w:r w:rsidR="00FB6968">
        <w:rPr>
          <w:b/>
          <w:sz w:val="20"/>
        </w:rPr>
        <w:t xml:space="preserve">. Changes in volumes of </w:t>
      </w:r>
      <w:r w:rsidR="00FB6968" w:rsidRPr="00FB6968">
        <w:rPr>
          <w:b/>
          <w:sz w:val="20"/>
        </w:rPr>
        <w:t>railway</w:t>
      </w:r>
      <w:r w:rsidR="00FB6968">
        <w:rPr>
          <w:b/>
          <w:sz w:val="20"/>
        </w:rPr>
        <w:t xml:space="preserve"> construction products in the transport subsector before 2018 and forecasts from 2019 to 2023, cumulative changes compared to 2018, </w:t>
      </w:r>
      <w:proofErr w:type="gramStart"/>
      <w:r w:rsidR="00FB6968">
        <w:rPr>
          <w:b/>
          <w:sz w:val="20"/>
        </w:rPr>
        <w:t>%</w:t>
      </w:r>
      <w:proofErr w:type="gramEnd"/>
    </w:p>
    <w:p w14:paraId="6FB7ADA4" w14:textId="6C4C2AC6" w:rsidR="00695B24" w:rsidRDefault="00600F7A" w:rsidP="00695B24">
      <w:pPr>
        <w:ind w:firstLine="851"/>
        <w:jc w:val="both"/>
      </w:pPr>
      <w:r w:rsidRPr="00600F7A">
        <w:rPr>
          <w:noProof/>
          <w:lang w:val="en-US"/>
        </w:rPr>
        <w:drawing>
          <wp:inline distT="0" distB="0" distL="0" distR="0" wp14:anchorId="4111E644" wp14:editId="2E670C3E">
            <wp:extent cx="4826354" cy="3370520"/>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42042" cy="3381476"/>
                    </a:xfrm>
                    <a:prstGeom prst="rect">
                      <a:avLst/>
                    </a:prstGeom>
                  </pic:spPr>
                </pic:pic>
              </a:graphicData>
            </a:graphic>
          </wp:inline>
        </w:drawing>
      </w:r>
    </w:p>
    <w:p w14:paraId="36C2C3E5" w14:textId="2E1233D2" w:rsidR="00B6345E" w:rsidRDefault="00230E23" w:rsidP="00600F7A">
      <w:pPr>
        <w:ind w:firstLine="851"/>
        <w:jc w:val="center"/>
      </w:pPr>
      <w:r>
        <w:rPr>
          <w:sz w:val="20"/>
        </w:rPr>
        <w:t xml:space="preserve">Source: CSB historical data before 2018 (inclusive) and calculations made by authors, based on expert </w:t>
      </w:r>
      <w:r w:rsidR="00FF06FD">
        <w:rPr>
          <w:sz w:val="20"/>
        </w:rPr>
        <w:t>assessments</w:t>
      </w:r>
      <w:r w:rsidRPr="00230E23">
        <w:rPr>
          <w:sz w:val="20"/>
        </w:rPr>
        <w:t xml:space="preserve"> </w:t>
      </w:r>
      <w:r>
        <w:rPr>
          <w:sz w:val="20"/>
        </w:rPr>
        <w:t>– forecast for 2019-2022</w:t>
      </w:r>
    </w:p>
    <w:p w14:paraId="79EED4B4" w14:textId="2AB98338" w:rsidR="00FB6968" w:rsidRDefault="00C56F65" w:rsidP="00695B24">
      <w:pPr>
        <w:ind w:firstLine="851"/>
        <w:jc w:val="both"/>
      </w:pPr>
      <w:r>
        <w:t>Considering</w:t>
      </w:r>
      <w:r w:rsidRPr="00C56F65">
        <w:t xml:space="preserve"> the projected </w:t>
      </w:r>
      <w:r>
        <w:t xml:space="preserve">construction </w:t>
      </w:r>
      <w:r w:rsidRPr="00C56F65">
        <w:t xml:space="preserve">volume changes in the railway and road infrastructure </w:t>
      </w:r>
      <w:r>
        <w:t>sub</w:t>
      </w:r>
      <w:r w:rsidRPr="00C56F65">
        <w:t>sector</w:t>
      </w:r>
      <w:r>
        <w:t>s</w:t>
      </w:r>
      <w:r w:rsidRPr="00C56F65">
        <w:t xml:space="preserve">, a variable dynamics and uneven developments in construction volumes </w:t>
      </w:r>
      <w:proofErr w:type="gramStart"/>
      <w:r w:rsidRPr="00C56F65">
        <w:t>are expect</w:t>
      </w:r>
      <w:r>
        <w:t>ed</w:t>
      </w:r>
      <w:proofErr w:type="gramEnd"/>
      <w:r>
        <w:t xml:space="preserve"> throughout the transport sub</w:t>
      </w:r>
      <w:r w:rsidRPr="00C56F65">
        <w:t>sector as a whole betw</w:t>
      </w:r>
      <w:r w:rsidR="001C69AF">
        <w:t>een 2019 and 2022</w:t>
      </w:r>
      <w:r w:rsidR="009432C0">
        <w:t xml:space="preserve"> (see Figure 17</w:t>
      </w:r>
      <w:r w:rsidRPr="00C56F65">
        <w:t>).</w:t>
      </w:r>
    </w:p>
    <w:p w14:paraId="4A67C764" w14:textId="008E0C78" w:rsidR="00C56F65" w:rsidRDefault="009432C0" w:rsidP="00C56F65">
      <w:pPr>
        <w:ind w:firstLine="851"/>
        <w:jc w:val="center"/>
      </w:pPr>
      <w:r>
        <w:rPr>
          <w:b/>
          <w:sz w:val="20"/>
        </w:rPr>
        <w:t>Figure No. 17</w:t>
      </w:r>
      <w:r w:rsidR="00C56F65">
        <w:rPr>
          <w:b/>
          <w:sz w:val="20"/>
        </w:rPr>
        <w:t>. Changes in volumes of construction products in the transport subsector before 2018</w:t>
      </w:r>
      <w:r w:rsidR="00FF06FD">
        <w:rPr>
          <w:b/>
          <w:sz w:val="20"/>
        </w:rPr>
        <w:t xml:space="preserve"> and forecasts from 2019 to 2022</w:t>
      </w:r>
      <w:r w:rsidR="00C56F65">
        <w:rPr>
          <w:b/>
          <w:sz w:val="20"/>
        </w:rPr>
        <w:t xml:space="preserve">, cumulative changes compared to 2018, </w:t>
      </w:r>
      <w:proofErr w:type="gramStart"/>
      <w:r w:rsidR="00C56F65">
        <w:rPr>
          <w:b/>
          <w:sz w:val="20"/>
        </w:rPr>
        <w:t>%</w:t>
      </w:r>
      <w:proofErr w:type="gramEnd"/>
    </w:p>
    <w:p w14:paraId="0A59140F" w14:textId="3C25891F" w:rsidR="00C56F65" w:rsidRDefault="00600F7A" w:rsidP="00C56F65">
      <w:pPr>
        <w:ind w:firstLine="851"/>
        <w:jc w:val="both"/>
      </w:pPr>
      <w:r w:rsidRPr="00600F7A">
        <w:rPr>
          <w:noProof/>
          <w:lang w:val="en-US"/>
        </w:rPr>
        <w:drawing>
          <wp:inline distT="0" distB="0" distL="0" distR="0" wp14:anchorId="070A3917" wp14:editId="6E988DCD">
            <wp:extent cx="4624306" cy="3211032"/>
            <wp:effectExtent l="0" t="0" r="508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43092" cy="3224077"/>
                    </a:xfrm>
                    <a:prstGeom prst="rect">
                      <a:avLst/>
                    </a:prstGeom>
                  </pic:spPr>
                </pic:pic>
              </a:graphicData>
            </a:graphic>
          </wp:inline>
        </w:drawing>
      </w:r>
    </w:p>
    <w:p w14:paraId="2F9AF024" w14:textId="4C582ABD" w:rsidR="00C56F65" w:rsidRDefault="00C56F65" w:rsidP="001C0061">
      <w:pPr>
        <w:ind w:firstLine="851"/>
        <w:jc w:val="center"/>
        <w:rPr>
          <w:rFonts w:cs="Times New Roman"/>
          <w:szCs w:val="22"/>
        </w:rPr>
      </w:pPr>
      <w:r>
        <w:rPr>
          <w:sz w:val="20"/>
        </w:rPr>
        <w:t>Source: CSB historical data before 2018 (inclusive) and calculations made by authors, based on expert evaluations and developed</w:t>
      </w:r>
      <w:r w:rsidR="001C69AF">
        <w:rPr>
          <w:sz w:val="20"/>
        </w:rPr>
        <w:t xml:space="preserve"> models – forecast for 2019-2022</w:t>
      </w:r>
    </w:p>
    <w:p w14:paraId="66179980" w14:textId="1E83C6FE" w:rsidR="004B67D0" w:rsidRPr="004B67D0" w:rsidRDefault="004B67D0" w:rsidP="004B67D0">
      <w:pPr>
        <w:ind w:firstLine="851"/>
        <w:jc w:val="both"/>
        <w:rPr>
          <w:rFonts w:cs="Times New Roman"/>
          <w:szCs w:val="22"/>
        </w:rPr>
      </w:pPr>
      <w:r w:rsidRPr="004B67D0">
        <w:rPr>
          <w:rFonts w:cs="Times New Roman"/>
          <w:szCs w:val="22"/>
        </w:rPr>
        <w:lastRenderedPageBreak/>
        <w:t xml:space="preserve">Cumulative changes in construction </w:t>
      </w:r>
      <w:r>
        <w:rPr>
          <w:rFonts w:cs="Times New Roman"/>
          <w:szCs w:val="22"/>
        </w:rPr>
        <w:t>volume</w:t>
      </w:r>
      <w:r w:rsidRPr="004B67D0">
        <w:rPr>
          <w:rFonts w:cs="Times New Roman"/>
          <w:szCs w:val="22"/>
        </w:rPr>
        <w:t xml:space="preserve"> against 2018 foresee an increase of 16.9% in 2019, a decreas</w:t>
      </w:r>
      <w:r>
        <w:rPr>
          <w:rFonts w:cs="Times New Roman"/>
          <w:szCs w:val="22"/>
        </w:rPr>
        <w:t>e in growth in 2020 and 2021 will be</w:t>
      </w:r>
      <w:r w:rsidRPr="004B67D0">
        <w:rPr>
          <w:rFonts w:cs="Times New Roman"/>
          <w:szCs w:val="22"/>
        </w:rPr>
        <w:t xml:space="preserve"> 7.5% </w:t>
      </w:r>
      <w:r>
        <w:rPr>
          <w:rFonts w:cs="Times New Roman"/>
          <w:szCs w:val="22"/>
        </w:rPr>
        <w:t xml:space="preserve">and 3.3% </w:t>
      </w:r>
      <w:r w:rsidRPr="004B67D0">
        <w:rPr>
          <w:rFonts w:cs="Times New Roman"/>
          <w:szCs w:val="22"/>
        </w:rPr>
        <w:t xml:space="preserve">respectively, and a growth of 13.5% in 2022. </w:t>
      </w:r>
      <w:r w:rsidR="001C69AF" w:rsidRPr="00F834E4">
        <w:t>The data for the 2023 forecasts were too controversial to put forward a certain trend.</w:t>
      </w:r>
    </w:p>
    <w:p w14:paraId="174A7C58" w14:textId="37D7CF91" w:rsidR="00C56F65" w:rsidRDefault="0021260E" w:rsidP="004B67D0">
      <w:pPr>
        <w:ind w:firstLine="851"/>
        <w:jc w:val="both"/>
        <w:rPr>
          <w:rFonts w:cs="Times New Roman"/>
          <w:szCs w:val="22"/>
        </w:rPr>
      </w:pPr>
      <w:r>
        <w:rPr>
          <w:rFonts w:cs="Times New Roman"/>
          <w:szCs w:val="22"/>
        </w:rPr>
        <w:t>I</w:t>
      </w:r>
      <w:r w:rsidR="004B67D0" w:rsidRPr="004B67D0">
        <w:rPr>
          <w:rFonts w:cs="Times New Roman"/>
          <w:szCs w:val="22"/>
        </w:rPr>
        <w:t>t is important to take into accou</w:t>
      </w:r>
      <w:r>
        <w:rPr>
          <w:rFonts w:cs="Times New Roman"/>
          <w:szCs w:val="22"/>
        </w:rPr>
        <w:t xml:space="preserve">nt the fact that </w:t>
      </w:r>
      <w:r w:rsidR="004B67D0" w:rsidRPr="004B67D0">
        <w:rPr>
          <w:rFonts w:cs="Times New Roman"/>
          <w:szCs w:val="22"/>
        </w:rPr>
        <w:t>road and rai</w:t>
      </w:r>
      <w:r w:rsidR="00A327A5">
        <w:rPr>
          <w:rFonts w:cs="Times New Roman"/>
          <w:szCs w:val="22"/>
        </w:rPr>
        <w:t>l</w:t>
      </w:r>
      <w:r>
        <w:rPr>
          <w:rFonts w:cs="Times New Roman"/>
          <w:szCs w:val="22"/>
        </w:rPr>
        <w:t xml:space="preserve">way </w:t>
      </w:r>
      <w:r w:rsidR="00A327A5">
        <w:rPr>
          <w:rFonts w:cs="Times New Roman"/>
          <w:szCs w:val="22"/>
        </w:rPr>
        <w:t>construction areas</w:t>
      </w:r>
      <w:r w:rsidR="004B67D0" w:rsidRPr="004B67D0">
        <w:rPr>
          <w:rFonts w:cs="Times New Roman"/>
          <w:szCs w:val="22"/>
        </w:rPr>
        <w:t xml:space="preserve"> have a minimal overlap between them. This means that the increase in construction volume in one of these areas has little impact on the other. </w:t>
      </w:r>
    </w:p>
    <w:p w14:paraId="2BBFEBED" w14:textId="3B9F4796" w:rsidR="00D057FE" w:rsidRDefault="00D057FE" w:rsidP="00D057FE">
      <w:pPr>
        <w:ind w:firstLine="851"/>
        <w:jc w:val="both"/>
      </w:pPr>
      <w:r>
        <w:t xml:space="preserve">During the period when the construction </w:t>
      </w:r>
      <w:r w:rsidR="000974E6">
        <w:t xml:space="preserve">volume </w:t>
      </w:r>
      <w:r>
        <w:t xml:space="preserve">of railway infrastructure is expected to increase </w:t>
      </w:r>
      <w:r w:rsidR="000974E6">
        <w:t>due</w:t>
      </w:r>
      <w:r>
        <w:t xml:space="preserve"> to the launch of major projects (</w:t>
      </w:r>
      <w:proofErr w:type="spellStart"/>
      <w:r>
        <w:t>RailBaltca</w:t>
      </w:r>
      <w:proofErr w:type="spellEnd"/>
      <w:r>
        <w:t>, electrification of the railway, etc.), r</w:t>
      </w:r>
      <w:r w:rsidR="000974E6">
        <w:t>oad infrastructure construction is expected t</w:t>
      </w:r>
      <w:r w:rsidR="009432C0">
        <w:t>o decrease between 2020 and 2022</w:t>
      </w:r>
      <w:r w:rsidR="000974E6">
        <w:t>, as</w:t>
      </w:r>
      <w:r>
        <w:t xml:space="preserve"> flow of </w:t>
      </w:r>
      <w:r w:rsidR="000974E6">
        <w:t>EU funding stops.</w:t>
      </w:r>
      <w:r>
        <w:t xml:space="preserve"> </w:t>
      </w:r>
      <w:r w:rsidR="000974E6">
        <w:t>T</w:t>
      </w:r>
      <w:r>
        <w:t xml:space="preserve">he construction sector of the road infrastructure depends </w:t>
      </w:r>
      <w:r w:rsidR="000974E6">
        <w:t>largely</w:t>
      </w:r>
      <w:r>
        <w:t xml:space="preserve"> on projects</w:t>
      </w:r>
      <w:r w:rsidR="000974E6">
        <w:t xml:space="preserve"> financed by the European Union. </w:t>
      </w:r>
      <w:r w:rsidR="009432C0">
        <w:t>Significant construction volume decrease</w:t>
      </w:r>
      <w:r>
        <w:t xml:space="preserve"> in road infrastru</w:t>
      </w:r>
      <w:r w:rsidR="000974E6">
        <w:t xml:space="preserve">cture could result in </w:t>
      </w:r>
      <w:r>
        <w:t>skilled workers</w:t>
      </w:r>
      <w:r w:rsidR="00887773">
        <w:t xml:space="preserve"> going abroad</w:t>
      </w:r>
      <w:r w:rsidR="009432C0">
        <w:t>. This could</w:t>
      </w:r>
      <w:r>
        <w:t xml:space="preserve"> </w:t>
      </w:r>
      <w:r w:rsidR="00887773">
        <w:t>lead</w:t>
      </w:r>
      <w:r>
        <w:t xml:space="preserve"> to a shortage of labour and an increase in costs</w:t>
      </w:r>
      <w:r w:rsidR="00887773">
        <w:t xml:space="preserve"> later,</w:t>
      </w:r>
      <w:r>
        <w:t xml:space="preserve"> when construction volumes will rise again.</w:t>
      </w:r>
    </w:p>
    <w:p w14:paraId="5A790511" w14:textId="2D3F2F23" w:rsidR="00D057FE" w:rsidRDefault="00D057FE" w:rsidP="00D057FE">
      <w:pPr>
        <w:ind w:firstLine="851"/>
        <w:jc w:val="both"/>
      </w:pPr>
      <w:r>
        <w:t xml:space="preserve">The increase in construction costs in the transport </w:t>
      </w:r>
      <w:r w:rsidR="00887773">
        <w:t>sub</w:t>
      </w:r>
      <w:r>
        <w:t xml:space="preserve">sector is expected to </w:t>
      </w:r>
      <w:r w:rsidR="00887773">
        <w:t xml:space="preserve">be </w:t>
      </w:r>
      <w:r>
        <w:t xml:space="preserve">close to 2018 </w:t>
      </w:r>
      <w:r w:rsidR="00887773">
        <w:t xml:space="preserve">level </w:t>
      </w:r>
      <w:r w:rsidR="009432C0">
        <w:t>throughout the period 2019-2022</w:t>
      </w:r>
      <w:r>
        <w:t xml:space="preserve">, with cumulative changes to 2018 expected to increase by 4.1% in 2019, by 3.1% in 2020, by 1.1% in 2022 </w:t>
      </w:r>
      <w:r w:rsidR="009432C0">
        <w:t>(see Figure 18</w:t>
      </w:r>
      <w:r>
        <w:t>).</w:t>
      </w:r>
    </w:p>
    <w:p w14:paraId="51CC9AB9" w14:textId="77B67017" w:rsidR="00887773" w:rsidRDefault="00835592" w:rsidP="00887773">
      <w:pPr>
        <w:ind w:firstLine="851"/>
        <w:jc w:val="center"/>
      </w:pPr>
      <w:r>
        <w:rPr>
          <w:b/>
          <w:sz w:val="20"/>
        </w:rPr>
        <w:t>Figure No. 18</w:t>
      </w:r>
      <w:r w:rsidR="00887773">
        <w:rPr>
          <w:b/>
          <w:sz w:val="20"/>
        </w:rPr>
        <w:t>. Changes in construction costs in the transport subsector before 2018</w:t>
      </w:r>
      <w:r w:rsidR="009432C0">
        <w:rPr>
          <w:b/>
          <w:sz w:val="20"/>
        </w:rPr>
        <w:t xml:space="preserve"> and forecasts from 2019 to 2022</w:t>
      </w:r>
      <w:r w:rsidR="00887773">
        <w:rPr>
          <w:b/>
          <w:sz w:val="20"/>
        </w:rPr>
        <w:t xml:space="preserve">, cumulative changes compared to 2018, </w:t>
      </w:r>
      <w:proofErr w:type="gramStart"/>
      <w:r w:rsidR="00887773">
        <w:rPr>
          <w:b/>
          <w:sz w:val="20"/>
        </w:rPr>
        <w:t>%</w:t>
      </w:r>
      <w:proofErr w:type="gramEnd"/>
    </w:p>
    <w:p w14:paraId="3158844C" w14:textId="2F22EFEC" w:rsidR="00887773" w:rsidRDefault="005B49E2" w:rsidP="00887773">
      <w:pPr>
        <w:jc w:val="center"/>
      </w:pPr>
      <w:r w:rsidRPr="005B49E2">
        <w:rPr>
          <w:noProof/>
          <w:lang w:val="en-US"/>
        </w:rPr>
        <w:drawing>
          <wp:inline distT="0" distB="0" distL="0" distR="0" wp14:anchorId="6A5AF49E" wp14:editId="07BC0590">
            <wp:extent cx="4848219" cy="339178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68542" cy="3406004"/>
                    </a:xfrm>
                    <a:prstGeom prst="rect">
                      <a:avLst/>
                    </a:prstGeom>
                  </pic:spPr>
                </pic:pic>
              </a:graphicData>
            </a:graphic>
          </wp:inline>
        </w:drawing>
      </w:r>
    </w:p>
    <w:p w14:paraId="2BD83053" w14:textId="5F71C709" w:rsidR="00887773" w:rsidRDefault="00887773" w:rsidP="00887773">
      <w:pPr>
        <w:ind w:firstLine="851"/>
        <w:jc w:val="center"/>
        <w:rPr>
          <w:sz w:val="20"/>
        </w:rPr>
      </w:pPr>
      <w:r>
        <w:rPr>
          <w:sz w:val="20"/>
        </w:rPr>
        <w:t>Source: CSB historical data before 2018 (inclusive) and calculations made by authors, based on expert evaluations and developed</w:t>
      </w:r>
      <w:r w:rsidR="009432C0">
        <w:rPr>
          <w:sz w:val="20"/>
        </w:rPr>
        <w:t xml:space="preserve"> models – forecast for 2019-2022</w:t>
      </w:r>
    </w:p>
    <w:p w14:paraId="1A464EC9" w14:textId="1B6B34F2" w:rsidR="00BE2787" w:rsidRDefault="00A308BF" w:rsidP="00FD3359">
      <w:pPr>
        <w:ind w:firstLine="851"/>
        <w:jc w:val="both"/>
      </w:pPr>
      <w:r>
        <w:rPr>
          <w:rFonts w:cs="Times New Roman"/>
          <w:szCs w:val="22"/>
        </w:rPr>
        <w:t>In the 1</w:t>
      </w:r>
      <w:r w:rsidRPr="00A308BF">
        <w:rPr>
          <w:rFonts w:cs="Times New Roman"/>
          <w:szCs w:val="22"/>
          <w:vertAlign w:val="superscript"/>
        </w:rPr>
        <w:t>st</w:t>
      </w:r>
      <w:r>
        <w:rPr>
          <w:rFonts w:cs="Times New Roman"/>
          <w:szCs w:val="22"/>
        </w:rPr>
        <w:t xml:space="preserve"> quarter of 2019 </w:t>
      </w:r>
      <w:r w:rsidRPr="00A308BF">
        <w:rPr>
          <w:rFonts w:cs="Times New Roman"/>
          <w:szCs w:val="22"/>
        </w:rPr>
        <w:t>constructi</w:t>
      </w:r>
      <w:r>
        <w:rPr>
          <w:rFonts w:cs="Times New Roman"/>
          <w:szCs w:val="22"/>
        </w:rPr>
        <w:t>on costs of transport objects</w:t>
      </w:r>
      <w:r w:rsidRPr="00A308BF">
        <w:rPr>
          <w:rFonts w:cs="Times New Roman"/>
          <w:szCs w:val="22"/>
        </w:rPr>
        <w:t xml:space="preserve"> increased by 5.5% compared to </w:t>
      </w:r>
      <w:r>
        <w:rPr>
          <w:rFonts w:cs="Times New Roman"/>
          <w:szCs w:val="22"/>
        </w:rPr>
        <w:t>1</w:t>
      </w:r>
      <w:r w:rsidRPr="00A308BF">
        <w:rPr>
          <w:rFonts w:cs="Times New Roman"/>
          <w:szCs w:val="22"/>
          <w:vertAlign w:val="superscript"/>
        </w:rPr>
        <w:t>st</w:t>
      </w:r>
      <w:r>
        <w:rPr>
          <w:rFonts w:cs="Times New Roman"/>
          <w:szCs w:val="22"/>
        </w:rPr>
        <w:t xml:space="preserve"> quarter of 2018 a</w:t>
      </w:r>
      <w:r w:rsidRPr="00A308BF">
        <w:rPr>
          <w:rFonts w:cs="Times New Roman"/>
          <w:szCs w:val="22"/>
        </w:rPr>
        <w:t>ccording to CSB data, which is slightly higher than the combined forecast for 2019 as a whole.</w:t>
      </w:r>
      <w:r w:rsidR="00646245">
        <w:rPr>
          <w:rFonts w:cs="Times New Roman"/>
          <w:szCs w:val="22"/>
        </w:rPr>
        <w:t xml:space="preserve"> </w:t>
      </w:r>
      <w:r w:rsidR="00646245" w:rsidRPr="00646245">
        <w:rPr>
          <w:rFonts w:cs="Times New Roman"/>
          <w:szCs w:val="22"/>
        </w:rPr>
        <w:t xml:space="preserve">It </w:t>
      </w:r>
      <w:proofErr w:type="gramStart"/>
      <w:r w:rsidR="00646245" w:rsidRPr="00646245">
        <w:rPr>
          <w:rFonts w:cs="Times New Roman"/>
          <w:szCs w:val="22"/>
        </w:rPr>
        <w:t>should also be noted</w:t>
      </w:r>
      <w:proofErr w:type="gramEnd"/>
      <w:r w:rsidR="00646245" w:rsidRPr="00646245">
        <w:rPr>
          <w:rFonts w:cs="Times New Roman"/>
          <w:szCs w:val="22"/>
        </w:rPr>
        <w:t xml:space="preserve"> that, </w:t>
      </w:r>
      <w:r w:rsidR="00646245">
        <w:rPr>
          <w:rFonts w:cs="Times New Roman"/>
          <w:szCs w:val="22"/>
        </w:rPr>
        <w:t>when</w:t>
      </w:r>
      <w:r w:rsidR="00646245" w:rsidRPr="00646245">
        <w:rPr>
          <w:rFonts w:cs="Times New Roman"/>
          <w:szCs w:val="22"/>
        </w:rPr>
        <w:t xml:space="preserve"> major infrastructure projects </w:t>
      </w:r>
      <w:r w:rsidR="00646245">
        <w:rPr>
          <w:rFonts w:cs="Times New Roman"/>
          <w:szCs w:val="22"/>
        </w:rPr>
        <w:t xml:space="preserve">are launched </w:t>
      </w:r>
      <w:r w:rsidR="00646245" w:rsidRPr="00646245">
        <w:rPr>
          <w:rFonts w:cs="Times New Roman"/>
          <w:szCs w:val="22"/>
        </w:rPr>
        <w:t xml:space="preserve">before or after 2023, the inadequately high demand for the supply of resources could lead to </w:t>
      </w:r>
      <w:r w:rsidR="00646245">
        <w:rPr>
          <w:rFonts w:cs="Times New Roman"/>
          <w:szCs w:val="22"/>
        </w:rPr>
        <w:t>cost increase</w:t>
      </w:r>
      <w:r w:rsidR="00646245" w:rsidRPr="00646245">
        <w:rPr>
          <w:rFonts w:cs="Times New Roman"/>
          <w:szCs w:val="22"/>
        </w:rPr>
        <w:t>.</w:t>
      </w:r>
      <w:r w:rsidR="001C0061">
        <w:rPr>
          <w:rFonts w:cs="Times New Roman"/>
          <w:szCs w:val="22"/>
        </w:rPr>
        <w:t xml:space="preserve"> </w:t>
      </w:r>
    </w:p>
    <w:p w14:paraId="55C824C8" w14:textId="43BA2858" w:rsidR="00FD3359" w:rsidRPr="00B2521E" w:rsidRDefault="00FD3359" w:rsidP="00895643">
      <w:pPr>
        <w:ind w:firstLine="851"/>
        <w:jc w:val="both"/>
      </w:pPr>
      <w:r>
        <w:t xml:space="preserve">Opinions of experts in subsectors by types of resources show that the most important factors of changes in costs of labour force and construction materials </w:t>
      </w:r>
      <w:proofErr w:type="gramStart"/>
      <w:r>
        <w:t>are related</w:t>
      </w:r>
      <w:proofErr w:type="gramEnd"/>
      <w:r>
        <w:t xml:space="preserve"> to public construction plans – predictability, distribution of finances and regional distribution and volumes.</w:t>
      </w:r>
    </w:p>
    <w:p w14:paraId="7A37E42B" w14:textId="57AA93FB" w:rsidR="00FD3359" w:rsidRPr="00B2521E" w:rsidRDefault="00FD3359" w:rsidP="00895643">
      <w:pPr>
        <w:ind w:firstLine="851"/>
        <w:jc w:val="both"/>
      </w:pPr>
      <w:r>
        <w:lastRenderedPageBreak/>
        <w:t xml:space="preserve">As to changes in labour costs, the implementation of the Rail </w:t>
      </w:r>
      <w:proofErr w:type="spellStart"/>
      <w:r>
        <w:t>Baltica</w:t>
      </w:r>
      <w:proofErr w:type="spellEnd"/>
      <w:r>
        <w:t xml:space="preserve"> project was also mentioned along with the availability of construction materials near the construction sites, which is mentioned among the most important factors of </w:t>
      </w:r>
      <w:r>
        <w:rPr>
          <w:rStyle w:val="st"/>
        </w:rPr>
        <w:t>changes</w:t>
      </w:r>
      <w:r>
        <w:t xml:space="preserve"> in costs of construction materials.</w:t>
      </w:r>
    </w:p>
    <w:p w14:paraId="4D394BD1" w14:textId="0DF5C158" w:rsidR="00FD3359" w:rsidRPr="00B2521E" w:rsidRDefault="00FD3359" w:rsidP="00895643">
      <w:pPr>
        <w:ind w:firstLine="851"/>
        <w:jc w:val="both"/>
      </w:pPr>
      <w:r>
        <w:t xml:space="preserve">The volume of construction products in the country is also mentioned as one of the factors </w:t>
      </w:r>
      <w:r>
        <w:rPr>
          <w:rStyle w:val="st"/>
        </w:rPr>
        <w:t>affecting changes</w:t>
      </w:r>
      <w:r>
        <w:t xml:space="preserve"> in costs of construction materials, however it is not the priority factor.</w:t>
      </w:r>
    </w:p>
    <w:p w14:paraId="389DD2C2" w14:textId="45FBE01F" w:rsidR="00FD3359" w:rsidRPr="00B2521E" w:rsidRDefault="00FD3359" w:rsidP="00FD3359">
      <w:pPr>
        <w:jc w:val="center"/>
        <w:rPr>
          <w:rFonts w:cs="Arial"/>
          <w:b/>
          <w:bCs/>
          <w:color w:val="222222"/>
          <w:sz w:val="20"/>
          <w:szCs w:val="18"/>
        </w:rPr>
      </w:pPr>
      <w:r>
        <w:rPr>
          <w:b/>
          <w:bCs/>
          <w:sz w:val="20"/>
          <w:szCs w:val="18"/>
        </w:rPr>
        <w:t>Table</w:t>
      </w:r>
      <w:r>
        <w:rPr>
          <w:b/>
          <w:bCs/>
          <w:color w:val="222222"/>
          <w:sz w:val="20"/>
          <w:szCs w:val="18"/>
        </w:rPr>
        <w:t xml:space="preserve"> No. 8. Factors affecting changes in costs of labour force and construction materials in the construction subsector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FD3359" w:rsidRPr="00B2521E" w14:paraId="723C88CF" w14:textId="77777777" w:rsidTr="000951FF">
        <w:trPr>
          <w:trHeight w:val="300"/>
        </w:trPr>
        <w:tc>
          <w:tcPr>
            <w:tcW w:w="7650" w:type="dxa"/>
            <w:shd w:val="clear" w:color="auto" w:fill="1F3763"/>
            <w:noWrap/>
          </w:tcPr>
          <w:p w14:paraId="19AB2D2D" w14:textId="6AD1DA3A" w:rsidR="00FD3359" w:rsidRPr="00B2521E" w:rsidRDefault="00FD3359" w:rsidP="000951F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labour force in the subsector of construction of transport objects</w:t>
            </w:r>
          </w:p>
        </w:tc>
        <w:tc>
          <w:tcPr>
            <w:tcW w:w="1701" w:type="dxa"/>
            <w:shd w:val="clear" w:color="auto" w:fill="1F3763"/>
            <w:vAlign w:val="bottom"/>
          </w:tcPr>
          <w:p w14:paraId="56F0E2E0" w14:textId="77777777" w:rsidR="00FD3359" w:rsidRPr="00B2521E" w:rsidRDefault="00FD3359" w:rsidP="000951F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FD3359" w:rsidRPr="00B2521E" w14:paraId="58189726" w14:textId="77777777" w:rsidTr="000951FF">
        <w:trPr>
          <w:trHeight w:val="300"/>
        </w:trPr>
        <w:tc>
          <w:tcPr>
            <w:tcW w:w="7650" w:type="dxa"/>
            <w:shd w:val="clear" w:color="auto" w:fill="auto"/>
            <w:noWrap/>
            <w:hideMark/>
          </w:tcPr>
          <w:p w14:paraId="17595A73" w14:textId="77777777" w:rsidR="00FD3359" w:rsidRPr="00B2521E" w:rsidRDefault="00FD3359" w:rsidP="000951FF">
            <w:pPr>
              <w:spacing w:before="0" w:after="0"/>
              <w:rPr>
                <w:rFonts w:cstheme="minorHAnsi"/>
                <w:color w:val="000000"/>
                <w:sz w:val="18"/>
                <w:szCs w:val="18"/>
              </w:rPr>
            </w:pPr>
            <w:r>
              <w:rPr>
                <w:color w:val="000000"/>
                <w:sz w:val="18"/>
                <w:szCs w:val="18"/>
              </w:rPr>
              <w:t>Unpredictable amount of financing in the long term and in the medium term (in the state road network and in local government)</w:t>
            </w:r>
          </w:p>
        </w:tc>
        <w:tc>
          <w:tcPr>
            <w:tcW w:w="1701" w:type="dxa"/>
            <w:shd w:val="clear" w:color="auto" w:fill="auto"/>
            <w:hideMark/>
          </w:tcPr>
          <w:p w14:paraId="59EF9AF5" w14:textId="77777777" w:rsidR="00FD3359" w:rsidRPr="00B2521E" w:rsidRDefault="00FD3359" w:rsidP="000951FF">
            <w:pPr>
              <w:spacing w:before="0" w:after="0"/>
              <w:jc w:val="center"/>
              <w:rPr>
                <w:rFonts w:cstheme="minorHAnsi"/>
                <w:color w:val="000000"/>
                <w:sz w:val="18"/>
                <w:szCs w:val="18"/>
              </w:rPr>
            </w:pPr>
            <w:r>
              <w:rPr>
                <w:color w:val="000000"/>
                <w:sz w:val="18"/>
                <w:szCs w:val="18"/>
              </w:rPr>
              <w:t>10.00</w:t>
            </w:r>
          </w:p>
        </w:tc>
      </w:tr>
      <w:tr w:rsidR="00FD3359" w:rsidRPr="00B2521E" w14:paraId="2AB170C5" w14:textId="77777777" w:rsidTr="000951FF">
        <w:trPr>
          <w:trHeight w:val="300"/>
        </w:trPr>
        <w:tc>
          <w:tcPr>
            <w:tcW w:w="7650" w:type="dxa"/>
            <w:shd w:val="clear" w:color="auto" w:fill="auto"/>
            <w:noWrap/>
            <w:hideMark/>
          </w:tcPr>
          <w:p w14:paraId="426B6718" w14:textId="77777777" w:rsidR="00FD3359" w:rsidRPr="00B2521E" w:rsidRDefault="00FD3359" w:rsidP="000951FF">
            <w:pPr>
              <w:spacing w:before="0" w:after="0"/>
              <w:rPr>
                <w:rFonts w:cstheme="minorHAnsi"/>
                <w:color w:val="000000"/>
                <w:sz w:val="18"/>
                <w:szCs w:val="18"/>
              </w:rPr>
            </w:pPr>
            <w:r>
              <w:rPr>
                <w:color w:val="000000"/>
                <w:sz w:val="18"/>
                <w:szCs w:val="18"/>
              </w:rPr>
              <w:t>Uneven attraction/planning/use of EU funds in the construction industry within the programming period</w:t>
            </w:r>
          </w:p>
        </w:tc>
        <w:tc>
          <w:tcPr>
            <w:tcW w:w="1701" w:type="dxa"/>
            <w:shd w:val="clear" w:color="auto" w:fill="auto"/>
            <w:hideMark/>
          </w:tcPr>
          <w:p w14:paraId="2D5ED8D7" w14:textId="77777777" w:rsidR="00FD3359" w:rsidRPr="00B2521E" w:rsidRDefault="00FD3359" w:rsidP="000951FF">
            <w:pPr>
              <w:spacing w:before="0" w:after="0"/>
              <w:jc w:val="center"/>
              <w:rPr>
                <w:rFonts w:cstheme="minorHAnsi"/>
                <w:color w:val="000000"/>
                <w:sz w:val="18"/>
                <w:szCs w:val="18"/>
              </w:rPr>
            </w:pPr>
            <w:r>
              <w:rPr>
                <w:color w:val="000000"/>
                <w:sz w:val="18"/>
                <w:szCs w:val="18"/>
              </w:rPr>
              <w:t>10.00</w:t>
            </w:r>
          </w:p>
        </w:tc>
      </w:tr>
      <w:tr w:rsidR="00FD3359" w:rsidRPr="00B2521E" w14:paraId="15B6B946" w14:textId="77777777" w:rsidTr="000951FF">
        <w:trPr>
          <w:trHeight w:val="300"/>
        </w:trPr>
        <w:tc>
          <w:tcPr>
            <w:tcW w:w="7650" w:type="dxa"/>
            <w:shd w:val="clear" w:color="auto" w:fill="auto"/>
            <w:noWrap/>
            <w:hideMark/>
          </w:tcPr>
          <w:p w14:paraId="74400609" w14:textId="77777777" w:rsidR="00FD3359" w:rsidRPr="00B2521E" w:rsidRDefault="00FD3359" w:rsidP="000951FF">
            <w:pPr>
              <w:spacing w:before="0" w:after="0"/>
              <w:rPr>
                <w:rFonts w:cstheme="minorHAnsi"/>
                <w:color w:val="000000"/>
                <w:sz w:val="18"/>
                <w:szCs w:val="18"/>
              </w:rPr>
            </w:pPr>
            <w:r>
              <w:rPr>
                <w:color w:val="000000"/>
                <w:sz w:val="18"/>
                <w:szCs w:val="18"/>
              </w:rPr>
              <w:t xml:space="preserve">Advancement of the Rail </w:t>
            </w:r>
            <w:proofErr w:type="spellStart"/>
            <w:r>
              <w:rPr>
                <w:color w:val="000000"/>
                <w:sz w:val="18"/>
                <w:szCs w:val="18"/>
              </w:rPr>
              <w:t>Baltica</w:t>
            </w:r>
            <w:proofErr w:type="spellEnd"/>
            <w:r>
              <w:rPr>
                <w:color w:val="000000"/>
                <w:sz w:val="18"/>
                <w:szCs w:val="18"/>
              </w:rPr>
              <w:t xml:space="preserve"> project</w:t>
            </w:r>
          </w:p>
        </w:tc>
        <w:tc>
          <w:tcPr>
            <w:tcW w:w="1701" w:type="dxa"/>
            <w:shd w:val="clear" w:color="auto" w:fill="auto"/>
            <w:hideMark/>
          </w:tcPr>
          <w:p w14:paraId="57348A9E" w14:textId="77777777" w:rsidR="00FD3359" w:rsidRPr="00B2521E" w:rsidRDefault="00FD3359" w:rsidP="000951FF">
            <w:pPr>
              <w:spacing w:before="0" w:after="0"/>
              <w:jc w:val="center"/>
              <w:rPr>
                <w:rFonts w:cstheme="minorHAnsi"/>
                <w:color w:val="000000"/>
                <w:sz w:val="18"/>
                <w:szCs w:val="18"/>
              </w:rPr>
            </w:pPr>
            <w:r>
              <w:rPr>
                <w:color w:val="000000"/>
                <w:sz w:val="18"/>
                <w:szCs w:val="18"/>
              </w:rPr>
              <w:t>9.00</w:t>
            </w:r>
          </w:p>
        </w:tc>
      </w:tr>
      <w:tr w:rsidR="00FD3359" w:rsidRPr="00B2521E" w14:paraId="61200D76" w14:textId="77777777" w:rsidTr="000951FF">
        <w:trPr>
          <w:trHeight w:val="300"/>
        </w:trPr>
        <w:tc>
          <w:tcPr>
            <w:tcW w:w="7650" w:type="dxa"/>
            <w:shd w:val="clear" w:color="auto" w:fill="1F3763"/>
            <w:noWrap/>
          </w:tcPr>
          <w:p w14:paraId="6190FB5E" w14:textId="0FADE287" w:rsidR="00FD3359" w:rsidRPr="00B2521E" w:rsidRDefault="00FD3359" w:rsidP="000951F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construction materials in the subsector of construction of transport objects</w:t>
            </w:r>
          </w:p>
        </w:tc>
        <w:tc>
          <w:tcPr>
            <w:tcW w:w="1701" w:type="dxa"/>
            <w:shd w:val="clear" w:color="auto" w:fill="1F3763"/>
            <w:vAlign w:val="bottom"/>
          </w:tcPr>
          <w:p w14:paraId="12083D30" w14:textId="77777777" w:rsidR="00FD3359" w:rsidRPr="00B2521E" w:rsidRDefault="00FD3359" w:rsidP="000951F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FD3359" w:rsidRPr="00B2521E" w14:paraId="22C06FF5" w14:textId="77777777" w:rsidTr="000951FF">
        <w:trPr>
          <w:trHeight w:val="300"/>
        </w:trPr>
        <w:tc>
          <w:tcPr>
            <w:tcW w:w="7650" w:type="dxa"/>
            <w:shd w:val="clear" w:color="auto" w:fill="auto"/>
            <w:noWrap/>
            <w:hideMark/>
          </w:tcPr>
          <w:p w14:paraId="25B15C75" w14:textId="77777777" w:rsidR="00FD3359" w:rsidRPr="00B2521E" w:rsidRDefault="00FD3359" w:rsidP="000951FF">
            <w:pPr>
              <w:spacing w:before="0" w:after="0"/>
              <w:rPr>
                <w:rFonts w:cstheme="minorHAnsi"/>
                <w:color w:val="000000"/>
                <w:sz w:val="18"/>
                <w:szCs w:val="18"/>
              </w:rPr>
            </w:pPr>
            <w:r>
              <w:rPr>
                <w:color w:val="000000"/>
                <w:sz w:val="18"/>
                <w:szCs w:val="18"/>
              </w:rPr>
              <w:t>Spending of available funding is not coordinated, uneven amount of funding to be absorbed in the specific time period</w:t>
            </w:r>
          </w:p>
        </w:tc>
        <w:tc>
          <w:tcPr>
            <w:tcW w:w="1701" w:type="dxa"/>
            <w:shd w:val="clear" w:color="auto" w:fill="auto"/>
            <w:hideMark/>
          </w:tcPr>
          <w:p w14:paraId="2034C042" w14:textId="77777777" w:rsidR="00FD3359" w:rsidRPr="00B2521E" w:rsidRDefault="00FD3359" w:rsidP="000951FF">
            <w:pPr>
              <w:spacing w:before="0" w:after="0"/>
              <w:jc w:val="center"/>
              <w:rPr>
                <w:rFonts w:cstheme="minorHAnsi"/>
                <w:color w:val="000000"/>
                <w:sz w:val="18"/>
                <w:szCs w:val="18"/>
              </w:rPr>
            </w:pPr>
            <w:r>
              <w:rPr>
                <w:color w:val="000000"/>
                <w:sz w:val="18"/>
                <w:szCs w:val="18"/>
              </w:rPr>
              <w:t>10.00</w:t>
            </w:r>
          </w:p>
        </w:tc>
      </w:tr>
      <w:tr w:rsidR="00FD3359" w:rsidRPr="00B2521E" w14:paraId="0358032D" w14:textId="77777777" w:rsidTr="000951FF">
        <w:trPr>
          <w:trHeight w:val="300"/>
        </w:trPr>
        <w:tc>
          <w:tcPr>
            <w:tcW w:w="7650" w:type="dxa"/>
            <w:shd w:val="clear" w:color="auto" w:fill="auto"/>
            <w:noWrap/>
            <w:hideMark/>
          </w:tcPr>
          <w:p w14:paraId="4B93C486" w14:textId="77777777" w:rsidR="00FD3359" w:rsidRPr="00B2521E" w:rsidRDefault="00FD3359" w:rsidP="000951FF">
            <w:pPr>
              <w:spacing w:before="0" w:after="0"/>
              <w:rPr>
                <w:rFonts w:cstheme="minorHAnsi"/>
                <w:color w:val="000000"/>
                <w:sz w:val="18"/>
                <w:szCs w:val="18"/>
              </w:rPr>
            </w:pPr>
            <w:r>
              <w:rPr>
                <w:color w:val="000000"/>
                <w:sz w:val="18"/>
                <w:szCs w:val="18"/>
              </w:rPr>
              <w:t>Volume of construction concepts implemented for public funds</w:t>
            </w:r>
          </w:p>
        </w:tc>
        <w:tc>
          <w:tcPr>
            <w:tcW w:w="1701" w:type="dxa"/>
            <w:shd w:val="clear" w:color="auto" w:fill="auto"/>
            <w:hideMark/>
          </w:tcPr>
          <w:p w14:paraId="7EE71D32" w14:textId="77777777" w:rsidR="00FD3359" w:rsidRPr="00B2521E" w:rsidRDefault="00FD3359" w:rsidP="000951FF">
            <w:pPr>
              <w:spacing w:before="0" w:after="0"/>
              <w:jc w:val="center"/>
              <w:rPr>
                <w:rFonts w:cstheme="minorHAnsi"/>
                <w:color w:val="000000"/>
                <w:sz w:val="18"/>
                <w:szCs w:val="18"/>
              </w:rPr>
            </w:pPr>
            <w:r>
              <w:rPr>
                <w:color w:val="000000"/>
                <w:sz w:val="18"/>
                <w:szCs w:val="18"/>
              </w:rPr>
              <w:t>10.00</w:t>
            </w:r>
          </w:p>
        </w:tc>
      </w:tr>
      <w:tr w:rsidR="00FD3359" w:rsidRPr="00B2521E" w14:paraId="5CB5AEF8" w14:textId="77777777" w:rsidTr="000951FF">
        <w:trPr>
          <w:trHeight w:val="300"/>
        </w:trPr>
        <w:tc>
          <w:tcPr>
            <w:tcW w:w="7650" w:type="dxa"/>
            <w:shd w:val="clear" w:color="auto" w:fill="auto"/>
            <w:noWrap/>
            <w:hideMark/>
          </w:tcPr>
          <w:p w14:paraId="627E7A23" w14:textId="77777777" w:rsidR="00FD3359" w:rsidRPr="00B2521E" w:rsidRDefault="00FD3359" w:rsidP="000951FF">
            <w:pPr>
              <w:spacing w:before="0" w:after="0"/>
              <w:rPr>
                <w:rFonts w:cstheme="minorHAnsi"/>
                <w:color w:val="000000"/>
                <w:sz w:val="18"/>
                <w:szCs w:val="18"/>
              </w:rPr>
            </w:pPr>
            <w:r>
              <w:rPr>
                <w:color w:val="000000"/>
                <w:sz w:val="18"/>
                <w:szCs w:val="18"/>
              </w:rPr>
              <w:t>Average fuel price in the country and changes in prices of oil products in the world</w:t>
            </w:r>
          </w:p>
        </w:tc>
        <w:tc>
          <w:tcPr>
            <w:tcW w:w="1701" w:type="dxa"/>
            <w:shd w:val="clear" w:color="auto" w:fill="auto"/>
            <w:hideMark/>
          </w:tcPr>
          <w:p w14:paraId="292071AC" w14:textId="77777777" w:rsidR="00FD3359" w:rsidRPr="00B2521E" w:rsidRDefault="00FD3359" w:rsidP="000951FF">
            <w:pPr>
              <w:spacing w:before="0" w:after="0"/>
              <w:jc w:val="center"/>
              <w:rPr>
                <w:rFonts w:cstheme="minorHAnsi"/>
                <w:color w:val="000000"/>
                <w:sz w:val="18"/>
                <w:szCs w:val="18"/>
              </w:rPr>
            </w:pPr>
            <w:r>
              <w:rPr>
                <w:color w:val="000000"/>
                <w:sz w:val="18"/>
                <w:szCs w:val="18"/>
              </w:rPr>
              <w:t>9.00</w:t>
            </w:r>
          </w:p>
        </w:tc>
      </w:tr>
      <w:tr w:rsidR="00FD3359" w:rsidRPr="00B2521E" w14:paraId="1D1A5AAF" w14:textId="77777777" w:rsidTr="000951FF">
        <w:trPr>
          <w:trHeight w:val="300"/>
        </w:trPr>
        <w:tc>
          <w:tcPr>
            <w:tcW w:w="7650" w:type="dxa"/>
            <w:shd w:val="clear" w:color="auto" w:fill="auto"/>
            <w:noWrap/>
            <w:hideMark/>
          </w:tcPr>
          <w:p w14:paraId="410657FB" w14:textId="78A28006" w:rsidR="00FD3359" w:rsidRPr="00B2521E" w:rsidRDefault="00FD3359" w:rsidP="000951FF">
            <w:pPr>
              <w:spacing w:before="0" w:after="0"/>
              <w:rPr>
                <w:rFonts w:cstheme="minorHAnsi"/>
                <w:color w:val="000000"/>
                <w:sz w:val="18"/>
                <w:szCs w:val="18"/>
              </w:rPr>
            </w:pPr>
            <w:r>
              <w:rPr>
                <w:color w:val="000000"/>
                <w:sz w:val="18"/>
                <w:szCs w:val="18"/>
              </w:rPr>
              <w:t>Volume</w:t>
            </w:r>
            <w:r>
              <w:t xml:space="preserve"> </w:t>
            </w:r>
            <w:r>
              <w:rPr>
                <w:color w:val="000000"/>
                <w:sz w:val="18"/>
                <w:szCs w:val="18"/>
              </w:rPr>
              <w:t>of construction products in the country</w:t>
            </w:r>
          </w:p>
        </w:tc>
        <w:tc>
          <w:tcPr>
            <w:tcW w:w="1701" w:type="dxa"/>
            <w:shd w:val="clear" w:color="auto" w:fill="auto"/>
            <w:hideMark/>
          </w:tcPr>
          <w:p w14:paraId="2B6A03A3" w14:textId="77777777" w:rsidR="00FD3359" w:rsidRPr="00B2521E" w:rsidRDefault="00FD3359" w:rsidP="000951FF">
            <w:pPr>
              <w:spacing w:before="0" w:after="0"/>
              <w:jc w:val="center"/>
              <w:rPr>
                <w:rFonts w:cstheme="minorHAnsi"/>
                <w:color w:val="000000"/>
                <w:sz w:val="18"/>
                <w:szCs w:val="18"/>
              </w:rPr>
            </w:pPr>
            <w:r>
              <w:rPr>
                <w:color w:val="000000"/>
                <w:sz w:val="18"/>
                <w:szCs w:val="18"/>
              </w:rPr>
              <w:t>7.00</w:t>
            </w:r>
          </w:p>
        </w:tc>
      </w:tr>
      <w:tr w:rsidR="00FD3359" w:rsidRPr="00B2521E" w14:paraId="1A4BE8C0" w14:textId="77777777" w:rsidTr="000951FF">
        <w:trPr>
          <w:trHeight w:val="300"/>
        </w:trPr>
        <w:tc>
          <w:tcPr>
            <w:tcW w:w="7650" w:type="dxa"/>
            <w:shd w:val="clear" w:color="auto" w:fill="auto"/>
            <w:noWrap/>
            <w:hideMark/>
          </w:tcPr>
          <w:p w14:paraId="1715B695" w14:textId="77777777" w:rsidR="00FD3359" w:rsidRPr="00B2521E" w:rsidRDefault="00FD3359" w:rsidP="000951FF">
            <w:pPr>
              <w:spacing w:before="0" w:after="0"/>
              <w:rPr>
                <w:rFonts w:cstheme="minorHAnsi"/>
                <w:color w:val="000000"/>
                <w:sz w:val="18"/>
                <w:szCs w:val="18"/>
              </w:rPr>
            </w:pPr>
            <w:r>
              <w:rPr>
                <w:color w:val="000000"/>
                <w:sz w:val="18"/>
                <w:szCs w:val="18"/>
              </w:rPr>
              <w:t>Geographic availability of construction materials close to construction sites</w:t>
            </w:r>
          </w:p>
        </w:tc>
        <w:tc>
          <w:tcPr>
            <w:tcW w:w="1701" w:type="dxa"/>
            <w:shd w:val="clear" w:color="auto" w:fill="auto"/>
            <w:hideMark/>
          </w:tcPr>
          <w:p w14:paraId="370A1EC9" w14:textId="77777777" w:rsidR="00FD3359" w:rsidRPr="00B2521E" w:rsidRDefault="00FD3359" w:rsidP="000951FF">
            <w:pPr>
              <w:spacing w:before="0" w:after="0"/>
              <w:jc w:val="center"/>
              <w:rPr>
                <w:rFonts w:cstheme="minorHAnsi"/>
                <w:color w:val="000000"/>
                <w:sz w:val="18"/>
                <w:szCs w:val="18"/>
              </w:rPr>
            </w:pPr>
            <w:r>
              <w:rPr>
                <w:color w:val="000000"/>
                <w:sz w:val="18"/>
                <w:szCs w:val="18"/>
              </w:rPr>
              <w:t>6.00</w:t>
            </w:r>
          </w:p>
        </w:tc>
      </w:tr>
    </w:tbl>
    <w:p w14:paraId="6D2CDE85" w14:textId="77777777" w:rsidR="00FD3359" w:rsidRPr="00B2521E" w:rsidRDefault="00FD3359" w:rsidP="00895643">
      <w:pPr>
        <w:jc w:val="center"/>
        <w:rPr>
          <w:sz w:val="20"/>
          <w:szCs w:val="18"/>
        </w:rPr>
      </w:pPr>
      <w:r>
        <w:rPr>
          <w:sz w:val="20"/>
          <w:szCs w:val="18"/>
        </w:rPr>
        <w:t>Source: Expert interviews</w:t>
      </w:r>
    </w:p>
    <w:p w14:paraId="6D618D2C" w14:textId="3C7B7084" w:rsidR="00FD3359" w:rsidRDefault="00FD3359" w:rsidP="00895643">
      <w:pPr>
        <w:ind w:firstLine="851"/>
        <w:jc w:val="both"/>
      </w:pPr>
      <w:r>
        <w:t>The evaluation of forecasts of changes in costs by types of resources differs from the forecast of changes in the total construction costs</w:t>
      </w:r>
      <w:r w:rsidR="00AD5610">
        <w:t xml:space="preserve"> – there is slightly higher increase projected in 2020 compared to 2019</w:t>
      </w:r>
      <w:r>
        <w:t xml:space="preserve">. The general trend is </w:t>
      </w:r>
      <w:r w:rsidR="00835592">
        <w:t>1-5</w:t>
      </w:r>
      <w:r w:rsidR="00AD5610">
        <w:t>% above 2018 level until 2022</w:t>
      </w:r>
      <w:r w:rsidR="00835592">
        <w:t xml:space="preserve"> (see Figure 19)</w:t>
      </w:r>
      <w:r w:rsidR="00AD5610">
        <w:t xml:space="preserve">. </w:t>
      </w:r>
      <w:proofErr w:type="spellStart"/>
      <w:r w:rsidR="00AD5610">
        <w:t>Exeption</w:t>
      </w:r>
      <w:proofErr w:type="spellEnd"/>
      <w:r w:rsidR="00AD5610">
        <w:t xml:space="preserve"> is</w:t>
      </w:r>
      <w:r>
        <w:t xml:space="preserve"> costs related to architectural activities and technical testing, where a more ra</w:t>
      </w:r>
      <w:r w:rsidR="00AD5610">
        <w:t>pid increase is forecasted</w:t>
      </w:r>
      <w:r>
        <w:t xml:space="preserve"> in 2022.</w:t>
      </w:r>
      <w:r w:rsidR="00AD5610">
        <w:t xml:space="preserve"> </w:t>
      </w:r>
      <w:r w:rsidR="00AD5610" w:rsidRPr="00AD5610">
        <w:t xml:space="preserve">The 2023 forecasts show conflicting trends and therefore the final forecast </w:t>
      </w:r>
      <w:r w:rsidR="00835592">
        <w:t xml:space="preserve">for 2023 </w:t>
      </w:r>
      <w:r w:rsidR="00AD5610" w:rsidRPr="00AD5610">
        <w:t>is not included. Moreover, additional</w:t>
      </w:r>
      <w:r w:rsidR="00AD5610">
        <w:t>ly invited</w:t>
      </w:r>
      <w:r w:rsidR="00AD5610" w:rsidRPr="00AD5610">
        <w:t xml:space="preserve"> experts in the road and rail fields did not assess cost estimates </w:t>
      </w:r>
      <w:r w:rsidR="00AD5610">
        <w:t xml:space="preserve">in detail </w:t>
      </w:r>
      <w:r w:rsidR="00AD5610" w:rsidRPr="00AD5610">
        <w:t>by type of resource.</w:t>
      </w:r>
      <w:r w:rsidR="00835592">
        <w:t xml:space="preserve"> </w:t>
      </w:r>
      <w:r w:rsidR="00835592" w:rsidRPr="00835592">
        <w:t>Signific</w:t>
      </w:r>
      <w:r w:rsidR="00835592">
        <w:t>ant cost fluctuations are possible</w:t>
      </w:r>
      <w:r w:rsidR="00835592" w:rsidRPr="00835592">
        <w:t xml:space="preserve"> from 2023, which will depend on the prac</w:t>
      </w:r>
      <w:r w:rsidR="00835592">
        <w:t xml:space="preserve">tical progress of major </w:t>
      </w:r>
      <w:proofErr w:type="gramStart"/>
      <w:r w:rsidR="00835592">
        <w:t>transport</w:t>
      </w:r>
      <w:r w:rsidR="00835592" w:rsidRPr="00835592">
        <w:t xml:space="preserve"> infrastructure construction projects</w:t>
      </w:r>
      <w:proofErr w:type="gramEnd"/>
      <w:r w:rsidR="00835592" w:rsidRPr="00835592">
        <w:t>.</w:t>
      </w:r>
    </w:p>
    <w:p w14:paraId="5271D0BC" w14:textId="083AE910" w:rsidR="00FD3359" w:rsidRPr="00B2521E" w:rsidRDefault="00835592" w:rsidP="00FD3359">
      <w:pPr>
        <w:jc w:val="center"/>
        <w:rPr>
          <w:b/>
          <w:sz w:val="20"/>
          <w:szCs w:val="18"/>
        </w:rPr>
      </w:pPr>
      <w:r>
        <w:rPr>
          <w:b/>
          <w:sz w:val="20"/>
          <w:szCs w:val="18"/>
        </w:rPr>
        <w:t>Figure No. 19</w:t>
      </w:r>
      <w:r w:rsidR="00FD3359">
        <w:rPr>
          <w:b/>
          <w:sz w:val="20"/>
          <w:szCs w:val="18"/>
        </w:rPr>
        <w:t xml:space="preserve">. Forecast of changes in construction costs by types of resources in the subsector of transport objects, </w:t>
      </w:r>
      <w:r w:rsidR="00FD3359">
        <w:rPr>
          <w:b/>
          <w:sz w:val="20"/>
        </w:rPr>
        <w:t>cumulative changes compared to 2018, %</w:t>
      </w:r>
    </w:p>
    <w:p w14:paraId="7361B0F5" w14:textId="6FC73A61" w:rsidR="00FD3359" w:rsidRPr="00B2521E" w:rsidRDefault="00835592" w:rsidP="00FD3359">
      <w:pPr>
        <w:spacing w:before="100" w:after="200" w:line="276" w:lineRule="auto"/>
        <w:jc w:val="center"/>
        <w:rPr>
          <w:sz w:val="20"/>
        </w:rPr>
      </w:pPr>
      <w:r w:rsidRPr="00835592">
        <w:drawing>
          <wp:inline distT="0" distB="0" distL="0" distR="0" wp14:anchorId="49178782" wp14:editId="03EBA555">
            <wp:extent cx="4231758" cy="244996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43240" cy="2456612"/>
                    </a:xfrm>
                    <a:prstGeom prst="rect">
                      <a:avLst/>
                    </a:prstGeom>
                  </pic:spPr>
                </pic:pic>
              </a:graphicData>
            </a:graphic>
          </wp:inline>
        </w:drawing>
      </w:r>
      <w:r w:rsidR="00724BBB">
        <w:rPr>
          <w:sz w:val="20"/>
        </w:rPr>
        <w:t xml:space="preserve"> </w:t>
      </w:r>
    </w:p>
    <w:p w14:paraId="05CEA018" w14:textId="0EBE81B7" w:rsidR="00FD3359" w:rsidRDefault="00FD3359" w:rsidP="00FD3359">
      <w:pPr>
        <w:spacing w:before="100" w:after="200" w:line="276" w:lineRule="auto"/>
        <w:jc w:val="center"/>
        <w:rPr>
          <w:sz w:val="20"/>
        </w:rPr>
      </w:pPr>
      <w:r>
        <w:rPr>
          <w:sz w:val="20"/>
        </w:rPr>
        <w:t>Source: CSB historical data before 2018 (inclusive) and calculations made by authors, based on expert evaluations and developed</w:t>
      </w:r>
      <w:r w:rsidR="00835592">
        <w:rPr>
          <w:sz w:val="20"/>
        </w:rPr>
        <w:t xml:space="preserve"> models – forecast for 2019-2022</w:t>
      </w:r>
    </w:p>
    <w:p w14:paraId="60D8278E" w14:textId="77777777" w:rsidR="0052387B" w:rsidRPr="00B2521E" w:rsidRDefault="0052387B" w:rsidP="0052387B">
      <w:pPr>
        <w:pStyle w:val="Heading2"/>
        <w:rPr>
          <w:rFonts w:eastAsia="Times New Roman"/>
        </w:rPr>
      </w:pPr>
      <w:bookmarkStart w:id="498" w:name="_Toc13492708"/>
      <w:bookmarkStart w:id="499" w:name="_Toc13574748"/>
      <w:bookmarkStart w:id="500" w:name="_Toc13576535"/>
      <w:bookmarkStart w:id="501" w:name="_Toc13580288"/>
      <w:bookmarkStart w:id="502" w:name="_Toc13673470"/>
      <w:bookmarkStart w:id="503" w:name="_Toc13673786"/>
      <w:bookmarkStart w:id="504" w:name="_Toc13492709"/>
      <w:bookmarkStart w:id="505" w:name="_Toc13574749"/>
      <w:bookmarkStart w:id="506" w:name="_Toc13576536"/>
      <w:bookmarkStart w:id="507" w:name="_Toc13580289"/>
      <w:bookmarkStart w:id="508" w:name="_Toc13673471"/>
      <w:bookmarkStart w:id="509" w:name="_Toc13673787"/>
      <w:bookmarkStart w:id="510" w:name="_Toc13492710"/>
      <w:bookmarkStart w:id="511" w:name="_Toc13574750"/>
      <w:bookmarkStart w:id="512" w:name="_Toc13576537"/>
      <w:bookmarkStart w:id="513" w:name="_Toc13580290"/>
      <w:bookmarkStart w:id="514" w:name="_Toc13673472"/>
      <w:bookmarkStart w:id="515" w:name="_Toc13673788"/>
      <w:bookmarkStart w:id="516" w:name="_Toc13492711"/>
      <w:bookmarkStart w:id="517" w:name="_Toc13574751"/>
      <w:bookmarkStart w:id="518" w:name="_Toc13576538"/>
      <w:bookmarkStart w:id="519" w:name="_Toc13580291"/>
      <w:bookmarkStart w:id="520" w:name="_Toc13673473"/>
      <w:bookmarkStart w:id="521" w:name="_Toc13673789"/>
      <w:bookmarkStart w:id="522" w:name="_Toc13492712"/>
      <w:bookmarkStart w:id="523" w:name="_Toc13574752"/>
      <w:bookmarkStart w:id="524" w:name="_Toc13576539"/>
      <w:bookmarkStart w:id="525" w:name="_Toc13580292"/>
      <w:bookmarkStart w:id="526" w:name="_Toc13673474"/>
      <w:bookmarkStart w:id="527" w:name="_Toc13673790"/>
      <w:bookmarkStart w:id="528" w:name="_Toc13492713"/>
      <w:bookmarkStart w:id="529" w:name="_Toc13574753"/>
      <w:bookmarkStart w:id="530" w:name="_Toc13576540"/>
      <w:bookmarkStart w:id="531" w:name="_Toc13580293"/>
      <w:bookmarkStart w:id="532" w:name="_Toc13673475"/>
      <w:bookmarkStart w:id="533" w:name="_Toc13673791"/>
      <w:bookmarkStart w:id="534" w:name="_Toc13492714"/>
      <w:bookmarkStart w:id="535" w:name="_Toc13574754"/>
      <w:bookmarkStart w:id="536" w:name="_Toc13576541"/>
      <w:bookmarkStart w:id="537" w:name="_Toc13580294"/>
      <w:bookmarkStart w:id="538" w:name="_Toc13673476"/>
      <w:bookmarkStart w:id="539" w:name="_Toc13673792"/>
      <w:bookmarkStart w:id="540" w:name="_Toc13492715"/>
      <w:bookmarkStart w:id="541" w:name="_Toc13574755"/>
      <w:bookmarkStart w:id="542" w:name="_Toc13576542"/>
      <w:bookmarkStart w:id="543" w:name="_Toc13580295"/>
      <w:bookmarkStart w:id="544" w:name="_Toc13673477"/>
      <w:bookmarkStart w:id="545" w:name="_Toc13673793"/>
      <w:bookmarkStart w:id="546" w:name="_Toc13492716"/>
      <w:bookmarkStart w:id="547" w:name="_Toc13574756"/>
      <w:bookmarkStart w:id="548" w:name="_Toc13576543"/>
      <w:bookmarkStart w:id="549" w:name="_Toc13580296"/>
      <w:bookmarkStart w:id="550" w:name="_Toc13673478"/>
      <w:bookmarkStart w:id="551" w:name="_Toc13673794"/>
      <w:bookmarkStart w:id="552" w:name="_Toc13492717"/>
      <w:bookmarkStart w:id="553" w:name="_Toc13574757"/>
      <w:bookmarkStart w:id="554" w:name="_Toc13576544"/>
      <w:bookmarkStart w:id="555" w:name="_Toc13580297"/>
      <w:bookmarkStart w:id="556" w:name="_Toc13673479"/>
      <w:bookmarkStart w:id="557" w:name="_Toc13673795"/>
      <w:bookmarkStart w:id="558" w:name="_Toc13492718"/>
      <w:bookmarkStart w:id="559" w:name="_Toc13574758"/>
      <w:bookmarkStart w:id="560" w:name="_Toc13576545"/>
      <w:bookmarkStart w:id="561" w:name="_Toc13580298"/>
      <w:bookmarkStart w:id="562" w:name="_Toc13673480"/>
      <w:bookmarkStart w:id="563" w:name="_Toc13673796"/>
      <w:bookmarkStart w:id="564" w:name="_Toc13492719"/>
      <w:bookmarkStart w:id="565" w:name="_Toc13574759"/>
      <w:bookmarkStart w:id="566" w:name="_Toc13576546"/>
      <w:bookmarkStart w:id="567" w:name="_Toc13580299"/>
      <w:bookmarkStart w:id="568" w:name="_Toc13673481"/>
      <w:bookmarkStart w:id="569" w:name="_Toc13673797"/>
      <w:bookmarkStart w:id="570" w:name="_Toc13492720"/>
      <w:bookmarkStart w:id="571" w:name="_Toc13574760"/>
      <w:bookmarkStart w:id="572" w:name="_Toc13576547"/>
      <w:bookmarkStart w:id="573" w:name="_Toc13580300"/>
      <w:bookmarkStart w:id="574" w:name="_Toc13673482"/>
      <w:bookmarkStart w:id="575" w:name="_Toc13673798"/>
      <w:bookmarkStart w:id="576" w:name="_Toc13492721"/>
      <w:bookmarkStart w:id="577" w:name="_Toc13574761"/>
      <w:bookmarkStart w:id="578" w:name="_Toc13576548"/>
      <w:bookmarkStart w:id="579" w:name="_Toc13580301"/>
      <w:bookmarkStart w:id="580" w:name="_Toc13673483"/>
      <w:bookmarkStart w:id="581" w:name="_Toc13673799"/>
      <w:bookmarkStart w:id="582" w:name="_Toc13492722"/>
      <w:bookmarkStart w:id="583" w:name="_Toc13574762"/>
      <w:bookmarkStart w:id="584" w:name="_Toc13576549"/>
      <w:bookmarkStart w:id="585" w:name="_Toc13580302"/>
      <w:bookmarkStart w:id="586" w:name="_Toc13673484"/>
      <w:bookmarkStart w:id="587" w:name="_Toc13673800"/>
      <w:bookmarkStart w:id="588" w:name="_Toc13492723"/>
      <w:bookmarkStart w:id="589" w:name="_Toc13574763"/>
      <w:bookmarkStart w:id="590" w:name="_Toc13576550"/>
      <w:bookmarkStart w:id="591" w:name="_Toc13580303"/>
      <w:bookmarkStart w:id="592" w:name="_Toc13673485"/>
      <w:bookmarkStart w:id="593" w:name="_Toc13673801"/>
      <w:bookmarkStart w:id="594" w:name="_Toc13492724"/>
      <w:bookmarkStart w:id="595" w:name="_Toc13574764"/>
      <w:bookmarkStart w:id="596" w:name="_Toc13576551"/>
      <w:bookmarkStart w:id="597" w:name="_Toc13580304"/>
      <w:bookmarkStart w:id="598" w:name="_Toc13673486"/>
      <w:bookmarkStart w:id="599" w:name="_Toc13673802"/>
      <w:bookmarkStart w:id="600" w:name="_Toc13492740"/>
      <w:bookmarkStart w:id="601" w:name="_Toc13574780"/>
      <w:bookmarkStart w:id="602" w:name="_Toc13576567"/>
      <w:bookmarkStart w:id="603" w:name="_Toc13580320"/>
      <w:bookmarkStart w:id="604" w:name="_Toc13673502"/>
      <w:bookmarkStart w:id="605" w:name="_Toc13673818"/>
      <w:bookmarkStart w:id="606" w:name="_Toc13492759"/>
      <w:bookmarkStart w:id="607" w:name="_Toc13574799"/>
      <w:bookmarkStart w:id="608" w:name="_Toc13576586"/>
      <w:bookmarkStart w:id="609" w:name="_Toc13580339"/>
      <w:bookmarkStart w:id="610" w:name="_Toc13673521"/>
      <w:bookmarkStart w:id="611" w:name="_Toc13673837"/>
      <w:bookmarkStart w:id="612" w:name="_Toc13492760"/>
      <w:bookmarkStart w:id="613" w:name="_Toc13574800"/>
      <w:bookmarkStart w:id="614" w:name="_Toc13576587"/>
      <w:bookmarkStart w:id="615" w:name="_Toc13580340"/>
      <w:bookmarkStart w:id="616" w:name="_Toc13673522"/>
      <w:bookmarkStart w:id="617" w:name="_Toc13673838"/>
      <w:bookmarkStart w:id="618" w:name="_Toc13492761"/>
      <w:bookmarkStart w:id="619" w:name="_Toc13574801"/>
      <w:bookmarkStart w:id="620" w:name="_Toc13576588"/>
      <w:bookmarkStart w:id="621" w:name="_Toc13580341"/>
      <w:bookmarkStart w:id="622" w:name="_Toc13673523"/>
      <w:bookmarkStart w:id="623" w:name="_Toc13673839"/>
      <w:bookmarkStart w:id="624" w:name="_Toc13492762"/>
      <w:bookmarkStart w:id="625" w:name="_Toc13574802"/>
      <w:bookmarkStart w:id="626" w:name="_Toc13576589"/>
      <w:bookmarkStart w:id="627" w:name="_Toc13580342"/>
      <w:bookmarkStart w:id="628" w:name="_Toc13673524"/>
      <w:bookmarkStart w:id="629" w:name="_Toc13673840"/>
      <w:bookmarkStart w:id="630" w:name="_Toc13492763"/>
      <w:bookmarkStart w:id="631" w:name="_Toc13574803"/>
      <w:bookmarkStart w:id="632" w:name="_Toc13576590"/>
      <w:bookmarkStart w:id="633" w:name="_Toc13580343"/>
      <w:bookmarkStart w:id="634" w:name="_Toc13673525"/>
      <w:bookmarkStart w:id="635" w:name="_Toc13673841"/>
      <w:bookmarkStart w:id="636" w:name="_Toc13492764"/>
      <w:bookmarkStart w:id="637" w:name="_Toc13574804"/>
      <w:bookmarkStart w:id="638" w:name="_Toc13576591"/>
      <w:bookmarkStart w:id="639" w:name="_Toc13580344"/>
      <w:bookmarkStart w:id="640" w:name="_Toc13673526"/>
      <w:bookmarkStart w:id="641" w:name="_Toc13673842"/>
      <w:bookmarkStart w:id="642" w:name="_Toc13492765"/>
      <w:bookmarkStart w:id="643" w:name="_Toc13574805"/>
      <w:bookmarkStart w:id="644" w:name="_Toc13576592"/>
      <w:bookmarkStart w:id="645" w:name="_Toc13580345"/>
      <w:bookmarkStart w:id="646" w:name="_Toc13673527"/>
      <w:bookmarkStart w:id="647" w:name="_Toc13673843"/>
      <w:bookmarkStart w:id="648" w:name="_Toc13492766"/>
      <w:bookmarkStart w:id="649" w:name="_Toc13574806"/>
      <w:bookmarkStart w:id="650" w:name="_Toc13576593"/>
      <w:bookmarkStart w:id="651" w:name="_Toc13580346"/>
      <w:bookmarkStart w:id="652" w:name="_Toc13673528"/>
      <w:bookmarkStart w:id="653" w:name="_Toc13673844"/>
      <w:bookmarkStart w:id="654" w:name="_Toc13492767"/>
      <w:bookmarkStart w:id="655" w:name="_Toc13574807"/>
      <w:bookmarkStart w:id="656" w:name="_Toc13576594"/>
      <w:bookmarkStart w:id="657" w:name="_Toc13580347"/>
      <w:bookmarkStart w:id="658" w:name="_Toc13673529"/>
      <w:bookmarkStart w:id="659" w:name="_Toc13673845"/>
      <w:bookmarkStart w:id="660" w:name="_Toc13492768"/>
      <w:bookmarkStart w:id="661" w:name="_Toc13574808"/>
      <w:bookmarkStart w:id="662" w:name="_Toc13576595"/>
      <w:bookmarkStart w:id="663" w:name="_Toc13580348"/>
      <w:bookmarkStart w:id="664" w:name="_Toc13673530"/>
      <w:bookmarkStart w:id="665" w:name="_Toc13673846"/>
      <w:bookmarkStart w:id="666" w:name="_Toc13492769"/>
      <w:bookmarkStart w:id="667" w:name="_Toc13574809"/>
      <w:bookmarkStart w:id="668" w:name="_Toc13576596"/>
      <w:bookmarkStart w:id="669" w:name="_Toc13580349"/>
      <w:bookmarkStart w:id="670" w:name="_Toc13673531"/>
      <w:bookmarkStart w:id="671" w:name="_Toc13673847"/>
      <w:bookmarkStart w:id="672" w:name="_Toc13492770"/>
      <w:bookmarkStart w:id="673" w:name="_Toc13574810"/>
      <w:bookmarkStart w:id="674" w:name="_Toc13576597"/>
      <w:bookmarkStart w:id="675" w:name="_Toc13580350"/>
      <w:bookmarkStart w:id="676" w:name="_Toc13673532"/>
      <w:bookmarkStart w:id="677" w:name="_Toc13673848"/>
      <w:bookmarkStart w:id="678" w:name="_Toc13492771"/>
      <w:bookmarkStart w:id="679" w:name="_Toc13574811"/>
      <w:bookmarkStart w:id="680" w:name="_Toc13576598"/>
      <w:bookmarkStart w:id="681" w:name="_Toc13580351"/>
      <w:bookmarkStart w:id="682" w:name="_Toc13673533"/>
      <w:bookmarkStart w:id="683" w:name="_Toc13673849"/>
      <w:bookmarkStart w:id="684" w:name="_Toc13492772"/>
      <w:bookmarkStart w:id="685" w:name="_Toc13574812"/>
      <w:bookmarkStart w:id="686" w:name="_Toc13576599"/>
      <w:bookmarkStart w:id="687" w:name="_Toc13580352"/>
      <w:bookmarkStart w:id="688" w:name="_Toc13673534"/>
      <w:bookmarkStart w:id="689" w:name="_Toc13673850"/>
      <w:bookmarkStart w:id="690" w:name="_Toc13492788"/>
      <w:bookmarkStart w:id="691" w:name="_Toc13574828"/>
      <w:bookmarkStart w:id="692" w:name="_Toc13576615"/>
      <w:bookmarkStart w:id="693" w:name="_Toc13580368"/>
      <w:bookmarkStart w:id="694" w:name="_Toc13673550"/>
      <w:bookmarkStart w:id="695" w:name="_Toc13673866"/>
      <w:bookmarkStart w:id="696" w:name="_Toc13492801"/>
      <w:bookmarkStart w:id="697" w:name="_Toc13574841"/>
      <w:bookmarkStart w:id="698" w:name="_Toc13576628"/>
      <w:bookmarkStart w:id="699" w:name="_Toc13580381"/>
      <w:bookmarkStart w:id="700" w:name="_Toc13673563"/>
      <w:bookmarkStart w:id="701" w:name="_Toc13673879"/>
      <w:bookmarkStart w:id="702" w:name="_Toc13492802"/>
      <w:bookmarkStart w:id="703" w:name="_Toc13574842"/>
      <w:bookmarkStart w:id="704" w:name="_Toc13576629"/>
      <w:bookmarkStart w:id="705" w:name="_Toc13580382"/>
      <w:bookmarkStart w:id="706" w:name="_Toc13673564"/>
      <w:bookmarkStart w:id="707" w:name="_Toc13673880"/>
      <w:bookmarkStart w:id="708" w:name="_Toc13492803"/>
      <w:bookmarkStart w:id="709" w:name="_Toc13574843"/>
      <w:bookmarkStart w:id="710" w:name="_Toc13576630"/>
      <w:bookmarkStart w:id="711" w:name="_Toc13580383"/>
      <w:bookmarkStart w:id="712" w:name="_Toc13673565"/>
      <w:bookmarkStart w:id="713" w:name="_Toc13673881"/>
      <w:bookmarkStart w:id="714" w:name="_Toc13492804"/>
      <w:bookmarkStart w:id="715" w:name="_Toc13574844"/>
      <w:bookmarkStart w:id="716" w:name="_Toc13576631"/>
      <w:bookmarkStart w:id="717" w:name="_Toc13580384"/>
      <w:bookmarkStart w:id="718" w:name="_Toc13673566"/>
      <w:bookmarkStart w:id="719" w:name="_Toc13673882"/>
      <w:bookmarkStart w:id="720" w:name="_Toc13492805"/>
      <w:bookmarkStart w:id="721" w:name="_Toc13574845"/>
      <w:bookmarkStart w:id="722" w:name="_Toc13576632"/>
      <w:bookmarkStart w:id="723" w:name="_Toc13580385"/>
      <w:bookmarkStart w:id="724" w:name="_Toc13673567"/>
      <w:bookmarkStart w:id="725" w:name="_Toc13673883"/>
      <w:bookmarkStart w:id="726" w:name="_Toc13492806"/>
      <w:bookmarkStart w:id="727" w:name="_Toc13574846"/>
      <w:bookmarkStart w:id="728" w:name="_Toc13576633"/>
      <w:bookmarkStart w:id="729" w:name="_Toc13580386"/>
      <w:bookmarkStart w:id="730" w:name="_Toc13673568"/>
      <w:bookmarkStart w:id="731" w:name="_Toc13673884"/>
      <w:bookmarkStart w:id="732" w:name="_Toc13492807"/>
      <w:bookmarkStart w:id="733" w:name="_Toc13574847"/>
      <w:bookmarkStart w:id="734" w:name="_Toc13576634"/>
      <w:bookmarkStart w:id="735" w:name="_Toc13580387"/>
      <w:bookmarkStart w:id="736" w:name="_Toc13673569"/>
      <w:bookmarkStart w:id="737" w:name="_Toc13673885"/>
      <w:bookmarkStart w:id="738" w:name="_Toc13492808"/>
      <w:bookmarkStart w:id="739" w:name="_Toc13574848"/>
      <w:bookmarkStart w:id="740" w:name="_Toc13576635"/>
      <w:bookmarkStart w:id="741" w:name="_Toc13580388"/>
      <w:bookmarkStart w:id="742" w:name="_Toc13673570"/>
      <w:bookmarkStart w:id="743" w:name="_Toc13673886"/>
      <w:bookmarkStart w:id="744" w:name="_Toc13492809"/>
      <w:bookmarkStart w:id="745" w:name="_Toc13574849"/>
      <w:bookmarkStart w:id="746" w:name="_Toc13576636"/>
      <w:bookmarkStart w:id="747" w:name="_Toc13580389"/>
      <w:bookmarkStart w:id="748" w:name="_Toc13673571"/>
      <w:bookmarkStart w:id="749" w:name="_Toc13673887"/>
      <w:bookmarkStart w:id="750" w:name="_Toc13492810"/>
      <w:bookmarkStart w:id="751" w:name="_Toc13574850"/>
      <w:bookmarkStart w:id="752" w:name="_Toc13576637"/>
      <w:bookmarkStart w:id="753" w:name="_Toc13580390"/>
      <w:bookmarkStart w:id="754" w:name="_Toc13673572"/>
      <w:bookmarkStart w:id="755" w:name="_Toc13673888"/>
      <w:bookmarkStart w:id="756" w:name="_Toc13492811"/>
      <w:bookmarkStart w:id="757" w:name="_Toc13574851"/>
      <w:bookmarkStart w:id="758" w:name="_Toc13576638"/>
      <w:bookmarkStart w:id="759" w:name="_Toc13580391"/>
      <w:bookmarkStart w:id="760" w:name="_Toc13673573"/>
      <w:bookmarkStart w:id="761" w:name="_Toc13673889"/>
      <w:bookmarkStart w:id="762" w:name="_Toc13492812"/>
      <w:bookmarkStart w:id="763" w:name="_Toc13574852"/>
      <w:bookmarkStart w:id="764" w:name="_Toc13576639"/>
      <w:bookmarkStart w:id="765" w:name="_Toc13580392"/>
      <w:bookmarkStart w:id="766" w:name="_Toc13673574"/>
      <w:bookmarkStart w:id="767" w:name="_Toc13673890"/>
      <w:bookmarkStart w:id="768" w:name="_Toc13492813"/>
      <w:bookmarkStart w:id="769" w:name="_Toc13574853"/>
      <w:bookmarkStart w:id="770" w:name="_Toc13576640"/>
      <w:bookmarkStart w:id="771" w:name="_Toc13580393"/>
      <w:bookmarkStart w:id="772" w:name="_Toc13673575"/>
      <w:bookmarkStart w:id="773" w:name="_Toc13673891"/>
      <w:bookmarkStart w:id="774" w:name="_Toc13492823"/>
      <w:bookmarkStart w:id="775" w:name="_Toc13574863"/>
      <w:bookmarkStart w:id="776" w:name="_Toc13576650"/>
      <w:bookmarkStart w:id="777" w:name="_Toc13580403"/>
      <w:bookmarkStart w:id="778" w:name="_Toc13673585"/>
      <w:bookmarkStart w:id="779" w:name="_Toc13673901"/>
      <w:bookmarkStart w:id="780" w:name="_Toc13492836"/>
      <w:bookmarkStart w:id="781" w:name="_Toc13574876"/>
      <w:bookmarkStart w:id="782" w:name="_Toc13576663"/>
      <w:bookmarkStart w:id="783" w:name="_Toc13580416"/>
      <w:bookmarkStart w:id="784" w:name="_Toc13673598"/>
      <w:bookmarkStart w:id="785" w:name="_Toc13673914"/>
      <w:bookmarkStart w:id="786" w:name="_Toc18682405"/>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lastRenderedPageBreak/>
        <w:t>Forecasts of changes in costs of the subsector of construction of main underground pipelines</w:t>
      </w:r>
      <w:bookmarkEnd w:id="786"/>
    </w:p>
    <w:p w14:paraId="5F724E26" w14:textId="5ED02094" w:rsidR="0052387B" w:rsidRPr="00B2521E" w:rsidRDefault="0052387B">
      <w:pPr>
        <w:ind w:firstLine="851"/>
        <w:jc w:val="both"/>
      </w:pPr>
      <w:r>
        <w:t xml:space="preserve">An increase in volume in 2019 and 2020 is expected in the subsector of main underground pipelines. In later </w:t>
      </w:r>
      <w:proofErr w:type="gramStart"/>
      <w:r>
        <w:t>years</w:t>
      </w:r>
      <w:proofErr w:type="gramEnd"/>
      <w:r>
        <w:t xml:space="preserve"> expert evaluations and the statistical trend differ </w:t>
      </w:r>
      <w:r w:rsidR="00636D15">
        <w:t>significantly (see Figure No. 2</w:t>
      </w:r>
      <w:r w:rsidR="00835592">
        <w:t>0</w:t>
      </w:r>
      <w:r>
        <w:t>). The expert evaluation is the most moderate – without significant fluctuations after 2019. The statistical model points out to a significant risk of a drop in 2022 and 2023, similarly to 2016, due to the cyclic nature of absorption of EU funds.</w:t>
      </w:r>
    </w:p>
    <w:p w14:paraId="3F2CE04C" w14:textId="4EDD9174" w:rsidR="0052387B" w:rsidRPr="00B2521E" w:rsidRDefault="0052387B" w:rsidP="00895643">
      <w:pPr>
        <w:ind w:firstLine="851"/>
        <w:jc w:val="both"/>
      </w:pPr>
      <w:r>
        <w:t xml:space="preserve">The combined forecast shows that the cumulative increase in volume during the period will fluctuate within 8% to 23% of the level of 2018 with a reduction in volume by 13% in 2022. Taking into account indications of individual experts about the dynamics of public procurement plans, a bigger drop in the volume of orders </w:t>
      </w:r>
      <w:proofErr w:type="gramStart"/>
      <w:r>
        <w:t>is expected</w:t>
      </w:r>
      <w:proofErr w:type="gramEnd"/>
      <w:r>
        <w:t xml:space="preserve"> around 2021. </w:t>
      </w:r>
    </w:p>
    <w:p w14:paraId="37A58AF1" w14:textId="2521E995" w:rsidR="0052387B" w:rsidRPr="00B2521E" w:rsidRDefault="0052387B" w:rsidP="00895643">
      <w:pPr>
        <w:ind w:firstLine="851"/>
        <w:jc w:val="both"/>
      </w:pPr>
      <w:r>
        <w:t>Therefore, the combined forecast is more to be interpreted not as a set of individual annual forecasts, but as a general trend, where the risk of reduction in volume is expected after the increase in volume in 2019 and 2020.</w:t>
      </w:r>
    </w:p>
    <w:p w14:paraId="64D01664" w14:textId="2ED94205" w:rsidR="0052387B" w:rsidRPr="00B2521E" w:rsidRDefault="00835592" w:rsidP="0052387B">
      <w:pPr>
        <w:spacing w:before="100" w:after="200" w:line="276" w:lineRule="auto"/>
        <w:jc w:val="center"/>
        <w:rPr>
          <w:b/>
          <w:sz w:val="20"/>
        </w:rPr>
      </w:pPr>
      <w:r>
        <w:rPr>
          <w:b/>
          <w:sz w:val="20"/>
        </w:rPr>
        <w:t>Figure No. 20</w:t>
      </w:r>
      <w:r w:rsidR="0052387B">
        <w:rPr>
          <w:b/>
          <w:sz w:val="20"/>
        </w:rPr>
        <w:t>. Changes in volumes of construction products in the subsector of main underground pipelines before 2018 and forecasts from 2019 to 2023, cumulative changes compared to 2018, %</w:t>
      </w:r>
    </w:p>
    <w:p w14:paraId="1DF7E82D" w14:textId="58E89139" w:rsidR="0052387B" w:rsidRPr="00B2521E" w:rsidRDefault="005B49E2" w:rsidP="0052387B">
      <w:pPr>
        <w:spacing w:before="100" w:after="200" w:line="276" w:lineRule="auto"/>
        <w:jc w:val="center"/>
        <w:rPr>
          <w:bCs/>
        </w:rPr>
      </w:pPr>
      <w:r w:rsidRPr="005B49E2">
        <w:rPr>
          <w:noProof/>
          <w:lang w:val="en-US"/>
        </w:rPr>
        <w:drawing>
          <wp:inline distT="0" distB="0" distL="0" distR="0" wp14:anchorId="6D181EF5" wp14:editId="744FFA87">
            <wp:extent cx="5133975" cy="3727264"/>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44469" cy="3734883"/>
                    </a:xfrm>
                    <a:prstGeom prst="rect">
                      <a:avLst/>
                    </a:prstGeom>
                  </pic:spPr>
                </pic:pic>
              </a:graphicData>
            </a:graphic>
          </wp:inline>
        </w:drawing>
      </w:r>
    </w:p>
    <w:p w14:paraId="4A92C4C3" w14:textId="7E40A149" w:rsidR="0052387B" w:rsidRDefault="0052387B" w:rsidP="0052387B">
      <w:pPr>
        <w:jc w:val="center"/>
        <w:rPr>
          <w:sz w:val="20"/>
        </w:rPr>
      </w:pPr>
      <w:r>
        <w:rPr>
          <w:sz w:val="20"/>
        </w:rPr>
        <w:t>Source: CSB historical data before 2018 (inclusive) and calculations made by authors, based on expert evaluations and developed models – forecast for 2019-2023</w:t>
      </w:r>
    </w:p>
    <w:p w14:paraId="520A3CAF" w14:textId="6DC6E3AF" w:rsidR="0071000E" w:rsidRPr="00B2521E" w:rsidRDefault="0071000E" w:rsidP="0052387B">
      <w:pPr>
        <w:jc w:val="center"/>
        <w:rPr>
          <w:sz w:val="20"/>
        </w:rPr>
      </w:pPr>
    </w:p>
    <w:p w14:paraId="02198FD0" w14:textId="29AECCF2" w:rsidR="0071000E" w:rsidRPr="00B2521E" w:rsidRDefault="0071000E" w:rsidP="0052387B">
      <w:pPr>
        <w:jc w:val="center"/>
        <w:rPr>
          <w:sz w:val="20"/>
        </w:rPr>
      </w:pPr>
    </w:p>
    <w:p w14:paraId="31F9241A" w14:textId="3DEACF2A" w:rsidR="0071000E" w:rsidRPr="00B2521E" w:rsidRDefault="0071000E" w:rsidP="0052387B">
      <w:pPr>
        <w:jc w:val="center"/>
        <w:rPr>
          <w:sz w:val="20"/>
        </w:rPr>
      </w:pPr>
    </w:p>
    <w:p w14:paraId="741A504D" w14:textId="30879634" w:rsidR="0071000E" w:rsidRPr="00B2521E" w:rsidRDefault="0071000E" w:rsidP="0052387B">
      <w:pPr>
        <w:jc w:val="center"/>
        <w:rPr>
          <w:sz w:val="20"/>
        </w:rPr>
      </w:pPr>
    </w:p>
    <w:p w14:paraId="5C9A2906" w14:textId="2124A6BF" w:rsidR="0071000E" w:rsidRPr="00B2521E" w:rsidRDefault="0071000E" w:rsidP="0052387B">
      <w:pPr>
        <w:jc w:val="center"/>
        <w:rPr>
          <w:sz w:val="20"/>
        </w:rPr>
      </w:pPr>
    </w:p>
    <w:p w14:paraId="161D9F84" w14:textId="77777777" w:rsidR="0071000E" w:rsidRPr="00B2521E" w:rsidRDefault="0071000E" w:rsidP="0052387B">
      <w:pPr>
        <w:jc w:val="center"/>
        <w:rPr>
          <w:sz w:val="20"/>
        </w:rPr>
      </w:pPr>
    </w:p>
    <w:p w14:paraId="7B935270" w14:textId="3A3DA257" w:rsidR="0052387B" w:rsidRPr="00B2521E" w:rsidRDefault="00835592" w:rsidP="0052387B">
      <w:pPr>
        <w:jc w:val="center"/>
        <w:rPr>
          <w:b/>
          <w:sz w:val="20"/>
        </w:rPr>
      </w:pPr>
      <w:r>
        <w:rPr>
          <w:b/>
          <w:sz w:val="20"/>
        </w:rPr>
        <w:lastRenderedPageBreak/>
        <w:t>Figure No. 21</w:t>
      </w:r>
      <w:r w:rsidR="0052387B">
        <w:rPr>
          <w:b/>
          <w:sz w:val="20"/>
        </w:rPr>
        <w:t>. Changes in construction costs in the subsector of main underground pipelines before 2018 and forecasts from 2019 to 2023, cumulative changes compared to 2018, %</w:t>
      </w:r>
    </w:p>
    <w:p w14:paraId="5DCE9E94" w14:textId="3DD4085D" w:rsidR="0052387B" w:rsidRPr="00B2521E" w:rsidRDefault="005B49E2" w:rsidP="0052387B">
      <w:pPr>
        <w:jc w:val="center"/>
        <w:rPr>
          <w:bCs/>
        </w:rPr>
      </w:pPr>
      <w:r w:rsidRPr="005B49E2">
        <w:rPr>
          <w:noProof/>
          <w:lang w:val="en-US"/>
        </w:rPr>
        <w:drawing>
          <wp:inline distT="0" distB="0" distL="0" distR="0" wp14:anchorId="0A51BD04" wp14:editId="6226EA26">
            <wp:extent cx="5153025" cy="374109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65788" cy="3750360"/>
                    </a:xfrm>
                    <a:prstGeom prst="rect">
                      <a:avLst/>
                    </a:prstGeom>
                  </pic:spPr>
                </pic:pic>
              </a:graphicData>
            </a:graphic>
          </wp:inline>
        </w:drawing>
      </w:r>
    </w:p>
    <w:p w14:paraId="5AA67266" w14:textId="5FEF3CC8" w:rsidR="0052387B" w:rsidRDefault="0052387B" w:rsidP="0052387B">
      <w:pPr>
        <w:jc w:val="center"/>
        <w:rPr>
          <w:sz w:val="20"/>
        </w:rPr>
      </w:pPr>
      <w:r>
        <w:rPr>
          <w:sz w:val="20"/>
        </w:rPr>
        <w:t>Source: CSB historical data before 2018 (inclusive) and calculations made by authors, based on expert evaluations and developed models – forecast for 2019-2023</w:t>
      </w:r>
    </w:p>
    <w:p w14:paraId="544FCDE9" w14:textId="04744059" w:rsidR="0052387B" w:rsidRPr="00B2521E" w:rsidRDefault="0052387B" w:rsidP="00895643">
      <w:pPr>
        <w:ind w:firstLine="851"/>
        <w:jc w:val="both"/>
      </w:pPr>
      <w:r>
        <w:t>Opinions of experts in subsectors by types of resources show that the most important factors in changes of costs of labour force and construction products are volumes of construction products in Latvia, including public.</w:t>
      </w:r>
    </w:p>
    <w:p w14:paraId="149B498D" w14:textId="7AD53978" w:rsidR="0052387B" w:rsidRPr="00B2521E" w:rsidRDefault="0052387B" w:rsidP="00895643">
      <w:pPr>
        <w:ind w:firstLine="851"/>
        <w:jc w:val="both"/>
      </w:pPr>
      <w:r>
        <w:t xml:space="preserve">As to changes in labour costs, shortage of labour force is in the first place. </w:t>
      </w:r>
    </w:p>
    <w:p w14:paraId="24615AE6" w14:textId="528DCEC3" w:rsidR="0052387B" w:rsidRPr="00B2521E" w:rsidRDefault="0052387B" w:rsidP="00895643">
      <w:pPr>
        <w:ind w:firstLine="851"/>
        <w:jc w:val="both"/>
      </w:pPr>
      <w:r>
        <w:t xml:space="preserve">Fuel prices, availability of steel raw materials and equipment are mentioned as factors </w:t>
      </w:r>
      <w:r>
        <w:rPr>
          <w:rStyle w:val="st"/>
        </w:rPr>
        <w:t xml:space="preserve">affecting changes </w:t>
      </w:r>
      <w:r>
        <w:t>in costs of construction materials.</w:t>
      </w:r>
    </w:p>
    <w:p w14:paraId="45E8F7A1" w14:textId="610AB810" w:rsidR="0052387B" w:rsidRPr="00B2521E" w:rsidRDefault="0052387B" w:rsidP="0052387B">
      <w:pPr>
        <w:jc w:val="center"/>
        <w:rPr>
          <w:rFonts w:cstheme="minorHAnsi"/>
          <w:b/>
          <w:bCs/>
          <w:sz w:val="20"/>
          <w:szCs w:val="22"/>
        </w:rPr>
      </w:pPr>
      <w:r>
        <w:rPr>
          <w:b/>
          <w:bCs/>
          <w:sz w:val="20"/>
          <w:szCs w:val="18"/>
        </w:rPr>
        <w:t>Table</w:t>
      </w:r>
      <w:r>
        <w:rPr>
          <w:b/>
          <w:bCs/>
          <w:color w:val="222222"/>
          <w:sz w:val="20"/>
          <w:szCs w:val="18"/>
        </w:rPr>
        <w:t xml:space="preserve"> No. 9. Factors affecting changes in costs of labour force and construction materials in the construction subsector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52387B" w:rsidRPr="00B2521E" w14:paraId="40D304BD" w14:textId="77777777" w:rsidTr="003D3D7F">
        <w:trPr>
          <w:trHeight w:val="260"/>
        </w:trPr>
        <w:tc>
          <w:tcPr>
            <w:tcW w:w="7366" w:type="dxa"/>
            <w:shd w:val="clear" w:color="auto" w:fill="1F3763"/>
            <w:noWrap/>
          </w:tcPr>
          <w:p w14:paraId="1570BFAC" w14:textId="7344273C" w:rsidR="0052387B" w:rsidRPr="00B2521E" w:rsidRDefault="0052387B" w:rsidP="003D3D7F">
            <w:pPr>
              <w:spacing w:before="0" w:after="0"/>
              <w:jc w:val="center"/>
              <w:rPr>
                <w:rFonts w:cstheme="minorHAnsi"/>
                <w:color w:val="FFFFFF" w:themeColor="background1"/>
                <w:sz w:val="18"/>
                <w:szCs w:val="18"/>
              </w:rPr>
            </w:pPr>
            <w:r>
              <w:rPr>
                <w:b/>
                <w:bCs/>
                <w:color w:val="FFFFFF" w:themeColor="background1"/>
                <w:sz w:val="18"/>
                <w:szCs w:val="18"/>
              </w:rPr>
              <w:t>Factors affecting changes in costs of labour force in the subsector of construction of main underground pipelines</w:t>
            </w:r>
          </w:p>
        </w:tc>
        <w:tc>
          <w:tcPr>
            <w:tcW w:w="1985" w:type="dxa"/>
            <w:shd w:val="clear" w:color="auto" w:fill="1F3763"/>
            <w:vAlign w:val="bottom"/>
          </w:tcPr>
          <w:p w14:paraId="2175D758" w14:textId="77777777" w:rsidR="0052387B" w:rsidRPr="00B2521E" w:rsidRDefault="0052387B" w:rsidP="003D3D7F">
            <w:pPr>
              <w:spacing w:before="0" w:after="0"/>
              <w:jc w:val="center"/>
              <w:rPr>
                <w:rFonts w:cstheme="minorHAnsi"/>
                <w:color w:val="FFFFFF" w:themeColor="background1"/>
                <w:sz w:val="18"/>
                <w:szCs w:val="18"/>
              </w:rPr>
            </w:pPr>
            <w:r>
              <w:rPr>
                <w:b/>
                <w:bCs/>
                <w:color w:val="FFFFFF" w:themeColor="background1"/>
                <w:sz w:val="18"/>
                <w:szCs w:val="18"/>
              </w:rPr>
              <w:t>Average evaluation</w:t>
            </w:r>
          </w:p>
        </w:tc>
      </w:tr>
      <w:tr w:rsidR="0052387B" w:rsidRPr="00B2521E" w14:paraId="161594F0" w14:textId="77777777" w:rsidTr="003D3D7F">
        <w:trPr>
          <w:trHeight w:val="260"/>
        </w:trPr>
        <w:tc>
          <w:tcPr>
            <w:tcW w:w="7366" w:type="dxa"/>
            <w:shd w:val="clear" w:color="auto" w:fill="auto"/>
            <w:noWrap/>
            <w:hideMark/>
          </w:tcPr>
          <w:p w14:paraId="7A69A238" w14:textId="77777777" w:rsidR="0052387B" w:rsidRPr="00B2521E" w:rsidRDefault="0052387B" w:rsidP="003D3D7F">
            <w:pPr>
              <w:spacing w:before="0" w:after="0"/>
              <w:rPr>
                <w:rFonts w:cstheme="minorHAnsi"/>
                <w:color w:val="000000"/>
                <w:sz w:val="18"/>
                <w:szCs w:val="18"/>
              </w:rPr>
            </w:pPr>
            <w:r>
              <w:rPr>
                <w:color w:val="000000"/>
                <w:sz w:val="18"/>
                <w:szCs w:val="18"/>
              </w:rPr>
              <w:t>Shortage of labour force</w:t>
            </w:r>
          </w:p>
        </w:tc>
        <w:tc>
          <w:tcPr>
            <w:tcW w:w="1985" w:type="dxa"/>
            <w:shd w:val="clear" w:color="auto" w:fill="auto"/>
            <w:hideMark/>
          </w:tcPr>
          <w:p w14:paraId="41813D33" w14:textId="77777777" w:rsidR="0052387B" w:rsidRPr="00B2521E" w:rsidRDefault="0052387B" w:rsidP="003D3D7F">
            <w:pPr>
              <w:spacing w:before="0" w:after="0"/>
              <w:jc w:val="center"/>
              <w:rPr>
                <w:rFonts w:cstheme="minorHAnsi"/>
                <w:color w:val="000000"/>
                <w:sz w:val="18"/>
                <w:szCs w:val="18"/>
              </w:rPr>
            </w:pPr>
            <w:r>
              <w:rPr>
                <w:color w:val="000000"/>
                <w:sz w:val="18"/>
                <w:szCs w:val="18"/>
              </w:rPr>
              <w:t>8.75</w:t>
            </w:r>
          </w:p>
        </w:tc>
      </w:tr>
      <w:tr w:rsidR="0052387B" w:rsidRPr="00B2521E" w14:paraId="5E7FDE8E" w14:textId="77777777" w:rsidTr="003D3D7F">
        <w:trPr>
          <w:trHeight w:val="260"/>
        </w:trPr>
        <w:tc>
          <w:tcPr>
            <w:tcW w:w="7366" w:type="dxa"/>
            <w:shd w:val="clear" w:color="auto" w:fill="auto"/>
            <w:noWrap/>
            <w:hideMark/>
          </w:tcPr>
          <w:p w14:paraId="54FF72A2" w14:textId="77777777" w:rsidR="0052387B" w:rsidRPr="00B2521E" w:rsidRDefault="0052387B" w:rsidP="003D3D7F">
            <w:pPr>
              <w:spacing w:before="0" w:after="0"/>
              <w:rPr>
                <w:rFonts w:cstheme="minorHAnsi"/>
                <w:color w:val="000000"/>
                <w:sz w:val="18"/>
                <w:szCs w:val="18"/>
              </w:rPr>
            </w:pPr>
            <w:r>
              <w:rPr>
                <w:color w:val="000000"/>
                <w:sz w:val="18"/>
                <w:szCs w:val="18"/>
              </w:rPr>
              <w:t>Volume of construction concepts implemented for public funds</w:t>
            </w:r>
          </w:p>
        </w:tc>
        <w:tc>
          <w:tcPr>
            <w:tcW w:w="1985" w:type="dxa"/>
            <w:shd w:val="clear" w:color="auto" w:fill="auto"/>
            <w:hideMark/>
          </w:tcPr>
          <w:p w14:paraId="66DD9A93" w14:textId="77777777" w:rsidR="0052387B" w:rsidRPr="00B2521E" w:rsidRDefault="0052387B" w:rsidP="003D3D7F">
            <w:pPr>
              <w:spacing w:before="0" w:after="0"/>
              <w:jc w:val="center"/>
              <w:rPr>
                <w:rFonts w:cstheme="minorHAnsi"/>
                <w:color w:val="000000"/>
                <w:sz w:val="18"/>
                <w:szCs w:val="18"/>
              </w:rPr>
            </w:pPr>
            <w:r>
              <w:rPr>
                <w:color w:val="000000"/>
                <w:sz w:val="18"/>
                <w:szCs w:val="18"/>
              </w:rPr>
              <w:t>8.75</w:t>
            </w:r>
          </w:p>
        </w:tc>
      </w:tr>
      <w:tr w:rsidR="0052387B" w:rsidRPr="00B2521E" w14:paraId="01D21A6F" w14:textId="77777777" w:rsidTr="003D3D7F">
        <w:trPr>
          <w:trHeight w:val="260"/>
        </w:trPr>
        <w:tc>
          <w:tcPr>
            <w:tcW w:w="7366" w:type="dxa"/>
            <w:shd w:val="clear" w:color="auto" w:fill="auto"/>
            <w:noWrap/>
            <w:hideMark/>
          </w:tcPr>
          <w:p w14:paraId="6A89CFAA" w14:textId="4C894774" w:rsidR="0052387B" w:rsidRPr="00B2521E" w:rsidRDefault="0052387B" w:rsidP="003D3D7F">
            <w:pPr>
              <w:spacing w:before="0" w:after="0"/>
              <w:rPr>
                <w:rFonts w:cstheme="minorHAnsi"/>
                <w:color w:val="000000"/>
                <w:sz w:val="18"/>
                <w:szCs w:val="18"/>
              </w:rPr>
            </w:pPr>
            <w:r>
              <w:rPr>
                <w:color w:val="000000"/>
                <w:sz w:val="18"/>
                <w:szCs w:val="18"/>
              </w:rPr>
              <w:t>Volume of construction products in Latvia</w:t>
            </w:r>
          </w:p>
        </w:tc>
        <w:tc>
          <w:tcPr>
            <w:tcW w:w="1985" w:type="dxa"/>
            <w:shd w:val="clear" w:color="auto" w:fill="auto"/>
            <w:hideMark/>
          </w:tcPr>
          <w:p w14:paraId="43F0A40B" w14:textId="77777777" w:rsidR="0052387B" w:rsidRPr="00B2521E" w:rsidRDefault="0052387B" w:rsidP="003D3D7F">
            <w:pPr>
              <w:spacing w:before="0" w:after="0"/>
              <w:jc w:val="center"/>
              <w:rPr>
                <w:rFonts w:cstheme="minorHAnsi"/>
                <w:color w:val="000000"/>
                <w:sz w:val="18"/>
                <w:szCs w:val="18"/>
              </w:rPr>
            </w:pPr>
            <w:r>
              <w:rPr>
                <w:color w:val="000000"/>
                <w:sz w:val="18"/>
                <w:szCs w:val="18"/>
              </w:rPr>
              <w:t>7.50</w:t>
            </w:r>
          </w:p>
        </w:tc>
      </w:tr>
      <w:tr w:rsidR="0052387B" w:rsidRPr="00B2521E" w14:paraId="026477A1" w14:textId="77777777" w:rsidTr="003D3D7F">
        <w:trPr>
          <w:trHeight w:val="260"/>
        </w:trPr>
        <w:tc>
          <w:tcPr>
            <w:tcW w:w="7366" w:type="dxa"/>
            <w:shd w:val="clear" w:color="auto" w:fill="auto"/>
            <w:noWrap/>
            <w:hideMark/>
          </w:tcPr>
          <w:p w14:paraId="744CBF08" w14:textId="77777777" w:rsidR="0052387B" w:rsidRPr="00B2521E" w:rsidRDefault="0052387B" w:rsidP="003D3D7F">
            <w:pPr>
              <w:spacing w:before="0" w:after="0"/>
              <w:rPr>
                <w:rFonts w:cstheme="minorHAnsi"/>
                <w:color w:val="000000"/>
                <w:sz w:val="18"/>
                <w:szCs w:val="18"/>
              </w:rPr>
            </w:pPr>
            <w:r>
              <w:rPr>
                <w:color w:val="000000"/>
                <w:sz w:val="18"/>
                <w:szCs w:val="18"/>
              </w:rPr>
              <w:t>Labour force wage rate in EU countries in the construction sector</w:t>
            </w:r>
          </w:p>
        </w:tc>
        <w:tc>
          <w:tcPr>
            <w:tcW w:w="1985" w:type="dxa"/>
            <w:shd w:val="clear" w:color="auto" w:fill="auto"/>
            <w:hideMark/>
          </w:tcPr>
          <w:p w14:paraId="3F498447" w14:textId="77777777" w:rsidR="0052387B" w:rsidRPr="00B2521E" w:rsidRDefault="0052387B" w:rsidP="003D3D7F">
            <w:pPr>
              <w:spacing w:before="0" w:after="0"/>
              <w:jc w:val="center"/>
              <w:rPr>
                <w:rFonts w:cstheme="minorHAnsi"/>
                <w:color w:val="000000"/>
                <w:sz w:val="18"/>
                <w:szCs w:val="18"/>
              </w:rPr>
            </w:pPr>
            <w:r>
              <w:rPr>
                <w:color w:val="000000"/>
                <w:sz w:val="18"/>
                <w:szCs w:val="18"/>
              </w:rPr>
              <w:t>6.50</w:t>
            </w:r>
          </w:p>
        </w:tc>
      </w:tr>
    </w:tbl>
    <w:p w14:paraId="634E1B2D" w14:textId="77777777" w:rsidR="0052387B" w:rsidRPr="00B2521E" w:rsidRDefault="0052387B" w:rsidP="0052387B">
      <w:pPr>
        <w:spacing w:before="0" w:after="0"/>
        <w:rPr>
          <w:rFonts w:cstheme="minorHAnsi"/>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52387B" w:rsidRPr="00B2521E" w14:paraId="490307C6" w14:textId="77777777" w:rsidTr="003D3D7F">
        <w:trPr>
          <w:trHeight w:val="260"/>
        </w:trPr>
        <w:tc>
          <w:tcPr>
            <w:tcW w:w="7366" w:type="dxa"/>
            <w:shd w:val="clear" w:color="auto" w:fill="1F3763"/>
            <w:noWrap/>
          </w:tcPr>
          <w:p w14:paraId="46757653" w14:textId="18A21871"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construction materials in the subsector of construction of main underground pipelines</w:t>
            </w:r>
          </w:p>
        </w:tc>
        <w:tc>
          <w:tcPr>
            <w:tcW w:w="1985" w:type="dxa"/>
            <w:shd w:val="clear" w:color="auto" w:fill="1F3763"/>
            <w:vAlign w:val="bottom"/>
          </w:tcPr>
          <w:p w14:paraId="23492AFE" w14:textId="77777777"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52387B" w:rsidRPr="00B2521E" w14:paraId="3606CDD3" w14:textId="77777777" w:rsidTr="003D3D7F">
        <w:trPr>
          <w:trHeight w:val="260"/>
        </w:trPr>
        <w:tc>
          <w:tcPr>
            <w:tcW w:w="7366" w:type="dxa"/>
            <w:shd w:val="clear" w:color="auto" w:fill="auto"/>
            <w:noWrap/>
            <w:hideMark/>
          </w:tcPr>
          <w:p w14:paraId="144E04EF" w14:textId="77777777" w:rsidR="0052387B" w:rsidRPr="00B2521E" w:rsidRDefault="0052387B" w:rsidP="003D3D7F">
            <w:pPr>
              <w:spacing w:before="0" w:after="0"/>
              <w:rPr>
                <w:rFonts w:cstheme="minorHAnsi"/>
                <w:color w:val="000000"/>
                <w:sz w:val="18"/>
                <w:szCs w:val="18"/>
              </w:rPr>
            </w:pPr>
            <w:r>
              <w:rPr>
                <w:color w:val="000000"/>
                <w:sz w:val="18"/>
                <w:szCs w:val="18"/>
              </w:rPr>
              <w:t xml:space="preserve"> Volume of construction concepts implemented for public funds</w:t>
            </w:r>
          </w:p>
        </w:tc>
        <w:tc>
          <w:tcPr>
            <w:tcW w:w="1985" w:type="dxa"/>
            <w:shd w:val="clear" w:color="auto" w:fill="auto"/>
            <w:hideMark/>
          </w:tcPr>
          <w:p w14:paraId="101FFBAD" w14:textId="77777777" w:rsidR="0052387B" w:rsidRPr="00B2521E" w:rsidRDefault="0052387B" w:rsidP="003D3D7F">
            <w:pPr>
              <w:spacing w:before="0" w:after="0"/>
              <w:jc w:val="center"/>
              <w:rPr>
                <w:rFonts w:cstheme="minorHAnsi"/>
                <w:color w:val="000000"/>
                <w:sz w:val="18"/>
                <w:szCs w:val="18"/>
              </w:rPr>
            </w:pPr>
            <w:r>
              <w:rPr>
                <w:color w:val="000000"/>
                <w:sz w:val="18"/>
                <w:szCs w:val="18"/>
              </w:rPr>
              <w:t>7.00</w:t>
            </w:r>
          </w:p>
        </w:tc>
      </w:tr>
      <w:tr w:rsidR="0052387B" w:rsidRPr="00B2521E" w14:paraId="39BADC2B" w14:textId="77777777" w:rsidTr="003D3D7F">
        <w:trPr>
          <w:trHeight w:val="260"/>
        </w:trPr>
        <w:tc>
          <w:tcPr>
            <w:tcW w:w="7366" w:type="dxa"/>
            <w:shd w:val="clear" w:color="auto" w:fill="auto"/>
            <w:noWrap/>
          </w:tcPr>
          <w:p w14:paraId="3E12F769" w14:textId="14D42012" w:rsidR="0052387B" w:rsidRPr="00B2521E" w:rsidRDefault="0052387B" w:rsidP="003D3D7F">
            <w:pPr>
              <w:spacing w:before="0" w:after="0"/>
              <w:rPr>
                <w:rFonts w:cstheme="minorHAnsi"/>
                <w:color w:val="000000"/>
                <w:sz w:val="18"/>
                <w:szCs w:val="18"/>
              </w:rPr>
            </w:pPr>
            <w:r>
              <w:rPr>
                <w:color w:val="000000"/>
                <w:sz w:val="18"/>
                <w:szCs w:val="18"/>
              </w:rPr>
              <w:t>Volume of construction products in the country</w:t>
            </w:r>
          </w:p>
        </w:tc>
        <w:tc>
          <w:tcPr>
            <w:tcW w:w="1985" w:type="dxa"/>
            <w:shd w:val="clear" w:color="auto" w:fill="auto"/>
          </w:tcPr>
          <w:p w14:paraId="78AA563A" w14:textId="77777777" w:rsidR="0052387B" w:rsidRPr="00B2521E" w:rsidRDefault="0052387B" w:rsidP="003D3D7F">
            <w:pPr>
              <w:spacing w:before="0" w:after="0"/>
              <w:jc w:val="center"/>
              <w:rPr>
                <w:rFonts w:cstheme="minorHAnsi"/>
                <w:color w:val="000000"/>
                <w:sz w:val="18"/>
                <w:szCs w:val="18"/>
              </w:rPr>
            </w:pPr>
            <w:r>
              <w:rPr>
                <w:color w:val="000000"/>
                <w:sz w:val="18"/>
                <w:szCs w:val="18"/>
              </w:rPr>
              <w:t>6.75</w:t>
            </w:r>
          </w:p>
        </w:tc>
      </w:tr>
      <w:tr w:rsidR="0052387B" w:rsidRPr="00B2521E" w14:paraId="3770B443" w14:textId="77777777" w:rsidTr="003D3D7F">
        <w:trPr>
          <w:trHeight w:val="260"/>
        </w:trPr>
        <w:tc>
          <w:tcPr>
            <w:tcW w:w="7366" w:type="dxa"/>
            <w:shd w:val="clear" w:color="auto" w:fill="auto"/>
            <w:noWrap/>
            <w:hideMark/>
          </w:tcPr>
          <w:p w14:paraId="509D2314" w14:textId="77777777" w:rsidR="0052387B" w:rsidRPr="00B2521E" w:rsidRDefault="0052387B" w:rsidP="003D3D7F">
            <w:pPr>
              <w:spacing w:before="0" w:after="0"/>
              <w:rPr>
                <w:rFonts w:cstheme="minorHAnsi"/>
                <w:color w:val="000000"/>
                <w:sz w:val="18"/>
                <w:szCs w:val="18"/>
              </w:rPr>
            </w:pPr>
            <w:r>
              <w:rPr>
                <w:color w:val="000000"/>
                <w:sz w:val="18"/>
                <w:szCs w:val="18"/>
              </w:rPr>
              <w:t>Average fuel price in the country, increase in prices of oil products, electricity price</w:t>
            </w:r>
          </w:p>
        </w:tc>
        <w:tc>
          <w:tcPr>
            <w:tcW w:w="1985" w:type="dxa"/>
            <w:shd w:val="clear" w:color="auto" w:fill="auto"/>
            <w:hideMark/>
          </w:tcPr>
          <w:p w14:paraId="37579EB7" w14:textId="77777777" w:rsidR="0052387B" w:rsidRPr="00B2521E" w:rsidRDefault="0052387B" w:rsidP="003D3D7F">
            <w:pPr>
              <w:spacing w:before="0" w:after="0"/>
              <w:jc w:val="center"/>
              <w:rPr>
                <w:rFonts w:cstheme="minorHAnsi"/>
                <w:color w:val="000000"/>
                <w:sz w:val="18"/>
                <w:szCs w:val="18"/>
              </w:rPr>
            </w:pPr>
            <w:r>
              <w:rPr>
                <w:color w:val="000000"/>
                <w:sz w:val="18"/>
                <w:szCs w:val="18"/>
              </w:rPr>
              <w:t>6.50</w:t>
            </w:r>
          </w:p>
        </w:tc>
      </w:tr>
      <w:tr w:rsidR="0052387B" w:rsidRPr="00B2521E" w14:paraId="2F2FDEC5" w14:textId="77777777" w:rsidTr="003D3D7F">
        <w:trPr>
          <w:trHeight w:val="260"/>
        </w:trPr>
        <w:tc>
          <w:tcPr>
            <w:tcW w:w="7366" w:type="dxa"/>
            <w:shd w:val="clear" w:color="auto" w:fill="auto"/>
            <w:noWrap/>
            <w:hideMark/>
          </w:tcPr>
          <w:p w14:paraId="79C049C0" w14:textId="77777777" w:rsidR="0052387B" w:rsidRPr="00B2521E" w:rsidRDefault="0052387B" w:rsidP="003D3D7F">
            <w:pPr>
              <w:spacing w:before="0" w:after="0"/>
              <w:rPr>
                <w:rFonts w:cstheme="minorHAnsi"/>
                <w:color w:val="000000"/>
                <w:sz w:val="18"/>
                <w:szCs w:val="18"/>
              </w:rPr>
            </w:pPr>
            <w:r>
              <w:rPr>
                <w:color w:val="000000"/>
                <w:sz w:val="18"/>
                <w:szCs w:val="18"/>
              </w:rPr>
              <w:t>Availability of steel raw materials and pipe fittings and the level of prices in the EU market</w:t>
            </w:r>
          </w:p>
        </w:tc>
        <w:tc>
          <w:tcPr>
            <w:tcW w:w="1985" w:type="dxa"/>
            <w:shd w:val="clear" w:color="auto" w:fill="auto"/>
            <w:hideMark/>
          </w:tcPr>
          <w:p w14:paraId="60DA3BAA" w14:textId="77777777" w:rsidR="0052387B" w:rsidRPr="00B2521E" w:rsidRDefault="0052387B" w:rsidP="003D3D7F">
            <w:pPr>
              <w:spacing w:before="0" w:after="0"/>
              <w:jc w:val="center"/>
              <w:rPr>
                <w:rFonts w:cstheme="minorHAnsi"/>
                <w:color w:val="000000"/>
                <w:sz w:val="18"/>
                <w:szCs w:val="18"/>
              </w:rPr>
            </w:pPr>
            <w:r>
              <w:rPr>
                <w:color w:val="000000"/>
                <w:sz w:val="18"/>
                <w:szCs w:val="18"/>
              </w:rPr>
              <w:t>6.50</w:t>
            </w:r>
          </w:p>
        </w:tc>
      </w:tr>
      <w:tr w:rsidR="0052387B" w:rsidRPr="00B2521E" w14:paraId="7A545CD3" w14:textId="77777777" w:rsidTr="003D3D7F">
        <w:trPr>
          <w:trHeight w:val="260"/>
        </w:trPr>
        <w:tc>
          <w:tcPr>
            <w:tcW w:w="7366" w:type="dxa"/>
            <w:shd w:val="clear" w:color="auto" w:fill="auto"/>
            <w:noWrap/>
            <w:hideMark/>
          </w:tcPr>
          <w:p w14:paraId="5A8208A0" w14:textId="77777777" w:rsidR="0052387B" w:rsidRPr="00B2521E" w:rsidRDefault="0052387B" w:rsidP="003D3D7F">
            <w:pPr>
              <w:spacing w:before="0" w:after="0"/>
              <w:rPr>
                <w:rFonts w:cstheme="minorHAnsi"/>
                <w:color w:val="000000"/>
                <w:sz w:val="18"/>
                <w:szCs w:val="18"/>
              </w:rPr>
            </w:pPr>
            <w:r>
              <w:rPr>
                <w:color w:val="000000"/>
                <w:sz w:val="18"/>
                <w:szCs w:val="18"/>
              </w:rPr>
              <w:t>Availability of technological equipment, delivery time and the level of prices in the EU market</w:t>
            </w:r>
          </w:p>
        </w:tc>
        <w:tc>
          <w:tcPr>
            <w:tcW w:w="1985" w:type="dxa"/>
            <w:shd w:val="clear" w:color="auto" w:fill="auto"/>
            <w:hideMark/>
          </w:tcPr>
          <w:p w14:paraId="4991D2E4" w14:textId="77777777" w:rsidR="0052387B" w:rsidRPr="00B2521E" w:rsidRDefault="0052387B" w:rsidP="003D3D7F">
            <w:pPr>
              <w:spacing w:before="0" w:after="0"/>
              <w:jc w:val="center"/>
              <w:rPr>
                <w:rFonts w:cstheme="minorHAnsi"/>
                <w:color w:val="000000"/>
                <w:sz w:val="18"/>
                <w:szCs w:val="18"/>
              </w:rPr>
            </w:pPr>
            <w:r>
              <w:rPr>
                <w:color w:val="000000"/>
                <w:sz w:val="18"/>
                <w:szCs w:val="18"/>
              </w:rPr>
              <w:t>6.25</w:t>
            </w:r>
          </w:p>
        </w:tc>
      </w:tr>
    </w:tbl>
    <w:p w14:paraId="117A0F5B" w14:textId="77777777" w:rsidR="0052387B" w:rsidRPr="00B2521E" w:rsidRDefault="0052387B" w:rsidP="0052387B">
      <w:pPr>
        <w:jc w:val="center"/>
        <w:rPr>
          <w:sz w:val="20"/>
          <w:szCs w:val="18"/>
        </w:rPr>
      </w:pPr>
      <w:r>
        <w:rPr>
          <w:sz w:val="20"/>
          <w:szCs w:val="18"/>
        </w:rPr>
        <w:t>Source: Expert interviews</w:t>
      </w:r>
    </w:p>
    <w:p w14:paraId="12ABBD8D" w14:textId="62338DA2" w:rsidR="0052387B" w:rsidRPr="00B2521E" w:rsidRDefault="0052387B" w:rsidP="00895643">
      <w:pPr>
        <w:ind w:firstLine="851"/>
        <w:jc w:val="both"/>
        <w:rPr>
          <w:b/>
          <w:sz w:val="20"/>
          <w:szCs w:val="18"/>
        </w:rPr>
      </w:pPr>
      <w:r>
        <w:lastRenderedPageBreak/>
        <w:t>The evaluation of forecasts of changes in costs by experts of the subsector by types of resources shows a stable increase of costs in all types of resources. Similarly</w:t>
      </w:r>
      <w:r w:rsidR="00835592">
        <w:t>,</w:t>
      </w:r>
      <w:r>
        <w:t xml:space="preserve"> to construction in general, the largest increase </w:t>
      </w:r>
      <w:proofErr w:type="gramStart"/>
      <w:r>
        <w:t>is expected</w:t>
      </w:r>
      <w:proofErr w:type="gramEnd"/>
      <w:r>
        <w:t xml:space="preserve"> in the areas related to human resources, however, changes in costs of construction materials and maintenance and operation of machines and mechanisms will stably grow relatively more than construction in general.</w:t>
      </w:r>
    </w:p>
    <w:p w14:paraId="61937322" w14:textId="7920B03B" w:rsidR="0052387B" w:rsidRPr="00B2521E" w:rsidRDefault="00835592" w:rsidP="0052387B">
      <w:pPr>
        <w:jc w:val="center"/>
        <w:rPr>
          <w:b/>
          <w:sz w:val="20"/>
          <w:szCs w:val="18"/>
        </w:rPr>
      </w:pPr>
      <w:r>
        <w:rPr>
          <w:b/>
          <w:sz w:val="20"/>
          <w:szCs w:val="18"/>
        </w:rPr>
        <w:t>Figure No. 22</w:t>
      </w:r>
      <w:r w:rsidR="0052387B">
        <w:rPr>
          <w:b/>
          <w:sz w:val="20"/>
          <w:szCs w:val="18"/>
        </w:rPr>
        <w:t xml:space="preserve">. Forecast of changes in construction costs by types of resources in the subsector of main underground pipelines, </w:t>
      </w:r>
      <w:r w:rsidR="0052387B">
        <w:rPr>
          <w:b/>
          <w:sz w:val="20"/>
        </w:rPr>
        <w:t>cumulative changes compared to 2018, %</w:t>
      </w:r>
    </w:p>
    <w:p w14:paraId="70B4BFEE" w14:textId="1AC44D12" w:rsidR="0052387B" w:rsidRPr="00B2521E" w:rsidRDefault="00AC6CE9" w:rsidP="0052387B">
      <w:pPr>
        <w:jc w:val="center"/>
        <w:rPr>
          <w:rFonts w:cstheme="minorHAnsi"/>
          <w:szCs w:val="24"/>
        </w:rPr>
      </w:pPr>
      <w:r w:rsidRPr="00AC6CE9">
        <w:rPr>
          <w:noProof/>
          <w:lang w:val="en-US"/>
        </w:rPr>
        <w:drawing>
          <wp:inline distT="0" distB="0" distL="0" distR="0" wp14:anchorId="77CD7A5C" wp14:editId="20DC1EEC">
            <wp:extent cx="4342857" cy="2523809"/>
            <wp:effectExtent l="0" t="0" r="635" b="0"/>
            <wp:docPr id="1006675210" name="Picture 100667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42857" cy="2523809"/>
                    </a:xfrm>
                    <a:prstGeom prst="rect">
                      <a:avLst/>
                    </a:prstGeom>
                  </pic:spPr>
                </pic:pic>
              </a:graphicData>
            </a:graphic>
          </wp:inline>
        </w:drawing>
      </w:r>
    </w:p>
    <w:p w14:paraId="613412D5" w14:textId="75CDE7E7" w:rsidR="0052387B" w:rsidRDefault="0052387B" w:rsidP="0052387B">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778560D9" w14:textId="77777777" w:rsidR="00AE03FF" w:rsidRPr="00B2521E" w:rsidRDefault="00AE03FF" w:rsidP="0052387B">
      <w:pPr>
        <w:spacing w:before="100" w:after="200" w:line="276" w:lineRule="auto"/>
        <w:jc w:val="center"/>
        <w:rPr>
          <w:sz w:val="20"/>
        </w:rPr>
      </w:pPr>
    </w:p>
    <w:p w14:paraId="69E35E2E" w14:textId="77777777" w:rsidR="00486F98" w:rsidRPr="00B2521E" w:rsidRDefault="00486F98" w:rsidP="00E92138">
      <w:pPr>
        <w:ind w:firstLine="720"/>
        <w:jc w:val="both"/>
      </w:pPr>
      <w:r>
        <w:t xml:space="preserve">Differences </w:t>
      </w:r>
      <w:proofErr w:type="gramStart"/>
      <w:r>
        <w:t>are observed</w:t>
      </w:r>
      <w:proofErr w:type="gramEnd"/>
      <w:r>
        <w:t xml:space="preserve"> when comparing general changes in costs in the subsector with changes in costs broken down by types of resources – the breakdown by resources shows a higher increase in costs. There are two reasons for that:</w:t>
      </w:r>
    </w:p>
    <w:p w14:paraId="52A0F509" w14:textId="77777777" w:rsidR="00486F98" w:rsidRPr="00B2521E" w:rsidRDefault="00486F98" w:rsidP="00E92138">
      <w:pPr>
        <w:jc w:val="both"/>
      </w:pPr>
      <w:r>
        <w:t>experts’ own evaluations about the subsector in general show lower values of increase in costs that when evaluating resources separately;</w:t>
      </w:r>
    </w:p>
    <w:p w14:paraId="03E52A72" w14:textId="77777777" w:rsidR="00486F98" w:rsidRPr="00B2521E" w:rsidRDefault="00486F98" w:rsidP="00E92138">
      <w:pPr>
        <w:jc w:val="both"/>
      </w:pPr>
      <w:r>
        <w:t>the general forecast of changes in costs of the subsector is formed by three sources, incl. the statistical trend and the elasticity model, while the source for the breakdown of costs by types of resources contain are expert evaluations only.</w:t>
      </w:r>
    </w:p>
    <w:p w14:paraId="59E96563" w14:textId="099A1888" w:rsidR="00486F98" w:rsidRPr="00B2521E" w:rsidRDefault="00486F98" w:rsidP="00E92138">
      <w:pPr>
        <w:spacing w:before="100" w:after="200" w:line="276" w:lineRule="auto"/>
        <w:jc w:val="both"/>
        <w:rPr>
          <w:sz w:val="20"/>
        </w:rPr>
      </w:pPr>
      <w:r>
        <w:t xml:space="preserve">Therefore, when interpreting the forecasts, it </w:t>
      </w:r>
      <w:proofErr w:type="gramStart"/>
      <w:r>
        <w:t>should be taken</w:t>
      </w:r>
      <w:proofErr w:type="gramEnd"/>
      <w:r>
        <w:t xml:space="preserve"> into account that the results broken down by types of resources may have lower values in the first years of the forecast period than shown by the results of expert interviews.</w:t>
      </w:r>
    </w:p>
    <w:p w14:paraId="529A53CE" w14:textId="77777777" w:rsidR="0052387B" w:rsidRPr="00B2521E" w:rsidRDefault="0052387B" w:rsidP="0052387B">
      <w:pPr>
        <w:pStyle w:val="Heading2"/>
        <w:rPr>
          <w:rFonts w:eastAsia="Times New Roman"/>
        </w:rPr>
      </w:pPr>
      <w:bookmarkStart w:id="787" w:name="_Toc13492838"/>
      <w:bookmarkStart w:id="788" w:name="_Toc13574878"/>
      <w:bookmarkStart w:id="789" w:name="_Toc13576665"/>
      <w:bookmarkStart w:id="790" w:name="_Toc13580418"/>
      <w:bookmarkStart w:id="791" w:name="_Toc13673600"/>
      <w:bookmarkStart w:id="792" w:name="_Toc13673916"/>
      <w:bookmarkStart w:id="793" w:name="_Toc18682406"/>
      <w:bookmarkEnd w:id="787"/>
      <w:bookmarkEnd w:id="788"/>
      <w:bookmarkEnd w:id="789"/>
      <w:bookmarkEnd w:id="790"/>
      <w:bookmarkEnd w:id="791"/>
      <w:bookmarkEnd w:id="792"/>
      <w:r>
        <w:t>Forecasts of changes in costs of the subsector of other civil engineering projects</w:t>
      </w:r>
      <w:bookmarkEnd w:id="793"/>
    </w:p>
    <w:p w14:paraId="058DEDEA" w14:textId="0B39DF16" w:rsidR="0052387B" w:rsidRPr="00B2521E" w:rsidRDefault="0052387B" w:rsidP="0052387B">
      <w:pPr>
        <w:ind w:firstLine="851"/>
        <w:jc w:val="both"/>
      </w:pPr>
      <w:r>
        <w:t xml:space="preserve">Huge volume fluctuations by years </w:t>
      </w:r>
      <w:proofErr w:type="gramStart"/>
      <w:r>
        <w:t>have historically been observed</w:t>
      </w:r>
      <w:proofErr w:type="gramEnd"/>
      <w:r>
        <w:t xml:space="preserve"> in the subsector of other civil engineering projects, which prevent from making credible short-</w:t>
      </w:r>
      <w:r w:rsidR="00835592">
        <w:t>term forecasts (see Figure No.23</w:t>
      </w:r>
      <w:r>
        <w:t xml:space="preserve">). The expert evaluation </w:t>
      </w:r>
      <w:proofErr w:type="gramStart"/>
      <w:r>
        <w:t>was selected</w:t>
      </w:r>
      <w:proofErr w:type="gramEnd"/>
      <w:r>
        <w:t xml:space="preserve"> as a leitmotif of the forecasts for the subsector, which expects a considerable drop in volume after 2021 reaching a cumulative drop of -</w:t>
      </w:r>
      <w:r w:rsidR="00835592">
        <w:t xml:space="preserve"> </w:t>
      </w:r>
      <w:r>
        <w:t>31% in 2023 compared to the level of 2018.</w:t>
      </w:r>
    </w:p>
    <w:p w14:paraId="7CADD34C" w14:textId="3390166D" w:rsidR="0071000E" w:rsidRPr="00B2521E" w:rsidRDefault="0071000E" w:rsidP="0052387B">
      <w:pPr>
        <w:ind w:firstLine="851"/>
        <w:jc w:val="both"/>
      </w:pPr>
    </w:p>
    <w:p w14:paraId="39B92B57" w14:textId="0FC076FC" w:rsidR="0071000E" w:rsidRPr="00B2521E" w:rsidRDefault="0071000E" w:rsidP="0052387B">
      <w:pPr>
        <w:ind w:firstLine="851"/>
        <w:jc w:val="both"/>
      </w:pPr>
    </w:p>
    <w:p w14:paraId="0BB17BEF" w14:textId="3309805C" w:rsidR="0052387B" w:rsidRPr="00B2521E" w:rsidRDefault="00835592" w:rsidP="0052387B">
      <w:pPr>
        <w:jc w:val="center"/>
        <w:rPr>
          <w:b/>
          <w:sz w:val="20"/>
        </w:rPr>
      </w:pPr>
      <w:r>
        <w:rPr>
          <w:b/>
          <w:sz w:val="20"/>
        </w:rPr>
        <w:lastRenderedPageBreak/>
        <w:t>Figure No. 23</w:t>
      </w:r>
      <w:r w:rsidR="0052387B">
        <w:rPr>
          <w:b/>
          <w:sz w:val="20"/>
        </w:rPr>
        <w:t>. Changes in volumes of construction products in the subsector of other civil engineering projects before 2018 and forecasts from 2019 to 2023, cumulative changes compared to 2018, %</w:t>
      </w:r>
    </w:p>
    <w:p w14:paraId="32EC4881" w14:textId="0DB3AAFB" w:rsidR="0052387B" w:rsidRPr="00B2521E" w:rsidRDefault="007E2581" w:rsidP="0052387B">
      <w:pPr>
        <w:jc w:val="center"/>
        <w:rPr>
          <w:bCs/>
          <w:sz w:val="20"/>
        </w:rPr>
      </w:pPr>
      <w:r w:rsidRPr="007E2581">
        <w:rPr>
          <w:noProof/>
          <w:lang w:val="en-US"/>
        </w:rPr>
        <w:drawing>
          <wp:inline distT="0" distB="0" distL="0" distR="0" wp14:anchorId="40B30D91" wp14:editId="275BF5E3">
            <wp:extent cx="5038725" cy="365811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45112" cy="3662749"/>
                    </a:xfrm>
                    <a:prstGeom prst="rect">
                      <a:avLst/>
                    </a:prstGeom>
                  </pic:spPr>
                </pic:pic>
              </a:graphicData>
            </a:graphic>
          </wp:inline>
        </w:drawing>
      </w:r>
    </w:p>
    <w:p w14:paraId="2DA65E0C" w14:textId="78891114" w:rsidR="0052387B" w:rsidRDefault="0052387B" w:rsidP="0052387B">
      <w:pPr>
        <w:jc w:val="center"/>
        <w:rPr>
          <w:sz w:val="20"/>
        </w:rPr>
      </w:pPr>
      <w:r>
        <w:rPr>
          <w:sz w:val="20"/>
        </w:rPr>
        <w:t>Source: CSB historical data before 2018 (inclusive) and calculations made by authors, based on expert evaluations – forecast for 2019-2023</w:t>
      </w:r>
    </w:p>
    <w:p w14:paraId="6272BC63" w14:textId="4ED60A57" w:rsidR="0052387B" w:rsidRPr="00B2521E" w:rsidRDefault="0052387B" w:rsidP="0052387B">
      <w:pPr>
        <w:ind w:firstLine="851"/>
        <w:jc w:val="both"/>
      </w:pPr>
      <w:r>
        <w:t>Taking into account the forecast changes in volume, as well as the expert evaluation and the statistical data trend in the subsector of other civil engineering projects, for the period from 2019 to 2023 each data source shows different dynamics in forecasts of cha</w:t>
      </w:r>
      <w:r w:rsidR="00835592">
        <w:t>nges in costs (see Figure No. 24</w:t>
      </w:r>
      <w:r>
        <w:t>).</w:t>
      </w:r>
    </w:p>
    <w:p w14:paraId="66B20D7C" w14:textId="51557674" w:rsidR="0052387B" w:rsidRPr="00B2521E" w:rsidRDefault="0052387B" w:rsidP="00895643">
      <w:pPr>
        <w:ind w:firstLine="851"/>
        <w:jc w:val="both"/>
      </w:pPr>
      <w:r>
        <w:t xml:space="preserve">The expert evaluation shows a stable, yet moderate increase in </w:t>
      </w:r>
      <w:r>
        <w:rPr>
          <w:rStyle w:val="st"/>
        </w:rPr>
        <w:t>changes</w:t>
      </w:r>
      <w:r>
        <w:t xml:space="preserve"> in costs up to 15% in 2023 compared to the level of 2018. The cost-volume elasticity model shows a reduction of </w:t>
      </w:r>
      <w:r>
        <w:rPr>
          <w:rStyle w:val="st"/>
        </w:rPr>
        <w:t>changes</w:t>
      </w:r>
      <w:r>
        <w:t xml:space="preserve"> in costs from 2021. The statistical model shows a reduction of </w:t>
      </w:r>
      <w:r>
        <w:rPr>
          <w:rStyle w:val="st"/>
        </w:rPr>
        <w:t>changes</w:t>
      </w:r>
      <w:r>
        <w:t xml:space="preserve"> in costs throughout the entire period. Since the historical time series shows a wave drop in a longer </w:t>
      </w:r>
      <w:proofErr w:type="gramStart"/>
      <w:r>
        <w:t>period of time</w:t>
      </w:r>
      <w:proofErr w:type="gramEnd"/>
      <w:r>
        <w:t>, then the model forecasts the drop also in a longer future period. However, this has no unambiguous economic justification, and therefore the forecasts of the model are more important in the nearest years.</w:t>
      </w:r>
    </w:p>
    <w:p w14:paraId="57BC40FC" w14:textId="0BB85C6D" w:rsidR="0052387B" w:rsidRPr="00B2521E" w:rsidRDefault="0052387B">
      <w:pPr>
        <w:ind w:firstLine="851"/>
        <w:jc w:val="both"/>
      </w:pPr>
      <w:r>
        <w:t xml:space="preserve">The combined forecast shows that a small cumulative increase of </w:t>
      </w:r>
      <w:r>
        <w:rPr>
          <w:rStyle w:val="st"/>
        </w:rPr>
        <w:t>changes</w:t>
      </w:r>
      <w:r>
        <w:t xml:space="preserve"> in costs in 2019 and 2020 will be followed by a drop of</w:t>
      </w:r>
      <w:r>
        <w:rPr>
          <w:rStyle w:val="st"/>
        </w:rPr>
        <w:t xml:space="preserve"> changes</w:t>
      </w:r>
      <w:r>
        <w:t xml:space="preserve"> in costs until 2023. Taking into account huge annual fluctuations of the construction volume, as well as peculiarities of the statistical model in the subsector, the forecast after 2020 have not stable reasonable justification. In accordance with CSB data, the level changes in costs of engineering projects increased by 4.9% in Q1 2019, compared to Q1 2018, which is more in line with expert evaluations.</w:t>
      </w:r>
    </w:p>
    <w:p w14:paraId="28C153CE" w14:textId="1BB8D783" w:rsidR="0071000E" w:rsidRPr="00B2521E" w:rsidRDefault="0071000E" w:rsidP="0071000E">
      <w:pPr>
        <w:ind w:firstLine="851"/>
        <w:jc w:val="both"/>
      </w:pPr>
    </w:p>
    <w:p w14:paraId="1D306F9E" w14:textId="6636CE9F" w:rsidR="0071000E" w:rsidRPr="00B2521E" w:rsidRDefault="0071000E" w:rsidP="0071000E">
      <w:pPr>
        <w:ind w:firstLine="851"/>
        <w:jc w:val="both"/>
      </w:pPr>
    </w:p>
    <w:p w14:paraId="5FA19BE0" w14:textId="55E5D2B7" w:rsidR="0071000E" w:rsidRPr="00B2521E" w:rsidRDefault="0071000E" w:rsidP="0071000E">
      <w:pPr>
        <w:ind w:firstLine="851"/>
        <w:jc w:val="both"/>
      </w:pPr>
    </w:p>
    <w:p w14:paraId="6CD1975C" w14:textId="3FA89F4E" w:rsidR="0071000E" w:rsidRPr="00B2521E" w:rsidRDefault="0071000E" w:rsidP="0071000E">
      <w:pPr>
        <w:ind w:firstLine="851"/>
        <w:jc w:val="both"/>
      </w:pPr>
    </w:p>
    <w:p w14:paraId="42F448FB" w14:textId="30A09043" w:rsidR="0071000E" w:rsidRPr="00B2521E" w:rsidRDefault="0071000E" w:rsidP="0071000E">
      <w:pPr>
        <w:ind w:firstLine="851"/>
        <w:jc w:val="both"/>
      </w:pPr>
    </w:p>
    <w:p w14:paraId="1ACB3455" w14:textId="77777777" w:rsidR="0071000E" w:rsidRPr="00B2521E" w:rsidRDefault="0071000E" w:rsidP="0071000E">
      <w:pPr>
        <w:ind w:firstLine="851"/>
        <w:jc w:val="both"/>
      </w:pPr>
    </w:p>
    <w:p w14:paraId="6C15F5CF" w14:textId="0B34C803" w:rsidR="0052387B" w:rsidRPr="00B2521E" w:rsidRDefault="00835592" w:rsidP="0052387B">
      <w:pPr>
        <w:spacing w:before="100" w:after="200" w:line="276" w:lineRule="auto"/>
        <w:jc w:val="center"/>
        <w:rPr>
          <w:b/>
          <w:sz w:val="20"/>
        </w:rPr>
      </w:pPr>
      <w:r>
        <w:rPr>
          <w:b/>
          <w:sz w:val="20"/>
        </w:rPr>
        <w:lastRenderedPageBreak/>
        <w:t>Figure No. 24</w:t>
      </w:r>
      <w:r w:rsidR="0052387B">
        <w:rPr>
          <w:b/>
          <w:sz w:val="20"/>
        </w:rPr>
        <w:t>. Changes in construction costs in the subsector of other civil engineering projects before 2018 and forecasts from 2019 to 2023, cumulative changes compared to 2018, %</w:t>
      </w:r>
    </w:p>
    <w:p w14:paraId="2184067B" w14:textId="460C23B6" w:rsidR="0052387B" w:rsidRPr="00B2521E" w:rsidRDefault="007E2581" w:rsidP="0052387B">
      <w:pPr>
        <w:spacing w:before="100" w:after="200" w:line="276" w:lineRule="auto"/>
        <w:jc w:val="center"/>
        <w:rPr>
          <w:bCs/>
        </w:rPr>
      </w:pPr>
      <w:r w:rsidRPr="007E2581">
        <w:rPr>
          <w:noProof/>
          <w:lang w:val="en-US"/>
        </w:rPr>
        <w:drawing>
          <wp:inline distT="0" distB="0" distL="0" distR="0" wp14:anchorId="5AC2CAE4" wp14:editId="1015BD0F">
            <wp:extent cx="5124450" cy="3720349"/>
            <wp:effectExtent l="0" t="0" r="0" b="0"/>
            <wp:docPr id="1006675200" name="Picture 100667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36887" cy="3729378"/>
                    </a:xfrm>
                    <a:prstGeom prst="rect">
                      <a:avLst/>
                    </a:prstGeom>
                  </pic:spPr>
                </pic:pic>
              </a:graphicData>
            </a:graphic>
          </wp:inline>
        </w:drawing>
      </w:r>
    </w:p>
    <w:p w14:paraId="60F94EF5" w14:textId="2F848305" w:rsidR="0052387B" w:rsidRDefault="0052387B" w:rsidP="0052387B">
      <w:pPr>
        <w:jc w:val="center"/>
        <w:rPr>
          <w:sz w:val="20"/>
        </w:rPr>
      </w:pPr>
      <w:r>
        <w:rPr>
          <w:sz w:val="20"/>
        </w:rPr>
        <w:t>Source: CSB historical data before 2018 (inclusive) and calculations made by authors, based on expert evaluations and developed models – forecast for 2019-2023.</w:t>
      </w:r>
    </w:p>
    <w:p w14:paraId="40F323D1" w14:textId="366887F0" w:rsidR="0052387B" w:rsidRPr="00B2521E" w:rsidRDefault="0052387B" w:rsidP="00895643">
      <w:pPr>
        <w:ind w:firstLine="851"/>
        <w:jc w:val="both"/>
      </w:pPr>
      <w:r>
        <w:t>Opinions of experts in subsectors by types of resources show that the most important factors in changes of costs of labour force and construction products are volumes of construction products in Latvia (see Table No. 10).</w:t>
      </w:r>
    </w:p>
    <w:p w14:paraId="4AB1D128" w14:textId="559B8096" w:rsidR="0052387B" w:rsidRPr="00B2521E" w:rsidRDefault="0052387B" w:rsidP="00895643">
      <w:pPr>
        <w:ind w:firstLine="851"/>
        <w:jc w:val="both"/>
      </w:pPr>
      <w:r>
        <w:t>As to changes in labour costs, the level of labour taxes, the share and deficit of qualified labour force are also important.</w:t>
      </w:r>
    </w:p>
    <w:p w14:paraId="22B1C945" w14:textId="3ADC6C15" w:rsidR="0052387B" w:rsidRPr="00B2521E" w:rsidRDefault="0052387B" w:rsidP="00895643">
      <w:pPr>
        <w:ind w:firstLine="851"/>
        <w:jc w:val="both"/>
      </w:pPr>
      <w:r>
        <w:t xml:space="preserve">Fuel prices, availability of labour force </w:t>
      </w:r>
      <w:proofErr w:type="gramStart"/>
      <w:r>
        <w:t>are mentioned</w:t>
      </w:r>
      <w:proofErr w:type="gramEnd"/>
      <w:r>
        <w:t xml:space="preserve"> as factors affecting changes in costs of construction materials, which have indirect influence of prices of construction materials.</w:t>
      </w:r>
    </w:p>
    <w:p w14:paraId="19831876" w14:textId="49A0EA49" w:rsidR="0052387B" w:rsidRPr="00B2521E" w:rsidRDefault="0052387B" w:rsidP="0052387B">
      <w:pPr>
        <w:jc w:val="center"/>
        <w:rPr>
          <w:rFonts w:cstheme="minorHAnsi"/>
          <w:b/>
          <w:bCs/>
          <w:sz w:val="20"/>
          <w:szCs w:val="22"/>
        </w:rPr>
      </w:pPr>
      <w:r>
        <w:rPr>
          <w:b/>
          <w:bCs/>
          <w:sz w:val="20"/>
          <w:szCs w:val="18"/>
        </w:rPr>
        <w:t>Table</w:t>
      </w:r>
      <w:r>
        <w:rPr>
          <w:b/>
          <w:bCs/>
          <w:color w:val="222222"/>
          <w:sz w:val="20"/>
          <w:szCs w:val="18"/>
        </w:rPr>
        <w:t xml:space="preserve"> No. 10. Factors affecting changes in costs of labour force and construction materials in the construction subsector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B2521E" w14:paraId="15EB6972" w14:textId="77777777" w:rsidTr="003D3D7F">
        <w:trPr>
          <w:trHeight w:val="260"/>
        </w:trPr>
        <w:tc>
          <w:tcPr>
            <w:tcW w:w="7650" w:type="dxa"/>
            <w:shd w:val="clear" w:color="auto" w:fill="1F3763"/>
            <w:noWrap/>
          </w:tcPr>
          <w:p w14:paraId="554E29C7" w14:textId="3D48CCA9"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labour force in the subsector of construction of other civil engineering projects</w:t>
            </w:r>
          </w:p>
        </w:tc>
        <w:tc>
          <w:tcPr>
            <w:tcW w:w="1701" w:type="dxa"/>
            <w:shd w:val="clear" w:color="auto" w:fill="1F3763"/>
            <w:noWrap/>
            <w:vAlign w:val="bottom"/>
          </w:tcPr>
          <w:p w14:paraId="32A59900" w14:textId="77777777"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52387B" w:rsidRPr="00B2521E" w14:paraId="341CCF34" w14:textId="77777777" w:rsidTr="003D3D7F">
        <w:trPr>
          <w:trHeight w:val="260"/>
        </w:trPr>
        <w:tc>
          <w:tcPr>
            <w:tcW w:w="7650" w:type="dxa"/>
            <w:shd w:val="clear" w:color="auto" w:fill="auto"/>
            <w:noWrap/>
            <w:hideMark/>
          </w:tcPr>
          <w:p w14:paraId="03390918" w14:textId="4B4772B7" w:rsidR="0052387B" w:rsidRPr="00B2521E" w:rsidRDefault="0052387B" w:rsidP="003D3D7F">
            <w:pPr>
              <w:spacing w:before="0" w:after="0"/>
              <w:rPr>
                <w:rFonts w:cstheme="minorHAnsi"/>
                <w:color w:val="000000"/>
                <w:sz w:val="18"/>
                <w:szCs w:val="18"/>
              </w:rPr>
            </w:pPr>
            <w:r>
              <w:rPr>
                <w:color w:val="000000"/>
                <w:sz w:val="18"/>
                <w:szCs w:val="18"/>
              </w:rPr>
              <w:t>Volume of construction products in Latvia</w:t>
            </w:r>
          </w:p>
        </w:tc>
        <w:tc>
          <w:tcPr>
            <w:tcW w:w="1701" w:type="dxa"/>
            <w:shd w:val="clear" w:color="auto" w:fill="auto"/>
            <w:noWrap/>
            <w:hideMark/>
          </w:tcPr>
          <w:p w14:paraId="3E1E868E" w14:textId="77777777" w:rsidR="0052387B" w:rsidRPr="00B2521E" w:rsidRDefault="0052387B" w:rsidP="003D3D7F">
            <w:pPr>
              <w:spacing w:before="0" w:after="0"/>
              <w:jc w:val="center"/>
              <w:rPr>
                <w:rFonts w:cstheme="minorHAnsi"/>
                <w:color w:val="000000"/>
                <w:sz w:val="18"/>
                <w:szCs w:val="18"/>
              </w:rPr>
            </w:pPr>
            <w:r>
              <w:rPr>
                <w:color w:val="000000"/>
                <w:sz w:val="18"/>
                <w:szCs w:val="18"/>
              </w:rPr>
              <w:t>9.25</w:t>
            </w:r>
          </w:p>
        </w:tc>
      </w:tr>
      <w:tr w:rsidR="0052387B" w:rsidRPr="00B2521E" w14:paraId="242D7C8E" w14:textId="77777777" w:rsidTr="003D3D7F">
        <w:trPr>
          <w:trHeight w:val="260"/>
        </w:trPr>
        <w:tc>
          <w:tcPr>
            <w:tcW w:w="7650" w:type="dxa"/>
            <w:shd w:val="clear" w:color="auto" w:fill="auto"/>
            <w:noWrap/>
          </w:tcPr>
          <w:p w14:paraId="5045D1A9" w14:textId="77777777" w:rsidR="0052387B" w:rsidRPr="00B2521E" w:rsidRDefault="0052387B" w:rsidP="003D3D7F">
            <w:pPr>
              <w:spacing w:before="0" w:after="0"/>
              <w:rPr>
                <w:rFonts w:cstheme="minorHAnsi"/>
                <w:color w:val="000000"/>
                <w:sz w:val="18"/>
                <w:szCs w:val="18"/>
              </w:rPr>
            </w:pPr>
            <w:r>
              <w:rPr>
                <w:color w:val="000000"/>
                <w:sz w:val="18"/>
                <w:szCs w:val="18"/>
              </w:rPr>
              <w:t>Labour tax rate in Latvia</w:t>
            </w:r>
          </w:p>
        </w:tc>
        <w:tc>
          <w:tcPr>
            <w:tcW w:w="1701" w:type="dxa"/>
            <w:shd w:val="clear" w:color="auto" w:fill="auto"/>
            <w:noWrap/>
          </w:tcPr>
          <w:p w14:paraId="21891D15" w14:textId="77777777" w:rsidR="0052387B" w:rsidRPr="00B2521E" w:rsidRDefault="0052387B" w:rsidP="003D3D7F">
            <w:pPr>
              <w:spacing w:before="0" w:after="0"/>
              <w:jc w:val="center"/>
              <w:rPr>
                <w:rFonts w:cstheme="minorHAnsi"/>
                <w:color w:val="000000"/>
                <w:sz w:val="18"/>
                <w:szCs w:val="18"/>
              </w:rPr>
            </w:pPr>
            <w:r>
              <w:rPr>
                <w:color w:val="000000"/>
                <w:sz w:val="18"/>
                <w:szCs w:val="18"/>
              </w:rPr>
              <w:t>8.50</w:t>
            </w:r>
          </w:p>
        </w:tc>
      </w:tr>
      <w:tr w:rsidR="0052387B" w:rsidRPr="00B2521E" w14:paraId="2C30D5B5" w14:textId="77777777" w:rsidTr="003D3D7F">
        <w:trPr>
          <w:trHeight w:val="260"/>
        </w:trPr>
        <w:tc>
          <w:tcPr>
            <w:tcW w:w="7650" w:type="dxa"/>
            <w:shd w:val="clear" w:color="auto" w:fill="auto"/>
            <w:noWrap/>
            <w:hideMark/>
          </w:tcPr>
          <w:p w14:paraId="001029D5" w14:textId="77777777" w:rsidR="0052387B" w:rsidRPr="00B2521E" w:rsidRDefault="0052387B" w:rsidP="003D3D7F">
            <w:pPr>
              <w:spacing w:before="0" w:after="0"/>
              <w:rPr>
                <w:rFonts w:cstheme="minorHAnsi"/>
                <w:color w:val="000000"/>
                <w:sz w:val="18"/>
                <w:szCs w:val="18"/>
              </w:rPr>
            </w:pPr>
            <w:r>
              <w:rPr>
                <w:color w:val="000000"/>
                <w:sz w:val="18"/>
                <w:szCs w:val="18"/>
              </w:rPr>
              <w:t>Share of qualified labour force with education/experience in the subsector of construction of other civil engineering projects</w:t>
            </w:r>
          </w:p>
        </w:tc>
        <w:tc>
          <w:tcPr>
            <w:tcW w:w="1701" w:type="dxa"/>
            <w:shd w:val="clear" w:color="auto" w:fill="auto"/>
            <w:noWrap/>
            <w:hideMark/>
          </w:tcPr>
          <w:p w14:paraId="0721867B" w14:textId="77777777" w:rsidR="0052387B" w:rsidRPr="00B2521E" w:rsidRDefault="0052387B" w:rsidP="003D3D7F">
            <w:pPr>
              <w:spacing w:before="0" w:after="0"/>
              <w:jc w:val="center"/>
              <w:rPr>
                <w:rFonts w:cstheme="minorHAnsi"/>
                <w:color w:val="000000"/>
                <w:sz w:val="18"/>
                <w:szCs w:val="18"/>
              </w:rPr>
            </w:pPr>
            <w:r>
              <w:rPr>
                <w:color w:val="000000"/>
                <w:sz w:val="18"/>
                <w:szCs w:val="18"/>
              </w:rPr>
              <w:t>7.50</w:t>
            </w:r>
          </w:p>
        </w:tc>
      </w:tr>
      <w:tr w:rsidR="0052387B" w:rsidRPr="00B2521E" w14:paraId="493BAE03" w14:textId="77777777" w:rsidTr="003D3D7F">
        <w:trPr>
          <w:trHeight w:val="260"/>
        </w:trPr>
        <w:tc>
          <w:tcPr>
            <w:tcW w:w="7650" w:type="dxa"/>
            <w:shd w:val="clear" w:color="auto" w:fill="auto"/>
            <w:noWrap/>
            <w:hideMark/>
          </w:tcPr>
          <w:p w14:paraId="68834AA6" w14:textId="77777777" w:rsidR="0052387B" w:rsidRPr="00B2521E" w:rsidRDefault="0052387B" w:rsidP="003D3D7F">
            <w:pPr>
              <w:spacing w:before="0" w:after="0"/>
              <w:rPr>
                <w:rFonts w:cstheme="minorHAnsi"/>
                <w:color w:val="000000"/>
                <w:sz w:val="18"/>
                <w:szCs w:val="18"/>
              </w:rPr>
            </w:pPr>
            <w:r>
              <w:rPr>
                <w:color w:val="000000"/>
                <w:sz w:val="18"/>
                <w:szCs w:val="18"/>
              </w:rPr>
              <w:t>Increase of competition between employers for qualified labour forces on the labour market</w:t>
            </w:r>
          </w:p>
        </w:tc>
        <w:tc>
          <w:tcPr>
            <w:tcW w:w="1701" w:type="dxa"/>
            <w:shd w:val="clear" w:color="auto" w:fill="auto"/>
            <w:noWrap/>
            <w:hideMark/>
          </w:tcPr>
          <w:p w14:paraId="0FD3BE64" w14:textId="77777777" w:rsidR="0052387B" w:rsidRPr="00B2521E" w:rsidRDefault="0052387B" w:rsidP="003D3D7F">
            <w:pPr>
              <w:spacing w:before="0" w:after="0"/>
              <w:jc w:val="center"/>
              <w:rPr>
                <w:rFonts w:cstheme="minorHAnsi"/>
                <w:color w:val="000000"/>
                <w:sz w:val="18"/>
                <w:szCs w:val="18"/>
              </w:rPr>
            </w:pPr>
            <w:r>
              <w:rPr>
                <w:color w:val="000000"/>
                <w:sz w:val="18"/>
                <w:szCs w:val="18"/>
              </w:rPr>
              <w:t>7.50</w:t>
            </w:r>
          </w:p>
        </w:tc>
      </w:tr>
      <w:tr w:rsidR="0052387B" w:rsidRPr="00B2521E" w14:paraId="2FA21F81" w14:textId="77777777" w:rsidTr="003D3D7F">
        <w:trPr>
          <w:trHeight w:val="260"/>
        </w:trPr>
        <w:tc>
          <w:tcPr>
            <w:tcW w:w="7650" w:type="dxa"/>
            <w:shd w:val="clear" w:color="auto" w:fill="1F3763"/>
            <w:noWrap/>
          </w:tcPr>
          <w:p w14:paraId="49065CFD" w14:textId="2CE03694"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construction materials in the subsector of construction of other civil engineering projects</w:t>
            </w:r>
          </w:p>
        </w:tc>
        <w:tc>
          <w:tcPr>
            <w:tcW w:w="1701" w:type="dxa"/>
            <w:shd w:val="clear" w:color="auto" w:fill="1F3763"/>
            <w:noWrap/>
            <w:vAlign w:val="bottom"/>
          </w:tcPr>
          <w:p w14:paraId="142A238A" w14:textId="77777777"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52387B" w:rsidRPr="00B2521E" w14:paraId="2F926961" w14:textId="77777777" w:rsidTr="003D3D7F">
        <w:trPr>
          <w:trHeight w:val="260"/>
        </w:trPr>
        <w:tc>
          <w:tcPr>
            <w:tcW w:w="7650" w:type="dxa"/>
            <w:shd w:val="clear" w:color="auto" w:fill="auto"/>
            <w:noWrap/>
            <w:hideMark/>
          </w:tcPr>
          <w:p w14:paraId="799F5E71" w14:textId="77777777" w:rsidR="0052387B" w:rsidRPr="00B2521E" w:rsidRDefault="0052387B" w:rsidP="003D3D7F">
            <w:pPr>
              <w:spacing w:before="0" w:after="0"/>
              <w:rPr>
                <w:rFonts w:cstheme="minorHAnsi"/>
                <w:color w:val="000000"/>
                <w:sz w:val="18"/>
                <w:szCs w:val="18"/>
              </w:rPr>
            </w:pPr>
            <w:r>
              <w:rPr>
                <w:color w:val="000000"/>
                <w:sz w:val="18"/>
                <w:szCs w:val="18"/>
              </w:rPr>
              <w:t>Availability of labour force</w:t>
            </w:r>
          </w:p>
        </w:tc>
        <w:tc>
          <w:tcPr>
            <w:tcW w:w="1701" w:type="dxa"/>
            <w:shd w:val="clear" w:color="auto" w:fill="auto"/>
            <w:noWrap/>
            <w:hideMark/>
          </w:tcPr>
          <w:p w14:paraId="71F7194C" w14:textId="77777777" w:rsidR="0052387B" w:rsidRPr="00B2521E" w:rsidRDefault="0052387B" w:rsidP="003D3D7F">
            <w:pPr>
              <w:spacing w:before="0" w:after="0"/>
              <w:jc w:val="center"/>
              <w:rPr>
                <w:rFonts w:cstheme="minorHAnsi"/>
                <w:color w:val="000000"/>
                <w:sz w:val="18"/>
                <w:szCs w:val="18"/>
              </w:rPr>
            </w:pPr>
            <w:r>
              <w:rPr>
                <w:color w:val="000000"/>
                <w:sz w:val="18"/>
                <w:szCs w:val="18"/>
              </w:rPr>
              <w:t>8.25</w:t>
            </w:r>
          </w:p>
        </w:tc>
      </w:tr>
      <w:tr w:rsidR="0052387B" w:rsidRPr="00B2521E" w14:paraId="4CB9F7C8" w14:textId="77777777" w:rsidTr="003D3D7F">
        <w:trPr>
          <w:trHeight w:val="260"/>
        </w:trPr>
        <w:tc>
          <w:tcPr>
            <w:tcW w:w="7650" w:type="dxa"/>
            <w:shd w:val="clear" w:color="auto" w:fill="auto"/>
            <w:noWrap/>
          </w:tcPr>
          <w:p w14:paraId="1EE16FF4" w14:textId="6C5BA179" w:rsidR="0052387B" w:rsidRPr="00B2521E" w:rsidRDefault="0052387B" w:rsidP="003D3D7F">
            <w:pPr>
              <w:spacing w:before="0" w:after="0"/>
              <w:rPr>
                <w:rFonts w:cstheme="minorHAnsi"/>
                <w:color w:val="000000"/>
                <w:sz w:val="18"/>
                <w:szCs w:val="18"/>
              </w:rPr>
            </w:pPr>
            <w:r>
              <w:rPr>
                <w:color w:val="000000"/>
                <w:sz w:val="18"/>
                <w:szCs w:val="18"/>
              </w:rPr>
              <w:t>Volume of construction products in the country</w:t>
            </w:r>
          </w:p>
        </w:tc>
        <w:tc>
          <w:tcPr>
            <w:tcW w:w="1701" w:type="dxa"/>
            <w:shd w:val="clear" w:color="auto" w:fill="auto"/>
            <w:noWrap/>
          </w:tcPr>
          <w:p w14:paraId="4990A295" w14:textId="77777777" w:rsidR="0052387B" w:rsidRPr="00B2521E" w:rsidRDefault="0052387B" w:rsidP="003D3D7F">
            <w:pPr>
              <w:spacing w:before="0" w:after="0"/>
              <w:jc w:val="center"/>
              <w:rPr>
                <w:rFonts w:cstheme="minorHAnsi"/>
                <w:color w:val="000000"/>
                <w:sz w:val="18"/>
                <w:szCs w:val="18"/>
              </w:rPr>
            </w:pPr>
            <w:r>
              <w:rPr>
                <w:color w:val="000000"/>
                <w:sz w:val="18"/>
                <w:szCs w:val="18"/>
              </w:rPr>
              <w:t>7.25</w:t>
            </w:r>
          </w:p>
        </w:tc>
      </w:tr>
      <w:tr w:rsidR="0052387B" w:rsidRPr="00B2521E" w14:paraId="150D77A6" w14:textId="77777777" w:rsidTr="003D3D7F">
        <w:trPr>
          <w:trHeight w:val="260"/>
        </w:trPr>
        <w:tc>
          <w:tcPr>
            <w:tcW w:w="7650" w:type="dxa"/>
            <w:shd w:val="clear" w:color="auto" w:fill="auto"/>
            <w:noWrap/>
          </w:tcPr>
          <w:p w14:paraId="1563A2B4" w14:textId="77777777" w:rsidR="0052387B" w:rsidRPr="00B2521E" w:rsidRDefault="0052387B" w:rsidP="003D3D7F">
            <w:pPr>
              <w:spacing w:before="0" w:after="0"/>
              <w:rPr>
                <w:rFonts w:cstheme="minorHAnsi"/>
                <w:color w:val="000000"/>
                <w:sz w:val="18"/>
                <w:szCs w:val="18"/>
              </w:rPr>
            </w:pPr>
            <w:r>
              <w:rPr>
                <w:color w:val="000000"/>
                <w:sz w:val="18"/>
                <w:szCs w:val="18"/>
              </w:rPr>
              <w:t>Fuel price</w:t>
            </w:r>
          </w:p>
        </w:tc>
        <w:tc>
          <w:tcPr>
            <w:tcW w:w="1701" w:type="dxa"/>
            <w:shd w:val="clear" w:color="auto" w:fill="auto"/>
            <w:noWrap/>
          </w:tcPr>
          <w:p w14:paraId="2A658E36" w14:textId="77777777" w:rsidR="0052387B" w:rsidRPr="00B2521E" w:rsidRDefault="0052387B" w:rsidP="003D3D7F">
            <w:pPr>
              <w:spacing w:before="0" w:after="0"/>
              <w:jc w:val="center"/>
              <w:rPr>
                <w:rFonts w:cstheme="minorHAnsi"/>
                <w:color w:val="000000"/>
                <w:sz w:val="18"/>
                <w:szCs w:val="18"/>
              </w:rPr>
            </w:pPr>
            <w:r>
              <w:rPr>
                <w:color w:val="000000"/>
                <w:sz w:val="18"/>
                <w:szCs w:val="18"/>
              </w:rPr>
              <w:t>7.25</w:t>
            </w:r>
          </w:p>
        </w:tc>
      </w:tr>
    </w:tbl>
    <w:p w14:paraId="40B3E077" w14:textId="77777777" w:rsidR="0052387B" w:rsidRPr="00B2521E" w:rsidRDefault="0052387B" w:rsidP="0052387B">
      <w:pPr>
        <w:jc w:val="center"/>
        <w:rPr>
          <w:sz w:val="20"/>
          <w:szCs w:val="18"/>
        </w:rPr>
      </w:pPr>
      <w:r>
        <w:rPr>
          <w:sz w:val="20"/>
          <w:szCs w:val="18"/>
        </w:rPr>
        <w:t>Source: Expert interviews</w:t>
      </w:r>
    </w:p>
    <w:p w14:paraId="3ACD2E1A" w14:textId="66FF8748" w:rsidR="0052387B" w:rsidRPr="00B2521E" w:rsidRDefault="0052387B" w:rsidP="00895643">
      <w:pPr>
        <w:ind w:firstLine="851"/>
        <w:jc w:val="both"/>
        <w:rPr>
          <w:b/>
          <w:sz w:val="20"/>
          <w:szCs w:val="18"/>
        </w:rPr>
      </w:pPr>
      <w:r>
        <w:lastRenderedPageBreak/>
        <w:t xml:space="preserve">The evaluation of forecasts of changes in costs by experts of the subsector by types of resources generally shows more rapid dynamics at the beginning and at the end of the forecast period. </w:t>
      </w:r>
      <w:proofErr w:type="gramStart"/>
      <w:r>
        <w:t>Similarly</w:t>
      </w:r>
      <w:proofErr w:type="gramEnd"/>
      <w:r>
        <w:t xml:space="preserve"> to construction in general, changes in costs related to human resources will increase the most, however the difference from other types of resources is negligible. A minimum drop is forecast for construction materials in 2022 and 2023.</w:t>
      </w:r>
    </w:p>
    <w:p w14:paraId="6C6E755B" w14:textId="2705F11C" w:rsidR="0052387B" w:rsidRPr="00B2521E" w:rsidRDefault="0052387B" w:rsidP="0052387B">
      <w:pPr>
        <w:jc w:val="center"/>
        <w:rPr>
          <w:b/>
          <w:sz w:val="20"/>
          <w:szCs w:val="18"/>
        </w:rPr>
      </w:pPr>
      <w:r>
        <w:rPr>
          <w:b/>
          <w:sz w:val="20"/>
          <w:szCs w:val="18"/>
        </w:rPr>
        <w:t xml:space="preserve">Figure No. </w:t>
      </w:r>
      <w:r w:rsidR="002F7202">
        <w:rPr>
          <w:b/>
          <w:sz w:val="20"/>
        </w:rPr>
        <w:t>25</w:t>
      </w:r>
      <w:r>
        <w:rPr>
          <w:b/>
          <w:sz w:val="20"/>
        </w:rPr>
        <w:t>. Forecast of changes in construction costs by types of resources in subsector of other civil engineering objects, cumulative changes compared to 2018, %</w:t>
      </w:r>
    </w:p>
    <w:p w14:paraId="6499230F" w14:textId="1DBBE25A" w:rsidR="0052387B" w:rsidRPr="00B2521E" w:rsidRDefault="004E1F4F" w:rsidP="0052387B">
      <w:pPr>
        <w:jc w:val="center"/>
        <w:rPr>
          <w:noProof/>
        </w:rPr>
      </w:pPr>
      <w:r w:rsidRPr="004E1F4F">
        <w:rPr>
          <w:noProof/>
          <w:lang w:val="en-US"/>
        </w:rPr>
        <w:drawing>
          <wp:inline distT="0" distB="0" distL="0" distR="0" wp14:anchorId="4BE75842" wp14:editId="0531B359">
            <wp:extent cx="4342857" cy="2847619"/>
            <wp:effectExtent l="0" t="0" r="635" b="0"/>
            <wp:docPr id="1006675211" name="Picture 100667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42857" cy="2847619"/>
                    </a:xfrm>
                    <a:prstGeom prst="rect">
                      <a:avLst/>
                    </a:prstGeom>
                  </pic:spPr>
                </pic:pic>
              </a:graphicData>
            </a:graphic>
          </wp:inline>
        </w:drawing>
      </w:r>
    </w:p>
    <w:p w14:paraId="61E2F227" w14:textId="73861D28" w:rsidR="0052387B" w:rsidRDefault="0052387B" w:rsidP="0052387B">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27067768" w14:textId="77777777" w:rsidR="00E92138" w:rsidRPr="00B2521E" w:rsidRDefault="00E92138" w:rsidP="00E92138">
      <w:pPr>
        <w:ind w:firstLine="720"/>
        <w:jc w:val="both"/>
      </w:pPr>
      <w:r>
        <w:t xml:space="preserve">Differences </w:t>
      </w:r>
      <w:proofErr w:type="gramStart"/>
      <w:r>
        <w:t>are observed</w:t>
      </w:r>
      <w:proofErr w:type="gramEnd"/>
      <w:r>
        <w:t xml:space="preserve"> when comparing general changes in costs in the subsector with changes in costs broken down by types of resources – the breakdown by resources shows a higher increase in costs. The reasons is that the general forecast of changes in costs of the subsector is formed by three sources, incl. the statistical trend and the elasticity model, while the source for the breakdown of costs by types of resources contain are expert evaluations only.</w:t>
      </w:r>
    </w:p>
    <w:p w14:paraId="3E1F8A40" w14:textId="77777777" w:rsidR="00E92138" w:rsidRPr="00B2521E" w:rsidRDefault="00E92138" w:rsidP="00E92138">
      <w:pPr>
        <w:jc w:val="both"/>
      </w:pPr>
      <w:r>
        <w:t xml:space="preserve">Therefore, when interpreting the forecasts, it </w:t>
      </w:r>
      <w:proofErr w:type="gramStart"/>
      <w:r>
        <w:t>should be taken</w:t>
      </w:r>
      <w:proofErr w:type="gramEnd"/>
      <w:r>
        <w:t xml:space="preserve"> into account that the results broken down by types of resources may have lower values in the first years of the forecast period than shown by the results of expert interviews.</w:t>
      </w:r>
    </w:p>
    <w:p w14:paraId="5A70BE19" w14:textId="77777777" w:rsidR="0052387B" w:rsidRPr="00B2521E" w:rsidRDefault="0052387B" w:rsidP="0052387B">
      <w:pPr>
        <w:pStyle w:val="Heading2"/>
      </w:pPr>
      <w:bookmarkStart w:id="794" w:name="_Toc18682407"/>
      <w:r>
        <w:t>Forecasts of changes in costs of the subsector construction of complex structures in industrial manufacturing companies</w:t>
      </w:r>
      <w:bookmarkEnd w:id="794"/>
    </w:p>
    <w:p w14:paraId="3239AF8E" w14:textId="00C99398" w:rsidR="0052387B" w:rsidRPr="00B2521E" w:rsidRDefault="0052387B" w:rsidP="0052387B">
      <w:pPr>
        <w:ind w:firstLine="851"/>
        <w:jc w:val="both"/>
      </w:pPr>
      <w:r>
        <w:t>In the subsector of complex structures, CSB does not summarise statistical data on the volume of constru</w:t>
      </w:r>
      <w:r w:rsidR="002F7202">
        <w:t>ction products (see Figure No.26</w:t>
      </w:r>
      <w:r>
        <w:t>). The expert evaluation was selected as a leitmotif of the forecasts for the subsector, which expects a stable increase, cumulatively exceeding 30% in 2023 compared to the level of 2018.</w:t>
      </w:r>
    </w:p>
    <w:p w14:paraId="2F1BF16C" w14:textId="77777777" w:rsidR="006F60D2" w:rsidRPr="00B2521E" w:rsidRDefault="006F60D2" w:rsidP="0052387B">
      <w:pPr>
        <w:spacing w:before="100" w:after="200" w:line="276" w:lineRule="auto"/>
        <w:jc w:val="center"/>
        <w:rPr>
          <w:b/>
          <w:sz w:val="20"/>
        </w:rPr>
      </w:pPr>
    </w:p>
    <w:p w14:paraId="3159225E" w14:textId="77777777" w:rsidR="006F60D2" w:rsidRPr="00B2521E" w:rsidRDefault="006F60D2" w:rsidP="0052387B">
      <w:pPr>
        <w:spacing w:before="100" w:after="200" w:line="276" w:lineRule="auto"/>
        <w:jc w:val="center"/>
        <w:rPr>
          <w:b/>
          <w:sz w:val="20"/>
        </w:rPr>
      </w:pPr>
    </w:p>
    <w:p w14:paraId="5D940BB4" w14:textId="77777777" w:rsidR="006F60D2" w:rsidRPr="00B2521E" w:rsidRDefault="006F60D2" w:rsidP="0052387B">
      <w:pPr>
        <w:spacing w:before="100" w:after="200" w:line="276" w:lineRule="auto"/>
        <w:jc w:val="center"/>
        <w:rPr>
          <w:b/>
          <w:sz w:val="20"/>
        </w:rPr>
      </w:pPr>
    </w:p>
    <w:p w14:paraId="5D88641A" w14:textId="77777777" w:rsidR="006F60D2" w:rsidRPr="00B2521E" w:rsidRDefault="006F60D2" w:rsidP="0052387B">
      <w:pPr>
        <w:spacing w:before="100" w:after="200" w:line="276" w:lineRule="auto"/>
        <w:jc w:val="center"/>
        <w:rPr>
          <w:b/>
          <w:sz w:val="20"/>
        </w:rPr>
      </w:pPr>
    </w:p>
    <w:p w14:paraId="6A10B8B2" w14:textId="7689EC30" w:rsidR="0052387B" w:rsidRPr="00B2521E" w:rsidRDefault="002F7202" w:rsidP="0052387B">
      <w:pPr>
        <w:spacing w:before="100" w:after="200" w:line="276" w:lineRule="auto"/>
        <w:jc w:val="center"/>
        <w:rPr>
          <w:b/>
          <w:sz w:val="20"/>
        </w:rPr>
      </w:pPr>
      <w:r>
        <w:rPr>
          <w:b/>
          <w:sz w:val="20"/>
        </w:rPr>
        <w:lastRenderedPageBreak/>
        <w:t>Figure No. 26</w:t>
      </w:r>
      <w:r w:rsidR="0052387B">
        <w:rPr>
          <w:b/>
          <w:sz w:val="20"/>
        </w:rPr>
        <w:t>. Changes in volumes of construction products in the subsector of complex structures before 2018 and forecasts from 2019 to 2023, cumulative changes compared to 2018, %</w:t>
      </w:r>
    </w:p>
    <w:p w14:paraId="1E8A63E6" w14:textId="11E86FD0" w:rsidR="0052387B" w:rsidRPr="00B2521E" w:rsidRDefault="008134D9" w:rsidP="0052387B">
      <w:pPr>
        <w:spacing w:before="100" w:after="200" w:line="276" w:lineRule="auto"/>
        <w:jc w:val="center"/>
        <w:rPr>
          <w:bCs/>
          <w:sz w:val="20"/>
        </w:rPr>
      </w:pPr>
      <w:r w:rsidRPr="008134D9">
        <w:rPr>
          <w:noProof/>
          <w:lang w:val="en-US"/>
        </w:rPr>
        <w:drawing>
          <wp:inline distT="0" distB="0" distL="0" distR="0" wp14:anchorId="1D164B97" wp14:editId="4AE6CE11">
            <wp:extent cx="4581394" cy="3211032"/>
            <wp:effectExtent l="0" t="0" r="0" b="8890"/>
            <wp:docPr id="1006675202" name="Picture 100667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09156" cy="3230490"/>
                    </a:xfrm>
                    <a:prstGeom prst="rect">
                      <a:avLst/>
                    </a:prstGeom>
                  </pic:spPr>
                </pic:pic>
              </a:graphicData>
            </a:graphic>
          </wp:inline>
        </w:drawing>
      </w:r>
    </w:p>
    <w:p w14:paraId="3E274339" w14:textId="5AE92A6B" w:rsidR="0052387B" w:rsidRDefault="0052387B" w:rsidP="0052387B">
      <w:pPr>
        <w:jc w:val="center"/>
        <w:rPr>
          <w:sz w:val="20"/>
        </w:rPr>
      </w:pPr>
      <w:r>
        <w:rPr>
          <w:sz w:val="20"/>
        </w:rPr>
        <w:t>Source: CSB historical data before 2018 (inclusive) and calculations made by authors, based on expert evaluations and developed models – forecast for 2019-2023.</w:t>
      </w:r>
    </w:p>
    <w:p w14:paraId="05C2E08C" w14:textId="77777777" w:rsidR="00AE03FF" w:rsidRPr="00B2521E" w:rsidRDefault="00AE03FF" w:rsidP="0052387B">
      <w:pPr>
        <w:jc w:val="center"/>
        <w:rPr>
          <w:sz w:val="20"/>
        </w:rPr>
      </w:pPr>
    </w:p>
    <w:p w14:paraId="667F6AB8" w14:textId="5EEF596E" w:rsidR="0052387B" w:rsidRPr="00B2521E" w:rsidRDefault="0052387B" w:rsidP="0052387B">
      <w:pPr>
        <w:ind w:firstLine="851"/>
        <w:jc w:val="both"/>
      </w:pPr>
      <w:r>
        <w:t>Taking into account the forecast changes in volume, as well as the expert evaluation, for the period from 2019 to 2023 each data source shows a stable increase in forecasts of changes in costs, but at different rates (see Figure No. 2</w:t>
      </w:r>
      <w:r w:rsidR="002F7202">
        <w:t>7</w:t>
      </w:r>
      <w:r>
        <w:t>).</w:t>
      </w:r>
    </w:p>
    <w:p w14:paraId="412DEF96" w14:textId="16BA5C0F" w:rsidR="0052387B" w:rsidRPr="00B2521E" w:rsidRDefault="0052387B" w:rsidP="00895643">
      <w:pPr>
        <w:ind w:firstLine="851"/>
        <w:jc w:val="both"/>
      </w:pPr>
      <w:r>
        <w:t>The expert evaluation is the most moderate – the increase in 2019 and 2020 to the level of 12% compared to 2018 will be followed by a slow increase by 14% in 2023 compared to 2018.</w:t>
      </w:r>
    </w:p>
    <w:p w14:paraId="1A4D16B3" w14:textId="2F3968A1" w:rsidR="0052387B" w:rsidRPr="00B2521E" w:rsidRDefault="0052387B" w:rsidP="00895643">
      <w:pPr>
        <w:ind w:firstLine="851"/>
        <w:jc w:val="both"/>
      </w:pPr>
      <w:r>
        <w:t>The elasticity model of changes in costs based on volume forecasts shows lower changes in costs until 2020, and higher – after 2020.</w:t>
      </w:r>
    </w:p>
    <w:p w14:paraId="1A6C9644" w14:textId="486FAAE0" w:rsidR="0052387B" w:rsidRPr="00B2521E" w:rsidRDefault="0052387B">
      <w:pPr>
        <w:ind w:firstLine="851"/>
        <w:jc w:val="both"/>
      </w:pPr>
      <w:r>
        <w:t xml:space="preserve">The combined forecast shows a stable increase up to 22% in 2023. Taking into account that there are no other references in this subsector, it is hard to justify specific values of the </w:t>
      </w:r>
      <w:proofErr w:type="gramStart"/>
      <w:r>
        <w:t>forecast,</w:t>
      </w:r>
      <w:proofErr w:type="gramEnd"/>
      <w:r>
        <w:t xml:space="preserve"> however, the general trend shows a stable increase of </w:t>
      </w:r>
      <w:r>
        <w:rPr>
          <w:rStyle w:val="st"/>
        </w:rPr>
        <w:t>changes</w:t>
      </w:r>
      <w:r>
        <w:t xml:space="preserve"> in costs in the period of forecasts.</w:t>
      </w:r>
    </w:p>
    <w:p w14:paraId="0860FC54" w14:textId="0BBCE415" w:rsidR="006F60D2" w:rsidRPr="00B2521E" w:rsidRDefault="006F60D2" w:rsidP="006F60D2">
      <w:pPr>
        <w:ind w:firstLine="851"/>
        <w:jc w:val="both"/>
      </w:pPr>
    </w:p>
    <w:p w14:paraId="6886AAA1" w14:textId="114CDAC0" w:rsidR="006F60D2" w:rsidRPr="00B2521E" w:rsidRDefault="006F60D2" w:rsidP="006F60D2">
      <w:pPr>
        <w:ind w:firstLine="851"/>
        <w:jc w:val="both"/>
      </w:pPr>
    </w:p>
    <w:p w14:paraId="4C70BFAE" w14:textId="1C765E70" w:rsidR="006F60D2" w:rsidRPr="00B2521E" w:rsidRDefault="006F60D2" w:rsidP="006F60D2">
      <w:pPr>
        <w:ind w:firstLine="851"/>
        <w:jc w:val="both"/>
      </w:pPr>
    </w:p>
    <w:p w14:paraId="0411BB91" w14:textId="37556B17" w:rsidR="006F60D2" w:rsidRPr="00B2521E" w:rsidRDefault="006F60D2" w:rsidP="006F60D2">
      <w:pPr>
        <w:ind w:firstLine="851"/>
        <w:jc w:val="both"/>
      </w:pPr>
    </w:p>
    <w:p w14:paraId="62FA1AC9" w14:textId="2FE26B29" w:rsidR="006F60D2" w:rsidRPr="00B2521E" w:rsidRDefault="006F60D2" w:rsidP="006F60D2">
      <w:pPr>
        <w:ind w:firstLine="851"/>
        <w:jc w:val="both"/>
      </w:pPr>
    </w:p>
    <w:p w14:paraId="1C35CB14" w14:textId="56BC872B" w:rsidR="006F60D2" w:rsidRPr="00B2521E" w:rsidRDefault="006F60D2" w:rsidP="006F60D2">
      <w:pPr>
        <w:ind w:firstLine="851"/>
        <w:jc w:val="both"/>
      </w:pPr>
    </w:p>
    <w:p w14:paraId="199A72B6" w14:textId="552F6DC8" w:rsidR="006F60D2" w:rsidRPr="00B2521E" w:rsidRDefault="006F60D2" w:rsidP="006F60D2">
      <w:pPr>
        <w:ind w:firstLine="851"/>
        <w:jc w:val="both"/>
      </w:pPr>
    </w:p>
    <w:p w14:paraId="17937E4E" w14:textId="77777777" w:rsidR="006F60D2" w:rsidRPr="00B2521E" w:rsidRDefault="006F60D2" w:rsidP="006F60D2">
      <w:pPr>
        <w:ind w:firstLine="851"/>
        <w:jc w:val="both"/>
      </w:pPr>
    </w:p>
    <w:p w14:paraId="0EF3F482" w14:textId="77777777" w:rsidR="007871CE" w:rsidRDefault="007871CE" w:rsidP="0052387B">
      <w:pPr>
        <w:jc w:val="center"/>
        <w:rPr>
          <w:b/>
          <w:sz w:val="20"/>
        </w:rPr>
      </w:pPr>
    </w:p>
    <w:p w14:paraId="2B4ADB3F" w14:textId="42ECBBF8" w:rsidR="0052387B" w:rsidRPr="00B2521E" w:rsidRDefault="002F7202" w:rsidP="0052387B">
      <w:pPr>
        <w:jc w:val="center"/>
        <w:rPr>
          <w:b/>
          <w:sz w:val="20"/>
        </w:rPr>
      </w:pPr>
      <w:r>
        <w:rPr>
          <w:b/>
          <w:sz w:val="20"/>
        </w:rPr>
        <w:lastRenderedPageBreak/>
        <w:t>Figure No. 27</w:t>
      </w:r>
      <w:r w:rsidR="0052387B">
        <w:rPr>
          <w:b/>
          <w:sz w:val="20"/>
        </w:rPr>
        <w:t>. Changes in construction costs in the subsector of complex structures before 2018 and forecasts from 2019 to 2023, cumulative changes compared to 2018, %</w:t>
      </w:r>
    </w:p>
    <w:p w14:paraId="71C9DA2C" w14:textId="75F7DCC5" w:rsidR="0052387B" w:rsidRPr="00B2521E" w:rsidRDefault="008134D9" w:rsidP="0052387B">
      <w:pPr>
        <w:jc w:val="center"/>
        <w:rPr>
          <w:bCs/>
          <w:sz w:val="20"/>
        </w:rPr>
      </w:pPr>
      <w:r w:rsidRPr="008134D9">
        <w:rPr>
          <w:noProof/>
          <w:lang w:val="en-US"/>
        </w:rPr>
        <w:drawing>
          <wp:inline distT="0" distB="0" distL="0" distR="0" wp14:anchorId="40DD69C0" wp14:editId="30C37485">
            <wp:extent cx="4953000" cy="3595876"/>
            <wp:effectExtent l="0" t="0" r="0" b="5080"/>
            <wp:docPr id="1006675203" name="Picture 100667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966834" cy="3605919"/>
                    </a:xfrm>
                    <a:prstGeom prst="rect">
                      <a:avLst/>
                    </a:prstGeom>
                  </pic:spPr>
                </pic:pic>
              </a:graphicData>
            </a:graphic>
          </wp:inline>
        </w:drawing>
      </w:r>
    </w:p>
    <w:p w14:paraId="67C3C577" w14:textId="526CF03D" w:rsidR="0052387B" w:rsidRDefault="0052387B" w:rsidP="0052387B">
      <w:pPr>
        <w:jc w:val="center"/>
        <w:rPr>
          <w:sz w:val="20"/>
        </w:rPr>
      </w:pPr>
      <w:r>
        <w:rPr>
          <w:sz w:val="20"/>
        </w:rPr>
        <w:t>Source: CSB historical data before 2018 (inclusive) and calculations made by authors, based on expert evaluations and developed models – forecast for 2019-2023</w:t>
      </w:r>
    </w:p>
    <w:p w14:paraId="014FAD74" w14:textId="2EA8BFBD" w:rsidR="0052387B" w:rsidRPr="00B2521E" w:rsidRDefault="0052387B" w:rsidP="00895643">
      <w:pPr>
        <w:ind w:firstLine="851"/>
        <w:jc w:val="both"/>
      </w:pPr>
      <w:r>
        <w:t xml:space="preserve">As to the factors affecting changes in costs of labour force, experts indicate the demand for qualified employees and shortage of specialists as most significant factors (see Table No. 11). </w:t>
      </w:r>
    </w:p>
    <w:p w14:paraId="68BDF1C3" w14:textId="0A97AD17" w:rsidR="0052387B" w:rsidRPr="00B2521E" w:rsidRDefault="0052387B" w:rsidP="00895643">
      <w:pPr>
        <w:ind w:firstLine="851"/>
        <w:jc w:val="both"/>
      </w:pPr>
      <w:r>
        <w:t>The demand for construction materials, quality requirements and control mechanisms are mentioned as factors affecting changes in costs of construction materials.</w:t>
      </w:r>
    </w:p>
    <w:p w14:paraId="59F0AFA3" w14:textId="1AD07C18" w:rsidR="0052387B" w:rsidRPr="00B2521E" w:rsidRDefault="0052387B" w:rsidP="0052387B">
      <w:pPr>
        <w:jc w:val="center"/>
        <w:rPr>
          <w:rFonts w:cstheme="minorHAnsi"/>
          <w:b/>
          <w:bCs/>
          <w:sz w:val="20"/>
          <w:szCs w:val="22"/>
        </w:rPr>
      </w:pPr>
      <w:r>
        <w:rPr>
          <w:b/>
          <w:bCs/>
          <w:sz w:val="20"/>
          <w:szCs w:val="18"/>
        </w:rPr>
        <w:t>Table</w:t>
      </w:r>
      <w:r>
        <w:rPr>
          <w:b/>
          <w:bCs/>
          <w:color w:val="222222"/>
          <w:sz w:val="20"/>
          <w:szCs w:val="18"/>
        </w:rPr>
        <w:t xml:space="preserve"> No. 11. Factors affecting changes in costs of labour force and construction materials in the construction subsector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B2521E" w14:paraId="7F9E4E75" w14:textId="77777777" w:rsidTr="003D3D7F">
        <w:trPr>
          <w:trHeight w:val="260"/>
        </w:trPr>
        <w:tc>
          <w:tcPr>
            <w:tcW w:w="7650" w:type="dxa"/>
            <w:shd w:val="clear" w:color="auto" w:fill="1F3763"/>
            <w:noWrap/>
          </w:tcPr>
          <w:p w14:paraId="018EF7CE" w14:textId="4B3574AB"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labour force directly in complex structures in manufacturing companies</w:t>
            </w:r>
          </w:p>
        </w:tc>
        <w:tc>
          <w:tcPr>
            <w:tcW w:w="1701" w:type="dxa"/>
            <w:shd w:val="clear" w:color="auto" w:fill="1F3763"/>
            <w:noWrap/>
            <w:vAlign w:val="bottom"/>
          </w:tcPr>
          <w:p w14:paraId="64C5496A" w14:textId="77777777"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52387B" w:rsidRPr="00B2521E" w14:paraId="28F2E6E9" w14:textId="77777777" w:rsidTr="003D3D7F">
        <w:trPr>
          <w:trHeight w:val="260"/>
        </w:trPr>
        <w:tc>
          <w:tcPr>
            <w:tcW w:w="7650" w:type="dxa"/>
            <w:shd w:val="clear" w:color="auto" w:fill="auto"/>
            <w:noWrap/>
            <w:hideMark/>
          </w:tcPr>
          <w:p w14:paraId="7734D9D5" w14:textId="77777777" w:rsidR="0052387B" w:rsidRPr="00B2521E" w:rsidRDefault="0052387B" w:rsidP="003D3D7F">
            <w:pPr>
              <w:spacing w:before="0" w:after="0"/>
              <w:rPr>
                <w:rFonts w:cstheme="minorHAnsi"/>
                <w:color w:val="000000"/>
                <w:sz w:val="18"/>
                <w:szCs w:val="18"/>
              </w:rPr>
            </w:pPr>
            <w:r>
              <w:rPr>
                <w:color w:val="000000"/>
                <w:sz w:val="18"/>
                <w:szCs w:val="18"/>
              </w:rPr>
              <w:t>Demand for qualified employees</w:t>
            </w:r>
          </w:p>
        </w:tc>
        <w:tc>
          <w:tcPr>
            <w:tcW w:w="1701" w:type="dxa"/>
            <w:shd w:val="clear" w:color="auto" w:fill="auto"/>
            <w:noWrap/>
            <w:hideMark/>
          </w:tcPr>
          <w:p w14:paraId="4195BFFB" w14:textId="77777777" w:rsidR="0052387B" w:rsidRPr="00B2521E" w:rsidRDefault="0052387B" w:rsidP="003D3D7F">
            <w:pPr>
              <w:spacing w:before="0" w:after="0"/>
              <w:jc w:val="center"/>
              <w:rPr>
                <w:rFonts w:cstheme="minorHAnsi"/>
                <w:color w:val="000000"/>
                <w:sz w:val="18"/>
                <w:szCs w:val="18"/>
              </w:rPr>
            </w:pPr>
            <w:r>
              <w:rPr>
                <w:color w:val="000000"/>
                <w:sz w:val="18"/>
                <w:szCs w:val="18"/>
              </w:rPr>
              <w:t>9.25</w:t>
            </w:r>
          </w:p>
        </w:tc>
      </w:tr>
      <w:tr w:rsidR="0052387B" w:rsidRPr="00B2521E" w14:paraId="0F781099" w14:textId="77777777" w:rsidTr="003D3D7F">
        <w:trPr>
          <w:trHeight w:val="260"/>
        </w:trPr>
        <w:tc>
          <w:tcPr>
            <w:tcW w:w="7650" w:type="dxa"/>
            <w:shd w:val="clear" w:color="auto" w:fill="auto"/>
            <w:noWrap/>
            <w:hideMark/>
          </w:tcPr>
          <w:p w14:paraId="0991539C" w14:textId="77777777" w:rsidR="0052387B" w:rsidRPr="00B2521E" w:rsidRDefault="0052387B" w:rsidP="003D3D7F">
            <w:pPr>
              <w:spacing w:before="0" w:after="0"/>
              <w:rPr>
                <w:rFonts w:cstheme="minorHAnsi"/>
                <w:color w:val="000000"/>
                <w:sz w:val="18"/>
                <w:szCs w:val="18"/>
              </w:rPr>
            </w:pPr>
            <w:r>
              <w:rPr>
                <w:color w:val="000000"/>
                <w:sz w:val="18"/>
                <w:szCs w:val="18"/>
              </w:rPr>
              <w:t>Shortage of specialists as the construction market is growing</w:t>
            </w:r>
          </w:p>
        </w:tc>
        <w:tc>
          <w:tcPr>
            <w:tcW w:w="1701" w:type="dxa"/>
            <w:shd w:val="clear" w:color="auto" w:fill="auto"/>
            <w:noWrap/>
            <w:hideMark/>
          </w:tcPr>
          <w:p w14:paraId="27414EC8" w14:textId="77777777" w:rsidR="0052387B" w:rsidRPr="00B2521E" w:rsidRDefault="0052387B" w:rsidP="003D3D7F">
            <w:pPr>
              <w:spacing w:before="0" w:after="0"/>
              <w:jc w:val="center"/>
              <w:rPr>
                <w:rFonts w:cstheme="minorHAnsi"/>
                <w:color w:val="000000"/>
                <w:sz w:val="18"/>
                <w:szCs w:val="18"/>
              </w:rPr>
            </w:pPr>
            <w:r>
              <w:rPr>
                <w:color w:val="000000"/>
                <w:sz w:val="18"/>
                <w:szCs w:val="18"/>
              </w:rPr>
              <w:t>9.25</w:t>
            </w:r>
          </w:p>
        </w:tc>
      </w:tr>
      <w:tr w:rsidR="0052387B" w:rsidRPr="00B2521E" w14:paraId="0EAC18C0" w14:textId="77777777" w:rsidTr="003D3D7F">
        <w:trPr>
          <w:trHeight w:val="260"/>
        </w:trPr>
        <w:tc>
          <w:tcPr>
            <w:tcW w:w="7650" w:type="dxa"/>
            <w:shd w:val="clear" w:color="auto" w:fill="1F3763"/>
            <w:noWrap/>
          </w:tcPr>
          <w:p w14:paraId="79152877" w14:textId="5CC996B1"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Factors affecting changes in costs of construction materials directly in complex structures in manufacturing companies</w:t>
            </w:r>
          </w:p>
        </w:tc>
        <w:tc>
          <w:tcPr>
            <w:tcW w:w="1701" w:type="dxa"/>
            <w:shd w:val="clear" w:color="auto" w:fill="1F3763"/>
            <w:noWrap/>
            <w:vAlign w:val="bottom"/>
          </w:tcPr>
          <w:p w14:paraId="3BBE4D66" w14:textId="77777777" w:rsidR="0052387B" w:rsidRPr="00B2521E" w:rsidRDefault="0052387B" w:rsidP="003D3D7F">
            <w:pPr>
              <w:spacing w:before="0" w:after="0"/>
              <w:jc w:val="center"/>
              <w:rPr>
                <w:rFonts w:cstheme="minorHAnsi"/>
                <w:b/>
                <w:bCs/>
                <w:color w:val="FFFFFF" w:themeColor="background1"/>
                <w:sz w:val="18"/>
                <w:szCs w:val="18"/>
              </w:rPr>
            </w:pPr>
            <w:r>
              <w:rPr>
                <w:b/>
                <w:bCs/>
                <w:color w:val="FFFFFF" w:themeColor="background1"/>
                <w:sz w:val="18"/>
                <w:szCs w:val="18"/>
              </w:rPr>
              <w:t>Average evaluation</w:t>
            </w:r>
          </w:p>
        </w:tc>
      </w:tr>
      <w:tr w:rsidR="0052387B" w:rsidRPr="00B2521E" w14:paraId="448E86A2" w14:textId="77777777" w:rsidTr="003D3D7F">
        <w:trPr>
          <w:trHeight w:val="260"/>
        </w:trPr>
        <w:tc>
          <w:tcPr>
            <w:tcW w:w="7650" w:type="dxa"/>
            <w:shd w:val="clear" w:color="auto" w:fill="auto"/>
            <w:noWrap/>
            <w:hideMark/>
          </w:tcPr>
          <w:p w14:paraId="7B3E374B" w14:textId="77777777" w:rsidR="0052387B" w:rsidRPr="00B2521E" w:rsidRDefault="0052387B" w:rsidP="003D3D7F">
            <w:pPr>
              <w:spacing w:before="0" w:after="0"/>
              <w:rPr>
                <w:rFonts w:cstheme="minorHAnsi"/>
                <w:color w:val="000000"/>
                <w:sz w:val="18"/>
                <w:szCs w:val="18"/>
              </w:rPr>
            </w:pPr>
            <w:r>
              <w:rPr>
                <w:color w:val="000000"/>
                <w:sz w:val="18"/>
                <w:szCs w:val="18"/>
              </w:rPr>
              <w:t>Demand for construction material resources</w:t>
            </w:r>
          </w:p>
        </w:tc>
        <w:tc>
          <w:tcPr>
            <w:tcW w:w="1701" w:type="dxa"/>
            <w:shd w:val="clear" w:color="auto" w:fill="auto"/>
            <w:noWrap/>
            <w:hideMark/>
          </w:tcPr>
          <w:p w14:paraId="1CDC2545" w14:textId="77777777" w:rsidR="0052387B" w:rsidRPr="00B2521E" w:rsidRDefault="0052387B" w:rsidP="003D3D7F">
            <w:pPr>
              <w:spacing w:before="0" w:after="0"/>
              <w:jc w:val="center"/>
              <w:rPr>
                <w:rFonts w:cstheme="minorHAnsi"/>
                <w:color w:val="000000"/>
                <w:sz w:val="18"/>
                <w:szCs w:val="18"/>
              </w:rPr>
            </w:pPr>
            <w:r>
              <w:rPr>
                <w:color w:val="000000"/>
                <w:sz w:val="18"/>
                <w:szCs w:val="18"/>
              </w:rPr>
              <w:t>7.75</w:t>
            </w:r>
          </w:p>
        </w:tc>
      </w:tr>
      <w:tr w:rsidR="0052387B" w:rsidRPr="00B2521E" w14:paraId="3D299B53" w14:textId="77777777" w:rsidTr="003D3D7F">
        <w:trPr>
          <w:trHeight w:val="260"/>
        </w:trPr>
        <w:tc>
          <w:tcPr>
            <w:tcW w:w="7650" w:type="dxa"/>
            <w:shd w:val="clear" w:color="auto" w:fill="auto"/>
            <w:noWrap/>
            <w:hideMark/>
          </w:tcPr>
          <w:p w14:paraId="2ACFC208" w14:textId="77777777" w:rsidR="0052387B" w:rsidRPr="00B2521E" w:rsidRDefault="0052387B" w:rsidP="003D3D7F">
            <w:pPr>
              <w:spacing w:before="0" w:after="0"/>
              <w:rPr>
                <w:rFonts w:cstheme="minorHAnsi"/>
                <w:color w:val="000000"/>
                <w:sz w:val="18"/>
                <w:szCs w:val="18"/>
              </w:rPr>
            </w:pPr>
            <w:r>
              <w:rPr>
                <w:color w:val="000000"/>
                <w:sz w:val="18"/>
                <w:szCs w:val="18"/>
              </w:rPr>
              <w:t>Quality requirements</w:t>
            </w:r>
          </w:p>
        </w:tc>
        <w:tc>
          <w:tcPr>
            <w:tcW w:w="1701" w:type="dxa"/>
            <w:shd w:val="clear" w:color="auto" w:fill="auto"/>
            <w:noWrap/>
            <w:hideMark/>
          </w:tcPr>
          <w:p w14:paraId="7F5363D3" w14:textId="77777777" w:rsidR="0052387B" w:rsidRPr="00B2521E" w:rsidRDefault="0052387B" w:rsidP="003D3D7F">
            <w:pPr>
              <w:spacing w:before="0" w:after="0"/>
              <w:jc w:val="center"/>
              <w:rPr>
                <w:rFonts w:cstheme="minorHAnsi"/>
                <w:color w:val="000000"/>
                <w:sz w:val="18"/>
                <w:szCs w:val="18"/>
              </w:rPr>
            </w:pPr>
            <w:r>
              <w:rPr>
                <w:color w:val="000000"/>
                <w:sz w:val="18"/>
                <w:szCs w:val="18"/>
              </w:rPr>
              <w:t>6.75</w:t>
            </w:r>
          </w:p>
        </w:tc>
      </w:tr>
      <w:tr w:rsidR="0052387B" w:rsidRPr="00B2521E" w14:paraId="3D541FAE" w14:textId="77777777" w:rsidTr="003D3D7F">
        <w:trPr>
          <w:trHeight w:val="260"/>
        </w:trPr>
        <w:tc>
          <w:tcPr>
            <w:tcW w:w="7650" w:type="dxa"/>
            <w:shd w:val="clear" w:color="auto" w:fill="auto"/>
            <w:noWrap/>
            <w:hideMark/>
          </w:tcPr>
          <w:p w14:paraId="00389ACB" w14:textId="77777777" w:rsidR="0052387B" w:rsidRPr="00B2521E" w:rsidRDefault="0052387B" w:rsidP="003D3D7F">
            <w:pPr>
              <w:spacing w:before="0" w:after="0"/>
              <w:rPr>
                <w:rFonts w:cstheme="minorHAnsi"/>
                <w:color w:val="000000"/>
                <w:sz w:val="18"/>
                <w:szCs w:val="18"/>
              </w:rPr>
            </w:pPr>
            <w:r>
              <w:rPr>
                <w:color w:val="000000"/>
                <w:sz w:val="18"/>
                <w:szCs w:val="18"/>
              </w:rPr>
              <w:t>Control</w:t>
            </w:r>
          </w:p>
        </w:tc>
        <w:tc>
          <w:tcPr>
            <w:tcW w:w="1701" w:type="dxa"/>
            <w:shd w:val="clear" w:color="auto" w:fill="auto"/>
            <w:noWrap/>
            <w:hideMark/>
          </w:tcPr>
          <w:p w14:paraId="169716D8" w14:textId="77777777" w:rsidR="0052387B" w:rsidRPr="00B2521E" w:rsidRDefault="0052387B" w:rsidP="003D3D7F">
            <w:pPr>
              <w:spacing w:before="0" w:after="0"/>
              <w:jc w:val="center"/>
              <w:rPr>
                <w:rFonts w:cstheme="minorHAnsi"/>
                <w:color w:val="000000"/>
                <w:sz w:val="18"/>
                <w:szCs w:val="18"/>
              </w:rPr>
            </w:pPr>
            <w:r>
              <w:rPr>
                <w:color w:val="000000"/>
                <w:sz w:val="18"/>
                <w:szCs w:val="18"/>
              </w:rPr>
              <w:t>6.00</w:t>
            </w:r>
          </w:p>
        </w:tc>
      </w:tr>
    </w:tbl>
    <w:p w14:paraId="5F503BCB" w14:textId="77777777" w:rsidR="0052387B" w:rsidRPr="00B2521E" w:rsidRDefault="0052387B" w:rsidP="0052387B">
      <w:pPr>
        <w:jc w:val="center"/>
        <w:rPr>
          <w:sz w:val="20"/>
          <w:szCs w:val="18"/>
        </w:rPr>
      </w:pPr>
      <w:r>
        <w:rPr>
          <w:sz w:val="20"/>
          <w:szCs w:val="18"/>
        </w:rPr>
        <w:t>Source: Expert interviews</w:t>
      </w:r>
    </w:p>
    <w:p w14:paraId="2412C825" w14:textId="3CA6E496" w:rsidR="0052387B" w:rsidRPr="00B2521E" w:rsidRDefault="0052387B">
      <w:pPr>
        <w:ind w:firstLine="851"/>
        <w:jc w:val="both"/>
      </w:pPr>
      <w:r>
        <w:t xml:space="preserve">The evaluation of forecasts of changes of costs by types of resources by subsector experts generally shows a rapid increase in </w:t>
      </w:r>
      <w:r>
        <w:rPr>
          <w:rStyle w:val="st"/>
        </w:rPr>
        <w:t>changes</w:t>
      </w:r>
      <w:r>
        <w:t xml:space="preserve"> in costs until 2020, followed </w:t>
      </w:r>
      <w:proofErr w:type="gramStart"/>
      <w:r>
        <w:t>by more moderate increase, structurally similar to the forecasts of changes in all construction costs by types of resources,</w:t>
      </w:r>
      <w:proofErr w:type="gramEnd"/>
      <w:r>
        <w:t xml:space="preserve"> however on a larger scale.</w:t>
      </w:r>
    </w:p>
    <w:p w14:paraId="7CBB8924" w14:textId="41892FFA" w:rsidR="006F60D2" w:rsidRPr="00B2521E" w:rsidRDefault="006F60D2" w:rsidP="006F60D2">
      <w:pPr>
        <w:ind w:firstLine="851"/>
        <w:jc w:val="both"/>
      </w:pPr>
    </w:p>
    <w:p w14:paraId="47025413" w14:textId="3F6036F7" w:rsidR="006F60D2" w:rsidRPr="00B2521E" w:rsidRDefault="006F60D2" w:rsidP="006F60D2">
      <w:pPr>
        <w:ind w:firstLine="851"/>
        <w:jc w:val="both"/>
      </w:pPr>
    </w:p>
    <w:p w14:paraId="6929884E" w14:textId="77777777" w:rsidR="006F60D2" w:rsidRPr="00B2521E" w:rsidRDefault="006F60D2" w:rsidP="006F60D2">
      <w:pPr>
        <w:ind w:firstLine="851"/>
        <w:jc w:val="both"/>
        <w:rPr>
          <w:b/>
          <w:sz w:val="20"/>
          <w:szCs w:val="18"/>
        </w:rPr>
      </w:pPr>
    </w:p>
    <w:p w14:paraId="0F8B0A1D" w14:textId="6731D546" w:rsidR="0052387B" w:rsidRPr="00B2521E" w:rsidRDefault="002F7202" w:rsidP="0052387B">
      <w:pPr>
        <w:jc w:val="center"/>
        <w:rPr>
          <w:b/>
          <w:sz w:val="20"/>
          <w:szCs w:val="18"/>
        </w:rPr>
      </w:pPr>
      <w:r>
        <w:rPr>
          <w:b/>
          <w:sz w:val="20"/>
          <w:szCs w:val="18"/>
        </w:rPr>
        <w:lastRenderedPageBreak/>
        <w:t>Figure No. 28</w:t>
      </w:r>
      <w:r w:rsidR="0052387B">
        <w:rPr>
          <w:b/>
          <w:sz w:val="20"/>
          <w:szCs w:val="18"/>
        </w:rPr>
        <w:t xml:space="preserve">. Forecast of changes in construction costs by types of resources in the subsector of complex structures, </w:t>
      </w:r>
      <w:r w:rsidR="0052387B">
        <w:rPr>
          <w:b/>
          <w:sz w:val="20"/>
        </w:rPr>
        <w:t>cumulative changes compared to 2018, %</w:t>
      </w:r>
    </w:p>
    <w:p w14:paraId="640FB79A" w14:textId="783962D7" w:rsidR="0052387B" w:rsidRPr="00B2521E" w:rsidRDefault="004E1F4F" w:rsidP="0052387B">
      <w:pPr>
        <w:jc w:val="center"/>
      </w:pPr>
      <w:r w:rsidRPr="004E1F4F">
        <w:rPr>
          <w:noProof/>
          <w:lang w:val="en-US"/>
        </w:rPr>
        <w:drawing>
          <wp:inline distT="0" distB="0" distL="0" distR="0" wp14:anchorId="4C91CBDD" wp14:editId="1046BD92">
            <wp:extent cx="4342857" cy="2523809"/>
            <wp:effectExtent l="0" t="0" r="635" b="0"/>
            <wp:docPr id="1006675212" name="Picture 100667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42857" cy="2523809"/>
                    </a:xfrm>
                    <a:prstGeom prst="rect">
                      <a:avLst/>
                    </a:prstGeom>
                  </pic:spPr>
                </pic:pic>
              </a:graphicData>
            </a:graphic>
          </wp:inline>
        </w:drawing>
      </w:r>
    </w:p>
    <w:p w14:paraId="4A036A35" w14:textId="54D5DD07" w:rsidR="0052387B" w:rsidRDefault="0052387B" w:rsidP="0052387B">
      <w:pPr>
        <w:spacing w:before="100" w:after="200" w:line="276" w:lineRule="auto"/>
        <w:jc w:val="center"/>
        <w:rPr>
          <w:sz w:val="20"/>
        </w:rPr>
      </w:pPr>
      <w:r>
        <w:rPr>
          <w:sz w:val="20"/>
        </w:rPr>
        <w:t>Source: CSB historical data before 2018 (inclusive) and calculations made by authors, based on expert evaluations and developed models – forecast for 2019-2023</w:t>
      </w:r>
    </w:p>
    <w:p w14:paraId="410F139D" w14:textId="77777777" w:rsidR="0052387B" w:rsidRPr="00B2521E" w:rsidRDefault="0052387B" w:rsidP="0052387B">
      <w:pPr>
        <w:pStyle w:val="Heading2"/>
      </w:pPr>
      <w:bookmarkStart w:id="795" w:name="_Toc13492841"/>
      <w:bookmarkStart w:id="796" w:name="_Toc13574881"/>
      <w:bookmarkStart w:id="797" w:name="_Toc13576668"/>
      <w:bookmarkStart w:id="798" w:name="_Toc13580421"/>
      <w:bookmarkStart w:id="799" w:name="_Toc13673603"/>
      <w:bookmarkStart w:id="800" w:name="_Toc13673919"/>
      <w:bookmarkStart w:id="801" w:name="_Toc18682408"/>
      <w:bookmarkEnd w:id="795"/>
      <w:bookmarkEnd w:id="796"/>
      <w:bookmarkEnd w:id="797"/>
      <w:bookmarkEnd w:id="798"/>
      <w:bookmarkEnd w:id="799"/>
      <w:bookmarkEnd w:id="800"/>
      <w:r>
        <w:t>Summary of forecasts of changes in costs by subsectors</w:t>
      </w:r>
      <w:bookmarkEnd w:id="801"/>
    </w:p>
    <w:p w14:paraId="1A593D8E" w14:textId="3DDB2E95" w:rsidR="00841D44" w:rsidRDefault="0052387B" w:rsidP="007871CE">
      <w:pPr>
        <w:ind w:firstLine="851"/>
        <w:jc w:val="both"/>
        <w:rPr>
          <w:b/>
          <w:sz w:val="20"/>
          <w:szCs w:val="18"/>
        </w:rPr>
      </w:pPr>
      <w:r>
        <w:rPr>
          <w:rStyle w:val="st"/>
        </w:rPr>
        <w:t xml:space="preserve">When evaluating the increase of changes in costs by construction subsectors, the highest increase </w:t>
      </w:r>
      <w:proofErr w:type="gramStart"/>
      <w:r>
        <w:rPr>
          <w:rStyle w:val="st"/>
        </w:rPr>
        <w:t>is expected</w:t>
      </w:r>
      <w:proofErr w:type="gramEnd"/>
      <w:r>
        <w:rPr>
          <w:rStyle w:val="st"/>
        </w:rPr>
        <w:t xml:space="preserve"> in non-residential buildings – 21.1% and in complex structures – 21.7%, cumulatively in 2023 compared to the </w:t>
      </w:r>
      <w:r w:rsidR="002F7202">
        <w:rPr>
          <w:rStyle w:val="st"/>
        </w:rPr>
        <w:t>level of 2018 (see Figure No. 29</w:t>
      </w:r>
      <w:r>
        <w:rPr>
          <w:rStyle w:val="st"/>
        </w:rPr>
        <w:t>).</w:t>
      </w:r>
    </w:p>
    <w:p w14:paraId="06B7B2C7" w14:textId="558412E7" w:rsidR="0052387B" w:rsidRPr="00B2521E" w:rsidRDefault="002F7202" w:rsidP="0052387B">
      <w:pPr>
        <w:jc w:val="center"/>
        <w:rPr>
          <w:b/>
          <w:sz w:val="20"/>
        </w:rPr>
      </w:pPr>
      <w:r>
        <w:rPr>
          <w:b/>
          <w:sz w:val="20"/>
          <w:szCs w:val="18"/>
        </w:rPr>
        <w:t>Figure No. 29</w:t>
      </w:r>
      <w:r w:rsidR="0052387B">
        <w:rPr>
          <w:b/>
          <w:sz w:val="20"/>
          <w:szCs w:val="18"/>
        </w:rPr>
        <w:t xml:space="preserve">. </w:t>
      </w:r>
      <w:r w:rsidR="0052387B">
        <w:rPr>
          <w:b/>
          <w:sz w:val="20"/>
        </w:rPr>
        <w:t>Changes in construction costs before 2018 and forecasts by construction subsectors from 2019 to 2023, cumulative changes compared to 2018, %</w:t>
      </w:r>
    </w:p>
    <w:p w14:paraId="50521EE9" w14:textId="5920E9B9" w:rsidR="0052387B" w:rsidRPr="00B2521E" w:rsidRDefault="002F7202" w:rsidP="0052387B">
      <w:pPr>
        <w:jc w:val="center"/>
        <w:rPr>
          <w:bCs/>
          <w:sz w:val="20"/>
          <w:szCs w:val="18"/>
        </w:rPr>
      </w:pPr>
      <w:r w:rsidRPr="002F7202">
        <w:drawing>
          <wp:inline distT="0" distB="0" distL="0" distR="0" wp14:anchorId="5EB3459B" wp14:editId="3C0B59E1">
            <wp:extent cx="5086350" cy="369431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91653" cy="3698171"/>
                    </a:xfrm>
                    <a:prstGeom prst="rect">
                      <a:avLst/>
                    </a:prstGeom>
                  </pic:spPr>
                </pic:pic>
              </a:graphicData>
            </a:graphic>
          </wp:inline>
        </w:drawing>
      </w:r>
    </w:p>
    <w:p w14:paraId="7978A755" w14:textId="434FBE09" w:rsidR="0052387B" w:rsidRDefault="0052387B" w:rsidP="0052387B">
      <w:pPr>
        <w:jc w:val="center"/>
        <w:rPr>
          <w:sz w:val="20"/>
        </w:rPr>
      </w:pPr>
      <w:r>
        <w:rPr>
          <w:sz w:val="20"/>
        </w:rPr>
        <w:t xml:space="preserve">Source: CSB historical data before 2018 (inclusive) and calculations made by authors, based on expert evaluations </w:t>
      </w:r>
      <w:proofErr w:type="gramStart"/>
      <w:r>
        <w:rPr>
          <w:sz w:val="20"/>
        </w:rPr>
        <w:t>and</w:t>
      </w:r>
      <w:proofErr w:type="gramEnd"/>
      <w:r>
        <w:rPr>
          <w:sz w:val="20"/>
        </w:rPr>
        <w:t xml:space="preserve"> developed models – forecast for 2019-2023</w:t>
      </w:r>
    </w:p>
    <w:p w14:paraId="24B86E27" w14:textId="6329DEFF" w:rsidR="0052387B" w:rsidRPr="00B2521E" w:rsidRDefault="0052387B" w:rsidP="0052387B">
      <w:pPr>
        <w:ind w:firstLine="851"/>
        <w:jc w:val="both"/>
        <w:rPr>
          <w:rStyle w:val="st"/>
        </w:rPr>
      </w:pPr>
      <w:r>
        <w:rPr>
          <w:rStyle w:val="st"/>
        </w:rPr>
        <w:lastRenderedPageBreak/>
        <w:t xml:space="preserve">A moderate increase of changes in costs up to cumulative 14.5% of the level of 2018 </w:t>
      </w:r>
      <w:proofErr w:type="gramStart"/>
      <w:r>
        <w:rPr>
          <w:rStyle w:val="st"/>
        </w:rPr>
        <w:t>is forecast</w:t>
      </w:r>
      <w:proofErr w:type="gramEnd"/>
      <w:r>
        <w:rPr>
          <w:rStyle w:val="st"/>
        </w:rPr>
        <w:t xml:space="preserve"> for residential buildings. Changes in costs of main underground pipelines will, on the contrary, gradually reduce after the rise in 2020. </w:t>
      </w:r>
    </w:p>
    <w:p w14:paraId="526694D3" w14:textId="7C8E4CE1" w:rsidR="0052387B" w:rsidRPr="00B2521E" w:rsidRDefault="0052387B" w:rsidP="0052387B">
      <w:pPr>
        <w:ind w:firstLine="851"/>
        <w:jc w:val="both"/>
        <w:rPr>
          <w:rFonts w:cs="Arial"/>
          <w:color w:val="222222"/>
        </w:rPr>
      </w:pPr>
      <w:r>
        <w:rPr>
          <w:rStyle w:val="st"/>
        </w:rPr>
        <w:t>Forecasts of changes in costs of subsectors of main underground pipelines, other civil engineering projects and transport evidence of fluctuations within 5% throughout the entire period of the forecast compared to the level of 2018.</w:t>
      </w:r>
    </w:p>
    <w:p w14:paraId="20BE9DEF" w14:textId="121F965D" w:rsidR="00364CA7" w:rsidRPr="00B2521E" w:rsidRDefault="00364CA7" w:rsidP="00895643">
      <w:pPr>
        <w:ind w:firstLine="851"/>
        <w:jc w:val="both"/>
      </w:pPr>
    </w:p>
    <w:bookmarkEnd w:id="17"/>
    <w:p w14:paraId="75A84581" w14:textId="77777777" w:rsidR="00DE55B8" w:rsidRPr="00B2521E" w:rsidRDefault="00DE55B8">
      <w:pPr>
        <w:spacing w:before="100" w:after="200" w:line="276" w:lineRule="auto"/>
        <w:rPr>
          <w:caps/>
          <w:sz w:val="30"/>
          <w:szCs w:val="30"/>
        </w:rPr>
        <w:sectPr w:rsidR="00DE55B8" w:rsidRPr="00B2521E" w:rsidSect="00741888">
          <w:pgSz w:w="11906" w:h="16838"/>
          <w:pgMar w:top="1418" w:right="851" w:bottom="1418" w:left="1701" w:header="709" w:footer="709" w:gutter="0"/>
          <w:cols w:space="708"/>
          <w:docGrid w:linePitch="360"/>
        </w:sectPr>
      </w:pPr>
      <w:r>
        <w:br w:type="page"/>
      </w:r>
    </w:p>
    <w:p w14:paraId="5F04B1B1" w14:textId="285A8EAF" w:rsidR="00DE55B8" w:rsidRPr="00B2521E" w:rsidRDefault="00DE55B8" w:rsidP="00DE55B8">
      <w:pPr>
        <w:pStyle w:val="Heading1"/>
        <w:rPr>
          <w:sz w:val="30"/>
          <w:szCs w:val="30"/>
        </w:rPr>
      </w:pPr>
      <w:bookmarkStart w:id="802" w:name="_Toc18682409"/>
      <w:r>
        <w:rPr>
          <w:caps w:val="0"/>
          <w:sz w:val="30"/>
          <w:szCs w:val="30"/>
        </w:rPr>
        <w:lastRenderedPageBreak/>
        <w:t>MAIN RESULTS</w:t>
      </w:r>
      <w:bookmarkEnd w:id="802"/>
    </w:p>
    <w:p w14:paraId="441311AB" w14:textId="63C50E2D" w:rsidR="00781635" w:rsidRPr="00B2521E" w:rsidRDefault="00220923" w:rsidP="00895643">
      <w:pPr>
        <w:pStyle w:val="ListParagraph"/>
        <w:numPr>
          <w:ilvl w:val="0"/>
          <w:numId w:val="31"/>
        </w:numPr>
        <w:jc w:val="both"/>
        <w:rPr>
          <w:rFonts w:cstheme="minorHAnsi"/>
          <w:szCs w:val="22"/>
        </w:rPr>
      </w:pPr>
      <w:r>
        <w:rPr>
          <w:b/>
          <w:bCs/>
          <w:szCs w:val="22"/>
        </w:rPr>
        <w:t xml:space="preserve">The total increase in the volume of construction products </w:t>
      </w:r>
      <w:r>
        <w:t xml:space="preserve">compared to the previous year will increase by 12.5% in 2019, by 14.8% in 2020, by 4.1% in 2021, reduced by -9,2% in 2022 and increase by 2.2% in 2023. Cumulative changes in the total volume of construction products will reach an increase of 24.7% in 2023 compared to 2018. </w:t>
      </w:r>
    </w:p>
    <w:p w14:paraId="4B54081C" w14:textId="77777777" w:rsidR="00781635" w:rsidRPr="00B2521E" w:rsidRDefault="00781635" w:rsidP="00895643">
      <w:pPr>
        <w:pStyle w:val="ListParagraph"/>
        <w:ind w:left="0"/>
      </w:pPr>
    </w:p>
    <w:p w14:paraId="13C57068" w14:textId="2796726A" w:rsidR="00594393" w:rsidRPr="00B2521E" w:rsidRDefault="00B63269" w:rsidP="00895643">
      <w:pPr>
        <w:pStyle w:val="ListParagraph"/>
        <w:numPr>
          <w:ilvl w:val="0"/>
          <w:numId w:val="31"/>
        </w:numPr>
        <w:contextualSpacing w:val="0"/>
        <w:jc w:val="both"/>
        <w:rPr>
          <w:rFonts w:cstheme="minorHAnsi"/>
          <w:szCs w:val="22"/>
        </w:rPr>
      </w:pPr>
      <w:r>
        <w:rPr>
          <w:b/>
          <w:bCs/>
          <w:szCs w:val="22"/>
        </w:rPr>
        <w:t xml:space="preserve">The total changes in construction costs </w:t>
      </w:r>
      <w:r>
        <w:t xml:space="preserve">compared to the previous year will increase by 4.9% in 2019, by 4.4% in 2020, by 1.5% in 2021, reduced by -1,1% in 2022 and increase by 0.7% in 2023. Cumulative total changes in construction costs will reach an increase of 10.7% in 2023 compared to 2018. </w:t>
      </w:r>
    </w:p>
    <w:p w14:paraId="1AA0CBF5" w14:textId="51B00B12" w:rsidR="00A37961" w:rsidRPr="00B2521E" w:rsidRDefault="00A37961" w:rsidP="00895643">
      <w:pPr>
        <w:pStyle w:val="ListParagraph"/>
        <w:numPr>
          <w:ilvl w:val="0"/>
          <w:numId w:val="31"/>
        </w:numPr>
        <w:contextualSpacing w:val="0"/>
        <w:jc w:val="both"/>
        <w:rPr>
          <w:rFonts w:cstheme="minorHAnsi"/>
          <w:szCs w:val="22"/>
        </w:rPr>
      </w:pPr>
      <w:r>
        <w:t xml:space="preserve">In the expert evaluation, the most </w:t>
      </w:r>
      <w:r>
        <w:rPr>
          <w:b/>
          <w:bCs/>
          <w:szCs w:val="22"/>
        </w:rPr>
        <w:t>important factors affecting changes in costs of labour force</w:t>
      </w:r>
      <w:r>
        <w:t xml:space="preserve"> in the construction industry in 2019 – 2023 in Latvia are:  </w:t>
      </w:r>
    </w:p>
    <w:p w14:paraId="25BD3180" w14:textId="6AD59551" w:rsidR="00A37961" w:rsidRPr="00B2521E" w:rsidRDefault="00A37961" w:rsidP="00A37961">
      <w:pPr>
        <w:pStyle w:val="ListParagraph"/>
        <w:numPr>
          <w:ilvl w:val="1"/>
          <w:numId w:val="20"/>
        </w:numPr>
        <w:ind w:left="1843"/>
        <w:contextualSpacing w:val="0"/>
        <w:jc w:val="both"/>
        <w:rPr>
          <w:rFonts w:cstheme="minorHAnsi"/>
          <w:szCs w:val="22"/>
        </w:rPr>
      </w:pPr>
      <w:r>
        <w:t>Volume of construction products in Latvia,</w:t>
      </w:r>
    </w:p>
    <w:p w14:paraId="79C0EA11" w14:textId="77777777" w:rsidR="00A37961" w:rsidRPr="00B2521E" w:rsidRDefault="00A37961" w:rsidP="00A37961">
      <w:pPr>
        <w:pStyle w:val="ListParagraph"/>
        <w:numPr>
          <w:ilvl w:val="0"/>
          <w:numId w:val="20"/>
        </w:numPr>
        <w:contextualSpacing w:val="0"/>
        <w:jc w:val="both"/>
        <w:rPr>
          <w:rFonts w:cstheme="minorHAnsi"/>
          <w:szCs w:val="22"/>
        </w:rPr>
      </w:pPr>
      <w:r>
        <w:t>Labour tax rate in Latvia,</w:t>
      </w:r>
    </w:p>
    <w:p w14:paraId="102D2FC1" w14:textId="250A535B" w:rsidR="00A37961" w:rsidRPr="00B2521E" w:rsidRDefault="00A37961" w:rsidP="00A37961">
      <w:pPr>
        <w:pStyle w:val="ListParagraph"/>
        <w:numPr>
          <w:ilvl w:val="0"/>
          <w:numId w:val="20"/>
        </w:numPr>
        <w:contextualSpacing w:val="0"/>
        <w:jc w:val="both"/>
        <w:rPr>
          <w:rFonts w:cstheme="minorHAnsi"/>
          <w:szCs w:val="22"/>
        </w:rPr>
      </w:pPr>
      <w:r>
        <w:t>Volume of construction products implemented for public funds.</w:t>
      </w:r>
    </w:p>
    <w:p w14:paraId="224ED045" w14:textId="12BACD8E" w:rsidR="00A37961" w:rsidRPr="00B2521E" w:rsidRDefault="00A37961" w:rsidP="00895643">
      <w:pPr>
        <w:pStyle w:val="ListParagraph"/>
        <w:numPr>
          <w:ilvl w:val="0"/>
          <w:numId w:val="31"/>
        </w:numPr>
        <w:contextualSpacing w:val="0"/>
        <w:jc w:val="both"/>
        <w:rPr>
          <w:rFonts w:cstheme="minorHAnsi"/>
          <w:szCs w:val="22"/>
        </w:rPr>
      </w:pPr>
      <w:r>
        <w:t xml:space="preserve">In the expert evaluation, the most important </w:t>
      </w:r>
      <w:r>
        <w:rPr>
          <w:b/>
          <w:bCs/>
          <w:szCs w:val="22"/>
        </w:rPr>
        <w:t>factors affecting changes in costs of construction materials</w:t>
      </w:r>
      <w:r>
        <w:t xml:space="preserve"> in the construction industry in 2019 – 2023 in Latvia are:  </w:t>
      </w:r>
    </w:p>
    <w:p w14:paraId="4498AF26" w14:textId="4571AC08" w:rsidR="00A37961" w:rsidRPr="00B2521E" w:rsidRDefault="00A37961" w:rsidP="00A37961">
      <w:pPr>
        <w:pStyle w:val="ListParagraph"/>
        <w:numPr>
          <w:ilvl w:val="0"/>
          <w:numId w:val="15"/>
        </w:numPr>
        <w:ind w:left="1843"/>
        <w:contextualSpacing w:val="0"/>
        <w:jc w:val="both"/>
        <w:rPr>
          <w:rFonts w:cstheme="minorHAnsi"/>
          <w:szCs w:val="22"/>
        </w:rPr>
      </w:pPr>
      <w:r>
        <w:t>Volume of construction products in Latvia,</w:t>
      </w:r>
    </w:p>
    <w:p w14:paraId="3084149B" w14:textId="77777777" w:rsidR="00A37961" w:rsidRPr="00B2521E" w:rsidRDefault="00A37961" w:rsidP="00A37961">
      <w:pPr>
        <w:pStyle w:val="ListParagraph"/>
        <w:numPr>
          <w:ilvl w:val="0"/>
          <w:numId w:val="15"/>
        </w:numPr>
        <w:ind w:left="1843"/>
        <w:contextualSpacing w:val="0"/>
        <w:jc w:val="both"/>
        <w:rPr>
          <w:rFonts w:cstheme="minorHAnsi"/>
          <w:szCs w:val="22"/>
        </w:rPr>
      </w:pPr>
      <w:r>
        <w:t>EU’s total demand of the construction market,</w:t>
      </w:r>
    </w:p>
    <w:p w14:paraId="561742F1" w14:textId="37FFCE60" w:rsidR="00A37961" w:rsidRPr="00B2521E" w:rsidRDefault="00A37961" w:rsidP="00A37961">
      <w:pPr>
        <w:pStyle w:val="ListParagraph"/>
        <w:numPr>
          <w:ilvl w:val="0"/>
          <w:numId w:val="15"/>
        </w:numPr>
        <w:ind w:left="1843"/>
        <w:contextualSpacing w:val="0"/>
        <w:jc w:val="both"/>
        <w:rPr>
          <w:rFonts w:cstheme="minorHAnsi"/>
          <w:szCs w:val="22"/>
        </w:rPr>
      </w:pPr>
      <w:r>
        <w:t>Volume of construction products implemented for public funds.</w:t>
      </w:r>
    </w:p>
    <w:p w14:paraId="696B75FC" w14:textId="69C29A7E" w:rsidR="00BA0282" w:rsidRPr="00B2521E" w:rsidRDefault="00BA0282" w:rsidP="00895643">
      <w:pPr>
        <w:pStyle w:val="ListParagraph"/>
        <w:numPr>
          <w:ilvl w:val="0"/>
          <w:numId w:val="31"/>
        </w:numPr>
        <w:contextualSpacing w:val="0"/>
        <w:jc w:val="both"/>
        <w:rPr>
          <w:rFonts w:cstheme="minorHAnsi"/>
          <w:szCs w:val="22"/>
        </w:rPr>
      </w:pPr>
      <w:r>
        <w:rPr>
          <w:b/>
          <w:bCs/>
          <w:szCs w:val="22"/>
        </w:rPr>
        <w:t>In the subsector of residential buildings</w:t>
      </w:r>
      <w:r>
        <w:t xml:space="preserve">, in the period from </w:t>
      </w:r>
      <w:r>
        <w:rPr>
          <w:rFonts w:ascii="Calibri" w:hAnsi="Calibri"/>
          <w:bCs/>
          <w:szCs w:val="22"/>
        </w:rPr>
        <w:t>2019 to 2023,</w:t>
      </w:r>
      <w:r>
        <w:t xml:space="preserve"> an increase is expected in the </w:t>
      </w:r>
      <w:r>
        <w:rPr>
          <w:b/>
          <w:bCs/>
          <w:szCs w:val="22"/>
        </w:rPr>
        <w:t>volume of construction products</w:t>
      </w:r>
      <w:r>
        <w:t xml:space="preserve">, cumulative changes compared to 2018 provide for an increase by 7.6% in 2019, by 25.6% in 2020, by 35.7% in 2021, by 25,1% in 2022 and increase by 34% in 2023. In the subsector of residential buildings </w:t>
      </w:r>
      <w:r>
        <w:rPr>
          <w:rFonts w:ascii="Calibri" w:hAnsi="Calibri"/>
          <w:bCs/>
          <w:szCs w:val="22"/>
        </w:rPr>
        <w:t>a homogeneous</w:t>
      </w:r>
      <w:r>
        <w:rPr>
          <w:rFonts w:ascii="Calibri" w:hAnsi="Calibri"/>
          <w:szCs w:val="22"/>
        </w:rPr>
        <w:t xml:space="preserve"> increase in changes in </w:t>
      </w:r>
      <w:r>
        <w:rPr>
          <w:rFonts w:ascii="Calibri" w:hAnsi="Calibri"/>
          <w:b/>
          <w:szCs w:val="22"/>
        </w:rPr>
        <w:t>construction costs</w:t>
      </w:r>
      <w:r>
        <w:rPr>
          <w:rFonts w:ascii="Calibri" w:hAnsi="Calibri"/>
          <w:bCs/>
          <w:szCs w:val="22"/>
        </w:rPr>
        <w:t xml:space="preserve"> is expected throughout the entire period from 2019 to 2023, </w:t>
      </w:r>
      <w:r>
        <w:t xml:space="preserve">cumulative changes compared to 2018 provide for an increase by 4% in 2019, by 8% in 2020, by 10.7% in 2021, by 11,7% in 2022 and by 14.5% in 2023. </w:t>
      </w:r>
    </w:p>
    <w:p w14:paraId="724E673C" w14:textId="024A9FF7" w:rsidR="00A97D08" w:rsidRPr="00B2521E" w:rsidRDefault="001A3CF8" w:rsidP="00895643">
      <w:pPr>
        <w:pStyle w:val="ListParagraph"/>
        <w:numPr>
          <w:ilvl w:val="0"/>
          <w:numId w:val="31"/>
        </w:numPr>
        <w:contextualSpacing w:val="0"/>
        <w:jc w:val="both"/>
        <w:rPr>
          <w:rFonts w:cstheme="minorHAnsi"/>
          <w:szCs w:val="22"/>
        </w:rPr>
      </w:pPr>
      <w:r>
        <w:rPr>
          <w:b/>
          <w:bCs/>
          <w:szCs w:val="22"/>
        </w:rPr>
        <w:t>In the subsector of non-residential buildings</w:t>
      </w:r>
      <w:r>
        <w:t xml:space="preserve">, in the period from </w:t>
      </w:r>
      <w:r>
        <w:rPr>
          <w:rFonts w:ascii="Calibri" w:hAnsi="Calibri"/>
          <w:bCs/>
          <w:szCs w:val="22"/>
        </w:rPr>
        <w:t>2019 to 2023,</w:t>
      </w:r>
      <w:r>
        <w:t xml:space="preserve"> an increase is also expected in the </w:t>
      </w:r>
      <w:r>
        <w:rPr>
          <w:b/>
          <w:bCs/>
          <w:szCs w:val="22"/>
        </w:rPr>
        <w:t>volume of construction products</w:t>
      </w:r>
      <w:r>
        <w:t xml:space="preserve"> with cumulative changes in 2019 compared to 2018 showing an increase by 8.1%, by 27% in 2020, by 37.3% in 2021, by 25,1% in 2022 and increase by 32.8% in 2023. In the subsector of non-residential buildings </w:t>
      </w:r>
      <w:r>
        <w:rPr>
          <w:rFonts w:ascii="Calibri" w:hAnsi="Calibri"/>
          <w:bCs/>
          <w:szCs w:val="22"/>
        </w:rPr>
        <w:t xml:space="preserve">a homogeneous increase in changes in </w:t>
      </w:r>
      <w:r>
        <w:rPr>
          <w:rFonts w:ascii="Calibri" w:hAnsi="Calibri"/>
          <w:b/>
          <w:szCs w:val="22"/>
        </w:rPr>
        <w:t>construction costs</w:t>
      </w:r>
      <w:r>
        <w:rPr>
          <w:rFonts w:ascii="Calibri" w:hAnsi="Calibri"/>
          <w:bCs/>
          <w:szCs w:val="22"/>
        </w:rPr>
        <w:t xml:space="preserve"> is expected throughout the entire period from 2019 to 2023 </w:t>
      </w:r>
      <w:r>
        <w:t>with cumulative changes in 2018 providing for an increase by 5.2% in 2019, by 10.7% in 2020, by 14% in 2021, by 16</w:t>
      </w:r>
      <w:proofErr w:type="gramStart"/>
      <w:r>
        <w:t>,2</w:t>
      </w:r>
      <w:proofErr w:type="gramEnd"/>
      <w:r>
        <w:t xml:space="preserve">% in 2022 and increase by 21.1% in 2023. </w:t>
      </w:r>
    </w:p>
    <w:p w14:paraId="67AF6543" w14:textId="7471950B" w:rsidR="00F46C42" w:rsidRDefault="00F46C42" w:rsidP="00F46C42">
      <w:pPr>
        <w:pStyle w:val="ListParagraph"/>
        <w:numPr>
          <w:ilvl w:val="0"/>
          <w:numId w:val="31"/>
        </w:numPr>
        <w:jc w:val="both"/>
      </w:pPr>
      <w:r w:rsidRPr="00F46C42">
        <w:rPr>
          <w:b/>
        </w:rPr>
        <w:t xml:space="preserve">In the </w:t>
      </w:r>
      <w:r w:rsidRPr="00F46C42">
        <w:rPr>
          <w:b/>
        </w:rPr>
        <w:t>sub</w:t>
      </w:r>
      <w:r w:rsidRPr="00F46C42">
        <w:rPr>
          <w:b/>
        </w:rPr>
        <w:t>sector</w:t>
      </w:r>
      <w:r w:rsidRPr="00F46C42">
        <w:rPr>
          <w:b/>
        </w:rPr>
        <w:t xml:space="preserve"> of </w:t>
      </w:r>
      <w:r w:rsidRPr="00F46C42">
        <w:rPr>
          <w:b/>
        </w:rPr>
        <w:t>transport</w:t>
      </w:r>
      <w:r w:rsidRPr="00F46C42">
        <w:rPr>
          <w:b/>
        </w:rPr>
        <w:t xml:space="preserve"> infrastructure</w:t>
      </w:r>
      <w:r>
        <w:t xml:space="preserve">, a radically opposed change in </w:t>
      </w:r>
      <w:r w:rsidRPr="00F46C42">
        <w:rPr>
          <w:b/>
        </w:rPr>
        <w:t xml:space="preserve">construction </w:t>
      </w:r>
      <w:r w:rsidRPr="00F46C42">
        <w:rPr>
          <w:b/>
        </w:rPr>
        <w:t>volume</w:t>
      </w:r>
      <w:r>
        <w:t xml:space="preserve"> </w:t>
      </w:r>
      <w:proofErr w:type="gramStart"/>
      <w:r>
        <w:t>is expected</w:t>
      </w:r>
      <w:proofErr w:type="gramEnd"/>
      <w:r>
        <w:t xml:space="preserve"> in the road/</w:t>
      </w:r>
      <w:r>
        <w:t xml:space="preserve"> bridge and rail sector, with cumulative achievements of -33.4% and 46.9% against 2018 levels in 2022, respectively. </w:t>
      </w:r>
      <w:r w:rsidRPr="00F46C42">
        <w:rPr>
          <w:b/>
        </w:rPr>
        <w:t>Construction costs</w:t>
      </w:r>
      <w:r>
        <w:t xml:space="preserve"> </w:t>
      </w:r>
      <w:proofErr w:type="gramStart"/>
      <w:r>
        <w:t>are projected</w:t>
      </w:r>
      <w:proofErr w:type="gramEnd"/>
      <w:r>
        <w:t xml:space="preserve"> to total 1-4% above 2018 levels by 2022. However, it is essential that the interchangeability of the workforce in road and rail areas </w:t>
      </w:r>
      <w:proofErr w:type="gramStart"/>
      <w:r>
        <w:t>is</w:t>
      </w:r>
      <w:proofErr w:type="gramEnd"/>
      <w:r>
        <w:t xml:space="preserve"> assessed to be minimal. In 2023, the forecasts are controversial and </w:t>
      </w:r>
      <w:proofErr w:type="gramStart"/>
      <w:r>
        <w:t>are</w:t>
      </w:r>
      <w:r>
        <w:t xml:space="preserve"> based</w:t>
      </w:r>
      <w:proofErr w:type="gramEnd"/>
      <w:r>
        <w:t xml:space="preserve"> on the various expectations</w:t>
      </w:r>
      <w:r>
        <w:t xml:space="preserve"> about the progress of major infrastructure projects. </w:t>
      </w:r>
      <w:r>
        <w:t>Considering</w:t>
      </w:r>
      <w:r>
        <w:t xml:space="preserve"> both these aspects, significant </w:t>
      </w:r>
      <w:r>
        <w:t>cost fluctuations may occur</w:t>
      </w:r>
      <w:r>
        <w:t xml:space="preserve"> </w:t>
      </w:r>
      <w:r>
        <w:t>for specific areas</w:t>
      </w:r>
      <w:r>
        <w:t xml:space="preserve"> of expenditure up to 2023.</w:t>
      </w:r>
    </w:p>
    <w:p w14:paraId="138000CB" w14:textId="1D86E5B9" w:rsidR="00065C42" w:rsidRPr="00F46C42" w:rsidRDefault="00065C42" w:rsidP="00F46C42">
      <w:pPr>
        <w:pStyle w:val="ListParagraph"/>
        <w:jc w:val="both"/>
      </w:pPr>
    </w:p>
    <w:p w14:paraId="23023B66" w14:textId="32513B8D" w:rsidR="00F231C6" w:rsidRPr="00B2521E" w:rsidRDefault="00065C42" w:rsidP="00895643">
      <w:pPr>
        <w:pStyle w:val="ListParagraph"/>
        <w:numPr>
          <w:ilvl w:val="0"/>
          <w:numId w:val="31"/>
        </w:numPr>
        <w:contextualSpacing w:val="0"/>
        <w:jc w:val="both"/>
        <w:rPr>
          <w:rFonts w:cstheme="minorHAnsi"/>
          <w:szCs w:val="22"/>
        </w:rPr>
      </w:pPr>
      <w:r>
        <w:rPr>
          <w:b/>
          <w:bCs/>
          <w:szCs w:val="22"/>
        </w:rPr>
        <w:t>In the subsector of construction of main underground pipelines</w:t>
      </w:r>
      <w:r>
        <w:t xml:space="preserve">, an increase </w:t>
      </w:r>
      <w:proofErr w:type="gramStart"/>
      <w:r>
        <w:t>is expected</w:t>
      </w:r>
      <w:proofErr w:type="gramEnd"/>
      <w:r>
        <w:t xml:space="preserve"> in the </w:t>
      </w:r>
      <w:r>
        <w:rPr>
          <w:b/>
          <w:bCs/>
          <w:szCs w:val="22"/>
        </w:rPr>
        <w:t>volume of construction products</w:t>
      </w:r>
      <w:r>
        <w:t xml:space="preserve">, cumulative changes compared to 2018 expect an increase by 8.8% in 2019, by 23.5% in 2020, by 23.1% in 2021, by 9.9% in 2022 and by 11.1% in 2023. </w:t>
      </w:r>
      <w:r>
        <w:lastRenderedPageBreak/>
        <w:t xml:space="preserve">Cumulative changes in </w:t>
      </w:r>
      <w:r>
        <w:rPr>
          <w:rFonts w:ascii="Calibri" w:hAnsi="Calibri"/>
          <w:b/>
          <w:szCs w:val="22"/>
        </w:rPr>
        <w:t>construction costs</w:t>
      </w:r>
      <w:r>
        <w:rPr>
          <w:rFonts w:ascii="Calibri" w:hAnsi="Calibri"/>
          <w:bCs/>
          <w:szCs w:val="22"/>
        </w:rPr>
        <w:t xml:space="preserve"> </w:t>
      </w:r>
      <w:r>
        <w:t>compared to 2018 will forecast an increase by 0.9% in 2019, by 2.2% in 2020, by 1.7% in 2021, by 0,2% in 2022 and a reduction by -0.7% in 2023.</w:t>
      </w:r>
    </w:p>
    <w:p w14:paraId="7F589131" w14:textId="4240A3EE" w:rsidR="006D175C" w:rsidRPr="00B2521E" w:rsidRDefault="00F231C6" w:rsidP="00895643">
      <w:pPr>
        <w:pStyle w:val="ListParagraph"/>
        <w:numPr>
          <w:ilvl w:val="0"/>
          <w:numId w:val="31"/>
        </w:numPr>
        <w:contextualSpacing w:val="0"/>
        <w:jc w:val="both"/>
        <w:rPr>
          <w:rFonts w:cstheme="minorHAnsi"/>
          <w:szCs w:val="22"/>
        </w:rPr>
      </w:pPr>
      <w:r>
        <w:rPr>
          <w:b/>
          <w:bCs/>
          <w:szCs w:val="22"/>
        </w:rPr>
        <w:t>In the subsector of other civil engineering projects</w:t>
      </w:r>
      <w:r>
        <w:t xml:space="preserve">, cumulative changes compared to 2018 expect an expert forecast of 6.8% in 2019, a small reduction in the increase by 3% in 2020 and a considerable drop in the </w:t>
      </w:r>
      <w:r>
        <w:rPr>
          <w:b/>
          <w:bCs/>
          <w:szCs w:val="22"/>
        </w:rPr>
        <w:t>volume of construction products</w:t>
      </w:r>
      <w:r>
        <w:t xml:space="preserve"> after 2021 (-15%), -21.2% in 2022, reaching a cumulative drop of -31% in 2023 compared to the level of 2018. Similar trends are expected in </w:t>
      </w:r>
      <w:r>
        <w:rPr>
          <w:b/>
          <w:bCs/>
          <w:szCs w:val="22"/>
        </w:rPr>
        <w:t>c</w:t>
      </w:r>
      <w:r>
        <w:rPr>
          <w:rFonts w:ascii="Calibri" w:hAnsi="Calibri"/>
          <w:b/>
          <w:szCs w:val="22"/>
        </w:rPr>
        <w:t>onstruction costs</w:t>
      </w:r>
      <w:r>
        <w:t xml:space="preserve"> with cumulating changes compared to 2018 forecasting an increase by 2.3% in 2019, by 1.3% in 2020, a reduction by -1.5% in 2021, by -2,9% in 2022 and by -3.6% in 2023.</w:t>
      </w:r>
    </w:p>
    <w:p w14:paraId="023C1C97" w14:textId="41FE4D46" w:rsidR="00F66609" w:rsidRPr="00B2521E" w:rsidRDefault="006D175C" w:rsidP="00895643">
      <w:pPr>
        <w:pStyle w:val="ListParagraph"/>
        <w:numPr>
          <w:ilvl w:val="0"/>
          <w:numId w:val="31"/>
        </w:numPr>
        <w:contextualSpacing w:val="0"/>
        <w:jc w:val="both"/>
        <w:rPr>
          <w:rFonts w:cstheme="minorHAnsi"/>
          <w:szCs w:val="22"/>
        </w:rPr>
      </w:pPr>
      <w:r>
        <w:rPr>
          <w:b/>
          <w:bCs/>
          <w:szCs w:val="22"/>
        </w:rPr>
        <w:t>In the subsector of complex structures</w:t>
      </w:r>
      <w:r>
        <w:t xml:space="preserve">, an homogeneous increase in the </w:t>
      </w:r>
      <w:r>
        <w:rPr>
          <w:b/>
          <w:bCs/>
          <w:szCs w:val="22"/>
        </w:rPr>
        <w:t>volume of construction products</w:t>
      </w:r>
      <w:r>
        <w:t xml:space="preserve"> is forecast: by 14.2% in 2019, by 19.9% in 2020, by 24.4% in 2021, by 29</w:t>
      </w:r>
      <w:proofErr w:type="gramStart"/>
      <w:r>
        <w:t>,3</w:t>
      </w:r>
      <w:proofErr w:type="gramEnd"/>
      <w:r>
        <w:t xml:space="preserve">% in 2022 and a reduction by 31% in 2023. </w:t>
      </w:r>
      <w:r>
        <w:rPr>
          <w:rFonts w:ascii="Calibri" w:hAnsi="Calibri"/>
          <w:szCs w:val="22"/>
        </w:rPr>
        <w:t xml:space="preserve">Cumulative changes in </w:t>
      </w:r>
      <w:r>
        <w:rPr>
          <w:rFonts w:ascii="Calibri" w:hAnsi="Calibri"/>
          <w:b/>
          <w:szCs w:val="22"/>
        </w:rPr>
        <w:t>construction costs</w:t>
      </w:r>
      <w:r>
        <w:rPr>
          <w:rFonts w:ascii="Calibri" w:hAnsi="Calibri"/>
          <w:bCs/>
          <w:szCs w:val="22"/>
        </w:rPr>
        <w:t xml:space="preserve"> compared to 2018 provide for a homogeneous </w:t>
      </w:r>
      <w:r>
        <w:t>increase throughout the entire period from 2019 to 2023 with an increase by 2.8% in 2019, by 10% in 2020, by 13.3% in 2021, by 17% in 2022 and by 21.7% in 2023.</w:t>
      </w:r>
    </w:p>
    <w:p w14:paraId="534382A5" w14:textId="210531EC" w:rsidR="002A2B30" w:rsidRPr="00B2521E" w:rsidRDefault="002A2B30" w:rsidP="00895643">
      <w:pPr>
        <w:pStyle w:val="ListParagraph"/>
        <w:numPr>
          <w:ilvl w:val="0"/>
          <w:numId w:val="31"/>
        </w:numPr>
        <w:contextualSpacing w:val="0"/>
        <w:jc w:val="both"/>
        <w:rPr>
          <w:rStyle w:val="st"/>
          <w:rFonts w:cstheme="minorHAnsi"/>
          <w:szCs w:val="22"/>
        </w:rPr>
      </w:pPr>
      <w:r>
        <w:rPr>
          <w:rStyle w:val="st"/>
          <w:szCs w:val="22"/>
        </w:rPr>
        <w:t xml:space="preserve">Among all types of resources </w:t>
      </w:r>
      <w:r>
        <w:rPr>
          <w:rStyle w:val="st"/>
          <w:b/>
          <w:bCs/>
          <w:szCs w:val="22"/>
        </w:rPr>
        <w:t>construction materials</w:t>
      </w:r>
      <w:r>
        <w:rPr>
          <w:rStyle w:val="st"/>
          <w:szCs w:val="22"/>
        </w:rPr>
        <w:t xml:space="preserve"> are expected to have lower changes in costs, cumulative changes compared to 2018 expect an increase of changes in costs by 3.19% in 2019, by 5.8% in 2020, by 6.14% in 2021, by 4,69% in 2022 and increase by 4.97% in 2023.</w:t>
      </w:r>
    </w:p>
    <w:p w14:paraId="76957340" w14:textId="6F8E9026" w:rsidR="003F2F68" w:rsidRPr="00B2521E" w:rsidRDefault="002A2B30" w:rsidP="00895643">
      <w:pPr>
        <w:pStyle w:val="ListParagraph"/>
        <w:numPr>
          <w:ilvl w:val="0"/>
          <w:numId w:val="31"/>
        </w:numPr>
        <w:contextualSpacing w:val="0"/>
        <w:jc w:val="both"/>
        <w:rPr>
          <w:rStyle w:val="st"/>
          <w:rFonts w:cstheme="minorHAnsi"/>
          <w:szCs w:val="22"/>
        </w:rPr>
      </w:pPr>
      <w:r>
        <w:rPr>
          <w:rStyle w:val="st"/>
          <w:szCs w:val="22"/>
        </w:rPr>
        <w:t xml:space="preserve">A more rapid increase in costs of </w:t>
      </w:r>
      <w:r>
        <w:rPr>
          <w:rStyle w:val="st"/>
          <w:b/>
          <w:bCs/>
          <w:szCs w:val="22"/>
        </w:rPr>
        <w:t>wages of workers</w:t>
      </w:r>
      <w:r>
        <w:rPr>
          <w:rStyle w:val="st"/>
          <w:szCs w:val="22"/>
        </w:rPr>
        <w:t xml:space="preserve"> is expected, cumulative changes compared to 2018 expert an increase from 7.11% in 2019 up to 20.39% in 2023. With a homogeneous increase by 11.71% in 2020, by 16.11% in 2021 and by 18.78% in 2022.</w:t>
      </w:r>
    </w:p>
    <w:p w14:paraId="5DB6627B" w14:textId="77F5DA50" w:rsidR="003F2F68" w:rsidRPr="00B2521E" w:rsidRDefault="003F2F68" w:rsidP="00895643">
      <w:pPr>
        <w:pStyle w:val="ListParagraph"/>
        <w:numPr>
          <w:ilvl w:val="0"/>
          <w:numId w:val="31"/>
        </w:numPr>
        <w:contextualSpacing w:val="0"/>
        <w:jc w:val="both"/>
        <w:rPr>
          <w:rStyle w:val="st"/>
          <w:rFonts w:cstheme="minorHAnsi"/>
          <w:szCs w:val="22"/>
        </w:rPr>
      </w:pPr>
      <w:r>
        <w:rPr>
          <w:rStyle w:val="st"/>
          <w:szCs w:val="22"/>
        </w:rPr>
        <w:t xml:space="preserve">Changes in costs of </w:t>
      </w:r>
      <w:r>
        <w:rPr>
          <w:rStyle w:val="st"/>
          <w:b/>
          <w:bCs/>
          <w:szCs w:val="22"/>
        </w:rPr>
        <w:t>maintenance and operation of machines and mechanisms</w:t>
      </w:r>
      <w:r>
        <w:rPr>
          <w:rStyle w:val="st"/>
          <w:szCs w:val="22"/>
        </w:rPr>
        <w:t xml:space="preserve"> are moderate compared to 2018 with an increase by 4.18% in 2019, by 7.33% in 2020, by 7.84% in 2021, by 6,84% in 2022 and by 8.30% in 2023.</w:t>
      </w:r>
    </w:p>
    <w:p w14:paraId="7D66DF68" w14:textId="1059FA74" w:rsidR="003F2F68" w:rsidRPr="00B2521E" w:rsidRDefault="003F2F68" w:rsidP="00895643">
      <w:pPr>
        <w:pStyle w:val="ListParagraph"/>
        <w:numPr>
          <w:ilvl w:val="0"/>
          <w:numId w:val="31"/>
        </w:numPr>
        <w:contextualSpacing w:val="0"/>
        <w:jc w:val="both"/>
        <w:rPr>
          <w:rStyle w:val="st"/>
          <w:rFonts w:cstheme="minorHAnsi"/>
          <w:szCs w:val="22"/>
        </w:rPr>
      </w:pPr>
      <w:r>
        <w:rPr>
          <w:rStyle w:val="st"/>
          <w:szCs w:val="22"/>
        </w:rPr>
        <w:t xml:space="preserve">Changes in costs of </w:t>
      </w:r>
      <w:r>
        <w:rPr>
          <w:rStyle w:val="st"/>
          <w:b/>
          <w:bCs/>
          <w:szCs w:val="22"/>
        </w:rPr>
        <w:t>architectural and engineering activities; technical testing and analysis</w:t>
      </w:r>
      <w:r>
        <w:rPr>
          <w:rStyle w:val="st"/>
          <w:szCs w:val="22"/>
        </w:rPr>
        <w:t xml:space="preserve"> are expected to have a rapid increase from 5.25% in 2019 up to 15.18% in 2023. Therefore, an increase of 10.41% in 2020, by 13.2% in 2021, by 15.18% in 2022 is expected compared to 2018. </w:t>
      </w:r>
    </w:p>
    <w:p w14:paraId="4ACABC3E" w14:textId="79115C64" w:rsidR="00023017" w:rsidRPr="00B2521E" w:rsidRDefault="00023017" w:rsidP="00F43932">
      <w:pPr>
        <w:pStyle w:val="ListParagraph"/>
        <w:ind w:left="851"/>
        <w:contextualSpacing w:val="0"/>
        <w:jc w:val="both"/>
        <w:rPr>
          <w:rFonts w:ascii="Calibri" w:hAnsi="Calibri"/>
          <w:bCs/>
          <w:szCs w:val="22"/>
        </w:rPr>
      </w:pPr>
    </w:p>
    <w:p w14:paraId="7FD57F22" w14:textId="3C7B37CF" w:rsidR="00A37961" w:rsidRPr="00B2521E" w:rsidRDefault="00A37961" w:rsidP="00A37961">
      <w:pPr>
        <w:rPr>
          <w:rFonts w:ascii="Calibri" w:hAnsi="Calibri"/>
          <w:bCs/>
          <w:szCs w:val="22"/>
        </w:rPr>
      </w:pPr>
    </w:p>
    <w:p w14:paraId="5E18CECC" w14:textId="77777777" w:rsidR="00A37961" w:rsidRPr="00B2521E" w:rsidRDefault="00A37961" w:rsidP="00A37961">
      <w:pPr>
        <w:rPr>
          <w:rFonts w:ascii="Calibri" w:hAnsi="Calibri"/>
          <w:bCs/>
          <w:szCs w:val="22"/>
        </w:rPr>
      </w:pPr>
    </w:p>
    <w:p w14:paraId="7B54617A" w14:textId="77777777" w:rsidR="00DE55B8" w:rsidRPr="00B2521E" w:rsidRDefault="00DE55B8">
      <w:pPr>
        <w:spacing w:before="100" w:after="200" w:line="276" w:lineRule="auto"/>
        <w:rPr>
          <w:rFonts w:ascii="Calibri" w:hAnsi="Calibri"/>
          <w:b/>
          <w:color w:val="FFFFFF" w:themeColor="background1"/>
          <w:sz w:val="30"/>
          <w:szCs w:val="30"/>
        </w:rPr>
      </w:pPr>
      <w:r>
        <w:br w:type="page"/>
      </w:r>
    </w:p>
    <w:p w14:paraId="59E855CF" w14:textId="7BC2CD8C" w:rsidR="00C2520A" w:rsidRPr="00B2521E" w:rsidRDefault="001D2359" w:rsidP="00C2520A">
      <w:pPr>
        <w:pStyle w:val="Heading1"/>
        <w:rPr>
          <w:sz w:val="30"/>
          <w:szCs w:val="30"/>
        </w:rPr>
      </w:pPr>
      <w:bookmarkStart w:id="803" w:name="_Toc18682410"/>
      <w:r>
        <w:rPr>
          <w:caps w:val="0"/>
          <w:sz w:val="30"/>
          <w:szCs w:val="30"/>
        </w:rPr>
        <w:lastRenderedPageBreak/>
        <w:t>CONCLUSIONS</w:t>
      </w:r>
      <w:bookmarkEnd w:id="803"/>
    </w:p>
    <w:p w14:paraId="1C8BFB50" w14:textId="3C691045" w:rsidR="00124EFB" w:rsidRPr="00B2521E" w:rsidRDefault="00124EFB" w:rsidP="00124EFB">
      <w:pPr>
        <w:jc w:val="both"/>
        <w:rPr>
          <w:rFonts w:cstheme="minorHAnsi"/>
          <w:szCs w:val="22"/>
        </w:rPr>
      </w:pPr>
      <w:r>
        <w:t xml:space="preserve">1. The forecasts provide that the total volume of construction products will increase by more than 10% in 2019 and 2020 compared to the previous year, and a drop in the increase and a drop in volumes </w:t>
      </w:r>
      <w:proofErr w:type="gramStart"/>
      <w:r>
        <w:t>is expected</w:t>
      </w:r>
      <w:proofErr w:type="gramEnd"/>
      <w:r>
        <w:t xml:space="preserve"> after 2021.</w:t>
      </w:r>
    </w:p>
    <w:p w14:paraId="4134F245" w14:textId="53CA2D4A" w:rsidR="00124EFB" w:rsidRPr="00B2521E" w:rsidRDefault="00124EFB" w:rsidP="00124EFB">
      <w:pPr>
        <w:jc w:val="both"/>
        <w:rPr>
          <w:rFonts w:cstheme="minorHAnsi"/>
          <w:szCs w:val="22"/>
        </w:rPr>
      </w:pPr>
      <w:r>
        <w:t>2. The increase in total volumes of construction products will directly affect changes in costs, which will increase by about 5% in 2019 and 2020 compared to the previous year, and might even reduce in 2022.</w:t>
      </w:r>
    </w:p>
    <w:p w14:paraId="273F227A" w14:textId="2574AE85" w:rsidR="00124EFB" w:rsidRPr="00B2521E" w:rsidRDefault="00124EFB" w:rsidP="00124EFB">
      <w:pPr>
        <w:jc w:val="both"/>
        <w:rPr>
          <w:rFonts w:cstheme="minorHAnsi"/>
          <w:szCs w:val="22"/>
        </w:rPr>
      </w:pPr>
      <w:r>
        <w:t>3. The forecasts provide that wages of workers will increase the most among all types of resources and may reach a cumulative increase of 20% in 2023 compared to the level of 2018, but changes in costs of architectural and engineering activities and technical testing and analysis – a 15% increase. Changes in costs of construction materials and maintenance and operation machines and mechanisms will reach a cumulative increase of 6-7% in 2020 compared to the level of 2018 and will almost remain unchanged.</w:t>
      </w:r>
    </w:p>
    <w:p w14:paraId="3C1A5AE4" w14:textId="653041F1" w:rsidR="00124EFB" w:rsidRPr="00B2521E" w:rsidRDefault="00124EFB" w:rsidP="00124EFB">
      <w:pPr>
        <w:jc w:val="both"/>
        <w:rPr>
          <w:rFonts w:cstheme="minorHAnsi"/>
          <w:szCs w:val="22"/>
        </w:rPr>
      </w:pPr>
      <w:r>
        <w:t xml:space="preserve">4. The subsectors, where the forecasts expect to have the highest increase in costs are buildings and complex structures, where a more rapid increase in 2019 and 2020 </w:t>
      </w:r>
      <w:proofErr w:type="gramStart"/>
      <w:r>
        <w:t>will be replaced</w:t>
      </w:r>
      <w:proofErr w:type="gramEnd"/>
      <w:r>
        <w:t xml:space="preserve"> by a slower increase. The second group includes transport objects, underground main pipelines and construction of other civil engineering projects, whether an increase in 2019 and 2020 will be followed by a decline or fluctuation around the zero level of changes in costs.</w:t>
      </w:r>
    </w:p>
    <w:p w14:paraId="5A1DBBFC" w14:textId="77777777" w:rsidR="00124EFB" w:rsidRPr="00B2521E" w:rsidRDefault="00124EFB" w:rsidP="00124EFB">
      <w:pPr>
        <w:jc w:val="both"/>
        <w:rPr>
          <w:rFonts w:cstheme="minorHAnsi"/>
          <w:szCs w:val="22"/>
        </w:rPr>
      </w:pPr>
      <w:r>
        <w:t xml:space="preserve">5. Volumes of construction products are the main factor affecting changes in labour force and construction costs in Latvia. </w:t>
      </w:r>
    </w:p>
    <w:p w14:paraId="41C1A69C" w14:textId="56A39E1F" w:rsidR="00124EFB" w:rsidRPr="00B2521E" w:rsidRDefault="00124EFB" w:rsidP="00124EFB">
      <w:pPr>
        <w:jc w:val="both"/>
        <w:rPr>
          <w:rFonts w:cstheme="minorHAnsi"/>
          <w:szCs w:val="22"/>
        </w:rPr>
      </w:pPr>
      <w:r>
        <w:t xml:space="preserve">6. The scope of public procurement in construction has significant effect on the construction sector due to its share. </w:t>
      </w:r>
      <w:proofErr w:type="gramStart"/>
      <w:r>
        <w:t>The risk of significant drop of the scope of public procurement in construction is forecast after 2020, if the volume dynamics is similar to the previous EU funds programming period after 2014, and the drop in the volume of project co-financed by EU funds is not replaced with state, local government, private sector projects and projects started in the new EU funds programming period in a timely manner.</w:t>
      </w:r>
      <w:proofErr w:type="gramEnd"/>
      <w:r w:rsidR="001C0061">
        <w:t xml:space="preserve"> This is crucial for </w:t>
      </w:r>
      <w:proofErr w:type="gramStart"/>
      <w:r w:rsidR="001C0061">
        <w:t>road infrastructure building subsector</w:t>
      </w:r>
      <w:proofErr w:type="gramEnd"/>
      <w:r w:rsidR="001C0061">
        <w:t>.</w:t>
      </w:r>
    </w:p>
    <w:p w14:paraId="3D219660" w14:textId="014109D0" w:rsidR="00124EFB" w:rsidRPr="00B2521E" w:rsidRDefault="00124EFB" w:rsidP="00124EFB">
      <w:pPr>
        <w:jc w:val="both"/>
        <w:rPr>
          <w:rFonts w:cstheme="minorHAnsi"/>
          <w:szCs w:val="22"/>
        </w:rPr>
      </w:pPr>
      <w:r>
        <w:t>7. Total volumes of construction products will depend on market elasticity adapting to the deferred private demand in 2018-2020.</w:t>
      </w:r>
    </w:p>
    <w:p w14:paraId="4C92A356" w14:textId="3534B524" w:rsidR="00124EFB" w:rsidRPr="00B2521E" w:rsidRDefault="00124EFB" w:rsidP="00124EFB">
      <w:pPr>
        <w:jc w:val="both"/>
        <w:rPr>
          <w:rFonts w:cstheme="minorHAnsi"/>
          <w:szCs w:val="22"/>
        </w:rPr>
      </w:pPr>
      <w:r>
        <w:t xml:space="preserve">8. Forecasts of changes in costs evidence that the level of construction costs is expected to remain practically unchanged also after 2020, similarly to 2014-2016. </w:t>
      </w:r>
      <w:proofErr w:type="gramStart"/>
      <w:r>
        <w:t>Therefore</w:t>
      </w:r>
      <w:proofErr w:type="gramEnd"/>
      <w:r>
        <w:t xml:space="preserve"> there is a significant risk that private demand will not immediately replace the drop in public procurement and a significant drop in construction volumes is possible.</w:t>
      </w:r>
    </w:p>
    <w:p w14:paraId="3090F881" w14:textId="77777777" w:rsidR="00124EFB" w:rsidRPr="00B2521E" w:rsidRDefault="00124EFB" w:rsidP="00124EFB">
      <w:pPr>
        <w:jc w:val="both"/>
        <w:rPr>
          <w:rFonts w:cstheme="minorHAnsi"/>
          <w:szCs w:val="22"/>
        </w:rPr>
      </w:pPr>
      <w:r>
        <w:t>9. It is recommended to use public order as a tool for balance of market fluctuations.</w:t>
      </w:r>
    </w:p>
    <w:p w14:paraId="449A33AC" w14:textId="77777777" w:rsidR="00124EFB" w:rsidRPr="00B2521E" w:rsidRDefault="00124EFB" w:rsidP="00124EFB">
      <w:pPr>
        <w:jc w:val="both"/>
        <w:rPr>
          <w:rFonts w:cstheme="minorHAnsi"/>
          <w:szCs w:val="22"/>
        </w:rPr>
      </w:pPr>
      <w:r>
        <w:t>10. The implementation of shadow economy combating measures increases changes in costs of construction materials and labour force. However, this effect is much more pronounced in terms of the effect on changes in labour costs, it is most affected by two shadow economy combating measures: the full implementation of the electronic system for registration of working hours, incl. transfer of data to SRS, and determination of the minimum wage level in the construction sector, using the general agreement. Unlike for the effect of shadow economy combating measures on changes in costs of labour force, some specific evidently the most important factor cannot be determined for changes in costs of construction materials due to similar average values in evaluations.</w:t>
      </w:r>
    </w:p>
    <w:p w14:paraId="6ABD19E9" w14:textId="6038B55A" w:rsidR="00124EFB" w:rsidRPr="00B2521E" w:rsidRDefault="00124EFB" w:rsidP="00124EFB">
      <w:pPr>
        <w:jc w:val="both"/>
        <w:rPr>
          <w:rFonts w:cstheme="minorHAnsi"/>
          <w:szCs w:val="22"/>
        </w:rPr>
      </w:pPr>
      <w:r>
        <w:t>11. If we compare the forecasts of the study for 2019 with the study for 2018, the forecasts of increase in volumes of construction products have become considerably more cautious in the context of the entire period of the forecasts, and the increase in construction costs is therefore forecast at a lower level – the five-year annual average forecast for an increase in construction costs reduced from 4.3% to 2.1%.</w:t>
      </w:r>
    </w:p>
    <w:p w14:paraId="1122AABF" w14:textId="55C54497" w:rsidR="00B323B4" w:rsidRPr="00B2521E" w:rsidRDefault="00B323B4" w:rsidP="00B323B4">
      <w:pPr>
        <w:jc w:val="both"/>
        <w:rPr>
          <w:rFonts w:cstheme="minorHAnsi"/>
          <w:szCs w:val="22"/>
        </w:rPr>
      </w:pPr>
    </w:p>
    <w:p w14:paraId="6D4D302D" w14:textId="1AC1E236" w:rsidR="00E574E2" w:rsidRPr="00B2521E" w:rsidRDefault="00E574E2" w:rsidP="00B13164">
      <w:pPr>
        <w:jc w:val="both"/>
        <w:rPr>
          <w:rFonts w:cstheme="minorHAnsi"/>
          <w:szCs w:val="22"/>
        </w:rPr>
      </w:pPr>
    </w:p>
    <w:p w14:paraId="779E6527" w14:textId="486C85AD" w:rsidR="00EB0CAB" w:rsidRPr="00B2521E" w:rsidRDefault="00E574E2" w:rsidP="007871CE">
      <w:pPr>
        <w:spacing w:before="100" w:after="200" w:line="276" w:lineRule="auto"/>
        <w:rPr>
          <w:sz w:val="30"/>
          <w:szCs w:val="30"/>
        </w:rPr>
      </w:pPr>
      <w:r>
        <w:br w:type="page"/>
      </w:r>
      <w:bookmarkStart w:id="804" w:name="_Toc18682411"/>
      <w:bookmarkStart w:id="805" w:name="_GoBack"/>
      <w:bookmarkEnd w:id="805"/>
      <w:r w:rsidR="001D2359">
        <w:rPr>
          <w:caps/>
          <w:sz w:val="30"/>
          <w:szCs w:val="30"/>
        </w:rPr>
        <w:lastRenderedPageBreak/>
        <w:t>ANNEXES</w:t>
      </w:r>
      <w:bookmarkEnd w:id="804"/>
    </w:p>
    <w:p w14:paraId="4DFE8609" w14:textId="763BE05F" w:rsidR="00070E07" w:rsidRPr="00B2521E" w:rsidRDefault="00966E4A" w:rsidP="00B13164">
      <w:r>
        <w:t>Annex No. 1 “Detailed analysis”.</w:t>
      </w:r>
    </w:p>
    <w:p w14:paraId="13B903F2" w14:textId="1A2017A6" w:rsidR="00966E4A" w:rsidRPr="00B2521E" w:rsidRDefault="00966E4A" w:rsidP="00B13164">
      <w:r>
        <w:t>Annex No. 2 “Research methodology”.</w:t>
      </w:r>
    </w:p>
    <w:p w14:paraId="6AD40462" w14:textId="396720A6" w:rsidR="00D85C0F" w:rsidRDefault="00D85C0F" w:rsidP="00B13164">
      <w:r>
        <w:t>Annex No. 3 “List of construction industry experts interviewed during the study”.</w:t>
      </w:r>
    </w:p>
    <w:p w14:paraId="445C4311" w14:textId="289CE720" w:rsidR="00382A56" w:rsidRPr="00511D46" w:rsidRDefault="00382A56" w:rsidP="00B13164"/>
    <w:sectPr w:rsidR="00382A56" w:rsidRPr="00511D46" w:rsidSect="00741888">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B3C84" w14:textId="77777777" w:rsidR="00926B30" w:rsidRDefault="00926B30" w:rsidP="00442FBE">
      <w:pPr>
        <w:spacing w:after="0"/>
      </w:pPr>
      <w:r>
        <w:separator/>
      </w:r>
    </w:p>
  </w:endnote>
  <w:endnote w:type="continuationSeparator" w:id="0">
    <w:p w14:paraId="08CBBD89" w14:textId="77777777" w:rsidR="00926B30" w:rsidRDefault="00926B30" w:rsidP="00442F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969"/>
      <w:gridCol w:w="3969"/>
      <w:gridCol w:w="3969"/>
    </w:tblGrid>
    <w:tr w:rsidR="00835592" w14:paraId="6C913731" w14:textId="77777777" w:rsidTr="395D6C26">
      <w:tc>
        <w:tcPr>
          <w:tcW w:w="3969" w:type="dxa"/>
        </w:tcPr>
        <w:p w14:paraId="7C2B5169" w14:textId="7409F59A" w:rsidR="00835592" w:rsidRDefault="00835592" w:rsidP="395D6C26">
          <w:pPr>
            <w:pStyle w:val="Header"/>
            <w:ind w:left="-115"/>
          </w:pPr>
        </w:p>
      </w:tc>
      <w:tc>
        <w:tcPr>
          <w:tcW w:w="3969" w:type="dxa"/>
        </w:tcPr>
        <w:p w14:paraId="049A300B" w14:textId="4BEA3A33" w:rsidR="00835592" w:rsidRDefault="00835592" w:rsidP="395D6C26">
          <w:pPr>
            <w:pStyle w:val="Header"/>
            <w:jc w:val="center"/>
          </w:pPr>
        </w:p>
      </w:tc>
      <w:tc>
        <w:tcPr>
          <w:tcW w:w="3969" w:type="dxa"/>
        </w:tcPr>
        <w:p w14:paraId="58D0551B" w14:textId="7E09D3F6" w:rsidR="00835592" w:rsidRDefault="00835592" w:rsidP="395D6C26">
          <w:pPr>
            <w:pStyle w:val="Header"/>
            <w:ind w:right="-115"/>
            <w:jc w:val="right"/>
          </w:pPr>
        </w:p>
      </w:tc>
    </w:tr>
  </w:tbl>
  <w:p w14:paraId="03A9C1A4" w14:textId="0D364710" w:rsidR="00835592" w:rsidRDefault="00835592" w:rsidP="395D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118"/>
      <w:gridCol w:w="3118"/>
      <w:gridCol w:w="3118"/>
    </w:tblGrid>
    <w:tr w:rsidR="00835592" w14:paraId="34BDB69E" w14:textId="77777777" w:rsidTr="395D6C26">
      <w:tc>
        <w:tcPr>
          <w:tcW w:w="3118" w:type="dxa"/>
        </w:tcPr>
        <w:p w14:paraId="01910AA8" w14:textId="7C589B5A" w:rsidR="00835592" w:rsidRDefault="00835592" w:rsidP="395D6C26">
          <w:pPr>
            <w:pStyle w:val="Header"/>
            <w:ind w:left="-115"/>
          </w:pPr>
        </w:p>
      </w:tc>
      <w:tc>
        <w:tcPr>
          <w:tcW w:w="3118" w:type="dxa"/>
        </w:tcPr>
        <w:p w14:paraId="47D6094D" w14:textId="4F2BF104" w:rsidR="00835592" w:rsidRDefault="00835592" w:rsidP="395D6C26">
          <w:pPr>
            <w:pStyle w:val="Header"/>
            <w:jc w:val="center"/>
          </w:pPr>
        </w:p>
      </w:tc>
      <w:tc>
        <w:tcPr>
          <w:tcW w:w="3118" w:type="dxa"/>
        </w:tcPr>
        <w:p w14:paraId="6411BED9" w14:textId="22576780" w:rsidR="00835592" w:rsidRDefault="00835592" w:rsidP="395D6C26">
          <w:pPr>
            <w:pStyle w:val="Header"/>
            <w:ind w:right="-115"/>
            <w:jc w:val="right"/>
          </w:pPr>
        </w:p>
      </w:tc>
    </w:tr>
  </w:tbl>
  <w:p w14:paraId="3779C917" w14:textId="697991B2" w:rsidR="00835592" w:rsidRDefault="00835592" w:rsidP="395D6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118"/>
      <w:gridCol w:w="3118"/>
      <w:gridCol w:w="3118"/>
    </w:tblGrid>
    <w:tr w:rsidR="00835592" w14:paraId="21702FA1" w14:textId="77777777" w:rsidTr="395D6C26">
      <w:tc>
        <w:tcPr>
          <w:tcW w:w="3118" w:type="dxa"/>
        </w:tcPr>
        <w:p w14:paraId="66A57A45" w14:textId="77777777" w:rsidR="00835592" w:rsidRDefault="00835592" w:rsidP="395D6C26">
          <w:pPr>
            <w:pStyle w:val="Header"/>
            <w:ind w:left="-115"/>
          </w:pPr>
        </w:p>
      </w:tc>
      <w:tc>
        <w:tcPr>
          <w:tcW w:w="3118" w:type="dxa"/>
        </w:tcPr>
        <w:p w14:paraId="75508959" w14:textId="77777777" w:rsidR="00835592" w:rsidRDefault="00835592" w:rsidP="395D6C26">
          <w:pPr>
            <w:pStyle w:val="Header"/>
            <w:jc w:val="center"/>
          </w:pPr>
        </w:p>
      </w:tc>
      <w:tc>
        <w:tcPr>
          <w:tcW w:w="3118" w:type="dxa"/>
        </w:tcPr>
        <w:p w14:paraId="2DB204D5" w14:textId="77777777" w:rsidR="00835592" w:rsidRDefault="00835592" w:rsidP="395D6C26">
          <w:pPr>
            <w:pStyle w:val="Header"/>
            <w:ind w:right="-115"/>
            <w:jc w:val="right"/>
          </w:pPr>
        </w:p>
      </w:tc>
    </w:tr>
  </w:tbl>
  <w:p w14:paraId="67DFFB91" w14:textId="77777777" w:rsidR="00835592" w:rsidRDefault="00835592" w:rsidP="395D6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0BE0" w14:textId="155970B3" w:rsidR="00835592" w:rsidRDefault="00835592">
    <w:pPr>
      <w:pStyle w:val="Footer"/>
    </w:pPr>
    <w:r>
      <w:rPr>
        <w:noProof/>
        <w:lang w:val="en-US"/>
      </w:rPr>
      <mc:AlternateContent>
        <mc:Choice Requires="wps">
          <w:drawing>
            <wp:anchor distT="0" distB="0" distL="114300" distR="114300" simplePos="0" relativeHeight="251642368" behindDoc="0" locked="0" layoutInCell="1" allowOverlap="1" wp14:anchorId="1720CD31" wp14:editId="45FB9C50">
              <wp:simplePos x="0" y="0"/>
              <wp:positionH relativeFrom="column">
                <wp:posOffset>-128905</wp:posOffset>
              </wp:positionH>
              <wp:positionV relativeFrom="paragraph">
                <wp:posOffset>-98425</wp:posOffset>
              </wp:positionV>
              <wp:extent cx="5676900" cy="323850"/>
              <wp:effectExtent l="0" t="0" r="0" b="0"/>
              <wp:wrapNone/>
              <wp:docPr id="8" name="Tekstboks 8"/>
              <wp:cNvGraphicFramePr/>
              <a:graphic xmlns:a="http://schemas.openxmlformats.org/drawingml/2006/main">
                <a:graphicData uri="http://schemas.microsoft.com/office/word/2010/wordprocessingShape">
                  <wps:wsp>
                    <wps:cNvSpPr txBox="1"/>
                    <wps:spPr>
                      <a:xfrm>
                        <a:off x="0" y="0"/>
                        <a:ext cx="56769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4F889" w14:textId="3995CA95" w:rsidR="00835592" w:rsidRPr="00F37277" w:rsidRDefault="00835592" w:rsidP="00E8087D">
                          <w:pPr>
                            <w:spacing w:before="100" w:beforeAutospacing="1" w:after="100" w:afterAutospacing="1"/>
                            <w:rPr>
                              <w:rFonts w:ascii="Candara" w:hAnsi="Candara"/>
                              <w:b/>
                              <w:color w:val="1F4E79" w:themeColor="accent5" w:themeShade="80"/>
                              <w:sz w:val="6"/>
                              <w:szCs w:val="16"/>
                            </w:rPr>
                          </w:pPr>
                          <w:r>
                            <w:rPr>
                              <w:b/>
                              <w:bCs/>
                              <w:caps/>
                              <w:color w:val="1F4979"/>
                              <w:sz w:val="12"/>
                              <w:szCs w:val="36"/>
                            </w:rPr>
                            <w:t>STUDY ON EXPECTED CHANGES IN COSTS OF LABOUR FORCE AND CONSTRUCTION MATERIALS IN THE CONSTRUCTION SECTOR IN LATVIA</w:t>
                          </w:r>
                        </w:p>
                      </w:txbxContent>
                    </wps:txbx>
                    <wps:bodyPr rot="0" spcFirstLastPara="0" vertOverflow="overflow" horzOverflow="overflow" vert="horz" wrap="square" lIns="144000" tIns="36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0CD31" id="_x0000_t202" coordsize="21600,21600" o:spt="202" path="m,l,21600r21600,l21600,xe">
              <v:stroke joinstyle="miter"/>
              <v:path gradientshapeok="t" o:connecttype="rect"/>
            </v:shapetype>
            <v:shape id="Tekstboks 8" o:spid="_x0000_s1036" type="#_x0000_t202" style="position:absolute;margin-left:-10.15pt;margin-top:-7.75pt;width:447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" filled="f" stroked="f" strokeweight=".5pt">
              <v:textbox inset="4mm,1mm,,2mm">
                <w:txbxContent>
                  <w:p w14:paraId="62C4F889" w14:textId="3995CA95" w:rsidR="00835592" w:rsidRPr="00F37277" w:rsidRDefault="00835592" w:rsidP="00E8087D">
                    <w:pPr>
                      <w:spacing w:before="100" w:beforeAutospacing="1" w:after="100" w:afterAutospacing="1"/>
                      <w:rPr>
                        <w:rFonts w:ascii="Candara" w:hAnsi="Candara"/>
                        <w:b/>
                        <w:color w:val="1F4E79" w:themeColor="accent5" w:themeShade="80"/>
                        <w:sz w:val="6"/>
                        <w:szCs w:val="16"/>
                      </w:rPr>
                    </w:pPr>
                    <w:r>
                      <w:rPr>
                        <w:b/>
                        <w:bCs/>
                        <w:caps/>
                        <w:color w:val="1F4979"/>
                        <w:sz w:val="12"/>
                        <w:szCs w:val="36"/>
                      </w:rPr>
                      <w:t>STUDY ON EXPECTED CHANGES IN COSTS OF LABOUR FORCE AND CONSTRUCTION MATERIALS IN THE CONSTRUCTION SECTOR IN LATVIA</w:t>
                    </w:r>
                  </w:p>
                </w:txbxContent>
              </v:textbox>
            </v:shape>
          </w:pict>
        </mc:Fallback>
      </mc:AlternateContent>
    </w:r>
    <w:r>
      <w:rPr>
        <w:noProof/>
        <w:lang w:val="en-US"/>
      </w:rPr>
      <mc:AlternateContent>
        <mc:Choice Requires="wps">
          <w:drawing>
            <wp:anchor distT="0" distB="0" distL="0" distR="0" simplePos="0" relativeHeight="251627008" behindDoc="0" locked="0" layoutInCell="1" allowOverlap="1" wp14:anchorId="7C2D0992" wp14:editId="78F7CF6A">
              <wp:simplePos x="0" y="0"/>
              <wp:positionH relativeFrom="rightMargin">
                <wp:posOffset>-455930</wp:posOffset>
              </wp:positionH>
              <wp:positionV relativeFrom="bottomMargin">
                <wp:posOffset>111125</wp:posOffset>
              </wp:positionV>
              <wp:extent cx="457200" cy="320040"/>
              <wp:effectExtent l="0" t="0" r="0" b="3810"/>
              <wp:wrapSquare wrapText="bothSides"/>
              <wp:docPr id="40" name="Taisnstūris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5">
                          <a:lumMod val="5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B58B7" w14:textId="06890012" w:rsidR="00835592" w:rsidRPr="00E174FF" w:rsidRDefault="00835592" w:rsidP="00AB24D6">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1C0061">
                            <w:rPr>
                              <w:b/>
                              <w:noProof/>
                              <w:color w:val="FFFFFF" w:themeColor="background1"/>
                            </w:rPr>
                            <w:t>3</w:t>
                          </w:r>
                          <w:r w:rsidRPr="00E174FF">
                            <w:rPr>
                              <w:b/>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D0992" id="Taisnstūris 40" o:spid="_x0000_s1037" style="position:absolute;margin-left:-35.9pt;margin-top:8.75pt;width:36pt;height:25.2pt;z-index:25162700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" fillcolor="#1f4d78 [1608]" stroked="f" strokeweight="3pt">
              <v:textbox>
                <w:txbxContent>
                  <w:p w14:paraId="6E0B58B7" w14:textId="06890012" w:rsidR="00835592" w:rsidRPr="00E174FF" w:rsidRDefault="00835592" w:rsidP="00AB24D6">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1C0061">
                      <w:rPr>
                        <w:b/>
                        <w:noProof/>
                        <w:color w:val="FFFFFF" w:themeColor="background1"/>
                      </w:rPr>
                      <w:t>3</w:t>
                    </w:r>
                    <w:r w:rsidRPr="00E174FF">
                      <w:rPr>
                        <w:b/>
                        <w:color w:val="FFFFFF" w:themeColor="background1"/>
                      </w:rPr>
                      <w:fldChar w:fldCharType="end"/>
                    </w:r>
                  </w:p>
                </w:txbxContent>
              </v:textbox>
              <w10:wrap type="square" anchorx="margin" anchory="margin"/>
            </v:rect>
          </w:pict>
        </mc:Fallback>
      </mc:AlternateContent>
    </w:r>
    <w:r>
      <w:rPr>
        <w:noProof/>
        <w:lang w:val="en-US"/>
      </w:rPr>
      <mc:AlternateContent>
        <mc:Choice Requires="wps">
          <w:drawing>
            <wp:anchor distT="0" distB="0" distL="114300" distR="114300" simplePos="0" relativeHeight="251677184" behindDoc="0" locked="0" layoutInCell="1" allowOverlap="1" wp14:anchorId="3F1B3DF5" wp14:editId="55DD15DC">
              <wp:simplePos x="0" y="0"/>
              <wp:positionH relativeFrom="column">
                <wp:posOffset>16026</wp:posOffset>
              </wp:positionH>
              <wp:positionV relativeFrom="paragraph">
                <wp:posOffset>-97367</wp:posOffset>
              </wp:positionV>
              <wp:extent cx="5924611" cy="18604"/>
              <wp:effectExtent l="0" t="0" r="0" b="0"/>
              <wp:wrapSquare wrapText="bothSides"/>
              <wp:docPr id="12" name="Taisnstūris 12"/>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rect id="Taisnstūris 12" style="position:absolute;margin-left:1.25pt;margin-top:-7.65pt;width:466.5pt;height:1.45pt;z-index:2516771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f4d78 [1608]" stroked="f" strokeweight="1pt" w14:anchorId="23E8B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">
              <w10:wrap type="squar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98E85" w14:textId="38BC8A0A" w:rsidR="00835592" w:rsidRDefault="00835592" w:rsidP="007E51A1">
    <w:pPr>
      <w:pStyle w:val="Footer"/>
    </w:pPr>
    <w:r>
      <w:rPr>
        <w:noProof/>
        <w:lang w:val="en-US"/>
      </w:rPr>
      <mc:AlternateContent>
        <mc:Choice Requires="wps">
          <w:drawing>
            <wp:anchor distT="0" distB="0" distL="114300" distR="114300" simplePos="0" relativeHeight="251668992" behindDoc="0" locked="0" layoutInCell="1" allowOverlap="1" wp14:anchorId="6C1D3B69" wp14:editId="5FDD4139">
              <wp:simplePos x="0" y="0"/>
              <wp:positionH relativeFrom="column">
                <wp:posOffset>-133931</wp:posOffset>
              </wp:positionH>
              <wp:positionV relativeFrom="paragraph">
                <wp:posOffset>-103477</wp:posOffset>
              </wp:positionV>
              <wp:extent cx="5589767" cy="323850"/>
              <wp:effectExtent l="0" t="0" r="0" b="0"/>
              <wp:wrapNone/>
              <wp:docPr id="1006675218" name="Tekstboks 8"/>
              <wp:cNvGraphicFramePr/>
              <a:graphic xmlns:a="http://schemas.openxmlformats.org/drawingml/2006/main">
                <a:graphicData uri="http://schemas.microsoft.com/office/word/2010/wordprocessingShape">
                  <wps:wsp>
                    <wps:cNvSpPr txBox="1"/>
                    <wps:spPr>
                      <a:xfrm>
                        <a:off x="0" y="0"/>
                        <a:ext cx="558976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98C7D" w14:textId="77777777" w:rsidR="00835592" w:rsidRPr="00F37277" w:rsidRDefault="00835592" w:rsidP="00AA677D">
                          <w:pPr>
                            <w:spacing w:before="100" w:beforeAutospacing="1" w:after="100" w:afterAutospacing="1"/>
                            <w:rPr>
                              <w:rFonts w:ascii="Candara" w:hAnsi="Candara"/>
                              <w:b/>
                              <w:color w:val="1F4E79" w:themeColor="accent5" w:themeShade="80"/>
                              <w:sz w:val="6"/>
                              <w:szCs w:val="16"/>
                            </w:rPr>
                          </w:pPr>
                          <w:r>
                            <w:rPr>
                              <w:b/>
                              <w:bCs/>
                              <w:caps/>
                              <w:color w:val="1F4979"/>
                              <w:sz w:val="12"/>
                              <w:szCs w:val="36"/>
                            </w:rPr>
                            <w:t>STUDY ON EXPECTED CHANGES IN COSTS OF LABOUR FORCE AND CONSTRUCTION MATERIALS IN THE CONSTRUCTION SECTOR IN LATVIA</w:t>
                          </w:r>
                        </w:p>
                        <w:p w14:paraId="2BAED650" w14:textId="2110D3A9" w:rsidR="00835592" w:rsidRPr="009D6FD9" w:rsidRDefault="00835592" w:rsidP="00BC6D31">
                          <w:pPr>
                            <w:spacing w:before="0" w:after="0"/>
                            <w:rPr>
                              <w:rFonts w:ascii="Candara" w:hAnsi="Candara"/>
                              <w:b/>
                              <w:color w:val="1F4E79" w:themeColor="accent5" w:themeShade="80"/>
                              <w:sz w:val="16"/>
                              <w:szCs w:val="16"/>
                            </w:rPr>
                          </w:pPr>
                        </w:p>
                      </w:txbxContent>
                    </wps:txbx>
                    <wps:bodyPr rot="0" spcFirstLastPara="0" vertOverflow="overflow" horzOverflow="overflow" vert="horz" wrap="square" lIns="144000" tIns="36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D3B69" id="_x0000_t202" coordsize="21600,21600" o:spt="202" path="m,l,21600r21600,l21600,xe">
              <v:stroke joinstyle="miter"/>
              <v:path gradientshapeok="t" o:connecttype="rect"/>
            </v:shapetype>
            <v:shape id="_x0000_s1038" type="#_x0000_t202" style="position:absolute;margin-left:-10.55pt;margin-top:-8.15pt;width:440.15pt;height: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" filled="f" stroked="f" strokeweight=".5pt">
              <v:textbox inset="4mm,1mm,,2mm">
                <w:txbxContent>
                  <w:p w14:paraId="5B098C7D" w14:textId="77777777" w:rsidR="00835592" w:rsidRPr="00F37277" w:rsidRDefault="00835592" w:rsidP="00AA677D">
                    <w:pPr>
                      <w:spacing w:before="100" w:beforeAutospacing="1" w:after="100" w:afterAutospacing="1"/>
                      <w:rPr>
                        <w:rFonts w:ascii="Candara" w:hAnsi="Candara"/>
                        <w:b/>
                        <w:color w:val="1F4E79" w:themeColor="accent5" w:themeShade="80"/>
                        <w:sz w:val="6"/>
                        <w:szCs w:val="16"/>
                      </w:rPr>
                    </w:pPr>
                    <w:r>
                      <w:rPr>
                        <w:b/>
                        <w:bCs/>
                        <w:caps/>
                        <w:color w:val="1F4979"/>
                        <w:sz w:val="12"/>
                        <w:szCs w:val="36"/>
                      </w:rPr>
                      <w:t>STUDY ON EXPECTED CHANGES IN COSTS OF LABOUR FORCE AND CONSTRUCTION MATERIALS IN THE CONSTRUCTION SECTOR IN LATVIA</w:t>
                    </w:r>
                  </w:p>
                  <w:p w14:paraId="2BAED650" w14:textId="2110D3A9" w:rsidR="00835592" w:rsidRPr="009D6FD9" w:rsidRDefault="00835592" w:rsidP="00BC6D31">
                    <w:pPr>
                      <w:spacing w:before="0" w:after="0"/>
                      <w:rPr>
                        <w:rFonts w:ascii="Candara" w:hAnsi="Candara"/>
                        <w:b/>
                        <w:color w:val="1F4E79" w:themeColor="accent5" w:themeShade="80"/>
                        <w:sz w:val="16"/>
                        <w:szCs w:val="16"/>
                      </w:rPr>
                    </w:pPr>
                  </w:p>
                </w:txbxContent>
              </v:textbox>
            </v:shape>
          </w:pict>
        </mc:Fallback>
      </mc:AlternateContent>
    </w:r>
    <w:r>
      <w:rPr>
        <w:noProof/>
        <w:lang w:val="en-US"/>
      </w:rPr>
      <mc:AlternateContent>
        <mc:Choice Requires="wps">
          <w:drawing>
            <wp:anchor distT="0" distB="0" distL="0" distR="0" simplePos="0" relativeHeight="251640320" behindDoc="0" locked="0" layoutInCell="1" allowOverlap="1" wp14:anchorId="2B714849" wp14:editId="461C13AE">
              <wp:simplePos x="0" y="0"/>
              <wp:positionH relativeFrom="rightMargin">
                <wp:posOffset>-455930</wp:posOffset>
              </wp:positionH>
              <wp:positionV relativeFrom="bottomMargin">
                <wp:posOffset>111125</wp:posOffset>
              </wp:positionV>
              <wp:extent cx="457200" cy="320040"/>
              <wp:effectExtent l="0" t="0" r="0" b="3810"/>
              <wp:wrapSquare wrapText="bothSides"/>
              <wp:docPr id="1006675217" name="Taisnstūris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5">
                          <a:lumMod val="5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F91531" w14:textId="4E6D31F4" w:rsidR="00835592" w:rsidRPr="00E174FF" w:rsidRDefault="00835592" w:rsidP="00BC6D31">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7871CE">
                            <w:rPr>
                              <w:b/>
                              <w:noProof/>
                              <w:color w:val="FFFFFF" w:themeColor="background1"/>
                            </w:rPr>
                            <w:t>40</w:t>
                          </w:r>
                          <w:r w:rsidRPr="00E174FF">
                            <w:rPr>
                              <w:b/>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14849" id="_x0000_s1039" style="position:absolute;margin-left:-35.9pt;margin-top:8.75pt;width:36pt;height:25.2pt;z-index:25164032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" fillcolor="#1f4d78 [1608]" stroked="f" strokeweight="3pt">
              <v:textbox>
                <w:txbxContent>
                  <w:p w14:paraId="61F91531" w14:textId="4E6D31F4" w:rsidR="00835592" w:rsidRPr="00E174FF" w:rsidRDefault="00835592" w:rsidP="00BC6D31">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7871CE">
                      <w:rPr>
                        <w:b/>
                        <w:noProof/>
                        <w:color w:val="FFFFFF" w:themeColor="background1"/>
                      </w:rPr>
                      <w:t>40</w:t>
                    </w:r>
                    <w:r w:rsidRPr="00E174FF">
                      <w:rPr>
                        <w:b/>
                        <w:color w:val="FFFFFF" w:themeColor="background1"/>
                      </w:rPr>
                      <w:fldChar w:fldCharType="end"/>
                    </w:r>
                  </w:p>
                </w:txbxContent>
              </v:textbox>
              <w10:wrap type="square" anchorx="margin" anchory="margin"/>
            </v:rect>
          </w:pict>
        </mc:Fallback>
      </mc:AlternateContent>
    </w:r>
    <w:r>
      <w:rPr>
        <w:noProof/>
        <w:lang w:val="en-US"/>
      </w:rPr>
      <mc:AlternateContent>
        <mc:Choice Requires="wps">
          <w:drawing>
            <wp:anchor distT="0" distB="0" distL="114300" distR="114300" simplePos="0" relativeHeight="251655680" behindDoc="0" locked="0" layoutInCell="1" allowOverlap="1" wp14:anchorId="2FD04250" wp14:editId="3E2BCA3C">
              <wp:simplePos x="0" y="0"/>
              <wp:positionH relativeFrom="column">
                <wp:posOffset>16026</wp:posOffset>
              </wp:positionH>
              <wp:positionV relativeFrom="paragraph">
                <wp:posOffset>-97367</wp:posOffset>
              </wp:positionV>
              <wp:extent cx="5924611" cy="18604"/>
              <wp:effectExtent l="0" t="0" r="0" b="0"/>
              <wp:wrapSquare wrapText="bothSides"/>
              <wp:docPr id="1006675219" name="Taisnstūris 12"/>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rect id="Taisnstūris 12" style="position:absolute;margin-left:1.25pt;margin-top:-7.65pt;width:466.5pt;height:1.45pt;z-index:251655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f4d78 [1608]" stroked="f" strokeweight="1pt" w14:anchorId="4A760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">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D8CAF" w14:textId="77777777" w:rsidR="00926B30" w:rsidRDefault="00926B30" w:rsidP="00442FBE">
      <w:pPr>
        <w:spacing w:after="0"/>
      </w:pPr>
      <w:r>
        <w:separator/>
      </w:r>
    </w:p>
  </w:footnote>
  <w:footnote w:type="continuationSeparator" w:id="0">
    <w:p w14:paraId="5CAF76B3" w14:textId="77777777" w:rsidR="00926B30" w:rsidRDefault="00926B30" w:rsidP="00442FBE">
      <w:pPr>
        <w:spacing w:after="0"/>
      </w:pPr>
      <w:r>
        <w:continuationSeparator/>
      </w:r>
    </w:p>
  </w:footnote>
  <w:footnote w:id="1">
    <w:p w14:paraId="45858A56" w14:textId="77777777" w:rsidR="00835592" w:rsidRDefault="00835592" w:rsidP="00F3031D">
      <w:pPr>
        <w:pStyle w:val="FootnoteText"/>
      </w:pPr>
      <w:r>
        <w:rPr>
          <w:rStyle w:val="FootnoteReference"/>
          <w:sz w:val="18"/>
          <w:szCs w:val="16"/>
        </w:rPr>
        <w:footnoteRef/>
      </w:r>
      <w:r>
        <w:rPr>
          <w:sz w:val="18"/>
          <w:szCs w:val="16"/>
        </w:rPr>
        <w:t xml:space="preserve"> https://www.em.gov.lv/lv/nozares_politika/buvnieciba/statistika__petijumi/</w:t>
      </w:r>
    </w:p>
  </w:footnote>
  <w:footnote w:id="2">
    <w:p w14:paraId="7C44CBBF" w14:textId="77777777" w:rsidR="00835592" w:rsidRDefault="00835592" w:rsidP="00654420">
      <w:pPr>
        <w:pStyle w:val="FootnoteText"/>
      </w:pPr>
      <w:r>
        <w:rPr>
          <w:rStyle w:val="FootnoteReference"/>
          <w:sz w:val="18"/>
          <w:szCs w:val="16"/>
        </w:rPr>
        <w:footnoteRef/>
      </w:r>
      <w:r>
        <w:rPr>
          <w:sz w:val="18"/>
          <w:szCs w:val="16"/>
        </w:rPr>
        <w:t xml:space="preserve"> https://www.em.gov.lv/lv/nozares_politika/buvnieciba/statistika__petijumi/</w:t>
      </w:r>
    </w:p>
  </w:footnote>
  <w:footnote w:id="3">
    <w:p w14:paraId="755A1B4E" w14:textId="76FBBED1" w:rsidR="00835592" w:rsidRPr="00895643" w:rsidRDefault="00835592" w:rsidP="000C2E28">
      <w:pPr>
        <w:pStyle w:val="FootnoteText"/>
        <w:spacing w:before="0"/>
        <w:rPr>
          <w:sz w:val="18"/>
          <w:szCs w:val="16"/>
        </w:rPr>
      </w:pPr>
      <w:r>
        <w:rPr>
          <w:rStyle w:val="FootnoteReference"/>
          <w:sz w:val="18"/>
          <w:szCs w:val="16"/>
        </w:rPr>
        <w:footnoteRef/>
      </w:r>
      <w:r>
        <w:rPr>
          <w:sz w:val="18"/>
          <w:szCs w:val="16"/>
        </w:rPr>
        <w:t xml:space="preserve"> Calculated from “BUG010. Volume indices and changes in volume of construction production”, CSB, http://data1.csb.gov.lv/pxweb/lv/rupnbuvn/rupnbuvn__buvn__ikgad/BUG010.px/</w:t>
      </w:r>
    </w:p>
  </w:footnote>
  <w:footnote w:id="4">
    <w:p w14:paraId="1CD66C5C" w14:textId="7341991D" w:rsidR="00835592" w:rsidRPr="00895643" w:rsidRDefault="00835592" w:rsidP="006347CD">
      <w:pPr>
        <w:pStyle w:val="FootnoteText"/>
        <w:spacing w:before="0"/>
        <w:rPr>
          <w:sz w:val="18"/>
          <w:szCs w:val="16"/>
        </w:rPr>
      </w:pPr>
      <w:r>
        <w:rPr>
          <w:rStyle w:val="FootnoteReference"/>
          <w:sz w:val="18"/>
          <w:szCs w:val="16"/>
        </w:rPr>
        <w:footnoteRef/>
      </w:r>
      <w:r>
        <w:rPr>
          <w:sz w:val="18"/>
          <w:szCs w:val="16"/>
        </w:rPr>
        <w:t xml:space="preserve"> Expert evaluations.</w:t>
      </w:r>
    </w:p>
  </w:footnote>
  <w:footnote w:id="5">
    <w:p w14:paraId="1193D46E" w14:textId="7163469F" w:rsidR="00835592" w:rsidRDefault="00835592" w:rsidP="00895643">
      <w:pPr>
        <w:pStyle w:val="FootnoteText"/>
        <w:spacing w:before="0"/>
      </w:pPr>
      <w:r>
        <w:rPr>
          <w:rStyle w:val="FootnoteReference"/>
          <w:sz w:val="18"/>
          <w:szCs w:val="16"/>
        </w:rPr>
        <w:footnoteRef/>
      </w:r>
      <w:r>
        <w:rPr>
          <w:sz w:val="18"/>
          <w:szCs w:val="16"/>
        </w:rPr>
        <w:t xml:space="preserve"> Results of interviews with 20 experts in general construction carried out within the scope of the study.</w:t>
      </w:r>
    </w:p>
  </w:footnote>
  <w:footnote w:id="6">
    <w:p w14:paraId="3FDB7F06" w14:textId="5927522E" w:rsidR="00835592" w:rsidRDefault="00835592" w:rsidP="00895643">
      <w:pPr>
        <w:pStyle w:val="FootnoteText"/>
        <w:jc w:val="both"/>
      </w:pPr>
      <w:r>
        <w:rPr>
          <w:rStyle w:val="FootnoteReference"/>
          <w:sz w:val="18"/>
          <w:szCs w:val="16"/>
        </w:rPr>
        <w:footnoteRef/>
      </w:r>
      <w:r>
        <w:rPr>
          <w:sz w:val="18"/>
          <w:szCs w:val="16"/>
        </w:rPr>
        <w:t xml:space="preserve"> Calculated using the CSB data: RC091c. Construction cost indices and changes by constructions groups by quarter, http://data1.csb.gov.lv/pxweb/lv/ekfin/ekfin__RCI__isterm/RC091c.px/</w:t>
      </w:r>
    </w:p>
  </w:footnote>
  <w:footnote w:id="7">
    <w:p w14:paraId="3FC85D75" w14:textId="77777777" w:rsidR="00835592" w:rsidRPr="00E55546" w:rsidRDefault="00835592" w:rsidP="00364CA7">
      <w:pPr>
        <w:pStyle w:val="FootnoteText"/>
        <w:spacing w:before="0"/>
        <w:contextualSpacing/>
        <w:jc w:val="both"/>
        <w:rPr>
          <w:sz w:val="20"/>
          <w:szCs w:val="18"/>
        </w:rPr>
      </w:pPr>
      <w:r>
        <w:rPr>
          <w:rStyle w:val="FootnoteReference"/>
          <w:sz w:val="18"/>
          <w:szCs w:val="16"/>
        </w:rPr>
        <w:footnoteRef/>
      </w:r>
      <w:r>
        <w:rPr>
          <w:sz w:val="18"/>
          <w:szCs w:val="16"/>
        </w:rPr>
        <w:t xml:space="preserve"> NACE: Statistical classification of economic activities in the European Community, Revision 2. Last accessed: 16.08.2018. Address: https://www.csb.gov.lv/lv/statistika/klasifikacijas/nace-2-red/kodi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969"/>
      <w:gridCol w:w="3969"/>
      <w:gridCol w:w="3969"/>
    </w:tblGrid>
    <w:tr w:rsidR="00835592" w14:paraId="2B1A039E" w14:textId="77777777" w:rsidTr="395D6C26">
      <w:tc>
        <w:tcPr>
          <w:tcW w:w="3969" w:type="dxa"/>
        </w:tcPr>
        <w:p w14:paraId="2DAD2AC7" w14:textId="50852194" w:rsidR="00835592" w:rsidRDefault="00835592" w:rsidP="395D6C26">
          <w:pPr>
            <w:pStyle w:val="Header"/>
            <w:ind w:left="-115"/>
          </w:pPr>
        </w:p>
      </w:tc>
      <w:tc>
        <w:tcPr>
          <w:tcW w:w="3969" w:type="dxa"/>
        </w:tcPr>
        <w:p w14:paraId="24F02B36" w14:textId="26E6C69F" w:rsidR="00835592" w:rsidRDefault="00835592" w:rsidP="395D6C26">
          <w:pPr>
            <w:pStyle w:val="Header"/>
            <w:jc w:val="center"/>
          </w:pPr>
        </w:p>
      </w:tc>
      <w:tc>
        <w:tcPr>
          <w:tcW w:w="3969" w:type="dxa"/>
        </w:tcPr>
        <w:p w14:paraId="17626A48" w14:textId="34F9A1D7" w:rsidR="00835592" w:rsidRDefault="00835592" w:rsidP="395D6C26">
          <w:pPr>
            <w:pStyle w:val="Header"/>
            <w:ind w:right="-115"/>
            <w:jc w:val="right"/>
          </w:pPr>
        </w:p>
      </w:tc>
    </w:tr>
  </w:tbl>
  <w:p w14:paraId="62178896" w14:textId="43C180B7" w:rsidR="00835592" w:rsidRDefault="00835592" w:rsidP="395D6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F7F6" w14:textId="41667B6D" w:rsidR="00835592" w:rsidRDefault="00835592" w:rsidP="00E016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8727" w14:textId="2EDED145" w:rsidR="00835592" w:rsidRDefault="00835592" w:rsidP="00E016C9">
    <w:pPr>
      <w:pStyle w:val="Header"/>
      <w:jc w:val="right"/>
    </w:pPr>
    <w:r>
      <w:rPr>
        <w:noProof/>
        <w:lang w:val="en-US"/>
      </w:rPr>
      <w:drawing>
        <wp:inline distT="0" distB="0" distL="0" distR="0" wp14:anchorId="350F1B6F" wp14:editId="477C498F">
          <wp:extent cx="781050" cy="303011"/>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962" cy="3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4FDEAB"/>
    <w:multiLevelType w:val="hybridMultilevel"/>
    <w:tmpl w:val="C10BD5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607BB"/>
    <w:multiLevelType w:val="hybridMultilevel"/>
    <w:tmpl w:val="34EEDFE0"/>
    <w:lvl w:ilvl="0" w:tplc="DE04F9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470E1"/>
    <w:multiLevelType w:val="hybridMultilevel"/>
    <w:tmpl w:val="21E6C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67B10"/>
    <w:multiLevelType w:val="hybridMultilevel"/>
    <w:tmpl w:val="CFFA52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B50DD"/>
    <w:multiLevelType w:val="hybridMultilevel"/>
    <w:tmpl w:val="7AAEEF8A"/>
    <w:lvl w:ilvl="0" w:tplc="3C223738">
      <w:start w:val="1"/>
      <w:numFmt w:val="decimal"/>
      <w:lvlText w:val="%1."/>
      <w:lvlJc w:val="left"/>
      <w:pPr>
        <w:ind w:left="720" w:hanging="360"/>
      </w:pPr>
      <w:rPr>
        <w:rFonts w:hint="default"/>
      </w:rPr>
    </w:lvl>
    <w:lvl w:ilvl="1" w:tplc="0A42024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D1744"/>
    <w:multiLevelType w:val="hybridMultilevel"/>
    <w:tmpl w:val="389650C0"/>
    <w:lvl w:ilvl="0" w:tplc="E3BAE2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F3433"/>
    <w:multiLevelType w:val="hybridMultilevel"/>
    <w:tmpl w:val="7AAEEF8A"/>
    <w:lvl w:ilvl="0" w:tplc="3C223738">
      <w:start w:val="1"/>
      <w:numFmt w:val="decimal"/>
      <w:lvlText w:val="%1."/>
      <w:lvlJc w:val="left"/>
      <w:pPr>
        <w:ind w:left="720" w:hanging="360"/>
      </w:pPr>
      <w:rPr>
        <w:rFonts w:hint="default"/>
      </w:rPr>
    </w:lvl>
    <w:lvl w:ilvl="1" w:tplc="0A42024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40F87"/>
    <w:multiLevelType w:val="hybridMultilevel"/>
    <w:tmpl w:val="F0AA5CA0"/>
    <w:lvl w:ilvl="0" w:tplc="08090011">
      <w:start w:val="1"/>
      <w:numFmt w:val="decimal"/>
      <w:lvlText w:val="%1)"/>
      <w:lvlJc w:val="left"/>
      <w:pPr>
        <w:ind w:left="1854" w:hanging="360"/>
      </w:pPr>
    </w:lvl>
    <w:lvl w:ilvl="1" w:tplc="08090011">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1CAB04A5"/>
    <w:multiLevelType w:val="multilevel"/>
    <w:tmpl w:val="0426001D"/>
    <w:styleLink w:val="Style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02641"/>
    <w:multiLevelType w:val="hybridMultilevel"/>
    <w:tmpl w:val="8760FE3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B2EDF"/>
    <w:multiLevelType w:val="hybridMultilevel"/>
    <w:tmpl w:val="A11AD2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F27D64"/>
    <w:multiLevelType w:val="hybridMultilevel"/>
    <w:tmpl w:val="B86452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E1F50"/>
    <w:multiLevelType w:val="hybridMultilevel"/>
    <w:tmpl w:val="12885A3E"/>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35413AC"/>
    <w:multiLevelType w:val="hybridMultilevel"/>
    <w:tmpl w:val="B90ECF5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29960D79"/>
    <w:multiLevelType w:val="hybridMultilevel"/>
    <w:tmpl w:val="0A7EF3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A996289"/>
    <w:multiLevelType w:val="hybridMultilevel"/>
    <w:tmpl w:val="9B8A9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5B8CA"/>
    <w:multiLevelType w:val="hybridMultilevel"/>
    <w:tmpl w:val="E9FA18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9D271E"/>
    <w:multiLevelType w:val="hybridMultilevel"/>
    <w:tmpl w:val="B41A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321DE"/>
    <w:multiLevelType w:val="hybridMultilevel"/>
    <w:tmpl w:val="FE8613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7C5F4C"/>
    <w:multiLevelType w:val="hybridMultilevel"/>
    <w:tmpl w:val="76400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12B80"/>
    <w:multiLevelType w:val="multilevel"/>
    <w:tmpl w:val="56380B8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85669B"/>
    <w:multiLevelType w:val="hybridMultilevel"/>
    <w:tmpl w:val="3BB036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756C6"/>
    <w:multiLevelType w:val="hybridMultilevel"/>
    <w:tmpl w:val="4008F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E4E62"/>
    <w:multiLevelType w:val="hybridMultilevel"/>
    <w:tmpl w:val="8E943D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4C4D62"/>
    <w:multiLevelType w:val="multilevel"/>
    <w:tmpl w:val="DF4E493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heme="minorHAnsi" w:hAnsiTheme="minorHAnsi" w:cstheme="minorHAnsi" w:hint="default"/>
      </w:rPr>
    </w:lvl>
    <w:lvl w:ilvl="2">
      <w:start w:val="1"/>
      <w:numFmt w:val="decimal"/>
      <w:lvlText w:val="%1.%2.%3."/>
      <w:lvlJc w:val="left"/>
      <w:pPr>
        <w:ind w:left="1356" w:hanging="504"/>
      </w:pPr>
      <w:rPr>
        <w:rFonts w:hint="default"/>
      </w:rPr>
    </w:lvl>
    <w:lvl w:ilvl="3">
      <w:start w:val="1"/>
      <w:numFmt w:val="decimal"/>
      <w:pStyle w:val="Heading4"/>
      <w:suff w:val="space"/>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D85064"/>
    <w:multiLevelType w:val="hybridMultilevel"/>
    <w:tmpl w:val="BF34D876"/>
    <w:lvl w:ilvl="0" w:tplc="FFFFFFFF">
      <w:start w:val="1"/>
      <w:numFmt w:val="bullet"/>
      <w:lvlText w:val="•"/>
      <w:lvlJc w:val="left"/>
      <w:pPr>
        <w:ind w:left="1931" w:hanging="360"/>
      </w:pPr>
      <w:rPr>
        <w:rFonts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26" w15:restartNumberingAfterBreak="0">
    <w:nsid w:val="51C64E5E"/>
    <w:multiLevelType w:val="hybridMultilevel"/>
    <w:tmpl w:val="4FE8EA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0E12A"/>
    <w:multiLevelType w:val="hybridMultilevel"/>
    <w:tmpl w:val="BB114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6923B01"/>
    <w:multiLevelType w:val="hybridMultilevel"/>
    <w:tmpl w:val="21E6C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E4555D"/>
    <w:multiLevelType w:val="hybridMultilevel"/>
    <w:tmpl w:val="C70251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233D9"/>
    <w:multiLevelType w:val="multilevel"/>
    <w:tmpl w:val="C0B0D8CC"/>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91E3A4E"/>
    <w:multiLevelType w:val="hybridMultilevel"/>
    <w:tmpl w:val="F7DA25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0"/>
  </w:num>
  <w:num w:numId="4">
    <w:abstractNumId w:val="20"/>
  </w:num>
  <w:num w:numId="5">
    <w:abstractNumId w:val="30"/>
  </w:num>
  <w:num w:numId="6">
    <w:abstractNumId w:val="0"/>
  </w:num>
  <w:num w:numId="7">
    <w:abstractNumId w:val="27"/>
  </w:num>
  <w:num w:numId="8">
    <w:abstractNumId w:val="16"/>
  </w:num>
  <w:num w:numId="9">
    <w:abstractNumId w:val="11"/>
  </w:num>
  <w:num w:numId="10">
    <w:abstractNumId w:val="22"/>
  </w:num>
  <w:num w:numId="11">
    <w:abstractNumId w:val="13"/>
  </w:num>
  <w:num w:numId="12">
    <w:abstractNumId w:val="12"/>
  </w:num>
  <w:num w:numId="13">
    <w:abstractNumId w:val="29"/>
  </w:num>
  <w:num w:numId="14">
    <w:abstractNumId w:val="19"/>
  </w:num>
  <w:num w:numId="15">
    <w:abstractNumId w:val="18"/>
  </w:num>
  <w:num w:numId="16">
    <w:abstractNumId w:val="1"/>
  </w:num>
  <w:num w:numId="17">
    <w:abstractNumId w:val="26"/>
  </w:num>
  <w:num w:numId="18">
    <w:abstractNumId w:val="5"/>
  </w:num>
  <w:num w:numId="19">
    <w:abstractNumId w:val="4"/>
  </w:num>
  <w:num w:numId="20">
    <w:abstractNumId w:val="7"/>
  </w:num>
  <w:num w:numId="21">
    <w:abstractNumId w:val="2"/>
  </w:num>
  <w:num w:numId="22">
    <w:abstractNumId w:val="28"/>
  </w:num>
  <w:num w:numId="23">
    <w:abstractNumId w:val="31"/>
  </w:num>
  <w:num w:numId="24">
    <w:abstractNumId w:val="9"/>
  </w:num>
  <w:num w:numId="25">
    <w:abstractNumId w:val="23"/>
  </w:num>
  <w:num w:numId="26">
    <w:abstractNumId w:val="3"/>
  </w:num>
  <w:num w:numId="27">
    <w:abstractNumId w:val="21"/>
  </w:num>
  <w:num w:numId="28">
    <w:abstractNumId w:val="25"/>
  </w:num>
  <w:num w:numId="29">
    <w:abstractNumId w:val="6"/>
  </w:num>
  <w:num w:numId="30">
    <w:abstractNumId w:val="14"/>
  </w:num>
  <w:num w:numId="31">
    <w:abstractNumId w:val="15"/>
  </w:num>
  <w:num w:numId="3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1D9"/>
    <w:rsid w:val="000009FE"/>
    <w:rsid w:val="000014E1"/>
    <w:rsid w:val="00001941"/>
    <w:rsid w:val="000026FF"/>
    <w:rsid w:val="000040C5"/>
    <w:rsid w:val="0000425F"/>
    <w:rsid w:val="00004CCC"/>
    <w:rsid w:val="00005A8C"/>
    <w:rsid w:val="00006087"/>
    <w:rsid w:val="000068C7"/>
    <w:rsid w:val="0000692C"/>
    <w:rsid w:val="00006C7A"/>
    <w:rsid w:val="00007B48"/>
    <w:rsid w:val="00007CCE"/>
    <w:rsid w:val="00007DEB"/>
    <w:rsid w:val="00007FE6"/>
    <w:rsid w:val="0001002B"/>
    <w:rsid w:val="000103B5"/>
    <w:rsid w:val="00010C06"/>
    <w:rsid w:val="000119C0"/>
    <w:rsid w:val="00011B09"/>
    <w:rsid w:val="00012089"/>
    <w:rsid w:val="00012176"/>
    <w:rsid w:val="00012A36"/>
    <w:rsid w:val="00012ED5"/>
    <w:rsid w:val="000134E2"/>
    <w:rsid w:val="000135A4"/>
    <w:rsid w:val="00013A30"/>
    <w:rsid w:val="000142F6"/>
    <w:rsid w:val="0001435D"/>
    <w:rsid w:val="00015347"/>
    <w:rsid w:val="00015626"/>
    <w:rsid w:val="00015F8C"/>
    <w:rsid w:val="000164CD"/>
    <w:rsid w:val="00016957"/>
    <w:rsid w:val="00017082"/>
    <w:rsid w:val="0001787C"/>
    <w:rsid w:val="00020BA3"/>
    <w:rsid w:val="00021A75"/>
    <w:rsid w:val="00023017"/>
    <w:rsid w:val="000231D9"/>
    <w:rsid w:val="00023270"/>
    <w:rsid w:val="000244AD"/>
    <w:rsid w:val="00024DCA"/>
    <w:rsid w:val="0002521C"/>
    <w:rsid w:val="0002547E"/>
    <w:rsid w:val="00025596"/>
    <w:rsid w:val="00025808"/>
    <w:rsid w:val="00025924"/>
    <w:rsid w:val="000259C2"/>
    <w:rsid w:val="00025A23"/>
    <w:rsid w:val="00025ECB"/>
    <w:rsid w:val="000263D7"/>
    <w:rsid w:val="00026A62"/>
    <w:rsid w:val="00026BCF"/>
    <w:rsid w:val="00027B88"/>
    <w:rsid w:val="00027F67"/>
    <w:rsid w:val="00030391"/>
    <w:rsid w:val="00031439"/>
    <w:rsid w:val="00031585"/>
    <w:rsid w:val="00032446"/>
    <w:rsid w:val="00032C4E"/>
    <w:rsid w:val="00033164"/>
    <w:rsid w:val="0003329A"/>
    <w:rsid w:val="0003344B"/>
    <w:rsid w:val="00033532"/>
    <w:rsid w:val="00033D77"/>
    <w:rsid w:val="00034590"/>
    <w:rsid w:val="00034E51"/>
    <w:rsid w:val="00035479"/>
    <w:rsid w:val="000361E1"/>
    <w:rsid w:val="000368F8"/>
    <w:rsid w:val="00036B9D"/>
    <w:rsid w:val="00036DCC"/>
    <w:rsid w:val="00037372"/>
    <w:rsid w:val="00037DFA"/>
    <w:rsid w:val="00040AAD"/>
    <w:rsid w:val="00040FE5"/>
    <w:rsid w:val="00041054"/>
    <w:rsid w:val="00041DC1"/>
    <w:rsid w:val="000425D5"/>
    <w:rsid w:val="0004270A"/>
    <w:rsid w:val="00042DD0"/>
    <w:rsid w:val="000439BA"/>
    <w:rsid w:val="00043CAF"/>
    <w:rsid w:val="00043E80"/>
    <w:rsid w:val="0004437A"/>
    <w:rsid w:val="000446AB"/>
    <w:rsid w:val="000448B0"/>
    <w:rsid w:val="00044C12"/>
    <w:rsid w:val="000450E9"/>
    <w:rsid w:val="000450EC"/>
    <w:rsid w:val="00045638"/>
    <w:rsid w:val="0004591D"/>
    <w:rsid w:val="00046994"/>
    <w:rsid w:val="00046CFD"/>
    <w:rsid w:val="00046EB9"/>
    <w:rsid w:val="000471CB"/>
    <w:rsid w:val="0004737C"/>
    <w:rsid w:val="000473F2"/>
    <w:rsid w:val="0004777B"/>
    <w:rsid w:val="00047B16"/>
    <w:rsid w:val="00050BC5"/>
    <w:rsid w:val="00050CB3"/>
    <w:rsid w:val="00050D4F"/>
    <w:rsid w:val="00051705"/>
    <w:rsid w:val="00051D28"/>
    <w:rsid w:val="00051FFD"/>
    <w:rsid w:val="00052ACE"/>
    <w:rsid w:val="00052ED8"/>
    <w:rsid w:val="000534E7"/>
    <w:rsid w:val="00053AE3"/>
    <w:rsid w:val="00053E59"/>
    <w:rsid w:val="0005442A"/>
    <w:rsid w:val="0005487D"/>
    <w:rsid w:val="00055130"/>
    <w:rsid w:val="00055369"/>
    <w:rsid w:val="00055789"/>
    <w:rsid w:val="0005651D"/>
    <w:rsid w:val="00056C07"/>
    <w:rsid w:val="00056D38"/>
    <w:rsid w:val="00056DE5"/>
    <w:rsid w:val="0005796B"/>
    <w:rsid w:val="00057C85"/>
    <w:rsid w:val="00057DBC"/>
    <w:rsid w:val="0006128F"/>
    <w:rsid w:val="00061970"/>
    <w:rsid w:val="00061AE9"/>
    <w:rsid w:val="00062BC0"/>
    <w:rsid w:val="00062BDC"/>
    <w:rsid w:val="000633CF"/>
    <w:rsid w:val="00063B31"/>
    <w:rsid w:val="00064589"/>
    <w:rsid w:val="000650D0"/>
    <w:rsid w:val="0006567B"/>
    <w:rsid w:val="00065C42"/>
    <w:rsid w:val="00065F8B"/>
    <w:rsid w:val="00066342"/>
    <w:rsid w:val="000666ED"/>
    <w:rsid w:val="00066D57"/>
    <w:rsid w:val="00066F21"/>
    <w:rsid w:val="00067228"/>
    <w:rsid w:val="00067608"/>
    <w:rsid w:val="00067915"/>
    <w:rsid w:val="00070D30"/>
    <w:rsid w:val="00070DF2"/>
    <w:rsid w:val="00070E07"/>
    <w:rsid w:val="00071394"/>
    <w:rsid w:val="00071EA7"/>
    <w:rsid w:val="00071FEB"/>
    <w:rsid w:val="00072087"/>
    <w:rsid w:val="000721CD"/>
    <w:rsid w:val="0007298C"/>
    <w:rsid w:val="00072ACD"/>
    <w:rsid w:val="0007360B"/>
    <w:rsid w:val="00074E98"/>
    <w:rsid w:val="0007501B"/>
    <w:rsid w:val="0007571D"/>
    <w:rsid w:val="00075922"/>
    <w:rsid w:val="0007616D"/>
    <w:rsid w:val="00076425"/>
    <w:rsid w:val="000767D4"/>
    <w:rsid w:val="00076B14"/>
    <w:rsid w:val="00077305"/>
    <w:rsid w:val="00077C85"/>
    <w:rsid w:val="0008073A"/>
    <w:rsid w:val="00080B13"/>
    <w:rsid w:val="00080E6A"/>
    <w:rsid w:val="00080F16"/>
    <w:rsid w:val="000815D3"/>
    <w:rsid w:val="00081F90"/>
    <w:rsid w:val="00082284"/>
    <w:rsid w:val="0008305E"/>
    <w:rsid w:val="0008358D"/>
    <w:rsid w:val="000846DB"/>
    <w:rsid w:val="000846F9"/>
    <w:rsid w:val="00084819"/>
    <w:rsid w:val="0008490C"/>
    <w:rsid w:val="00084D30"/>
    <w:rsid w:val="0008535D"/>
    <w:rsid w:val="00085BE0"/>
    <w:rsid w:val="000866BB"/>
    <w:rsid w:val="000900DB"/>
    <w:rsid w:val="000904D2"/>
    <w:rsid w:val="00090BEB"/>
    <w:rsid w:val="000935EE"/>
    <w:rsid w:val="00093C59"/>
    <w:rsid w:val="0009421D"/>
    <w:rsid w:val="00094959"/>
    <w:rsid w:val="000951FF"/>
    <w:rsid w:val="000952FD"/>
    <w:rsid w:val="00095B77"/>
    <w:rsid w:val="00095F78"/>
    <w:rsid w:val="0009611C"/>
    <w:rsid w:val="00096C0B"/>
    <w:rsid w:val="000971EB"/>
    <w:rsid w:val="000974E6"/>
    <w:rsid w:val="000976B5"/>
    <w:rsid w:val="000A032E"/>
    <w:rsid w:val="000A04C2"/>
    <w:rsid w:val="000A1B90"/>
    <w:rsid w:val="000A1E54"/>
    <w:rsid w:val="000A3FEA"/>
    <w:rsid w:val="000A42AB"/>
    <w:rsid w:val="000A4C8B"/>
    <w:rsid w:val="000A5AC8"/>
    <w:rsid w:val="000A5BBF"/>
    <w:rsid w:val="000A5C7B"/>
    <w:rsid w:val="000A5E3A"/>
    <w:rsid w:val="000A66F6"/>
    <w:rsid w:val="000A674E"/>
    <w:rsid w:val="000A7B18"/>
    <w:rsid w:val="000B0041"/>
    <w:rsid w:val="000B196B"/>
    <w:rsid w:val="000B1E8B"/>
    <w:rsid w:val="000B2287"/>
    <w:rsid w:val="000B2952"/>
    <w:rsid w:val="000B30CF"/>
    <w:rsid w:val="000B353E"/>
    <w:rsid w:val="000B388A"/>
    <w:rsid w:val="000B416B"/>
    <w:rsid w:val="000B427F"/>
    <w:rsid w:val="000B474F"/>
    <w:rsid w:val="000B506E"/>
    <w:rsid w:val="000B540F"/>
    <w:rsid w:val="000B5425"/>
    <w:rsid w:val="000B67EC"/>
    <w:rsid w:val="000C0055"/>
    <w:rsid w:val="000C009F"/>
    <w:rsid w:val="000C03DC"/>
    <w:rsid w:val="000C09BB"/>
    <w:rsid w:val="000C0A6F"/>
    <w:rsid w:val="000C0DCF"/>
    <w:rsid w:val="000C1247"/>
    <w:rsid w:val="000C1903"/>
    <w:rsid w:val="000C1B06"/>
    <w:rsid w:val="000C22DB"/>
    <w:rsid w:val="000C2B12"/>
    <w:rsid w:val="000C2D8F"/>
    <w:rsid w:val="000C2E28"/>
    <w:rsid w:val="000C482B"/>
    <w:rsid w:val="000C55CE"/>
    <w:rsid w:val="000C5D78"/>
    <w:rsid w:val="000C70DC"/>
    <w:rsid w:val="000C739D"/>
    <w:rsid w:val="000C750F"/>
    <w:rsid w:val="000C75E0"/>
    <w:rsid w:val="000C7E60"/>
    <w:rsid w:val="000C7F27"/>
    <w:rsid w:val="000D01B4"/>
    <w:rsid w:val="000D03EA"/>
    <w:rsid w:val="000D0529"/>
    <w:rsid w:val="000D059E"/>
    <w:rsid w:val="000D0AB1"/>
    <w:rsid w:val="000D13FD"/>
    <w:rsid w:val="000D23B0"/>
    <w:rsid w:val="000D2408"/>
    <w:rsid w:val="000D24ED"/>
    <w:rsid w:val="000D2605"/>
    <w:rsid w:val="000D26B9"/>
    <w:rsid w:val="000D2772"/>
    <w:rsid w:val="000D315E"/>
    <w:rsid w:val="000D32D1"/>
    <w:rsid w:val="000D3A1D"/>
    <w:rsid w:val="000D4C25"/>
    <w:rsid w:val="000D5275"/>
    <w:rsid w:val="000D57E6"/>
    <w:rsid w:val="000D5D1A"/>
    <w:rsid w:val="000D65B7"/>
    <w:rsid w:val="000D7946"/>
    <w:rsid w:val="000D7BE2"/>
    <w:rsid w:val="000D7C6C"/>
    <w:rsid w:val="000D7D64"/>
    <w:rsid w:val="000E0072"/>
    <w:rsid w:val="000E0819"/>
    <w:rsid w:val="000E130E"/>
    <w:rsid w:val="000E13C0"/>
    <w:rsid w:val="000E162E"/>
    <w:rsid w:val="000E18B9"/>
    <w:rsid w:val="000E1C25"/>
    <w:rsid w:val="000E24F4"/>
    <w:rsid w:val="000E2A47"/>
    <w:rsid w:val="000E2F69"/>
    <w:rsid w:val="000E3741"/>
    <w:rsid w:val="000E3B37"/>
    <w:rsid w:val="000E5B02"/>
    <w:rsid w:val="000E691F"/>
    <w:rsid w:val="000E7A10"/>
    <w:rsid w:val="000E7C4C"/>
    <w:rsid w:val="000E7DD3"/>
    <w:rsid w:val="000F05F3"/>
    <w:rsid w:val="000F067D"/>
    <w:rsid w:val="000F0757"/>
    <w:rsid w:val="000F09FE"/>
    <w:rsid w:val="000F0F78"/>
    <w:rsid w:val="000F1ED3"/>
    <w:rsid w:val="000F241F"/>
    <w:rsid w:val="000F2B4B"/>
    <w:rsid w:val="000F3110"/>
    <w:rsid w:val="000F3664"/>
    <w:rsid w:val="000F3807"/>
    <w:rsid w:val="000F3816"/>
    <w:rsid w:val="000F3CC5"/>
    <w:rsid w:val="000F4383"/>
    <w:rsid w:val="000F4664"/>
    <w:rsid w:val="000F47A5"/>
    <w:rsid w:val="000F5008"/>
    <w:rsid w:val="000F54B7"/>
    <w:rsid w:val="000F572F"/>
    <w:rsid w:val="000F5B1C"/>
    <w:rsid w:val="000F6912"/>
    <w:rsid w:val="000F6ED2"/>
    <w:rsid w:val="000F71FB"/>
    <w:rsid w:val="000F74A8"/>
    <w:rsid w:val="0010057F"/>
    <w:rsid w:val="00100BD0"/>
    <w:rsid w:val="00100D75"/>
    <w:rsid w:val="001014BE"/>
    <w:rsid w:val="0010179B"/>
    <w:rsid w:val="00101803"/>
    <w:rsid w:val="00101997"/>
    <w:rsid w:val="00101C2F"/>
    <w:rsid w:val="00101D7D"/>
    <w:rsid w:val="00101EB2"/>
    <w:rsid w:val="00102370"/>
    <w:rsid w:val="00102F8C"/>
    <w:rsid w:val="001039B9"/>
    <w:rsid w:val="00104063"/>
    <w:rsid w:val="0010450C"/>
    <w:rsid w:val="00104C81"/>
    <w:rsid w:val="00105F71"/>
    <w:rsid w:val="00106500"/>
    <w:rsid w:val="0010650E"/>
    <w:rsid w:val="00106A22"/>
    <w:rsid w:val="00106B90"/>
    <w:rsid w:val="0010773A"/>
    <w:rsid w:val="00110AD3"/>
    <w:rsid w:val="00110B3C"/>
    <w:rsid w:val="00110DE8"/>
    <w:rsid w:val="0011103F"/>
    <w:rsid w:val="001110AB"/>
    <w:rsid w:val="0011178D"/>
    <w:rsid w:val="00111870"/>
    <w:rsid w:val="00111FC5"/>
    <w:rsid w:val="00112A0C"/>
    <w:rsid w:val="0011443E"/>
    <w:rsid w:val="001154FF"/>
    <w:rsid w:val="00115621"/>
    <w:rsid w:val="001157C6"/>
    <w:rsid w:val="0011595E"/>
    <w:rsid w:val="00115B1D"/>
    <w:rsid w:val="0011707A"/>
    <w:rsid w:val="00117B2B"/>
    <w:rsid w:val="00117C3C"/>
    <w:rsid w:val="00117FE1"/>
    <w:rsid w:val="001204F9"/>
    <w:rsid w:val="00120E3D"/>
    <w:rsid w:val="00121436"/>
    <w:rsid w:val="001214E0"/>
    <w:rsid w:val="00121E5F"/>
    <w:rsid w:val="00121F29"/>
    <w:rsid w:val="00122838"/>
    <w:rsid w:val="001228FC"/>
    <w:rsid w:val="0012299C"/>
    <w:rsid w:val="001239F5"/>
    <w:rsid w:val="00123B1D"/>
    <w:rsid w:val="00123C9C"/>
    <w:rsid w:val="00124929"/>
    <w:rsid w:val="00124B6C"/>
    <w:rsid w:val="00124EFB"/>
    <w:rsid w:val="00125723"/>
    <w:rsid w:val="00125C9F"/>
    <w:rsid w:val="00126352"/>
    <w:rsid w:val="001263CB"/>
    <w:rsid w:val="001266C1"/>
    <w:rsid w:val="00126DF7"/>
    <w:rsid w:val="00127824"/>
    <w:rsid w:val="00127BD3"/>
    <w:rsid w:val="0013099C"/>
    <w:rsid w:val="00131339"/>
    <w:rsid w:val="00131756"/>
    <w:rsid w:val="0013246A"/>
    <w:rsid w:val="00132E24"/>
    <w:rsid w:val="001332D6"/>
    <w:rsid w:val="0013365F"/>
    <w:rsid w:val="00134055"/>
    <w:rsid w:val="001344CF"/>
    <w:rsid w:val="0013469E"/>
    <w:rsid w:val="0013492B"/>
    <w:rsid w:val="0013613E"/>
    <w:rsid w:val="001366A8"/>
    <w:rsid w:val="00136CB2"/>
    <w:rsid w:val="0013746D"/>
    <w:rsid w:val="00137CD6"/>
    <w:rsid w:val="0014025F"/>
    <w:rsid w:val="001403E0"/>
    <w:rsid w:val="0014040A"/>
    <w:rsid w:val="00140612"/>
    <w:rsid w:val="001409AF"/>
    <w:rsid w:val="00140CAB"/>
    <w:rsid w:val="0014146F"/>
    <w:rsid w:val="001414F0"/>
    <w:rsid w:val="00141A88"/>
    <w:rsid w:val="00141B06"/>
    <w:rsid w:val="00142FE5"/>
    <w:rsid w:val="001435BA"/>
    <w:rsid w:val="00143A65"/>
    <w:rsid w:val="00143D21"/>
    <w:rsid w:val="00144CAA"/>
    <w:rsid w:val="001457CD"/>
    <w:rsid w:val="00145AE4"/>
    <w:rsid w:val="00145D61"/>
    <w:rsid w:val="00145F07"/>
    <w:rsid w:val="0014606C"/>
    <w:rsid w:val="00146846"/>
    <w:rsid w:val="001469EC"/>
    <w:rsid w:val="00146BD0"/>
    <w:rsid w:val="00146D2C"/>
    <w:rsid w:val="00146DCF"/>
    <w:rsid w:val="00146FDC"/>
    <w:rsid w:val="0014783B"/>
    <w:rsid w:val="0014784C"/>
    <w:rsid w:val="00147EE2"/>
    <w:rsid w:val="00150902"/>
    <w:rsid w:val="00151886"/>
    <w:rsid w:val="001520BA"/>
    <w:rsid w:val="00152B90"/>
    <w:rsid w:val="00152BA2"/>
    <w:rsid w:val="00153760"/>
    <w:rsid w:val="001539A4"/>
    <w:rsid w:val="001539E8"/>
    <w:rsid w:val="00153EBC"/>
    <w:rsid w:val="0015473C"/>
    <w:rsid w:val="00154778"/>
    <w:rsid w:val="00154A23"/>
    <w:rsid w:val="00156F2D"/>
    <w:rsid w:val="001570FF"/>
    <w:rsid w:val="00157229"/>
    <w:rsid w:val="00157427"/>
    <w:rsid w:val="001579FF"/>
    <w:rsid w:val="00160DA8"/>
    <w:rsid w:val="00160E2E"/>
    <w:rsid w:val="00160FBD"/>
    <w:rsid w:val="00161584"/>
    <w:rsid w:val="00161DF1"/>
    <w:rsid w:val="0016208F"/>
    <w:rsid w:val="00162A4C"/>
    <w:rsid w:val="0016320F"/>
    <w:rsid w:val="0016354C"/>
    <w:rsid w:val="0016387C"/>
    <w:rsid w:val="00164F94"/>
    <w:rsid w:val="001655A9"/>
    <w:rsid w:val="0016593E"/>
    <w:rsid w:val="00166CA4"/>
    <w:rsid w:val="00166EE1"/>
    <w:rsid w:val="001671D7"/>
    <w:rsid w:val="00167537"/>
    <w:rsid w:val="001722D5"/>
    <w:rsid w:val="001734D4"/>
    <w:rsid w:val="001735EC"/>
    <w:rsid w:val="00173853"/>
    <w:rsid w:val="00175139"/>
    <w:rsid w:val="0017524E"/>
    <w:rsid w:val="001752E9"/>
    <w:rsid w:val="0017579C"/>
    <w:rsid w:val="00175A25"/>
    <w:rsid w:val="00175C81"/>
    <w:rsid w:val="00176584"/>
    <w:rsid w:val="0017688C"/>
    <w:rsid w:val="00177981"/>
    <w:rsid w:val="00180333"/>
    <w:rsid w:val="001804A7"/>
    <w:rsid w:val="001807CC"/>
    <w:rsid w:val="00180BEA"/>
    <w:rsid w:val="00180F3A"/>
    <w:rsid w:val="001814C7"/>
    <w:rsid w:val="001816A5"/>
    <w:rsid w:val="00182088"/>
    <w:rsid w:val="001827FB"/>
    <w:rsid w:val="00182BE4"/>
    <w:rsid w:val="00182FC8"/>
    <w:rsid w:val="00183051"/>
    <w:rsid w:val="001834A2"/>
    <w:rsid w:val="00183D71"/>
    <w:rsid w:val="00183FEA"/>
    <w:rsid w:val="001844C4"/>
    <w:rsid w:val="001846F4"/>
    <w:rsid w:val="00184EC1"/>
    <w:rsid w:val="0018537F"/>
    <w:rsid w:val="001854FD"/>
    <w:rsid w:val="001856A4"/>
    <w:rsid w:val="001856C8"/>
    <w:rsid w:val="00185761"/>
    <w:rsid w:val="00185DBC"/>
    <w:rsid w:val="0018738B"/>
    <w:rsid w:val="00187B31"/>
    <w:rsid w:val="00190D1C"/>
    <w:rsid w:val="00190F4E"/>
    <w:rsid w:val="00191060"/>
    <w:rsid w:val="001912FD"/>
    <w:rsid w:val="00191583"/>
    <w:rsid w:val="0019159B"/>
    <w:rsid w:val="00191D0F"/>
    <w:rsid w:val="00191FA4"/>
    <w:rsid w:val="001923B1"/>
    <w:rsid w:val="00192E77"/>
    <w:rsid w:val="0019306B"/>
    <w:rsid w:val="00193924"/>
    <w:rsid w:val="001949CF"/>
    <w:rsid w:val="00194F40"/>
    <w:rsid w:val="001952CA"/>
    <w:rsid w:val="00195F27"/>
    <w:rsid w:val="00196A1C"/>
    <w:rsid w:val="00196D77"/>
    <w:rsid w:val="00197876"/>
    <w:rsid w:val="00197BBD"/>
    <w:rsid w:val="001A0564"/>
    <w:rsid w:val="001A057A"/>
    <w:rsid w:val="001A08E5"/>
    <w:rsid w:val="001A0D3B"/>
    <w:rsid w:val="001A0EDF"/>
    <w:rsid w:val="001A0EEC"/>
    <w:rsid w:val="001A10AB"/>
    <w:rsid w:val="001A16DB"/>
    <w:rsid w:val="001A1EAD"/>
    <w:rsid w:val="001A1EDA"/>
    <w:rsid w:val="001A28F1"/>
    <w:rsid w:val="001A291C"/>
    <w:rsid w:val="001A2F9F"/>
    <w:rsid w:val="001A3CF8"/>
    <w:rsid w:val="001A49A1"/>
    <w:rsid w:val="001A4A9E"/>
    <w:rsid w:val="001A4AC1"/>
    <w:rsid w:val="001A4F42"/>
    <w:rsid w:val="001A52AA"/>
    <w:rsid w:val="001A5345"/>
    <w:rsid w:val="001A5A7D"/>
    <w:rsid w:val="001A5CE6"/>
    <w:rsid w:val="001A655E"/>
    <w:rsid w:val="001A68BC"/>
    <w:rsid w:val="001A73ED"/>
    <w:rsid w:val="001A7752"/>
    <w:rsid w:val="001B00E8"/>
    <w:rsid w:val="001B03D2"/>
    <w:rsid w:val="001B0C4A"/>
    <w:rsid w:val="001B0E15"/>
    <w:rsid w:val="001B15E6"/>
    <w:rsid w:val="001B24F0"/>
    <w:rsid w:val="001B2852"/>
    <w:rsid w:val="001B2BEA"/>
    <w:rsid w:val="001B3BEE"/>
    <w:rsid w:val="001B5864"/>
    <w:rsid w:val="001B58B2"/>
    <w:rsid w:val="001B5C6E"/>
    <w:rsid w:val="001B5FA3"/>
    <w:rsid w:val="001B60CA"/>
    <w:rsid w:val="001B6A6C"/>
    <w:rsid w:val="001B7D83"/>
    <w:rsid w:val="001C0061"/>
    <w:rsid w:val="001C05A8"/>
    <w:rsid w:val="001C0D2A"/>
    <w:rsid w:val="001C144F"/>
    <w:rsid w:val="001C15DC"/>
    <w:rsid w:val="001C1934"/>
    <w:rsid w:val="001C1D94"/>
    <w:rsid w:val="001C2765"/>
    <w:rsid w:val="001C2D94"/>
    <w:rsid w:val="001C3184"/>
    <w:rsid w:val="001C3B44"/>
    <w:rsid w:val="001C3FEB"/>
    <w:rsid w:val="001C46C8"/>
    <w:rsid w:val="001C4C7F"/>
    <w:rsid w:val="001C5083"/>
    <w:rsid w:val="001C5169"/>
    <w:rsid w:val="001C598E"/>
    <w:rsid w:val="001C61C7"/>
    <w:rsid w:val="001C62F2"/>
    <w:rsid w:val="001C69AF"/>
    <w:rsid w:val="001C715D"/>
    <w:rsid w:val="001D0053"/>
    <w:rsid w:val="001D03EE"/>
    <w:rsid w:val="001D06D7"/>
    <w:rsid w:val="001D117E"/>
    <w:rsid w:val="001D1A2B"/>
    <w:rsid w:val="001D2024"/>
    <w:rsid w:val="001D228D"/>
    <w:rsid w:val="001D2359"/>
    <w:rsid w:val="001D284E"/>
    <w:rsid w:val="001D2C50"/>
    <w:rsid w:val="001D33A2"/>
    <w:rsid w:val="001D3812"/>
    <w:rsid w:val="001D44FA"/>
    <w:rsid w:val="001D4BD9"/>
    <w:rsid w:val="001D4C49"/>
    <w:rsid w:val="001D5231"/>
    <w:rsid w:val="001D5F01"/>
    <w:rsid w:val="001D5FF6"/>
    <w:rsid w:val="001D62E9"/>
    <w:rsid w:val="001D6F40"/>
    <w:rsid w:val="001D71C9"/>
    <w:rsid w:val="001E08B7"/>
    <w:rsid w:val="001E12FE"/>
    <w:rsid w:val="001E17F4"/>
    <w:rsid w:val="001E18ED"/>
    <w:rsid w:val="001E19AE"/>
    <w:rsid w:val="001E1B6A"/>
    <w:rsid w:val="001E1D13"/>
    <w:rsid w:val="001E23C0"/>
    <w:rsid w:val="001E24C4"/>
    <w:rsid w:val="001E26D0"/>
    <w:rsid w:val="001E2CF5"/>
    <w:rsid w:val="001E336E"/>
    <w:rsid w:val="001E33CC"/>
    <w:rsid w:val="001E38E3"/>
    <w:rsid w:val="001E3C89"/>
    <w:rsid w:val="001E499F"/>
    <w:rsid w:val="001E50C0"/>
    <w:rsid w:val="001E519C"/>
    <w:rsid w:val="001E534C"/>
    <w:rsid w:val="001E6899"/>
    <w:rsid w:val="001E69B3"/>
    <w:rsid w:val="001E6D7E"/>
    <w:rsid w:val="001E6FAD"/>
    <w:rsid w:val="001E7C01"/>
    <w:rsid w:val="001E7C59"/>
    <w:rsid w:val="001E7D7F"/>
    <w:rsid w:val="001F0A98"/>
    <w:rsid w:val="001F106A"/>
    <w:rsid w:val="001F1262"/>
    <w:rsid w:val="001F1CF9"/>
    <w:rsid w:val="001F208A"/>
    <w:rsid w:val="001F20B6"/>
    <w:rsid w:val="001F2383"/>
    <w:rsid w:val="001F2426"/>
    <w:rsid w:val="001F25D3"/>
    <w:rsid w:val="001F311E"/>
    <w:rsid w:val="001F357F"/>
    <w:rsid w:val="001F3837"/>
    <w:rsid w:val="001F3861"/>
    <w:rsid w:val="001F432D"/>
    <w:rsid w:val="001F4FA9"/>
    <w:rsid w:val="001F57CB"/>
    <w:rsid w:val="001F5CB3"/>
    <w:rsid w:val="001F63B9"/>
    <w:rsid w:val="001F6A0F"/>
    <w:rsid w:val="001F6C83"/>
    <w:rsid w:val="001F706D"/>
    <w:rsid w:val="001F72C4"/>
    <w:rsid w:val="001F793C"/>
    <w:rsid w:val="002000B6"/>
    <w:rsid w:val="00200226"/>
    <w:rsid w:val="002004E4"/>
    <w:rsid w:val="00200E75"/>
    <w:rsid w:val="0020121F"/>
    <w:rsid w:val="002018CE"/>
    <w:rsid w:val="00201A55"/>
    <w:rsid w:val="00201C17"/>
    <w:rsid w:val="00201FB7"/>
    <w:rsid w:val="00202340"/>
    <w:rsid w:val="002025EF"/>
    <w:rsid w:val="0020289B"/>
    <w:rsid w:val="00202FF2"/>
    <w:rsid w:val="002038D3"/>
    <w:rsid w:val="00203C63"/>
    <w:rsid w:val="00205F7D"/>
    <w:rsid w:val="00206229"/>
    <w:rsid w:val="002065AD"/>
    <w:rsid w:val="00206767"/>
    <w:rsid w:val="00206A5F"/>
    <w:rsid w:val="00207A7B"/>
    <w:rsid w:val="00207F3E"/>
    <w:rsid w:val="00210E2C"/>
    <w:rsid w:val="00211322"/>
    <w:rsid w:val="00211D5B"/>
    <w:rsid w:val="00212125"/>
    <w:rsid w:val="00212245"/>
    <w:rsid w:val="00212247"/>
    <w:rsid w:val="002122A5"/>
    <w:rsid w:val="00212525"/>
    <w:rsid w:val="0021257E"/>
    <w:rsid w:val="0021260E"/>
    <w:rsid w:val="002126F0"/>
    <w:rsid w:val="00212A2A"/>
    <w:rsid w:val="002134EA"/>
    <w:rsid w:val="0021399A"/>
    <w:rsid w:val="00213F6E"/>
    <w:rsid w:val="002167AC"/>
    <w:rsid w:val="00216B77"/>
    <w:rsid w:val="00216D6F"/>
    <w:rsid w:val="002171D4"/>
    <w:rsid w:val="002175C5"/>
    <w:rsid w:val="00217C33"/>
    <w:rsid w:val="002203BF"/>
    <w:rsid w:val="002207F0"/>
    <w:rsid w:val="00220923"/>
    <w:rsid w:val="002212EA"/>
    <w:rsid w:val="0022134A"/>
    <w:rsid w:val="00221415"/>
    <w:rsid w:val="0022178B"/>
    <w:rsid w:val="002219CC"/>
    <w:rsid w:val="002223C1"/>
    <w:rsid w:val="002231A9"/>
    <w:rsid w:val="002235CC"/>
    <w:rsid w:val="00224DD3"/>
    <w:rsid w:val="002252B3"/>
    <w:rsid w:val="00225424"/>
    <w:rsid w:val="00225538"/>
    <w:rsid w:val="00225C4C"/>
    <w:rsid w:val="002264D0"/>
    <w:rsid w:val="00226956"/>
    <w:rsid w:val="00226BEE"/>
    <w:rsid w:val="00226E0E"/>
    <w:rsid w:val="0022729D"/>
    <w:rsid w:val="00227B8B"/>
    <w:rsid w:val="00230A5D"/>
    <w:rsid w:val="00230E23"/>
    <w:rsid w:val="0023100C"/>
    <w:rsid w:val="002319C5"/>
    <w:rsid w:val="00232480"/>
    <w:rsid w:val="0023323E"/>
    <w:rsid w:val="002333B0"/>
    <w:rsid w:val="00233607"/>
    <w:rsid w:val="00234382"/>
    <w:rsid w:val="002348F2"/>
    <w:rsid w:val="002351C5"/>
    <w:rsid w:val="00235349"/>
    <w:rsid w:val="00235556"/>
    <w:rsid w:val="00235A21"/>
    <w:rsid w:val="002365E1"/>
    <w:rsid w:val="00236D30"/>
    <w:rsid w:val="00236D9A"/>
    <w:rsid w:val="002371B5"/>
    <w:rsid w:val="002376C9"/>
    <w:rsid w:val="0023786E"/>
    <w:rsid w:val="00237972"/>
    <w:rsid w:val="00237D29"/>
    <w:rsid w:val="00240321"/>
    <w:rsid w:val="00241A16"/>
    <w:rsid w:val="00241ACF"/>
    <w:rsid w:val="00241DDC"/>
    <w:rsid w:val="0024295E"/>
    <w:rsid w:val="00242D63"/>
    <w:rsid w:val="00242F28"/>
    <w:rsid w:val="00243D3B"/>
    <w:rsid w:val="00244CD5"/>
    <w:rsid w:val="00245813"/>
    <w:rsid w:val="00245878"/>
    <w:rsid w:val="002463FE"/>
    <w:rsid w:val="0024665C"/>
    <w:rsid w:val="00250169"/>
    <w:rsid w:val="002504FE"/>
    <w:rsid w:val="00250BE7"/>
    <w:rsid w:val="00251398"/>
    <w:rsid w:val="0025188C"/>
    <w:rsid w:val="00252558"/>
    <w:rsid w:val="0025299A"/>
    <w:rsid w:val="002535A6"/>
    <w:rsid w:val="00254270"/>
    <w:rsid w:val="0025458B"/>
    <w:rsid w:val="00255576"/>
    <w:rsid w:val="00255812"/>
    <w:rsid w:val="00255C3E"/>
    <w:rsid w:val="00256154"/>
    <w:rsid w:val="0025635C"/>
    <w:rsid w:val="0025637B"/>
    <w:rsid w:val="00256958"/>
    <w:rsid w:val="00256C24"/>
    <w:rsid w:val="0025716A"/>
    <w:rsid w:val="002579C7"/>
    <w:rsid w:val="00257AD8"/>
    <w:rsid w:val="0026058A"/>
    <w:rsid w:val="00260F79"/>
    <w:rsid w:val="0026116D"/>
    <w:rsid w:val="002613C0"/>
    <w:rsid w:val="002613DF"/>
    <w:rsid w:val="00261B04"/>
    <w:rsid w:val="00261BF3"/>
    <w:rsid w:val="00261D76"/>
    <w:rsid w:val="00261F6D"/>
    <w:rsid w:val="00262036"/>
    <w:rsid w:val="0026268F"/>
    <w:rsid w:val="00262B38"/>
    <w:rsid w:val="00262B64"/>
    <w:rsid w:val="002630F8"/>
    <w:rsid w:val="00263279"/>
    <w:rsid w:val="002637D0"/>
    <w:rsid w:val="002642DE"/>
    <w:rsid w:val="002644B4"/>
    <w:rsid w:val="00264C0A"/>
    <w:rsid w:val="002651FE"/>
    <w:rsid w:val="00265985"/>
    <w:rsid w:val="00266C59"/>
    <w:rsid w:val="00267401"/>
    <w:rsid w:val="002676F3"/>
    <w:rsid w:val="0026799F"/>
    <w:rsid w:val="00270A14"/>
    <w:rsid w:val="00270B0A"/>
    <w:rsid w:val="00271064"/>
    <w:rsid w:val="002710D9"/>
    <w:rsid w:val="00271188"/>
    <w:rsid w:val="00271611"/>
    <w:rsid w:val="00271A86"/>
    <w:rsid w:val="00272569"/>
    <w:rsid w:val="00273021"/>
    <w:rsid w:val="00273244"/>
    <w:rsid w:val="00273752"/>
    <w:rsid w:val="002738B6"/>
    <w:rsid w:val="00273FBA"/>
    <w:rsid w:val="0027406C"/>
    <w:rsid w:val="0027413D"/>
    <w:rsid w:val="00274958"/>
    <w:rsid w:val="0027496C"/>
    <w:rsid w:val="00274AB2"/>
    <w:rsid w:val="00274D9E"/>
    <w:rsid w:val="00275941"/>
    <w:rsid w:val="002760CD"/>
    <w:rsid w:val="00276F75"/>
    <w:rsid w:val="0028008B"/>
    <w:rsid w:val="002801EB"/>
    <w:rsid w:val="002804B3"/>
    <w:rsid w:val="002808F2"/>
    <w:rsid w:val="00281246"/>
    <w:rsid w:val="002815CE"/>
    <w:rsid w:val="002815CF"/>
    <w:rsid w:val="00281C2D"/>
    <w:rsid w:val="00282D9F"/>
    <w:rsid w:val="00282E94"/>
    <w:rsid w:val="00283367"/>
    <w:rsid w:val="00283511"/>
    <w:rsid w:val="0028425C"/>
    <w:rsid w:val="0028437C"/>
    <w:rsid w:val="002843B5"/>
    <w:rsid w:val="002844C6"/>
    <w:rsid w:val="00284752"/>
    <w:rsid w:val="00284AB7"/>
    <w:rsid w:val="00284CD6"/>
    <w:rsid w:val="002854ED"/>
    <w:rsid w:val="00285A79"/>
    <w:rsid w:val="00285BC4"/>
    <w:rsid w:val="002866EB"/>
    <w:rsid w:val="00286712"/>
    <w:rsid w:val="00287108"/>
    <w:rsid w:val="002879DA"/>
    <w:rsid w:val="00290F1A"/>
    <w:rsid w:val="00291536"/>
    <w:rsid w:val="00293603"/>
    <w:rsid w:val="002940BF"/>
    <w:rsid w:val="00294215"/>
    <w:rsid w:val="0029493C"/>
    <w:rsid w:val="002949EA"/>
    <w:rsid w:val="00294D1F"/>
    <w:rsid w:val="00294E60"/>
    <w:rsid w:val="00295C37"/>
    <w:rsid w:val="00295F83"/>
    <w:rsid w:val="002960A0"/>
    <w:rsid w:val="0029628A"/>
    <w:rsid w:val="0029646E"/>
    <w:rsid w:val="00296587"/>
    <w:rsid w:val="00296B16"/>
    <w:rsid w:val="002A096D"/>
    <w:rsid w:val="002A0DF9"/>
    <w:rsid w:val="002A186D"/>
    <w:rsid w:val="002A194C"/>
    <w:rsid w:val="002A1A8C"/>
    <w:rsid w:val="002A22EB"/>
    <w:rsid w:val="002A2B30"/>
    <w:rsid w:val="002A2E7F"/>
    <w:rsid w:val="002A35C6"/>
    <w:rsid w:val="002A3A34"/>
    <w:rsid w:val="002A4A4F"/>
    <w:rsid w:val="002A4CEB"/>
    <w:rsid w:val="002A50F6"/>
    <w:rsid w:val="002A546C"/>
    <w:rsid w:val="002A560F"/>
    <w:rsid w:val="002A5FDD"/>
    <w:rsid w:val="002A6415"/>
    <w:rsid w:val="002A6C5D"/>
    <w:rsid w:val="002A6CAC"/>
    <w:rsid w:val="002A6F04"/>
    <w:rsid w:val="002A706E"/>
    <w:rsid w:val="002A70AA"/>
    <w:rsid w:val="002A7B00"/>
    <w:rsid w:val="002B0DE5"/>
    <w:rsid w:val="002B0F40"/>
    <w:rsid w:val="002B14C7"/>
    <w:rsid w:val="002B254A"/>
    <w:rsid w:val="002B39E9"/>
    <w:rsid w:val="002B3CD7"/>
    <w:rsid w:val="002B47F2"/>
    <w:rsid w:val="002B4892"/>
    <w:rsid w:val="002B4DAC"/>
    <w:rsid w:val="002B4DC5"/>
    <w:rsid w:val="002B4E60"/>
    <w:rsid w:val="002B4F90"/>
    <w:rsid w:val="002B52DE"/>
    <w:rsid w:val="002B5B6E"/>
    <w:rsid w:val="002B6FB5"/>
    <w:rsid w:val="002B75CB"/>
    <w:rsid w:val="002B795A"/>
    <w:rsid w:val="002B7C05"/>
    <w:rsid w:val="002C0111"/>
    <w:rsid w:val="002C0192"/>
    <w:rsid w:val="002C02B8"/>
    <w:rsid w:val="002C02EA"/>
    <w:rsid w:val="002C0462"/>
    <w:rsid w:val="002C0A83"/>
    <w:rsid w:val="002C0EB0"/>
    <w:rsid w:val="002C18C5"/>
    <w:rsid w:val="002C19EF"/>
    <w:rsid w:val="002C200F"/>
    <w:rsid w:val="002C227F"/>
    <w:rsid w:val="002C2784"/>
    <w:rsid w:val="002C286B"/>
    <w:rsid w:val="002C3D19"/>
    <w:rsid w:val="002C4DBD"/>
    <w:rsid w:val="002C6085"/>
    <w:rsid w:val="002C657C"/>
    <w:rsid w:val="002C6D76"/>
    <w:rsid w:val="002C7066"/>
    <w:rsid w:val="002C712A"/>
    <w:rsid w:val="002C72E8"/>
    <w:rsid w:val="002D0150"/>
    <w:rsid w:val="002D0D77"/>
    <w:rsid w:val="002D1362"/>
    <w:rsid w:val="002D23E9"/>
    <w:rsid w:val="002D2885"/>
    <w:rsid w:val="002D375C"/>
    <w:rsid w:val="002D3B06"/>
    <w:rsid w:val="002D3C90"/>
    <w:rsid w:val="002D3DB0"/>
    <w:rsid w:val="002D3F18"/>
    <w:rsid w:val="002D4453"/>
    <w:rsid w:val="002D44E8"/>
    <w:rsid w:val="002D47FF"/>
    <w:rsid w:val="002D492F"/>
    <w:rsid w:val="002D4D8B"/>
    <w:rsid w:val="002D4FF2"/>
    <w:rsid w:val="002D561C"/>
    <w:rsid w:val="002D6348"/>
    <w:rsid w:val="002D67B1"/>
    <w:rsid w:val="002D6B4C"/>
    <w:rsid w:val="002D6F15"/>
    <w:rsid w:val="002E0167"/>
    <w:rsid w:val="002E0749"/>
    <w:rsid w:val="002E0885"/>
    <w:rsid w:val="002E095A"/>
    <w:rsid w:val="002E1822"/>
    <w:rsid w:val="002E1B44"/>
    <w:rsid w:val="002E1CCE"/>
    <w:rsid w:val="002E229C"/>
    <w:rsid w:val="002E2DD4"/>
    <w:rsid w:val="002E3112"/>
    <w:rsid w:val="002E32AB"/>
    <w:rsid w:val="002E3DBB"/>
    <w:rsid w:val="002E475E"/>
    <w:rsid w:val="002E4E94"/>
    <w:rsid w:val="002E56C2"/>
    <w:rsid w:val="002E597F"/>
    <w:rsid w:val="002E5C3A"/>
    <w:rsid w:val="002E6274"/>
    <w:rsid w:val="002E6CC3"/>
    <w:rsid w:val="002F00B9"/>
    <w:rsid w:val="002F1073"/>
    <w:rsid w:val="002F27D7"/>
    <w:rsid w:val="002F28CF"/>
    <w:rsid w:val="002F2BA3"/>
    <w:rsid w:val="002F2EE2"/>
    <w:rsid w:val="002F3371"/>
    <w:rsid w:val="002F3562"/>
    <w:rsid w:val="002F39FB"/>
    <w:rsid w:val="002F4871"/>
    <w:rsid w:val="002F4C50"/>
    <w:rsid w:val="002F4DE6"/>
    <w:rsid w:val="002F4E3F"/>
    <w:rsid w:val="002F4E5A"/>
    <w:rsid w:val="002F53C9"/>
    <w:rsid w:val="002F57A9"/>
    <w:rsid w:val="002F5A0E"/>
    <w:rsid w:val="002F5D4E"/>
    <w:rsid w:val="002F6282"/>
    <w:rsid w:val="002F6C19"/>
    <w:rsid w:val="002F7202"/>
    <w:rsid w:val="002F72C8"/>
    <w:rsid w:val="002F7888"/>
    <w:rsid w:val="002F7D73"/>
    <w:rsid w:val="003000DB"/>
    <w:rsid w:val="003002C8"/>
    <w:rsid w:val="003003B5"/>
    <w:rsid w:val="003004EB"/>
    <w:rsid w:val="00301BE4"/>
    <w:rsid w:val="00302EFC"/>
    <w:rsid w:val="0030304B"/>
    <w:rsid w:val="00303364"/>
    <w:rsid w:val="003035DE"/>
    <w:rsid w:val="00303979"/>
    <w:rsid w:val="00304292"/>
    <w:rsid w:val="003044A8"/>
    <w:rsid w:val="00305011"/>
    <w:rsid w:val="0030541B"/>
    <w:rsid w:val="0030549D"/>
    <w:rsid w:val="00305553"/>
    <w:rsid w:val="00305AF9"/>
    <w:rsid w:val="003068A7"/>
    <w:rsid w:val="00306FB8"/>
    <w:rsid w:val="00307213"/>
    <w:rsid w:val="00307444"/>
    <w:rsid w:val="00307DEB"/>
    <w:rsid w:val="00307E3D"/>
    <w:rsid w:val="00307E43"/>
    <w:rsid w:val="0031043B"/>
    <w:rsid w:val="003106B9"/>
    <w:rsid w:val="003110A9"/>
    <w:rsid w:val="00311831"/>
    <w:rsid w:val="0031250F"/>
    <w:rsid w:val="00312B9B"/>
    <w:rsid w:val="00312C70"/>
    <w:rsid w:val="0031354C"/>
    <w:rsid w:val="0031389A"/>
    <w:rsid w:val="00313ED9"/>
    <w:rsid w:val="00314025"/>
    <w:rsid w:val="003148F4"/>
    <w:rsid w:val="003149C6"/>
    <w:rsid w:val="00314AF1"/>
    <w:rsid w:val="00316458"/>
    <w:rsid w:val="00316B4F"/>
    <w:rsid w:val="00316D82"/>
    <w:rsid w:val="00316ED1"/>
    <w:rsid w:val="003172D3"/>
    <w:rsid w:val="00317636"/>
    <w:rsid w:val="003178CA"/>
    <w:rsid w:val="00317B42"/>
    <w:rsid w:val="00317FCA"/>
    <w:rsid w:val="00320BB6"/>
    <w:rsid w:val="00321042"/>
    <w:rsid w:val="003215F3"/>
    <w:rsid w:val="00322639"/>
    <w:rsid w:val="00322869"/>
    <w:rsid w:val="00322BC6"/>
    <w:rsid w:val="00322D61"/>
    <w:rsid w:val="0032353B"/>
    <w:rsid w:val="00323696"/>
    <w:rsid w:val="003236C0"/>
    <w:rsid w:val="003236CB"/>
    <w:rsid w:val="00324448"/>
    <w:rsid w:val="0032560B"/>
    <w:rsid w:val="00325B44"/>
    <w:rsid w:val="003263B6"/>
    <w:rsid w:val="003265A1"/>
    <w:rsid w:val="00326658"/>
    <w:rsid w:val="003268F9"/>
    <w:rsid w:val="00326941"/>
    <w:rsid w:val="00326AE3"/>
    <w:rsid w:val="003279D3"/>
    <w:rsid w:val="00327B6A"/>
    <w:rsid w:val="00330686"/>
    <w:rsid w:val="003309AE"/>
    <w:rsid w:val="00331152"/>
    <w:rsid w:val="003323E2"/>
    <w:rsid w:val="003325A0"/>
    <w:rsid w:val="003327AB"/>
    <w:rsid w:val="00332FB0"/>
    <w:rsid w:val="00333738"/>
    <w:rsid w:val="00333861"/>
    <w:rsid w:val="00333EE7"/>
    <w:rsid w:val="00334244"/>
    <w:rsid w:val="00334261"/>
    <w:rsid w:val="003343A8"/>
    <w:rsid w:val="00334465"/>
    <w:rsid w:val="00335061"/>
    <w:rsid w:val="00335FAC"/>
    <w:rsid w:val="0033619A"/>
    <w:rsid w:val="003362DC"/>
    <w:rsid w:val="003365CF"/>
    <w:rsid w:val="00336FC6"/>
    <w:rsid w:val="00337124"/>
    <w:rsid w:val="00337170"/>
    <w:rsid w:val="00337731"/>
    <w:rsid w:val="00337B29"/>
    <w:rsid w:val="00337EBF"/>
    <w:rsid w:val="00337F7C"/>
    <w:rsid w:val="003405D1"/>
    <w:rsid w:val="003406A1"/>
    <w:rsid w:val="00340899"/>
    <w:rsid w:val="003409C9"/>
    <w:rsid w:val="00340AD7"/>
    <w:rsid w:val="00340CE1"/>
    <w:rsid w:val="00341067"/>
    <w:rsid w:val="00341172"/>
    <w:rsid w:val="003417FC"/>
    <w:rsid w:val="0034189E"/>
    <w:rsid w:val="00342422"/>
    <w:rsid w:val="00342943"/>
    <w:rsid w:val="00342F44"/>
    <w:rsid w:val="00344096"/>
    <w:rsid w:val="0034418E"/>
    <w:rsid w:val="0034424B"/>
    <w:rsid w:val="003443D2"/>
    <w:rsid w:val="00344484"/>
    <w:rsid w:val="00344554"/>
    <w:rsid w:val="00344E53"/>
    <w:rsid w:val="00345633"/>
    <w:rsid w:val="003464D2"/>
    <w:rsid w:val="0034687D"/>
    <w:rsid w:val="00346D81"/>
    <w:rsid w:val="00347387"/>
    <w:rsid w:val="00347926"/>
    <w:rsid w:val="00347ABE"/>
    <w:rsid w:val="00347BC7"/>
    <w:rsid w:val="003500A7"/>
    <w:rsid w:val="003500FE"/>
    <w:rsid w:val="003502F0"/>
    <w:rsid w:val="003503E5"/>
    <w:rsid w:val="003504E2"/>
    <w:rsid w:val="00350A70"/>
    <w:rsid w:val="00350C54"/>
    <w:rsid w:val="003516EA"/>
    <w:rsid w:val="003521D3"/>
    <w:rsid w:val="00352514"/>
    <w:rsid w:val="003525EF"/>
    <w:rsid w:val="00352785"/>
    <w:rsid w:val="003528F6"/>
    <w:rsid w:val="00352C42"/>
    <w:rsid w:val="00353EC4"/>
    <w:rsid w:val="003543ED"/>
    <w:rsid w:val="00354768"/>
    <w:rsid w:val="00354CC6"/>
    <w:rsid w:val="00355421"/>
    <w:rsid w:val="003557D8"/>
    <w:rsid w:val="00355BD5"/>
    <w:rsid w:val="00355CE6"/>
    <w:rsid w:val="00355D22"/>
    <w:rsid w:val="00355D3A"/>
    <w:rsid w:val="00355D41"/>
    <w:rsid w:val="00355DD7"/>
    <w:rsid w:val="00355EE8"/>
    <w:rsid w:val="00355F92"/>
    <w:rsid w:val="003567B9"/>
    <w:rsid w:val="00360195"/>
    <w:rsid w:val="00360213"/>
    <w:rsid w:val="0036034A"/>
    <w:rsid w:val="003606B8"/>
    <w:rsid w:val="00360A2A"/>
    <w:rsid w:val="00360AE8"/>
    <w:rsid w:val="00360B6E"/>
    <w:rsid w:val="00361141"/>
    <w:rsid w:val="00361898"/>
    <w:rsid w:val="00361B54"/>
    <w:rsid w:val="003622C2"/>
    <w:rsid w:val="00363244"/>
    <w:rsid w:val="00363821"/>
    <w:rsid w:val="00363F55"/>
    <w:rsid w:val="003643C7"/>
    <w:rsid w:val="00364534"/>
    <w:rsid w:val="003648A5"/>
    <w:rsid w:val="00364963"/>
    <w:rsid w:val="00364BCA"/>
    <w:rsid w:val="00364BE5"/>
    <w:rsid w:val="00364C7D"/>
    <w:rsid w:val="00364CA7"/>
    <w:rsid w:val="00364DF5"/>
    <w:rsid w:val="003667F9"/>
    <w:rsid w:val="00366850"/>
    <w:rsid w:val="0036699A"/>
    <w:rsid w:val="00366A0E"/>
    <w:rsid w:val="00366D9C"/>
    <w:rsid w:val="00366DFF"/>
    <w:rsid w:val="00366F08"/>
    <w:rsid w:val="00367192"/>
    <w:rsid w:val="00367AAC"/>
    <w:rsid w:val="00370C49"/>
    <w:rsid w:val="00370D7A"/>
    <w:rsid w:val="003718DB"/>
    <w:rsid w:val="00371E43"/>
    <w:rsid w:val="003721C0"/>
    <w:rsid w:val="0037235E"/>
    <w:rsid w:val="00372A8A"/>
    <w:rsid w:val="00373383"/>
    <w:rsid w:val="00373E25"/>
    <w:rsid w:val="003743A9"/>
    <w:rsid w:val="00374534"/>
    <w:rsid w:val="00374A4B"/>
    <w:rsid w:val="00374A9E"/>
    <w:rsid w:val="00375030"/>
    <w:rsid w:val="003755CB"/>
    <w:rsid w:val="00375699"/>
    <w:rsid w:val="00375DDB"/>
    <w:rsid w:val="00375F92"/>
    <w:rsid w:val="003768F3"/>
    <w:rsid w:val="00376F4D"/>
    <w:rsid w:val="00377224"/>
    <w:rsid w:val="003772E6"/>
    <w:rsid w:val="003775B7"/>
    <w:rsid w:val="0037799C"/>
    <w:rsid w:val="0038092E"/>
    <w:rsid w:val="00380BD8"/>
    <w:rsid w:val="00380C02"/>
    <w:rsid w:val="003819E3"/>
    <w:rsid w:val="00381D16"/>
    <w:rsid w:val="00381FF9"/>
    <w:rsid w:val="00382A56"/>
    <w:rsid w:val="00383E4A"/>
    <w:rsid w:val="0038453C"/>
    <w:rsid w:val="00384836"/>
    <w:rsid w:val="00384E6A"/>
    <w:rsid w:val="00385167"/>
    <w:rsid w:val="00385499"/>
    <w:rsid w:val="003854AF"/>
    <w:rsid w:val="00385D86"/>
    <w:rsid w:val="00385DCD"/>
    <w:rsid w:val="00386D5B"/>
    <w:rsid w:val="00386D84"/>
    <w:rsid w:val="00386EBD"/>
    <w:rsid w:val="00387030"/>
    <w:rsid w:val="00387801"/>
    <w:rsid w:val="0038787C"/>
    <w:rsid w:val="0038795F"/>
    <w:rsid w:val="00387F5F"/>
    <w:rsid w:val="00390C52"/>
    <w:rsid w:val="00390EE1"/>
    <w:rsid w:val="003918BE"/>
    <w:rsid w:val="003922C6"/>
    <w:rsid w:val="00393BD6"/>
    <w:rsid w:val="00396114"/>
    <w:rsid w:val="003965A5"/>
    <w:rsid w:val="00397A91"/>
    <w:rsid w:val="003A04FE"/>
    <w:rsid w:val="003A0528"/>
    <w:rsid w:val="003A0F85"/>
    <w:rsid w:val="003A1AAD"/>
    <w:rsid w:val="003A2005"/>
    <w:rsid w:val="003A20A6"/>
    <w:rsid w:val="003A2DF1"/>
    <w:rsid w:val="003A35CB"/>
    <w:rsid w:val="003A3725"/>
    <w:rsid w:val="003A3801"/>
    <w:rsid w:val="003A410A"/>
    <w:rsid w:val="003A4736"/>
    <w:rsid w:val="003A4A3A"/>
    <w:rsid w:val="003A4A81"/>
    <w:rsid w:val="003A4D68"/>
    <w:rsid w:val="003A4DA9"/>
    <w:rsid w:val="003A5541"/>
    <w:rsid w:val="003A638D"/>
    <w:rsid w:val="003A6431"/>
    <w:rsid w:val="003A70D7"/>
    <w:rsid w:val="003A7B3B"/>
    <w:rsid w:val="003A7CCD"/>
    <w:rsid w:val="003A7F30"/>
    <w:rsid w:val="003A7F49"/>
    <w:rsid w:val="003B058B"/>
    <w:rsid w:val="003B066E"/>
    <w:rsid w:val="003B10DB"/>
    <w:rsid w:val="003B1AD1"/>
    <w:rsid w:val="003B1B32"/>
    <w:rsid w:val="003B22AB"/>
    <w:rsid w:val="003B26D8"/>
    <w:rsid w:val="003B28C0"/>
    <w:rsid w:val="003B2935"/>
    <w:rsid w:val="003B29F5"/>
    <w:rsid w:val="003B2C75"/>
    <w:rsid w:val="003B3C25"/>
    <w:rsid w:val="003B4011"/>
    <w:rsid w:val="003B404F"/>
    <w:rsid w:val="003B42CC"/>
    <w:rsid w:val="003B549E"/>
    <w:rsid w:val="003B5654"/>
    <w:rsid w:val="003B5C7E"/>
    <w:rsid w:val="003B624A"/>
    <w:rsid w:val="003B6814"/>
    <w:rsid w:val="003B6BCB"/>
    <w:rsid w:val="003B7A53"/>
    <w:rsid w:val="003C16EE"/>
    <w:rsid w:val="003C220B"/>
    <w:rsid w:val="003C2636"/>
    <w:rsid w:val="003C274E"/>
    <w:rsid w:val="003C2817"/>
    <w:rsid w:val="003C2959"/>
    <w:rsid w:val="003C34C2"/>
    <w:rsid w:val="003C3E9D"/>
    <w:rsid w:val="003C452F"/>
    <w:rsid w:val="003C4A6D"/>
    <w:rsid w:val="003C540E"/>
    <w:rsid w:val="003C544F"/>
    <w:rsid w:val="003C612C"/>
    <w:rsid w:val="003C6B1C"/>
    <w:rsid w:val="003C6C90"/>
    <w:rsid w:val="003C6D1A"/>
    <w:rsid w:val="003C6F02"/>
    <w:rsid w:val="003C707C"/>
    <w:rsid w:val="003D0240"/>
    <w:rsid w:val="003D0288"/>
    <w:rsid w:val="003D02BE"/>
    <w:rsid w:val="003D0781"/>
    <w:rsid w:val="003D137F"/>
    <w:rsid w:val="003D13D7"/>
    <w:rsid w:val="003D1513"/>
    <w:rsid w:val="003D1B15"/>
    <w:rsid w:val="003D2E1F"/>
    <w:rsid w:val="003D348B"/>
    <w:rsid w:val="003D34F0"/>
    <w:rsid w:val="003D3649"/>
    <w:rsid w:val="003D39C9"/>
    <w:rsid w:val="003D3D7F"/>
    <w:rsid w:val="003D3EEF"/>
    <w:rsid w:val="003D40B2"/>
    <w:rsid w:val="003D40E1"/>
    <w:rsid w:val="003D4B16"/>
    <w:rsid w:val="003D58C2"/>
    <w:rsid w:val="003D591C"/>
    <w:rsid w:val="003D598A"/>
    <w:rsid w:val="003D6DEB"/>
    <w:rsid w:val="003E0A46"/>
    <w:rsid w:val="003E1C5E"/>
    <w:rsid w:val="003E2446"/>
    <w:rsid w:val="003E24C6"/>
    <w:rsid w:val="003E311A"/>
    <w:rsid w:val="003E314E"/>
    <w:rsid w:val="003E3B4A"/>
    <w:rsid w:val="003E400C"/>
    <w:rsid w:val="003E506C"/>
    <w:rsid w:val="003E52B1"/>
    <w:rsid w:val="003E52CE"/>
    <w:rsid w:val="003E52F7"/>
    <w:rsid w:val="003E5845"/>
    <w:rsid w:val="003E5EA9"/>
    <w:rsid w:val="003E712A"/>
    <w:rsid w:val="003E756B"/>
    <w:rsid w:val="003E76C1"/>
    <w:rsid w:val="003F0008"/>
    <w:rsid w:val="003F060F"/>
    <w:rsid w:val="003F0A85"/>
    <w:rsid w:val="003F0BE4"/>
    <w:rsid w:val="003F0ED4"/>
    <w:rsid w:val="003F1434"/>
    <w:rsid w:val="003F291D"/>
    <w:rsid w:val="003F2F68"/>
    <w:rsid w:val="003F351D"/>
    <w:rsid w:val="003F372B"/>
    <w:rsid w:val="003F46ED"/>
    <w:rsid w:val="003F4E0F"/>
    <w:rsid w:val="003F6B75"/>
    <w:rsid w:val="003F6C6C"/>
    <w:rsid w:val="003F7AA8"/>
    <w:rsid w:val="00400A56"/>
    <w:rsid w:val="00400AAC"/>
    <w:rsid w:val="00400CED"/>
    <w:rsid w:val="00402148"/>
    <w:rsid w:val="00402701"/>
    <w:rsid w:val="00402949"/>
    <w:rsid w:val="00402A2A"/>
    <w:rsid w:val="00402AF4"/>
    <w:rsid w:val="0040358D"/>
    <w:rsid w:val="0040373D"/>
    <w:rsid w:val="00403CE9"/>
    <w:rsid w:val="00403D48"/>
    <w:rsid w:val="00403F4B"/>
    <w:rsid w:val="00404234"/>
    <w:rsid w:val="00404908"/>
    <w:rsid w:val="0040495C"/>
    <w:rsid w:val="00405861"/>
    <w:rsid w:val="004058B2"/>
    <w:rsid w:val="00405E09"/>
    <w:rsid w:val="004065C5"/>
    <w:rsid w:val="00406C6E"/>
    <w:rsid w:val="00406DC8"/>
    <w:rsid w:val="0040726D"/>
    <w:rsid w:val="0040784C"/>
    <w:rsid w:val="00407F67"/>
    <w:rsid w:val="0041007F"/>
    <w:rsid w:val="00410502"/>
    <w:rsid w:val="004111FB"/>
    <w:rsid w:val="00411598"/>
    <w:rsid w:val="00411706"/>
    <w:rsid w:val="00412293"/>
    <w:rsid w:val="0041243C"/>
    <w:rsid w:val="00413205"/>
    <w:rsid w:val="004140E9"/>
    <w:rsid w:val="004145C0"/>
    <w:rsid w:val="004149A8"/>
    <w:rsid w:val="00414B1F"/>
    <w:rsid w:val="00414D45"/>
    <w:rsid w:val="004153E8"/>
    <w:rsid w:val="0041558D"/>
    <w:rsid w:val="00415DCA"/>
    <w:rsid w:val="00420275"/>
    <w:rsid w:val="0042091A"/>
    <w:rsid w:val="00420B09"/>
    <w:rsid w:val="00421CAA"/>
    <w:rsid w:val="0042220C"/>
    <w:rsid w:val="004223C6"/>
    <w:rsid w:val="004226BE"/>
    <w:rsid w:val="004226E6"/>
    <w:rsid w:val="00422BEF"/>
    <w:rsid w:val="00422E51"/>
    <w:rsid w:val="0042347B"/>
    <w:rsid w:val="00423577"/>
    <w:rsid w:val="00424750"/>
    <w:rsid w:val="00424820"/>
    <w:rsid w:val="00424E41"/>
    <w:rsid w:val="00425905"/>
    <w:rsid w:val="004259FA"/>
    <w:rsid w:val="004270BB"/>
    <w:rsid w:val="004273E4"/>
    <w:rsid w:val="004275A0"/>
    <w:rsid w:val="004276C2"/>
    <w:rsid w:val="0042798B"/>
    <w:rsid w:val="004302DD"/>
    <w:rsid w:val="00430539"/>
    <w:rsid w:val="004306E4"/>
    <w:rsid w:val="00430C86"/>
    <w:rsid w:val="00430DED"/>
    <w:rsid w:val="004310BB"/>
    <w:rsid w:val="0043175E"/>
    <w:rsid w:val="0043299A"/>
    <w:rsid w:val="0043451C"/>
    <w:rsid w:val="00434605"/>
    <w:rsid w:val="00434A77"/>
    <w:rsid w:val="00434CF6"/>
    <w:rsid w:val="0043514E"/>
    <w:rsid w:val="00435583"/>
    <w:rsid w:val="00435605"/>
    <w:rsid w:val="004358A1"/>
    <w:rsid w:val="00435DAC"/>
    <w:rsid w:val="00435DF3"/>
    <w:rsid w:val="00436066"/>
    <w:rsid w:val="00436FE6"/>
    <w:rsid w:val="004372E1"/>
    <w:rsid w:val="00437444"/>
    <w:rsid w:val="004377CC"/>
    <w:rsid w:val="00437CF8"/>
    <w:rsid w:val="00437EDB"/>
    <w:rsid w:val="00437F41"/>
    <w:rsid w:val="0044115A"/>
    <w:rsid w:val="004412CE"/>
    <w:rsid w:val="00441EA7"/>
    <w:rsid w:val="00442FBE"/>
    <w:rsid w:val="00443053"/>
    <w:rsid w:val="0044310F"/>
    <w:rsid w:val="004434DA"/>
    <w:rsid w:val="00443D99"/>
    <w:rsid w:val="004440C1"/>
    <w:rsid w:val="004444DB"/>
    <w:rsid w:val="00444772"/>
    <w:rsid w:val="0044493B"/>
    <w:rsid w:val="00445322"/>
    <w:rsid w:val="004453EB"/>
    <w:rsid w:val="0044571E"/>
    <w:rsid w:val="0044578E"/>
    <w:rsid w:val="00445A1A"/>
    <w:rsid w:val="004467A2"/>
    <w:rsid w:val="00446C8F"/>
    <w:rsid w:val="00447246"/>
    <w:rsid w:val="00447767"/>
    <w:rsid w:val="004479CB"/>
    <w:rsid w:val="00450D1D"/>
    <w:rsid w:val="00450EFD"/>
    <w:rsid w:val="00451075"/>
    <w:rsid w:val="004517C7"/>
    <w:rsid w:val="00452387"/>
    <w:rsid w:val="004534E5"/>
    <w:rsid w:val="004540A2"/>
    <w:rsid w:val="004545DE"/>
    <w:rsid w:val="0045481A"/>
    <w:rsid w:val="00454A81"/>
    <w:rsid w:val="00454D7B"/>
    <w:rsid w:val="00454FDE"/>
    <w:rsid w:val="004552D5"/>
    <w:rsid w:val="0045536B"/>
    <w:rsid w:val="00455476"/>
    <w:rsid w:val="004559C0"/>
    <w:rsid w:val="004561E3"/>
    <w:rsid w:val="00456217"/>
    <w:rsid w:val="004564C2"/>
    <w:rsid w:val="00456629"/>
    <w:rsid w:val="004569D5"/>
    <w:rsid w:val="0046142D"/>
    <w:rsid w:val="0046149A"/>
    <w:rsid w:val="00461749"/>
    <w:rsid w:val="00462088"/>
    <w:rsid w:val="004620F5"/>
    <w:rsid w:val="0046229E"/>
    <w:rsid w:val="00462673"/>
    <w:rsid w:val="004628B1"/>
    <w:rsid w:val="00462DB7"/>
    <w:rsid w:val="00462E2A"/>
    <w:rsid w:val="00462FD9"/>
    <w:rsid w:val="00463544"/>
    <w:rsid w:val="00463608"/>
    <w:rsid w:val="00463C9F"/>
    <w:rsid w:val="00463E92"/>
    <w:rsid w:val="004644A6"/>
    <w:rsid w:val="00464534"/>
    <w:rsid w:val="0046454E"/>
    <w:rsid w:val="00464AE2"/>
    <w:rsid w:val="0046543B"/>
    <w:rsid w:val="004654EB"/>
    <w:rsid w:val="004657C5"/>
    <w:rsid w:val="0046763A"/>
    <w:rsid w:val="0046787A"/>
    <w:rsid w:val="00467C95"/>
    <w:rsid w:val="00470151"/>
    <w:rsid w:val="004702CC"/>
    <w:rsid w:val="00470A6C"/>
    <w:rsid w:val="00470EDB"/>
    <w:rsid w:val="00471017"/>
    <w:rsid w:val="004712B8"/>
    <w:rsid w:val="00471C9B"/>
    <w:rsid w:val="0047274D"/>
    <w:rsid w:val="00472883"/>
    <w:rsid w:val="00472B0A"/>
    <w:rsid w:val="004730A8"/>
    <w:rsid w:val="00473600"/>
    <w:rsid w:val="00473839"/>
    <w:rsid w:val="00473A09"/>
    <w:rsid w:val="00473F9A"/>
    <w:rsid w:val="00474892"/>
    <w:rsid w:val="00474C0E"/>
    <w:rsid w:val="00475082"/>
    <w:rsid w:val="00477424"/>
    <w:rsid w:val="00477C70"/>
    <w:rsid w:val="00477D15"/>
    <w:rsid w:val="004808E5"/>
    <w:rsid w:val="0048102C"/>
    <w:rsid w:val="00481255"/>
    <w:rsid w:val="00481A76"/>
    <w:rsid w:val="00482453"/>
    <w:rsid w:val="00482553"/>
    <w:rsid w:val="0048342D"/>
    <w:rsid w:val="00483BCA"/>
    <w:rsid w:val="00483CA3"/>
    <w:rsid w:val="00483F2E"/>
    <w:rsid w:val="00483FD6"/>
    <w:rsid w:val="00483FF8"/>
    <w:rsid w:val="00484145"/>
    <w:rsid w:val="00484C4B"/>
    <w:rsid w:val="00485105"/>
    <w:rsid w:val="0048527D"/>
    <w:rsid w:val="004853C4"/>
    <w:rsid w:val="004857E0"/>
    <w:rsid w:val="004860B6"/>
    <w:rsid w:val="004862A1"/>
    <w:rsid w:val="00486AB0"/>
    <w:rsid w:val="00486C82"/>
    <w:rsid w:val="00486D7D"/>
    <w:rsid w:val="00486F98"/>
    <w:rsid w:val="00487037"/>
    <w:rsid w:val="004870D6"/>
    <w:rsid w:val="0048729D"/>
    <w:rsid w:val="00487666"/>
    <w:rsid w:val="004876CF"/>
    <w:rsid w:val="004902C7"/>
    <w:rsid w:val="004904E1"/>
    <w:rsid w:val="00490586"/>
    <w:rsid w:val="0049224B"/>
    <w:rsid w:val="0049257A"/>
    <w:rsid w:val="004925E6"/>
    <w:rsid w:val="00492D84"/>
    <w:rsid w:val="00493B9B"/>
    <w:rsid w:val="0049452D"/>
    <w:rsid w:val="00495227"/>
    <w:rsid w:val="0049553B"/>
    <w:rsid w:val="00495B98"/>
    <w:rsid w:val="00495FB8"/>
    <w:rsid w:val="00496A29"/>
    <w:rsid w:val="00496B0D"/>
    <w:rsid w:val="00496BB0"/>
    <w:rsid w:val="00496F31"/>
    <w:rsid w:val="0049739B"/>
    <w:rsid w:val="00497F01"/>
    <w:rsid w:val="004A0032"/>
    <w:rsid w:val="004A04F2"/>
    <w:rsid w:val="004A0908"/>
    <w:rsid w:val="004A0D3E"/>
    <w:rsid w:val="004A140B"/>
    <w:rsid w:val="004A179E"/>
    <w:rsid w:val="004A18B5"/>
    <w:rsid w:val="004A1A90"/>
    <w:rsid w:val="004A1F25"/>
    <w:rsid w:val="004A219D"/>
    <w:rsid w:val="004A23A7"/>
    <w:rsid w:val="004A2933"/>
    <w:rsid w:val="004A2A2B"/>
    <w:rsid w:val="004A2C23"/>
    <w:rsid w:val="004A2D70"/>
    <w:rsid w:val="004A3CA8"/>
    <w:rsid w:val="004A4053"/>
    <w:rsid w:val="004A4692"/>
    <w:rsid w:val="004A4B24"/>
    <w:rsid w:val="004A5963"/>
    <w:rsid w:val="004A5B09"/>
    <w:rsid w:val="004A5BCF"/>
    <w:rsid w:val="004A5CB6"/>
    <w:rsid w:val="004A5E1A"/>
    <w:rsid w:val="004A61A7"/>
    <w:rsid w:val="004A67BE"/>
    <w:rsid w:val="004B0F83"/>
    <w:rsid w:val="004B11D2"/>
    <w:rsid w:val="004B1C94"/>
    <w:rsid w:val="004B27DB"/>
    <w:rsid w:val="004B2FEC"/>
    <w:rsid w:val="004B30D0"/>
    <w:rsid w:val="004B329E"/>
    <w:rsid w:val="004B34D4"/>
    <w:rsid w:val="004B4238"/>
    <w:rsid w:val="004B5184"/>
    <w:rsid w:val="004B5540"/>
    <w:rsid w:val="004B58E8"/>
    <w:rsid w:val="004B5B10"/>
    <w:rsid w:val="004B67D0"/>
    <w:rsid w:val="004B6B6E"/>
    <w:rsid w:val="004B77D1"/>
    <w:rsid w:val="004B7C89"/>
    <w:rsid w:val="004C03A3"/>
    <w:rsid w:val="004C03BE"/>
    <w:rsid w:val="004C0606"/>
    <w:rsid w:val="004C0806"/>
    <w:rsid w:val="004C0C74"/>
    <w:rsid w:val="004C114B"/>
    <w:rsid w:val="004C13CF"/>
    <w:rsid w:val="004C178C"/>
    <w:rsid w:val="004C185B"/>
    <w:rsid w:val="004C1B39"/>
    <w:rsid w:val="004C253B"/>
    <w:rsid w:val="004C27B4"/>
    <w:rsid w:val="004C29C7"/>
    <w:rsid w:val="004C2E1C"/>
    <w:rsid w:val="004C3383"/>
    <w:rsid w:val="004C3390"/>
    <w:rsid w:val="004C3700"/>
    <w:rsid w:val="004C3C3F"/>
    <w:rsid w:val="004C3D7D"/>
    <w:rsid w:val="004C448D"/>
    <w:rsid w:val="004C4524"/>
    <w:rsid w:val="004C54DB"/>
    <w:rsid w:val="004C70F3"/>
    <w:rsid w:val="004C71D0"/>
    <w:rsid w:val="004C724D"/>
    <w:rsid w:val="004C75FE"/>
    <w:rsid w:val="004C76F0"/>
    <w:rsid w:val="004C7945"/>
    <w:rsid w:val="004C7C04"/>
    <w:rsid w:val="004C7E4E"/>
    <w:rsid w:val="004D0099"/>
    <w:rsid w:val="004D0161"/>
    <w:rsid w:val="004D035D"/>
    <w:rsid w:val="004D06E3"/>
    <w:rsid w:val="004D0F79"/>
    <w:rsid w:val="004D1169"/>
    <w:rsid w:val="004D21D3"/>
    <w:rsid w:val="004D253A"/>
    <w:rsid w:val="004D2738"/>
    <w:rsid w:val="004D30F1"/>
    <w:rsid w:val="004D36A2"/>
    <w:rsid w:val="004D37F7"/>
    <w:rsid w:val="004D4497"/>
    <w:rsid w:val="004D4858"/>
    <w:rsid w:val="004D4CFA"/>
    <w:rsid w:val="004D4DFA"/>
    <w:rsid w:val="004D4EF6"/>
    <w:rsid w:val="004D4F18"/>
    <w:rsid w:val="004D5EEA"/>
    <w:rsid w:val="004D6CF4"/>
    <w:rsid w:val="004D6FFA"/>
    <w:rsid w:val="004D7042"/>
    <w:rsid w:val="004D7CB2"/>
    <w:rsid w:val="004D7DD2"/>
    <w:rsid w:val="004E069C"/>
    <w:rsid w:val="004E0784"/>
    <w:rsid w:val="004E0A9C"/>
    <w:rsid w:val="004E1CD6"/>
    <w:rsid w:val="004E1F4F"/>
    <w:rsid w:val="004E1FB4"/>
    <w:rsid w:val="004E35EF"/>
    <w:rsid w:val="004E38C0"/>
    <w:rsid w:val="004E3CD3"/>
    <w:rsid w:val="004E4504"/>
    <w:rsid w:val="004E49EF"/>
    <w:rsid w:val="004E4B8D"/>
    <w:rsid w:val="004E4EAA"/>
    <w:rsid w:val="004E50A2"/>
    <w:rsid w:val="004E54B7"/>
    <w:rsid w:val="004E585C"/>
    <w:rsid w:val="004E5C4B"/>
    <w:rsid w:val="004E627B"/>
    <w:rsid w:val="004E640D"/>
    <w:rsid w:val="004E6720"/>
    <w:rsid w:val="004E787F"/>
    <w:rsid w:val="004E7B46"/>
    <w:rsid w:val="004F0A49"/>
    <w:rsid w:val="004F0E62"/>
    <w:rsid w:val="004F113A"/>
    <w:rsid w:val="004F2971"/>
    <w:rsid w:val="004F2DFC"/>
    <w:rsid w:val="004F3639"/>
    <w:rsid w:val="004F39A3"/>
    <w:rsid w:val="004F3AB9"/>
    <w:rsid w:val="004F49B1"/>
    <w:rsid w:val="004F4BF8"/>
    <w:rsid w:val="004F5133"/>
    <w:rsid w:val="004F54D6"/>
    <w:rsid w:val="004F55A5"/>
    <w:rsid w:val="004F59DE"/>
    <w:rsid w:val="004F5DA4"/>
    <w:rsid w:val="004F6056"/>
    <w:rsid w:val="004F6194"/>
    <w:rsid w:val="004F7479"/>
    <w:rsid w:val="004F7646"/>
    <w:rsid w:val="004F7ACE"/>
    <w:rsid w:val="005010C9"/>
    <w:rsid w:val="0050146D"/>
    <w:rsid w:val="005014A9"/>
    <w:rsid w:val="005017FB"/>
    <w:rsid w:val="00501871"/>
    <w:rsid w:val="00501FC0"/>
    <w:rsid w:val="0050211F"/>
    <w:rsid w:val="005021D7"/>
    <w:rsid w:val="00502DE9"/>
    <w:rsid w:val="00503916"/>
    <w:rsid w:val="00503934"/>
    <w:rsid w:val="00504735"/>
    <w:rsid w:val="00504C60"/>
    <w:rsid w:val="00504DDC"/>
    <w:rsid w:val="005058EE"/>
    <w:rsid w:val="00505B83"/>
    <w:rsid w:val="00506365"/>
    <w:rsid w:val="005063BF"/>
    <w:rsid w:val="005063E7"/>
    <w:rsid w:val="0050642F"/>
    <w:rsid w:val="00506AB5"/>
    <w:rsid w:val="00506C04"/>
    <w:rsid w:val="00506C0C"/>
    <w:rsid w:val="00506DDB"/>
    <w:rsid w:val="00507187"/>
    <w:rsid w:val="00507A1E"/>
    <w:rsid w:val="00507D65"/>
    <w:rsid w:val="00510029"/>
    <w:rsid w:val="0051084A"/>
    <w:rsid w:val="00510A43"/>
    <w:rsid w:val="00510E4A"/>
    <w:rsid w:val="0051164B"/>
    <w:rsid w:val="005119D3"/>
    <w:rsid w:val="00511D46"/>
    <w:rsid w:val="00513174"/>
    <w:rsid w:val="005137E5"/>
    <w:rsid w:val="005139A4"/>
    <w:rsid w:val="00513E85"/>
    <w:rsid w:val="00514511"/>
    <w:rsid w:val="00515700"/>
    <w:rsid w:val="00515ACB"/>
    <w:rsid w:val="00515FED"/>
    <w:rsid w:val="005160A8"/>
    <w:rsid w:val="005161ED"/>
    <w:rsid w:val="00516631"/>
    <w:rsid w:val="00516729"/>
    <w:rsid w:val="00516B72"/>
    <w:rsid w:val="005171DA"/>
    <w:rsid w:val="00517844"/>
    <w:rsid w:val="005212C3"/>
    <w:rsid w:val="00521F2D"/>
    <w:rsid w:val="0052238E"/>
    <w:rsid w:val="005225F0"/>
    <w:rsid w:val="00522B60"/>
    <w:rsid w:val="0052387B"/>
    <w:rsid w:val="00523DE0"/>
    <w:rsid w:val="00523F5A"/>
    <w:rsid w:val="00523F5C"/>
    <w:rsid w:val="005244EA"/>
    <w:rsid w:val="0052467D"/>
    <w:rsid w:val="0052481D"/>
    <w:rsid w:val="00524855"/>
    <w:rsid w:val="005252C9"/>
    <w:rsid w:val="0052536E"/>
    <w:rsid w:val="005256B8"/>
    <w:rsid w:val="005259F0"/>
    <w:rsid w:val="00526112"/>
    <w:rsid w:val="0052633A"/>
    <w:rsid w:val="00526FC5"/>
    <w:rsid w:val="005273B1"/>
    <w:rsid w:val="00527FDE"/>
    <w:rsid w:val="00530717"/>
    <w:rsid w:val="00530890"/>
    <w:rsid w:val="00530DD8"/>
    <w:rsid w:val="00530F06"/>
    <w:rsid w:val="00531E9E"/>
    <w:rsid w:val="005321A9"/>
    <w:rsid w:val="005322A1"/>
    <w:rsid w:val="005324BE"/>
    <w:rsid w:val="00532532"/>
    <w:rsid w:val="00533C76"/>
    <w:rsid w:val="005343FC"/>
    <w:rsid w:val="00534525"/>
    <w:rsid w:val="00534A92"/>
    <w:rsid w:val="00534FE2"/>
    <w:rsid w:val="005351F0"/>
    <w:rsid w:val="005354A0"/>
    <w:rsid w:val="005367FC"/>
    <w:rsid w:val="005368D4"/>
    <w:rsid w:val="00536ABB"/>
    <w:rsid w:val="00536CD8"/>
    <w:rsid w:val="00536D32"/>
    <w:rsid w:val="00537645"/>
    <w:rsid w:val="005378AE"/>
    <w:rsid w:val="00537A71"/>
    <w:rsid w:val="00537B12"/>
    <w:rsid w:val="005402E5"/>
    <w:rsid w:val="00540DBD"/>
    <w:rsid w:val="00541213"/>
    <w:rsid w:val="00541795"/>
    <w:rsid w:val="0054179D"/>
    <w:rsid w:val="00542187"/>
    <w:rsid w:val="00542D64"/>
    <w:rsid w:val="005431F2"/>
    <w:rsid w:val="00543448"/>
    <w:rsid w:val="005447AF"/>
    <w:rsid w:val="005448A1"/>
    <w:rsid w:val="00544F17"/>
    <w:rsid w:val="00545EF4"/>
    <w:rsid w:val="00546796"/>
    <w:rsid w:val="00546F49"/>
    <w:rsid w:val="0054751B"/>
    <w:rsid w:val="00547E83"/>
    <w:rsid w:val="005506A2"/>
    <w:rsid w:val="00550E98"/>
    <w:rsid w:val="00550E9B"/>
    <w:rsid w:val="005515D7"/>
    <w:rsid w:val="0055173C"/>
    <w:rsid w:val="00551B19"/>
    <w:rsid w:val="00551BFA"/>
    <w:rsid w:val="00551F1B"/>
    <w:rsid w:val="005520C3"/>
    <w:rsid w:val="005520DA"/>
    <w:rsid w:val="00552429"/>
    <w:rsid w:val="00552DB9"/>
    <w:rsid w:val="00552F7D"/>
    <w:rsid w:val="00552FC2"/>
    <w:rsid w:val="00553029"/>
    <w:rsid w:val="005532A1"/>
    <w:rsid w:val="00553A33"/>
    <w:rsid w:val="00553D6C"/>
    <w:rsid w:val="00553F38"/>
    <w:rsid w:val="00553F7A"/>
    <w:rsid w:val="00553FF5"/>
    <w:rsid w:val="005543EC"/>
    <w:rsid w:val="005544B0"/>
    <w:rsid w:val="005544B3"/>
    <w:rsid w:val="00554C78"/>
    <w:rsid w:val="00555174"/>
    <w:rsid w:val="00555530"/>
    <w:rsid w:val="0055563E"/>
    <w:rsid w:val="005561BF"/>
    <w:rsid w:val="00556429"/>
    <w:rsid w:val="005564E4"/>
    <w:rsid w:val="00556CFC"/>
    <w:rsid w:val="00556DDB"/>
    <w:rsid w:val="00557062"/>
    <w:rsid w:val="005571E5"/>
    <w:rsid w:val="00560081"/>
    <w:rsid w:val="005609F1"/>
    <w:rsid w:val="00560CB6"/>
    <w:rsid w:val="00560CB9"/>
    <w:rsid w:val="0056127A"/>
    <w:rsid w:val="00561E8B"/>
    <w:rsid w:val="00562871"/>
    <w:rsid w:val="00562E15"/>
    <w:rsid w:val="0056386D"/>
    <w:rsid w:val="005638F2"/>
    <w:rsid w:val="00563DBB"/>
    <w:rsid w:val="00563E94"/>
    <w:rsid w:val="005642BA"/>
    <w:rsid w:val="00564A11"/>
    <w:rsid w:val="005651A0"/>
    <w:rsid w:val="0056522C"/>
    <w:rsid w:val="00565C61"/>
    <w:rsid w:val="00566B0B"/>
    <w:rsid w:val="00570853"/>
    <w:rsid w:val="005714AF"/>
    <w:rsid w:val="00572491"/>
    <w:rsid w:val="005727D1"/>
    <w:rsid w:val="00572B10"/>
    <w:rsid w:val="00572CBD"/>
    <w:rsid w:val="00572EA3"/>
    <w:rsid w:val="00573248"/>
    <w:rsid w:val="0057366F"/>
    <w:rsid w:val="0057571D"/>
    <w:rsid w:val="0057607B"/>
    <w:rsid w:val="0057608A"/>
    <w:rsid w:val="005764C3"/>
    <w:rsid w:val="005766F7"/>
    <w:rsid w:val="005768D2"/>
    <w:rsid w:val="00576B7E"/>
    <w:rsid w:val="00577DBE"/>
    <w:rsid w:val="005800DA"/>
    <w:rsid w:val="00580689"/>
    <w:rsid w:val="00580943"/>
    <w:rsid w:val="00580DA8"/>
    <w:rsid w:val="0058121B"/>
    <w:rsid w:val="005816E7"/>
    <w:rsid w:val="00581AB5"/>
    <w:rsid w:val="00581C02"/>
    <w:rsid w:val="00581F09"/>
    <w:rsid w:val="00582172"/>
    <w:rsid w:val="00582870"/>
    <w:rsid w:val="00582A46"/>
    <w:rsid w:val="00584593"/>
    <w:rsid w:val="005848F5"/>
    <w:rsid w:val="005877AD"/>
    <w:rsid w:val="00590B18"/>
    <w:rsid w:val="0059131F"/>
    <w:rsid w:val="00591954"/>
    <w:rsid w:val="00591A61"/>
    <w:rsid w:val="00591B56"/>
    <w:rsid w:val="00592126"/>
    <w:rsid w:val="00592505"/>
    <w:rsid w:val="00592A6F"/>
    <w:rsid w:val="0059355A"/>
    <w:rsid w:val="005935BE"/>
    <w:rsid w:val="00594393"/>
    <w:rsid w:val="005943B9"/>
    <w:rsid w:val="005943E8"/>
    <w:rsid w:val="00594669"/>
    <w:rsid w:val="00594E4D"/>
    <w:rsid w:val="0059535D"/>
    <w:rsid w:val="0059592E"/>
    <w:rsid w:val="00595A05"/>
    <w:rsid w:val="00595B39"/>
    <w:rsid w:val="0059750E"/>
    <w:rsid w:val="005977E1"/>
    <w:rsid w:val="005A0D0C"/>
    <w:rsid w:val="005A12DF"/>
    <w:rsid w:val="005A3129"/>
    <w:rsid w:val="005A3135"/>
    <w:rsid w:val="005A35F5"/>
    <w:rsid w:val="005A3821"/>
    <w:rsid w:val="005A3B75"/>
    <w:rsid w:val="005A3BFC"/>
    <w:rsid w:val="005A3CA8"/>
    <w:rsid w:val="005A3D79"/>
    <w:rsid w:val="005A4028"/>
    <w:rsid w:val="005A41CB"/>
    <w:rsid w:val="005A4917"/>
    <w:rsid w:val="005A523B"/>
    <w:rsid w:val="005A55D9"/>
    <w:rsid w:val="005A6EB5"/>
    <w:rsid w:val="005A6F6D"/>
    <w:rsid w:val="005A7044"/>
    <w:rsid w:val="005A71CA"/>
    <w:rsid w:val="005A71CB"/>
    <w:rsid w:val="005A737D"/>
    <w:rsid w:val="005A73AD"/>
    <w:rsid w:val="005A7738"/>
    <w:rsid w:val="005B0060"/>
    <w:rsid w:val="005B02EC"/>
    <w:rsid w:val="005B078E"/>
    <w:rsid w:val="005B097E"/>
    <w:rsid w:val="005B09AD"/>
    <w:rsid w:val="005B113B"/>
    <w:rsid w:val="005B332B"/>
    <w:rsid w:val="005B346F"/>
    <w:rsid w:val="005B3520"/>
    <w:rsid w:val="005B3695"/>
    <w:rsid w:val="005B4286"/>
    <w:rsid w:val="005B44AC"/>
    <w:rsid w:val="005B4535"/>
    <w:rsid w:val="005B49E2"/>
    <w:rsid w:val="005B4B87"/>
    <w:rsid w:val="005B56EF"/>
    <w:rsid w:val="005B5C4C"/>
    <w:rsid w:val="005B5E75"/>
    <w:rsid w:val="005B6281"/>
    <w:rsid w:val="005B6508"/>
    <w:rsid w:val="005B6720"/>
    <w:rsid w:val="005B7282"/>
    <w:rsid w:val="005B7F3E"/>
    <w:rsid w:val="005C0EFC"/>
    <w:rsid w:val="005C121A"/>
    <w:rsid w:val="005C1C4E"/>
    <w:rsid w:val="005C2880"/>
    <w:rsid w:val="005C29C2"/>
    <w:rsid w:val="005C2B0C"/>
    <w:rsid w:val="005C2F47"/>
    <w:rsid w:val="005C31AE"/>
    <w:rsid w:val="005C4272"/>
    <w:rsid w:val="005C42E5"/>
    <w:rsid w:val="005C460F"/>
    <w:rsid w:val="005C49C9"/>
    <w:rsid w:val="005C49ED"/>
    <w:rsid w:val="005C5003"/>
    <w:rsid w:val="005C583D"/>
    <w:rsid w:val="005C6403"/>
    <w:rsid w:val="005C6AB8"/>
    <w:rsid w:val="005C6B75"/>
    <w:rsid w:val="005C7DC3"/>
    <w:rsid w:val="005D05C4"/>
    <w:rsid w:val="005D0CA6"/>
    <w:rsid w:val="005D0D79"/>
    <w:rsid w:val="005D0F30"/>
    <w:rsid w:val="005D1233"/>
    <w:rsid w:val="005D25EE"/>
    <w:rsid w:val="005D266D"/>
    <w:rsid w:val="005D28D4"/>
    <w:rsid w:val="005D3312"/>
    <w:rsid w:val="005D3733"/>
    <w:rsid w:val="005D37D9"/>
    <w:rsid w:val="005D392E"/>
    <w:rsid w:val="005D3E68"/>
    <w:rsid w:val="005D4B65"/>
    <w:rsid w:val="005D4C6D"/>
    <w:rsid w:val="005D52C1"/>
    <w:rsid w:val="005D56F3"/>
    <w:rsid w:val="005D69CE"/>
    <w:rsid w:val="005D6D69"/>
    <w:rsid w:val="005D6EB7"/>
    <w:rsid w:val="005D7219"/>
    <w:rsid w:val="005D7701"/>
    <w:rsid w:val="005E042A"/>
    <w:rsid w:val="005E0D0C"/>
    <w:rsid w:val="005E15C1"/>
    <w:rsid w:val="005E24AF"/>
    <w:rsid w:val="005E278A"/>
    <w:rsid w:val="005E2DBF"/>
    <w:rsid w:val="005E2F90"/>
    <w:rsid w:val="005E33CA"/>
    <w:rsid w:val="005E408A"/>
    <w:rsid w:val="005E4160"/>
    <w:rsid w:val="005E4234"/>
    <w:rsid w:val="005E5142"/>
    <w:rsid w:val="005E5403"/>
    <w:rsid w:val="005E591E"/>
    <w:rsid w:val="005E62D2"/>
    <w:rsid w:val="005E6F87"/>
    <w:rsid w:val="005E7128"/>
    <w:rsid w:val="005E72E7"/>
    <w:rsid w:val="005E73EE"/>
    <w:rsid w:val="005E7A1D"/>
    <w:rsid w:val="005E7E4E"/>
    <w:rsid w:val="005F02FC"/>
    <w:rsid w:val="005F0836"/>
    <w:rsid w:val="005F1839"/>
    <w:rsid w:val="005F2BCF"/>
    <w:rsid w:val="005F40AF"/>
    <w:rsid w:val="005F4617"/>
    <w:rsid w:val="005F5E8E"/>
    <w:rsid w:val="005F5FF1"/>
    <w:rsid w:val="005F6607"/>
    <w:rsid w:val="005F6759"/>
    <w:rsid w:val="005F6859"/>
    <w:rsid w:val="005F6FF6"/>
    <w:rsid w:val="005F701D"/>
    <w:rsid w:val="005F7564"/>
    <w:rsid w:val="005F771D"/>
    <w:rsid w:val="005F7A0D"/>
    <w:rsid w:val="005F7BC2"/>
    <w:rsid w:val="00600B41"/>
    <w:rsid w:val="00600F7A"/>
    <w:rsid w:val="00600FFF"/>
    <w:rsid w:val="0060105B"/>
    <w:rsid w:val="0060148E"/>
    <w:rsid w:val="006027C2"/>
    <w:rsid w:val="00602ED3"/>
    <w:rsid w:val="00603412"/>
    <w:rsid w:val="006038A4"/>
    <w:rsid w:val="00603BFC"/>
    <w:rsid w:val="00603F0D"/>
    <w:rsid w:val="006041B3"/>
    <w:rsid w:val="00604300"/>
    <w:rsid w:val="006043F7"/>
    <w:rsid w:val="00604451"/>
    <w:rsid w:val="00605129"/>
    <w:rsid w:val="006069DB"/>
    <w:rsid w:val="00606D2D"/>
    <w:rsid w:val="006107D1"/>
    <w:rsid w:val="00610A32"/>
    <w:rsid w:val="00610C18"/>
    <w:rsid w:val="006114CA"/>
    <w:rsid w:val="00611C96"/>
    <w:rsid w:val="00611FA8"/>
    <w:rsid w:val="00612200"/>
    <w:rsid w:val="006125D8"/>
    <w:rsid w:val="006128BD"/>
    <w:rsid w:val="00612D21"/>
    <w:rsid w:val="006131BB"/>
    <w:rsid w:val="00613313"/>
    <w:rsid w:val="00613525"/>
    <w:rsid w:val="00613664"/>
    <w:rsid w:val="00613A1B"/>
    <w:rsid w:val="00613BE1"/>
    <w:rsid w:val="00613C70"/>
    <w:rsid w:val="00613E92"/>
    <w:rsid w:val="006140F2"/>
    <w:rsid w:val="00614976"/>
    <w:rsid w:val="00614D80"/>
    <w:rsid w:val="00615075"/>
    <w:rsid w:val="0061518A"/>
    <w:rsid w:val="006158DE"/>
    <w:rsid w:val="00615A4E"/>
    <w:rsid w:val="0061698B"/>
    <w:rsid w:val="006169B0"/>
    <w:rsid w:val="00616C38"/>
    <w:rsid w:val="00617B66"/>
    <w:rsid w:val="00620306"/>
    <w:rsid w:val="00620511"/>
    <w:rsid w:val="006207B4"/>
    <w:rsid w:val="006209BE"/>
    <w:rsid w:val="00620C06"/>
    <w:rsid w:val="00620F03"/>
    <w:rsid w:val="006211BB"/>
    <w:rsid w:val="00621679"/>
    <w:rsid w:val="006216F2"/>
    <w:rsid w:val="0062187D"/>
    <w:rsid w:val="00622567"/>
    <w:rsid w:val="00622AF8"/>
    <w:rsid w:val="00623753"/>
    <w:rsid w:val="00623A7D"/>
    <w:rsid w:val="0062408A"/>
    <w:rsid w:val="006244C2"/>
    <w:rsid w:val="006249A5"/>
    <w:rsid w:val="006249AC"/>
    <w:rsid w:val="00624A43"/>
    <w:rsid w:val="00624D33"/>
    <w:rsid w:val="00624EB1"/>
    <w:rsid w:val="006257E1"/>
    <w:rsid w:val="0062668F"/>
    <w:rsid w:val="00626D41"/>
    <w:rsid w:val="00626FBC"/>
    <w:rsid w:val="006277C2"/>
    <w:rsid w:val="00627FAC"/>
    <w:rsid w:val="006302DF"/>
    <w:rsid w:val="0063065A"/>
    <w:rsid w:val="00630795"/>
    <w:rsid w:val="00630F80"/>
    <w:rsid w:val="00631BE3"/>
    <w:rsid w:val="0063207F"/>
    <w:rsid w:val="00632E45"/>
    <w:rsid w:val="00632E4C"/>
    <w:rsid w:val="0063337E"/>
    <w:rsid w:val="006339E1"/>
    <w:rsid w:val="00633F8A"/>
    <w:rsid w:val="006341A1"/>
    <w:rsid w:val="0063438B"/>
    <w:rsid w:val="006347CD"/>
    <w:rsid w:val="00634C0F"/>
    <w:rsid w:val="00635700"/>
    <w:rsid w:val="00635A5D"/>
    <w:rsid w:val="00635CA9"/>
    <w:rsid w:val="006360B2"/>
    <w:rsid w:val="0063688F"/>
    <w:rsid w:val="00636AFB"/>
    <w:rsid w:val="00636D15"/>
    <w:rsid w:val="00637AD0"/>
    <w:rsid w:val="00637B18"/>
    <w:rsid w:val="00637C63"/>
    <w:rsid w:val="006401EA"/>
    <w:rsid w:val="006409A7"/>
    <w:rsid w:val="00640A41"/>
    <w:rsid w:val="00640A9C"/>
    <w:rsid w:val="00640F04"/>
    <w:rsid w:val="00641B72"/>
    <w:rsid w:val="00642E08"/>
    <w:rsid w:val="00642EB9"/>
    <w:rsid w:val="006433F6"/>
    <w:rsid w:val="006438FC"/>
    <w:rsid w:val="006439C6"/>
    <w:rsid w:val="00643BDE"/>
    <w:rsid w:val="006444B7"/>
    <w:rsid w:val="0064459A"/>
    <w:rsid w:val="00644869"/>
    <w:rsid w:val="00644A44"/>
    <w:rsid w:val="006455F5"/>
    <w:rsid w:val="00645C31"/>
    <w:rsid w:val="00646245"/>
    <w:rsid w:val="006463C7"/>
    <w:rsid w:val="006464FE"/>
    <w:rsid w:val="00646512"/>
    <w:rsid w:val="00646AD5"/>
    <w:rsid w:val="00646D56"/>
    <w:rsid w:val="00646EC9"/>
    <w:rsid w:val="00647056"/>
    <w:rsid w:val="0064794B"/>
    <w:rsid w:val="00650A70"/>
    <w:rsid w:val="00651E0A"/>
    <w:rsid w:val="00652485"/>
    <w:rsid w:val="00652BBD"/>
    <w:rsid w:val="00653042"/>
    <w:rsid w:val="006530B4"/>
    <w:rsid w:val="006533FA"/>
    <w:rsid w:val="00653B4C"/>
    <w:rsid w:val="00653B55"/>
    <w:rsid w:val="00654420"/>
    <w:rsid w:val="0065449D"/>
    <w:rsid w:val="006547ED"/>
    <w:rsid w:val="00654A53"/>
    <w:rsid w:val="00654E03"/>
    <w:rsid w:val="006557A7"/>
    <w:rsid w:val="006557B1"/>
    <w:rsid w:val="00655C79"/>
    <w:rsid w:val="006561D9"/>
    <w:rsid w:val="00656337"/>
    <w:rsid w:val="006568BE"/>
    <w:rsid w:val="00656AD7"/>
    <w:rsid w:val="00656DAE"/>
    <w:rsid w:val="00656E94"/>
    <w:rsid w:val="00657A09"/>
    <w:rsid w:val="00657A18"/>
    <w:rsid w:val="00657CEC"/>
    <w:rsid w:val="0066111B"/>
    <w:rsid w:val="006625B6"/>
    <w:rsid w:val="0066330B"/>
    <w:rsid w:val="00664136"/>
    <w:rsid w:val="00664C5C"/>
    <w:rsid w:val="00665164"/>
    <w:rsid w:val="00666244"/>
    <w:rsid w:val="0066632E"/>
    <w:rsid w:val="00666526"/>
    <w:rsid w:val="00666866"/>
    <w:rsid w:val="00666AC5"/>
    <w:rsid w:val="00666B02"/>
    <w:rsid w:val="00666E5D"/>
    <w:rsid w:val="006678B4"/>
    <w:rsid w:val="00667BC0"/>
    <w:rsid w:val="00670544"/>
    <w:rsid w:val="006706D5"/>
    <w:rsid w:val="00670A4B"/>
    <w:rsid w:val="00670BB5"/>
    <w:rsid w:val="00670BE0"/>
    <w:rsid w:val="00670E1B"/>
    <w:rsid w:val="0067104B"/>
    <w:rsid w:val="00671135"/>
    <w:rsid w:val="00671184"/>
    <w:rsid w:val="00671716"/>
    <w:rsid w:val="00672A98"/>
    <w:rsid w:val="00673296"/>
    <w:rsid w:val="0067410F"/>
    <w:rsid w:val="0067426C"/>
    <w:rsid w:val="006742AB"/>
    <w:rsid w:val="006744AC"/>
    <w:rsid w:val="00674ADE"/>
    <w:rsid w:val="00674F9D"/>
    <w:rsid w:val="006750F6"/>
    <w:rsid w:val="00675197"/>
    <w:rsid w:val="0067520D"/>
    <w:rsid w:val="006758E1"/>
    <w:rsid w:val="00675AB1"/>
    <w:rsid w:val="00675B53"/>
    <w:rsid w:val="00675E36"/>
    <w:rsid w:val="00676B84"/>
    <w:rsid w:val="00676B8A"/>
    <w:rsid w:val="006804B0"/>
    <w:rsid w:val="006805B3"/>
    <w:rsid w:val="00680621"/>
    <w:rsid w:val="00680649"/>
    <w:rsid w:val="006808D0"/>
    <w:rsid w:val="006811AC"/>
    <w:rsid w:val="0068176A"/>
    <w:rsid w:val="00681D2E"/>
    <w:rsid w:val="0068242B"/>
    <w:rsid w:val="00682707"/>
    <w:rsid w:val="00682DD1"/>
    <w:rsid w:val="00683546"/>
    <w:rsid w:val="00684225"/>
    <w:rsid w:val="0068479C"/>
    <w:rsid w:val="00684B13"/>
    <w:rsid w:val="00684D02"/>
    <w:rsid w:val="00685706"/>
    <w:rsid w:val="00685910"/>
    <w:rsid w:val="00685EAF"/>
    <w:rsid w:val="00685EE9"/>
    <w:rsid w:val="00685FDD"/>
    <w:rsid w:val="006860F4"/>
    <w:rsid w:val="0068661E"/>
    <w:rsid w:val="006872C3"/>
    <w:rsid w:val="00687C0B"/>
    <w:rsid w:val="00687FED"/>
    <w:rsid w:val="00690147"/>
    <w:rsid w:val="00690223"/>
    <w:rsid w:val="00690513"/>
    <w:rsid w:val="00690D4B"/>
    <w:rsid w:val="006918F8"/>
    <w:rsid w:val="0069197F"/>
    <w:rsid w:val="006920C2"/>
    <w:rsid w:val="006920DD"/>
    <w:rsid w:val="0069322C"/>
    <w:rsid w:val="0069377A"/>
    <w:rsid w:val="00693B21"/>
    <w:rsid w:val="00693B43"/>
    <w:rsid w:val="00693EB2"/>
    <w:rsid w:val="006944AE"/>
    <w:rsid w:val="006945F5"/>
    <w:rsid w:val="00695941"/>
    <w:rsid w:val="00695B24"/>
    <w:rsid w:val="006960A1"/>
    <w:rsid w:val="00696375"/>
    <w:rsid w:val="006966FD"/>
    <w:rsid w:val="00696777"/>
    <w:rsid w:val="006976C6"/>
    <w:rsid w:val="00697B2F"/>
    <w:rsid w:val="006A194C"/>
    <w:rsid w:val="006A1C73"/>
    <w:rsid w:val="006A2F3B"/>
    <w:rsid w:val="006A2F89"/>
    <w:rsid w:val="006A316A"/>
    <w:rsid w:val="006A3E19"/>
    <w:rsid w:val="006A5081"/>
    <w:rsid w:val="006A5EB2"/>
    <w:rsid w:val="006A63CD"/>
    <w:rsid w:val="006A66F7"/>
    <w:rsid w:val="006A689A"/>
    <w:rsid w:val="006A6E51"/>
    <w:rsid w:val="006A6E60"/>
    <w:rsid w:val="006B0227"/>
    <w:rsid w:val="006B031D"/>
    <w:rsid w:val="006B08D8"/>
    <w:rsid w:val="006B0CF1"/>
    <w:rsid w:val="006B1A57"/>
    <w:rsid w:val="006B2A3A"/>
    <w:rsid w:val="006B2B76"/>
    <w:rsid w:val="006B334E"/>
    <w:rsid w:val="006B4B4B"/>
    <w:rsid w:val="006B4EFA"/>
    <w:rsid w:val="006B5E6A"/>
    <w:rsid w:val="006B5F13"/>
    <w:rsid w:val="006B640B"/>
    <w:rsid w:val="006B64AB"/>
    <w:rsid w:val="006B65B2"/>
    <w:rsid w:val="006B762D"/>
    <w:rsid w:val="006C04FA"/>
    <w:rsid w:val="006C11F0"/>
    <w:rsid w:val="006C19F9"/>
    <w:rsid w:val="006C1E6F"/>
    <w:rsid w:val="006C2CC7"/>
    <w:rsid w:val="006C2F35"/>
    <w:rsid w:val="006C3429"/>
    <w:rsid w:val="006C3781"/>
    <w:rsid w:val="006C3A64"/>
    <w:rsid w:val="006C3F4F"/>
    <w:rsid w:val="006C5146"/>
    <w:rsid w:val="006C61F3"/>
    <w:rsid w:val="006C6253"/>
    <w:rsid w:val="006C6482"/>
    <w:rsid w:val="006C6CF3"/>
    <w:rsid w:val="006C6F0B"/>
    <w:rsid w:val="006C6F53"/>
    <w:rsid w:val="006C71C8"/>
    <w:rsid w:val="006C7209"/>
    <w:rsid w:val="006C7258"/>
    <w:rsid w:val="006C7369"/>
    <w:rsid w:val="006C7732"/>
    <w:rsid w:val="006C7A84"/>
    <w:rsid w:val="006D00BC"/>
    <w:rsid w:val="006D028A"/>
    <w:rsid w:val="006D0839"/>
    <w:rsid w:val="006D0856"/>
    <w:rsid w:val="006D08EB"/>
    <w:rsid w:val="006D175C"/>
    <w:rsid w:val="006D1B1C"/>
    <w:rsid w:val="006D2EF9"/>
    <w:rsid w:val="006D3990"/>
    <w:rsid w:val="006D3A83"/>
    <w:rsid w:val="006D43C5"/>
    <w:rsid w:val="006D43E0"/>
    <w:rsid w:val="006D4B90"/>
    <w:rsid w:val="006D4C69"/>
    <w:rsid w:val="006D576E"/>
    <w:rsid w:val="006D5A02"/>
    <w:rsid w:val="006D6D20"/>
    <w:rsid w:val="006D7618"/>
    <w:rsid w:val="006D772B"/>
    <w:rsid w:val="006D794B"/>
    <w:rsid w:val="006D7E55"/>
    <w:rsid w:val="006D7F92"/>
    <w:rsid w:val="006D7FAA"/>
    <w:rsid w:val="006E0430"/>
    <w:rsid w:val="006E0983"/>
    <w:rsid w:val="006E0B8C"/>
    <w:rsid w:val="006E118F"/>
    <w:rsid w:val="006E1FAD"/>
    <w:rsid w:val="006E2585"/>
    <w:rsid w:val="006E2F18"/>
    <w:rsid w:val="006E33FC"/>
    <w:rsid w:val="006E3AC0"/>
    <w:rsid w:val="006E4934"/>
    <w:rsid w:val="006E4B7B"/>
    <w:rsid w:val="006E5B18"/>
    <w:rsid w:val="006E61F8"/>
    <w:rsid w:val="006E6DC4"/>
    <w:rsid w:val="006E6E44"/>
    <w:rsid w:val="006E796A"/>
    <w:rsid w:val="006F055A"/>
    <w:rsid w:val="006F0CA2"/>
    <w:rsid w:val="006F1410"/>
    <w:rsid w:val="006F1E9A"/>
    <w:rsid w:val="006F2187"/>
    <w:rsid w:val="006F2254"/>
    <w:rsid w:val="006F3E25"/>
    <w:rsid w:val="006F42EB"/>
    <w:rsid w:val="006F4502"/>
    <w:rsid w:val="006F46F3"/>
    <w:rsid w:val="006F4D39"/>
    <w:rsid w:val="006F4DA8"/>
    <w:rsid w:val="006F595A"/>
    <w:rsid w:val="006F5D0E"/>
    <w:rsid w:val="006F5F2F"/>
    <w:rsid w:val="006F60D2"/>
    <w:rsid w:val="006F63F6"/>
    <w:rsid w:val="006F6532"/>
    <w:rsid w:val="006F700E"/>
    <w:rsid w:val="006F7C42"/>
    <w:rsid w:val="00700114"/>
    <w:rsid w:val="00700181"/>
    <w:rsid w:val="007003C1"/>
    <w:rsid w:val="0070042C"/>
    <w:rsid w:val="007012A9"/>
    <w:rsid w:val="007021B3"/>
    <w:rsid w:val="00703700"/>
    <w:rsid w:val="0070401D"/>
    <w:rsid w:val="007041A5"/>
    <w:rsid w:val="0070446A"/>
    <w:rsid w:val="00704C67"/>
    <w:rsid w:val="00705505"/>
    <w:rsid w:val="007057C2"/>
    <w:rsid w:val="007059C6"/>
    <w:rsid w:val="007064CC"/>
    <w:rsid w:val="00707213"/>
    <w:rsid w:val="007072C8"/>
    <w:rsid w:val="00707470"/>
    <w:rsid w:val="00707973"/>
    <w:rsid w:val="00707987"/>
    <w:rsid w:val="00707E17"/>
    <w:rsid w:val="0071000E"/>
    <w:rsid w:val="007100E2"/>
    <w:rsid w:val="00710988"/>
    <w:rsid w:val="00710CDC"/>
    <w:rsid w:val="00710E25"/>
    <w:rsid w:val="00710F39"/>
    <w:rsid w:val="007112A5"/>
    <w:rsid w:val="00711AAE"/>
    <w:rsid w:val="00711AD6"/>
    <w:rsid w:val="00711C47"/>
    <w:rsid w:val="00711CBB"/>
    <w:rsid w:val="00712295"/>
    <w:rsid w:val="00712876"/>
    <w:rsid w:val="00712C8B"/>
    <w:rsid w:val="007134C9"/>
    <w:rsid w:val="0071399D"/>
    <w:rsid w:val="00714068"/>
    <w:rsid w:val="007140FE"/>
    <w:rsid w:val="007146BE"/>
    <w:rsid w:val="007149B5"/>
    <w:rsid w:val="00715651"/>
    <w:rsid w:val="00716159"/>
    <w:rsid w:val="0071664E"/>
    <w:rsid w:val="00716F13"/>
    <w:rsid w:val="007176A6"/>
    <w:rsid w:val="00717B15"/>
    <w:rsid w:val="0072078A"/>
    <w:rsid w:val="00720C9C"/>
    <w:rsid w:val="0072125A"/>
    <w:rsid w:val="00721274"/>
    <w:rsid w:val="007217D1"/>
    <w:rsid w:val="00722815"/>
    <w:rsid w:val="0072285B"/>
    <w:rsid w:val="00722AD1"/>
    <w:rsid w:val="00722BF1"/>
    <w:rsid w:val="00722E9C"/>
    <w:rsid w:val="00723317"/>
    <w:rsid w:val="00723778"/>
    <w:rsid w:val="00724BBB"/>
    <w:rsid w:val="00724F5A"/>
    <w:rsid w:val="00725BEA"/>
    <w:rsid w:val="00725C0B"/>
    <w:rsid w:val="00725F9F"/>
    <w:rsid w:val="00726007"/>
    <w:rsid w:val="007265F0"/>
    <w:rsid w:val="00726885"/>
    <w:rsid w:val="0072726C"/>
    <w:rsid w:val="00727390"/>
    <w:rsid w:val="00727622"/>
    <w:rsid w:val="007278AA"/>
    <w:rsid w:val="00730DA9"/>
    <w:rsid w:val="0073100B"/>
    <w:rsid w:val="00731345"/>
    <w:rsid w:val="0073163A"/>
    <w:rsid w:val="0073163B"/>
    <w:rsid w:val="00732E2C"/>
    <w:rsid w:val="00733466"/>
    <w:rsid w:val="0073347F"/>
    <w:rsid w:val="0073373F"/>
    <w:rsid w:val="00733792"/>
    <w:rsid w:val="007343A6"/>
    <w:rsid w:val="00734AA2"/>
    <w:rsid w:val="00735389"/>
    <w:rsid w:val="00735BDD"/>
    <w:rsid w:val="00735C87"/>
    <w:rsid w:val="00735FB3"/>
    <w:rsid w:val="0073611E"/>
    <w:rsid w:val="007361A0"/>
    <w:rsid w:val="007362E9"/>
    <w:rsid w:val="00736414"/>
    <w:rsid w:val="007365D3"/>
    <w:rsid w:val="007371B3"/>
    <w:rsid w:val="00737534"/>
    <w:rsid w:val="00737BA4"/>
    <w:rsid w:val="00737CA1"/>
    <w:rsid w:val="00737E31"/>
    <w:rsid w:val="007400BF"/>
    <w:rsid w:val="00740230"/>
    <w:rsid w:val="007402F5"/>
    <w:rsid w:val="00740A8B"/>
    <w:rsid w:val="00740C7A"/>
    <w:rsid w:val="007413F1"/>
    <w:rsid w:val="00741604"/>
    <w:rsid w:val="0074180A"/>
    <w:rsid w:val="00741888"/>
    <w:rsid w:val="00741AB8"/>
    <w:rsid w:val="0074218A"/>
    <w:rsid w:val="0074260A"/>
    <w:rsid w:val="007427C0"/>
    <w:rsid w:val="00742895"/>
    <w:rsid w:val="00743310"/>
    <w:rsid w:val="0074361E"/>
    <w:rsid w:val="00743FC1"/>
    <w:rsid w:val="00745DB7"/>
    <w:rsid w:val="007464FC"/>
    <w:rsid w:val="007467A1"/>
    <w:rsid w:val="007472DC"/>
    <w:rsid w:val="007476C5"/>
    <w:rsid w:val="00747737"/>
    <w:rsid w:val="00747D99"/>
    <w:rsid w:val="00747E55"/>
    <w:rsid w:val="00747FC4"/>
    <w:rsid w:val="007503DA"/>
    <w:rsid w:val="00750FCA"/>
    <w:rsid w:val="00751993"/>
    <w:rsid w:val="00751C70"/>
    <w:rsid w:val="00751D91"/>
    <w:rsid w:val="00751EA6"/>
    <w:rsid w:val="007520DD"/>
    <w:rsid w:val="00752A2C"/>
    <w:rsid w:val="00752FF3"/>
    <w:rsid w:val="007532AF"/>
    <w:rsid w:val="00753973"/>
    <w:rsid w:val="00754A1F"/>
    <w:rsid w:val="00754A52"/>
    <w:rsid w:val="007552B3"/>
    <w:rsid w:val="00756083"/>
    <w:rsid w:val="00756515"/>
    <w:rsid w:val="00757E96"/>
    <w:rsid w:val="00760B36"/>
    <w:rsid w:val="007614D9"/>
    <w:rsid w:val="0076154D"/>
    <w:rsid w:val="00762802"/>
    <w:rsid w:val="007635C4"/>
    <w:rsid w:val="007637E9"/>
    <w:rsid w:val="007645F4"/>
    <w:rsid w:val="00764DDB"/>
    <w:rsid w:val="00764F11"/>
    <w:rsid w:val="007651DB"/>
    <w:rsid w:val="00765490"/>
    <w:rsid w:val="00765496"/>
    <w:rsid w:val="00765976"/>
    <w:rsid w:val="00765AC9"/>
    <w:rsid w:val="00765E2A"/>
    <w:rsid w:val="00765F68"/>
    <w:rsid w:val="00766109"/>
    <w:rsid w:val="007672A6"/>
    <w:rsid w:val="0077043E"/>
    <w:rsid w:val="00770B1E"/>
    <w:rsid w:val="00770BDC"/>
    <w:rsid w:val="007711FF"/>
    <w:rsid w:val="007717F1"/>
    <w:rsid w:val="00771CA6"/>
    <w:rsid w:val="007725CF"/>
    <w:rsid w:val="0077315B"/>
    <w:rsid w:val="007732E3"/>
    <w:rsid w:val="00773512"/>
    <w:rsid w:val="00773A35"/>
    <w:rsid w:val="00773C5A"/>
    <w:rsid w:val="00774289"/>
    <w:rsid w:val="007745AD"/>
    <w:rsid w:val="00775068"/>
    <w:rsid w:val="0077560F"/>
    <w:rsid w:val="007756B1"/>
    <w:rsid w:val="00775903"/>
    <w:rsid w:val="00775DA5"/>
    <w:rsid w:val="00776AB2"/>
    <w:rsid w:val="00776D29"/>
    <w:rsid w:val="00776DC9"/>
    <w:rsid w:val="00777A95"/>
    <w:rsid w:val="00780738"/>
    <w:rsid w:val="00781635"/>
    <w:rsid w:val="007817E2"/>
    <w:rsid w:val="0078182F"/>
    <w:rsid w:val="00781A2D"/>
    <w:rsid w:val="00781ECE"/>
    <w:rsid w:val="0078221E"/>
    <w:rsid w:val="00782948"/>
    <w:rsid w:val="00783454"/>
    <w:rsid w:val="0078496D"/>
    <w:rsid w:val="00784D17"/>
    <w:rsid w:val="00785676"/>
    <w:rsid w:val="00786694"/>
    <w:rsid w:val="007871CE"/>
    <w:rsid w:val="007872AC"/>
    <w:rsid w:val="00787495"/>
    <w:rsid w:val="007874A4"/>
    <w:rsid w:val="007876A3"/>
    <w:rsid w:val="00790114"/>
    <w:rsid w:val="00790391"/>
    <w:rsid w:val="00790BD5"/>
    <w:rsid w:val="00790DB1"/>
    <w:rsid w:val="007916C4"/>
    <w:rsid w:val="00791CFE"/>
    <w:rsid w:val="007926F4"/>
    <w:rsid w:val="00792771"/>
    <w:rsid w:val="00792978"/>
    <w:rsid w:val="00793070"/>
    <w:rsid w:val="0079415C"/>
    <w:rsid w:val="00794632"/>
    <w:rsid w:val="00794ED8"/>
    <w:rsid w:val="00795258"/>
    <w:rsid w:val="0079530F"/>
    <w:rsid w:val="00796C1A"/>
    <w:rsid w:val="00796D4A"/>
    <w:rsid w:val="0079733C"/>
    <w:rsid w:val="007A08DA"/>
    <w:rsid w:val="007A0AEA"/>
    <w:rsid w:val="007A0D54"/>
    <w:rsid w:val="007A1203"/>
    <w:rsid w:val="007A1518"/>
    <w:rsid w:val="007A15C4"/>
    <w:rsid w:val="007A1925"/>
    <w:rsid w:val="007A19AB"/>
    <w:rsid w:val="007A1E12"/>
    <w:rsid w:val="007A2387"/>
    <w:rsid w:val="007A2575"/>
    <w:rsid w:val="007A2999"/>
    <w:rsid w:val="007A2CD6"/>
    <w:rsid w:val="007A554B"/>
    <w:rsid w:val="007A67DD"/>
    <w:rsid w:val="007A686A"/>
    <w:rsid w:val="007A7790"/>
    <w:rsid w:val="007A7A16"/>
    <w:rsid w:val="007B02E7"/>
    <w:rsid w:val="007B0B20"/>
    <w:rsid w:val="007B0DA7"/>
    <w:rsid w:val="007B15B3"/>
    <w:rsid w:val="007B165B"/>
    <w:rsid w:val="007B202B"/>
    <w:rsid w:val="007B20D2"/>
    <w:rsid w:val="007B272F"/>
    <w:rsid w:val="007B27CF"/>
    <w:rsid w:val="007B2BC0"/>
    <w:rsid w:val="007B2E36"/>
    <w:rsid w:val="007B3189"/>
    <w:rsid w:val="007B3436"/>
    <w:rsid w:val="007B376D"/>
    <w:rsid w:val="007B3FA9"/>
    <w:rsid w:val="007B4105"/>
    <w:rsid w:val="007B50F2"/>
    <w:rsid w:val="007B56A7"/>
    <w:rsid w:val="007B57F0"/>
    <w:rsid w:val="007B62C5"/>
    <w:rsid w:val="007B6628"/>
    <w:rsid w:val="007B6830"/>
    <w:rsid w:val="007B6A13"/>
    <w:rsid w:val="007B6D1C"/>
    <w:rsid w:val="007B6E47"/>
    <w:rsid w:val="007B753A"/>
    <w:rsid w:val="007B7710"/>
    <w:rsid w:val="007B7837"/>
    <w:rsid w:val="007B7A2B"/>
    <w:rsid w:val="007C058A"/>
    <w:rsid w:val="007C0B5F"/>
    <w:rsid w:val="007C0DC1"/>
    <w:rsid w:val="007C1341"/>
    <w:rsid w:val="007C1432"/>
    <w:rsid w:val="007C1740"/>
    <w:rsid w:val="007C1B71"/>
    <w:rsid w:val="007C1BA2"/>
    <w:rsid w:val="007C1F19"/>
    <w:rsid w:val="007C2526"/>
    <w:rsid w:val="007C293A"/>
    <w:rsid w:val="007C307B"/>
    <w:rsid w:val="007C3C7C"/>
    <w:rsid w:val="007C45F3"/>
    <w:rsid w:val="007C4644"/>
    <w:rsid w:val="007C47BC"/>
    <w:rsid w:val="007C603D"/>
    <w:rsid w:val="007C647A"/>
    <w:rsid w:val="007C725D"/>
    <w:rsid w:val="007C7ADC"/>
    <w:rsid w:val="007D0289"/>
    <w:rsid w:val="007D0EB0"/>
    <w:rsid w:val="007D10DF"/>
    <w:rsid w:val="007D15BF"/>
    <w:rsid w:val="007D2192"/>
    <w:rsid w:val="007D25CF"/>
    <w:rsid w:val="007D2CEF"/>
    <w:rsid w:val="007D3E18"/>
    <w:rsid w:val="007D4129"/>
    <w:rsid w:val="007D46BF"/>
    <w:rsid w:val="007D58DF"/>
    <w:rsid w:val="007D5A10"/>
    <w:rsid w:val="007D5AA7"/>
    <w:rsid w:val="007D5B02"/>
    <w:rsid w:val="007D631D"/>
    <w:rsid w:val="007D68A3"/>
    <w:rsid w:val="007D7100"/>
    <w:rsid w:val="007D7A1F"/>
    <w:rsid w:val="007D7BC4"/>
    <w:rsid w:val="007D7DD5"/>
    <w:rsid w:val="007D7EFA"/>
    <w:rsid w:val="007E03C3"/>
    <w:rsid w:val="007E07C4"/>
    <w:rsid w:val="007E0913"/>
    <w:rsid w:val="007E0A6E"/>
    <w:rsid w:val="007E1B7B"/>
    <w:rsid w:val="007E1C89"/>
    <w:rsid w:val="007E2177"/>
    <w:rsid w:val="007E2581"/>
    <w:rsid w:val="007E29FD"/>
    <w:rsid w:val="007E2DCD"/>
    <w:rsid w:val="007E369D"/>
    <w:rsid w:val="007E3AC7"/>
    <w:rsid w:val="007E3D5D"/>
    <w:rsid w:val="007E4605"/>
    <w:rsid w:val="007E4FE5"/>
    <w:rsid w:val="007E51A1"/>
    <w:rsid w:val="007E53AC"/>
    <w:rsid w:val="007E5D98"/>
    <w:rsid w:val="007E626F"/>
    <w:rsid w:val="007E6482"/>
    <w:rsid w:val="007E6610"/>
    <w:rsid w:val="007E68BE"/>
    <w:rsid w:val="007E6B4C"/>
    <w:rsid w:val="007E6BEE"/>
    <w:rsid w:val="007E6CDE"/>
    <w:rsid w:val="007E7148"/>
    <w:rsid w:val="007E732A"/>
    <w:rsid w:val="007E7AB5"/>
    <w:rsid w:val="007E7F49"/>
    <w:rsid w:val="007F020E"/>
    <w:rsid w:val="007F06D5"/>
    <w:rsid w:val="007F0A60"/>
    <w:rsid w:val="007F0B76"/>
    <w:rsid w:val="007F13C1"/>
    <w:rsid w:val="007F1400"/>
    <w:rsid w:val="007F1572"/>
    <w:rsid w:val="007F1804"/>
    <w:rsid w:val="007F21BB"/>
    <w:rsid w:val="007F28AF"/>
    <w:rsid w:val="007F2913"/>
    <w:rsid w:val="007F29DB"/>
    <w:rsid w:val="007F2BA4"/>
    <w:rsid w:val="007F2D59"/>
    <w:rsid w:val="007F2F16"/>
    <w:rsid w:val="007F2FB3"/>
    <w:rsid w:val="007F30EA"/>
    <w:rsid w:val="007F37DE"/>
    <w:rsid w:val="007F3A8B"/>
    <w:rsid w:val="007F3CC0"/>
    <w:rsid w:val="007F3DAB"/>
    <w:rsid w:val="007F4B8A"/>
    <w:rsid w:val="007F4CB0"/>
    <w:rsid w:val="007F6658"/>
    <w:rsid w:val="007F6B32"/>
    <w:rsid w:val="007F79AC"/>
    <w:rsid w:val="00800195"/>
    <w:rsid w:val="00800252"/>
    <w:rsid w:val="008003E7"/>
    <w:rsid w:val="00800D5C"/>
    <w:rsid w:val="00801D39"/>
    <w:rsid w:val="00802051"/>
    <w:rsid w:val="00802B74"/>
    <w:rsid w:val="00803410"/>
    <w:rsid w:val="008035B4"/>
    <w:rsid w:val="00803BE1"/>
    <w:rsid w:val="00803CE2"/>
    <w:rsid w:val="00803F3E"/>
    <w:rsid w:val="00804135"/>
    <w:rsid w:val="008049BF"/>
    <w:rsid w:val="00805147"/>
    <w:rsid w:val="00805C17"/>
    <w:rsid w:val="00805E5A"/>
    <w:rsid w:val="00806AA6"/>
    <w:rsid w:val="00807B70"/>
    <w:rsid w:val="00810B26"/>
    <w:rsid w:val="00810BF8"/>
    <w:rsid w:val="00810DA3"/>
    <w:rsid w:val="00811F31"/>
    <w:rsid w:val="008134D9"/>
    <w:rsid w:val="008139BE"/>
    <w:rsid w:val="00813C83"/>
    <w:rsid w:val="00813ECF"/>
    <w:rsid w:val="00814325"/>
    <w:rsid w:val="00814525"/>
    <w:rsid w:val="0081459C"/>
    <w:rsid w:val="008146CF"/>
    <w:rsid w:val="0081476D"/>
    <w:rsid w:val="008147D5"/>
    <w:rsid w:val="00815ECE"/>
    <w:rsid w:val="008165C0"/>
    <w:rsid w:val="00817124"/>
    <w:rsid w:val="00817133"/>
    <w:rsid w:val="00817627"/>
    <w:rsid w:val="008203DD"/>
    <w:rsid w:val="00820B12"/>
    <w:rsid w:val="00821F49"/>
    <w:rsid w:val="0082224D"/>
    <w:rsid w:val="008228CB"/>
    <w:rsid w:val="0082303A"/>
    <w:rsid w:val="0082367E"/>
    <w:rsid w:val="008238DF"/>
    <w:rsid w:val="00823A24"/>
    <w:rsid w:val="00823A8E"/>
    <w:rsid w:val="008240D6"/>
    <w:rsid w:val="0082441F"/>
    <w:rsid w:val="00824AD2"/>
    <w:rsid w:val="00825260"/>
    <w:rsid w:val="008252F0"/>
    <w:rsid w:val="008259AC"/>
    <w:rsid w:val="00825A11"/>
    <w:rsid w:val="00825A86"/>
    <w:rsid w:val="008266FA"/>
    <w:rsid w:val="00826740"/>
    <w:rsid w:val="00826D39"/>
    <w:rsid w:val="00826D48"/>
    <w:rsid w:val="00826F6A"/>
    <w:rsid w:val="00826F93"/>
    <w:rsid w:val="00827262"/>
    <w:rsid w:val="00830564"/>
    <w:rsid w:val="00830F22"/>
    <w:rsid w:val="0083178A"/>
    <w:rsid w:val="00833302"/>
    <w:rsid w:val="00833A71"/>
    <w:rsid w:val="00834357"/>
    <w:rsid w:val="00834C98"/>
    <w:rsid w:val="008352A0"/>
    <w:rsid w:val="00835592"/>
    <w:rsid w:val="008358CC"/>
    <w:rsid w:val="00835EF6"/>
    <w:rsid w:val="0083661D"/>
    <w:rsid w:val="00836967"/>
    <w:rsid w:val="00837024"/>
    <w:rsid w:val="008378C6"/>
    <w:rsid w:val="00837BE3"/>
    <w:rsid w:val="0084052A"/>
    <w:rsid w:val="00840B6F"/>
    <w:rsid w:val="00841287"/>
    <w:rsid w:val="008417A3"/>
    <w:rsid w:val="00841CF9"/>
    <w:rsid w:val="00841D06"/>
    <w:rsid w:val="00841D44"/>
    <w:rsid w:val="0084210F"/>
    <w:rsid w:val="00842253"/>
    <w:rsid w:val="008429CF"/>
    <w:rsid w:val="00842B4A"/>
    <w:rsid w:val="00842D45"/>
    <w:rsid w:val="00842DB4"/>
    <w:rsid w:val="00843A85"/>
    <w:rsid w:val="00843B02"/>
    <w:rsid w:val="00843FF2"/>
    <w:rsid w:val="008441E3"/>
    <w:rsid w:val="00844B4C"/>
    <w:rsid w:val="00844FD4"/>
    <w:rsid w:val="008459A3"/>
    <w:rsid w:val="008459C9"/>
    <w:rsid w:val="00845B8E"/>
    <w:rsid w:val="00845FC2"/>
    <w:rsid w:val="0084674E"/>
    <w:rsid w:val="00847269"/>
    <w:rsid w:val="008475A2"/>
    <w:rsid w:val="00847C3F"/>
    <w:rsid w:val="00847C8A"/>
    <w:rsid w:val="00850160"/>
    <w:rsid w:val="008509FD"/>
    <w:rsid w:val="00851365"/>
    <w:rsid w:val="00851681"/>
    <w:rsid w:val="00851ADC"/>
    <w:rsid w:val="008520C2"/>
    <w:rsid w:val="008520E9"/>
    <w:rsid w:val="00852251"/>
    <w:rsid w:val="00852387"/>
    <w:rsid w:val="0085241A"/>
    <w:rsid w:val="00852C50"/>
    <w:rsid w:val="00852E76"/>
    <w:rsid w:val="00852E94"/>
    <w:rsid w:val="00852F00"/>
    <w:rsid w:val="00853D16"/>
    <w:rsid w:val="0085457A"/>
    <w:rsid w:val="00854866"/>
    <w:rsid w:val="00854EF1"/>
    <w:rsid w:val="008563CC"/>
    <w:rsid w:val="008563CF"/>
    <w:rsid w:val="00856862"/>
    <w:rsid w:val="00856FB2"/>
    <w:rsid w:val="00857353"/>
    <w:rsid w:val="0085757B"/>
    <w:rsid w:val="008600A5"/>
    <w:rsid w:val="00860574"/>
    <w:rsid w:val="008608EA"/>
    <w:rsid w:val="00860C02"/>
    <w:rsid w:val="00861611"/>
    <w:rsid w:val="00861A42"/>
    <w:rsid w:val="00863665"/>
    <w:rsid w:val="008646D2"/>
    <w:rsid w:val="00864796"/>
    <w:rsid w:val="00864DDA"/>
    <w:rsid w:val="008654B2"/>
    <w:rsid w:val="008655A8"/>
    <w:rsid w:val="00865A73"/>
    <w:rsid w:val="00866105"/>
    <w:rsid w:val="00866271"/>
    <w:rsid w:val="008662A6"/>
    <w:rsid w:val="008673C4"/>
    <w:rsid w:val="008674DC"/>
    <w:rsid w:val="00870087"/>
    <w:rsid w:val="00870685"/>
    <w:rsid w:val="008717E2"/>
    <w:rsid w:val="00871F09"/>
    <w:rsid w:val="00872495"/>
    <w:rsid w:val="00872C69"/>
    <w:rsid w:val="00872D0F"/>
    <w:rsid w:val="00873694"/>
    <w:rsid w:val="00874999"/>
    <w:rsid w:val="008749C3"/>
    <w:rsid w:val="008753CC"/>
    <w:rsid w:val="0087621B"/>
    <w:rsid w:val="008766BD"/>
    <w:rsid w:val="00877466"/>
    <w:rsid w:val="008775C3"/>
    <w:rsid w:val="008801F9"/>
    <w:rsid w:val="0088072A"/>
    <w:rsid w:val="00880ED9"/>
    <w:rsid w:val="008810E9"/>
    <w:rsid w:val="00881418"/>
    <w:rsid w:val="00881B05"/>
    <w:rsid w:val="00881E39"/>
    <w:rsid w:val="0088271C"/>
    <w:rsid w:val="00882C59"/>
    <w:rsid w:val="008838EE"/>
    <w:rsid w:val="0088401D"/>
    <w:rsid w:val="00884A40"/>
    <w:rsid w:val="00884CD6"/>
    <w:rsid w:val="00884DAD"/>
    <w:rsid w:val="00884F83"/>
    <w:rsid w:val="008869A8"/>
    <w:rsid w:val="00886AAD"/>
    <w:rsid w:val="00886F2D"/>
    <w:rsid w:val="008870E6"/>
    <w:rsid w:val="00887773"/>
    <w:rsid w:val="0089016F"/>
    <w:rsid w:val="00890D8F"/>
    <w:rsid w:val="00891173"/>
    <w:rsid w:val="008916D4"/>
    <w:rsid w:val="00891EB2"/>
    <w:rsid w:val="00892AB5"/>
    <w:rsid w:val="00893034"/>
    <w:rsid w:val="00893739"/>
    <w:rsid w:val="008938DF"/>
    <w:rsid w:val="008939DD"/>
    <w:rsid w:val="00893A67"/>
    <w:rsid w:val="00893BB5"/>
    <w:rsid w:val="00894441"/>
    <w:rsid w:val="00894652"/>
    <w:rsid w:val="00894789"/>
    <w:rsid w:val="008949E5"/>
    <w:rsid w:val="00894BCD"/>
    <w:rsid w:val="00895643"/>
    <w:rsid w:val="00895813"/>
    <w:rsid w:val="008959CC"/>
    <w:rsid w:val="00895A5A"/>
    <w:rsid w:val="00895D99"/>
    <w:rsid w:val="00896CAB"/>
    <w:rsid w:val="00897169"/>
    <w:rsid w:val="008974AF"/>
    <w:rsid w:val="00897656"/>
    <w:rsid w:val="008977FE"/>
    <w:rsid w:val="00897AC4"/>
    <w:rsid w:val="00897ACB"/>
    <w:rsid w:val="00897E56"/>
    <w:rsid w:val="008A04D6"/>
    <w:rsid w:val="008A138E"/>
    <w:rsid w:val="008A19F0"/>
    <w:rsid w:val="008A1EEE"/>
    <w:rsid w:val="008A1EF3"/>
    <w:rsid w:val="008A22BE"/>
    <w:rsid w:val="008A2568"/>
    <w:rsid w:val="008A2581"/>
    <w:rsid w:val="008A34BC"/>
    <w:rsid w:val="008A3975"/>
    <w:rsid w:val="008A3C88"/>
    <w:rsid w:val="008A4522"/>
    <w:rsid w:val="008A4857"/>
    <w:rsid w:val="008A5581"/>
    <w:rsid w:val="008A5982"/>
    <w:rsid w:val="008A59CB"/>
    <w:rsid w:val="008A5EF8"/>
    <w:rsid w:val="008A62AD"/>
    <w:rsid w:val="008A62C2"/>
    <w:rsid w:val="008A6540"/>
    <w:rsid w:val="008A69F6"/>
    <w:rsid w:val="008A6A58"/>
    <w:rsid w:val="008A7894"/>
    <w:rsid w:val="008B044A"/>
    <w:rsid w:val="008B0859"/>
    <w:rsid w:val="008B088C"/>
    <w:rsid w:val="008B0C7D"/>
    <w:rsid w:val="008B0DB6"/>
    <w:rsid w:val="008B0F6D"/>
    <w:rsid w:val="008B110B"/>
    <w:rsid w:val="008B1FF3"/>
    <w:rsid w:val="008B2402"/>
    <w:rsid w:val="008B26C4"/>
    <w:rsid w:val="008B2D6E"/>
    <w:rsid w:val="008B4312"/>
    <w:rsid w:val="008B4D85"/>
    <w:rsid w:val="008B50EF"/>
    <w:rsid w:val="008B5561"/>
    <w:rsid w:val="008B5637"/>
    <w:rsid w:val="008B5BE3"/>
    <w:rsid w:val="008B5D8B"/>
    <w:rsid w:val="008B5F51"/>
    <w:rsid w:val="008B6204"/>
    <w:rsid w:val="008B6836"/>
    <w:rsid w:val="008B71E8"/>
    <w:rsid w:val="008B7F07"/>
    <w:rsid w:val="008C068F"/>
    <w:rsid w:val="008C0B1E"/>
    <w:rsid w:val="008C13B5"/>
    <w:rsid w:val="008C15E3"/>
    <w:rsid w:val="008C16C7"/>
    <w:rsid w:val="008C1A58"/>
    <w:rsid w:val="008C23A1"/>
    <w:rsid w:val="008C29DE"/>
    <w:rsid w:val="008C2B0D"/>
    <w:rsid w:val="008C3812"/>
    <w:rsid w:val="008C3CE0"/>
    <w:rsid w:val="008C485D"/>
    <w:rsid w:val="008C4CCC"/>
    <w:rsid w:val="008C530E"/>
    <w:rsid w:val="008C6571"/>
    <w:rsid w:val="008C6C2B"/>
    <w:rsid w:val="008C6DFB"/>
    <w:rsid w:val="008C71B6"/>
    <w:rsid w:val="008C753A"/>
    <w:rsid w:val="008C7636"/>
    <w:rsid w:val="008D04B4"/>
    <w:rsid w:val="008D0BE2"/>
    <w:rsid w:val="008D2B8D"/>
    <w:rsid w:val="008D2BDE"/>
    <w:rsid w:val="008D32CA"/>
    <w:rsid w:val="008D3981"/>
    <w:rsid w:val="008D3C41"/>
    <w:rsid w:val="008D3CD2"/>
    <w:rsid w:val="008D3F09"/>
    <w:rsid w:val="008D4076"/>
    <w:rsid w:val="008D42C3"/>
    <w:rsid w:val="008D4749"/>
    <w:rsid w:val="008D55C5"/>
    <w:rsid w:val="008D5DBC"/>
    <w:rsid w:val="008D65F3"/>
    <w:rsid w:val="008D6600"/>
    <w:rsid w:val="008D68E8"/>
    <w:rsid w:val="008D69FE"/>
    <w:rsid w:val="008E1C48"/>
    <w:rsid w:val="008E1C7C"/>
    <w:rsid w:val="008E3436"/>
    <w:rsid w:val="008E35FA"/>
    <w:rsid w:val="008E3DC4"/>
    <w:rsid w:val="008E4562"/>
    <w:rsid w:val="008E49A5"/>
    <w:rsid w:val="008E4FF7"/>
    <w:rsid w:val="008E50D0"/>
    <w:rsid w:val="008E5971"/>
    <w:rsid w:val="008E6356"/>
    <w:rsid w:val="008E689E"/>
    <w:rsid w:val="008E7AD5"/>
    <w:rsid w:val="008F0C37"/>
    <w:rsid w:val="008F18FA"/>
    <w:rsid w:val="008F1AF1"/>
    <w:rsid w:val="008F1D9F"/>
    <w:rsid w:val="008F2183"/>
    <w:rsid w:val="008F21C0"/>
    <w:rsid w:val="008F22A6"/>
    <w:rsid w:val="008F26C2"/>
    <w:rsid w:val="008F2CDB"/>
    <w:rsid w:val="008F2D53"/>
    <w:rsid w:val="008F3358"/>
    <w:rsid w:val="008F339C"/>
    <w:rsid w:val="008F33D8"/>
    <w:rsid w:val="008F3CC7"/>
    <w:rsid w:val="008F3CCB"/>
    <w:rsid w:val="008F422B"/>
    <w:rsid w:val="008F523F"/>
    <w:rsid w:val="008F5E40"/>
    <w:rsid w:val="008F605C"/>
    <w:rsid w:val="008F61BE"/>
    <w:rsid w:val="008F6C2C"/>
    <w:rsid w:val="008F7610"/>
    <w:rsid w:val="008F768F"/>
    <w:rsid w:val="009000A0"/>
    <w:rsid w:val="00900B97"/>
    <w:rsid w:val="00900D16"/>
    <w:rsid w:val="0090187A"/>
    <w:rsid w:val="00901A35"/>
    <w:rsid w:val="00901A65"/>
    <w:rsid w:val="00902997"/>
    <w:rsid w:val="00903103"/>
    <w:rsid w:val="00903B39"/>
    <w:rsid w:val="00903B48"/>
    <w:rsid w:val="00903EA2"/>
    <w:rsid w:val="0090518F"/>
    <w:rsid w:val="00905C87"/>
    <w:rsid w:val="009062E2"/>
    <w:rsid w:val="009066E1"/>
    <w:rsid w:val="00906E97"/>
    <w:rsid w:val="00906FD7"/>
    <w:rsid w:val="009070C5"/>
    <w:rsid w:val="009071DC"/>
    <w:rsid w:val="0090724B"/>
    <w:rsid w:val="00907440"/>
    <w:rsid w:val="009101E6"/>
    <w:rsid w:val="0091031E"/>
    <w:rsid w:val="00911719"/>
    <w:rsid w:val="00911882"/>
    <w:rsid w:val="0091223B"/>
    <w:rsid w:val="0091235B"/>
    <w:rsid w:val="009126C1"/>
    <w:rsid w:val="009132B3"/>
    <w:rsid w:val="00913B09"/>
    <w:rsid w:val="00913C0C"/>
    <w:rsid w:val="0091412F"/>
    <w:rsid w:val="0091479A"/>
    <w:rsid w:val="00914A98"/>
    <w:rsid w:val="00914BBC"/>
    <w:rsid w:val="00914C4A"/>
    <w:rsid w:val="00914FD2"/>
    <w:rsid w:val="00915635"/>
    <w:rsid w:val="009158BA"/>
    <w:rsid w:val="00915922"/>
    <w:rsid w:val="009159F1"/>
    <w:rsid w:val="00915C82"/>
    <w:rsid w:val="00916068"/>
    <w:rsid w:val="009166AB"/>
    <w:rsid w:val="00916B7F"/>
    <w:rsid w:val="00917D8C"/>
    <w:rsid w:val="00917FB0"/>
    <w:rsid w:val="00920880"/>
    <w:rsid w:val="009208C4"/>
    <w:rsid w:val="00920CE9"/>
    <w:rsid w:val="00920F3F"/>
    <w:rsid w:val="00921BB8"/>
    <w:rsid w:val="00921ED4"/>
    <w:rsid w:val="009229BC"/>
    <w:rsid w:val="00923A15"/>
    <w:rsid w:val="00923C01"/>
    <w:rsid w:val="00923ECA"/>
    <w:rsid w:val="009241FA"/>
    <w:rsid w:val="00924D22"/>
    <w:rsid w:val="00924F4A"/>
    <w:rsid w:val="00925342"/>
    <w:rsid w:val="00925BC9"/>
    <w:rsid w:val="009264B8"/>
    <w:rsid w:val="00926B30"/>
    <w:rsid w:val="00926FE7"/>
    <w:rsid w:val="00927E62"/>
    <w:rsid w:val="00927F21"/>
    <w:rsid w:val="00930188"/>
    <w:rsid w:val="009301D5"/>
    <w:rsid w:val="009304F3"/>
    <w:rsid w:val="0093070F"/>
    <w:rsid w:val="00930881"/>
    <w:rsid w:val="00930AD0"/>
    <w:rsid w:val="0093107B"/>
    <w:rsid w:val="0093118F"/>
    <w:rsid w:val="00931FFF"/>
    <w:rsid w:val="00933512"/>
    <w:rsid w:val="009339AD"/>
    <w:rsid w:val="00933E33"/>
    <w:rsid w:val="009352CE"/>
    <w:rsid w:val="00935751"/>
    <w:rsid w:val="0093623C"/>
    <w:rsid w:val="009362B7"/>
    <w:rsid w:val="009365F0"/>
    <w:rsid w:val="00937DD0"/>
    <w:rsid w:val="00937DDA"/>
    <w:rsid w:val="009400B5"/>
    <w:rsid w:val="0094085B"/>
    <w:rsid w:val="00940996"/>
    <w:rsid w:val="00941220"/>
    <w:rsid w:val="00942C89"/>
    <w:rsid w:val="00942CC9"/>
    <w:rsid w:val="00942E90"/>
    <w:rsid w:val="00942F7C"/>
    <w:rsid w:val="009432C0"/>
    <w:rsid w:val="009437CC"/>
    <w:rsid w:val="00943DF7"/>
    <w:rsid w:val="00944A9D"/>
    <w:rsid w:val="00944C8C"/>
    <w:rsid w:val="00945263"/>
    <w:rsid w:val="00946C32"/>
    <w:rsid w:val="00946F9B"/>
    <w:rsid w:val="00947AA3"/>
    <w:rsid w:val="0095020E"/>
    <w:rsid w:val="00950340"/>
    <w:rsid w:val="00950526"/>
    <w:rsid w:val="0095089D"/>
    <w:rsid w:val="009509D0"/>
    <w:rsid w:val="00950EFB"/>
    <w:rsid w:val="0095166D"/>
    <w:rsid w:val="00951BD6"/>
    <w:rsid w:val="009520BF"/>
    <w:rsid w:val="00952B56"/>
    <w:rsid w:val="00952BE0"/>
    <w:rsid w:val="009531E1"/>
    <w:rsid w:val="009534B4"/>
    <w:rsid w:val="00954F03"/>
    <w:rsid w:val="009551CF"/>
    <w:rsid w:val="00955293"/>
    <w:rsid w:val="009554D8"/>
    <w:rsid w:val="0095578D"/>
    <w:rsid w:val="00955A1A"/>
    <w:rsid w:val="00955CCB"/>
    <w:rsid w:val="00955D4E"/>
    <w:rsid w:val="00955DC5"/>
    <w:rsid w:val="00956121"/>
    <w:rsid w:val="0095782A"/>
    <w:rsid w:val="00957874"/>
    <w:rsid w:val="00957F38"/>
    <w:rsid w:val="009603CA"/>
    <w:rsid w:val="009612CF"/>
    <w:rsid w:val="009617A8"/>
    <w:rsid w:val="009617F8"/>
    <w:rsid w:val="00961955"/>
    <w:rsid w:val="00961ABA"/>
    <w:rsid w:val="00961C86"/>
    <w:rsid w:val="00961CEF"/>
    <w:rsid w:val="00962680"/>
    <w:rsid w:val="00962AFF"/>
    <w:rsid w:val="00963222"/>
    <w:rsid w:val="0096341C"/>
    <w:rsid w:val="0096376E"/>
    <w:rsid w:val="00963D36"/>
    <w:rsid w:val="00964011"/>
    <w:rsid w:val="009641D0"/>
    <w:rsid w:val="0096437F"/>
    <w:rsid w:val="009645A4"/>
    <w:rsid w:val="009653AA"/>
    <w:rsid w:val="009653BA"/>
    <w:rsid w:val="00965AA6"/>
    <w:rsid w:val="00965AB8"/>
    <w:rsid w:val="00965C77"/>
    <w:rsid w:val="00966517"/>
    <w:rsid w:val="00966624"/>
    <w:rsid w:val="00966973"/>
    <w:rsid w:val="00966E4A"/>
    <w:rsid w:val="009674B3"/>
    <w:rsid w:val="00967600"/>
    <w:rsid w:val="0097018E"/>
    <w:rsid w:val="009702B9"/>
    <w:rsid w:val="0097036A"/>
    <w:rsid w:val="009705F9"/>
    <w:rsid w:val="0097184D"/>
    <w:rsid w:val="00971976"/>
    <w:rsid w:val="00971986"/>
    <w:rsid w:val="0097350F"/>
    <w:rsid w:val="00974AA3"/>
    <w:rsid w:val="0097571F"/>
    <w:rsid w:val="00976087"/>
    <w:rsid w:val="00976367"/>
    <w:rsid w:val="009764B8"/>
    <w:rsid w:val="0097658A"/>
    <w:rsid w:val="009765A5"/>
    <w:rsid w:val="00976E5B"/>
    <w:rsid w:val="00977707"/>
    <w:rsid w:val="00977F14"/>
    <w:rsid w:val="00980235"/>
    <w:rsid w:val="00980420"/>
    <w:rsid w:val="00980636"/>
    <w:rsid w:val="00980E29"/>
    <w:rsid w:val="00980E37"/>
    <w:rsid w:val="009817D1"/>
    <w:rsid w:val="00981D16"/>
    <w:rsid w:val="00981E87"/>
    <w:rsid w:val="009831F5"/>
    <w:rsid w:val="009843C4"/>
    <w:rsid w:val="00984820"/>
    <w:rsid w:val="009848F2"/>
    <w:rsid w:val="00984AD3"/>
    <w:rsid w:val="00984F4F"/>
    <w:rsid w:val="00985923"/>
    <w:rsid w:val="009859FF"/>
    <w:rsid w:val="00985FAA"/>
    <w:rsid w:val="009861E4"/>
    <w:rsid w:val="009864FF"/>
    <w:rsid w:val="00986E63"/>
    <w:rsid w:val="009870D0"/>
    <w:rsid w:val="009872FC"/>
    <w:rsid w:val="00987D51"/>
    <w:rsid w:val="009900C4"/>
    <w:rsid w:val="00990CAC"/>
    <w:rsid w:val="00991C4F"/>
    <w:rsid w:val="00992A33"/>
    <w:rsid w:val="00992A46"/>
    <w:rsid w:val="00994BB4"/>
    <w:rsid w:val="00994C41"/>
    <w:rsid w:val="0099510B"/>
    <w:rsid w:val="0099562D"/>
    <w:rsid w:val="00996656"/>
    <w:rsid w:val="009969D5"/>
    <w:rsid w:val="00996BC3"/>
    <w:rsid w:val="00996F24"/>
    <w:rsid w:val="009970A0"/>
    <w:rsid w:val="00997973"/>
    <w:rsid w:val="00997CAE"/>
    <w:rsid w:val="009A0BA5"/>
    <w:rsid w:val="009A0D4D"/>
    <w:rsid w:val="009A152C"/>
    <w:rsid w:val="009A19C6"/>
    <w:rsid w:val="009A3921"/>
    <w:rsid w:val="009A3A97"/>
    <w:rsid w:val="009A3B21"/>
    <w:rsid w:val="009A3EDB"/>
    <w:rsid w:val="009A49A8"/>
    <w:rsid w:val="009A4ABB"/>
    <w:rsid w:val="009A51ED"/>
    <w:rsid w:val="009A56C0"/>
    <w:rsid w:val="009A5C41"/>
    <w:rsid w:val="009A5F16"/>
    <w:rsid w:val="009A60AB"/>
    <w:rsid w:val="009A6809"/>
    <w:rsid w:val="009A6981"/>
    <w:rsid w:val="009A6CB4"/>
    <w:rsid w:val="009A7002"/>
    <w:rsid w:val="009A7214"/>
    <w:rsid w:val="009A7A31"/>
    <w:rsid w:val="009B044A"/>
    <w:rsid w:val="009B1851"/>
    <w:rsid w:val="009B2064"/>
    <w:rsid w:val="009B2521"/>
    <w:rsid w:val="009B3E3B"/>
    <w:rsid w:val="009B4DC0"/>
    <w:rsid w:val="009B4F1F"/>
    <w:rsid w:val="009B56C5"/>
    <w:rsid w:val="009B5F1F"/>
    <w:rsid w:val="009B616D"/>
    <w:rsid w:val="009B68F9"/>
    <w:rsid w:val="009B6B13"/>
    <w:rsid w:val="009B6DEE"/>
    <w:rsid w:val="009B6EA5"/>
    <w:rsid w:val="009B6F1F"/>
    <w:rsid w:val="009B7A51"/>
    <w:rsid w:val="009C061B"/>
    <w:rsid w:val="009C08B2"/>
    <w:rsid w:val="009C0B64"/>
    <w:rsid w:val="009C0D2D"/>
    <w:rsid w:val="009C0EDF"/>
    <w:rsid w:val="009C17D6"/>
    <w:rsid w:val="009C19B0"/>
    <w:rsid w:val="009C19FC"/>
    <w:rsid w:val="009C1A6C"/>
    <w:rsid w:val="009C1A95"/>
    <w:rsid w:val="009C2DE1"/>
    <w:rsid w:val="009C3368"/>
    <w:rsid w:val="009C3D8C"/>
    <w:rsid w:val="009C3D9E"/>
    <w:rsid w:val="009C3EAD"/>
    <w:rsid w:val="009C3EEC"/>
    <w:rsid w:val="009C46DC"/>
    <w:rsid w:val="009C4A15"/>
    <w:rsid w:val="009C4AC8"/>
    <w:rsid w:val="009C5086"/>
    <w:rsid w:val="009C527D"/>
    <w:rsid w:val="009C53A8"/>
    <w:rsid w:val="009C560F"/>
    <w:rsid w:val="009C5DDA"/>
    <w:rsid w:val="009C5E40"/>
    <w:rsid w:val="009C6468"/>
    <w:rsid w:val="009C6781"/>
    <w:rsid w:val="009C6C13"/>
    <w:rsid w:val="009C6CBC"/>
    <w:rsid w:val="009C764A"/>
    <w:rsid w:val="009D1544"/>
    <w:rsid w:val="009D18CE"/>
    <w:rsid w:val="009D1902"/>
    <w:rsid w:val="009D1AC8"/>
    <w:rsid w:val="009D29DF"/>
    <w:rsid w:val="009D31BA"/>
    <w:rsid w:val="009D3EFE"/>
    <w:rsid w:val="009D483B"/>
    <w:rsid w:val="009D4F33"/>
    <w:rsid w:val="009D5026"/>
    <w:rsid w:val="009D5910"/>
    <w:rsid w:val="009D5954"/>
    <w:rsid w:val="009D5AC1"/>
    <w:rsid w:val="009D630E"/>
    <w:rsid w:val="009D63B4"/>
    <w:rsid w:val="009D6FD9"/>
    <w:rsid w:val="009D73C1"/>
    <w:rsid w:val="009D7747"/>
    <w:rsid w:val="009D7850"/>
    <w:rsid w:val="009D7A97"/>
    <w:rsid w:val="009E0024"/>
    <w:rsid w:val="009E0B15"/>
    <w:rsid w:val="009E1199"/>
    <w:rsid w:val="009E1B7B"/>
    <w:rsid w:val="009E245D"/>
    <w:rsid w:val="009E284C"/>
    <w:rsid w:val="009E2D6D"/>
    <w:rsid w:val="009E3997"/>
    <w:rsid w:val="009E3E9F"/>
    <w:rsid w:val="009E41CA"/>
    <w:rsid w:val="009E4699"/>
    <w:rsid w:val="009E4A76"/>
    <w:rsid w:val="009E4C0D"/>
    <w:rsid w:val="009E4F3D"/>
    <w:rsid w:val="009E57A5"/>
    <w:rsid w:val="009E63C4"/>
    <w:rsid w:val="009E7108"/>
    <w:rsid w:val="009E74E3"/>
    <w:rsid w:val="009F06C3"/>
    <w:rsid w:val="009F0805"/>
    <w:rsid w:val="009F08AE"/>
    <w:rsid w:val="009F1158"/>
    <w:rsid w:val="009F1250"/>
    <w:rsid w:val="009F1571"/>
    <w:rsid w:val="009F18B2"/>
    <w:rsid w:val="009F1B18"/>
    <w:rsid w:val="009F1BA4"/>
    <w:rsid w:val="009F1F7B"/>
    <w:rsid w:val="009F1F88"/>
    <w:rsid w:val="009F2342"/>
    <w:rsid w:val="009F2B61"/>
    <w:rsid w:val="009F2F18"/>
    <w:rsid w:val="009F3F04"/>
    <w:rsid w:val="009F4E22"/>
    <w:rsid w:val="009F5332"/>
    <w:rsid w:val="009F676B"/>
    <w:rsid w:val="009F682B"/>
    <w:rsid w:val="009F6BF9"/>
    <w:rsid w:val="009F6FFD"/>
    <w:rsid w:val="009F7527"/>
    <w:rsid w:val="009F7783"/>
    <w:rsid w:val="009F7AD0"/>
    <w:rsid w:val="009F7AED"/>
    <w:rsid w:val="009F7CB7"/>
    <w:rsid w:val="00A0065F"/>
    <w:rsid w:val="00A00A07"/>
    <w:rsid w:val="00A00D93"/>
    <w:rsid w:val="00A01167"/>
    <w:rsid w:val="00A012A1"/>
    <w:rsid w:val="00A01592"/>
    <w:rsid w:val="00A02D36"/>
    <w:rsid w:val="00A02D6B"/>
    <w:rsid w:val="00A03103"/>
    <w:rsid w:val="00A033E2"/>
    <w:rsid w:val="00A03409"/>
    <w:rsid w:val="00A03B56"/>
    <w:rsid w:val="00A03D36"/>
    <w:rsid w:val="00A03DDC"/>
    <w:rsid w:val="00A046DC"/>
    <w:rsid w:val="00A04CF5"/>
    <w:rsid w:val="00A05154"/>
    <w:rsid w:val="00A05532"/>
    <w:rsid w:val="00A05771"/>
    <w:rsid w:val="00A05865"/>
    <w:rsid w:val="00A059F1"/>
    <w:rsid w:val="00A05B53"/>
    <w:rsid w:val="00A0616C"/>
    <w:rsid w:val="00A06359"/>
    <w:rsid w:val="00A066C5"/>
    <w:rsid w:val="00A06D45"/>
    <w:rsid w:val="00A0764B"/>
    <w:rsid w:val="00A07D6F"/>
    <w:rsid w:val="00A106BF"/>
    <w:rsid w:val="00A106F5"/>
    <w:rsid w:val="00A1074D"/>
    <w:rsid w:val="00A10D87"/>
    <w:rsid w:val="00A10DCF"/>
    <w:rsid w:val="00A10F3C"/>
    <w:rsid w:val="00A1110C"/>
    <w:rsid w:val="00A11E69"/>
    <w:rsid w:val="00A11FDC"/>
    <w:rsid w:val="00A121FA"/>
    <w:rsid w:val="00A12DB6"/>
    <w:rsid w:val="00A13636"/>
    <w:rsid w:val="00A13C08"/>
    <w:rsid w:val="00A14039"/>
    <w:rsid w:val="00A142C3"/>
    <w:rsid w:val="00A1444C"/>
    <w:rsid w:val="00A1449A"/>
    <w:rsid w:val="00A14B2D"/>
    <w:rsid w:val="00A14BFC"/>
    <w:rsid w:val="00A157F0"/>
    <w:rsid w:val="00A15D44"/>
    <w:rsid w:val="00A168AB"/>
    <w:rsid w:val="00A169F2"/>
    <w:rsid w:val="00A16B1E"/>
    <w:rsid w:val="00A16D05"/>
    <w:rsid w:val="00A171E3"/>
    <w:rsid w:val="00A17452"/>
    <w:rsid w:val="00A20020"/>
    <w:rsid w:val="00A2007D"/>
    <w:rsid w:val="00A20A55"/>
    <w:rsid w:val="00A21CB1"/>
    <w:rsid w:val="00A231FF"/>
    <w:rsid w:val="00A2329A"/>
    <w:rsid w:val="00A233D1"/>
    <w:rsid w:val="00A23840"/>
    <w:rsid w:val="00A248C6"/>
    <w:rsid w:val="00A251EA"/>
    <w:rsid w:val="00A254B3"/>
    <w:rsid w:val="00A25622"/>
    <w:rsid w:val="00A25947"/>
    <w:rsid w:val="00A26326"/>
    <w:rsid w:val="00A263A8"/>
    <w:rsid w:val="00A264D3"/>
    <w:rsid w:val="00A26599"/>
    <w:rsid w:val="00A27240"/>
    <w:rsid w:val="00A2770B"/>
    <w:rsid w:val="00A27EC7"/>
    <w:rsid w:val="00A3072E"/>
    <w:rsid w:val="00A308BF"/>
    <w:rsid w:val="00A30A32"/>
    <w:rsid w:val="00A30DB6"/>
    <w:rsid w:val="00A3122E"/>
    <w:rsid w:val="00A31629"/>
    <w:rsid w:val="00A318CF"/>
    <w:rsid w:val="00A31BBC"/>
    <w:rsid w:val="00A327A5"/>
    <w:rsid w:val="00A327DF"/>
    <w:rsid w:val="00A3286C"/>
    <w:rsid w:val="00A32C64"/>
    <w:rsid w:val="00A32E3A"/>
    <w:rsid w:val="00A33C7B"/>
    <w:rsid w:val="00A3452B"/>
    <w:rsid w:val="00A34640"/>
    <w:rsid w:val="00A34712"/>
    <w:rsid w:val="00A34CB3"/>
    <w:rsid w:val="00A34D4F"/>
    <w:rsid w:val="00A35997"/>
    <w:rsid w:val="00A35A10"/>
    <w:rsid w:val="00A35A68"/>
    <w:rsid w:val="00A3618B"/>
    <w:rsid w:val="00A36735"/>
    <w:rsid w:val="00A37160"/>
    <w:rsid w:val="00A37961"/>
    <w:rsid w:val="00A37A04"/>
    <w:rsid w:val="00A37A3C"/>
    <w:rsid w:val="00A37F2A"/>
    <w:rsid w:val="00A4033D"/>
    <w:rsid w:val="00A405AB"/>
    <w:rsid w:val="00A407F5"/>
    <w:rsid w:val="00A410CA"/>
    <w:rsid w:val="00A41488"/>
    <w:rsid w:val="00A4180D"/>
    <w:rsid w:val="00A418CD"/>
    <w:rsid w:val="00A41EAC"/>
    <w:rsid w:val="00A42385"/>
    <w:rsid w:val="00A42397"/>
    <w:rsid w:val="00A42BD8"/>
    <w:rsid w:val="00A43C45"/>
    <w:rsid w:val="00A43F06"/>
    <w:rsid w:val="00A446F4"/>
    <w:rsid w:val="00A447FD"/>
    <w:rsid w:val="00A44879"/>
    <w:rsid w:val="00A44E01"/>
    <w:rsid w:val="00A451BA"/>
    <w:rsid w:val="00A45A3A"/>
    <w:rsid w:val="00A45C0E"/>
    <w:rsid w:val="00A46767"/>
    <w:rsid w:val="00A4740B"/>
    <w:rsid w:val="00A501BD"/>
    <w:rsid w:val="00A51127"/>
    <w:rsid w:val="00A511B8"/>
    <w:rsid w:val="00A5123A"/>
    <w:rsid w:val="00A518FD"/>
    <w:rsid w:val="00A51E7D"/>
    <w:rsid w:val="00A52135"/>
    <w:rsid w:val="00A53AF5"/>
    <w:rsid w:val="00A542CA"/>
    <w:rsid w:val="00A542F9"/>
    <w:rsid w:val="00A54911"/>
    <w:rsid w:val="00A54B84"/>
    <w:rsid w:val="00A551F9"/>
    <w:rsid w:val="00A552BC"/>
    <w:rsid w:val="00A55965"/>
    <w:rsid w:val="00A55EDF"/>
    <w:rsid w:val="00A5656B"/>
    <w:rsid w:val="00A57097"/>
    <w:rsid w:val="00A57334"/>
    <w:rsid w:val="00A578F8"/>
    <w:rsid w:val="00A6042B"/>
    <w:rsid w:val="00A604D2"/>
    <w:rsid w:val="00A604F2"/>
    <w:rsid w:val="00A60B7F"/>
    <w:rsid w:val="00A61E8E"/>
    <w:rsid w:val="00A6203D"/>
    <w:rsid w:val="00A6214D"/>
    <w:rsid w:val="00A62E63"/>
    <w:rsid w:val="00A632DB"/>
    <w:rsid w:val="00A63A3E"/>
    <w:rsid w:val="00A63F2C"/>
    <w:rsid w:val="00A64707"/>
    <w:rsid w:val="00A64B65"/>
    <w:rsid w:val="00A64D58"/>
    <w:rsid w:val="00A66052"/>
    <w:rsid w:val="00A6665D"/>
    <w:rsid w:val="00A672C9"/>
    <w:rsid w:val="00A674DD"/>
    <w:rsid w:val="00A701DE"/>
    <w:rsid w:val="00A706A1"/>
    <w:rsid w:val="00A710E7"/>
    <w:rsid w:val="00A71D24"/>
    <w:rsid w:val="00A71ED6"/>
    <w:rsid w:val="00A729C8"/>
    <w:rsid w:val="00A72B0A"/>
    <w:rsid w:val="00A7451C"/>
    <w:rsid w:val="00A74C15"/>
    <w:rsid w:val="00A74CA0"/>
    <w:rsid w:val="00A751F1"/>
    <w:rsid w:val="00A7565E"/>
    <w:rsid w:val="00A75672"/>
    <w:rsid w:val="00A7577B"/>
    <w:rsid w:val="00A75F43"/>
    <w:rsid w:val="00A768A8"/>
    <w:rsid w:val="00A76D74"/>
    <w:rsid w:val="00A7751D"/>
    <w:rsid w:val="00A776E0"/>
    <w:rsid w:val="00A7777A"/>
    <w:rsid w:val="00A77C7F"/>
    <w:rsid w:val="00A77FD4"/>
    <w:rsid w:val="00A80147"/>
    <w:rsid w:val="00A80701"/>
    <w:rsid w:val="00A80E1F"/>
    <w:rsid w:val="00A80E29"/>
    <w:rsid w:val="00A80F84"/>
    <w:rsid w:val="00A81565"/>
    <w:rsid w:val="00A816DB"/>
    <w:rsid w:val="00A826B0"/>
    <w:rsid w:val="00A8291C"/>
    <w:rsid w:val="00A82ABF"/>
    <w:rsid w:val="00A841A5"/>
    <w:rsid w:val="00A84241"/>
    <w:rsid w:val="00A844FF"/>
    <w:rsid w:val="00A84D25"/>
    <w:rsid w:val="00A865A5"/>
    <w:rsid w:val="00A86864"/>
    <w:rsid w:val="00A900DF"/>
    <w:rsid w:val="00A901D8"/>
    <w:rsid w:val="00A9039E"/>
    <w:rsid w:val="00A904F1"/>
    <w:rsid w:val="00A913BA"/>
    <w:rsid w:val="00A91523"/>
    <w:rsid w:val="00A919CB"/>
    <w:rsid w:val="00A91DE2"/>
    <w:rsid w:val="00A91E53"/>
    <w:rsid w:val="00A92832"/>
    <w:rsid w:val="00A92F24"/>
    <w:rsid w:val="00A9313F"/>
    <w:rsid w:val="00A937AC"/>
    <w:rsid w:val="00A93B44"/>
    <w:rsid w:val="00A93EC4"/>
    <w:rsid w:val="00A94452"/>
    <w:rsid w:val="00A949CB"/>
    <w:rsid w:val="00A95644"/>
    <w:rsid w:val="00A96278"/>
    <w:rsid w:val="00A9661D"/>
    <w:rsid w:val="00A96D4C"/>
    <w:rsid w:val="00A9745C"/>
    <w:rsid w:val="00A97901"/>
    <w:rsid w:val="00A979B7"/>
    <w:rsid w:val="00A97D08"/>
    <w:rsid w:val="00A97DF8"/>
    <w:rsid w:val="00A97EE6"/>
    <w:rsid w:val="00A97F59"/>
    <w:rsid w:val="00AA0487"/>
    <w:rsid w:val="00AA07BA"/>
    <w:rsid w:val="00AA083C"/>
    <w:rsid w:val="00AA0F60"/>
    <w:rsid w:val="00AA13C2"/>
    <w:rsid w:val="00AA1591"/>
    <w:rsid w:val="00AA1694"/>
    <w:rsid w:val="00AA26C2"/>
    <w:rsid w:val="00AA2F09"/>
    <w:rsid w:val="00AA3053"/>
    <w:rsid w:val="00AA3250"/>
    <w:rsid w:val="00AA333B"/>
    <w:rsid w:val="00AA3C49"/>
    <w:rsid w:val="00AA3D84"/>
    <w:rsid w:val="00AA3EB7"/>
    <w:rsid w:val="00AA3F3E"/>
    <w:rsid w:val="00AA4315"/>
    <w:rsid w:val="00AA44D6"/>
    <w:rsid w:val="00AA4540"/>
    <w:rsid w:val="00AA4793"/>
    <w:rsid w:val="00AA4F06"/>
    <w:rsid w:val="00AA552C"/>
    <w:rsid w:val="00AA5A94"/>
    <w:rsid w:val="00AA6075"/>
    <w:rsid w:val="00AA65AF"/>
    <w:rsid w:val="00AA677D"/>
    <w:rsid w:val="00AA6A43"/>
    <w:rsid w:val="00AA6C81"/>
    <w:rsid w:val="00AA7CCB"/>
    <w:rsid w:val="00AA7EE1"/>
    <w:rsid w:val="00AB03CA"/>
    <w:rsid w:val="00AB06F2"/>
    <w:rsid w:val="00AB0A3D"/>
    <w:rsid w:val="00AB14FB"/>
    <w:rsid w:val="00AB1731"/>
    <w:rsid w:val="00AB1DF7"/>
    <w:rsid w:val="00AB24D6"/>
    <w:rsid w:val="00AB24E0"/>
    <w:rsid w:val="00AB31A6"/>
    <w:rsid w:val="00AB3909"/>
    <w:rsid w:val="00AB3C0F"/>
    <w:rsid w:val="00AB48CE"/>
    <w:rsid w:val="00AB52ED"/>
    <w:rsid w:val="00AB56A2"/>
    <w:rsid w:val="00AB5A63"/>
    <w:rsid w:val="00AB5FD5"/>
    <w:rsid w:val="00AB642C"/>
    <w:rsid w:val="00AB67C5"/>
    <w:rsid w:val="00AB68B3"/>
    <w:rsid w:val="00AB78FC"/>
    <w:rsid w:val="00AB7C76"/>
    <w:rsid w:val="00AC01F3"/>
    <w:rsid w:val="00AC03A6"/>
    <w:rsid w:val="00AC057B"/>
    <w:rsid w:val="00AC0B9E"/>
    <w:rsid w:val="00AC0C49"/>
    <w:rsid w:val="00AC126F"/>
    <w:rsid w:val="00AC1467"/>
    <w:rsid w:val="00AC1473"/>
    <w:rsid w:val="00AC2AD0"/>
    <w:rsid w:val="00AC3C9A"/>
    <w:rsid w:val="00AC504F"/>
    <w:rsid w:val="00AC5118"/>
    <w:rsid w:val="00AC53E3"/>
    <w:rsid w:val="00AC6CE9"/>
    <w:rsid w:val="00AC7C3F"/>
    <w:rsid w:val="00AD04CF"/>
    <w:rsid w:val="00AD08DE"/>
    <w:rsid w:val="00AD1781"/>
    <w:rsid w:val="00AD1ACA"/>
    <w:rsid w:val="00AD34CA"/>
    <w:rsid w:val="00AD38BC"/>
    <w:rsid w:val="00AD3902"/>
    <w:rsid w:val="00AD41D9"/>
    <w:rsid w:val="00AD44BA"/>
    <w:rsid w:val="00AD453A"/>
    <w:rsid w:val="00AD4698"/>
    <w:rsid w:val="00AD4B67"/>
    <w:rsid w:val="00AD4CDA"/>
    <w:rsid w:val="00AD505F"/>
    <w:rsid w:val="00AD5119"/>
    <w:rsid w:val="00AD5610"/>
    <w:rsid w:val="00AD57F5"/>
    <w:rsid w:val="00AD6548"/>
    <w:rsid w:val="00AD65BE"/>
    <w:rsid w:val="00AD67F5"/>
    <w:rsid w:val="00AD7090"/>
    <w:rsid w:val="00AD7D17"/>
    <w:rsid w:val="00AE02DE"/>
    <w:rsid w:val="00AE03FF"/>
    <w:rsid w:val="00AE078E"/>
    <w:rsid w:val="00AE27D9"/>
    <w:rsid w:val="00AE2EA5"/>
    <w:rsid w:val="00AE33FB"/>
    <w:rsid w:val="00AE3B82"/>
    <w:rsid w:val="00AE458A"/>
    <w:rsid w:val="00AE4716"/>
    <w:rsid w:val="00AE4ED7"/>
    <w:rsid w:val="00AE50A7"/>
    <w:rsid w:val="00AE5D75"/>
    <w:rsid w:val="00AE6212"/>
    <w:rsid w:val="00AE6ABE"/>
    <w:rsid w:val="00AE6F82"/>
    <w:rsid w:val="00AE74E0"/>
    <w:rsid w:val="00AE7EC7"/>
    <w:rsid w:val="00AF0BD6"/>
    <w:rsid w:val="00AF152E"/>
    <w:rsid w:val="00AF180B"/>
    <w:rsid w:val="00AF1B27"/>
    <w:rsid w:val="00AF1BCB"/>
    <w:rsid w:val="00AF2582"/>
    <w:rsid w:val="00AF2903"/>
    <w:rsid w:val="00AF2A35"/>
    <w:rsid w:val="00AF3199"/>
    <w:rsid w:val="00AF44AE"/>
    <w:rsid w:val="00AF4DAE"/>
    <w:rsid w:val="00AF58BE"/>
    <w:rsid w:val="00AF5D51"/>
    <w:rsid w:val="00AF5F9A"/>
    <w:rsid w:val="00AF613D"/>
    <w:rsid w:val="00AF619E"/>
    <w:rsid w:val="00AF6204"/>
    <w:rsid w:val="00AF71C3"/>
    <w:rsid w:val="00AF7F26"/>
    <w:rsid w:val="00B00751"/>
    <w:rsid w:val="00B00C25"/>
    <w:rsid w:val="00B00C82"/>
    <w:rsid w:val="00B00D67"/>
    <w:rsid w:val="00B01EC9"/>
    <w:rsid w:val="00B02151"/>
    <w:rsid w:val="00B02562"/>
    <w:rsid w:val="00B029DB"/>
    <w:rsid w:val="00B02A0D"/>
    <w:rsid w:val="00B03099"/>
    <w:rsid w:val="00B033C4"/>
    <w:rsid w:val="00B036DF"/>
    <w:rsid w:val="00B03CCB"/>
    <w:rsid w:val="00B03D7B"/>
    <w:rsid w:val="00B04546"/>
    <w:rsid w:val="00B04955"/>
    <w:rsid w:val="00B04BD7"/>
    <w:rsid w:val="00B04EDF"/>
    <w:rsid w:val="00B050EF"/>
    <w:rsid w:val="00B05191"/>
    <w:rsid w:val="00B05871"/>
    <w:rsid w:val="00B06399"/>
    <w:rsid w:val="00B067C7"/>
    <w:rsid w:val="00B071F1"/>
    <w:rsid w:val="00B07EED"/>
    <w:rsid w:val="00B1002F"/>
    <w:rsid w:val="00B1060F"/>
    <w:rsid w:val="00B10AC2"/>
    <w:rsid w:val="00B10D87"/>
    <w:rsid w:val="00B10E5D"/>
    <w:rsid w:val="00B10F03"/>
    <w:rsid w:val="00B11C34"/>
    <w:rsid w:val="00B11D1C"/>
    <w:rsid w:val="00B124A5"/>
    <w:rsid w:val="00B12DD6"/>
    <w:rsid w:val="00B13164"/>
    <w:rsid w:val="00B13A00"/>
    <w:rsid w:val="00B13A11"/>
    <w:rsid w:val="00B13D0E"/>
    <w:rsid w:val="00B13D0F"/>
    <w:rsid w:val="00B144B8"/>
    <w:rsid w:val="00B14817"/>
    <w:rsid w:val="00B14F79"/>
    <w:rsid w:val="00B153DE"/>
    <w:rsid w:val="00B1576B"/>
    <w:rsid w:val="00B15A62"/>
    <w:rsid w:val="00B15CBD"/>
    <w:rsid w:val="00B1664A"/>
    <w:rsid w:val="00B16EB3"/>
    <w:rsid w:val="00B17564"/>
    <w:rsid w:val="00B178BB"/>
    <w:rsid w:val="00B1791F"/>
    <w:rsid w:val="00B17AB3"/>
    <w:rsid w:val="00B20664"/>
    <w:rsid w:val="00B2176A"/>
    <w:rsid w:val="00B22701"/>
    <w:rsid w:val="00B22E52"/>
    <w:rsid w:val="00B22FE8"/>
    <w:rsid w:val="00B23211"/>
    <w:rsid w:val="00B2371E"/>
    <w:rsid w:val="00B23A23"/>
    <w:rsid w:val="00B23D74"/>
    <w:rsid w:val="00B2459C"/>
    <w:rsid w:val="00B2480E"/>
    <w:rsid w:val="00B24F83"/>
    <w:rsid w:val="00B2521E"/>
    <w:rsid w:val="00B265DD"/>
    <w:rsid w:val="00B267D2"/>
    <w:rsid w:val="00B27601"/>
    <w:rsid w:val="00B27C6A"/>
    <w:rsid w:val="00B3009C"/>
    <w:rsid w:val="00B305AA"/>
    <w:rsid w:val="00B30819"/>
    <w:rsid w:val="00B30A26"/>
    <w:rsid w:val="00B30BF6"/>
    <w:rsid w:val="00B30D4A"/>
    <w:rsid w:val="00B319B7"/>
    <w:rsid w:val="00B31E2A"/>
    <w:rsid w:val="00B31E94"/>
    <w:rsid w:val="00B32041"/>
    <w:rsid w:val="00B32091"/>
    <w:rsid w:val="00B3220B"/>
    <w:rsid w:val="00B323B4"/>
    <w:rsid w:val="00B328CB"/>
    <w:rsid w:val="00B3370D"/>
    <w:rsid w:val="00B33873"/>
    <w:rsid w:val="00B33BD7"/>
    <w:rsid w:val="00B33C13"/>
    <w:rsid w:val="00B34894"/>
    <w:rsid w:val="00B349B7"/>
    <w:rsid w:val="00B35BB8"/>
    <w:rsid w:val="00B35DF9"/>
    <w:rsid w:val="00B35EC7"/>
    <w:rsid w:val="00B37C01"/>
    <w:rsid w:val="00B40769"/>
    <w:rsid w:val="00B40C33"/>
    <w:rsid w:val="00B40D76"/>
    <w:rsid w:val="00B4137E"/>
    <w:rsid w:val="00B4147F"/>
    <w:rsid w:val="00B41CC9"/>
    <w:rsid w:val="00B41D58"/>
    <w:rsid w:val="00B42031"/>
    <w:rsid w:val="00B42394"/>
    <w:rsid w:val="00B42539"/>
    <w:rsid w:val="00B42B53"/>
    <w:rsid w:val="00B42C20"/>
    <w:rsid w:val="00B43036"/>
    <w:rsid w:val="00B4317B"/>
    <w:rsid w:val="00B43211"/>
    <w:rsid w:val="00B439C3"/>
    <w:rsid w:val="00B440E7"/>
    <w:rsid w:val="00B44157"/>
    <w:rsid w:val="00B443DE"/>
    <w:rsid w:val="00B4513E"/>
    <w:rsid w:val="00B451E8"/>
    <w:rsid w:val="00B457F1"/>
    <w:rsid w:val="00B45D7A"/>
    <w:rsid w:val="00B461A1"/>
    <w:rsid w:val="00B4658F"/>
    <w:rsid w:val="00B472D3"/>
    <w:rsid w:val="00B47383"/>
    <w:rsid w:val="00B47825"/>
    <w:rsid w:val="00B4790B"/>
    <w:rsid w:val="00B500D1"/>
    <w:rsid w:val="00B5062D"/>
    <w:rsid w:val="00B50BA5"/>
    <w:rsid w:val="00B50BAC"/>
    <w:rsid w:val="00B510A0"/>
    <w:rsid w:val="00B51149"/>
    <w:rsid w:val="00B51544"/>
    <w:rsid w:val="00B51B0D"/>
    <w:rsid w:val="00B5247B"/>
    <w:rsid w:val="00B525A2"/>
    <w:rsid w:val="00B528A8"/>
    <w:rsid w:val="00B52A28"/>
    <w:rsid w:val="00B52DE2"/>
    <w:rsid w:val="00B52EF1"/>
    <w:rsid w:val="00B52F77"/>
    <w:rsid w:val="00B53344"/>
    <w:rsid w:val="00B53462"/>
    <w:rsid w:val="00B537E4"/>
    <w:rsid w:val="00B53A73"/>
    <w:rsid w:val="00B548E0"/>
    <w:rsid w:val="00B54B64"/>
    <w:rsid w:val="00B5597C"/>
    <w:rsid w:val="00B55DCD"/>
    <w:rsid w:val="00B5618B"/>
    <w:rsid w:val="00B56300"/>
    <w:rsid w:val="00B5643E"/>
    <w:rsid w:val="00B56658"/>
    <w:rsid w:val="00B56B00"/>
    <w:rsid w:val="00B56D4B"/>
    <w:rsid w:val="00B574A8"/>
    <w:rsid w:val="00B57984"/>
    <w:rsid w:val="00B57D73"/>
    <w:rsid w:val="00B60105"/>
    <w:rsid w:val="00B605CB"/>
    <w:rsid w:val="00B6096F"/>
    <w:rsid w:val="00B61564"/>
    <w:rsid w:val="00B61F39"/>
    <w:rsid w:val="00B621EE"/>
    <w:rsid w:val="00B62595"/>
    <w:rsid w:val="00B62A07"/>
    <w:rsid w:val="00B62B7A"/>
    <w:rsid w:val="00B62C09"/>
    <w:rsid w:val="00B63269"/>
    <w:rsid w:val="00B6345E"/>
    <w:rsid w:val="00B63C02"/>
    <w:rsid w:val="00B63E6A"/>
    <w:rsid w:val="00B64360"/>
    <w:rsid w:val="00B64382"/>
    <w:rsid w:val="00B64C6C"/>
    <w:rsid w:val="00B651C4"/>
    <w:rsid w:val="00B6604A"/>
    <w:rsid w:val="00B672D5"/>
    <w:rsid w:val="00B67684"/>
    <w:rsid w:val="00B67F5B"/>
    <w:rsid w:val="00B700AC"/>
    <w:rsid w:val="00B704D6"/>
    <w:rsid w:val="00B71BD0"/>
    <w:rsid w:val="00B71D13"/>
    <w:rsid w:val="00B7218B"/>
    <w:rsid w:val="00B723C7"/>
    <w:rsid w:val="00B723E5"/>
    <w:rsid w:val="00B726AA"/>
    <w:rsid w:val="00B7314A"/>
    <w:rsid w:val="00B735CE"/>
    <w:rsid w:val="00B73A52"/>
    <w:rsid w:val="00B747C9"/>
    <w:rsid w:val="00B74F66"/>
    <w:rsid w:val="00B75A9D"/>
    <w:rsid w:val="00B75EB8"/>
    <w:rsid w:val="00B76B94"/>
    <w:rsid w:val="00B80392"/>
    <w:rsid w:val="00B8051F"/>
    <w:rsid w:val="00B80977"/>
    <w:rsid w:val="00B81620"/>
    <w:rsid w:val="00B8171F"/>
    <w:rsid w:val="00B818F9"/>
    <w:rsid w:val="00B822C9"/>
    <w:rsid w:val="00B8238C"/>
    <w:rsid w:val="00B828FF"/>
    <w:rsid w:val="00B82C71"/>
    <w:rsid w:val="00B83DE0"/>
    <w:rsid w:val="00B83F90"/>
    <w:rsid w:val="00B840B9"/>
    <w:rsid w:val="00B84E94"/>
    <w:rsid w:val="00B8552F"/>
    <w:rsid w:val="00B85C47"/>
    <w:rsid w:val="00B8646C"/>
    <w:rsid w:val="00B8782C"/>
    <w:rsid w:val="00B87914"/>
    <w:rsid w:val="00B87FA8"/>
    <w:rsid w:val="00B90146"/>
    <w:rsid w:val="00B90C22"/>
    <w:rsid w:val="00B90C89"/>
    <w:rsid w:val="00B912BD"/>
    <w:rsid w:val="00B914FA"/>
    <w:rsid w:val="00B91ABC"/>
    <w:rsid w:val="00B91E65"/>
    <w:rsid w:val="00B92524"/>
    <w:rsid w:val="00B925C6"/>
    <w:rsid w:val="00B92C6E"/>
    <w:rsid w:val="00B92D0D"/>
    <w:rsid w:val="00B92D6F"/>
    <w:rsid w:val="00B92E85"/>
    <w:rsid w:val="00B93A26"/>
    <w:rsid w:val="00B9470E"/>
    <w:rsid w:val="00B9477E"/>
    <w:rsid w:val="00B948B8"/>
    <w:rsid w:val="00B94969"/>
    <w:rsid w:val="00B9565A"/>
    <w:rsid w:val="00B957F3"/>
    <w:rsid w:val="00B95D94"/>
    <w:rsid w:val="00B9617C"/>
    <w:rsid w:val="00B9646E"/>
    <w:rsid w:val="00B96E8F"/>
    <w:rsid w:val="00B974E5"/>
    <w:rsid w:val="00B978A6"/>
    <w:rsid w:val="00B97926"/>
    <w:rsid w:val="00BA00E8"/>
    <w:rsid w:val="00BA0282"/>
    <w:rsid w:val="00BA028C"/>
    <w:rsid w:val="00BA07A4"/>
    <w:rsid w:val="00BA0D41"/>
    <w:rsid w:val="00BA195E"/>
    <w:rsid w:val="00BA39C2"/>
    <w:rsid w:val="00BA43C9"/>
    <w:rsid w:val="00BA488C"/>
    <w:rsid w:val="00BA4CA2"/>
    <w:rsid w:val="00BA5572"/>
    <w:rsid w:val="00BA577C"/>
    <w:rsid w:val="00BA6252"/>
    <w:rsid w:val="00BA62B0"/>
    <w:rsid w:val="00BA6C18"/>
    <w:rsid w:val="00BA724F"/>
    <w:rsid w:val="00BA75DD"/>
    <w:rsid w:val="00BA7D67"/>
    <w:rsid w:val="00BB1101"/>
    <w:rsid w:val="00BB1280"/>
    <w:rsid w:val="00BB1429"/>
    <w:rsid w:val="00BB18BF"/>
    <w:rsid w:val="00BB2850"/>
    <w:rsid w:val="00BB2D47"/>
    <w:rsid w:val="00BB36AF"/>
    <w:rsid w:val="00BB37C9"/>
    <w:rsid w:val="00BB506F"/>
    <w:rsid w:val="00BB51A4"/>
    <w:rsid w:val="00BB57F1"/>
    <w:rsid w:val="00BB60DB"/>
    <w:rsid w:val="00BB65A6"/>
    <w:rsid w:val="00BB6A99"/>
    <w:rsid w:val="00BB6B1F"/>
    <w:rsid w:val="00BB6E91"/>
    <w:rsid w:val="00BB745D"/>
    <w:rsid w:val="00BB7AA1"/>
    <w:rsid w:val="00BC043E"/>
    <w:rsid w:val="00BC05F9"/>
    <w:rsid w:val="00BC1A97"/>
    <w:rsid w:val="00BC1AC1"/>
    <w:rsid w:val="00BC1CAC"/>
    <w:rsid w:val="00BC1DAA"/>
    <w:rsid w:val="00BC1E79"/>
    <w:rsid w:val="00BC22B7"/>
    <w:rsid w:val="00BC233C"/>
    <w:rsid w:val="00BC33D7"/>
    <w:rsid w:val="00BC378E"/>
    <w:rsid w:val="00BC3B67"/>
    <w:rsid w:val="00BC3E55"/>
    <w:rsid w:val="00BC3F9A"/>
    <w:rsid w:val="00BC4106"/>
    <w:rsid w:val="00BC5177"/>
    <w:rsid w:val="00BC58F4"/>
    <w:rsid w:val="00BC5A03"/>
    <w:rsid w:val="00BC5CE6"/>
    <w:rsid w:val="00BC5D95"/>
    <w:rsid w:val="00BC5FB1"/>
    <w:rsid w:val="00BC61E7"/>
    <w:rsid w:val="00BC6D31"/>
    <w:rsid w:val="00BC725F"/>
    <w:rsid w:val="00BD006B"/>
    <w:rsid w:val="00BD00FE"/>
    <w:rsid w:val="00BD0EED"/>
    <w:rsid w:val="00BD0FDA"/>
    <w:rsid w:val="00BD1BFA"/>
    <w:rsid w:val="00BD296B"/>
    <w:rsid w:val="00BD2FCF"/>
    <w:rsid w:val="00BD3271"/>
    <w:rsid w:val="00BD32B0"/>
    <w:rsid w:val="00BD3BC2"/>
    <w:rsid w:val="00BD3D7C"/>
    <w:rsid w:val="00BD4081"/>
    <w:rsid w:val="00BD42DE"/>
    <w:rsid w:val="00BD46E1"/>
    <w:rsid w:val="00BD475B"/>
    <w:rsid w:val="00BD4CF1"/>
    <w:rsid w:val="00BD4E11"/>
    <w:rsid w:val="00BD5C38"/>
    <w:rsid w:val="00BD5FD4"/>
    <w:rsid w:val="00BD6BAC"/>
    <w:rsid w:val="00BD7013"/>
    <w:rsid w:val="00BD7528"/>
    <w:rsid w:val="00BD7E57"/>
    <w:rsid w:val="00BD7FCE"/>
    <w:rsid w:val="00BE0051"/>
    <w:rsid w:val="00BE04E6"/>
    <w:rsid w:val="00BE166B"/>
    <w:rsid w:val="00BE1C59"/>
    <w:rsid w:val="00BE2408"/>
    <w:rsid w:val="00BE2787"/>
    <w:rsid w:val="00BE3152"/>
    <w:rsid w:val="00BE38E9"/>
    <w:rsid w:val="00BE4061"/>
    <w:rsid w:val="00BE4A00"/>
    <w:rsid w:val="00BE5BAC"/>
    <w:rsid w:val="00BE607D"/>
    <w:rsid w:val="00BE6175"/>
    <w:rsid w:val="00BE66F2"/>
    <w:rsid w:val="00BE6ACA"/>
    <w:rsid w:val="00BE71CB"/>
    <w:rsid w:val="00BE72F3"/>
    <w:rsid w:val="00BE79B4"/>
    <w:rsid w:val="00BE7D72"/>
    <w:rsid w:val="00BF036D"/>
    <w:rsid w:val="00BF0ADC"/>
    <w:rsid w:val="00BF203B"/>
    <w:rsid w:val="00BF2325"/>
    <w:rsid w:val="00BF23CD"/>
    <w:rsid w:val="00BF2A20"/>
    <w:rsid w:val="00BF2AAE"/>
    <w:rsid w:val="00BF313F"/>
    <w:rsid w:val="00BF3948"/>
    <w:rsid w:val="00BF4E45"/>
    <w:rsid w:val="00BF542C"/>
    <w:rsid w:val="00BF5551"/>
    <w:rsid w:val="00BF6527"/>
    <w:rsid w:val="00BF7606"/>
    <w:rsid w:val="00BF7667"/>
    <w:rsid w:val="00BF7D62"/>
    <w:rsid w:val="00C0039D"/>
    <w:rsid w:val="00C01043"/>
    <w:rsid w:val="00C01243"/>
    <w:rsid w:val="00C012B5"/>
    <w:rsid w:val="00C01B45"/>
    <w:rsid w:val="00C01EA4"/>
    <w:rsid w:val="00C020BF"/>
    <w:rsid w:val="00C02326"/>
    <w:rsid w:val="00C026EB"/>
    <w:rsid w:val="00C030A0"/>
    <w:rsid w:val="00C0397A"/>
    <w:rsid w:val="00C03B14"/>
    <w:rsid w:val="00C04D18"/>
    <w:rsid w:val="00C05017"/>
    <w:rsid w:val="00C050BC"/>
    <w:rsid w:val="00C05182"/>
    <w:rsid w:val="00C05F57"/>
    <w:rsid w:val="00C06EDA"/>
    <w:rsid w:val="00C06F41"/>
    <w:rsid w:val="00C06FD9"/>
    <w:rsid w:val="00C06FE4"/>
    <w:rsid w:val="00C07527"/>
    <w:rsid w:val="00C07C27"/>
    <w:rsid w:val="00C07EA1"/>
    <w:rsid w:val="00C107DC"/>
    <w:rsid w:val="00C10957"/>
    <w:rsid w:val="00C109FB"/>
    <w:rsid w:val="00C10B1D"/>
    <w:rsid w:val="00C10C78"/>
    <w:rsid w:val="00C10E46"/>
    <w:rsid w:val="00C10EC9"/>
    <w:rsid w:val="00C10ECA"/>
    <w:rsid w:val="00C111B3"/>
    <w:rsid w:val="00C11488"/>
    <w:rsid w:val="00C114FA"/>
    <w:rsid w:val="00C1193B"/>
    <w:rsid w:val="00C119C7"/>
    <w:rsid w:val="00C11F1C"/>
    <w:rsid w:val="00C12181"/>
    <w:rsid w:val="00C12395"/>
    <w:rsid w:val="00C127D0"/>
    <w:rsid w:val="00C12B51"/>
    <w:rsid w:val="00C13776"/>
    <w:rsid w:val="00C13A70"/>
    <w:rsid w:val="00C13BD6"/>
    <w:rsid w:val="00C13EC2"/>
    <w:rsid w:val="00C15447"/>
    <w:rsid w:val="00C156F7"/>
    <w:rsid w:val="00C15796"/>
    <w:rsid w:val="00C16C9E"/>
    <w:rsid w:val="00C16CE0"/>
    <w:rsid w:val="00C200D8"/>
    <w:rsid w:val="00C20271"/>
    <w:rsid w:val="00C2070E"/>
    <w:rsid w:val="00C21023"/>
    <w:rsid w:val="00C21327"/>
    <w:rsid w:val="00C213AA"/>
    <w:rsid w:val="00C21BDA"/>
    <w:rsid w:val="00C22A9C"/>
    <w:rsid w:val="00C232A3"/>
    <w:rsid w:val="00C23537"/>
    <w:rsid w:val="00C23753"/>
    <w:rsid w:val="00C23B72"/>
    <w:rsid w:val="00C24098"/>
    <w:rsid w:val="00C24249"/>
    <w:rsid w:val="00C2520A"/>
    <w:rsid w:val="00C2571D"/>
    <w:rsid w:val="00C25AC9"/>
    <w:rsid w:val="00C26432"/>
    <w:rsid w:val="00C2648E"/>
    <w:rsid w:val="00C27195"/>
    <w:rsid w:val="00C3060C"/>
    <w:rsid w:val="00C309B0"/>
    <w:rsid w:val="00C31100"/>
    <w:rsid w:val="00C31432"/>
    <w:rsid w:val="00C32206"/>
    <w:rsid w:val="00C32439"/>
    <w:rsid w:val="00C32594"/>
    <w:rsid w:val="00C32C75"/>
    <w:rsid w:val="00C3328E"/>
    <w:rsid w:val="00C33827"/>
    <w:rsid w:val="00C341C6"/>
    <w:rsid w:val="00C34D14"/>
    <w:rsid w:val="00C34E7E"/>
    <w:rsid w:val="00C34EF1"/>
    <w:rsid w:val="00C34F93"/>
    <w:rsid w:val="00C3555E"/>
    <w:rsid w:val="00C3565E"/>
    <w:rsid w:val="00C35703"/>
    <w:rsid w:val="00C35764"/>
    <w:rsid w:val="00C369A0"/>
    <w:rsid w:val="00C36AB1"/>
    <w:rsid w:val="00C3727E"/>
    <w:rsid w:val="00C37BC7"/>
    <w:rsid w:val="00C4005E"/>
    <w:rsid w:val="00C402F9"/>
    <w:rsid w:val="00C4034B"/>
    <w:rsid w:val="00C4056D"/>
    <w:rsid w:val="00C40791"/>
    <w:rsid w:val="00C40840"/>
    <w:rsid w:val="00C4088C"/>
    <w:rsid w:val="00C414D2"/>
    <w:rsid w:val="00C41CD6"/>
    <w:rsid w:val="00C42175"/>
    <w:rsid w:val="00C42793"/>
    <w:rsid w:val="00C42888"/>
    <w:rsid w:val="00C42A99"/>
    <w:rsid w:val="00C43087"/>
    <w:rsid w:val="00C430CB"/>
    <w:rsid w:val="00C44228"/>
    <w:rsid w:val="00C446A9"/>
    <w:rsid w:val="00C44A1D"/>
    <w:rsid w:val="00C44E83"/>
    <w:rsid w:val="00C451E8"/>
    <w:rsid w:val="00C45BB7"/>
    <w:rsid w:val="00C45C3D"/>
    <w:rsid w:val="00C46156"/>
    <w:rsid w:val="00C461FA"/>
    <w:rsid w:val="00C46763"/>
    <w:rsid w:val="00C468A8"/>
    <w:rsid w:val="00C46B07"/>
    <w:rsid w:val="00C46FE6"/>
    <w:rsid w:val="00C47C3A"/>
    <w:rsid w:val="00C47C73"/>
    <w:rsid w:val="00C47E74"/>
    <w:rsid w:val="00C508FD"/>
    <w:rsid w:val="00C513F6"/>
    <w:rsid w:val="00C51B1C"/>
    <w:rsid w:val="00C51DD2"/>
    <w:rsid w:val="00C52487"/>
    <w:rsid w:val="00C5262F"/>
    <w:rsid w:val="00C5264A"/>
    <w:rsid w:val="00C526F9"/>
    <w:rsid w:val="00C527F6"/>
    <w:rsid w:val="00C529AF"/>
    <w:rsid w:val="00C5414C"/>
    <w:rsid w:val="00C544E6"/>
    <w:rsid w:val="00C55363"/>
    <w:rsid w:val="00C55387"/>
    <w:rsid w:val="00C553D0"/>
    <w:rsid w:val="00C55623"/>
    <w:rsid w:val="00C55C2C"/>
    <w:rsid w:val="00C55E24"/>
    <w:rsid w:val="00C55FF6"/>
    <w:rsid w:val="00C562B4"/>
    <w:rsid w:val="00C56A9F"/>
    <w:rsid w:val="00C56F65"/>
    <w:rsid w:val="00C5738B"/>
    <w:rsid w:val="00C573F5"/>
    <w:rsid w:val="00C57784"/>
    <w:rsid w:val="00C57B9A"/>
    <w:rsid w:val="00C600B3"/>
    <w:rsid w:val="00C603ED"/>
    <w:rsid w:val="00C60E8F"/>
    <w:rsid w:val="00C619C3"/>
    <w:rsid w:val="00C622CF"/>
    <w:rsid w:val="00C6265C"/>
    <w:rsid w:val="00C62881"/>
    <w:rsid w:val="00C63057"/>
    <w:rsid w:val="00C638DF"/>
    <w:rsid w:val="00C63946"/>
    <w:rsid w:val="00C63A5C"/>
    <w:rsid w:val="00C64414"/>
    <w:rsid w:val="00C6482C"/>
    <w:rsid w:val="00C649C3"/>
    <w:rsid w:val="00C6528A"/>
    <w:rsid w:val="00C65389"/>
    <w:rsid w:val="00C653ED"/>
    <w:rsid w:val="00C654C6"/>
    <w:rsid w:val="00C657F3"/>
    <w:rsid w:val="00C65A15"/>
    <w:rsid w:val="00C65E8B"/>
    <w:rsid w:val="00C66ED2"/>
    <w:rsid w:val="00C679DC"/>
    <w:rsid w:val="00C67E74"/>
    <w:rsid w:val="00C70F19"/>
    <w:rsid w:val="00C71457"/>
    <w:rsid w:val="00C7168B"/>
    <w:rsid w:val="00C71E93"/>
    <w:rsid w:val="00C72A0E"/>
    <w:rsid w:val="00C72A51"/>
    <w:rsid w:val="00C72D5F"/>
    <w:rsid w:val="00C72E79"/>
    <w:rsid w:val="00C72F20"/>
    <w:rsid w:val="00C72F4F"/>
    <w:rsid w:val="00C73961"/>
    <w:rsid w:val="00C73AF4"/>
    <w:rsid w:val="00C74128"/>
    <w:rsid w:val="00C74798"/>
    <w:rsid w:val="00C754DC"/>
    <w:rsid w:val="00C75600"/>
    <w:rsid w:val="00C75CB3"/>
    <w:rsid w:val="00C76FCA"/>
    <w:rsid w:val="00C77BDD"/>
    <w:rsid w:val="00C801C1"/>
    <w:rsid w:val="00C80946"/>
    <w:rsid w:val="00C81587"/>
    <w:rsid w:val="00C81EDD"/>
    <w:rsid w:val="00C822E5"/>
    <w:rsid w:val="00C829BC"/>
    <w:rsid w:val="00C82D24"/>
    <w:rsid w:val="00C82D70"/>
    <w:rsid w:val="00C831F8"/>
    <w:rsid w:val="00C83ADE"/>
    <w:rsid w:val="00C84C6B"/>
    <w:rsid w:val="00C8548C"/>
    <w:rsid w:val="00C858FA"/>
    <w:rsid w:val="00C868DD"/>
    <w:rsid w:val="00C86A08"/>
    <w:rsid w:val="00C87C4B"/>
    <w:rsid w:val="00C87D8E"/>
    <w:rsid w:val="00C9012A"/>
    <w:rsid w:val="00C9035B"/>
    <w:rsid w:val="00C9087C"/>
    <w:rsid w:val="00C908DF"/>
    <w:rsid w:val="00C90B6C"/>
    <w:rsid w:val="00C90EEE"/>
    <w:rsid w:val="00C90F97"/>
    <w:rsid w:val="00C91591"/>
    <w:rsid w:val="00C9181E"/>
    <w:rsid w:val="00C91A19"/>
    <w:rsid w:val="00C91A3E"/>
    <w:rsid w:val="00C920EB"/>
    <w:rsid w:val="00C9220A"/>
    <w:rsid w:val="00C925CB"/>
    <w:rsid w:val="00C92631"/>
    <w:rsid w:val="00C93C1E"/>
    <w:rsid w:val="00C94224"/>
    <w:rsid w:val="00C9455E"/>
    <w:rsid w:val="00C9478A"/>
    <w:rsid w:val="00C948AD"/>
    <w:rsid w:val="00C94A27"/>
    <w:rsid w:val="00C95142"/>
    <w:rsid w:val="00C9539F"/>
    <w:rsid w:val="00C957FE"/>
    <w:rsid w:val="00C95A23"/>
    <w:rsid w:val="00C9629B"/>
    <w:rsid w:val="00C963D8"/>
    <w:rsid w:val="00C96539"/>
    <w:rsid w:val="00C965E0"/>
    <w:rsid w:val="00C966BE"/>
    <w:rsid w:val="00C97B4F"/>
    <w:rsid w:val="00C97DAF"/>
    <w:rsid w:val="00C97F62"/>
    <w:rsid w:val="00CA0E19"/>
    <w:rsid w:val="00CA228F"/>
    <w:rsid w:val="00CA242C"/>
    <w:rsid w:val="00CA3A62"/>
    <w:rsid w:val="00CA3DE0"/>
    <w:rsid w:val="00CA459F"/>
    <w:rsid w:val="00CA5D36"/>
    <w:rsid w:val="00CA6E20"/>
    <w:rsid w:val="00CA75CB"/>
    <w:rsid w:val="00CA7718"/>
    <w:rsid w:val="00CA7BB2"/>
    <w:rsid w:val="00CB0412"/>
    <w:rsid w:val="00CB08F3"/>
    <w:rsid w:val="00CB0D49"/>
    <w:rsid w:val="00CB0FA3"/>
    <w:rsid w:val="00CB20FC"/>
    <w:rsid w:val="00CB2107"/>
    <w:rsid w:val="00CB279A"/>
    <w:rsid w:val="00CB2F64"/>
    <w:rsid w:val="00CB39C9"/>
    <w:rsid w:val="00CB3D37"/>
    <w:rsid w:val="00CB4881"/>
    <w:rsid w:val="00CB5B3A"/>
    <w:rsid w:val="00CB5BE4"/>
    <w:rsid w:val="00CB5D24"/>
    <w:rsid w:val="00CB5DAC"/>
    <w:rsid w:val="00CB6BB2"/>
    <w:rsid w:val="00CB7636"/>
    <w:rsid w:val="00CB78E1"/>
    <w:rsid w:val="00CB7FB8"/>
    <w:rsid w:val="00CC0184"/>
    <w:rsid w:val="00CC08F2"/>
    <w:rsid w:val="00CC0F22"/>
    <w:rsid w:val="00CC1142"/>
    <w:rsid w:val="00CC1388"/>
    <w:rsid w:val="00CC1685"/>
    <w:rsid w:val="00CC16CE"/>
    <w:rsid w:val="00CC1996"/>
    <w:rsid w:val="00CC1B1A"/>
    <w:rsid w:val="00CC1B60"/>
    <w:rsid w:val="00CC1EF8"/>
    <w:rsid w:val="00CC237A"/>
    <w:rsid w:val="00CC2531"/>
    <w:rsid w:val="00CC2808"/>
    <w:rsid w:val="00CC319B"/>
    <w:rsid w:val="00CC3A0C"/>
    <w:rsid w:val="00CC3C2C"/>
    <w:rsid w:val="00CC3E7B"/>
    <w:rsid w:val="00CC3F12"/>
    <w:rsid w:val="00CC42E1"/>
    <w:rsid w:val="00CC5259"/>
    <w:rsid w:val="00CC58C7"/>
    <w:rsid w:val="00CC611E"/>
    <w:rsid w:val="00CC65CA"/>
    <w:rsid w:val="00CC6E92"/>
    <w:rsid w:val="00CC7820"/>
    <w:rsid w:val="00CC7E2C"/>
    <w:rsid w:val="00CD0E49"/>
    <w:rsid w:val="00CD0E90"/>
    <w:rsid w:val="00CD1183"/>
    <w:rsid w:val="00CD1BE3"/>
    <w:rsid w:val="00CD1D59"/>
    <w:rsid w:val="00CD203D"/>
    <w:rsid w:val="00CD22D2"/>
    <w:rsid w:val="00CD24AC"/>
    <w:rsid w:val="00CD302C"/>
    <w:rsid w:val="00CD325B"/>
    <w:rsid w:val="00CD35CB"/>
    <w:rsid w:val="00CD3A03"/>
    <w:rsid w:val="00CD3A08"/>
    <w:rsid w:val="00CD4105"/>
    <w:rsid w:val="00CD4D02"/>
    <w:rsid w:val="00CD60AB"/>
    <w:rsid w:val="00CD6427"/>
    <w:rsid w:val="00CD6D06"/>
    <w:rsid w:val="00CD7C1A"/>
    <w:rsid w:val="00CD7DB1"/>
    <w:rsid w:val="00CE0042"/>
    <w:rsid w:val="00CE021B"/>
    <w:rsid w:val="00CE026F"/>
    <w:rsid w:val="00CE0CDC"/>
    <w:rsid w:val="00CE1763"/>
    <w:rsid w:val="00CE1A88"/>
    <w:rsid w:val="00CE3293"/>
    <w:rsid w:val="00CE3934"/>
    <w:rsid w:val="00CE4A78"/>
    <w:rsid w:val="00CE527B"/>
    <w:rsid w:val="00CE65B0"/>
    <w:rsid w:val="00CE6C9A"/>
    <w:rsid w:val="00CE6D5E"/>
    <w:rsid w:val="00CE7D3B"/>
    <w:rsid w:val="00CF05E4"/>
    <w:rsid w:val="00CF072A"/>
    <w:rsid w:val="00CF09BF"/>
    <w:rsid w:val="00CF11FF"/>
    <w:rsid w:val="00CF2499"/>
    <w:rsid w:val="00CF2675"/>
    <w:rsid w:val="00CF3523"/>
    <w:rsid w:val="00CF3B81"/>
    <w:rsid w:val="00CF3B88"/>
    <w:rsid w:val="00CF4546"/>
    <w:rsid w:val="00CF4669"/>
    <w:rsid w:val="00CF5675"/>
    <w:rsid w:val="00CF57A7"/>
    <w:rsid w:val="00CF5D88"/>
    <w:rsid w:val="00CF5E31"/>
    <w:rsid w:val="00CF612A"/>
    <w:rsid w:val="00CF6181"/>
    <w:rsid w:val="00CF6BC1"/>
    <w:rsid w:val="00CF6DC2"/>
    <w:rsid w:val="00CF6EA8"/>
    <w:rsid w:val="00CF7391"/>
    <w:rsid w:val="00CF74D1"/>
    <w:rsid w:val="00CF77E6"/>
    <w:rsid w:val="00D0002B"/>
    <w:rsid w:val="00D00CBF"/>
    <w:rsid w:val="00D00CC5"/>
    <w:rsid w:val="00D0159B"/>
    <w:rsid w:val="00D01930"/>
    <w:rsid w:val="00D01B74"/>
    <w:rsid w:val="00D02CC8"/>
    <w:rsid w:val="00D03802"/>
    <w:rsid w:val="00D038A0"/>
    <w:rsid w:val="00D038CB"/>
    <w:rsid w:val="00D03A90"/>
    <w:rsid w:val="00D03BCB"/>
    <w:rsid w:val="00D041DD"/>
    <w:rsid w:val="00D04555"/>
    <w:rsid w:val="00D0455D"/>
    <w:rsid w:val="00D046E8"/>
    <w:rsid w:val="00D04836"/>
    <w:rsid w:val="00D053AE"/>
    <w:rsid w:val="00D05460"/>
    <w:rsid w:val="00D057FE"/>
    <w:rsid w:val="00D061DD"/>
    <w:rsid w:val="00D062B8"/>
    <w:rsid w:val="00D066D6"/>
    <w:rsid w:val="00D07274"/>
    <w:rsid w:val="00D07810"/>
    <w:rsid w:val="00D0784E"/>
    <w:rsid w:val="00D07AF2"/>
    <w:rsid w:val="00D11118"/>
    <w:rsid w:val="00D11350"/>
    <w:rsid w:val="00D11429"/>
    <w:rsid w:val="00D116A8"/>
    <w:rsid w:val="00D11C9E"/>
    <w:rsid w:val="00D12FB6"/>
    <w:rsid w:val="00D13BEF"/>
    <w:rsid w:val="00D1407D"/>
    <w:rsid w:val="00D14384"/>
    <w:rsid w:val="00D14BAD"/>
    <w:rsid w:val="00D14C3C"/>
    <w:rsid w:val="00D15582"/>
    <w:rsid w:val="00D1564F"/>
    <w:rsid w:val="00D1605B"/>
    <w:rsid w:val="00D160DE"/>
    <w:rsid w:val="00D1647D"/>
    <w:rsid w:val="00D16DCB"/>
    <w:rsid w:val="00D17547"/>
    <w:rsid w:val="00D17630"/>
    <w:rsid w:val="00D20372"/>
    <w:rsid w:val="00D20871"/>
    <w:rsid w:val="00D20B52"/>
    <w:rsid w:val="00D213FE"/>
    <w:rsid w:val="00D2150F"/>
    <w:rsid w:val="00D21610"/>
    <w:rsid w:val="00D21B44"/>
    <w:rsid w:val="00D22A6A"/>
    <w:rsid w:val="00D22AB3"/>
    <w:rsid w:val="00D22E7B"/>
    <w:rsid w:val="00D239B6"/>
    <w:rsid w:val="00D24EA1"/>
    <w:rsid w:val="00D250E3"/>
    <w:rsid w:val="00D25594"/>
    <w:rsid w:val="00D25CB5"/>
    <w:rsid w:val="00D26529"/>
    <w:rsid w:val="00D26580"/>
    <w:rsid w:val="00D26F9C"/>
    <w:rsid w:val="00D26FC3"/>
    <w:rsid w:val="00D26FEF"/>
    <w:rsid w:val="00D271C1"/>
    <w:rsid w:val="00D27A0D"/>
    <w:rsid w:val="00D27BB3"/>
    <w:rsid w:val="00D27C59"/>
    <w:rsid w:val="00D30DA6"/>
    <w:rsid w:val="00D30F01"/>
    <w:rsid w:val="00D31054"/>
    <w:rsid w:val="00D323AD"/>
    <w:rsid w:val="00D32AA5"/>
    <w:rsid w:val="00D33246"/>
    <w:rsid w:val="00D339DC"/>
    <w:rsid w:val="00D33D4D"/>
    <w:rsid w:val="00D34719"/>
    <w:rsid w:val="00D351E0"/>
    <w:rsid w:val="00D355B1"/>
    <w:rsid w:val="00D35736"/>
    <w:rsid w:val="00D35C0D"/>
    <w:rsid w:val="00D35E8B"/>
    <w:rsid w:val="00D3615A"/>
    <w:rsid w:val="00D3625B"/>
    <w:rsid w:val="00D37476"/>
    <w:rsid w:val="00D375B5"/>
    <w:rsid w:val="00D37798"/>
    <w:rsid w:val="00D379B4"/>
    <w:rsid w:val="00D379C1"/>
    <w:rsid w:val="00D41167"/>
    <w:rsid w:val="00D414AD"/>
    <w:rsid w:val="00D417B0"/>
    <w:rsid w:val="00D41EBB"/>
    <w:rsid w:val="00D42210"/>
    <w:rsid w:val="00D4405B"/>
    <w:rsid w:val="00D443AF"/>
    <w:rsid w:val="00D4467E"/>
    <w:rsid w:val="00D4486F"/>
    <w:rsid w:val="00D448A7"/>
    <w:rsid w:val="00D44D7F"/>
    <w:rsid w:val="00D454CD"/>
    <w:rsid w:val="00D45F2A"/>
    <w:rsid w:val="00D46E53"/>
    <w:rsid w:val="00D47A35"/>
    <w:rsid w:val="00D518B1"/>
    <w:rsid w:val="00D51ABF"/>
    <w:rsid w:val="00D52922"/>
    <w:rsid w:val="00D53776"/>
    <w:rsid w:val="00D5398E"/>
    <w:rsid w:val="00D53C1A"/>
    <w:rsid w:val="00D53F49"/>
    <w:rsid w:val="00D5410E"/>
    <w:rsid w:val="00D54552"/>
    <w:rsid w:val="00D54B4D"/>
    <w:rsid w:val="00D54EC9"/>
    <w:rsid w:val="00D54FD7"/>
    <w:rsid w:val="00D559B2"/>
    <w:rsid w:val="00D55A98"/>
    <w:rsid w:val="00D55E8D"/>
    <w:rsid w:val="00D56800"/>
    <w:rsid w:val="00D56B62"/>
    <w:rsid w:val="00D56BB5"/>
    <w:rsid w:val="00D56EEA"/>
    <w:rsid w:val="00D60AF4"/>
    <w:rsid w:val="00D60E2B"/>
    <w:rsid w:val="00D61B2B"/>
    <w:rsid w:val="00D61FBD"/>
    <w:rsid w:val="00D62291"/>
    <w:rsid w:val="00D62AE3"/>
    <w:rsid w:val="00D62DD9"/>
    <w:rsid w:val="00D62E74"/>
    <w:rsid w:val="00D63087"/>
    <w:rsid w:val="00D632BE"/>
    <w:rsid w:val="00D636D0"/>
    <w:rsid w:val="00D639BF"/>
    <w:rsid w:val="00D63EA2"/>
    <w:rsid w:val="00D64576"/>
    <w:rsid w:val="00D6485D"/>
    <w:rsid w:val="00D64A25"/>
    <w:rsid w:val="00D65BAB"/>
    <w:rsid w:val="00D65EDA"/>
    <w:rsid w:val="00D65F45"/>
    <w:rsid w:val="00D66F60"/>
    <w:rsid w:val="00D670F9"/>
    <w:rsid w:val="00D675A6"/>
    <w:rsid w:val="00D704EE"/>
    <w:rsid w:val="00D70AE3"/>
    <w:rsid w:val="00D710DF"/>
    <w:rsid w:val="00D711C3"/>
    <w:rsid w:val="00D7127C"/>
    <w:rsid w:val="00D712BF"/>
    <w:rsid w:val="00D717F2"/>
    <w:rsid w:val="00D71810"/>
    <w:rsid w:val="00D71901"/>
    <w:rsid w:val="00D71D99"/>
    <w:rsid w:val="00D71E29"/>
    <w:rsid w:val="00D722AD"/>
    <w:rsid w:val="00D7246B"/>
    <w:rsid w:val="00D72738"/>
    <w:rsid w:val="00D7293F"/>
    <w:rsid w:val="00D72EDF"/>
    <w:rsid w:val="00D73094"/>
    <w:rsid w:val="00D73222"/>
    <w:rsid w:val="00D73919"/>
    <w:rsid w:val="00D748BC"/>
    <w:rsid w:val="00D74C9C"/>
    <w:rsid w:val="00D750E7"/>
    <w:rsid w:val="00D75775"/>
    <w:rsid w:val="00D75AC7"/>
    <w:rsid w:val="00D75E6F"/>
    <w:rsid w:val="00D760AB"/>
    <w:rsid w:val="00D760D5"/>
    <w:rsid w:val="00D7625D"/>
    <w:rsid w:val="00D76DD1"/>
    <w:rsid w:val="00D770A7"/>
    <w:rsid w:val="00D778AF"/>
    <w:rsid w:val="00D77D0B"/>
    <w:rsid w:val="00D77F04"/>
    <w:rsid w:val="00D804F4"/>
    <w:rsid w:val="00D80B20"/>
    <w:rsid w:val="00D80EFD"/>
    <w:rsid w:val="00D810FA"/>
    <w:rsid w:val="00D811F2"/>
    <w:rsid w:val="00D81833"/>
    <w:rsid w:val="00D820C0"/>
    <w:rsid w:val="00D8264E"/>
    <w:rsid w:val="00D826F2"/>
    <w:rsid w:val="00D827DB"/>
    <w:rsid w:val="00D8353D"/>
    <w:rsid w:val="00D83CCB"/>
    <w:rsid w:val="00D84500"/>
    <w:rsid w:val="00D84D04"/>
    <w:rsid w:val="00D84E82"/>
    <w:rsid w:val="00D85A9C"/>
    <w:rsid w:val="00D85C0F"/>
    <w:rsid w:val="00D862FA"/>
    <w:rsid w:val="00D863A2"/>
    <w:rsid w:val="00D86F04"/>
    <w:rsid w:val="00D87211"/>
    <w:rsid w:val="00D874B6"/>
    <w:rsid w:val="00D901EA"/>
    <w:rsid w:val="00D909CA"/>
    <w:rsid w:val="00D91058"/>
    <w:rsid w:val="00D915DB"/>
    <w:rsid w:val="00D91651"/>
    <w:rsid w:val="00D91941"/>
    <w:rsid w:val="00D91DBE"/>
    <w:rsid w:val="00D92046"/>
    <w:rsid w:val="00D926AC"/>
    <w:rsid w:val="00D927DA"/>
    <w:rsid w:val="00D93006"/>
    <w:rsid w:val="00D933AC"/>
    <w:rsid w:val="00D938E6"/>
    <w:rsid w:val="00D93DEC"/>
    <w:rsid w:val="00D94431"/>
    <w:rsid w:val="00D94E74"/>
    <w:rsid w:val="00D95368"/>
    <w:rsid w:val="00D953DB"/>
    <w:rsid w:val="00D953DC"/>
    <w:rsid w:val="00D954DB"/>
    <w:rsid w:val="00D95859"/>
    <w:rsid w:val="00D9593A"/>
    <w:rsid w:val="00D95FAD"/>
    <w:rsid w:val="00D960AB"/>
    <w:rsid w:val="00D960F3"/>
    <w:rsid w:val="00D96568"/>
    <w:rsid w:val="00D96D11"/>
    <w:rsid w:val="00D97299"/>
    <w:rsid w:val="00D974BD"/>
    <w:rsid w:val="00D97DB9"/>
    <w:rsid w:val="00DA1217"/>
    <w:rsid w:val="00DA1AD3"/>
    <w:rsid w:val="00DA27C7"/>
    <w:rsid w:val="00DA29DE"/>
    <w:rsid w:val="00DA33FD"/>
    <w:rsid w:val="00DA3DF1"/>
    <w:rsid w:val="00DA42B7"/>
    <w:rsid w:val="00DA4DAF"/>
    <w:rsid w:val="00DA58EF"/>
    <w:rsid w:val="00DA592C"/>
    <w:rsid w:val="00DA5CC3"/>
    <w:rsid w:val="00DA5EF2"/>
    <w:rsid w:val="00DA6A39"/>
    <w:rsid w:val="00DA6C01"/>
    <w:rsid w:val="00DA780C"/>
    <w:rsid w:val="00DA7D73"/>
    <w:rsid w:val="00DA7EE9"/>
    <w:rsid w:val="00DB02C1"/>
    <w:rsid w:val="00DB0665"/>
    <w:rsid w:val="00DB12BD"/>
    <w:rsid w:val="00DB1AED"/>
    <w:rsid w:val="00DB1BCE"/>
    <w:rsid w:val="00DB1D8E"/>
    <w:rsid w:val="00DB35E6"/>
    <w:rsid w:val="00DB47AE"/>
    <w:rsid w:val="00DB4A88"/>
    <w:rsid w:val="00DB5506"/>
    <w:rsid w:val="00DB58C9"/>
    <w:rsid w:val="00DB5CBA"/>
    <w:rsid w:val="00DB612C"/>
    <w:rsid w:val="00DB61E4"/>
    <w:rsid w:val="00DB6931"/>
    <w:rsid w:val="00DB75EA"/>
    <w:rsid w:val="00DB7ACB"/>
    <w:rsid w:val="00DC00A0"/>
    <w:rsid w:val="00DC01C3"/>
    <w:rsid w:val="00DC0609"/>
    <w:rsid w:val="00DC0915"/>
    <w:rsid w:val="00DC0AF8"/>
    <w:rsid w:val="00DC0B25"/>
    <w:rsid w:val="00DC0C55"/>
    <w:rsid w:val="00DC0D01"/>
    <w:rsid w:val="00DC139C"/>
    <w:rsid w:val="00DC142A"/>
    <w:rsid w:val="00DC14D5"/>
    <w:rsid w:val="00DC1CF9"/>
    <w:rsid w:val="00DC1F13"/>
    <w:rsid w:val="00DC2699"/>
    <w:rsid w:val="00DC269A"/>
    <w:rsid w:val="00DC289E"/>
    <w:rsid w:val="00DC2FAC"/>
    <w:rsid w:val="00DC361C"/>
    <w:rsid w:val="00DC36FF"/>
    <w:rsid w:val="00DC3D9F"/>
    <w:rsid w:val="00DC5740"/>
    <w:rsid w:val="00DC6A16"/>
    <w:rsid w:val="00DC7247"/>
    <w:rsid w:val="00DC7428"/>
    <w:rsid w:val="00DC7540"/>
    <w:rsid w:val="00DC76FB"/>
    <w:rsid w:val="00DC7CBD"/>
    <w:rsid w:val="00DD04F8"/>
    <w:rsid w:val="00DD05F7"/>
    <w:rsid w:val="00DD0840"/>
    <w:rsid w:val="00DD0E97"/>
    <w:rsid w:val="00DD1CAC"/>
    <w:rsid w:val="00DD2068"/>
    <w:rsid w:val="00DD25B1"/>
    <w:rsid w:val="00DD2617"/>
    <w:rsid w:val="00DD34C5"/>
    <w:rsid w:val="00DD37DE"/>
    <w:rsid w:val="00DD4950"/>
    <w:rsid w:val="00DD4FB8"/>
    <w:rsid w:val="00DD6259"/>
    <w:rsid w:val="00DD663B"/>
    <w:rsid w:val="00DE0FBC"/>
    <w:rsid w:val="00DE1552"/>
    <w:rsid w:val="00DE177D"/>
    <w:rsid w:val="00DE27B9"/>
    <w:rsid w:val="00DE2AAC"/>
    <w:rsid w:val="00DE3457"/>
    <w:rsid w:val="00DE394C"/>
    <w:rsid w:val="00DE39FB"/>
    <w:rsid w:val="00DE3A39"/>
    <w:rsid w:val="00DE3F8E"/>
    <w:rsid w:val="00DE4424"/>
    <w:rsid w:val="00DE4B21"/>
    <w:rsid w:val="00DE512E"/>
    <w:rsid w:val="00DE55B8"/>
    <w:rsid w:val="00DE6493"/>
    <w:rsid w:val="00DE6765"/>
    <w:rsid w:val="00DE6C2D"/>
    <w:rsid w:val="00DE7BCB"/>
    <w:rsid w:val="00DE7C4A"/>
    <w:rsid w:val="00DE7EE5"/>
    <w:rsid w:val="00DF02F5"/>
    <w:rsid w:val="00DF0F80"/>
    <w:rsid w:val="00DF11AC"/>
    <w:rsid w:val="00DF12A8"/>
    <w:rsid w:val="00DF181B"/>
    <w:rsid w:val="00DF19DA"/>
    <w:rsid w:val="00DF1A0D"/>
    <w:rsid w:val="00DF215A"/>
    <w:rsid w:val="00DF3C87"/>
    <w:rsid w:val="00DF43C8"/>
    <w:rsid w:val="00DF5688"/>
    <w:rsid w:val="00DF67BC"/>
    <w:rsid w:val="00DF6972"/>
    <w:rsid w:val="00DF6EFD"/>
    <w:rsid w:val="00DF70B0"/>
    <w:rsid w:val="00DF75E2"/>
    <w:rsid w:val="00DF770C"/>
    <w:rsid w:val="00DF7E98"/>
    <w:rsid w:val="00DF7FF6"/>
    <w:rsid w:val="00E00145"/>
    <w:rsid w:val="00E004CF"/>
    <w:rsid w:val="00E010B1"/>
    <w:rsid w:val="00E014DA"/>
    <w:rsid w:val="00E016C9"/>
    <w:rsid w:val="00E016DC"/>
    <w:rsid w:val="00E01CC2"/>
    <w:rsid w:val="00E03110"/>
    <w:rsid w:val="00E031BF"/>
    <w:rsid w:val="00E032CC"/>
    <w:rsid w:val="00E04562"/>
    <w:rsid w:val="00E04708"/>
    <w:rsid w:val="00E04A0E"/>
    <w:rsid w:val="00E04C0E"/>
    <w:rsid w:val="00E051D5"/>
    <w:rsid w:val="00E0580D"/>
    <w:rsid w:val="00E06076"/>
    <w:rsid w:val="00E069D3"/>
    <w:rsid w:val="00E07453"/>
    <w:rsid w:val="00E108F6"/>
    <w:rsid w:val="00E10F24"/>
    <w:rsid w:val="00E1160F"/>
    <w:rsid w:val="00E11803"/>
    <w:rsid w:val="00E118C7"/>
    <w:rsid w:val="00E11A5D"/>
    <w:rsid w:val="00E124CB"/>
    <w:rsid w:val="00E12790"/>
    <w:rsid w:val="00E12BEF"/>
    <w:rsid w:val="00E14DC9"/>
    <w:rsid w:val="00E15356"/>
    <w:rsid w:val="00E158F7"/>
    <w:rsid w:val="00E15CA9"/>
    <w:rsid w:val="00E15EAE"/>
    <w:rsid w:val="00E16B99"/>
    <w:rsid w:val="00E174FF"/>
    <w:rsid w:val="00E17D2B"/>
    <w:rsid w:val="00E17D5D"/>
    <w:rsid w:val="00E17FC7"/>
    <w:rsid w:val="00E204D2"/>
    <w:rsid w:val="00E20CD0"/>
    <w:rsid w:val="00E21571"/>
    <w:rsid w:val="00E21DE7"/>
    <w:rsid w:val="00E22004"/>
    <w:rsid w:val="00E22576"/>
    <w:rsid w:val="00E2257A"/>
    <w:rsid w:val="00E233CD"/>
    <w:rsid w:val="00E23CAE"/>
    <w:rsid w:val="00E249C9"/>
    <w:rsid w:val="00E24BBF"/>
    <w:rsid w:val="00E24CAD"/>
    <w:rsid w:val="00E25AF7"/>
    <w:rsid w:val="00E2634F"/>
    <w:rsid w:val="00E26E1A"/>
    <w:rsid w:val="00E27041"/>
    <w:rsid w:val="00E27105"/>
    <w:rsid w:val="00E2762D"/>
    <w:rsid w:val="00E27672"/>
    <w:rsid w:val="00E3004B"/>
    <w:rsid w:val="00E30C9B"/>
    <w:rsid w:val="00E31B22"/>
    <w:rsid w:val="00E32225"/>
    <w:rsid w:val="00E325C9"/>
    <w:rsid w:val="00E33AD0"/>
    <w:rsid w:val="00E33B05"/>
    <w:rsid w:val="00E33D83"/>
    <w:rsid w:val="00E3438F"/>
    <w:rsid w:val="00E345CA"/>
    <w:rsid w:val="00E34D16"/>
    <w:rsid w:val="00E35E20"/>
    <w:rsid w:val="00E35EB8"/>
    <w:rsid w:val="00E36AC0"/>
    <w:rsid w:val="00E36C4C"/>
    <w:rsid w:val="00E36F4A"/>
    <w:rsid w:val="00E376A4"/>
    <w:rsid w:val="00E37C4E"/>
    <w:rsid w:val="00E40914"/>
    <w:rsid w:val="00E4196A"/>
    <w:rsid w:val="00E41A8E"/>
    <w:rsid w:val="00E42539"/>
    <w:rsid w:val="00E438B4"/>
    <w:rsid w:val="00E43B98"/>
    <w:rsid w:val="00E44911"/>
    <w:rsid w:val="00E44EFB"/>
    <w:rsid w:val="00E4519E"/>
    <w:rsid w:val="00E45259"/>
    <w:rsid w:val="00E453AB"/>
    <w:rsid w:val="00E46542"/>
    <w:rsid w:val="00E47289"/>
    <w:rsid w:val="00E47C0C"/>
    <w:rsid w:val="00E47C1D"/>
    <w:rsid w:val="00E47E37"/>
    <w:rsid w:val="00E50303"/>
    <w:rsid w:val="00E50610"/>
    <w:rsid w:val="00E50660"/>
    <w:rsid w:val="00E50671"/>
    <w:rsid w:val="00E5082A"/>
    <w:rsid w:val="00E50BBB"/>
    <w:rsid w:val="00E511A4"/>
    <w:rsid w:val="00E51312"/>
    <w:rsid w:val="00E51A20"/>
    <w:rsid w:val="00E51A87"/>
    <w:rsid w:val="00E51B34"/>
    <w:rsid w:val="00E51D29"/>
    <w:rsid w:val="00E51EA5"/>
    <w:rsid w:val="00E528DF"/>
    <w:rsid w:val="00E529FD"/>
    <w:rsid w:val="00E52A83"/>
    <w:rsid w:val="00E52D46"/>
    <w:rsid w:val="00E52FC7"/>
    <w:rsid w:val="00E53AFF"/>
    <w:rsid w:val="00E53CEA"/>
    <w:rsid w:val="00E53FFD"/>
    <w:rsid w:val="00E540EF"/>
    <w:rsid w:val="00E5411A"/>
    <w:rsid w:val="00E548F0"/>
    <w:rsid w:val="00E54E12"/>
    <w:rsid w:val="00E55546"/>
    <w:rsid w:val="00E55FBC"/>
    <w:rsid w:val="00E56D91"/>
    <w:rsid w:val="00E573B4"/>
    <w:rsid w:val="00E574E2"/>
    <w:rsid w:val="00E579E1"/>
    <w:rsid w:val="00E57C7E"/>
    <w:rsid w:val="00E57EFC"/>
    <w:rsid w:val="00E601E0"/>
    <w:rsid w:val="00E60ACB"/>
    <w:rsid w:val="00E6144B"/>
    <w:rsid w:val="00E614C5"/>
    <w:rsid w:val="00E61E54"/>
    <w:rsid w:val="00E620B9"/>
    <w:rsid w:val="00E62A6F"/>
    <w:rsid w:val="00E62B50"/>
    <w:rsid w:val="00E62F90"/>
    <w:rsid w:val="00E6319B"/>
    <w:rsid w:val="00E637C4"/>
    <w:rsid w:val="00E6399F"/>
    <w:rsid w:val="00E65206"/>
    <w:rsid w:val="00E65216"/>
    <w:rsid w:val="00E65EEF"/>
    <w:rsid w:val="00E664FF"/>
    <w:rsid w:val="00E66A5C"/>
    <w:rsid w:val="00E66E60"/>
    <w:rsid w:val="00E66F08"/>
    <w:rsid w:val="00E66F33"/>
    <w:rsid w:val="00E671BA"/>
    <w:rsid w:val="00E671C3"/>
    <w:rsid w:val="00E67D9D"/>
    <w:rsid w:val="00E71392"/>
    <w:rsid w:val="00E717F6"/>
    <w:rsid w:val="00E71AB5"/>
    <w:rsid w:val="00E71E3A"/>
    <w:rsid w:val="00E71F28"/>
    <w:rsid w:val="00E7237B"/>
    <w:rsid w:val="00E725FA"/>
    <w:rsid w:val="00E72833"/>
    <w:rsid w:val="00E72958"/>
    <w:rsid w:val="00E7355E"/>
    <w:rsid w:val="00E742C5"/>
    <w:rsid w:val="00E74C9F"/>
    <w:rsid w:val="00E75171"/>
    <w:rsid w:val="00E7539F"/>
    <w:rsid w:val="00E755F8"/>
    <w:rsid w:val="00E75D71"/>
    <w:rsid w:val="00E75E53"/>
    <w:rsid w:val="00E75E94"/>
    <w:rsid w:val="00E76FAA"/>
    <w:rsid w:val="00E770CC"/>
    <w:rsid w:val="00E77485"/>
    <w:rsid w:val="00E77C92"/>
    <w:rsid w:val="00E8087D"/>
    <w:rsid w:val="00E809B7"/>
    <w:rsid w:val="00E813E5"/>
    <w:rsid w:val="00E8140D"/>
    <w:rsid w:val="00E81A2A"/>
    <w:rsid w:val="00E82533"/>
    <w:rsid w:val="00E84550"/>
    <w:rsid w:val="00E8460C"/>
    <w:rsid w:val="00E84ED3"/>
    <w:rsid w:val="00E8509F"/>
    <w:rsid w:val="00E852E7"/>
    <w:rsid w:val="00E85B8F"/>
    <w:rsid w:val="00E85D17"/>
    <w:rsid w:val="00E85E38"/>
    <w:rsid w:val="00E866B1"/>
    <w:rsid w:val="00E86726"/>
    <w:rsid w:val="00E867DC"/>
    <w:rsid w:val="00E86BA1"/>
    <w:rsid w:val="00E86BE3"/>
    <w:rsid w:val="00E8748C"/>
    <w:rsid w:val="00E8783F"/>
    <w:rsid w:val="00E90DF5"/>
    <w:rsid w:val="00E91271"/>
    <w:rsid w:val="00E914FF"/>
    <w:rsid w:val="00E919B9"/>
    <w:rsid w:val="00E91D58"/>
    <w:rsid w:val="00E91F6C"/>
    <w:rsid w:val="00E92138"/>
    <w:rsid w:val="00E92D75"/>
    <w:rsid w:val="00E9414F"/>
    <w:rsid w:val="00E94199"/>
    <w:rsid w:val="00E942ED"/>
    <w:rsid w:val="00E943B0"/>
    <w:rsid w:val="00E944A2"/>
    <w:rsid w:val="00E94C03"/>
    <w:rsid w:val="00E94D2E"/>
    <w:rsid w:val="00E95CFB"/>
    <w:rsid w:val="00E96ABB"/>
    <w:rsid w:val="00E972A0"/>
    <w:rsid w:val="00E97310"/>
    <w:rsid w:val="00E9780B"/>
    <w:rsid w:val="00E979A5"/>
    <w:rsid w:val="00E97EDE"/>
    <w:rsid w:val="00EA0080"/>
    <w:rsid w:val="00EA030E"/>
    <w:rsid w:val="00EA1A8E"/>
    <w:rsid w:val="00EA1C40"/>
    <w:rsid w:val="00EA1D16"/>
    <w:rsid w:val="00EA2C45"/>
    <w:rsid w:val="00EA30B5"/>
    <w:rsid w:val="00EA3B9C"/>
    <w:rsid w:val="00EA3BA8"/>
    <w:rsid w:val="00EA3BE1"/>
    <w:rsid w:val="00EA3C78"/>
    <w:rsid w:val="00EA5A74"/>
    <w:rsid w:val="00EA5D47"/>
    <w:rsid w:val="00EA5EF0"/>
    <w:rsid w:val="00EA637A"/>
    <w:rsid w:val="00EA67D5"/>
    <w:rsid w:val="00EA6916"/>
    <w:rsid w:val="00EA787A"/>
    <w:rsid w:val="00EA7C73"/>
    <w:rsid w:val="00EB003F"/>
    <w:rsid w:val="00EB0CAB"/>
    <w:rsid w:val="00EB192B"/>
    <w:rsid w:val="00EB1CD6"/>
    <w:rsid w:val="00EB2011"/>
    <w:rsid w:val="00EB2E21"/>
    <w:rsid w:val="00EB3554"/>
    <w:rsid w:val="00EB36C2"/>
    <w:rsid w:val="00EB3DC9"/>
    <w:rsid w:val="00EB3EE9"/>
    <w:rsid w:val="00EB4155"/>
    <w:rsid w:val="00EB415B"/>
    <w:rsid w:val="00EB42D0"/>
    <w:rsid w:val="00EB49C5"/>
    <w:rsid w:val="00EB4DDE"/>
    <w:rsid w:val="00EB51BA"/>
    <w:rsid w:val="00EB5A96"/>
    <w:rsid w:val="00EB5D02"/>
    <w:rsid w:val="00EB670C"/>
    <w:rsid w:val="00EB6BCA"/>
    <w:rsid w:val="00EB6C20"/>
    <w:rsid w:val="00EB708C"/>
    <w:rsid w:val="00EB7F62"/>
    <w:rsid w:val="00EC0857"/>
    <w:rsid w:val="00EC0957"/>
    <w:rsid w:val="00EC0BC2"/>
    <w:rsid w:val="00EC1B22"/>
    <w:rsid w:val="00EC1C2E"/>
    <w:rsid w:val="00EC1D2D"/>
    <w:rsid w:val="00EC1E6C"/>
    <w:rsid w:val="00EC1F09"/>
    <w:rsid w:val="00EC292C"/>
    <w:rsid w:val="00EC2DB8"/>
    <w:rsid w:val="00EC3433"/>
    <w:rsid w:val="00EC3668"/>
    <w:rsid w:val="00EC390F"/>
    <w:rsid w:val="00EC416C"/>
    <w:rsid w:val="00EC43BE"/>
    <w:rsid w:val="00EC57DD"/>
    <w:rsid w:val="00EC6874"/>
    <w:rsid w:val="00EC6917"/>
    <w:rsid w:val="00EC715D"/>
    <w:rsid w:val="00EC7760"/>
    <w:rsid w:val="00EC7B68"/>
    <w:rsid w:val="00EC7EB5"/>
    <w:rsid w:val="00EC7FE0"/>
    <w:rsid w:val="00ED0D02"/>
    <w:rsid w:val="00ED1A56"/>
    <w:rsid w:val="00ED2866"/>
    <w:rsid w:val="00ED323E"/>
    <w:rsid w:val="00ED33C3"/>
    <w:rsid w:val="00ED3568"/>
    <w:rsid w:val="00ED35C8"/>
    <w:rsid w:val="00ED3887"/>
    <w:rsid w:val="00ED39A8"/>
    <w:rsid w:val="00ED3CBE"/>
    <w:rsid w:val="00ED3FC2"/>
    <w:rsid w:val="00ED41E0"/>
    <w:rsid w:val="00ED42E1"/>
    <w:rsid w:val="00ED49B6"/>
    <w:rsid w:val="00ED4B42"/>
    <w:rsid w:val="00ED553F"/>
    <w:rsid w:val="00ED5722"/>
    <w:rsid w:val="00ED5B2F"/>
    <w:rsid w:val="00ED5CC6"/>
    <w:rsid w:val="00ED5D4B"/>
    <w:rsid w:val="00ED5F8A"/>
    <w:rsid w:val="00ED6086"/>
    <w:rsid w:val="00ED67E3"/>
    <w:rsid w:val="00ED7284"/>
    <w:rsid w:val="00ED7494"/>
    <w:rsid w:val="00EE0473"/>
    <w:rsid w:val="00EE12CF"/>
    <w:rsid w:val="00EE1317"/>
    <w:rsid w:val="00EE16F5"/>
    <w:rsid w:val="00EE1753"/>
    <w:rsid w:val="00EE176B"/>
    <w:rsid w:val="00EE1842"/>
    <w:rsid w:val="00EE1BF1"/>
    <w:rsid w:val="00EE1F65"/>
    <w:rsid w:val="00EE264B"/>
    <w:rsid w:val="00EE3968"/>
    <w:rsid w:val="00EE3F5E"/>
    <w:rsid w:val="00EE47F0"/>
    <w:rsid w:val="00EE4E0B"/>
    <w:rsid w:val="00EE5463"/>
    <w:rsid w:val="00EE6047"/>
    <w:rsid w:val="00EE6816"/>
    <w:rsid w:val="00EE6B53"/>
    <w:rsid w:val="00EE6C92"/>
    <w:rsid w:val="00EE6FD0"/>
    <w:rsid w:val="00EE7096"/>
    <w:rsid w:val="00EE7323"/>
    <w:rsid w:val="00EF0009"/>
    <w:rsid w:val="00EF1342"/>
    <w:rsid w:val="00EF138D"/>
    <w:rsid w:val="00EF17CF"/>
    <w:rsid w:val="00EF1B5A"/>
    <w:rsid w:val="00EF2024"/>
    <w:rsid w:val="00EF25D9"/>
    <w:rsid w:val="00EF263D"/>
    <w:rsid w:val="00EF2B6B"/>
    <w:rsid w:val="00EF2E6A"/>
    <w:rsid w:val="00EF2FE5"/>
    <w:rsid w:val="00EF300E"/>
    <w:rsid w:val="00EF357D"/>
    <w:rsid w:val="00EF3BB8"/>
    <w:rsid w:val="00EF3C8B"/>
    <w:rsid w:val="00EF417A"/>
    <w:rsid w:val="00EF758D"/>
    <w:rsid w:val="00EF7BFE"/>
    <w:rsid w:val="00EF7D24"/>
    <w:rsid w:val="00EF7F52"/>
    <w:rsid w:val="00F00192"/>
    <w:rsid w:val="00F00569"/>
    <w:rsid w:val="00F006D0"/>
    <w:rsid w:val="00F01A56"/>
    <w:rsid w:val="00F01DA7"/>
    <w:rsid w:val="00F02401"/>
    <w:rsid w:val="00F02510"/>
    <w:rsid w:val="00F02812"/>
    <w:rsid w:val="00F02E70"/>
    <w:rsid w:val="00F02F71"/>
    <w:rsid w:val="00F03135"/>
    <w:rsid w:val="00F03784"/>
    <w:rsid w:val="00F03C9E"/>
    <w:rsid w:val="00F03F69"/>
    <w:rsid w:val="00F0404A"/>
    <w:rsid w:val="00F0440E"/>
    <w:rsid w:val="00F04691"/>
    <w:rsid w:val="00F05126"/>
    <w:rsid w:val="00F058F4"/>
    <w:rsid w:val="00F06470"/>
    <w:rsid w:val="00F07060"/>
    <w:rsid w:val="00F0729C"/>
    <w:rsid w:val="00F07B8B"/>
    <w:rsid w:val="00F07E08"/>
    <w:rsid w:val="00F10440"/>
    <w:rsid w:val="00F104A7"/>
    <w:rsid w:val="00F10B8D"/>
    <w:rsid w:val="00F10BB8"/>
    <w:rsid w:val="00F10CF3"/>
    <w:rsid w:val="00F11282"/>
    <w:rsid w:val="00F11339"/>
    <w:rsid w:val="00F117AC"/>
    <w:rsid w:val="00F11A50"/>
    <w:rsid w:val="00F12305"/>
    <w:rsid w:val="00F12340"/>
    <w:rsid w:val="00F12BB6"/>
    <w:rsid w:val="00F134D6"/>
    <w:rsid w:val="00F13CC8"/>
    <w:rsid w:val="00F14970"/>
    <w:rsid w:val="00F14D44"/>
    <w:rsid w:val="00F15270"/>
    <w:rsid w:val="00F1535D"/>
    <w:rsid w:val="00F15DDC"/>
    <w:rsid w:val="00F16ACE"/>
    <w:rsid w:val="00F17847"/>
    <w:rsid w:val="00F21382"/>
    <w:rsid w:val="00F2187B"/>
    <w:rsid w:val="00F21C46"/>
    <w:rsid w:val="00F22184"/>
    <w:rsid w:val="00F22B37"/>
    <w:rsid w:val="00F231C6"/>
    <w:rsid w:val="00F23466"/>
    <w:rsid w:val="00F23935"/>
    <w:rsid w:val="00F23E30"/>
    <w:rsid w:val="00F242DA"/>
    <w:rsid w:val="00F249E0"/>
    <w:rsid w:val="00F24E17"/>
    <w:rsid w:val="00F24E78"/>
    <w:rsid w:val="00F24E7F"/>
    <w:rsid w:val="00F264D2"/>
    <w:rsid w:val="00F265B7"/>
    <w:rsid w:val="00F26EE5"/>
    <w:rsid w:val="00F271EB"/>
    <w:rsid w:val="00F274AA"/>
    <w:rsid w:val="00F2761B"/>
    <w:rsid w:val="00F277EF"/>
    <w:rsid w:val="00F3031D"/>
    <w:rsid w:val="00F30414"/>
    <w:rsid w:val="00F31556"/>
    <w:rsid w:val="00F32ADE"/>
    <w:rsid w:val="00F32C3C"/>
    <w:rsid w:val="00F32D7E"/>
    <w:rsid w:val="00F332D8"/>
    <w:rsid w:val="00F33515"/>
    <w:rsid w:val="00F33684"/>
    <w:rsid w:val="00F33FB3"/>
    <w:rsid w:val="00F340C7"/>
    <w:rsid w:val="00F34151"/>
    <w:rsid w:val="00F34AC3"/>
    <w:rsid w:val="00F34CE2"/>
    <w:rsid w:val="00F3532E"/>
    <w:rsid w:val="00F35B75"/>
    <w:rsid w:val="00F35F13"/>
    <w:rsid w:val="00F36ECD"/>
    <w:rsid w:val="00F36ED1"/>
    <w:rsid w:val="00F36EEC"/>
    <w:rsid w:val="00F37277"/>
    <w:rsid w:val="00F376C5"/>
    <w:rsid w:val="00F37E39"/>
    <w:rsid w:val="00F40878"/>
    <w:rsid w:val="00F41002"/>
    <w:rsid w:val="00F41AA8"/>
    <w:rsid w:val="00F41FC0"/>
    <w:rsid w:val="00F42258"/>
    <w:rsid w:val="00F43107"/>
    <w:rsid w:val="00F43932"/>
    <w:rsid w:val="00F441CB"/>
    <w:rsid w:val="00F44DCF"/>
    <w:rsid w:val="00F44E2E"/>
    <w:rsid w:val="00F457B7"/>
    <w:rsid w:val="00F45B8B"/>
    <w:rsid w:val="00F46C1C"/>
    <w:rsid w:val="00F46C42"/>
    <w:rsid w:val="00F5034A"/>
    <w:rsid w:val="00F507AD"/>
    <w:rsid w:val="00F50A7C"/>
    <w:rsid w:val="00F50B29"/>
    <w:rsid w:val="00F50BD5"/>
    <w:rsid w:val="00F50FB0"/>
    <w:rsid w:val="00F51780"/>
    <w:rsid w:val="00F52A5B"/>
    <w:rsid w:val="00F5334A"/>
    <w:rsid w:val="00F5380B"/>
    <w:rsid w:val="00F5436E"/>
    <w:rsid w:val="00F54450"/>
    <w:rsid w:val="00F54634"/>
    <w:rsid w:val="00F54854"/>
    <w:rsid w:val="00F55024"/>
    <w:rsid w:val="00F55200"/>
    <w:rsid w:val="00F55826"/>
    <w:rsid w:val="00F55842"/>
    <w:rsid w:val="00F56B78"/>
    <w:rsid w:val="00F56C70"/>
    <w:rsid w:val="00F56D3F"/>
    <w:rsid w:val="00F56EFC"/>
    <w:rsid w:val="00F573CA"/>
    <w:rsid w:val="00F579C7"/>
    <w:rsid w:val="00F60212"/>
    <w:rsid w:val="00F60927"/>
    <w:rsid w:val="00F60969"/>
    <w:rsid w:val="00F60CDD"/>
    <w:rsid w:val="00F623C3"/>
    <w:rsid w:val="00F635C7"/>
    <w:rsid w:val="00F63C1F"/>
    <w:rsid w:val="00F64092"/>
    <w:rsid w:val="00F6421B"/>
    <w:rsid w:val="00F642BC"/>
    <w:rsid w:val="00F646B6"/>
    <w:rsid w:val="00F64835"/>
    <w:rsid w:val="00F64A82"/>
    <w:rsid w:val="00F65901"/>
    <w:rsid w:val="00F66215"/>
    <w:rsid w:val="00F66253"/>
    <w:rsid w:val="00F6634F"/>
    <w:rsid w:val="00F66609"/>
    <w:rsid w:val="00F66922"/>
    <w:rsid w:val="00F67B5A"/>
    <w:rsid w:val="00F67FE8"/>
    <w:rsid w:val="00F70523"/>
    <w:rsid w:val="00F70B5A"/>
    <w:rsid w:val="00F70D95"/>
    <w:rsid w:val="00F70DB8"/>
    <w:rsid w:val="00F70E04"/>
    <w:rsid w:val="00F70F5E"/>
    <w:rsid w:val="00F721BD"/>
    <w:rsid w:val="00F722B7"/>
    <w:rsid w:val="00F7233B"/>
    <w:rsid w:val="00F725BF"/>
    <w:rsid w:val="00F73141"/>
    <w:rsid w:val="00F73F04"/>
    <w:rsid w:val="00F73F81"/>
    <w:rsid w:val="00F74ABB"/>
    <w:rsid w:val="00F74AC0"/>
    <w:rsid w:val="00F75512"/>
    <w:rsid w:val="00F75C39"/>
    <w:rsid w:val="00F75C58"/>
    <w:rsid w:val="00F75DC7"/>
    <w:rsid w:val="00F76745"/>
    <w:rsid w:val="00F767FE"/>
    <w:rsid w:val="00F7692D"/>
    <w:rsid w:val="00F76D54"/>
    <w:rsid w:val="00F77D23"/>
    <w:rsid w:val="00F80697"/>
    <w:rsid w:val="00F806F6"/>
    <w:rsid w:val="00F81514"/>
    <w:rsid w:val="00F821F1"/>
    <w:rsid w:val="00F82428"/>
    <w:rsid w:val="00F825E6"/>
    <w:rsid w:val="00F83390"/>
    <w:rsid w:val="00F834E4"/>
    <w:rsid w:val="00F837ED"/>
    <w:rsid w:val="00F83993"/>
    <w:rsid w:val="00F83F43"/>
    <w:rsid w:val="00F84A93"/>
    <w:rsid w:val="00F8505D"/>
    <w:rsid w:val="00F865D1"/>
    <w:rsid w:val="00F87186"/>
    <w:rsid w:val="00F87508"/>
    <w:rsid w:val="00F87D93"/>
    <w:rsid w:val="00F90251"/>
    <w:rsid w:val="00F90706"/>
    <w:rsid w:val="00F91407"/>
    <w:rsid w:val="00F9182A"/>
    <w:rsid w:val="00F91EEF"/>
    <w:rsid w:val="00F92824"/>
    <w:rsid w:val="00F93633"/>
    <w:rsid w:val="00F9435D"/>
    <w:rsid w:val="00F9450F"/>
    <w:rsid w:val="00F9463D"/>
    <w:rsid w:val="00F94C93"/>
    <w:rsid w:val="00F9520E"/>
    <w:rsid w:val="00F95381"/>
    <w:rsid w:val="00F9583C"/>
    <w:rsid w:val="00F95C5E"/>
    <w:rsid w:val="00F968BD"/>
    <w:rsid w:val="00F9691A"/>
    <w:rsid w:val="00F96CF0"/>
    <w:rsid w:val="00F96F55"/>
    <w:rsid w:val="00F972AD"/>
    <w:rsid w:val="00F975A4"/>
    <w:rsid w:val="00F977A9"/>
    <w:rsid w:val="00F9790F"/>
    <w:rsid w:val="00F97DEB"/>
    <w:rsid w:val="00F97F42"/>
    <w:rsid w:val="00FA006B"/>
    <w:rsid w:val="00FA0804"/>
    <w:rsid w:val="00FA0B51"/>
    <w:rsid w:val="00FA0C1D"/>
    <w:rsid w:val="00FA1520"/>
    <w:rsid w:val="00FA1D05"/>
    <w:rsid w:val="00FA2210"/>
    <w:rsid w:val="00FA22CB"/>
    <w:rsid w:val="00FA2AB5"/>
    <w:rsid w:val="00FA3525"/>
    <w:rsid w:val="00FA3967"/>
    <w:rsid w:val="00FA4157"/>
    <w:rsid w:val="00FA4330"/>
    <w:rsid w:val="00FA4640"/>
    <w:rsid w:val="00FA4957"/>
    <w:rsid w:val="00FA4A2D"/>
    <w:rsid w:val="00FA53F9"/>
    <w:rsid w:val="00FA5476"/>
    <w:rsid w:val="00FA5A9D"/>
    <w:rsid w:val="00FA5C2B"/>
    <w:rsid w:val="00FA5C2D"/>
    <w:rsid w:val="00FA693F"/>
    <w:rsid w:val="00FA6B32"/>
    <w:rsid w:val="00FA75F8"/>
    <w:rsid w:val="00FA7A8F"/>
    <w:rsid w:val="00FA7FE7"/>
    <w:rsid w:val="00FB0423"/>
    <w:rsid w:val="00FB0916"/>
    <w:rsid w:val="00FB09C2"/>
    <w:rsid w:val="00FB0A8E"/>
    <w:rsid w:val="00FB1C86"/>
    <w:rsid w:val="00FB204E"/>
    <w:rsid w:val="00FB272E"/>
    <w:rsid w:val="00FB296D"/>
    <w:rsid w:val="00FB3173"/>
    <w:rsid w:val="00FB3745"/>
    <w:rsid w:val="00FB392A"/>
    <w:rsid w:val="00FB3C06"/>
    <w:rsid w:val="00FB3D5D"/>
    <w:rsid w:val="00FB41AE"/>
    <w:rsid w:val="00FB47F3"/>
    <w:rsid w:val="00FB4AFA"/>
    <w:rsid w:val="00FB5025"/>
    <w:rsid w:val="00FB51E2"/>
    <w:rsid w:val="00FB56D2"/>
    <w:rsid w:val="00FB64A1"/>
    <w:rsid w:val="00FB67C3"/>
    <w:rsid w:val="00FB6857"/>
    <w:rsid w:val="00FB6968"/>
    <w:rsid w:val="00FB6A94"/>
    <w:rsid w:val="00FB6F00"/>
    <w:rsid w:val="00FB7176"/>
    <w:rsid w:val="00FB77D1"/>
    <w:rsid w:val="00FC02EA"/>
    <w:rsid w:val="00FC069E"/>
    <w:rsid w:val="00FC077A"/>
    <w:rsid w:val="00FC0C6C"/>
    <w:rsid w:val="00FC16BD"/>
    <w:rsid w:val="00FC18EA"/>
    <w:rsid w:val="00FC212F"/>
    <w:rsid w:val="00FC2A08"/>
    <w:rsid w:val="00FC2CE6"/>
    <w:rsid w:val="00FC2E47"/>
    <w:rsid w:val="00FC3569"/>
    <w:rsid w:val="00FC38DA"/>
    <w:rsid w:val="00FC3AC9"/>
    <w:rsid w:val="00FC3F5A"/>
    <w:rsid w:val="00FC437E"/>
    <w:rsid w:val="00FC43F0"/>
    <w:rsid w:val="00FC4A16"/>
    <w:rsid w:val="00FC5018"/>
    <w:rsid w:val="00FC5111"/>
    <w:rsid w:val="00FC56DB"/>
    <w:rsid w:val="00FC5825"/>
    <w:rsid w:val="00FC6267"/>
    <w:rsid w:val="00FC6A18"/>
    <w:rsid w:val="00FC6E72"/>
    <w:rsid w:val="00FD0480"/>
    <w:rsid w:val="00FD09E2"/>
    <w:rsid w:val="00FD0E8B"/>
    <w:rsid w:val="00FD142A"/>
    <w:rsid w:val="00FD1A6E"/>
    <w:rsid w:val="00FD1D9D"/>
    <w:rsid w:val="00FD2640"/>
    <w:rsid w:val="00FD2D6B"/>
    <w:rsid w:val="00FD3359"/>
    <w:rsid w:val="00FD3CB6"/>
    <w:rsid w:val="00FD41AD"/>
    <w:rsid w:val="00FD4B45"/>
    <w:rsid w:val="00FD4DB2"/>
    <w:rsid w:val="00FD5613"/>
    <w:rsid w:val="00FD5775"/>
    <w:rsid w:val="00FD58F4"/>
    <w:rsid w:val="00FD5A63"/>
    <w:rsid w:val="00FD5FB7"/>
    <w:rsid w:val="00FD6473"/>
    <w:rsid w:val="00FD651F"/>
    <w:rsid w:val="00FD6A1C"/>
    <w:rsid w:val="00FD6E1F"/>
    <w:rsid w:val="00FD7008"/>
    <w:rsid w:val="00FD7024"/>
    <w:rsid w:val="00FD7552"/>
    <w:rsid w:val="00FE0186"/>
    <w:rsid w:val="00FE0B90"/>
    <w:rsid w:val="00FE0F97"/>
    <w:rsid w:val="00FE105E"/>
    <w:rsid w:val="00FE18BF"/>
    <w:rsid w:val="00FE1A38"/>
    <w:rsid w:val="00FE1A78"/>
    <w:rsid w:val="00FE1B70"/>
    <w:rsid w:val="00FE1DCC"/>
    <w:rsid w:val="00FE20C8"/>
    <w:rsid w:val="00FE2A03"/>
    <w:rsid w:val="00FE2EB7"/>
    <w:rsid w:val="00FE364C"/>
    <w:rsid w:val="00FE3B0E"/>
    <w:rsid w:val="00FE3EB7"/>
    <w:rsid w:val="00FE46F0"/>
    <w:rsid w:val="00FE4C1E"/>
    <w:rsid w:val="00FE5550"/>
    <w:rsid w:val="00FE5B95"/>
    <w:rsid w:val="00FE66B1"/>
    <w:rsid w:val="00FE704E"/>
    <w:rsid w:val="00FE71EF"/>
    <w:rsid w:val="00FE7336"/>
    <w:rsid w:val="00FF06FD"/>
    <w:rsid w:val="00FF0B0F"/>
    <w:rsid w:val="00FF1812"/>
    <w:rsid w:val="00FF1D10"/>
    <w:rsid w:val="00FF1EA6"/>
    <w:rsid w:val="00FF1EBC"/>
    <w:rsid w:val="00FF1FB6"/>
    <w:rsid w:val="00FF20E7"/>
    <w:rsid w:val="00FF2CE2"/>
    <w:rsid w:val="00FF2F07"/>
    <w:rsid w:val="00FF371D"/>
    <w:rsid w:val="00FF383F"/>
    <w:rsid w:val="00FF39F6"/>
    <w:rsid w:val="00FF3E02"/>
    <w:rsid w:val="00FF4256"/>
    <w:rsid w:val="00FF45BF"/>
    <w:rsid w:val="00FF50F4"/>
    <w:rsid w:val="00FF5EFC"/>
    <w:rsid w:val="00FF626A"/>
    <w:rsid w:val="00FF68FC"/>
    <w:rsid w:val="00FF6A2F"/>
    <w:rsid w:val="00FF73E9"/>
    <w:rsid w:val="00FF7F6F"/>
    <w:rsid w:val="1BA9B94C"/>
    <w:rsid w:val="22E04E7E"/>
    <w:rsid w:val="395D6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013B2"/>
  <w15:docId w15:val="{242167C7-ABF7-4C13-A11D-241CD973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0"/>
    <w:pPr>
      <w:spacing w:before="120" w:after="120" w:line="240" w:lineRule="auto"/>
    </w:pPr>
    <w:rPr>
      <w:sz w:val="22"/>
    </w:rPr>
  </w:style>
  <w:style w:type="paragraph" w:styleId="Heading1">
    <w:name w:val="heading 1"/>
    <w:basedOn w:val="Normal"/>
    <w:next w:val="Normal"/>
    <w:link w:val="Heading1Char"/>
    <w:uiPriority w:val="9"/>
    <w:qFormat/>
    <w:rsid w:val="00F507AD"/>
    <w:pPr>
      <w:pBdr>
        <w:top w:val="single" w:sz="24" w:space="0" w:color="1F4979"/>
        <w:left w:val="single" w:sz="24" w:space="0" w:color="1F4979"/>
        <w:bottom w:val="single" w:sz="24" w:space="0" w:color="1F4979"/>
        <w:right w:val="single" w:sz="24" w:space="0" w:color="1F4979"/>
      </w:pBdr>
      <w:shd w:val="clear" w:color="auto" w:fill="1F4979"/>
      <w:spacing w:after="0"/>
      <w:outlineLvl w:val="0"/>
    </w:pPr>
    <w:rPr>
      <w:rFonts w:ascii="Calibri" w:hAnsi="Calibri"/>
      <w:b/>
      <w:caps/>
      <w:color w:val="FFFFFF" w:themeColor="background1"/>
      <w:sz w:val="32"/>
      <w:szCs w:val="22"/>
    </w:rPr>
  </w:style>
  <w:style w:type="paragraph" w:styleId="Heading2">
    <w:name w:val="heading 2"/>
    <w:basedOn w:val="Normal"/>
    <w:next w:val="Normal"/>
    <w:link w:val="Heading2Char"/>
    <w:autoRedefine/>
    <w:uiPriority w:val="9"/>
    <w:unhideWhenUsed/>
    <w:qFormat/>
    <w:rsid w:val="00AE5D75"/>
    <w:pPr>
      <w:numPr>
        <w:ilvl w:val="1"/>
        <w:numId w:val="5"/>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ind w:left="0" w:firstLine="0"/>
      <w:jc w:val="both"/>
      <w:outlineLvl w:val="1"/>
    </w:pPr>
    <w:rPr>
      <w:sz w:val="24"/>
    </w:rPr>
  </w:style>
  <w:style w:type="paragraph" w:styleId="Heading3">
    <w:name w:val="heading 3"/>
    <w:basedOn w:val="Normal"/>
    <w:next w:val="Normal"/>
    <w:link w:val="Heading3Char"/>
    <w:autoRedefine/>
    <w:uiPriority w:val="9"/>
    <w:unhideWhenUsed/>
    <w:qFormat/>
    <w:rsid w:val="00CC65CA"/>
    <w:pPr>
      <w:outlineLvl w:val="2"/>
    </w:pPr>
    <w:rPr>
      <w:b/>
      <w:color w:val="002060"/>
    </w:rPr>
  </w:style>
  <w:style w:type="paragraph" w:styleId="Heading4">
    <w:name w:val="heading 4"/>
    <w:basedOn w:val="Normal"/>
    <w:next w:val="Normal"/>
    <w:link w:val="Heading4Char"/>
    <w:autoRedefine/>
    <w:uiPriority w:val="9"/>
    <w:unhideWhenUsed/>
    <w:qFormat/>
    <w:rsid w:val="00F33FB3"/>
    <w:pPr>
      <w:numPr>
        <w:ilvl w:val="3"/>
        <w:numId w:val="2"/>
      </w:numPr>
      <w:tabs>
        <w:tab w:val="left" w:pos="2977"/>
      </w:tabs>
      <w:spacing w:before="200" w:after="0"/>
      <w:outlineLvl w:val="3"/>
    </w:pPr>
    <w:rPr>
      <w:color w:val="1F4979"/>
    </w:rPr>
  </w:style>
  <w:style w:type="paragraph" w:styleId="Heading5">
    <w:name w:val="heading 5"/>
    <w:basedOn w:val="Normal"/>
    <w:next w:val="Normal"/>
    <w:link w:val="Heading5Char"/>
    <w:autoRedefine/>
    <w:uiPriority w:val="9"/>
    <w:unhideWhenUsed/>
    <w:qFormat/>
    <w:rsid w:val="00620C06"/>
    <w:pPr>
      <w:spacing w:before="200" w:after="0"/>
      <w:outlineLvl w:val="4"/>
    </w:pPr>
    <w:rPr>
      <w:i/>
      <w:color w:val="1F4979"/>
    </w:rPr>
  </w:style>
  <w:style w:type="paragraph" w:styleId="Heading6">
    <w:name w:val="heading 6"/>
    <w:basedOn w:val="Normal"/>
    <w:next w:val="Normal"/>
    <w:link w:val="Heading6Char"/>
    <w:uiPriority w:val="9"/>
    <w:unhideWhenUsed/>
    <w:qFormat/>
    <w:rsid w:val="00F507A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unhideWhenUsed/>
    <w:qFormat/>
    <w:rsid w:val="00F507A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unhideWhenUsed/>
    <w:qFormat/>
    <w:rsid w:val="00F507AD"/>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507A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507AD"/>
    <w:rPr>
      <w:rFonts w:ascii="Calibri" w:hAnsi="Calibri"/>
      <w:b/>
      <w:caps/>
      <w:color w:val="FFFFFF" w:themeColor="background1"/>
      <w:sz w:val="32"/>
      <w:szCs w:val="22"/>
      <w:shd w:val="clear" w:color="auto" w:fill="1F4979"/>
    </w:rPr>
  </w:style>
  <w:style w:type="character" w:customStyle="1" w:styleId="Heading2Char">
    <w:name w:val="Heading 2 Char"/>
    <w:basedOn w:val="DefaultParagraphFont"/>
    <w:link w:val="Heading2"/>
    <w:uiPriority w:val="9"/>
    <w:qFormat/>
    <w:rsid w:val="00AE5D75"/>
    <w:rPr>
      <w:sz w:val="24"/>
      <w:shd w:val="clear" w:color="auto" w:fill="D9E2F3" w:themeFill="accent1" w:themeFillTint="33"/>
    </w:rPr>
  </w:style>
  <w:style w:type="paragraph" w:styleId="ListParagraph">
    <w:name w:val="List Paragraph"/>
    <w:aliases w:val="Strip,H&amp;P List Paragraph,2"/>
    <w:basedOn w:val="Normal"/>
    <w:link w:val="ListParagraphChar"/>
    <w:uiPriority w:val="34"/>
    <w:qFormat/>
    <w:rsid w:val="00AC5118"/>
    <w:pPr>
      <w:ind w:left="720"/>
      <w:contextualSpacing/>
    </w:pPr>
  </w:style>
  <w:style w:type="table" w:styleId="TableGrid">
    <w:name w:val="Table Grid"/>
    <w:basedOn w:val="TableNormal"/>
    <w:uiPriority w:val="39"/>
    <w:qFormat/>
    <w:rsid w:val="00580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80DA8"/>
    <w:rPr>
      <w:sz w:val="16"/>
      <w:szCs w:val="16"/>
    </w:rPr>
  </w:style>
  <w:style w:type="paragraph" w:styleId="CommentText">
    <w:name w:val="annotation text"/>
    <w:basedOn w:val="Normal"/>
    <w:link w:val="CommentTextChar"/>
    <w:uiPriority w:val="99"/>
    <w:unhideWhenUsed/>
    <w:qFormat/>
    <w:rsid w:val="00580DA8"/>
    <w:pPr>
      <w:spacing w:after="0"/>
    </w:pPr>
  </w:style>
  <w:style w:type="character" w:customStyle="1" w:styleId="CommentTextChar">
    <w:name w:val="Comment Text Char"/>
    <w:basedOn w:val="DefaultParagraphFont"/>
    <w:link w:val="CommentText"/>
    <w:uiPriority w:val="99"/>
    <w:qFormat/>
    <w:rsid w:val="00580DA8"/>
    <w:rPr>
      <w:sz w:val="20"/>
      <w:szCs w:val="20"/>
    </w:rPr>
  </w:style>
  <w:style w:type="paragraph" w:styleId="BalloonText">
    <w:name w:val="Balloon Text"/>
    <w:basedOn w:val="Normal"/>
    <w:link w:val="BalloonTextChar"/>
    <w:uiPriority w:val="99"/>
    <w:unhideWhenUsed/>
    <w:qFormat/>
    <w:rsid w:val="00580DA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80DA8"/>
    <w:rPr>
      <w:rFonts w:ascii="Segoe UI" w:hAnsi="Segoe UI" w:cs="Segoe UI"/>
      <w:sz w:val="18"/>
      <w:szCs w:val="18"/>
      <w:lang w:val="en-GB"/>
    </w:rPr>
  </w:style>
  <w:style w:type="paragraph" w:customStyle="1" w:styleId="Default">
    <w:name w:val="Default"/>
    <w:qFormat/>
    <w:rsid w:val="00F55826"/>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Fußnote"/>
    <w:basedOn w:val="Normal"/>
    <w:link w:val="FootnoteTextChar"/>
    <w:uiPriority w:val="99"/>
    <w:unhideWhenUsed/>
    <w:qFormat/>
    <w:rsid w:val="00442FBE"/>
    <w:pPr>
      <w:spacing w:after="0"/>
    </w:pPr>
  </w:style>
  <w:style w:type="character" w:customStyle="1" w:styleId="FootnoteTextChar">
    <w:name w:val="Footnote Text Char"/>
    <w:aliases w:val="Footnote Char,Fußnote Char"/>
    <w:basedOn w:val="DefaultParagraphFont"/>
    <w:link w:val="FootnoteText"/>
    <w:uiPriority w:val="99"/>
    <w:qFormat/>
    <w:rsid w:val="00442FBE"/>
    <w:rPr>
      <w:sz w:val="20"/>
      <w:szCs w:val="20"/>
    </w:rPr>
  </w:style>
  <w:style w:type="character" w:styleId="FootnoteReference">
    <w:name w:val="footnote reference"/>
    <w:aliases w:val="Footnote Reference Number,Odwołanie przypisu,Footnote symbol,Footnote Reference Superscript,Footnote Refernece,ftref,BVI fnr,Footnotes refss,SUPERS,Ref,de nota al pie,-E Fußnotenzeichen,Footnote reference number,Times 10 Point,E,E FNZ"/>
    <w:basedOn w:val="DefaultParagraphFont"/>
    <w:uiPriority w:val="99"/>
    <w:unhideWhenUsed/>
    <w:qFormat/>
    <w:rsid w:val="00442FBE"/>
    <w:rPr>
      <w:vertAlign w:val="superscript"/>
    </w:rPr>
  </w:style>
  <w:style w:type="paragraph" w:styleId="Header">
    <w:name w:val="header"/>
    <w:basedOn w:val="Normal"/>
    <w:link w:val="HeaderChar"/>
    <w:uiPriority w:val="99"/>
    <w:unhideWhenUsed/>
    <w:qFormat/>
    <w:rsid w:val="005C4272"/>
    <w:pPr>
      <w:tabs>
        <w:tab w:val="center" w:pos="4153"/>
        <w:tab w:val="right" w:pos="8306"/>
      </w:tabs>
      <w:spacing w:after="0"/>
    </w:pPr>
  </w:style>
  <w:style w:type="character" w:customStyle="1" w:styleId="HeaderChar">
    <w:name w:val="Header Char"/>
    <w:basedOn w:val="DefaultParagraphFont"/>
    <w:link w:val="Header"/>
    <w:uiPriority w:val="99"/>
    <w:qFormat/>
    <w:rsid w:val="005C4272"/>
    <w:rPr>
      <w:lang w:val="en-GB"/>
    </w:rPr>
  </w:style>
  <w:style w:type="paragraph" w:styleId="Footer">
    <w:name w:val="footer"/>
    <w:basedOn w:val="Normal"/>
    <w:link w:val="FooterChar"/>
    <w:uiPriority w:val="99"/>
    <w:unhideWhenUsed/>
    <w:qFormat/>
    <w:rsid w:val="005C4272"/>
    <w:pPr>
      <w:tabs>
        <w:tab w:val="center" w:pos="4153"/>
        <w:tab w:val="right" w:pos="8306"/>
      </w:tabs>
      <w:spacing w:after="0"/>
    </w:pPr>
  </w:style>
  <w:style w:type="character" w:customStyle="1" w:styleId="FooterChar">
    <w:name w:val="Footer Char"/>
    <w:basedOn w:val="DefaultParagraphFont"/>
    <w:link w:val="Footer"/>
    <w:uiPriority w:val="99"/>
    <w:qFormat/>
    <w:rsid w:val="005C4272"/>
    <w:rPr>
      <w:lang w:val="en-GB"/>
    </w:rPr>
  </w:style>
  <w:style w:type="character" w:customStyle="1" w:styleId="Heading3Char">
    <w:name w:val="Heading 3 Char"/>
    <w:basedOn w:val="DefaultParagraphFont"/>
    <w:link w:val="Heading3"/>
    <w:uiPriority w:val="9"/>
    <w:qFormat/>
    <w:rsid w:val="00CC65CA"/>
    <w:rPr>
      <w:b/>
      <w:color w:val="002060"/>
      <w:sz w:val="22"/>
    </w:rPr>
  </w:style>
  <w:style w:type="paragraph" w:styleId="Caption">
    <w:name w:val="caption"/>
    <w:aliases w:val="Char,Caption1,Char Char Char Char Char Char Char Char Char Char Char Char Char Char Char Char Char Char Char Char Char Char,Char2,Char Char2,Char Char Char Char"/>
    <w:basedOn w:val="Normal"/>
    <w:next w:val="Normal"/>
    <w:link w:val="CaptionChar"/>
    <w:autoRedefine/>
    <w:uiPriority w:val="35"/>
    <w:unhideWhenUsed/>
    <w:qFormat/>
    <w:rsid w:val="00106A22"/>
    <w:pPr>
      <w:keepNext/>
      <w:jc w:val="center"/>
    </w:pPr>
    <w:rPr>
      <w:b/>
      <w:bCs/>
      <w:sz w:val="20"/>
    </w:rPr>
  </w:style>
  <w:style w:type="paragraph" w:styleId="EndnoteText">
    <w:name w:val="endnote text"/>
    <w:basedOn w:val="Normal"/>
    <w:link w:val="EndnoteTextChar"/>
    <w:uiPriority w:val="99"/>
    <w:unhideWhenUsed/>
    <w:qFormat/>
    <w:rsid w:val="005A71CB"/>
    <w:pPr>
      <w:spacing w:after="0"/>
    </w:pPr>
  </w:style>
  <w:style w:type="character" w:customStyle="1" w:styleId="EndnoteTextChar">
    <w:name w:val="Endnote Text Char"/>
    <w:basedOn w:val="DefaultParagraphFont"/>
    <w:link w:val="EndnoteText"/>
    <w:uiPriority w:val="99"/>
    <w:semiHidden/>
    <w:qFormat/>
    <w:rsid w:val="005A71CB"/>
    <w:rPr>
      <w:sz w:val="20"/>
      <w:szCs w:val="20"/>
    </w:rPr>
  </w:style>
  <w:style w:type="character" w:styleId="EndnoteReference">
    <w:name w:val="endnote reference"/>
    <w:basedOn w:val="DefaultParagraphFont"/>
    <w:uiPriority w:val="99"/>
    <w:unhideWhenUsed/>
    <w:qFormat/>
    <w:rsid w:val="005A71CB"/>
    <w:rPr>
      <w:vertAlign w:val="superscript"/>
    </w:rPr>
  </w:style>
  <w:style w:type="character" w:customStyle="1" w:styleId="Heading4Char">
    <w:name w:val="Heading 4 Char"/>
    <w:basedOn w:val="DefaultParagraphFont"/>
    <w:link w:val="Heading4"/>
    <w:uiPriority w:val="9"/>
    <w:qFormat/>
    <w:rsid w:val="00F33FB3"/>
    <w:rPr>
      <w:color w:val="1F4979"/>
      <w:sz w:val="22"/>
    </w:rPr>
  </w:style>
  <w:style w:type="character" w:styleId="Hyperlink">
    <w:name w:val="Hyperlink"/>
    <w:basedOn w:val="DefaultParagraphFont"/>
    <w:uiPriority w:val="99"/>
    <w:unhideWhenUsed/>
    <w:qFormat/>
    <w:rsid w:val="00E51B34"/>
    <w:rPr>
      <w:color w:val="0563C1" w:themeColor="hyperlink"/>
      <w:u w:val="single"/>
    </w:rPr>
  </w:style>
  <w:style w:type="character" w:customStyle="1" w:styleId="Neatrisintapieminana1">
    <w:name w:val="Neatrisināta pieminēšana1"/>
    <w:basedOn w:val="DefaultParagraphFont"/>
    <w:uiPriority w:val="99"/>
    <w:semiHidden/>
    <w:unhideWhenUsed/>
    <w:rsid w:val="00E51B34"/>
    <w:rPr>
      <w:color w:val="808080"/>
      <w:shd w:val="clear" w:color="auto" w:fill="E6E6E6"/>
    </w:rPr>
  </w:style>
  <w:style w:type="paragraph" w:styleId="TOCHeading">
    <w:name w:val="TOC Heading"/>
    <w:basedOn w:val="Heading1"/>
    <w:next w:val="Normal"/>
    <w:uiPriority w:val="39"/>
    <w:unhideWhenUsed/>
    <w:qFormat/>
    <w:rsid w:val="00F507AD"/>
    <w:pPr>
      <w:outlineLvl w:val="9"/>
    </w:pPr>
  </w:style>
  <w:style w:type="paragraph" w:styleId="TOC1">
    <w:name w:val="toc 1"/>
    <w:basedOn w:val="Normal"/>
    <w:next w:val="Normal"/>
    <w:autoRedefine/>
    <w:uiPriority w:val="39"/>
    <w:unhideWhenUsed/>
    <w:qFormat/>
    <w:rsid w:val="00AA65AF"/>
    <w:pPr>
      <w:spacing w:after="100"/>
    </w:pPr>
  </w:style>
  <w:style w:type="paragraph" w:styleId="TOC2">
    <w:name w:val="toc 2"/>
    <w:basedOn w:val="Normal"/>
    <w:next w:val="Normal"/>
    <w:autoRedefine/>
    <w:uiPriority w:val="39"/>
    <w:unhideWhenUsed/>
    <w:qFormat/>
    <w:rsid w:val="00AA65AF"/>
    <w:pPr>
      <w:spacing w:after="100"/>
      <w:ind w:left="220"/>
    </w:pPr>
  </w:style>
  <w:style w:type="paragraph" w:styleId="TOC3">
    <w:name w:val="toc 3"/>
    <w:basedOn w:val="Normal"/>
    <w:next w:val="Normal"/>
    <w:autoRedefine/>
    <w:uiPriority w:val="39"/>
    <w:unhideWhenUsed/>
    <w:qFormat/>
    <w:rsid w:val="00AA65AF"/>
    <w:pPr>
      <w:spacing w:after="100"/>
      <w:ind w:left="440"/>
    </w:pPr>
  </w:style>
  <w:style w:type="paragraph" w:styleId="CommentSubject">
    <w:name w:val="annotation subject"/>
    <w:basedOn w:val="CommentText"/>
    <w:next w:val="CommentText"/>
    <w:link w:val="CommentSubjectChar"/>
    <w:uiPriority w:val="99"/>
    <w:unhideWhenUsed/>
    <w:qFormat/>
    <w:rsid w:val="00FD6A1C"/>
    <w:pPr>
      <w:spacing w:after="120"/>
    </w:pPr>
    <w:rPr>
      <w:b/>
      <w:bCs/>
    </w:rPr>
  </w:style>
  <w:style w:type="character" w:customStyle="1" w:styleId="CommentSubjectChar">
    <w:name w:val="Comment Subject Char"/>
    <w:basedOn w:val="CommentTextChar"/>
    <w:link w:val="CommentSubject"/>
    <w:uiPriority w:val="99"/>
    <w:semiHidden/>
    <w:qFormat/>
    <w:rsid w:val="00FD6A1C"/>
    <w:rPr>
      <w:b/>
      <w:bCs/>
      <w:sz w:val="20"/>
      <w:szCs w:val="20"/>
    </w:rPr>
  </w:style>
  <w:style w:type="character" w:customStyle="1" w:styleId="Heading5Char">
    <w:name w:val="Heading 5 Char"/>
    <w:basedOn w:val="DefaultParagraphFont"/>
    <w:link w:val="Heading5"/>
    <w:uiPriority w:val="9"/>
    <w:qFormat/>
    <w:rsid w:val="00620C06"/>
    <w:rPr>
      <w:i/>
      <w:color w:val="1F4979"/>
      <w:sz w:val="22"/>
    </w:rPr>
  </w:style>
  <w:style w:type="character" w:customStyle="1" w:styleId="Heading6Char">
    <w:name w:val="Heading 6 Char"/>
    <w:basedOn w:val="DefaultParagraphFont"/>
    <w:link w:val="Heading6"/>
    <w:uiPriority w:val="9"/>
    <w:semiHidden/>
    <w:qFormat/>
    <w:rsid w:val="00F507AD"/>
    <w:rPr>
      <w:caps/>
      <w:color w:val="2F5496" w:themeColor="accent1" w:themeShade="BF"/>
      <w:spacing w:val="10"/>
    </w:rPr>
  </w:style>
  <w:style w:type="character" w:customStyle="1" w:styleId="Heading7Char">
    <w:name w:val="Heading 7 Char"/>
    <w:basedOn w:val="DefaultParagraphFont"/>
    <w:link w:val="Heading7"/>
    <w:uiPriority w:val="9"/>
    <w:semiHidden/>
    <w:qFormat/>
    <w:rsid w:val="00F507AD"/>
    <w:rPr>
      <w:caps/>
      <w:color w:val="2F5496" w:themeColor="accent1" w:themeShade="BF"/>
      <w:spacing w:val="10"/>
    </w:rPr>
  </w:style>
  <w:style w:type="character" w:customStyle="1" w:styleId="Heading8Char">
    <w:name w:val="Heading 8 Char"/>
    <w:basedOn w:val="DefaultParagraphFont"/>
    <w:link w:val="Heading8"/>
    <w:uiPriority w:val="9"/>
    <w:semiHidden/>
    <w:qFormat/>
    <w:rsid w:val="00F507AD"/>
    <w:rPr>
      <w:caps/>
      <w:spacing w:val="10"/>
      <w:sz w:val="18"/>
      <w:szCs w:val="18"/>
    </w:rPr>
  </w:style>
  <w:style w:type="character" w:customStyle="1" w:styleId="Heading9Char">
    <w:name w:val="Heading 9 Char"/>
    <w:basedOn w:val="DefaultParagraphFont"/>
    <w:link w:val="Heading9"/>
    <w:uiPriority w:val="9"/>
    <w:semiHidden/>
    <w:qFormat/>
    <w:rsid w:val="00F507AD"/>
    <w:rPr>
      <w:i/>
      <w:iCs/>
      <w:caps/>
      <w:spacing w:val="10"/>
      <w:sz w:val="18"/>
      <w:szCs w:val="18"/>
    </w:rPr>
  </w:style>
  <w:style w:type="paragraph" w:styleId="Title">
    <w:name w:val="Title"/>
    <w:basedOn w:val="Normal"/>
    <w:next w:val="Normal"/>
    <w:link w:val="TitleChar"/>
    <w:uiPriority w:val="10"/>
    <w:qFormat/>
    <w:rsid w:val="00F507A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qFormat/>
    <w:rsid w:val="00F507A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507AD"/>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qFormat/>
    <w:rsid w:val="00F507AD"/>
    <w:rPr>
      <w:caps/>
      <w:color w:val="595959" w:themeColor="text1" w:themeTint="A6"/>
      <w:spacing w:val="10"/>
      <w:sz w:val="21"/>
      <w:szCs w:val="21"/>
    </w:rPr>
  </w:style>
  <w:style w:type="character" w:styleId="Strong">
    <w:name w:val="Strong"/>
    <w:uiPriority w:val="22"/>
    <w:qFormat/>
    <w:rsid w:val="00F507AD"/>
    <w:rPr>
      <w:b/>
      <w:bCs/>
    </w:rPr>
  </w:style>
  <w:style w:type="character" w:styleId="Emphasis">
    <w:name w:val="Emphasis"/>
    <w:uiPriority w:val="20"/>
    <w:qFormat/>
    <w:rsid w:val="00F507AD"/>
    <w:rPr>
      <w:caps/>
      <w:color w:val="1F3763" w:themeColor="accent1" w:themeShade="7F"/>
      <w:spacing w:val="5"/>
    </w:rPr>
  </w:style>
  <w:style w:type="paragraph" w:styleId="NoSpacing">
    <w:name w:val="No Spacing"/>
    <w:link w:val="NoSpacingChar"/>
    <w:uiPriority w:val="1"/>
    <w:qFormat/>
    <w:rsid w:val="00F507AD"/>
    <w:pPr>
      <w:spacing w:after="0" w:line="240" w:lineRule="auto"/>
    </w:pPr>
  </w:style>
  <w:style w:type="paragraph" w:styleId="Quote">
    <w:name w:val="Quote"/>
    <w:basedOn w:val="Normal"/>
    <w:next w:val="Normal"/>
    <w:link w:val="QuoteChar"/>
    <w:uiPriority w:val="29"/>
    <w:qFormat/>
    <w:rsid w:val="00F507AD"/>
    <w:rPr>
      <w:i/>
      <w:iCs/>
      <w:sz w:val="24"/>
      <w:szCs w:val="24"/>
    </w:rPr>
  </w:style>
  <w:style w:type="character" w:customStyle="1" w:styleId="QuoteChar">
    <w:name w:val="Quote Char"/>
    <w:basedOn w:val="DefaultParagraphFont"/>
    <w:link w:val="Quote"/>
    <w:uiPriority w:val="29"/>
    <w:qFormat/>
    <w:rsid w:val="00F507AD"/>
    <w:rPr>
      <w:i/>
      <w:iCs/>
      <w:sz w:val="24"/>
      <w:szCs w:val="24"/>
    </w:rPr>
  </w:style>
  <w:style w:type="paragraph" w:styleId="IntenseQuote">
    <w:name w:val="Intense Quote"/>
    <w:basedOn w:val="Normal"/>
    <w:next w:val="Normal"/>
    <w:link w:val="IntenseQuoteChar"/>
    <w:uiPriority w:val="30"/>
    <w:qFormat/>
    <w:rsid w:val="00F507AD"/>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507AD"/>
    <w:rPr>
      <w:color w:val="4472C4" w:themeColor="accent1"/>
      <w:sz w:val="24"/>
      <w:szCs w:val="24"/>
    </w:rPr>
  </w:style>
  <w:style w:type="character" w:styleId="SubtleEmphasis">
    <w:name w:val="Subtle Emphasis"/>
    <w:uiPriority w:val="19"/>
    <w:qFormat/>
    <w:rsid w:val="00F507AD"/>
    <w:rPr>
      <w:i/>
      <w:iCs/>
      <w:color w:val="1F3763" w:themeColor="accent1" w:themeShade="7F"/>
    </w:rPr>
  </w:style>
  <w:style w:type="character" w:styleId="IntenseEmphasis">
    <w:name w:val="Intense Emphasis"/>
    <w:uiPriority w:val="21"/>
    <w:qFormat/>
    <w:rsid w:val="00F507AD"/>
    <w:rPr>
      <w:b/>
      <w:bCs/>
      <w:caps/>
      <w:color w:val="1F3763" w:themeColor="accent1" w:themeShade="7F"/>
      <w:spacing w:val="10"/>
    </w:rPr>
  </w:style>
  <w:style w:type="character" w:styleId="SubtleReference">
    <w:name w:val="Subtle Reference"/>
    <w:uiPriority w:val="31"/>
    <w:qFormat/>
    <w:rsid w:val="00F507AD"/>
    <w:rPr>
      <w:b/>
      <w:bCs/>
      <w:color w:val="4472C4" w:themeColor="accent1"/>
    </w:rPr>
  </w:style>
  <w:style w:type="character" w:styleId="IntenseReference">
    <w:name w:val="Intense Reference"/>
    <w:uiPriority w:val="32"/>
    <w:qFormat/>
    <w:rsid w:val="00F507AD"/>
    <w:rPr>
      <w:b/>
      <w:bCs/>
      <w:i/>
      <w:iCs/>
      <w:caps/>
      <w:color w:val="4472C4" w:themeColor="accent1"/>
    </w:rPr>
  </w:style>
  <w:style w:type="character" w:styleId="BookTitle">
    <w:name w:val="Book Title"/>
    <w:uiPriority w:val="33"/>
    <w:qFormat/>
    <w:rsid w:val="00F507AD"/>
    <w:rPr>
      <w:b/>
      <w:bCs/>
      <w:i/>
      <w:iCs/>
      <w:spacing w:val="0"/>
    </w:rPr>
  </w:style>
  <w:style w:type="numbering" w:customStyle="1" w:styleId="Style1">
    <w:name w:val="Style1"/>
    <w:uiPriority w:val="99"/>
    <w:rsid w:val="000F0757"/>
    <w:pPr>
      <w:numPr>
        <w:numId w:val="1"/>
      </w:numPr>
    </w:pPr>
  </w:style>
  <w:style w:type="paragraph" w:styleId="NormalWeb">
    <w:name w:val="Normal (Web)"/>
    <w:basedOn w:val="Normal"/>
    <w:uiPriority w:val="99"/>
    <w:unhideWhenUsed/>
    <w:qFormat/>
    <w:rsid w:val="00BC3F9A"/>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organization">
    <w:name w:val="organization"/>
    <w:basedOn w:val="DefaultParagraphFont"/>
    <w:qFormat/>
    <w:rsid w:val="00BC3F9A"/>
  </w:style>
  <w:style w:type="paragraph" w:customStyle="1" w:styleId="naisc">
    <w:name w:val="naisc"/>
    <w:basedOn w:val="Normal"/>
    <w:qFormat/>
    <w:rsid w:val="00B81620"/>
    <w:pPr>
      <w:spacing w:before="450" w:after="225"/>
      <w:jc w:val="center"/>
    </w:pPr>
    <w:rPr>
      <w:rFonts w:ascii="Times New Roman" w:eastAsia="Times New Roman" w:hAnsi="Times New Roman" w:cs="Times New Roman"/>
      <w:b/>
      <w:bCs/>
      <w:sz w:val="26"/>
      <w:szCs w:val="26"/>
      <w:lang w:eastAsia="lv-LV"/>
    </w:rPr>
  </w:style>
  <w:style w:type="paragraph" w:customStyle="1" w:styleId="BodySectionSub">
    <w:name w:val="Body Section (Sub)"/>
    <w:next w:val="Normal"/>
    <w:link w:val="BodySectionSubChar"/>
    <w:rsid w:val="00110DE8"/>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rPr>
  </w:style>
  <w:style w:type="character" w:customStyle="1" w:styleId="BodySectionSubChar">
    <w:name w:val="Body Section (Sub) Char"/>
    <w:basedOn w:val="DefaultParagraphFont"/>
    <w:link w:val="BodySectionSub"/>
    <w:qFormat/>
    <w:rsid w:val="00110DE8"/>
    <w:rPr>
      <w:rFonts w:ascii="Times New Roman" w:eastAsia="Times New Roman" w:hAnsi="Times New Roman" w:cs="Times New Roman"/>
      <w:sz w:val="24"/>
      <w:lang w:val="en-GB"/>
    </w:rPr>
  </w:style>
  <w:style w:type="paragraph" w:customStyle="1" w:styleId="DraftHeading2">
    <w:name w:val="Draft Heading 2"/>
    <w:basedOn w:val="Normal"/>
    <w:next w:val="Normal"/>
    <w:rsid w:val="00110DE8"/>
    <w:pPr>
      <w:overflowPunct w:val="0"/>
      <w:autoSpaceDE w:val="0"/>
      <w:autoSpaceDN w:val="0"/>
      <w:adjustRightInd w:val="0"/>
      <w:spacing w:after="0"/>
      <w:textAlignment w:val="baseline"/>
    </w:pPr>
    <w:rPr>
      <w:rFonts w:ascii="Times New Roman" w:eastAsia="Times New Roman" w:hAnsi="Times New Roman" w:cs="Times New Roman"/>
      <w:sz w:val="24"/>
    </w:rPr>
  </w:style>
  <w:style w:type="character" w:customStyle="1" w:styleId="st">
    <w:name w:val="st"/>
    <w:basedOn w:val="DefaultParagraphFont"/>
    <w:qFormat/>
    <w:rsid w:val="00161584"/>
  </w:style>
  <w:style w:type="table" w:styleId="LightShading-Accent1">
    <w:name w:val="Light Shading Accent 1"/>
    <w:basedOn w:val="TableNormal"/>
    <w:uiPriority w:val="60"/>
    <w:unhideWhenUsed/>
    <w:qFormat/>
    <w:rsid w:val="007D5B02"/>
    <w:pPr>
      <w:spacing w:before="0"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qFormat/>
    <w:rsid w:val="007D5B02"/>
    <w:pPr>
      <w:spacing w:before="0" w:after="0" w:line="240" w:lineRule="auto"/>
    </w:pPr>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qFormat/>
    <w:rsid w:val="007D5B02"/>
    <w:pPr>
      <w:spacing w:after="0"/>
      <w:jc w:val="both"/>
    </w:pPr>
    <w:rPr>
      <w:rFonts w:ascii="Calibri" w:eastAsia="Times New Roman" w:hAnsi="Calibri" w:cs="Times New Roman"/>
      <w:szCs w:val="24"/>
    </w:rPr>
  </w:style>
  <w:style w:type="character" w:customStyle="1" w:styleId="ListParagraphChar">
    <w:name w:val="List Paragraph Char"/>
    <w:aliases w:val="Strip Char,H&amp;P List Paragraph Char,2 Char"/>
    <w:link w:val="ListParagraph"/>
    <w:uiPriority w:val="34"/>
    <w:qFormat/>
    <w:locked/>
    <w:rsid w:val="007D5B02"/>
    <w:rPr>
      <w:sz w:val="22"/>
    </w:rPr>
  </w:style>
  <w:style w:type="character" w:customStyle="1" w:styleId="CaptionChar">
    <w:name w:val="Caption Char"/>
    <w:aliases w:val="Char Char,Caption1 Char,Char Char Char Char Char Char Char Char Char Char Char Char Char Char Char Char Char Char Char Char Char Char Char,Char2 Char,Char Char2 Char,Char Char Char Char Char"/>
    <w:basedOn w:val="DefaultParagraphFont"/>
    <w:link w:val="Caption"/>
    <w:uiPriority w:val="35"/>
    <w:qFormat/>
    <w:rsid w:val="00106A22"/>
    <w:rPr>
      <w:b/>
      <w:bCs/>
    </w:rPr>
  </w:style>
  <w:style w:type="paragraph" w:customStyle="1" w:styleId="tv213">
    <w:name w:val="tv213"/>
    <w:basedOn w:val="Normal"/>
    <w:qFormat/>
    <w:rsid w:val="007D5B02"/>
    <w:pPr>
      <w:spacing w:before="100" w:beforeAutospacing="1" w:after="100" w:afterAutospacing="1"/>
    </w:pPr>
    <w:rPr>
      <w:rFonts w:ascii="Calibri" w:eastAsia="Times New Roman" w:hAnsi="Calibri" w:cs="Times New Roman"/>
      <w:szCs w:val="24"/>
      <w:lang w:eastAsia="lv-LV"/>
    </w:rPr>
  </w:style>
  <w:style w:type="character" w:customStyle="1" w:styleId="UnresolvedMention1">
    <w:name w:val="Unresolved Mention1"/>
    <w:basedOn w:val="DefaultParagraphFont"/>
    <w:uiPriority w:val="99"/>
    <w:unhideWhenUsed/>
    <w:qFormat/>
    <w:rsid w:val="00AE74E0"/>
    <w:rPr>
      <w:color w:val="808080"/>
      <w:shd w:val="clear" w:color="auto" w:fill="E6E6E6"/>
    </w:rPr>
  </w:style>
  <w:style w:type="paragraph" w:styleId="TOC4">
    <w:name w:val="toc 4"/>
    <w:basedOn w:val="Normal"/>
    <w:next w:val="Normal"/>
    <w:autoRedefine/>
    <w:uiPriority w:val="39"/>
    <w:unhideWhenUsed/>
    <w:qFormat/>
    <w:rsid w:val="00A7577B"/>
    <w:pPr>
      <w:spacing w:before="0" w:after="100" w:line="259" w:lineRule="auto"/>
      <w:ind w:left="660"/>
    </w:pPr>
    <w:rPr>
      <w:szCs w:val="22"/>
      <w:lang w:eastAsia="lv-LV"/>
    </w:rPr>
  </w:style>
  <w:style w:type="paragraph" w:styleId="TOC5">
    <w:name w:val="toc 5"/>
    <w:basedOn w:val="Normal"/>
    <w:next w:val="Normal"/>
    <w:autoRedefine/>
    <w:uiPriority w:val="39"/>
    <w:unhideWhenUsed/>
    <w:qFormat/>
    <w:rsid w:val="00A7577B"/>
    <w:pPr>
      <w:spacing w:before="0" w:after="100" w:line="259" w:lineRule="auto"/>
      <w:ind w:left="880"/>
    </w:pPr>
    <w:rPr>
      <w:szCs w:val="22"/>
      <w:lang w:eastAsia="lv-LV"/>
    </w:rPr>
  </w:style>
  <w:style w:type="paragraph" w:styleId="TOC6">
    <w:name w:val="toc 6"/>
    <w:basedOn w:val="Normal"/>
    <w:next w:val="Normal"/>
    <w:autoRedefine/>
    <w:uiPriority w:val="39"/>
    <w:unhideWhenUsed/>
    <w:qFormat/>
    <w:rsid w:val="00A7577B"/>
    <w:pPr>
      <w:spacing w:before="0" w:after="100" w:line="259" w:lineRule="auto"/>
      <w:ind w:left="1100"/>
    </w:pPr>
    <w:rPr>
      <w:szCs w:val="22"/>
      <w:lang w:eastAsia="lv-LV"/>
    </w:rPr>
  </w:style>
  <w:style w:type="paragraph" w:styleId="TOC7">
    <w:name w:val="toc 7"/>
    <w:basedOn w:val="Normal"/>
    <w:next w:val="Normal"/>
    <w:autoRedefine/>
    <w:uiPriority w:val="39"/>
    <w:unhideWhenUsed/>
    <w:qFormat/>
    <w:rsid w:val="00A7577B"/>
    <w:pPr>
      <w:spacing w:before="0" w:after="100" w:line="259" w:lineRule="auto"/>
      <w:ind w:left="1320"/>
    </w:pPr>
    <w:rPr>
      <w:szCs w:val="22"/>
      <w:lang w:eastAsia="lv-LV"/>
    </w:rPr>
  </w:style>
  <w:style w:type="paragraph" w:styleId="TOC8">
    <w:name w:val="toc 8"/>
    <w:basedOn w:val="Normal"/>
    <w:next w:val="Normal"/>
    <w:autoRedefine/>
    <w:uiPriority w:val="39"/>
    <w:unhideWhenUsed/>
    <w:qFormat/>
    <w:rsid w:val="00A7577B"/>
    <w:pPr>
      <w:spacing w:before="0" w:after="100" w:line="259" w:lineRule="auto"/>
      <w:ind w:left="1540"/>
    </w:pPr>
    <w:rPr>
      <w:szCs w:val="22"/>
      <w:lang w:eastAsia="lv-LV"/>
    </w:rPr>
  </w:style>
  <w:style w:type="paragraph" w:styleId="TOC9">
    <w:name w:val="toc 9"/>
    <w:basedOn w:val="Normal"/>
    <w:next w:val="Normal"/>
    <w:autoRedefine/>
    <w:uiPriority w:val="39"/>
    <w:unhideWhenUsed/>
    <w:qFormat/>
    <w:rsid w:val="00A7577B"/>
    <w:pPr>
      <w:spacing w:before="0" w:after="100" w:line="259" w:lineRule="auto"/>
      <w:ind w:left="1760"/>
    </w:pPr>
    <w:rPr>
      <w:szCs w:val="22"/>
      <w:lang w:eastAsia="lv-LV"/>
    </w:rPr>
  </w:style>
  <w:style w:type="paragraph" w:customStyle="1" w:styleId="ListParagraph1">
    <w:name w:val="List Paragraph1"/>
    <w:basedOn w:val="Normal"/>
    <w:uiPriority w:val="34"/>
    <w:qFormat/>
    <w:rsid w:val="00711AAE"/>
    <w:pPr>
      <w:ind w:left="720"/>
      <w:contextualSpacing/>
    </w:pPr>
  </w:style>
  <w:style w:type="paragraph" w:customStyle="1" w:styleId="TOCHeading1">
    <w:name w:val="TOC Heading1"/>
    <w:basedOn w:val="Heading1"/>
    <w:next w:val="Normal"/>
    <w:uiPriority w:val="39"/>
    <w:unhideWhenUsed/>
    <w:qFormat/>
    <w:rsid w:val="00711AAE"/>
    <w:pPr>
      <w:outlineLvl w:val="9"/>
    </w:pPr>
  </w:style>
  <w:style w:type="paragraph" w:customStyle="1" w:styleId="NoSpacing1">
    <w:name w:val="No Spacing1"/>
    <w:uiPriority w:val="1"/>
    <w:qFormat/>
    <w:rsid w:val="00711AAE"/>
    <w:pPr>
      <w:spacing w:after="0" w:line="240" w:lineRule="auto"/>
    </w:pPr>
  </w:style>
  <w:style w:type="paragraph" w:customStyle="1" w:styleId="Quote1">
    <w:name w:val="Quote1"/>
    <w:basedOn w:val="Normal"/>
    <w:next w:val="Normal"/>
    <w:uiPriority w:val="29"/>
    <w:qFormat/>
    <w:rsid w:val="00711AAE"/>
    <w:rPr>
      <w:i/>
      <w:iCs/>
      <w:sz w:val="24"/>
      <w:szCs w:val="24"/>
    </w:rPr>
  </w:style>
  <w:style w:type="paragraph" w:customStyle="1" w:styleId="IntenseQuote1">
    <w:name w:val="Intense Quote1"/>
    <w:basedOn w:val="Normal"/>
    <w:next w:val="Normal"/>
    <w:uiPriority w:val="30"/>
    <w:qFormat/>
    <w:rsid w:val="00711AAE"/>
    <w:pPr>
      <w:spacing w:before="240" w:after="240"/>
      <w:ind w:left="1080" w:right="1080"/>
      <w:jc w:val="center"/>
    </w:pPr>
    <w:rPr>
      <w:color w:val="4472C4" w:themeColor="accent1"/>
      <w:sz w:val="24"/>
      <w:szCs w:val="24"/>
    </w:rPr>
  </w:style>
  <w:style w:type="character" w:customStyle="1" w:styleId="SubtleEmphasis1">
    <w:name w:val="Subtle Emphasis1"/>
    <w:uiPriority w:val="19"/>
    <w:qFormat/>
    <w:rsid w:val="00711AAE"/>
    <w:rPr>
      <w:i/>
      <w:iCs/>
      <w:color w:val="1F3864" w:themeColor="accent1" w:themeShade="80"/>
    </w:rPr>
  </w:style>
  <w:style w:type="character" w:customStyle="1" w:styleId="IntenseEmphasis1">
    <w:name w:val="Intense Emphasis1"/>
    <w:uiPriority w:val="21"/>
    <w:qFormat/>
    <w:rsid w:val="00711AAE"/>
    <w:rPr>
      <w:b/>
      <w:bCs/>
      <w:caps/>
      <w:color w:val="1F3864" w:themeColor="accent1" w:themeShade="80"/>
      <w:spacing w:val="10"/>
    </w:rPr>
  </w:style>
  <w:style w:type="character" w:customStyle="1" w:styleId="SubtleReference1">
    <w:name w:val="Subtle Reference1"/>
    <w:uiPriority w:val="31"/>
    <w:qFormat/>
    <w:rsid w:val="00711AAE"/>
    <w:rPr>
      <w:b/>
      <w:bCs/>
      <w:color w:val="4472C4" w:themeColor="accent1"/>
    </w:rPr>
  </w:style>
  <w:style w:type="character" w:customStyle="1" w:styleId="IntenseReference1">
    <w:name w:val="Intense Reference1"/>
    <w:uiPriority w:val="32"/>
    <w:qFormat/>
    <w:rsid w:val="00711AAE"/>
    <w:rPr>
      <w:b/>
      <w:bCs/>
      <w:i/>
      <w:iCs/>
      <w:caps/>
      <w:color w:val="4472C4" w:themeColor="accent1"/>
    </w:rPr>
  </w:style>
  <w:style w:type="character" w:customStyle="1" w:styleId="BookTitle1">
    <w:name w:val="Book Title1"/>
    <w:uiPriority w:val="33"/>
    <w:qFormat/>
    <w:rsid w:val="00711AAE"/>
    <w:rPr>
      <w:b/>
      <w:bCs/>
      <w:i/>
      <w:iCs/>
      <w:spacing w:val="0"/>
    </w:rPr>
  </w:style>
  <w:style w:type="paragraph" w:customStyle="1" w:styleId="Revision1">
    <w:name w:val="Revision1"/>
    <w:hidden/>
    <w:uiPriority w:val="99"/>
    <w:semiHidden/>
    <w:qFormat/>
    <w:rsid w:val="00711AAE"/>
    <w:pPr>
      <w:spacing w:before="0" w:after="0" w:line="240" w:lineRule="auto"/>
    </w:pPr>
    <w:rPr>
      <w:sz w:val="22"/>
    </w:rPr>
  </w:style>
  <w:style w:type="character" w:styleId="HTMLCite">
    <w:name w:val="HTML Cite"/>
    <w:basedOn w:val="DefaultParagraphFont"/>
    <w:uiPriority w:val="99"/>
    <w:semiHidden/>
    <w:unhideWhenUsed/>
    <w:rsid w:val="00B13A11"/>
    <w:rPr>
      <w:i/>
      <w:iCs/>
    </w:rPr>
  </w:style>
  <w:style w:type="character" w:customStyle="1" w:styleId="UnresolvedMention2">
    <w:name w:val="Unresolved Mention2"/>
    <w:basedOn w:val="DefaultParagraphFont"/>
    <w:uiPriority w:val="99"/>
    <w:semiHidden/>
    <w:unhideWhenUsed/>
    <w:rsid w:val="00EB0CAB"/>
    <w:rPr>
      <w:color w:val="605E5C"/>
      <w:shd w:val="clear" w:color="auto" w:fill="E1DFDD"/>
    </w:rPr>
  </w:style>
  <w:style w:type="paragraph" w:styleId="Revision">
    <w:name w:val="Revision"/>
    <w:hidden/>
    <w:uiPriority w:val="99"/>
    <w:semiHidden/>
    <w:rsid w:val="00093C59"/>
    <w:pPr>
      <w:spacing w:before="0" w:after="0" w:line="240" w:lineRule="auto"/>
    </w:pPr>
    <w:rPr>
      <w:sz w:val="22"/>
    </w:rPr>
  </w:style>
  <w:style w:type="character" w:customStyle="1" w:styleId="UnresolvedMention3">
    <w:name w:val="Unresolved Mention3"/>
    <w:basedOn w:val="DefaultParagraphFont"/>
    <w:uiPriority w:val="99"/>
    <w:semiHidden/>
    <w:unhideWhenUsed/>
    <w:rsid w:val="00F30414"/>
    <w:rPr>
      <w:color w:val="605E5C"/>
      <w:shd w:val="clear" w:color="auto" w:fill="E1DFDD"/>
    </w:rPr>
  </w:style>
  <w:style w:type="character" w:customStyle="1" w:styleId="NoSpacingChar">
    <w:name w:val="No Spacing Char"/>
    <w:basedOn w:val="DefaultParagraphFont"/>
    <w:link w:val="NoSpacing"/>
    <w:uiPriority w:val="1"/>
    <w:rsid w:val="000F3110"/>
  </w:style>
  <w:style w:type="table" w:styleId="GridTable6Colorful-Accent5">
    <w:name w:val="Grid Table 6 Colorful Accent 5"/>
    <w:basedOn w:val="TableNormal"/>
    <w:uiPriority w:val="51"/>
    <w:rsid w:val="00817124"/>
    <w:pPr>
      <w:spacing w:before="0" w:after="0" w:line="240" w:lineRule="auto"/>
    </w:pPr>
    <w:rPr>
      <w:rFonts w:eastAsiaTheme="minorHAnsi"/>
      <w:color w:val="2E74B5" w:themeColor="accent5" w:themeShade="BF"/>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eatrisintapieminana2">
    <w:name w:val="Neatrisināta pieminēšana2"/>
    <w:basedOn w:val="DefaultParagraphFont"/>
    <w:uiPriority w:val="99"/>
    <w:semiHidden/>
    <w:unhideWhenUsed/>
    <w:rsid w:val="007C1F19"/>
    <w:rPr>
      <w:color w:val="605E5C"/>
      <w:shd w:val="clear" w:color="auto" w:fill="E1DFDD"/>
    </w:rPr>
  </w:style>
  <w:style w:type="table" w:styleId="TableGridLight">
    <w:name w:val="Grid Table Light"/>
    <w:basedOn w:val="TableNormal"/>
    <w:uiPriority w:val="40"/>
    <w:rsid w:val="003C70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C70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170">
      <w:bodyDiv w:val="1"/>
      <w:marLeft w:val="0"/>
      <w:marRight w:val="0"/>
      <w:marTop w:val="0"/>
      <w:marBottom w:val="0"/>
      <w:divBdr>
        <w:top w:val="none" w:sz="0" w:space="0" w:color="auto"/>
        <w:left w:val="none" w:sz="0" w:space="0" w:color="auto"/>
        <w:bottom w:val="none" w:sz="0" w:space="0" w:color="auto"/>
        <w:right w:val="none" w:sz="0" w:space="0" w:color="auto"/>
      </w:divBdr>
    </w:div>
    <w:div w:id="27529887">
      <w:bodyDiv w:val="1"/>
      <w:marLeft w:val="0"/>
      <w:marRight w:val="0"/>
      <w:marTop w:val="0"/>
      <w:marBottom w:val="0"/>
      <w:divBdr>
        <w:top w:val="none" w:sz="0" w:space="0" w:color="auto"/>
        <w:left w:val="none" w:sz="0" w:space="0" w:color="auto"/>
        <w:bottom w:val="none" w:sz="0" w:space="0" w:color="auto"/>
        <w:right w:val="none" w:sz="0" w:space="0" w:color="auto"/>
      </w:divBdr>
    </w:div>
    <w:div w:id="29183792">
      <w:bodyDiv w:val="1"/>
      <w:marLeft w:val="0"/>
      <w:marRight w:val="0"/>
      <w:marTop w:val="0"/>
      <w:marBottom w:val="0"/>
      <w:divBdr>
        <w:top w:val="none" w:sz="0" w:space="0" w:color="auto"/>
        <w:left w:val="none" w:sz="0" w:space="0" w:color="auto"/>
        <w:bottom w:val="none" w:sz="0" w:space="0" w:color="auto"/>
        <w:right w:val="none" w:sz="0" w:space="0" w:color="auto"/>
      </w:divBdr>
    </w:div>
    <w:div w:id="37437249">
      <w:bodyDiv w:val="1"/>
      <w:marLeft w:val="0"/>
      <w:marRight w:val="0"/>
      <w:marTop w:val="0"/>
      <w:marBottom w:val="0"/>
      <w:divBdr>
        <w:top w:val="none" w:sz="0" w:space="0" w:color="auto"/>
        <w:left w:val="none" w:sz="0" w:space="0" w:color="auto"/>
        <w:bottom w:val="none" w:sz="0" w:space="0" w:color="auto"/>
        <w:right w:val="none" w:sz="0" w:space="0" w:color="auto"/>
      </w:divBdr>
    </w:div>
    <w:div w:id="54478211">
      <w:bodyDiv w:val="1"/>
      <w:marLeft w:val="0"/>
      <w:marRight w:val="0"/>
      <w:marTop w:val="0"/>
      <w:marBottom w:val="0"/>
      <w:divBdr>
        <w:top w:val="none" w:sz="0" w:space="0" w:color="auto"/>
        <w:left w:val="none" w:sz="0" w:space="0" w:color="auto"/>
        <w:bottom w:val="none" w:sz="0" w:space="0" w:color="auto"/>
        <w:right w:val="none" w:sz="0" w:space="0" w:color="auto"/>
      </w:divBdr>
    </w:div>
    <w:div w:id="54548939">
      <w:bodyDiv w:val="1"/>
      <w:marLeft w:val="0"/>
      <w:marRight w:val="0"/>
      <w:marTop w:val="0"/>
      <w:marBottom w:val="0"/>
      <w:divBdr>
        <w:top w:val="none" w:sz="0" w:space="0" w:color="auto"/>
        <w:left w:val="none" w:sz="0" w:space="0" w:color="auto"/>
        <w:bottom w:val="none" w:sz="0" w:space="0" w:color="auto"/>
        <w:right w:val="none" w:sz="0" w:space="0" w:color="auto"/>
      </w:divBdr>
    </w:div>
    <w:div w:id="63651728">
      <w:bodyDiv w:val="1"/>
      <w:marLeft w:val="0"/>
      <w:marRight w:val="0"/>
      <w:marTop w:val="0"/>
      <w:marBottom w:val="0"/>
      <w:divBdr>
        <w:top w:val="none" w:sz="0" w:space="0" w:color="auto"/>
        <w:left w:val="none" w:sz="0" w:space="0" w:color="auto"/>
        <w:bottom w:val="none" w:sz="0" w:space="0" w:color="auto"/>
        <w:right w:val="none" w:sz="0" w:space="0" w:color="auto"/>
      </w:divBdr>
    </w:div>
    <w:div w:id="77794679">
      <w:bodyDiv w:val="1"/>
      <w:marLeft w:val="0"/>
      <w:marRight w:val="0"/>
      <w:marTop w:val="0"/>
      <w:marBottom w:val="0"/>
      <w:divBdr>
        <w:top w:val="none" w:sz="0" w:space="0" w:color="auto"/>
        <w:left w:val="none" w:sz="0" w:space="0" w:color="auto"/>
        <w:bottom w:val="none" w:sz="0" w:space="0" w:color="auto"/>
        <w:right w:val="none" w:sz="0" w:space="0" w:color="auto"/>
      </w:divBdr>
    </w:div>
    <w:div w:id="105318665">
      <w:bodyDiv w:val="1"/>
      <w:marLeft w:val="0"/>
      <w:marRight w:val="0"/>
      <w:marTop w:val="0"/>
      <w:marBottom w:val="0"/>
      <w:divBdr>
        <w:top w:val="none" w:sz="0" w:space="0" w:color="auto"/>
        <w:left w:val="none" w:sz="0" w:space="0" w:color="auto"/>
        <w:bottom w:val="none" w:sz="0" w:space="0" w:color="auto"/>
        <w:right w:val="none" w:sz="0" w:space="0" w:color="auto"/>
      </w:divBdr>
    </w:div>
    <w:div w:id="112944338">
      <w:bodyDiv w:val="1"/>
      <w:marLeft w:val="0"/>
      <w:marRight w:val="0"/>
      <w:marTop w:val="0"/>
      <w:marBottom w:val="0"/>
      <w:divBdr>
        <w:top w:val="none" w:sz="0" w:space="0" w:color="auto"/>
        <w:left w:val="none" w:sz="0" w:space="0" w:color="auto"/>
        <w:bottom w:val="none" w:sz="0" w:space="0" w:color="auto"/>
        <w:right w:val="none" w:sz="0" w:space="0" w:color="auto"/>
      </w:divBdr>
    </w:div>
    <w:div w:id="117261013">
      <w:bodyDiv w:val="1"/>
      <w:marLeft w:val="0"/>
      <w:marRight w:val="0"/>
      <w:marTop w:val="0"/>
      <w:marBottom w:val="0"/>
      <w:divBdr>
        <w:top w:val="none" w:sz="0" w:space="0" w:color="auto"/>
        <w:left w:val="none" w:sz="0" w:space="0" w:color="auto"/>
        <w:bottom w:val="none" w:sz="0" w:space="0" w:color="auto"/>
        <w:right w:val="none" w:sz="0" w:space="0" w:color="auto"/>
      </w:divBdr>
    </w:div>
    <w:div w:id="164832968">
      <w:bodyDiv w:val="1"/>
      <w:marLeft w:val="0"/>
      <w:marRight w:val="0"/>
      <w:marTop w:val="0"/>
      <w:marBottom w:val="0"/>
      <w:divBdr>
        <w:top w:val="none" w:sz="0" w:space="0" w:color="auto"/>
        <w:left w:val="none" w:sz="0" w:space="0" w:color="auto"/>
        <w:bottom w:val="none" w:sz="0" w:space="0" w:color="auto"/>
        <w:right w:val="none" w:sz="0" w:space="0" w:color="auto"/>
      </w:divBdr>
    </w:div>
    <w:div w:id="168254406">
      <w:bodyDiv w:val="1"/>
      <w:marLeft w:val="0"/>
      <w:marRight w:val="0"/>
      <w:marTop w:val="0"/>
      <w:marBottom w:val="0"/>
      <w:divBdr>
        <w:top w:val="none" w:sz="0" w:space="0" w:color="auto"/>
        <w:left w:val="none" w:sz="0" w:space="0" w:color="auto"/>
        <w:bottom w:val="none" w:sz="0" w:space="0" w:color="auto"/>
        <w:right w:val="none" w:sz="0" w:space="0" w:color="auto"/>
      </w:divBdr>
    </w:div>
    <w:div w:id="190340673">
      <w:bodyDiv w:val="1"/>
      <w:marLeft w:val="0"/>
      <w:marRight w:val="0"/>
      <w:marTop w:val="0"/>
      <w:marBottom w:val="0"/>
      <w:divBdr>
        <w:top w:val="none" w:sz="0" w:space="0" w:color="auto"/>
        <w:left w:val="none" w:sz="0" w:space="0" w:color="auto"/>
        <w:bottom w:val="none" w:sz="0" w:space="0" w:color="auto"/>
        <w:right w:val="none" w:sz="0" w:space="0" w:color="auto"/>
      </w:divBdr>
      <w:divsChild>
        <w:div w:id="778835132">
          <w:marLeft w:val="547"/>
          <w:marRight w:val="0"/>
          <w:marTop w:val="0"/>
          <w:marBottom w:val="0"/>
          <w:divBdr>
            <w:top w:val="none" w:sz="0" w:space="0" w:color="auto"/>
            <w:left w:val="none" w:sz="0" w:space="0" w:color="auto"/>
            <w:bottom w:val="none" w:sz="0" w:space="0" w:color="auto"/>
            <w:right w:val="none" w:sz="0" w:space="0" w:color="auto"/>
          </w:divBdr>
        </w:div>
      </w:divsChild>
    </w:div>
    <w:div w:id="202251826">
      <w:bodyDiv w:val="1"/>
      <w:marLeft w:val="0"/>
      <w:marRight w:val="0"/>
      <w:marTop w:val="0"/>
      <w:marBottom w:val="0"/>
      <w:divBdr>
        <w:top w:val="none" w:sz="0" w:space="0" w:color="auto"/>
        <w:left w:val="none" w:sz="0" w:space="0" w:color="auto"/>
        <w:bottom w:val="none" w:sz="0" w:space="0" w:color="auto"/>
        <w:right w:val="none" w:sz="0" w:space="0" w:color="auto"/>
      </w:divBdr>
    </w:div>
    <w:div w:id="219556106">
      <w:bodyDiv w:val="1"/>
      <w:marLeft w:val="0"/>
      <w:marRight w:val="0"/>
      <w:marTop w:val="0"/>
      <w:marBottom w:val="0"/>
      <w:divBdr>
        <w:top w:val="none" w:sz="0" w:space="0" w:color="auto"/>
        <w:left w:val="none" w:sz="0" w:space="0" w:color="auto"/>
        <w:bottom w:val="none" w:sz="0" w:space="0" w:color="auto"/>
        <w:right w:val="none" w:sz="0" w:space="0" w:color="auto"/>
      </w:divBdr>
    </w:div>
    <w:div w:id="224995971">
      <w:bodyDiv w:val="1"/>
      <w:marLeft w:val="0"/>
      <w:marRight w:val="0"/>
      <w:marTop w:val="0"/>
      <w:marBottom w:val="0"/>
      <w:divBdr>
        <w:top w:val="none" w:sz="0" w:space="0" w:color="auto"/>
        <w:left w:val="none" w:sz="0" w:space="0" w:color="auto"/>
        <w:bottom w:val="none" w:sz="0" w:space="0" w:color="auto"/>
        <w:right w:val="none" w:sz="0" w:space="0" w:color="auto"/>
      </w:divBdr>
    </w:div>
    <w:div w:id="238101453">
      <w:bodyDiv w:val="1"/>
      <w:marLeft w:val="0"/>
      <w:marRight w:val="0"/>
      <w:marTop w:val="0"/>
      <w:marBottom w:val="0"/>
      <w:divBdr>
        <w:top w:val="none" w:sz="0" w:space="0" w:color="auto"/>
        <w:left w:val="none" w:sz="0" w:space="0" w:color="auto"/>
        <w:bottom w:val="none" w:sz="0" w:space="0" w:color="auto"/>
        <w:right w:val="none" w:sz="0" w:space="0" w:color="auto"/>
      </w:divBdr>
    </w:div>
    <w:div w:id="252082483">
      <w:bodyDiv w:val="1"/>
      <w:marLeft w:val="0"/>
      <w:marRight w:val="0"/>
      <w:marTop w:val="0"/>
      <w:marBottom w:val="0"/>
      <w:divBdr>
        <w:top w:val="none" w:sz="0" w:space="0" w:color="auto"/>
        <w:left w:val="none" w:sz="0" w:space="0" w:color="auto"/>
        <w:bottom w:val="none" w:sz="0" w:space="0" w:color="auto"/>
        <w:right w:val="none" w:sz="0" w:space="0" w:color="auto"/>
      </w:divBdr>
    </w:div>
    <w:div w:id="272787369">
      <w:bodyDiv w:val="1"/>
      <w:marLeft w:val="0"/>
      <w:marRight w:val="0"/>
      <w:marTop w:val="0"/>
      <w:marBottom w:val="0"/>
      <w:divBdr>
        <w:top w:val="none" w:sz="0" w:space="0" w:color="auto"/>
        <w:left w:val="none" w:sz="0" w:space="0" w:color="auto"/>
        <w:bottom w:val="none" w:sz="0" w:space="0" w:color="auto"/>
        <w:right w:val="none" w:sz="0" w:space="0" w:color="auto"/>
      </w:divBdr>
    </w:div>
    <w:div w:id="287012278">
      <w:bodyDiv w:val="1"/>
      <w:marLeft w:val="0"/>
      <w:marRight w:val="0"/>
      <w:marTop w:val="0"/>
      <w:marBottom w:val="0"/>
      <w:divBdr>
        <w:top w:val="none" w:sz="0" w:space="0" w:color="auto"/>
        <w:left w:val="none" w:sz="0" w:space="0" w:color="auto"/>
        <w:bottom w:val="none" w:sz="0" w:space="0" w:color="auto"/>
        <w:right w:val="none" w:sz="0" w:space="0" w:color="auto"/>
      </w:divBdr>
    </w:div>
    <w:div w:id="287857195">
      <w:bodyDiv w:val="1"/>
      <w:marLeft w:val="0"/>
      <w:marRight w:val="0"/>
      <w:marTop w:val="0"/>
      <w:marBottom w:val="0"/>
      <w:divBdr>
        <w:top w:val="none" w:sz="0" w:space="0" w:color="auto"/>
        <w:left w:val="none" w:sz="0" w:space="0" w:color="auto"/>
        <w:bottom w:val="none" w:sz="0" w:space="0" w:color="auto"/>
        <w:right w:val="none" w:sz="0" w:space="0" w:color="auto"/>
      </w:divBdr>
    </w:div>
    <w:div w:id="288363056">
      <w:bodyDiv w:val="1"/>
      <w:marLeft w:val="0"/>
      <w:marRight w:val="0"/>
      <w:marTop w:val="0"/>
      <w:marBottom w:val="0"/>
      <w:divBdr>
        <w:top w:val="none" w:sz="0" w:space="0" w:color="auto"/>
        <w:left w:val="none" w:sz="0" w:space="0" w:color="auto"/>
        <w:bottom w:val="none" w:sz="0" w:space="0" w:color="auto"/>
        <w:right w:val="none" w:sz="0" w:space="0" w:color="auto"/>
      </w:divBdr>
      <w:divsChild>
        <w:div w:id="384329899">
          <w:marLeft w:val="0"/>
          <w:marRight w:val="0"/>
          <w:marTop w:val="0"/>
          <w:marBottom w:val="0"/>
          <w:divBdr>
            <w:top w:val="none" w:sz="0" w:space="0" w:color="auto"/>
            <w:left w:val="none" w:sz="0" w:space="0" w:color="auto"/>
            <w:bottom w:val="none" w:sz="0" w:space="0" w:color="auto"/>
            <w:right w:val="none" w:sz="0" w:space="0" w:color="auto"/>
          </w:divBdr>
        </w:div>
      </w:divsChild>
    </w:div>
    <w:div w:id="304622571">
      <w:bodyDiv w:val="1"/>
      <w:marLeft w:val="0"/>
      <w:marRight w:val="0"/>
      <w:marTop w:val="0"/>
      <w:marBottom w:val="0"/>
      <w:divBdr>
        <w:top w:val="none" w:sz="0" w:space="0" w:color="auto"/>
        <w:left w:val="none" w:sz="0" w:space="0" w:color="auto"/>
        <w:bottom w:val="none" w:sz="0" w:space="0" w:color="auto"/>
        <w:right w:val="none" w:sz="0" w:space="0" w:color="auto"/>
      </w:divBdr>
    </w:div>
    <w:div w:id="311913874">
      <w:bodyDiv w:val="1"/>
      <w:marLeft w:val="0"/>
      <w:marRight w:val="0"/>
      <w:marTop w:val="0"/>
      <w:marBottom w:val="0"/>
      <w:divBdr>
        <w:top w:val="none" w:sz="0" w:space="0" w:color="auto"/>
        <w:left w:val="none" w:sz="0" w:space="0" w:color="auto"/>
        <w:bottom w:val="none" w:sz="0" w:space="0" w:color="auto"/>
        <w:right w:val="none" w:sz="0" w:space="0" w:color="auto"/>
      </w:divBdr>
    </w:div>
    <w:div w:id="322242645">
      <w:bodyDiv w:val="1"/>
      <w:marLeft w:val="0"/>
      <w:marRight w:val="0"/>
      <w:marTop w:val="0"/>
      <w:marBottom w:val="0"/>
      <w:divBdr>
        <w:top w:val="none" w:sz="0" w:space="0" w:color="auto"/>
        <w:left w:val="none" w:sz="0" w:space="0" w:color="auto"/>
        <w:bottom w:val="none" w:sz="0" w:space="0" w:color="auto"/>
        <w:right w:val="none" w:sz="0" w:space="0" w:color="auto"/>
      </w:divBdr>
    </w:div>
    <w:div w:id="327025338">
      <w:bodyDiv w:val="1"/>
      <w:marLeft w:val="0"/>
      <w:marRight w:val="0"/>
      <w:marTop w:val="0"/>
      <w:marBottom w:val="0"/>
      <w:divBdr>
        <w:top w:val="none" w:sz="0" w:space="0" w:color="auto"/>
        <w:left w:val="none" w:sz="0" w:space="0" w:color="auto"/>
        <w:bottom w:val="none" w:sz="0" w:space="0" w:color="auto"/>
        <w:right w:val="none" w:sz="0" w:space="0" w:color="auto"/>
      </w:divBdr>
    </w:div>
    <w:div w:id="332878433">
      <w:bodyDiv w:val="1"/>
      <w:marLeft w:val="0"/>
      <w:marRight w:val="0"/>
      <w:marTop w:val="0"/>
      <w:marBottom w:val="0"/>
      <w:divBdr>
        <w:top w:val="none" w:sz="0" w:space="0" w:color="auto"/>
        <w:left w:val="none" w:sz="0" w:space="0" w:color="auto"/>
        <w:bottom w:val="none" w:sz="0" w:space="0" w:color="auto"/>
        <w:right w:val="none" w:sz="0" w:space="0" w:color="auto"/>
      </w:divBdr>
      <w:divsChild>
        <w:div w:id="632711113">
          <w:marLeft w:val="0"/>
          <w:marRight w:val="0"/>
          <w:marTop w:val="0"/>
          <w:marBottom w:val="0"/>
          <w:divBdr>
            <w:top w:val="none" w:sz="0" w:space="0" w:color="auto"/>
            <w:left w:val="none" w:sz="0" w:space="0" w:color="auto"/>
            <w:bottom w:val="none" w:sz="0" w:space="0" w:color="auto"/>
            <w:right w:val="none" w:sz="0" w:space="0" w:color="auto"/>
          </w:divBdr>
        </w:div>
        <w:div w:id="835191443">
          <w:marLeft w:val="0"/>
          <w:marRight w:val="0"/>
          <w:marTop w:val="0"/>
          <w:marBottom w:val="0"/>
          <w:divBdr>
            <w:top w:val="none" w:sz="0" w:space="0" w:color="auto"/>
            <w:left w:val="none" w:sz="0" w:space="0" w:color="auto"/>
            <w:bottom w:val="none" w:sz="0" w:space="0" w:color="auto"/>
            <w:right w:val="none" w:sz="0" w:space="0" w:color="auto"/>
          </w:divBdr>
        </w:div>
        <w:div w:id="1438713414">
          <w:marLeft w:val="0"/>
          <w:marRight w:val="0"/>
          <w:marTop w:val="0"/>
          <w:marBottom w:val="0"/>
          <w:divBdr>
            <w:top w:val="none" w:sz="0" w:space="0" w:color="auto"/>
            <w:left w:val="none" w:sz="0" w:space="0" w:color="auto"/>
            <w:bottom w:val="none" w:sz="0" w:space="0" w:color="auto"/>
            <w:right w:val="none" w:sz="0" w:space="0" w:color="auto"/>
          </w:divBdr>
        </w:div>
        <w:div w:id="677392270">
          <w:marLeft w:val="0"/>
          <w:marRight w:val="0"/>
          <w:marTop w:val="0"/>
          <w:marBottom w:val="0"/>
          <w:divBdr>
            <w:top w:val="none" w:sz="0" w:space="0" w:color="auto"/>
            <w:left w:val="none" w:sz="0" w:space="0" w:color="auto"/>
            <w:bottom w:val="none" w:sz="0" w:space="0" w:color="auto"/>
            <w:right w:val="none" w:sz="0" w:space="0" w:color="auto"/>
          </w:divBdr>
        </w:div>
        <w:div w:id="2125340757">
          <w:marLeft w:val="0"/>
          <w:marRight w:val="0"/>
          <w:marTop w:val="0"/>
          <w:marBottom w:val="0"/>
          <w:divBdr>
            <w:top w:val="none" w:sz="0" w:space="0" w:color="auto"/>
            <w:left w:val="none" w:sz="0" w:space="0" w:color="auto"/>
            <w:bottom w:val="none" w:sz="0" w:space="0" w:color="auto"/>
            <w:right w:val="none" w:sz="0" w:space="0" w:color="auto"/>
          </w:divBdr>
        </w:div>
        <w:div w:id="1980456477">
          <w:marLeft w:val="0"/>
          <w:marRight w:val="0"/>
          <w:marTop w:val="0"/>
          <w:marBottom w:val="0"/>
          <w:divBdr>
            <w:top w:val="none" w:sz="0" w:space="0" w:color="auto"/>
            <w:left w:val="none" w:sz="0" w:space="0" w:color="auto"/>
            <w:bottom w:val="none" w:sz="0" w:space="0" w:color="auto"/>
            <w:right w:val="none" w:sz="0" w:space="0" w:color="auto"/>
          </w:divBdr>
        </w:div>
        <w:div w:id="384988772">
          <w:marLeft w:val="0"/>
          <w:marRight w:val="0"/>
          <w:marTop w:val="0"/>
          <w:marBottom w:val="0"/>
          <w:divBdr>
            <w:top w:val="none" w:sz="0" w:space="0" w:color="auto"/>
            <w:left w:val="none" w:sz="0" w:space="0" w:color="auto"/>
            <w:bottom w:val="none" w:sz="0" w:space="0" w:color="auto"/>
            <w:right w:val="none" w:sz="0" w:space="0" w:color="auto"/>
          </w:divBdr>
        </w:div>
        <w:div w:id="2124837858">
          <w:marLeft w:val="0"/>
          <w:marRight w:val="0"/>
          <w:marTop w:val="0"/>
          <w:marBottom w:val="0"/>
          <w:divBdr>
            <w:top w:val="none" w:sz="0" w:space="0" w:color="auto"/>
            <w:left w:val="none" w:sz="0" w:space="0" w:color="auto"/>
            <w:bottom w:val="none" w:sz="0" w:space="0" w:color="auto"/>
            <w:right w:val="none" w:sz="0" w:space="0" w:color="auto"/>
          </w:divBdr>
        </w:div>
        <w:div w:id="1271209126">
          <w:marLeft w:val="0"/>
          <w:marRight w:val="0"/>
          <w:marTop w:val="0"/>
          <w:marBottom w:val="0"/>
          <w:divBdr>
            <w:top w:val="none" w:sz="0" w:space="0" w:color="auto"/>
            <w:left w:val="none" w:sz="0" w:space="0" w:color="auto"/>
            <w:bottom w:val="none" w:sz="0" w:space="0" w:color="auto"/>
            <w:right w:val="none" w:sz="0" w:space="0" w:color="auto"/>
          </w:divBdr>
        </w:div>
        <w:div w:id="343170672">
          <w:marLeft w:val="0"/>
          <w:marRight w:val="0"/>
          <w:marTop w:val="0"/>
          <w:marBottom w:val="0"/>
          <w:divBdr>
            <w:top w:val="none" w:sz="0" w:space="0" w:color="auto"/>
            <w:left w:val="none" w:sz="0" w:space="0" w:color="auto"/>
            <w:bottom w:val="none" w:sz="0" w:space="0" w:color="auto"/>
            <w:right w:val="none" w:sz="0" w:space="0" w:color="auto"/>
          </w:divBdr>
        </w:div>
      </w:divsChild>
    </w:div>
    <w:div w:id="333460062">
      <w:bodyDiv w:val="1"/>
      <w:marLeft w:val="0"/>
      <w:marRight w:val="0"/>
      <w:marTop w:val="0"/>
      <w:marBottom w:val="0"/>
      <w:divBdr>
        <w:top w:val="none" w:sz="0" w:space="0" w:color="auto"/>
        <w:left w:val="none" w:sz="0" w:space="0" w:color="auto"/>
        <w:bottom w:val="none" w:sz="0" w:space="0" w:color="auto"/>
        <w:right w:val="none" w:sz="0" w:space="0" w:color="auto"/>
      </w:divBdr>
    </w:div>
    <w:div w:id="339626747">
      <w:bodyDiv w:val="1"/>
      <w:marLeft w:val="0"/>
      <w:marRight w:val="0"/>
      <w:marTop w:val="0"/>
      <w:marBottom w:val="0"/>
      <w:divBdr>
        <w:top w:val="none" w:sz="0" w:space="0" w:color="auto"/>
        <w:left w:val="none" w:sz="0" w:space="0" w:color="auto"/>
        <w:bottom w:val="none" w:sz="0" w:space="0" w:color="auto"/>
        <w:right w:val="none" w:sz="0" w:space="0" w:color="auto"/>
      </w:divBdr>
    </w:div>
    <w:div w:id="340743979">
      <w:bodyDiv w:val="1"/>
      <w:marLeft w:val="0"/>
      <w:marRight w:val="0"/>
      <w:marTop w:val="0"/>
      <w:marBottom w:val="0"/>
      <w:divBdr>
        <w:top w:val="none" w:sz="0" w:space="0" w:color="auto"/>
        <w:left w:val="none" w:sz="0" w:space="0" w:color="auto"/>
        <w:bottom w:val="none" w:sz="0" w:space="0" w:color="auto"/>
        <w:right w:val="none" w:sz="0" w:space="0" w:color="auto"/>
      </w:divBdr>
    </w:div>
    <w:div w:id="368842006">
      <w:bodyDiv w:val="1"/>
      <w:marLeft w:val="0"/>
      <w:marRight w:val="0"/>
      <w:marTop w:val="0"/>
      <w:marBottom w:val="0"/>
      <w:divBdr>
        <w:top w:val="none" w:sz="0" w:space="0" w:color="auto"/>
        <w:left w:val="none" w:sz="0" w:space="0" w:color="auto"/>
        <w:bottom w:val="none" w:sz="0" w:space="0" w:color="auto"/>
        <w:right w:val="none" w:sz="0" w:space="0" w:color="auto"/>
      </w:divBdr>
    </w:div>
    <w:div w:id="373820952">
      <w:bodyDiv w:val="1"/>
      <w:marLeft w:val="0"/>
      <w:marRight w:val="0"/>
      <w:marTop w:val="0"/>
      <w:marBottom w:val="0"/>
      <w:divBdr>
        <w:top w:val="none" w:sz="0" w:space="0" w:color="auto"/>
        <w:left w:val="none" w:sz="0" w:space="0" w:color="auto"/>
        <w:bottom w:val="none" w:sz="0" w:space="0" w:color="auto"/>
        <w:right w:val="none" w:sz="0" w:space="0" w:color="auto"/>
      </w:divBdr>
    </w:div>
    <w:div w:id="379206016">
      <w:bodyDiv w:val="1"/>
      <w:marLeft w:val="0"/>
      <w:marRight w:val="0"/>
      <w:marTop w:val="0"/>
      <w:marBottom w:val="0"/>
      <w:divBdr>
        <w:top w:val="none" w:sz="0" w:space="0" w:color="auto"/>
        <w:left w:val="none" w:sz="0" w:space="0" w:color="auto"/>
        <w:bottom w:val="none" w:sz="0" w:space="0" w:color="auto"/>
        <w:right w:val="none" w:sz="0" w:space="0" w:color="auto"/>
      </w:divBdr>
    </w:div>
    <w:div w:id="385569392">
      <w:bodyDiv w:val="1"/>
      <w:marLeft w:val="0"/>
      <w:marRight w:val="0"/>
      <w:marTop w:val="0"/>
      <w:marBottom w:val="0"/>
      <w:divBdr>
        <w:top w:val="none" w:sz="0" w:space="0" w:color="auto"/>
        <w:left w:val="none" w:sz="0" w:space="0" w:color="auto"/>
        <w:bottom w:val="none" w:sz="0" w:space="0" w:color="auto"/>
        <w:right w:val="none" w:sz="0" w:space="0" w:color="auto"/>
      </w:divBdr>
    </w:div>
    <w:div w:id="389813784">
      <w:bodyDiv w:val="1"/>
      <w:marLeft w:val="0"/>
      <w:marRight w:val="0"/>
      <w:marTop w:val="0"/>
      <w:marBottom w:val="0"/>
      <w:divBdr>
        <w:top w:val="none" w:sz="0" w:space="0" w:color="auto"/>
        <w:left w:val="none" w:sz="0" w:space="0" w:color="auto"/>
        <w:bottom w:val="none" w:sz="0" w:space="0" w:color="auto"/>
        <w:right w:val="none" w:sz="0" w:space="0" w:color="auto"/>
      </w:divBdr>
      <w:divsChild>
        <w:div w:id="399519941">
          <w:marLeft w:val="0"/>
          <w:marRight w:val="0"/>
          <w:marTop w:val="0"/>
          <w:marBottom w:val="0"/>
          <w:divBdr>
            <w:top w:val="none" w:sz="0" w:space="0" w:color="auto"/>
            <w:left w:val="none" w:sz="0" w:space="0" w:color="auto"/>
            <w:bottom w:val="none" w:sz="0" w:space="0" w:color="auto"/>
            <w:right w:val="none" w:sz="0" w:space="0" w:color="auto"/>
          </w:divBdr>
        </w:div>
        <w:div w:id="328753393">
          <w:marLeft w:val="0"/>
          <w:marRight w:val="0"/>
          <w:marTop w:val="0"/>
          <w:marBottom w:val="0"/>
          <w:divBdr>
            <w:top w:val="none" w:sz="0" w:space="0" w:color="auto"/>
            <w:left w:val="none" w:sz="0" w:space="0" w:color="auto"/>
            <w:bottom w:val="none" w:sz="0" w:space="0" w:color="auto"/>
            <w:right w:val="none" w:sz="0" w:space="0" w:color="auto"/>
          </w:divBdr>
        </w:div>
      </w:divsChild>
    </w:div>
    <w:div w:id="390615863">
      <w:bodyDiv w:val="1"/>
      <w:marLeft w:val="0"/>
      <w:marRight w:val="0"/>
      <w:marTop w:val="0"/>
      <w:marBottom w:val="0"/>
      <w:divBdr>
        <w:top w:val="none" w:sz="0" w:space="0" w:color="auto"/>
        <w:left w:val="none" w:sz="0" w:space="0" w:color="auto"/>
        <w:bottom w:val="none" w:sz="0" w:space="0" w:color="auto"/>
        <w:right w:val="none" w:sz="0" w:space="0" w:color="auto"/>
      </w:divBdr>
    </w:div>
    <w:div w:id="392433411">
      <w:bodyDiv w:val="1"/>
      <w:marLeft w:val="0"/>
      <w:marRight w:val="0"/>
      <w:marTop w:val="0"/>
      <w:marBottom w:val="0"/>
      <w:divBdr>
        <w:top w:val="none" w:sz="0" w:space="0" w:color="auto"/>
        <w:left w:val="none" w:sz="0" w:space="0" w:color="auto"/>
        <w:bottom w:val="none" w:sz="0" w:space="0" w:color="auto"/>
        <w:right w:val="none" w:sz="0" w:space="0" w:color="auto"/>
      </w:divBdr>
    </w:div>
    <w:div w:id="395014525">
      <w:bodyDiv w:val="1"/>
      <w:marLeft w:val="0"/>
      <w:marRight w:val="0"/>
      <w:marTop w:val="0"/>
      <w:marBottom w:val="0"/>
      <w:divBdr>
        <w:top w:val="none" w:sz="0" w:space="0" w:color="auto"/>
        <w:left w:val="none" w:sz="0" w:space="0" w:color="auto"/>
        <w:bottom w:val="none" w:sz="0" w:space="0" w:color="auto"/>
        <w:right w:val="none" w:sz="0" w:space="0" w:color="auto"/>
      </w:divBdr>
    </w:div>
    <w:div w:id="397871057">
      <w:bodyDiv w:val="1"/>
      <w:marLeft w:val="0"/>
      <w:marRight w:val="0"/>
      <w:marTop w:val="0"/>
      <w:marBottom w:val="0"/>
      <w:divBdr>
        <w:top w:val="none" w:sz="0" w:space="0" w:color="auto"/>
        <w:left w:val="none" w:sz="0" w:space="0" w:color="auto"/>
        <w:bottom w:val="none" w:sz="0" w:space="0" w:color="auto"/>
        <w:right w:val="none" w:sz="0" w:space="0" w:color="auto"/>
      </w:divBdr>
    </w:div>
    <w:div w:id="437257783">
      <w:bodyDiv w:val="1"/>
      <w:marLeft w:val="0"/>
      <w:marRight w:val="0"/>
      <w:marTop w:val="0"/>
      <w:marBottom w:val="0"/>
      <w:divBdr>
        <w:top w:val="none" w:sz="0" w:space="0" w:color="auto"/>
        <w:left w:val="none" w:sz="0" w:space="0" w:color="auto"/>
        <w:bottom w:val="none" w:sz="0" w:space="0" w:color="auto"/>
        <w:right w:val="none" w:sz="0" w:space="0" w:color="auto"/>
      </w:divBdr>
    </w:div>
    <w:div w:id="449712369">
      <w:bodyDiv w:val="1"/>
      <w:marLeft w:val="0"/>
      <w:marRight w:val="0"/>
      <w:marTop w:val="0"/>
      <w:marBottom w:val="0"/>
      <w:divBdr>
        <w:top w:val="none" w:sz="0" w:space="0" w:color="auto"/>
        <w:left w:val="none" w:sz="0" w:space="0" w:color="auto"/>
        <w:bottom w:val="none" w:sz="0" w:space="0" w:color="auto"/>
        <w:right w:val="none" w:sz="0" w:space="0" w:color="auto"/>
      </w:divBdr>
    </w:div>
    <w:div w:id="465661458">
      <w:bodyDiv w:val="1"/>
      <w:marLeft w:val="0"/>
      <w:marRight w:val="0"/>
      <w:marTop w:val="0"/>
      <w:marBottom w:val="0"/>
      <w:divBdr>
        <w:top w:val="none" w:sz="0" w:space="0" w:color="auto"/>
        <w:left w:val="none" w:sz="0" w:space="0" w:color="auto"/>
        <w:bottom w:val="none" w:sz="0" w:space="0" w:color="auto"/>
        <w:right w:val="none" w:sz="0" w:space="0" w:color="auto"/>
      </w:divBdr>
    </w:div>
    <w:div w:id="480267502">
      <w:bodyDiv w:val="1"/>
      <w:marLeft w:val="0"/>
      <w:marRight w:val="0"/>
      <w:marTop w:val="0"/>
      <w:marBottom w:val="0"/>
      <w:divBdr>
        <w:top w:val="none" w:sz="0" w:space="0" w:color="auto"/>
        <w:left w:val="none" w:sz="0" w:space="0" w:color="auto"/>
        <w:bottom w:val="none" w:sz="0" w:space="0" w:color="auto"/>
        <w:right w:val="none" w:sz="0" w:space="0" w:color="auto"/>
      </w:divBdr>
    </w:div>
    <w:div w:id="498082514">
      <w:bodyDiv w:val="1"/>
      <w:marLeft w:val="0"/>
      <w:marRight w:val="0"/>
      <w:marTop w:val="0"/>
      <w:marBottom w:val="0"/>
      <w:divBdr>
        <w:top w:val="none" w:sz="0" w:space="0" w:color="auto"/>
        <w:left w:val="none" w:sz="0" w:space="0" w:color="auto"/>
        <w:bottom w:val="none" w:sz="0" w:space="0" w:color="auto"/>
        <w:right w:val="none" w:sz="0" w:space="0" w:color="auto"/>
      </w:divBdr>
    </w:div>
    <w:div w:id="508101399">
      <w:bodyDiv w:val="1"/>
      <w:marLeft w:val="0"/>
      <w:marRight w:val="0"/>
      <w:marTop w:val="0"/>
      <w:marBottom w:val="0"/>
      <w:divBdr>
        <w:top w:val="none" w:sz="0" w:space="0" w:color="auto"/>
        <w:left w:val="none" w:sz="0" w:space="0" w:color="auto"/>
        <w:bottom w:val="none" w:sz="0" w:space="0" w:color="auto"/>
        <w:right w:val="none" w:sz="0" w:space="0" w:color="auto"/>
      </w:divBdr>
      <w:divsChild>
        <w:div w:id="322243972">
          <w:marLeft w:val="0"/>
          <w:marRight w:val="0"/>
          <w:marTop w:val="0"/>
          <w:marBottom w:val="0"/>
          <w:divBdr>
            <w:top w:val="none" w:sz="0" w:space="0" w:color="auto"/>
            <w:left w:val="none" w:sz="0" w:space="0" w:color="auto"/>
            <w:bottom w:val="none" w:sz="0" w:space="0" w:color="auto"/>
            <w:right w:val="none" w:sz="0" w:space="0" w:color="auto"/>
          </w:divBdr>
        </w:div>
      </w:divsChild>
    </w:div>
    <w:div w:id="516621195">
      <w:bodyDiv w:val="1"/>
      <w:marLeft w:val="0"/>
      <w:marRight w:val="0"/>
      <w:marTop w:val="0"/>
      <w:marBottom w:val="0"/>
      <w:divBdr>
        <w:top w:val="none" w:sz="0" w:space="0" w:color="auto"/>
        <w:left w:val="none" w:sz="0" w:space="0" w:color="auto"/>
        <w:bottom w:val="none" w:sz="0" w:space="0" w:color="auto"/>
        <w:right w:val="none" w:sz="0" w:space="0" w:color="auto"/>
      </w:divBdr>
    </w:div>
    <w:div w:id="520826632">
      <w:bodyDiv w:val="1"/>
      <w:marLeft w:val="0"/>
      <w:marRight w:val="0"/>
      <w:marTop w:val="0"/>
      <w:marBottom w:val="0"/>
      <w:divBdr>
        <w:top w:val="none" w:sz="0" w:space="0" w:color="auto"/>
        <w:left w:val="none" w:sz="0" w:space="0" w:color="auto"/>
        <w:bottom w:val="none" w:sz="0" w:space="0" w:color="auto"/>
        <w:right w:val="none" w:sz="0" w:space="0" w:color="auto"/>
      </w:divBdr>
    </w:div>
    <w:div w:id="525405822">
      <w:bodyDiv w:val="1"/>
      <w:marLeft w:val="0"/>
      <w:marRight w:val="0"/>
      <w:marTop w:val="0"/>
      <w:marBottom w:val="0"/>
      <w:divBdr>
        <w:top w:val="none" w:sz="0" w:space="0" w:color="auto"/>
        <w:left w:val="none" w:sz="0" w:space="0" w:color="auto"/>
        <w:bottom w:val="none" w:sz="0" w:space="0" w:color="auto"/>
        <w:right w:val="none" w:sz="0" w:space="0" w:color="auto"/>
      </w:divBdr>
    </w:div>
    <w:div w:id="543176562">
      <w:bodyDiv w:val="1"/>
      <w:marLeft w:val="0"/>
      <w:marRight w:val="0"/>
      <w:marTop w:val="0"/>
      <w:marBottom w:val="0"/>
      <w:divBdr>
        <w:top w:val="none" w:sz="0" w:space="0" w:color="auto"/>
        <w:left w:val="none" w:sz="0" w:space="0" w:color="auto"/>
        <w:bottom w:val="none" w:sz="0" w:space="0" w:color="auto"/>
        <w:right w:val="none" w:sz="0" w:space="0" w:color="auto"/>
      </w:divBdr>
    </w:div>
    <w:div w:id="548104288">
      <w:bodyDiv w:val="1"/>
      <w:marLeft w:val="0"/>
      <w:marRight w:val="0"/>
      <w:marTop w:val="0"/>
      <w:marBottom w:val="0"/>
      <w:divBdr>
        <w:top w:val="none" w:sz="0" w:space="0" w:color="auto"/>
        <w:left w:val="none" w:sz="0" w:space="0" w:color="auto"/>
        <w:bottom w:val="none" w:sz="0" w:space="0" w:color="auto"/>
        <w:right w:val="none" w:sz="0" w:space="0" w:color="auto"/>
      </w:divBdr>
    </w:div>
    <w:div w:id="548491049">
      <w:bodyDiv w:val="1"/>
      <w:marLeft w:val="0"/>
      <w:marRight w:val="0"/>
      <w:marTop w:val="0"/>
      <w:marBottom w:val="0"/>
      <w:divBdr>
        <w:top w:val="none" w:sz="0" w:space="0" w:color="auto"/>
        <w:left w:val="none" w:sz="0" w:space="0" w:color="auto"/>
        <w:bottom w:val="none" w:sz="0" w:space="0" w:color="auto"/>
        <w:right w:val="none" w:sz="0" w:space="0" w:color="auto"/>
      </w:divBdr>
    </w:div>
    <w:div w:id="558247558">
      <w:bodyDiv w:val="1"/>
      <w:marLeft w:val="0"/>
      <w:marRight w:val="0"/>
      <w:marTop w:val="0"/>
      <w:marBottom w:val="0"/>
      <w:divBdr>
        <w:top w:val="none" w:sz="0" w:space="0" w:color="auto"/>
        <w:left w:val="none" w:sz="0" w:space="0" w:color="auto"/>
        <w:bottom w:val="none" w:sz="0" w:space="0" w:color="auto"/>
        <w:right w:val="none" w:sz="0" w:space="0" w:color="auto"/>
      </w:divBdr>
    </w:div>
    <w:div w:id="571896162">
      <w:bodyDiv w:val="1"/>
      <w:marLeft w:val="0"/>
      <w:marRight w:val="0"/>
      <w:marTop w:val="0"/>
      <w:marBottom w:val="0"/>
      <w:divBdr>
        <w:top w:val="none" w:sz="0" w:space="0" w:color="auto"/>
        <w:left w:val="none" w:sz="0" w:space="0" w:color="auto"/>
        <w:bottom w:val="none" w:sz="0" w:space="0" w:color="auto"/>
        <w:right w:val="none" w:sz="0" w:space="0" w:color="auto"/>
      </w:divBdr>
    </w:div>
    <w:div w:id="578249799">
      <w:bodyDiv w:val="1"/>
      <w:marLeft w:val="0"/>
      <w:marRight w:val="0"/>
      <w:marTop w:val="0"/>
      <w:marBottom w:val="0"/>
      <w:divBdr>
        <w:top w:val="none" w:sz="0" w:space="0" w:color="auto"/>
        <w:left w:val="none" w:sz="0" w:space="0" w:color="auto"/>
        <w:bottom w:val="none" w:sz="0" w:space="0" w:color="auto"/>
        <w:right w:val="none" w:sz="0" w:space="0" w:color="auto"/>
      </w:divBdr>
    </w:div>
    <w:div w:id="615645674">
      <w:bodyDiv w:val="1"/>
      <w:marLeft w:val="0"/>
      <w:marRight w:val="0"/>
      <w:marTop w:val="0"/>
      <w:marBottom w:val="0"/>
      <w:divBdr>
        <w:top w:val="none" w:sz="0" w:space="0" w:color="auto"/>
        <w:left w:val="none" w:sz="0" w:space="0" w:color="auto"/>
        <w:bottom w:val="none" w:sz="0" w:space="0" w:color="auto"/>
        <w:right w:val="none" w:sz="0" w:space="0" w:color="auto"/>
      </w:divBdr>
    </w:div>
    <w:div w:id="626006108">
      <w:bodyDiv w:val="1"/>
      <w:marLeft w:val="0"/>
      <w:marRight w:val="0"/>
      <w:marTop w:val="0"/>
      <w:marBottom w:val="0"/>
      <w:divBdr>
        <w:top w:val="none" w:sz="0" w:space="0" w:color="auto"/>
        <w:left w:val="none" w:sz="0" w:space="0" w:color="auto"/>
        <w:bottom w:val="none" w:sz="0" w:space="0" w:color="auto"/>
        <w:right w:val="none" w:sz="0" w:space="0" w:color="auto"/>
      </w:divBdr>
    </w:div>
    <w:div w:id="634989665">
      <w:bodyDiv w:val="1"/>
      <w:marLeft w:val="0"/>
      <w:marRight w:val="0"/>
      <w:marTop w:val="0"/>
      <w:marBottom w:val="0"/>
      <w:divBdr>
        <w:top w:val="none" w:sz="0" w:space="0" w:color="auto"/>
        <w:left w:val="none" w:sz="0" w:space="0" w:color="auto"/>
        <w:bottom w:val="none" w:sz="0" w:space="0" w:color="auto"/>
        <w:right w:val="none" w:sz="0" w:space="0" w:color="auto"/>
      </w:divBdr>
    </w:div>
    <w:div w:id="637422800">
      <w:bodyDiv w:val="1"/>
      <w:marLeft w:val="0"/>
      <w:marRight w:val="0"/>
      <w:marTop w:val="0"/>
      <w:marBottom w:val="0"/>
      <w:divBdr>
        <w:top w:val="none" w:sz="0" w:space="0" w:color="auto"/>
        <w:left w:val="none" w:sz="0" w:space="0" w:color="auto"/>
        <w:bottom w:val="none" w:sz="0" w:space="0" w:color="auto"/>
        <w:right w:val="none" w:sz="0" w:space="0" w:color="auto"/>
      </w:divBdr>
    </w:div>
    <w:div w:id="650447006">
      <w:bodyDiv w:val="1"/>
      <w:marLeft w:val="0"/>
      <w:marRight w:val="0"/>
      <w:marTop w:val="0"/>
      <w:marBottom w:val="0"/>
      <w:divBdr>
        <w:top w:val="none" w:sz="0" w:space="0" w:color="auto"/>
        <w:left w:val="none" w:sz="0" w:space="0" w:color="auto"/>
        <w:bottom w:val="none" w:sz="0" w:space="0" w:color="auto"/>
        <w:right w:val="none" w:sz="0" w:space="0" w:color="auto"/>
      </w:divBdr>
    </w:div>
    <w:div w:id="654577835">
      <w:bodyDiv w:val="1"/>
      <w:marLeft w:val="0"/>
      <w:marRight w:val="0"/>
      <w:marTop w:val="0"/>
      <w:marBottom w:val="0"/>
      <w:divBdr>
        <w:top w:val="none" w:sz="0" w:space="0" w:color="auto"/>
        <w:left w:val="none" w:sz="0" w:space="0" w:color="auto"/>
        <w:bottom w:val="none" w:sz="0" w:space="0" w:color="auto"/>
        <w:right w:val="none" w:sz="0" w:space="0" w:color="auto"/>
      </w:divBdr>
    </w:div>
    <w:div w:id="672537118">
      <w:bodyDiv w:val="1"/>
      <w:marLeft w:val="0"/>
      <w:marRight w:val="0"/>
      <w:marTop w:val="0"/>
      <w:marBottom w:val="0"/>
      <w:divBdr>
        <w:top w:val="none" w:sz="0" w:space="0" w:color="auto"/>
        <w:left w:val="none" w:sz="0" w:space="0" w:color="auto"/>
        <w:bottom w:val="none" w:sz="0" w:space="0" w:color="auto"/>
        <w:right w:val="none" w:sz="0" w:space="0" w:color="auto"/>
      </w:divBdr>
    </w:div>
    <w:div w:id="683555237">
      <w:bodyDiv w:val="1"/>
      <w:marLeft w:val="0"/>
      <w:marRight w:val="0"/>
      <w:marTop w:val="0"/>
      <w:marBottom w:val="0"/>
      <w:divBdr>
        <w:top w:val="none" w:sz="0" w:space="0" w:color="auto"/>
        <w:left w:val="none" w:sz="0" w:space="0" w:color="auto"/>
        <w:bottom w:val="none" w:sz="0" w:space="0" w:color="auto"/>
        <w:right w:val="none" w:sz="0" w:space="0" w:color="auto"/>
      </w:divBdr>
    </w:div>
    <w:div w:id="690840218">
      <w:bodyDiv w:val="1"/>
      <w:marLeft w:val="0"/>
      <w:marRight w:val="0"/>
      <w:marTop w:val="0"/>
      <w:marBottom w:val="0"/>
      <w:divBdr>
        <w:top w:val="none" w:sz="0" w:space="0" w:color="auto"/>
        <w:left w:val="none" w:sz="0" w:space="0" w:color="auto"/>
        <w:bottom w:val="none" w:sz="0" w:space="0" w:color="auto"/>
        <w:right w:val="none" w:sz="0" w:space="0" w:color="auto"/>
      </w:divBdr>
    </w:div>
    <w:div w:id="706108246">
      <w:bodyDiv w:val="1"/>
      <w:marLeft w:val="0"/>
      <w:marRight w:val="0"/>
      <w:marTop w:val="0"/>
      <w:marBottom w:val="0"/>
      <w:divBdr>
        <w:top w:val="none" w:sz="0" w:space="0" w:color="auto"/>
        <w:left w:val="none" w:sz="0" w:space="0" w:color="auto"/>
        <w:bottom w:val="none" w:sz="0" w:space="0" w:color="auto"/>
        <w:right w:val="none" w:sz="0" w:space="0" w:color="auto"/>
      </w:divBdr>
    </w:div>
    <w:div w:id="716856349">
      <w:bodyDiv w:val="1"/>
      <w:marLeft w:val="0"/>
      <w:marRight w:val="0"/>
      <w:marTop w:val="0"/>
      <w:marBottom w:val="0"/>
      <w:divBdr>
        <w:top w:val="none" w:sz="0" w:space="0" w:color="auto"/>
        <w:left w:val="none" w:sz="0" w:space="0" w:color="auto"/>
        <w:bottom w:val="none" w:sz="0" w:space="0" w:color="auto"/>
        <w:right w:val="none" w:sz="0" w:space="0" w:color="auto"/>
      </w:divBdr>
    </w:div>
    <w:div w:id="720713444">
      <w:bodyDiv w:val="1"/>
      <w:marLeft w:val="0"/>
      <w:marRight w:val="0"/>
      <w:marTop w:val="0"/>
      <w:marBottom w:val="0"/>
      <w:divBdr>
        <w:top w:val="none" w:sz="0" w:space="0" w:color="auto"/>
        <w:left w:val="none" w:sz="0" w:space="0" w:color="auto"/>
        <w:bottom w:val="none" w:sz="0" w:space="0" w:color="auto"/>
        <w:right w:val="none" w:sz="0" w:space="0" w:color="auto"/>
      </w:divBdr>
    </w:div>
    <w:div w:id="728310507">
      <w:bodyDiv w:val="1"/>
      <w:marLeft w:val="0"/>
      <w:marRight w:val="0"/>
      <w:marTop w:val="0"/>
      <w:marBottom w:val="0"/>
      <w:divBdr>
        <w:top w:val="none" w:sz="0" w:space="0" w:color="auto"/>
        <w:left w:val="none" w:sz="0" w:space="0" w:color="auto"/>
        <w:bottom w:val="none" w:sz="0" w:space="0" w:color="auto"/>
        <w:right w:val="none" w:sz="0" w:space="0" w:color="auto"/>
      </w:divBdr>
    </w:div>
    <w:div w:id="730346379">
      <w:bodyDiv w:val="1"/>
      <w:marLeft w:val="0"/>
      <w:marRight w:val="0"/>
      <w:marTop w:val="0"/>
      <w:marBottom w:val="0"/>
      <w:divBdr>
        <w:top w:val="none" w:sz="0" w:space="0" w:color="auto"/>
        <w:left w:val="none" w:sz="0" w:space="0" w:color="auto"/>
        <w:bottom w:val="none" w:sz="0" w:space="0" w:color="auto"/>
        <w:right w:val="none" w:sz="0" w:space="0" w:color="auto"/>
      </w:divBdr>
    </w:div>
    <w:div w:id="734670895">
      <w:bodyDiv w:val="1"/>
      <w:marLeft w:val="0"/>
      <w:marRight w:val="0"/>
      <w:marTop w:val="0"/>
      <w:marBottom w:val="0"/>
      <w:divBdr>
        <w:top w:val="none" w:sz="0" w:space="0" w:color="auto"/>
        <w:left w:val="none" w:sz="0" w:space="0" w:color="auto"/>
        <w:bottom w:val="none" w:sz="0" w:space="0" w:color="auto"/>
        <w:right w:val="none" w:sz="0" w:space="0" w:color="auto"/>
      </w:divBdr>
    </w:div>
    <w:div w:id="739180574">
      <w:bodyDiv w:val="1"/>
      <w:marLeft w:val="0"/>
      <w:marRight w:val="0"/>
      <w:marTop w:val="0"/>
      <w:marBottom w:val="0"/>
      <w:divBdr>
        <w:top w:val="none" w:sz="0" w:space="0" w:color="auto"/>
        <w:left w:val="none" w:sz="0" w:space="0" w:color="auto"/>
        <w:bottom w:val="none" w:sz="0" w:space="0" w:color="auto"/>
        <w:right w:val="none" w:sz="0" w:space="0" w:color="auto"/>
      </w:divBdr>
    </w:div>
    <w:div w:id="774905752">
      <w:bodyDiv w:val="1"/>
      <w:marLeft w:val="0"/>
      <w:marRight w:val="0"/>
      <w:marTop w:val="0"/>
      <w:marBottom w:val="0"/>
      <w:divBdr>
        <w:top w:val="none" w:sz="0" w:space="0" w:color="auto"/>
        <w:left w:val="none" w:sz="0" w:space="0" w:color="auto"/>
        <w:bottom w:val="none" w:sz="0" w:space="0" w:color="auto"/>
        <w:right w:val="none" w:sz="0" w:space="0" w:color="auto"/>
      </w:divBdr>
    </w:div>
    <w:div w:id="792673994">
      <w:bodyDiv w:val="1"/>
      <w:marLeft w:val="0"/>
      <w:marRight w:val="0"/>
      <w:marTop w:val="0"/>
      <w:marBottom w:val="0"/>
      <w:divBdr>
        <w:top w:val="none" w:sz="0" w:space="0" w:color="auto"/>
        <w:left w:val="none" w:sz="0" w:space="0" w:color="auto"/>
        <w:bottom w:val="none" w:sz="0" w:space="0" w:color="auto"/>
        <w:right w:val="none" w:sz="0" w:space="0" w:color="auto"/>
      </w:divBdr>
    </w:div>
    <w:div w:id="805196135">
      <w:bodyDiv w:val="1"/>
      <w:marLeft w:val="0"/>
      <w:marRight w:val="0"/>
      <w:marTop w:val="0"/>
      <w:marBottom w:val="0"/>
      <w:divBdr>
        <w:top w:val="none" w:sz="0" w:space="0" w:color="auto"/>
        <w:left w:val="none" w:sz="0" w:space="0" w:color="auto"/>
        <w:bottom w:val="none" w:sz="0" w:space="0" w:color="auto"/>
        <w:right w:val="none" w:sz="0" w:space="0" w:color="auto"/>
      </w:divBdr>
      <w:divsChild>
        <w:div w:id="812868277">
          <w:marLeft w:val="0"/>
          <w:marRight w:val="0"/>
          <w:marTop w:val="0"/>
          <w:marBottom w:val="0"/>
          <w:divBdr>
            <w:top w:val="none" w:sz="0" w:space="0" w:color="auto"/>
            <w:left w:val="none" w:sz="0" w:space="0" w:color="auto"/>
            <w:bottom w:val="none" w:sz="0" w:space="0" w:color="auto"/>
            <w:right w:val="none" w:sz="0" w:space="0" w:color="auto"/>
          </w:divBdr>
        </w:div>
        <w:div w:id="1314025129">
          <w:marLeft w:val="0"/>
          <w:marRight w:val="0"/>
          <w:marTop w:val="0"/>
          <w:marBottom w:val="0"/>
          <w:divBdr>
            <w:top w:val="none" w:sz="0" w:space="0" w:color="auto"/>
            <w:left w:val="none" w:sz="0" w:space="0" w:color="auto"/>
            <w:bottom w:val="none" w:sz="0" w:space="0" w:color="auto"/>
            <w:right w:val="none" w:sz="0" w:space="0" w:color="auto"/>
          </w:divBdr>
        </w:div>
        <w:div w:id="1964190727">
          <w:marLeft w:val="0"/>
          <w:marRight w:val="0"/>
          <w:marTop w:val="0"/>
          <w:marBottom w:val="0"/>
          <w:divBdr>
            <w:top w:val="none" w:sz="0" w:space="0" w:color="auto"/>
            <w:left w:val="none" w:sz="0" w:space="0" w:color="auto"/>
            <w:bottom w:val="none" w:sz="0" w:space="0" w:color="auto"/>
            <w:right w:val="none" w:sz="0" w:space="0" w:color="auto"/>
          </w:divBdr>
        </w:div>
      </w:divsChild>
    </w:div>
    <w:div w:id="808791288">
      <w:bodyDiv w:val="1"/>
      <w:marLeft w:val="0"/>
      <w:marRight w:val="0"/>
      <w:marTop w:val="0"/>
      <w:marBottom w:val="0"/>
      <w:divBdr>
        <w:top w:val="none" w:sz="0" w:space="0" w:color="auto"/>
        <w:left w:val="none" w:sz="0" w:space="0" w:color="auto"/>
        <w:bottom w:val="none" w:sz="0" w:space="0" w:color="auto"/>
        <w:right w:val="none" w:sz="0" w:space="0" w:color="auto"/>
      </w:divBdr>
    </w:div>
    <w:div w:id="811605255">
      <w:bodyDiv w:val="1"/>
      <w:marLeft w:val="0"/>
      <w:marRight w:val="0"/>
      <w:marTop w:val="0"/>
      <w:marBottom w:val="0"/>
      <w:divBdr>
        <w:top w:val="none" w:sz="0" w:space="0" w:color="auto"/>
        <w:left w:val="none" w:sz="0" w:space="0" w:color="auto"/>
        <w:bottom w:val="none" w:sz="0" w:space="0" w:color="auto"/>
        <w:right w:val="none" w:sz="0" w:space="0" w:color="auto"/>
      </w:divBdr>
    </w:div>
    <w:div w:id="814103849">
      <w:bodyDiv w:val="1"/>
      <w:marLeft w:val="0"/>
      <w:marRight w:val="0"/>
      <w:marTop w:val="0"/>
      <w:marBottom w:val="0"/>
      <w:divBdr>
        <w:top w:val="none" w:sz="0" w:space="0" w:color="auto"/>
        <w:left w:val="none" w:sz="0" w:space="0" w:color="auto"/>
        <w:bottom w:val="none" w:sz="0" w:space="0" w:color="auto"/>
        <w:right w:val="none" w:sz="0" w:space="0" w:color="auto"/>
      </w:divBdr>
    </w:div>
    <w:div w:id="814177879">
      <w:bodyDiv w:val="1"/>
      <w:marLeft w:val="0"/>
      <w:marRight w:val="0"/>
      <w:marTop w:val="0"/>
      <w:marBottom w:val="0"/>
      <w:divBdr>
        <w:top w:val="none" w:sz="0" w:space="0" w:color="auto"/>
        <w:left w:val="none" w:sz="0" w:space="0" w:color="auto"/>
        <w:bottom w:val="none" w:sz="0" w:space="0" w:color="auto"/>
        <w:right w:val="none" w:sz="0" w:space="0" w:color="auto"/>
      </w:divBdr>
    </w:div>
    <w:div w:id="846138032">
      <w:bodyDiv w:val="1"/>
      <w:marLeft w:val="0"/>
      <w:marRight w:val="0"/>
      <w:marTop w:val="0"/>
      <w:marBottom w:val="0"/>
      <w:divBdr>
        <w:top w:val="none" w:sz="0" w:space="0" w:color="auto"/>
        <w:left w:val="none" w:sz="0" w:space="0" w:color="auto"/>
        <w:bottom w:val="none" w:sz="0" w:space="0" w:color="auto"/>
        <w:right w:val="none" w:sz="0" w:space="0" w:color="auto"/>
      </w:divBdr>
    </w:div>
    <w:div w:id="867835174">
      <w:bodyDiv w:val="1"/>
      <w:marLeft w:val="0"/>
      <w:marRight w:val="0"/>
      <w:marTop w:val="0"/>
      <w:marBottom w:val="0"/>
      <w:divBdr>
        <w:top w:val="none" w:sz="0" w:space="0" w:color="auto"/>
        <w:left w:val="none" w:sz="0" w:space="0" w:color="auto"/>
        <w:bottom w:val="none" w:sz="0" w:space="0" w:color="auto"/>
        <w:right w:val="none" w:sz="0" w:space="0" w:color="auto"/>
      </w:divBdr>
    </w:div>
    <w:div w:id="869345489">
      <w:bodyDiv w:val="1"/>
      <w:marLeft w:val="0"/>
      <w:marRight w:val="0"/>
      <w:marTop w:val="0"/>
      <w:marBottom w:val="0"/>
      <w:divBdr>
        <w:top w:val="none" w:sz="0" w:space="0" w:color="auto"/>
        <w:left w:val="none" w:sz="0" w:space="0" w:color="auto"/>
        <w:bottom w:val="none" w:sz="0" w:space="0" w:color="auto"/>
        <w:right w:val="none" w:sz="0" w:space="0" w:color="auto"/>
      </w:divBdr>
    </w:div>
    <w:div w:id="886332619">
      <w:bodyDiv w:val="1"/>
      <w:marLeft w:val="0"/>
      <w:marRight w:val="0"/>
      <w:marTop w:val="0"/>
      <w:marBottom w:val="0"/>
      <w:divBdr>
        <w:top w:val="none" w:sz="0" w:space="0" w:color="auto"/>
        <w:left w:val="none" w:sz="0" w:space="0" w:color="auto"/>
        <w:bottom w:val="none" w:sz="0" w:space="0" w:color="auto"/>
        <w:right w:val="none" w:sz="0" w:space="0" w:color="auto"/>
      </w:divBdr>
    </w:div>
    <w:div w:id="892741535">
      <w:bodyDiv w:val="1"/>
      <w:marLeft w:val="0"/>
      <w:marRight w:val="0"/>
      <w:marTop w:val="0"/>
      <w:marBottom w:val="0"/>
      <w:divBdr>
        <w:top w:val="none" w:sz="0" w:space="0" w:color="auto"/>
        <w:left w:val="none" w:sz="0" w:space="0" w:color="auto"/>
        <w:bottom w:val="none" w:sz="0" w:space="0" w:color="auto"/>
        <w:right w:val="none" w:sz="0" w:space="0" w:color="auto"/>
      </w:divBdr>
    </w:div>
    <w:div w:id="907885400">
      <w:bodyDiv w:val="1"/>
      <w:marLeft w:val="0"/>
      <w:marRight w:val="0"/>
      <w:marTop w:val="0"/>
      <w:marBottom w:val="0"/>
      <w:divBdr>
        <w:top w:val="none" w:sz="0" w:space="0" w:color="auto"/>
        <w:left w:val="none" w:sz="0" w:space="0" w:color="auto"/>
        <w:bottom w:val="none" w:sz="0" w:space="0" w:color="auto"/>
        <w:right w:val="none" w:sz="0" w:space="0" w:color="auto"/>
      </w:divBdr>
    </w:div>
    <w:div w:id="922105654">
      <w:bodyDiv w:val="1"/>
      <w:marLeft w:val="0"/>
      <w:marRight w:val="0"/>
      <w:marTop w:val="0"/>
      <w:marBottom w:val="0"/>
      <w:divBdr>
        <w:top w:val="none" w:sz="0" w:space="0" w:color="auto"/>
        <w:left w:val="none" w:sz="0" w:space="0" w:color="auto"/>
        <w:bottom w:val="none" w:sz="0" w:space="0" w:color="auto"/>
        <w:right w:val="none" w:sz="0" w:space="0" w:color="auto"/>
      </w:divBdr>
      <w:divsChild>
        <w:div w:id="54400173">
          <w:marLeft w:val="0"/>
          <w:marRight w:val="0"/>
          <w:marTop w:val="0"/>
          <w:marBottom w:val="0"/>
          <w:divBdr>
            <w:top w:val="none" w:sz="0" w:space="0" w:color="auto"/>
            <w:left w:val="none" w:sz="0" w:space="0" w:color="auto"/>
            <w:bottom w:val="none" w:sz="0" w:space="0" w:color="auto"/>
            <w:right w:val="none" w:sz="0" w:space="0" w:color="auto"/>
          </w:divBdr>
        </w:div>
        <w:div w:id="786850200">
          <w:marLeft w:val="0"/>
          <w:marRight w:val="0"/>
          <w:marTop w:val="0"/>
          <w:marBottom w:val="0"/>
          <w:divBdr>
            <w:top w:val="none" w:sz="0" w:space="0" w:color="auto"/>
            <w:left w:val="none" w:sz="0" w:space="0" w:color="auto"/>
            <w:bottom w:val="none" w:sz="0" w:space="0" w:color="auto"/>
            <w:right w:val="none" w:sz="0" w:space="0" w:color="auto"/>
          </w:divBdr>
        </w:div>
      </w:divsChild>
    </w:div>
    <w:div w:id="933049995">
      <w:bodyDiv w:val="1"/>
      <w:marLeft w:val="0"/>
      <w:marRight w:val="0"/>
      <w:marTop w:val="0"/>
      <w:marBottom w:val="0"/>
      <w:divBdr>
        <w:top w:val="none" w:sz="0" w:space="0" w:color="auto"/>
        <w:left w:val="none" w:sz="0" w:space="0" w:color="auto"/>
        <w:bottom w:val="none" w:sz="0" w:space="0" w:color="auto"/>
        <w:right w:val="none" w:sz="0" w:space="0" w:color="auto"/>
      </w:divBdr>
    </w:div>
    <w:div w:id="937177427">
      <w:bodyDiv w:val="1"/>
      <w:marLeft w:val="0"/>
      <w:marRight w:val="0"/>
      <w:marTop w:val="0"/>
      <w:marBottom w:val="0"/>
      <w:divBdr>
        <w:top w:val="none" w:sz="0" w:space="0" w:color="auto"/>
        <w:left w:val="none" w:sz="0" w:space="0" w:color="auto"/>
        <w:bottom w:val="none" w:sz="0" w:space="0" w:color="auto"/>
        <w:right w:val="none" w:sz="0" w:space="0" w:color="auto"/>
      </w:divBdr>
    </w:div>
    <w:div w:id="970522666">
      <w:bodyDiv w:val="1"/>
      <w:marLeft w:val="0"/>
      <w:marRight w:val="0"/>
      <w:marTop w:val="0"/>
      <w:marBottom w:val="0"/>
      <w:divBdr>
        <w:top w:val="none" w:sz="0" w:space="0" w:color="auto"/>
        <w:left w:val="none" w:sz="0" w:space="0" w:color="auto"/>
        <w:bottom w:val="none" w:sz="0" w:space="0" w:color="auto"/>
        <w:right w:val="none" w:sz="0" w:space="0" w:color="auto"/>
      </w:divBdr>
    </w:div>
    <w:div w:id="1001859589">
      <w:bodyDiv w:val="1"/>
      <w:marLeft w:val="0"/>
      <w:marRight w:val="0"/>
      <w:marTop w:val="0"/>
      <w:marBottom w:val="0"/>
      <w:divBdr>
        <w:top w:val="none" w:sz="0" w:space="0" w:color="auto"/>
        <w:left w:val="none" w:sz="0" w:space="0" w:color="auto"/>
        <w:bottom w:val="none" w:sz="0" w:space="0" w:color="auto"/>
        <w:right w:val="none" w:sz="0" w:space="0" w:color="auto"/>
      </w:divBdr>
    </w:div>
    <w:div w:id="1008605532">
      <w:bodyDiv w:val="1"/>
      <w:marLeft w:val="0"/>
      <w:marRight w:val="0"/>
      <w:marTop w:val="0"/>
      <w:marBottom w:val="0"/>
      <w:divBdr>
        <w:top w:val="none" w:sz="0" w:space="0" w:color="auto"/>
        <w:left w:val="none" w:sz="0" w:space="0" w:color="auto"/>
        <w:bottom w:val="none" w:sz="0" w:space="0" w:color="auto"/>
        <w:right w:val="none" w:sz="0" w:space="0" w:color="auto"/>
      </w:divBdr>
    </w:div>
    <w:div w:id="1012607954">
      <w:bodyDiv w:val="1"/>
      <w:marLeft w:val="0"/>
      <w:marRight w:val="0"/>
      <w:marTop w:val="0"/>
      <w:marBottom w:val="0"/>
      <w:divBdr>
        <w:top w:val="none" w:sz="0" w:space="0" w:color="auto"/>
        <w:left w:val="none" w:sz="0" w:space="0" w:color="auto"/>
        <w:bottom w:val="none" w:sz="0" w:space="0" w:color="auto"/>
        <w:right w:val="none" w:sz="0" w:space="0" w:color="auto"/>
      </w:divBdr>
      <w:divsChild>
        <w:div w:id="1060786083">
          <w:marLeft w:val="547"/>
          <w:marRight w:val="0"/>
          <w:marTop w:val="0"/>
          <w:marBottom w:val="0"/>
          <w:divBdr>
            <w:top w:val="none" w:sz="0" w:space="0" w:color="auto"/>
            <w:left w:val="none" w:sz="0" w:space="0" w:color="auto"/>
            <w:bottom w:val="none" w:sz="0" w:space="0" w:color="auto"/>
            <w:right w:val="none" w:sz="0" w:space="0" w:color="auto"/>
          </w:divBdr>
        </w:div>
      </w:divsChild>
    </w:div>
    <w:div w:id="1015612921">
      <w:bodyDiv w:val="1"/>
      <w:marLeft w:val="0"/>
      <w:marRight w:val="0"/>
      <w:marTop w:val="0"/>
      <w:marBottom w:val="0"/>
      <w:divBdr>
        <w:top w:val="none" w:sz="0" w:space="0" w:color="auto"/>
        <w:left w:val="none" w:sz="0" w:space="0" w:color="auto"/>
        <w:bottom w:val="none" w:sz="0" w:space="0" w:color="auto"/>
        <w:right w:val="none" w:sz="0" w:space="0" w:color="auto"/>
      </w:divBdr>
    </w:div>
    <w:div w:id="1016078967">
      <w:bodyDiv w:val="1"/>
      <w:marLeft w:val="0"/>
      <w:marRight w:val="0"/>
      <w:marTop w:val="0"/>
      <w:marBottom w:val="0"/>
      <w:divBdr>
        <w:top w:val="none" w:sz="0" w:space="0" w:color="auto"/>
        <w:left w:val="none" w:sz="0" w:space="0" w:color="auto"/>
        <w:bottom w:val="none" w:sz="0" w:space="0" w:color="auto"/>
        <w:right w:val="none" w:sz="0" w:space="0" w:color="auto"/>
      </w:divBdr>
    </w:div>
    <w:div w:id="1035350122">
      <w:bodyDiv w:val="1"/>
      <w:marLeft w:val="0"/>
      <w:marRight w:val="0"/>
      <w:marTop w:val="0"/>
      <w:marBottom w:val="0"/>
      <w:divBdr>
        <w:top w:val="none" w:sz="0" w:space="0" w:color="auto"/>
        <w:left w:val="none" w:sz="0" w:space="0" w:color="auto"/>
        <w:bottom w:val="none" w:sz="0" w:space="0" w:color="auto"/>
        <w:right w:val="none" w:sz="0" w:space="0" w:color="auto"/>
      </w:divBdr>
    </w:div>
    <w:div w:id="1051879026">
      <w:bodyDiv w:val="1"/>
      <w:marLeft w:val="0"/>
      <w:marRight w:val="0"/>
      <w:marTop w:val="0"/>
      <w:marBottom w:val="0"/>
      <w:divBdr>
        <w:top w:val="none" w:sz="0" w:space="0" w:color="auto"/>
        <w:left w:val="none" w:sz="0" w:space="0" w:color="auto"/>
        <w:bottom w:val="none" w:sz="0" w:space="0" w:color="auto"/>
        <w:right w:val="none" w:sz="0" w:space="0" w:color="auto"/>
      </w:divBdr>
    </w:div>
    <w:div w:id="1082986877">
      <w:bodyDiv w:val="1"/>
      <w:marLeft w:val="0"/>
      <w:marRight w:val="0"/>
      <w:marTop w:val="0"/>
      <w:marBottom w:val="0"/>
      <w:divBdr>
        <w:top w:val="none" w:sz="0" w:space="0" w:color="auto"/>
        <w:left w:val="none" w:sz="0" w:space="0" w:color="auto"/>
        <w:bottom w:val="none" w:sz="0" w:space="0" w:color="auto"/>
        <w:right w:val="none" w:sz="0" w:space="0" w:color="auto"/>
      </w:divBdr>
    </w:div>
    <w:div w:id="1088965955">
      <w:bodyDiv w:val="1"/>
      <w:marLeft w:val="0"/>
      <w:marRight w:val="0"/>
      <w:marTop w:val="0"/>
      <w:marBottom w:val="0"/>
      <w:divBdr>
        <w:top w:val="none" w:sz="0" w:space="0" w:color="auto"/>
        <w:left w:val="none" w:sz="0" w:space="0" w:color="auto"/>
        <w:bottom w:val="none" w:sz="0" w:space="0" w:color="auto"/>
        <w:right w:val="none" w:sz="0" w:space="0" w:color="auto"/>
      </w:divBdr>
    </w:div>
    <w:div w:id="1097874097">
      <w:bodyDiv w:val="1"/>
      <w:marLeft w:val="0"/>
      <w:marRight w:val="0"/>
      <w:marTop w:val="0"/>
      <w:marBottom w:val="0"/>
      <w:divBdr>
        <w:top w:val="none" w:sz="0" w:space="0" w:color="auto"/>
        <w:left w:val="none" w:sz="0" w:space="0" w:color="auto"/>
        <w:bottom w:val="none" w:sz="0" w:space="0" w:color="auto"/>
        <w:right w:val="none" w:sz="0" w:space="0" w:color="auto"/>
      </w:divBdr>
    </w:div>
    <w:div w:id="1102459275">
      <w:bodyDiv w:val="1"/>
      <w:marLeft w:val="0"/>
      <w:marRight w:val="0"/>
      <w:marTop w:val="0"/>
      <w:marBottom w:val="0"/>
      <w:divBdr>
        <w:top w:val="none" w:sz="0" w:space="0" w:color="auto"/>
        <w:left w:val="none" w:sz="0" w:space="0" w:color="auto"/>
        <w:bottom w:val="none" w:sz="0" w:space="0" w:color="auto"/>
        <w:right w:val="none" w:sz="0" w:space="0" w:color="auto"/>
      </w:divBdr>
    </w:div>
    <w:div w:id="1106851495">
      <w:bodyDiv w:val="1"/>
      <w:marLeft w:val="0"/>
      <w:marRight w:val="0"/>
      <w:marTop w:val="0"/>
      <w:marBottom w:val="0"/>
      <w:divBdr>
        <w:top w:val="none" w:sz="0" w:space="0" w:color="auto"/>
        <w:left w:val="none" w:sz="0" w:space="0" w:color="auto"/>
        <w:bottom w:val="none" w:sz="0" w:space="0" w:color="auto"/>
        <w:right w:val="none" w:sz="0" w:space="0" w:color="auto"/>
      </w:divBdr>
    </w:div>
    <w:div w:id="1113479885">
      <w:bodyDiv w:val="1"/>
      <w:marLeft w:val="0"/>
      <w:marRight w:val="0"/>
      <w:marTop w:val="0"/>
      <w:marBottom w:val="0"/>
      <w:divBdr>
        <w:top w:val="none" w:sz="0" w:space="0" w:color="auto"/>
        <w:left w:val="none" w:sz="0" w:space="0" w:color="auto"/>
        <w:bottom w:val="none" w:sz="0" w:space="0" w:color="auto"/>
        <w:right w:val="none" w:sz="0" w:space="0" w:color="auto"/>
      </w:divBdr>
    </w:div>
    <w:div w:id="1116296850">
      <w:bodyDiv w:val="1"/>
      <w:marLeft w:val="0"/>
      <w:marRight w:val="0"/>
      <w:marTop w:val="0"/>
      <w:marBottom w:val="0"/>
      <w:divBdr>
        <w:top w:val="none" w:sz="0" w:space="0" w:color="auto"/>
        <w:left w:val="none" w:sz="0" w:space="0" w:color="auto"/>
        <w:bottom w:val="none" w:sz="0" w:space="0" w:color="auto"/>
        <w:right w:val="none" w:sz="0" w:space="0" w:color="auto"/>
      </w:divBdr>
    </w:div>
    <w:div w:id="1122531503">
      <w:bodyDiv w:val="1"/>
      <w:marLeft w:val="0"/>
      <w:marRight w:val="0"/>
      <w:marTop w:val="0"/>
      <w:marBottom w:val="0"/>
      <w:divBdr>
        <w:top w:val="none" w:sz="0" w:space="0" w:color="auto"/>
        <w:left w:val="none" w:sz="0" w:space="0" w:color="auto"/>
        <w:bottom w:val="none" w:sz="0" w:space="0" w:color="auto"/>
        <w:right w:val="none" w:sz="0" w:space="0" w:color="auto"/>
      </w:divBdr>
    </w:div>
    <w:div w:id="1184980675">
      <w:bodyDiv w:val="1"/>
      <w:marLeft w:val="0"/>
      <w:marRight w:val="0"/>
      <w:marTop w:val="0"/>
      <w:marBottom w:val="0"/>
      <w:divBdr>
        <w:top w:val="none" w:sz="0" w:space="0" w:color="auto"/>
        <w:left w:val="none" w:sz="0" w:space="0" w:color="auto"/>
        <w:bottom w:val="none" w:sz="0" w:space="0" w:color="auto"/>
        <w:right w:val="none" w:sz="0" w:space="0" w:color="auto"/>
      </w:divBdr>
    </w:div>
    <w:div w:id="1189297629">
      <w:bodyDiv w:val="1"/>
      <w:marLeft w:val="0"/>
      <w:marRight w:val="0"/>
      <w:marTop w:val="0"/>
      <w:marBottom w:val="0"/>
      <w:divBdr>
        <w:top w:val="none" w:sz="0" w:space="0" w:color="auto"/>
        <w:left w:val="none" w:sz="0" w:space="0" w:color="auto"/>
        <w:bottom w:val="none" w:sz="0" w:space="0" w:color="auto"/>
        <w:right w:val="none" w:sz="0" w:space="0" w:color="auto"/>
      </w:divBdr>
    </w:div>
    <w:div w:id="1195002319">
      <w:bodyDiv w:val="1"/>
      <w:marLeft w:val="0"/>
      <w:marRight w:val="0"/>
      <w:marTop w:val="0"/>
      <w:marBottom w:val="0"/>
      <w:divBdr>
        <w:top w:val="none" w:sz="0" w:space="0" w:color="auto"/>
        <w:left w:val="none" w:sz="0" w:space="0" w:color="auto"/>
        <w:bottom w:val="none" w:sz="0" w:space="0" w:color="auto"/>
        <w:right w:val="none" w:sz="0" w:space="0" w:color="auto"/>
      </w:divBdr>
    </w:div>
    <w:div w:id="1200507207">
      <w:bodyDiv w:val="1"/>
      <w:marLeft w:val="0"/>
      <w:marRight w:val="0"/>
      <w:marTop w:val="0"/>
      <w:marBottom w:val="0"/>
      <w:divBdr>
        <w:top w:val="none" w:sz="0" w:space="0" w:color="auto"/>
        <w:left w:val="none" w:sz="0" w:space="0" w:color="auto"/>
        <w:bottom w:val="none" w:sz="0" w:space="0" w:color="auto"/>
        <w:right w:val="none" w:sz="0" w:space="0" w:color="auto"/>
      </w:divBdr>
    </w:div>
    <w:div w:id="1226799012">
      <w:bodyDiv w:val="1"/>
      <w:marLeft w:val="0"/>
      <w:marRight w:val="0"/>
      <w:marTop w:val="0"/>
      <w:marBottom w:val="0"/>
      <w:divBdr>
        <w:top w:val="none" w:sz="0" w:space="0" w:color="auto"/>
        <w:left w:val="none" w:sz="0" w:space="0" w:color="auto"/>
        <w:bottom w:val="none" w:sz="0" w:space="0" w:color="auto"/>
        <w:right w:val="none" w:sz="0" w:space="0" w:color="auto"/>
      </w:divBdr>
    </w:div>
    <w:div w:id="1236815951">
      <w:bodyDiv w:val="1"/>
      <w:marLeft w:val="0"/>
      <w:marRight w:val="0"/>
      <w:marTop w:val="0"/>
      <w:marBottom w:val="0"/>
      <w:divBdr>
        <w:top w:val="none" w:sz="0" w:space="0" w:color="auto"/>
        <w:left w:val="none" w:sz="0" w:space="0" w:color="auto"/>
        <w:bottom w:val="none" w:sz="0" w:space="0" w:color="auto"/>
        <w:right w:val="none" w:sz="0" w:space="0" w:color="auto"/>
      </w:divBdr>
    </w:div>
    <w:div w:id="1239560884">
      <w:bodyDiv w:val="1"/>
      <w:marLeft w:val="0"/>
      <w:marRight w:val="0"/>
      <w:marTop w:val="0"/>
      <w:marBottom w:val="0"/>
      <w:divBdr>
        <w:top w:val="none" w:sz="0" w:space="0" w:color="auto"/>
        <w:left w:val="none" w:sz="0" w:space="0" w:color="auto"/>
        <w:bottom w:val="none" w:sz="0" w:space="0" w:color="auto"/>
        <w:right w:val="none" w:sz="0" w:space="0" w:color="auto"/>
      </w:divBdr>
    </w:div>
    <w:div w:id="1290668134">
      <w:bodyDiv w:val="1"/>
      <w:marLeft w:val="0"/>
      <w:marRight w:val="0"/>
      <w:marTop w:val="0"/>
      <w:marBottom w:val="0"/>
      <w:divBdr>
        <w:top w:val="none" w:sz="0" w:space="0" w:color="auto"/>
        <w:left w:val="none" w:sz="0" w:space="0" w:color="auto"/>
        <w:bottom w:val="none" w:sz="0" w:space="0" w:color="auto"/>
        <w:right w:val="none" w:sz="0" w:space="0" w:color="auto"/>
      </w:divBdr>
    </w:div>
    <w:div w:id="1291596904">
      <w:bodyDiv w:val="1"/>
      <w:marLeft w:val="0"/>
      <w:marRight w:val="0"/>
      <w:marTop w:val="0"/>
      <w:marBottom w:val="0"/>
      <w:divBdr>
        <w:top w:val="none" w:sz="0" w:space="0" w:color="auto"/>
        <w:left w:val="none" w:sz="0" w:space="0" w:color="auto"/>
        <w:bottom w:val="none" w:sz="0" w:space="0" w:color="auto"/>
        <w:right w:val="none" w:sz="0" w:space="0" w:color="auto"/>
      </w:divBdr>
    </w:div>
    <w:div w:id="1292248558">
      <w:bodyDiv w:val="1"/>
      <w:marLeft w:val="0"/>
      <w:marRight w:val="0"/>
      <w:marTop w:val="0"/>
      <w:marBottom w:val="0"/>
      <w:divBdr>
        <w:top w:val="none" w:sz="0" w:space="0" w:color="auto"/>
        <w:left w:val="none" w:sz="0" w:space="0" w:color="auto"/>
        <w:bottom w:val="none" w:sz="0" w:space="0" w:color="auto"/>
        <w:right w:val="none" w:sz="0" w:space="0" w:color="auto"/>
      </w:divBdr>
    </w:div>
    <w:div w:id="1300066724">
      <w:bodyDiv w:val="1"/>
      <w:marLeft w:val="0"/>
      <w:marRight w:val="0"/>
      <w:marTop w:val="0"/>
      <w:marBottom w:val="0"/>
      <w:divBdr>
        <w:top w:val="none" w:sz="0" w:space="0" w:color="auto"/>
        <w:left w:val="none" w:sz="0" w:space="0" w:color="auto"/>
        <w:bottom w:val="none" w:sz="0" w:space="0" w:color="auto"/>
        <w:right w:val="none" w:sz="0" w:space="0" w:color="auto"/>
      </w:divBdr>
    </w:div>
    <w:div w:id="1303383344">
      <w:bodyDiv w:val="1"/>
      <w:marLeft w:val="0"/>
      <w:marRight w:val="0"/>
      <w:marTop w:val="0"/>
      <w:marBottom w:val="0"/>
      <w:divBdr>
        <w:top w:val="none" w:sz="0" w:space="0" w:color="auto"/>
        <w:left w:val="none" w:sz="0" w:space="0" w:color="auto"/>
        <w:bottom w:val="none" w:sz="0" w:space="0" w:color="auto"/>
        <w:right w:val="none" w:sz="0" w:space="0" w:color="auto"/>
      </w:divBdr>
    </w:div>
    <w:div w:id="1329745167">
      <w:bodyDiv w:val="1"/>
      <w:marLeft w:val="0"/>
      <w:marRight w:val="0"/>
      <w:marTop w:val="0"/>
      <w:marBottom w:val="0"/>
      <w:divBdr>
        <w:top w:val="none" w:sz="0" w:space="0" w:color="auto"/>
        <w:left w:val="none" w:sz="0" w:space="0" w:color="auto"/>
        <w:bottom w:val="none" w:sz="0" w:space="0" w:color="auto"/>
        <w:right w:val="none" w:sz="0" w:space="0" w:color="auto"/>
      </w:divBdr>
    </w:div>
    <w:div w:id="1346175446">
      <w:bodyDiv w:val="1"/>
      <w:marLeft w:val="0"/>
      <w:marRight w:val="0"/>
      <w:marTop w:val="0"/>
      <w:marBottom w:val="0"/>
      <w:divBdr>
        <w:top w:val="none" w:sz="0" w:space="0" w:color="auto"/>
        <w:left w:val="none" w:sz="0" w:space="0" w:color="auto"/>
        <w:bottom w:val="none" w:sz="0" w:space="0" w:color="auto"/>
        <w:right w:val="none" w:sz="0" w:space="0" w:color="auto"/>
      </w:divBdr>
    </w:div>
    <w:div w:id="1364746510">
      <w:bodyDiv w:val="1"/>
      <w:marLeft w:val="0"/>
      <w:marRight w:val="0"/>
      <w:marTop w:val="0"/>
      <w:marBottom w:val="0"/>
      <w:divBdr>
        <w:top w:val="none" w:sz="0" w:space="0" w:color="auto"/>
        <w:left w:val="none" w:sz="0" w:space="0" w:color="auto"/>
        <w:bottom w:val="none" w:sz="0" w:space="0" w:color="auto"/>
        <w:right w:val="none" w:sz="0" w:space="0" w:color="auto"/>
      </w:divBdr>
    </w:div>
    <w:div w:id="1370104750">
      <w:bodyDiv w:val="1"/>
      <w:marLeft w:val="0"/>
      <w:marRight w:val="0"/>
      <w:marTop w:val="0"/>
      <w:marBottom w:val="0"/>
      <w:divBdr>
        <w:top w:val="none" w:sz="0" w:space="0" w:color="auto"/>
        <w:left w:val="none" w:sz="0" w:space="0" w:color="auto"/>
        <w:bottom w:val="none" w:sz="0" w:space="0" w:color="auto"/>
        <w:right w:val="none" w:sz="0" w:space="0" w:color="auto"/>
      </w:divBdr>
    </w:div>
    <w:div w:id="1372994119">
      <w:bodyDiv w:val="1"/>
      <w:marLeft w:val="0"/>
      <w:marRight w:val="0"/>
      <w:marTop w:val="0"/>
      <w:marBottom w:val="0"/>
      <w:divBdr>
        <w:top w:val="none" w:sz="0" w:space="0" w:color="auto"/>
        <w:left w:val="none" w:sz="0" w:space="0" w:color="auto"/>
        <w:bottom w:val="none" w:sz="0" w:space="0" w:color="auto"/>
        <w:right w:val="none" w:sz="0" w:space="0" w:color="auto"/>
      </w:divBdr>
    </w:div>
    <w:div w:id="1394545846">
      <w:bodyDiv w:val="1"/>
      <w:marLeft w:val="0"/>
      <w:marRight w:val="0"/>
      <w:marTop w:val="0"/>
      <w:marBottom w:val="0"/>
      <w:divBdr>
        <w:top w:val="none" w:sz="0" w:space="0" w:color="auto"/>
        <w:left w:val="none" w:sz="0" w:space="0" w:color="auto"/>
        <w:bottom w:val="none" w:sz="0" w:space="0" w:color="auto"/>
        <w:right w:val="none" w:sz="0" w:space="0" w:color="auto"/>
      </w:divBdr>
    </w:div>
    <w:div w:id="1396901815">
      <w:bodyDiv w:val="1"/>
      <w:marLeft w:val="0"/>
      <w:marRight w:val="0"/>
      <w:marTop w:val="0"/>
      <w:marBottom w:val="0"/>
      <w:divBdr>
        <w:top w:val="none" w:sz="0" w:space="0" w:color="auto"/>
        <w:left w:val="none" w:sz="0" w:space="0" w:color="auto"/>
        <w:bottom w:val="none" w:sz="0" w:space="0" w:color="auto"/>
        <w:right w:val="none" w:sz="0" w:space="0" w:color="auto"/>
      </w:divBdr>
    </w:div>
    <w:div w:id="1398288483">
      <w:bodyDiv w:val="1"/>
      <w:marLeft w:val="0"/>
      <w:marRight w:val="0"/>
      <w:marTop w:val="0"/>
      <w:marBottom w:val="0"/>
      <w:divBdr>
        <w:top w:val="none" w:sz="0" w:space="0" w:color="auto"/>
        <w:left w:val="none" w:sz="0" w:space="0" w:color="auto"/>
        <w:bottom w:val="none" w:sz="0" w:space="0" w:color="auto"/>
        <w:right w:val="none" w:sz="0" w:space="0" w:color="auto"/>
      </w:divBdr>
    </w:div>
    <w:div w:id="1398477982">
      <w:bodyDiv w:val="1"/>
      <w:marLeft w:val="0"/>
      <w:marRight w:val="0"/>
      <w:marTop w:val="0"/>
      <w:marBottom w:val="0"/>
      <w:divBdr>
        <w:top w:val="none" w:sz="0" w:space="0" w:color="auto"/>
        <w:left w:val="none" w:sz="0" w:space="0" w:color="auto"/>
        <w:bottom w:val="none" w:sz="0" w:space="0" w:color="auto"/>
        <w:right w:val="none" w:sz="0" w:space="0" w:color="auto"/>
      </w:divBdr>
    </w:div>
    <w:div w:id="1408646650">
      <w:bodyDiv w:val="1"/>
      <w:marLeft w:val="0"/>
      <w:marRight w:val="0"/>
      <w:marTop w:val="0"/>
      <w:marBottom w:val="0"/>
      <w:divBdr>
        <w:top w:val="none" w:sz="0" w:space="0" w:color="auto"/>
        <w:left w:val="none" w:sz="0" w:space="0" w:color="auto"/>
        <w:bottom w:val="none" w:sz="0" w:space="0" w:color="auto"/>
        <w:right w:val="none" w:sz="0" w:space="0" w:color="auto"/>
      </w:divBdr>
    </w:div>
    <w:div w:id="1420443344">
      <w:bodyDiv w:val="1"/>
      <w:marLeft w:val="0"/>
      <w:marRight w:val="0"/>
      <w:marTop w:val="0"/>
      <w:marBottom w:val="0"/>
      <w:divBdr>
        <w:top w:val="none" w:sz="0" w:space="0" w:color="auto"/>
        <w:left w:val="none" w:sz="0" w:space="0" w:color="auto"/>
        <w:bottom w:val="none" w:sz="0" w:space="0" w:color="auto"/>
        <w:right w:val="none" w:sz="0" w:space="0" w:color="auto"/>
      </w:divBdr>
    </w:div>
    <w:div w:id="1425496184">
      <w:bodyDiv w:val="1"/>
      <w:marLeft w:val="0"/>
      <w:marRight w:val="0"/>
      <w:marTop w:val="0"/>
      <w:marBottom w:val="0"/>
      <w:divBdr>
        <w:top w:val="none" w:sz="0" w:space="0" w:color="auto"/>
        <w:left w:val="none" w:sz="0" w:space="0" w:color="auto"/>
        <w:bottom w:val="none" w:sz="0" w:space="0" w:color="auto"/>
        <w:right w:val="none" w:sz="0" w:space="0" w:color="auto"/>
      </w:divBdr>
    </w:div>
    <w:div w:id="1439715555">
      <w:bodyDiv w:val="1"/>
      <w:marLeft w:val="0"/>
      <w:marRight w:val="0"/>
      <w:marTop w:val="0"/>
      <w:marBottom w:val="0"/>
      <w:divBdr>
        <w:top w:val="none" w:sz="0" w:space="0" w:color="auto"/>
        <w:left w:val="none" w:sz="0" w:space="0" w:color="auto"/>
        <w:bottom w:val="none" w:sz="0" w:space="0" w:color="auto"/>
        <w:right w:val="none" w:sz="0" w:space="0" w:color="auto"/>
      </w:divBdr>
    </w:div>
    <w:div w:id="1442802429">
      <w:bodyDiv w:val="1"/>
      <w:marLeft w:val="0"/>
      <w:marRight w:val="0"/>
      <w:marTop w:val="0"/>
      <w:marBottom w:val="0"/>
      <w:divBdr>
        <w:top w:val="none" w:sz="0" w:space="0" w:color="auto"/>
        <w:left w:val="none" w:sz="0" w:space="0" w:color="auto"/>
        <w:bottom w:val="none" w:sz="0" w:space="0" w:color="auto"/>
        <w:right w:val="none" w:sz="0" w:space="0" w:color="auto"/>
      </w:divBdr>
    </w:div>
    <w:div w:id="1460952639">
      <w:bodyDiv w:val="1"/>
      <w:marLeft w:val="0"/>
      <w:marRight w:val="0"/>
      <w:marTop w:val="0"/>
      <w:marBottom w:val="0"/>
      <w:divBdr>
        <w:top w:val="none" w:sz="0" w:space="0" w:color="auto"/>
        <w:left w:val="none" w:sz="0" w:space="0" w:color="auto"/>
        <w:bottom w:val="none" w:sz="0" w:space="0" w:color="auto"/>
        <w:right w:val="none" w:sz="0" w:space="0" w:color="auto"/>
      </w:divBdr>
    </w:div>
    <w:div w:id="1473213577">
      <w:bodyDiv w:val="1"/>
      <w:marLeft w:val="0"/>
      <w:marRight w:val="0"/>
      <w:marTop w:val="0"/>
      <w:marBottom w:val="0"/>
      <w:divBdr>
        <w:top w:val="none" w:sz="0" w:space="0" w:color="auto"/>
        <w:left w:val="none" w:sz="0" w:space="0" w:color="auto"/>
        <w:bottom w:val="none" w:sz="0" w:space="0" w:color="auto"/>
        <w:right w:val="none" w:sz="0" w:space="0" w:color="auto"/>
      </w:divBdr>
    </w:div>
    <w:div w:id="1474328587">
      <w:bodyDiv w:val="1"/>
      <w:marLeft w:val="0"/>
      <w:marRight w:val="0"/>
      <w:marTop w:val="0"/>
      <w:marBottom w:val="0"/>
      <w:divBdr>
        <w:top w:val="none" w:sz="0" w:space="0" w:color="auto"/>
        <w:left w:val="none" w:sz="0" w:space="0" w:color="auto"/>
        <w:bottom w:val="none" w:sz="0" w:space="0" w:color="auto"/>
        <w:right w:val="none" w:sz="0" w:space="0" w:color="auto"/>
      </w:divBdr>
    </w:div>
    <w:div w:id="1484350479">
      <w:bodyDiv w:val="1"/>
      <w:marLeft w:val="0"/>
      <w:marRight w:val="0"/>
      <w:marTop w:val="0"/>
      <w:marBottom w:val="0"/>
      <w:divBdr>
        <w:top w:val="none" w:sz="0" w:space="0" w:color="auto"/>
        <w:left w:val="none" w:sz="0" w:space="0" w:color="auto"/>
        <w:bottom w:val="none" w:sz="0" w:space="0" w:color="auto"/>
        <w:right w:val="none" w:sz="0" w:space="0" w:color="auto"/>
      </w:divBdr>
    </w:div>
    <w:div w:id="1485659934">
      <w:bodyDiv w:val="1"/>
      <w:marLeft w:val="0"/>
      <w:marRight w:val="0"/>
      <w:marTop w:val="0"/>
      <w:marBottom w:val="0"/>
      <w:divBdr>
        <w:top w:val="none" w:sz="0" w:space="0" w:color="auto"/>
        <w:left w:val="none" w:sz="0" w:space="0" w:color="auto"/>
        <w:bottom w:val="none" w:sz="0" w:space="0" w:color="auto"/>
        <w:right w:val="none" w:sz="0" w:space="0" w:color="auto"/>
      </w:divBdr>
    </w:div>
    <w:div w:id="1495990318">
      <w:bodyDiv w:val="1"/>
      <w:marLeft w:val="0"/>
      <w:marRight w:val="0"/>
      <w:marTop w:val="0"/>
      <w:marBottom w:val="0"/>
      <w:divBdr>
        <w:top w:val="none" w:sz="0" w:space="0" w:color="auto"/>
        <w:left w:val="none" w:sz="0" w:space="0" w:color="auto"/>
        <w:bottom w:val="none" w:sz="0" w:space="0" w:color="auto"/>
        <w:right w:val="none" w:sz="0" w:space="0" w:color="auto"/>
      </w:divBdr>
    </w:div>
    <w:div w:id="1502698818">
      <w:bodyDiv w:val="1"/>
      <w:marLeft w:val="0"/>
      <w:marRight w:val="0"/>
      <w:marTop w:val="0"/>
      <w:marBottom w:val="0"/>
      <w:divBdr>
        <w:top w:val="none" w:sz="0" w:space="0" w:color="auto"/>
        <w:left w:val="none" w:sz="0" w:space="0" w:color="auto"/>
        <w:bottom w:val="none" w:sz="0" w:space="0" w:color="auto"/>
        <w:right w:val="none" w:sz="0" w:space="0" w:color="auto"/>
      </w:divBdr>
    </w:div>
    <w:div w:id="1503666386">
      <w:bodyDiv w:val="1"/>
      <w:marLeft w:val="0"/>
      <w:marRight w:val="0"/>
      <w:marTop w:val="0"/>
      <w:marBottom w:val="0"/>
      <w:divBdr>
        <w:top w:val="none" w:sz="0" w:space="0" w:color="auto"/>
        <w:left w:val="none" w:sz="0" w:space="0" w:color="auto"/>
        <w:bottom w:val="none" w:sz="0" w:space="0" w:color="auto"/>
        <w:right w:val="none" w:sz="0" w:space="0" w:color="auto"/>
      </w:divBdr>
    </w:div>
    <w:div w:id="1512137563">
      <w:bodyDiv w:val="1"/>
      <w:marLeft w:val="0"/>
      <w:marRight w:val="0"/>
      <w:marTop w:val="0"/>
      <w:marBottom w:val="0"/>
      <w:divBdr>
        <w:top w:val="none" w:sz="0" w:space="0" w:color="auto"/>
        <w:left w:val="none" w:sz="0" w:space="0" w:color="auto"/>
        <w:bottom w:val="none" w:sz="0" w:space="0" w:color="auto"/>
        <w:right w:val="none" w:sz="0" w:space="0" w:color="auto"/>
      </w:divBdr>
    </w:div>
    <w:div w:id="1519850869">
      <w:bodyDiv w:val="1"/>
      <w:marLeft w:val="0"/>
      <w:marRight w:val="0"/>
      <w:marTop w:val="0"/>
      <w:marBottom w:val="0"/>
      <w:divBdr>
        <w:top w:val="none" w:sz="0" w:space="0" w:color="auto"/>
        <w:left w:val="none" w:sz="0" w:space="0" w:color="auto"/>
        <w:bottom w:val="none" w:sz="0" w:space="0" w:color="auto"/>
        <w:right w:val="none" w:sz="0" w:space="0" w:color="auto"/>
      </w:divBdr>
    </w:div>
    <w:div w:id="1527524878">
      <w:bodyDiv w:val="1"/>
      <w:marLeft w:val="0"/>
      <w:marRight w:val="0"/>
      <w:marTop w:val="0"/>
      <w:marBottom w:val="0"/>
      <w:divBdr>
        <w:top w:val="none" w:sz="0" w:space="0" w:color="auto"/>
        <w:left w:val="none" w:sz="0" w:space="0" w:color="auto"/>
        <w:bottom w:val="none" w:sz="0" w:space="0" w:color="auto"/>
        <w:right w:val="none" w:sz="0" w:space="0" w:color="auto"/>
      </w:divBdr>
    </w:div>
    <w:div w:id="1535535626">
      <w:bodyDiv w:val="1"/>
      <w:marLeft w:val="0"/>
      <w:marRight w:val="0"/>
      <w:marTop w:val="0"/>
      <w:marBottom w:val="0"/>
      <w:divBdr>
        <w:top w:val="none" w:sz="0" w:space="0" w:color="auto"/>
        <w:left w:val="none" w:sz="0" w:space="0" w:color="auto"/>
        <w:bottom w:val="none" w:sz="0" w:space="0" w:color="auto"/>
        <w:right w:val="none" w:sz="0" w:space="0" w:color="auto"/>
      </w:divBdr>
    </w:div>
    <w:div w:id="1538807970">
      <w:bodyDiv w:val="1"/>
      <w:marLeft w:val="0"/>
      <w:marRight w:val="0"/>
      <w:marTop w:val="0"/>
      <w:marBottom w:val="0"/>
      <w:divBdr>
        <w:top w:val="none" w:sz="0" w:space="0" w:color="auto"/>
        <w:left w:val="none" w:sz="0" w:space="0" w:color="auto"/>
        <w:bottom w:val="none" w:sz="0" w:space="0" w:color="auto"/>
        <w:right w:val="none" w:sz="0" w:space="0" w:color="auto"/>
      </w:divBdr>
    </w:div>
    <w:div w:id="1547137420">
      <w:bodyDiv w:val="1"/>
      <w:marLeft w:val="0"/>
      <w:marRight w:val="0"/>
      <w:marTop w:val="0"/>
      <w:marBottom w:val="0"/>
      <w:divBdr>
        <w:top w:val="none" w:sz="0" w:space="0" w:color="auto"/>
        <w:left w:val="none" w:sz="0" w:space="0" w:color="auto"/>
        <w:bottom w:val="none" w:sz="0" w:space="0" w:color="auto"/>
        <w:right w:val="none" w:sz="0" w:space="0" w:color="auto"/>
      </w:divBdr>
    </w:div>
    <w:div w:id="1548567722">
      <w:bodyDiv w:val="1"/>
      <w:marLeft w:val="0"/>
      <w:marRight w:val="0"/>
      <w:marTop w:val="0"/>
      <w:marBottom w:val="0"/>
      <w:divBdr>
        <w:top w:val="none" w:sz="0" w:space="0" w:color="auto"/>
        <w:left w:val="none" w:sz="0" w:space="0" w:color="auto"/>
        <w:bottom w:val="none" w:sz="0" w:space="0" w:color="auto"/>
        <w:right w:val="none" w:sz="0" w:space="0" w:color="auto"/>
      </w:divBdr>
    </w:div>
    <w:div w:id="1548907446">
      <w:bodyDiv w:val="1"/>
      <w:marLeft w:val="0"/>
      <w:marRight w:val="0"/>
      <w:marTop w:val="0"/>
      <w:marBottom w:val="0"/>
      <w:divBdr>
        <w:top w:val="none" w:sz="0" w:space="0" w:color="auto"/>
        <w:left w:val="none" w:sz="0" w:space="0" w:color="auto"/>
        <w:bottom w:val="none" w:sz="0" w:space="0" w:color="auto"/>
        <w:right w:val="none" w:sz="0" w:space="0" w:color="auto"/>
      </w:divBdr>
      <w:divsChild>
        <w:div w:id="213204822">
          <w:marLeft w:val="547"/>
          <w:marRight w:val="0"/>
          <w:marTop w:val="0"/>
          <w:marBottom w:val="0"/>
          <w:divBdr>
            <w:top w:val="none" w:sz="0" w:space="0" w:color="auto"/>
            <w:left w:val="none" w:sz="0" w:space="0" w:color="auto"/>
            <w:bottom w:val="none" w:sz="0" w:space="0" w:color="auto"/>
            <w:right w:val="none" w:sz="0" w:space="0" w:color="auto"/>
          </w:divBdr>
        </w:div>
      </w:divsChild>
    </w:div>
    <w:div w:id="1552644998">
      <w:bodyDiv w:val="1"/>
      <w:marLeft w:val="0"/>
      <w:marRight w:val="0"/>
      <w:marTop w:val="0"/>
      <w:marBottom w:val="0"/>
      <w:divBdr>
        <w:top w:val="none" w:sz="0" w:space="0" w:color="auto"/>
        <w:left w:val="none" w:sz="0" w:space="0" w:color="auto"/>
        <w:bottom w:val="none" w:sz="0" w:space="0" w:color="auto"/>
        <w:right w:val="none" w:sz="0" w:space="0" w:color="auto"/>
      </w:divBdr>
    </w:div>
    <w:div w:id="1563102498">
      <w:bodyDiv w:val="1"/>
      <w:marLeft w:val="0"/>
      <w:marRight w:val="0"/>
      <w:marTop w:val="0"/>
      <w:marBottom w:val="0"/>
      <w:divBdr>
        <w:top w:val="none" w:sz="0" w:space="0" w:color="auto"/>
        <w:left w:val="none" w:sz="0" w:space="0" w:color="auto"/>
        <w:bottom w:val="none" w:sz="0" w:space="0" w:color="auto"/>
        <w:right w:val="none" w:sz="0" w:space="0" w:color="auto"/>
      </w:divBdr>
    </w:div>
    <w:div w:id="1564218944">
      <w:bodyDiv w:val="1"/>
      <w:marLeft w:val="0"/>
      <w:marRight w:val="0"/>
      <w:marTop w:val="0"/>
      <w:marBottom w:val="0"/>
      <w:divBdr>
        <w:top w:val="none" w:sz="0" w:space="0" w:color="auto"/>
        <w:left w:val="none" w:sz="0" w:space="0" w:color="auto"/>
        <w:bottom w:val="none" w:sz="0" w:space="0" w:color="auto"/>
        <w:right w:val="none" w:sz="0" w:space="0" w:color="auto"/>
      </w:divBdr>
    </w:div>
    <w:div w:id="1565875228">
      <w:bodyDiv w:val="1"/>
      <w:marLeft w:val="0"/>
      <w:marRight w:val="0"/>
      <w:marTop w:val="0"/>
      <w:marBottom w:val="0"/>
      <w:divBdr>
        <w:top w:val="none" w:sz="0" w:space="0" w:color="auto"/>
        <w:left w:val="none" w:sz="0" w:space="0" w:color="auto"/>
        <w:bottom w:val="none" w:sz="0" w:space="0" w:color="auto"/>
        <w:right w:val="none" w:sz="0" w:space="0" w:color="auto"/>
      </w:divBdr>
    </w:div>
    <w:div w:id="1580795122">
      <w:bodyDiv w:val="1"/>
      <w:marLeft w:val="0"/>
      <w:marRight w:val="0"/>
      <w:marTop w:val="0"/>
      <w:marBottom w:val="0"/>
      <w:divBdr>
        <w:top w:val="none" w:sz="0" w:space="0" w:color="auto"/>
        <w:left w:val="none" w:sz="0" w:space="0" w:color="auto"/>
        <w:bottom w:val="none" w:sz="0" w:space="0" w:color="auto"/>
        <w:right w:val="none" w:sz="0" w:space="0" w:color="auto"/>
      </w:divBdr>
    </w:div>
    <w:div w:id="1582063838">
      <w:bodyDiv w:val="1"/>
      <w:marLeft w:val="0"/>
      <w:marRight w:val="0"/>
      <w:marTop w:val="0"/>
      <w:marBottom w:val="0"/>
      <w:divBdr>
        <w:top w:val="none" w:sz="0" w:space="0" w:color="auto"/>
        <w:left w:val="none" w:sz="0" w:space="0" w:color="auto"/>
        <w:bottom w:val="none" w:sz="0" w:space="0" w:color="auto"/>
        <w:right w:val="none" w:sz="0" w:space="0" w:color="auto"/>
      </w:divBdr>
    </w:div>
    <w:div w:id="1591573487">
      <w:bodyDiv w:val="1"/>
      <w:marLeft w:val="0"/>
      <w:marRight w:val="0"/>
      <w:marTop w:val="0"/>
      <w:marBottom w:val="0"/>
      <w:divBdr>
        <w:top w:val="none" w:sz="0" w:space="0" w:color="auto"/>
        <w:left w:val="none" w:sz="0" w:space="0" w:color="auto"/>
        <w:bottom w:val="none" w:sz="0" w:space="0" w:color="auto"/>
        <w:right w:val="none" w:sz="0" w:space="0" w:color="auto"/>
      </w:divBdr>
    </w:div>
    <w:div w:id="1597782379">
      <w:bodyDiv w:val="1"/>
      <w:marLeft w:val="0"/>
      <w:marRight w:val="0"/>
      <w:marTop w:val="0"/>
      <w:marBottom w:val="0"/>
      <w:divBdr>
        <w:top w:val="none" w:sz="0" w:space="0" w:color="auto"/>
        <w:left w:val="none" w:sz="0" w:space="0" w:color="auto"/>
        <w:bottom w:val="none" w:sz="0" w:space="0" w:color="auto"/>
        <w:right w:val="none" w:sz="0" w:space="0" w:color="auto"/>
      </w:divBdr>
    </w:div>
    <w:div w:id="1626886501">
      <w:bodyDiv w:val="1"/>
      <w:marLeft w:val="0"/>
      <w:marRight w:val="0"/>
      <w:marTop w:val="0"/>
      <w:marBottom w:val="0"/>
      <w:divBdr>
        <w:top w:val="none" w:sz="0" w:space="0" w:color="auto"/>
        <w:left w:val="none" w:sz="0" w:space="0" w:color="auto"/>
        <w:bottom w:val="none" w:sz="0" w:space="0" w:color="auto"/>
        <w:right w:val="none" w:sz="0" w:space="0" w:color="auto"/>
      </w:divBdr>
    </w:div>
    <w:div w:id="1637486763">
      <w:bodyDiv w:val="1"/>
      <w:marLeft w:val="0"/>
      <w:marRight w:val="0"/>
      <w:marTop w:val="0"/>
      <w:marBottom w:val="0"/>
      <w:divBdr>
        <w:top w:val="none" w:sz="0" w:space="0" w:color="auto"/>
        <w:left w:val="none" w:sz="0" w:space="0" w:color="auto"/>
        <w:bottom w:val="none" w:sz="0" w:space="0" w:color="auto"/>
        <w:right w:val="none" w:sz="0" w:space="0" w:color="auto"/>
      </w:divBdr>
    </w:div>
    <w:div w:id="1640114481">
      <w:bodyDiv w:val="1"/>
      <w:marLeft w:val="0"/>
      <w:marRight w:val="0"/>
      <w:marTop w:val="0"/>
      <w:marBottom w:val="0"/>
      <w:divBdr>
        <w:top w:val="none" w:sz="0" w:space="0" w:color="auto"/>
        <w:left w:val="none" w:sz="0" w:space="0" w:color="auto"/>
        <w:bottom w:val="none" w:sz="0" w:space="0" w:color="auto"/>
        <w:right w:val="none" w:sz="0" w:space="0" w:color="auto"/>
      </w:divBdr>
    </w:div>
    <w:div w:id="1645160346">
      <w:bodyDiv w:val="1"/>
      <w:marLeft w:val="0"/>
      <w:marRight w:val="0"/>
      <w:marTop w:val="0"/>
      <w:marBottom w:val="0"/>
      <w:divBdr>
        <w:top w:val="none" w:sz="0" w:space="0" w:color="auto"/>
        <w:left w:val="none" w:sz="0" w:space="0" w:color="auto"/>
        <w:bottom w:val="none" w:sz="0" w:space="0" w:color="auto"/>
        <w:right w:val="none" w:sz="0" w:space="0" w:color="auto"/>
      </w:divBdr>
    </w:div>
    <w:div w:id="1655066081">
      <w:bodyDiv w:val="1"/>
      <w:marLeft w:val="0"/>
      <w:marRight w:val="0"/>
      <w:marTop w:val="0"/>
      <w:marBottom w:val="0"/>
      <w:divBdr>
        <w:top w:val="none" w:sz="0" w:space="0" w:color="auto"/>
        <w:left w:val="none" w:sz="0" w:space="0" w:color="auto"/>
        <w:bottom w:val="none" w:sz="0" w:space="0" w:color="auto"/>
        <w:right w:val="none" w:sz="0" w:space="0" w:color="auto"/>
      </w:divBdr>
    </w:div>
    <w:div w:id="1658921756">
      <w:bodyDiv w:val="1"/>
      <w:marLeft w:val="0"/>
      <w:marRight w:val="0"/>
      <w:marTop w:val="0"/>
      <w:marBottom w:val="0"/>
      <w:divBdr>
        <w:top w:val="none" w:sz="0" w:space="0" w:color="auto"/>
        <w:left w:val="none" w:sz="0" w:space="0" w:color="auto"/>
        <w:bottom w:val="none" w:sz="0" w:space="0" w:color="auto"/>
        <w:right w:val="none" w:sz="0" w:space="0" w:color="auto"/>
      </w:divBdr>
    </w:div>
    <w:div w:id="1662197917">
      <w:bodyDiv w:val="1"/>
      <w:marLeft w:val="0"/>
      <w:marRight w:val="0"/>
      <w:marTop w:val="0"/>
      <w:marBottom w:val="0"/>
      <w:divBdr>
        <w:top w:val="none" w:sz="0" w:space="0" w:color="auto"/>
        <w:left w:val="none" w:sz="0" w:space="0" w:color="auto"/>
        <w:bottom w:val="none" w:sz="0" w:space="0" w:color="auto"/>
        <w:right w:val="none" w:sz="0" w:space="0" w:color="auto"/>
      </w:divBdr>
    </w:div>
    <w:div w:id="1662344886">
      <w:bodyDiv w:val="1"/>
      <w:marLeft w:val="0"/>
      <w:marRight w:val="0"/>
      <w:marTop w:val="0"/>
      <w:marBottom w:val="0"/>
      <w:divBdr>
        <w:top w:val="none" w:sz="0" w:space="0" w:color="auto"/>
        <w:left w:val="none" w:sz="0" w:space="0" w:color="auto"/>
        <w:bottom w:val="none" w:sz="0" w:space="0" w:color="auto"/>
        <w:right w:val="none" w:sz="0" w:space="0" w:color="auto"/>
      </w:divBdr>
    </w:div>
    <w:div w:id="1666130535">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688168240">
      <w:bodyDiv w:val="1"/>
      <w:marLeft w:val="0"/>
      <w:marRight w:val="0"/>
      <w:marTop w:val="0"/>
      <w:marBottom w:val="0"/>
      <w:divBdr>
        <w:top w:val="none" w:sz="0" w:space="0" w:color="auto"/>
        <w:left w:val="none" w:sz="0" w:space="0" w:color="auto"/>
        <w:bottom w:val="none" w:sz="0" w:space="0" w:color="auto"/>
        <w:right w:val="none" w:sz="0" w:space="0" w:color="auto"/>
      </w:divBdr>
    </w:div>
    <w:div w:id="1709407642">
      <w:bodyDiv w:val="1"/>
      <w:marLeft w:val="0"/>
      <w:marRight w:val="0"/>
      <w:marTop w:val="0"/>
      <w:marBottom w:val="0"/>
      <w:divBdr>
        <w:top w:val="none" w:sz="0" w:space="0" w:color="auto"/>
        <w:left w:val="none" w:sz="0" w:space="0" w:color="auto"/>
        <w:bottom w:val="none" w:sz="0" w:space="0" w:color="auto"/>
        <w:right w:val="none" w:sz="0" w:space="0" w:color="auto"/>
      </w:divBdr>
    </w:div>
    <w:div w:id="1718506264">
      <w:bodyDiv w:val="1"/>
      <w:marLeft w:val="0"/>
      <w:marRight w:val="0"/>
      <w:marTop w:val="0"/>
      <w:marBottom w:val="0"/>
      <w:divBdr>
        <w:top w:val="none" w:sz="0" w:space="0" w:color="auto"/>
        <w:left w:val="none" w:sz="0" w:space="0" w:color="auto"/>
        <w:bottom w:val="none" w:sz="0" w:space="0" w:color="auto"/>
        <w:right w:val="none" w:sz="0" w:space="0" w:color="auto"/>
      </w:divBdr>
    </w:div>
    <w:div w:id="1719818238">
      <w:bodyDiv w:val="1"/>
      <w:marLeft w:val="0"/>
      <w:marRight w:val="0"/>
      <w:marTop w:val="0"/>
      <w:marBottom w:val="0"/>
      <w:divBdr>
        <w:top w:val="none" w:sz="0" w:space="0" w:color="auto"/>
        <w:left w:val="none" w:sz="0" w:space="0" w:color="auto"/>
        <w:bottom w:val="none" w:sz="0" w:space="0" w:color="auto"/>
        <w:right w:val="none" w:sz="0" w:space="0" w:color="auto"/>
      </w:divBdr>
    </w:div>
    <w:div w:id="1727752371">
      <w:bodyDiv w:val="1"/>
      <w:marLeft w:val="0"/>
      <w:marRight w:val="0"/>
      <w:marTop w:val="0"/>
      <w:marBottom w:val="0"/>
      <w:divBdr>
        <w:top w:val="none" w:sz="0" w:space="0" w:color="auto"/>
        <w:left w:val="none" w:sz="0" w:space="0" w:color="auto"/>
        <w:bottom w:val="none" w:sz="0" w:space="0" w:color="auto"/>
        <w:right w:val="none" w:sz="0" w:space="0" w:color="auto"/>
      </w:divBdr>
    </w:div>
    <w:div w:id="1741444804">
      <w:bodyDiv w:val="1"/>
      <w:marLeft w:val="0"/>
      <w:marRight w:val="0"/>
      <w:marTop w:val="0"/>
      <w:marBottom w:val="0"/>
      <w:divBdr>
        <w:top w:val="none" w:sz="0" w:space="0" w:color="auto"/>
        <w:left w:val="none" w:sz="0" w:space="0" w:color="auto"/>
        <w:bottom w:val="none" w:sz="0" w:space="0" w:color="auto"/>
        <w:right w:val="none" w:sz="0" w:space="0" w:color="auto"/>
      </w:divBdr>
    </w:div>
    <w:div w:id="1743218703">
      <w:bodyDiv w:val="1"/>
      <w:marLeft w:val="0"/>
      <w:marRight w:val="0"/>
      <w:marTop w:val="0"/>
      <w:marBottom w:val="0"/>
      <w:divBdr>
        <w:top w:val="none" w:sz="0" w:space="0" w:color="auto"/>
        <w:left w:val="none" w:sz="0" w:space="0" w:color="auto"/>
        <w:bottom w:val="none" w:sz="0" w:space="0" w:color="auto"/>
        <w:right w:val="none" w:sz="0" w:space="0" w:color="auto"/>
      </w:divBdr>
    </w:div>
    <w:div w:id="1744378831">
      <w:bodyDiv w:val="1"/>
      <w:marLeft w:val="0"/>
      <w:marRight w:val="0"/>
      <w:marTop w:val="0"/>
      <w:marBottom w:val="0"/>
      <w:divBdr>
        <w:top w:val="none" w:sz="0" w:space="0" w:color="auto"/>
        <w:left w:val="none" w:sz="0" w:space="0" w:color="auto"/>
        <w:bottom w:val="none" w:sz="0" w:space="0" w:color="auto"/>
        <w:right w:val="none" w:sz="0" w:space="0" w:color="auto"/>
      </w:divBdr>
    </w:div>
    <w:div w:id="1747805241">
      <w:bodyDiv w:val="1"/>
      <w:marLeft w:val="0"/>
      <w:marRight w:val="0"/>
      <w:marTop w:val="0"/>
      <w:marBottom w:val="0"/>
      <w:divBdr>
        <w:top w:val="none" w:sz="0" w:space="0" w:color="auto"/>
        <w:left w:val="none" w:sz="0" w:space="0" w:color="auto"/>
        <w:bottom w:val="none" w:sz="0" w:space="0" w:color="auto"/>
        <w:right w:val="none" w:sz="0" w:space="0" w:color="auto"/>
      </w:divBdr>
    </w:div>
    <w:div w:id="1752388910">
      <w:bodyDiv w:val="1"/>
      <w:marLeft w:val="0"/>
      <w:marRight w:val="0"/>
      <w:marTop w:val="0"/>
      <w:marBottom w:val="0"/>
      <w:divBdr>
        <w:top w:val="none" w:sz="0" w:space="0" w:color="auto"/>
        <w:left w:val="none" w:sz="0" w:space="0" w:color="auto"/>
        <w:bottom w:val="none" w:sz="0" w:space="0" w:color="auto"/>
        <w:right w:val="none" w:sz="0" w:space="0" w:color="auto"/>
      </w:divBdr>
    </w:div>
    <w:div w:id="1808088059">
      <w:bodyDiv w:val="1"/>
      <w:marLeft w:val="0"/>
      <w:marRight w:val="0"/>
      <w:marTop w:val="0"/>
      <w:marBottom w:val="0"/>
      <w:divBdr>
        <w:top w:val="none" w:sz="0" w:space="0" w:color="auto"/>
        <w:left w:val="none" w:sz="0" w:space="0" w:color="auto"/>
        <w:bottom w:val="none" w:sz="0" w:space="0" w:color="auto"/>
        <w:right w:val="none" w:sz="0" w:space="0" w:color="auto"/>
      </w:divBdr>
    </w:div>
    <w:div w:id="1860850651">
      <w:bodyDiv w:val="1"/>
      <w:marLeft w:val="0"/>
      <w:marRight w:val="0"/>
      <w:marTop w:val="0"/>
      <w:marBottom w:val="0"/>
      <w:divBdr>
        <w:top w:val="none" w:sz="0" w:space="0" w:color="auto"/>
        <w:left w:val="none" w:sz="0" w:space="0" w:color="auto"/>
        <w:bottom w:val="none" w:sz="0" w:space="0" w:color="auto"/>
        <w:right w:val="none" w:sz="0" w:space="0" w:color="auto"/>
      </w:divBdr>
    </w:div>
    <w:div w:id="1860972933">
      <w:bodyDiv w:val="1"/>
      <w:marLeft w:val="0"/>
      <w:marRight w:val="0"/>
      <w:marTop w:val="0"/>
      <w:marBottom w:val="0"/>
      <w:divBdr>
        <w:top w:val="none" w:sz="0" w:space="0" w:color="auto"/>
        <w:left w:val="none" w:sz="0" w:space="0" w:color="auto"/>
        <w:bottom w:val="none" w:sz="0" w:space="0" w:color="auto"/>
        <w:right w:val="none" w:sz="0" w:space="0" w:color="auto"/>
      </w:divBdr>
    </w:div>
    <w:div w:id="1871258450">
      <w:bodyDiv w:val="1"/>
      <w:marLeft w:val="0"/>
      <w:marRight w:val="0"/>
      <w:marTop w:val="0"/>
      <w:marBottom w:val="0"/>
      <w:divBdr>
        <w:top w:val="none" w:sz="0" w:space="0" w:color="auto"/>
        <w:left w:val="none" w:sz="0" w:space="0" w:color="auto"/>
        <w:bottom w:val="none" w:sz="0" w:space="0" w:color="auto"/>
        <w:right w:val="none" w:sz="0" w:space="0" w:color="auto"/>
      </w:divBdr>
    </w:div>
    <w:div w:id="1882941949">
      <w:bodyDiv w:val="1"/>
      <w:marLeft w:val="0"/>
      <w:marRight w:val="0"/>
      <w:marTop w:val="0"/>
      <w:marBottom w:val="0"/>
      <w:divBdr>
        <w:top w:val="none" w:sz="0" w:space="0" w:color="auto"/>
        <w:left w:val="none" w:sz="0" w:space="0" w:color="auto"/>
        <w:bottom w:val="none" w:sz="0" w:space="0" w:color="auto"/>
        <w:right w:val="none" w:sz="0" w:space="0" w:color="auto"/>
      </w:divBdr>
    </w:div>
    <w:div w:id="1889217687">
      <w:bodyDiv w:val="1"/>
      <w:marLeft w:val="0"/>
      <w:marRight w:val="0"/>
      <w:marTop w:val="0"/>
      <w:marBottom w:val="0"/>
      <w:divBdr>
        <w:top w:val="none" w:sz="0" w:space="0" w:color="auto"/>
        <w:left w:val="none" w:sz="0" w:space="0" w:color="auto"/>
        <w:bottom w:val="none" w:sz="0" w:space="0" w:color="auto"/>
        <w:right w:val="none" w:sz="0" w:space="0" w:color="auto"/>
      </w:divBdr>
    </w:div>
    <w:div w:id="1891721608">
      <w:bodyDiv w:val="1"/>
      <w:marLeft w:val="0"/>
      <w:marRight w:val="0"/>
      <w:marTop w:val="0"/>
      <w:marBottom w:val="0"/>
      <w:divBdr>
        <w:top w:val="none" w:sz="0" w:space="0" w:color="auto"/>
        <w:left w:val="none" w:sz="0" w:space="0" w:color="auto"/>
        <w:bottom w:val="none" w:sz="0" w:space="0" w:color="auto"/>
        <w:right w:val="none" w:sz="0" w:space="0" w:color="auto"/>
      </w:divBdr>
    </w:div>
    <w:div w:id="1898971411">
      <w:bodyDiv w:val="1"/>
      <w:marLeft w:val="0"/>
      <w:marRight w:val="0"/>
      <w:marTop w:val="0"/>
      <w:marBottom w:val="0"/>
      <w:divBdr>
        <w:top w:val="none" w:sz="0" w:space="0" w:color="auto"/>
        <w:left w:val="none" w:sz="0" w:space="0" w:color="auto"/>
        <w:bottom w:val="none" w:sz="0" w:space="0" w:color="auto"/>
        <w:right w:val="none" w:sz="0" w:space="0" w:color="auto"/>
      </w:divBdr>
    </w:div>
    <w:div w:id="1901213103">
      <w:bodyDiv w:val="1"/>
      <w:marLeft w:val="0"/>
      <w:marRight w:val="0"/>
      <w:marTop w:val="0"/>
      <w:marBottom w:val="0"/>
      <w:divBdr>
        <w:top w:val="none" w:sz="0" w:space="0" w:color="auto"/>
        <w:left w:val="none" w:sz="0" w:space="0" w:color="auto"/>
        <w:bottom w:val="none" w:sz="0" w:space="0" w:color="auto"/>
        <w:right w:val="none" w:sz="0" w:space="0" w:color="auto"/>
      </w:divBdr>
    </w:div>
    <w:div w:id="1906254413">
      <w:bodyDiv w:val="1"/>
      <w:marLeft w:val="0"/>
      <w:marRight w:val="0"/>
      <w:marTop w:val="0"/>
      <w:marBottom w:val="0"/>
      <w:divBdr>
        <w:top w:val="none" w:sz="0" w:space="0" w:color="auto"/>
        <w:left w:val="none" w:sz="0" w:space="0" w:color="auto"/>
        <w:bottom w:val="none" w:sz="0" w:space="0" w:color="auto"/>
        <w:right w:val="none" w:sz="0" w:space="0" w:color="auto"/>
      </w:divBdr>
    </w:div>
    <w:div w:id="1908683370">
      <w:bodyDiv w:val="1"/>
      <w:marLeft w:val="0"/>
      <w:marRight w:val="0"/>
      <w:marTop w:val="0"/>
      <w:marBottom w:val="0"/>
      <w:divBdr>
        <w:top w:val="none" w:sz="0" w:space="0" w:color="auto"/>
        <w:left w:val="none" w:sz="0" w:space="0" w:color="auto"/>
        <w:bottom w:val="none" w:sz="0" w:space="0" w:color="auto"/>
        <w:right w:val="none" w:sz="0" w:space="0" w:color="auto"/>
      </w:divBdr>
    </w:div>
    <w:div w:id="1931811345">
      <w:bodyDiv w:val="1"/>
      <w:marLeft w:val="0"/>
      <w:marRight w:val="0"/>
      <w:marTop w:val="0"/>
      <w:marBottom w:val="0"/>
      <w:divBdr>
        <w:top w:val="none" w:sz="0" w:space="0" w:color="auto"/>
        <w:left w:val="none" w:sz="0" w:space="0" w:color="auto"/>
        <w:bottom w:val="none" w:sz="0" w:space="0" w:color="auto"/>
        <w:right w:val="none" w:sz="0" w:space="0" w:color="auto"/>
      </w:divBdr>
    </w:div>
    <w:div w:id="1942448341">
      <w:bodyDiv w:val="1"/>
      <w:marLeft w:val="0"/>
      <w:marRight w:val="0"/>
      <w:marTop w:val="0"/>
      <w:marBottom w:val="0"/>
      <w:divBdr>
        <w:top w:val="none" w:sz="0" w:space="0" w:color="auto"/>
        <w:left w:val="none" w:sz="0" w:space="0" w:color="auto"/>
        <w:bottom w:val="none" w:sz="0" w:space="0" w:color="auto"/>
        <w:right w:val="none" w:sz="0" w:space="0" w:color="auto"/>
      </w:divBdr>
    </w:div>
    <w:div w:id="1964725441">
      <w:bodyDiv w:val="1"/>
      <w:marLeft w:val="0"/>
      <w:marRight w:val="0"/>
      <w:marTop w:val="0"/>
      <w:marBottom w:val="0"/>
      <w:divBdr>
        <w:top w:val="none" w:sz="0" w:space="0" w:color="auto"/>
        <w:left w:val="none" w:sz="0" w:space="0" w:color="auto"/>
        <w:bottom w:val="none" w:sz="0" w:space="0" w:color="auto"/>
        <w:right w:val="none" w:sz="0" w:space="0" w:color="auto"/>
      </w:divBdr>
    </w:div>
    <w:div w:id="1966497983">
      <w:bodyDiv w:val="1"/>
      <w:marLeft w:val="0"/>
      <w:marRight w:val="0"/>
      <w:marTop w:val="0"/>
      <w:marBottom w:val="0"/>
      <w:divBdr>
        <w:top w:val="none" w:sz="0" w:space="0" w:color="auto"/>
        <w:left w:val="none" w:sz="0" w:space="0" w:color="auto"/>
        <w:bottom w:val="none" w:sz="0" w:space="0" w:color="auto"/>
        <w:right w:val="none" w:sz="0" w:space="0" w:color="auto"/>
      </w:divBdr>
    </w:div>
    <w:div w:id="1968930460">
      <w:bodyDiv w:val="1"/>
      <w:marLeft w:val="0"/>
      <w:marRight w:val="0"/>
      <w:marTop w:val="0"/>
      <w:marBottom w:val="0"/>
      <w:divBdr>
        <w:top w:val="none" w:sz="0" w:space="0" w:color="auto"/>
        <w:left w:val="none" w:sz="0" w:space="0" w:color="auto"/>
        <w:bottom w:val="none" w:sz="0" w:space="0" w:color="auto"/>
        <w:right w:val="none" w:sz="0" w:space="0" w:color="auto"/>
      </w:divBdr>
    </w:div>
    <w:div w:id="1974169329">
      <w:bodyDiv w:val="1"/>
      <w:marLeft w:val="0"/>
      <w:marRight w:val="0"/>
      <w:marTop w:val="0"/>
      <w:marBottom w:val="0"/>
      <w:divBdr>
        <w:top w:val="none" w:sz="0" w:space="0" w:color="auto"/>
        <w:left w:val="none" w:sz="0" w:space="0" w:color="auto"/>
        <w:bottom w:val="none" w:sz="0" w:space="0" w:color="auto"/>
        <w:right w:val="none" w:sz="0" w:space="0" w:color="auto"/>
      </w:divBdr>
    </w:div>
    <w:div w:id="1981299922">
      <w:bodyDiv w:val="1"/>
      <w:marLeft w:val="0"/>
      <w:marRight w:val="0"/>
      <w:marTop w:val="0"/>
      <w:marBottom w:val="0"/>
      <w:divBdr>
        <w:top w:val="none" w:sz="0" w:space="0" w:color="auto"/>
        <w:left w:val="none" w:sz="0" w:space="0" w:color="auto"/>
        <w:bottom w:val="none" w:sz="0" w:space="0" w:color="auto"/>
        <w:right w:val="none" w:sz="0" w:space="0" w:color="auto"/>
      </w:divBdr>
    </w:div>
    <w:div w:id="1997218106">
      <w:bodyDiv w:val="1"/>
      <w:marLeft w:val="0"/>
      <w:marRight w:val="0"/>
      <w:marTop w:val="0"/>
      <w:marBottom w:val="0"/>
      <w:divBdr>
        <w:top w:val="none" w:sz="0" w:space="0" w:color="auto"/>
        <w:left w:val="none" w:sz="0" w:space="0" w:color="auto"/>
        <w:bottom w:val="none" w:sz="0" w:space="0" w:color="auto"/>
        <w:right w:val="none" w:sz="0" w:space="0" w:color="auto"/>
      </w:divBdr>
    </w:div>
    <w:div w:id="2006744084">
      <w:bodyDiv w:val="1"/>
      <w:marLeft w:val="0"/>
      <w:marRight w:val="0"/>
      <w:marTop w:val="0"/>
      <w:marBottom w:val="0"/>
      <w:divBdr>
        <w:top w:val="none" w:sz="0" w:space="0" w:color="auto"/>
        <w:left w:val="none" w:sz="0" w:space="0" w:color="auto"/>
        <w:bottom w:val="none" w:sz="0" w:space="0" w:color="auto"/>
        <w:right w:val="none" w:sz="0" w:space="0" w:color="auto"/>
      </w:divBdr>
    </w:div>
    <w:div w:id="2013024558">
      <w:bodyDiv w:val="1"/>
      <w:marLeft w:val="0"/>
      <w:marRight w:val="0"/>
      <w:marTop w:val="0"/>
      <w:marBottom w:val="0"/>
      <w:divBdr>
        <w:top w:val="none" w:sz="0" w:space="0" w:color="auto"/>
        <w:left w:val="none" w:sz="0" w:space="0" w:color="auto"/>
        <w:bottom w:val="none" w:sz="0" w:space="0" w:color="auto"/>
        <w:right w:val="none" w:sz="0" w:space="0" w:color="auto"/>
      </w:divBdr>
    </w:div>
    <w:div w:id="2015645682">
      <w:bodyDiv w:val="1"/>
      <w:marLeft w:val="0"/>
      <w:marRight w:val="0"/>
      <w:marTop w:val="0"/>
      <w:marBottom w:val="0"/>
      <w:divBdr>
        <w:top w:val="none" w:sz="0" w:space="0" w:color="auto"/>
        <w:left w:val="none" w:sz="0" w:space="0" w:color="auto"/>
        <w:bottom w:val="none" w:sz="0" w:space="0" w:color="auto"/>
        <w:right w:val="none" w:sz="0" w:space="0" w:color="auto"/>
      </w:divBdr>
    </w:div>
    <w:div w:id="2020427462">
      <w:bodyDiv w:val="1"/>
      <w:marLeft w:val="0"/>
      <w:marRight w:val="0"/>
      <w:marTop w:val="0"/>
      <w:marBottom w:val="0"/>
      <w:divBdr>
        <w:top w:val="none" w:sz="0" w:space="0" w:color="auto"/>
        <w:left w:val="none" w:sz="0" w:space="0" w:color="auto"/>
        <w:bottom w:val="none" w:sz="0" w:space="0" w:color="auto"/>
        <w:right w:val="none" w:sz="0" w:space="0" w:color="auto"/>
      </w:divBdr>
    </w:div>
    <w:div w:id="2026049910">
      <w:bodyDiv w:val="1"/>
      <w:marLeft w:val="0"/>
      <w:marRight w:val="0"/>
      <w:marTop w:val="0"/>
      <w:marBottom w:val="0"/>
      <w:divBdr>
        <w:top w:val="none" w:sz="0" w:space="0" w:color="auto"/>
        <w:left w:val="none" w:sz="0" w:space="0" w:color="auto"/>
        <w:bottom w:val="none" w:sz="0" w:space="0" w:color="auto"/>
        <w:right w:val="none" w:sz="0" w:space="0" w:color="auto"/>
      </w:divBdr>
    </w:div>
    <w:div w:id="2031643347">
      <w:bodyDiv w:val="1"/>
      <w:marLeft w:val="0"/>
      <w:marRight w:val="0"/>
      <w:marTop w:val="0"/>
      <w:marBottom w:val="0"/>
      <w:divBdr>
        <w:top w:val="none" w:sz="0" w:space="0" w:color="auto"/>
        <w:left w:val="none" w:sz="0" w:space="0" w:color="auto"/>
        <w:bottom w:val="none" w:sz="0" w:space="0" w:color="auto"/>
        <w:right w:val="none" w:sz="0" w:space="0" w:color="auto"/>
      </w:divBdr>
    </w:div>
    <w:div w:id="2049180794">
      <w:bodyDiv w:val="1"/>
      <w:marLeft w:val="0"/>
      <w:marRight w:val="0"/>
      <w:marTop w:val="0"/>
      <w:marBottom w:val="0"/>
      <w:divBdr>
        <w:top w:val="none" w:sz="0" w:space="0" w:color="auto"/>
        <w:left w:val="none" w:sz="0" w:space="0" w:color="auto"/>
        <w:bottom w:val="none" w:sz="0" w:space="0" w:color="auto"/>
        <w:right w:val="none" w:sz="0" w:space="0" w:color="auto"/>
      </w:divBdr>
    </w:div>
    <w:div w:id="2051032334">
      <w:bodyDiv w:val="1"/>
      <w:marLeft w:val="0"/>
      <w:marRight w:val="0"/>
      <w:marTop w:val="0"/>
      <w:marBottom w:val="0"/>
      <w:divBdr>
        <w:top w:val="none" w:sz="0" w:space="0" w:color="auto"/>
        <w:left w:val="none" w:sz="0" w:space="0" w:color="auto"/>
        <w:bottom w:val="none" w:sz="0" w:space="0" w:color="auto"/>
        <w:right w:val="none" w:sz="0" w:space="0" w:color="auto"/>
      </w:divBdr>
    </w:div>
    <w:div w:id="2080244666">
      <w:bodyDiv w:val="1"/>
      <w:marLeft w:val="0"/>
      <w:marRight w:val="0"/>
      <w:marTop w:val="0"/>
      <w:marBottom w:val="0"/>
      <w:divBdr>
        <w:top w:val="none" w:sz="0" w:space="0" w:color="auto"/>
        <w:left w:val="none" w:sz="0" w:space="0" w:color="auto"/>
        <w:bottom w:val="none" w:sz="0" w:space="0" w:color="auto"/>
        <w:right w:val="none" w:sz="0" w:space="0" w:color="auto"/>
      </w:divBdr>
    </w:div>
    <w:div w:id="2084372648">
      <w:bodyDiv w:val="1"/>
      <w:marLeft w:val="0"/>
      <w:marRight w:val="0"/>
      <w:marTop w:val="0"/>
      <w:marBottom w:val="0"/>
      <w:divBdr>
        <w:top w:val="none" w:sz="0" w:space="0" w:color="auto"/>
        <w:left w:val="none" w:sz="0" w:space="0" w:color="auto"/>
        <w:bottom w:val="none" w:sz="0" w:space="0" w:color="auto"/>
        <w:right w:val="none" w:sz="0" w:space="0" w:color="auto"/>
      </w:divBdr>
    </w:div>
    <w:div w:id="2093158485">
      <w:bodyDiv w:val="1"/>
      <w:marLeft w:val="0"/>
      <w:marRight w:val="0"/>
      <w:marTop w:val="0"/>
      <w:marBottom w:val="0"/>
      <w:divBdr>
        <w:top w:val="none" w:sz="0" w:space="0" w:color="auto"/>
        <w:left w:val="none" w:sz="0" w:space="0" w:color="auto"/>
        <w:bottom w:val="none" w:sz="0" w:space="0" w:color="auto"/>
        <w:right w:val="none" w:sz="0" w:space="0" w:color="auto"/>
      </w:divBdr>
    </w:div>
    <w:div w:id="2100756748">
      <w:bodyDiv w:val="1"/>
      <w:marLeft w:val="0"/>
      <w:marRight w:val="0"/>
      <w:marTop w:val="0"/>
      <w:marBottom w:val="0"/>
      <w:divBdr>
        <w:top w:val="none" w:sz="0" w:space="0" w:color="auto"/>
        <w:left w:val="none" w:sz="0" w:space="0" w:color="auto"/>
        <w:bottom w:val="none" w:sz="0" w:space="0" w:color="auto"/>
        <w:right w:val="none" w:sz="0" w:space="0" w:color="auto"/>
      </w:divBdr>
    </w:div>
    <w:div w:id="2107534260">
      <w:bodyDiv w:val="1"/>
      <w:marLeft w:val="0"/>
      <w:marRight w:val="0"/>
      <w:marTop w:val="0"/>
      <w:marBottom w:val="0"/>
      <w:divBdr>
        <w:top w:val="none" w:sz="0" w:space="0" w:color="auto"/>
        <w:left w:val="none" w:sz="0" w:space="0" w:color="auto"/>
        <w:bottom w:val="none" w:sz="0" w:space="0" w:color="auto"/>
        <w:right w:val="none" w:sz="0" w:space="0" w:color="auto"/>
      </w:divBdr>
      <w:divsChild>
        <w:div w:id="357631807">
          <w:marLeft w:val="547"/>
          <w:marRight w:val="0"/>
          <w:marTop w:val="0"/>
          <w:marBottom w:val="0"/>
          <w:divBdr>
            <w:top w:val="none" w:sz="0" w:space="0" w:color="auto"/>
            <w:left w:val="none" w:sz="0" w:space="0" w:color="auto"/>
            <w:bottom w:val="none" w:sz="0" w:space="0" w:color="auto"/>
            <w:right w:val="none" w:sz="0" w:space="0" w:color="auto"/>
          </w:divBdr>
        </w:div>
      </w:divsChild>
    </w:div>
    <w:div w:id="2109226164">
      <w:bodyDiv w:val="1"/>
      <w:marLeft w:val="0"/>
      <w:marRight w:val="0"/>
      <w:marTop w:val="0"/>
      <w:marBottom w:val="0"/>
      <w:divBdr>
        <w:top w:val="none" w:sz="0" w:space="0" w:color="auto"/>
        <w:left w:val="none" w:sz="0" w:space="0" w:color="auto"/>
        <w:bottom w:val="none" w:sz="0" w:space="0" w:color="auto"/>
        <w:right w:val="none" w:sz="0" w:space="0" w:color="auto"/>
      </w:divBdr>
    </w:div>
    <w:div w:id="2113353043">
      <w:bodyDiv w:val="1"/>
      <w:marLeft w:val="0"/>
      <w:marRight w:val="0"/>
      <w:marTop w:val="0"/>
      <w:marBottom w:val="0"/>
      <w:divBdr>
        <w:top w:val="none" w:sz="0" w:space="0" w:color="auto"/>
        <w:left w:val="none" w:sz="0" w:space="0" w:color="auto"/>
        <w:bottom w:val="none" w:sz="0" w:space="0" w:color="auto"/>
        <w:right w:val="none" w:sz="0" w:space="0" w:color="auto"/>
      </w:divBdr>
    </w:div>
    <w:div w:id="2114859175">
      <w:bodyDiv w:val="1"/>
      <w:marLeft w:val="0"/>
      <w:marRight w:val="0"/>
      <w:marTop w:val="0"/>
      <w:marBottom w:val="0"/>
      <w:divBdr>
        <w:top w:val="none" w:sz="0" w:space="0" w:color="auto"/>
        <w:left w:val="none" w:sz="0" w:space="0" w:color="auto"/>
        <w:bottom w:val="none" w:sz="0" w:space="0" w:color="auto"/>
        <w:right w:val="none" w:sz="0" w:space="0" w:color="auto"/>
      </w:divBdr>
    </w:div>
    <w:div w:id="2127384713">
      <w:bodyDiv w:val="1"/>
      <w:marLeft w:val="0"/>
      <w:marRight w:val="0"/>
      <w:marTop w:val="0"/>
      <w:marBottom w:val="0"/>
      <w:divBdr>
        <w:top w:val="none" w:sz="0" w:space="0" w:color="auto"/>
        <w:left w:val="none" w:sz="0" w:space="0" w:color="auto"/>
        <w:bottom w:val="none" w:sz="0" w:space="0" w:color="auto"/>
        <w:right w:val="none" w:sz="0" w:space="0" w:color="auto"/>
      </w:divBdr>
    </w:div>
    <w:div w:id="2128036555">
      <w:bodyDiv w:val="1"/>
      <w:marLeft w:val="0"/>
      <w:marRight w:val="0"/>
      <w:marTop w:val="0"/>
      <w:marBottom w:val="0"/>
      <w:divBdr>
        <w:top w:val="none" w:sz="0" w:space="0" w:color="auto"/>
        <w:left w:val="none" w:sz="0" w:space="0" w:color="auto"/>
        <w:bottom w:val="none" w:sz="0" w:space="0" w:color="auto"/>
        <w:right w:val="none" w:sz="0" w:space="0" w:color="auto"/>
      </w:divBdr>
    </w:div>
    <w:div w:id="21388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image" Target="media/image3.png"/><Relationship Id="rId39" Type="http://schemas.openxmlformats.org/officeDocument/2006/relationships/image" Target="media/image14.png"/><Relationship Id="rId21" Type="http://schemas.openxmlformats.org/officeDocument/2006/relationships/diagramData" Target="diagrams/data2.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eader" Target="header3.xml"/><Relationship Id="rId11" Type="http://schemas.openxmlformats.org/officeDocument/2006/relationships/image" Target="media/image2.jpeg"/><Relationship Id="rId24" Type="http://schemas.openxmlformats.org/officeDocument/2006/relationships/diagramColors" Target="diagrams/colors2.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diagramLayout" Target="diagrams/layout2.xm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8" Type="http://schemas.openxmlformats.org/officeDocument/2006/relationships/header" Target="header1.xm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0" Type="http://schemas.microsoft.com/office/2007/relationships/diagramDrawing" Target="diagrams/drawing1.xml"/><Relationship Id="rId41" Type="http://schemas.openxmlformats.org/officeDocument/2006/relationships/image" Target="media/image16.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diagramQuickStyle" Target="diagrams/quickStyle2.xml"/><Relationship Id="rId28" Type="http://schemas.openxmlformats.org/officeDocument/2006/relationships/image" Target="media/image5.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34C09-2300-40F3-A253-83922B1F37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16C321A4-4E3B-4FC0-BE74-4CD317E7CDBB}">
      <dgm:prSet phldrT="[Text]" custT="1"/>
      <dgm:spPr>
        <a:solidFill>
          <a:srgbClr val="002060"/>
        </a:solidFill>
      </dgm:spPr>
      <dgm:t>
        <a:bodyPr/>
        <a:lstStyle/>
        <a:p>
          <a:pPr algn="l"/>
          <a:r>
            <a:rPr lang="en-GB" sz="900" b="1"/>
            <a:t>Interview of general experts</a:t>
          </a:r>
        </a:p>
      </dgm:t>
    </dgm:pt>
    <dgm:pt modelId="{16CDE65B-3525-439B-A631-AE523484558F}" type="parTrans" cxnId="{6004723C-EEC8-4E45-AADC-76A2E64C3D9E}">
      <dgm:prSet/>
      <dgm:spPr/>
      <dgm:t>
        <a:bodyPr/>
        <a:lstStyle/>
        <a:p>
          <a:pPr algn="l"/>
          <a:endParaRPr lang="en-GB" sz="2000"/>
        </a:p>
      </dgm:t>
    </dgm:pt>
    <dgm:pt modelId="{311A5D91-3807-40E4-BA17-A0247B6930CE}" type="sibTrans" cxnId="{6004723C-EEC8-4E45-AADC-76A2E64C3D9E}">
      <dgm:prSet/>
      <dgm:spPr/>
      <dgm:t>
        <a:bodyPr/>
        <a:lstStyle/>
        <a:p>
          <a:pPr algn="l"/>
          <a:endParaRPr lang="en-GB" sz="2000"/>
        </a:p>
      </dgm:t>
    </dgm:pt>
    <dgm:pt modelId="{1BA9B573-976A-427B-AD52-D9A9B7B2900B}">
      <dgm:prSet phldrT="[Text]" custT="1"/>
      <dgm:spPr>
        <a:solidFill>
          <a:srgbClr val="002060"/>
        </a:solidFill>
      </dgm:spPr>
      <dgm:t>
        <a:bodyPr/>
        <a:lstStyle/>
        <a:p>
          <a:pPr algn="l"/>
          <a:r>
            <a:rPr lang="en-GB" sz="900" b="1"/>
            <a:t>Interview of experts in subsectors</a:t>
          </a:r>
        </a:p>
      </dgm:t>
    </dgm:pt>
    <dgm:pt modelId="{FD09F8ED-1663-4E15-9335-650E58CF784E}" type="parTrans" cxnId="{A3D041F2-C023-4178-8D8E-9817CB32380C}">
      <dgm:prSet/>
      <dgm:spPr/>
      <dgm:t>
        <a:bodyPr/>
        <a:lstStyle/>
        <a:p>
          <a:pPr algn="l"/>
          <a:endParaRPr lang="en-GB" sz="2000"/>
        </a:p>
      </dgm:t>
    </dgm:pt>
    <dgm:pt modelId="{82126C64-7B19-4563-AD6B-3864EE827721}" type="sibTrans" cxnId="{A3D041F2-C023-4178-8D8E-9817CB32380C}">
      <dgm:prSet/>
      <dgm:spPr/>
      <dgm:t>
        <a:bodyPr/>
        <a:lstStyle/>
        <a:p>
          <a:pPr algn="l"/>
          <a:endParaRPr lang="en-GB" sz="2000"/>
        </a:p>
      </dgm:t>
    </dgm:pt>
    <dgm:pt modelId="{64BDB29F-067F-4327-99B4-85319231415D}">
      <dgm:prSet phldrT="[Text]" custT="1"/>
      <dgm:spPr/>
      <dgm:t>
        <a:bodyPr/>
        <a:lstStyle/>
        <a:p>
          <a:pPr algn="just"/>
          <a:r>
            <a:rPr lang="en-GB" sz="900" b="1"/>
            <a:t>Objects of the study: </a:t>
          </a:r>
          <a:r>
            <a:rPr lang="en-GB" sz="900"/>
            <a:t>factors affecting changes in costs of labour force and construction materials; forecasts of changes in construction costs; impact of shadow economy combating measures; impact of volumes of construction products on costs and the average profit margin of the sector.</a:t>
          </a:r>
        </a:p>
      </dgm:t>
    </dgm:pt>
    <dgm:pt modelId="{9BC7372C-6994-475C-BCD4-865EB7D9D693}" type="parTrans" cxnId="{3EC62722-757D-4BC6-B878-3DDD2B539C4F}">
      <dgm:prSet/>
      <dgm:spPr/>
      <dgm:t>
        <a:bodyPr/>
        <a:lstStyle/>
        <a:p>
          <a:pPr algn="l"/>
          <a:endParaRPr lang="en-GB" sz="2000"/>
        </a:p>
      </dgm:t>
    </dgm:pt>
    <dgm:pt modelId="{B1EA7C28-0583-4D05-8B33-F966A784160B}" type="sibTrans" cxnId="{3EC62722-757D-4BC6-B878-3DDD2B539C4F}">
      <dgm:prSet/>
      <dgm:spPr/>
      <dgm:t>
        <a:bodyPr/>
        <a:lstStyle/>
        <a:p>
          <a:pPr algn="l"/>
          <a:endParaRPr lang="en-GB" sz="2000"/>
        </a:p>
      </dgm:t>
    </dgm:pt>
    <dgm:pt modelId="{CA1C8FF9-3E78-4874-B05D-C4A73C1936EA}">
      <dgm:prSet phldrT="[Text]" custT="1"/>
      <dgm:spPr/>
      <dgm:t>
        <a:bodyPr/>
        <a:lstStyle/>
        <a:p>
          <a:pPr algn="just"/>
          <a:r>
            <a:rPr lang="en-GB" sz="900" b="1"/>
            <a:t>Participants: </a:t>
          </a:r>
          <a:r>
            <a:rPr lang="en-GB" sz="900"/>
            <a:t>29 organisations, which represent the private sector related to the construction industry, state institutions, non-governmental organisations, academic institutions and banks. </a:t>
          </a:r>
        </a:p>
      </dgm:t>
    </dgm:pt>
    <dgm:pt modelId="{5CD13223-869D-4693-B51D-1656C18264AB}" type="parTrans" cxnId="{34978688-FCFC-48B4-9A63-546546197FBF}">
      <dgm:prSet/>
      <dgm:spPr/>
      <dgm:t>
        <a:bodyPr/>
        <a:lstStyle/>
        <a:p>
          <a:pPr algn="l"/>
          <a:endParaRPr lang="en-GB" sz="2000"/>
        </a:p>
      </dgm:t>
    </dgm:pt>
    <dgm:pt modelId="{A3D8869A-3F79-4C73-A8FC-01D8570FC2CA}" type="sibTrans" cxnId="{34978688-FCFC-48B4-9A63-546546197FBF}">
      <dgm:prSet/>
      <dgm:spPr/>
      <dgm:t>
        <a:bodyPr/>
        <a:lstStyle/>
        <a:p>
          <a:pPr algn="l"/>
          <a:endParaRPr lang="en-GB" sz="2000"/>
        </a:p>
      </dgm:t>
    </dgm:pt>
    <dgm:pt modelId="{1650BB1B-5BC8-46A9-82A7-95817D873372}">
      <dgm:prSet custT="1"/>
      <dgm:spPr/>
      <dgm:t>
        <a:bodyPr/>
        <a:lstStyle/>
        <a:p>
          <a:pPr algn="just"/>
          <a:r>
            <a:rPr lang="en-GB" sz="900" b="1"/>
            <a:t>Participants: </a:t>
          </a:r>
          <a:r>
            <a:rPr lang="en-GB" sz="900"/>
            <a:t>Respondents representing </a:t>
          </a:r>
          <a:r>
            <a:rPr lang="en-GB" sz="900" b="1"/>
            <a:t>20 </a:t>
          </a:r>
          <a:r>
            <a:rPr lang="en-GB" sz="900"/>
            <a:t>different companies and organisations, which represent the construction industry, professional associations and unions representing it, state institutions, non-governmental organisations, academic institutions, banks, as well as representatives of the private sector related to the construction industry.</a:t>
          </a:r>
        </a:p>
      </dgm:t>
    </dgm:pt>
    <dgm:pt modelId="{DB6EFD35-CD96-423B-974C-B2DEEDB6A0DB}" type="parTrans" cxnId="{B6C1D39E-91C7-4733-81D2-D524B764018D}">
      <dgm:prSet/>
      <dgm:spPr/>
      <dgm:t>
        <a:bodyPr/>
        <a:lstStyle/>
        <a:p>
          <a:pPr algn="l"/>
          <a:endParaRPr lang="en-GB" sz="2000"/>
        </a:p>
      </dgm:t>
    </dgm:pt>
    <dgm:pt modelId="{43D22C13-A12B-4733-AE2F-476EDF7BBADD}" type="sibTrans" cxnId="{B6C1D39E-91C7-4733-81D2-D524B764018D}">
      <dgm:prSet/>
      <dgm:spPr/>
      <dgm:t>
        <a:bodyPr/>
        <a:lstStyle/>
        <a:p>
          <a:pPr algn="l"/>
          <a:endParaRPr lang="en-GB" sz="2000"/>
        </a:p>
      </dgm:t>
    </dgm:pt>
    <dgm:pt modelId="{135F0121-AD96-44C9-9F31-1D074BD30DB2}">
      <dgm:prSet phldrT="[Text]" custT="1"/>
      <dgm:spPr/>
      <dgm:t>
        <a:bodyPr/>
        <a:lstStyle/>
        <a:p>
          <a:pPr algn="just"/>
          <a:r>
            <a:rPr lang="en-GB" sz="900" b="1"/>
            <a:t>Experts invited from five groups of companies: </a:t>
          </a:r>
          <a:r>
            <a:rPr lang="en-GB" sz="900"/>
            <a:t>Construction of residential and non-residential buildings; Construction of transport objects; Construction of underground main pipelines; Construction of complex structures in production companies; construction of other civil engineering projects, including construction of electrical transmission lines.</a:t>
          </a:r>
        </a:p>
      </dgm:t>
    </dgm:pt>
    <dgm:pt modelId="{B22CC68F-0183-4310-A707-30297A0BEB2A}" type="parTrans" cxnId="{09AAC34C-D55F-4BD5-A3BA-C7D2E7F0F972}">
      <dgm:prSet/>
      <dgm:spPr/>
      <dgm:t>
        <a:bodyPr/>
        <a:lstStyle/>
        <a:p>
          <a:pPr algn="l"/>
          <a:endParaRPr lang="en-GB" sz="2000"/>
        </a:p>
      </dgm:t>
    </dgm:pt>
    <dgm:pt modelId="{31AECED0-84E9-4A2C-8A51-B4790AA96935}" type="sibTrans" cxnId="{09AAC34C-D55F-4BD5-A3BA-C7D2E7F0F972}">
      <dgm:prSet/>
      <dgm:spPr/>
      <dgm:t>
        <a:bodyPr/>
        <a:lstStyle/>
        <a:p>
          <a:pPr algn="l"/>
          <a:endParaRPr lang="en-GB" sz="2000"/>
        </a:p>
      </dgm:t>
    </dgm:pt>
    <dgm:pt modelId="{9E09D268-BEF6-4192-90FD-46B38C2DD32B}">
      <dgm:prSet phldrT="[Text]" custT="1"/>
      <dgm:spPr/>
      <dgm:t>
        <a:bodyPr/>
        <a:lstStyle/>
        <a:p>
          <a:pPr algn="just"/>
          <a:r>
            <a:rPr lang="en-GB" sz="900" b="1"/>
            <a:t>Adapted questions were prepared</a:t>
          </a:r>
          <a:r>
            <a:rPr lang="en-GB" sz="900"/>
            <a:t> for experts from each group and combined with general questions from the interview of general experts. The general questions focused on the evaluation of development of the construction industry, the adapted questions focused on development trends of, factor influencing a specific subsector, etc.</a:t>
          </a:r>
        </a:p>
      </dgm:t>
    </dgm:pt>
    <dgm:pt modelId="{90116982-1494-42B9-AD9A-98EF25D9E141}" type="parTrans" cxnId="{BE223E95-0415-4F2B-AFE8-F10F84BB5DDD}">
      <dgm:prSet/>
      <dgm:spPr/>
      <dgm:t>
        <a:bodyPr/>
        <a:lstStyle/>
        <a:p>
          <a:pPr algn="l"/>
          <a:endParaRPr lang="en-GB"/>
        </a:p>
      </dgm:t>
    </dgm:pt>
    <dgm:pt modelId="{4A9518E3-5CE7-4F49-9B0A-E507143BA95A}" type="sibTrans" cxnId="{BE223E95-0415-4F2B-AFE8-F10F84BB5DDD}">
      <dgm:prSet/>
      <dgm:spPr/>
      <dgm:t>
        <a:bodyPr/>
        <a:lstStyle/>
        <a:p>
          <a:pPr algn="l"/>
          <a:endParaRPr lang="en-GB"/>
        </a:p>
      </dgm:t>
    </dgm:pt>
    <dgm:pt modelId="{7BFF7426-26A0-4D91-868E-7DCB36B5A1F6}">
      <dgm:prSet phldrT="[Text]" custT="1"/>
      <dgm:spPr/>
      <dgm:t>
        <a:bodyPr/>
        <a:lstStyle/>
        <a:p>
          <a:pPr algn="just"/>
          <a:r>
            <a:rPr lang="en-GB" sz="900" b="1"/>
            <a:t>Experts in macroeconomics were invited</a:t>
          </a:r>
          <a:r>
            <a:rPr lang="en-GB" sz="900"/>
            <a:t>, whose competence includes the evaluation of the impact of construction on the national economy.</a:t>
          </a:r>
        </a:p>
      </dgm:t>
    </dgm:pt>
    <dgm:pt modelId="{5C0200B4-AE5A-4392-9F4A-2C3678E946CF}" type="parTrans" cxnId="{C3D1CA62-5EE5-4537-8FA7-170BEB8B4DD8}">
      <dgm:prSet/>
      <dgm:spPr/>
      <dgm:t>
        <a:bodyPr/>
        <a:lstStyle/>
        <a:p>
          <a:pPr algn="l"/>
          <a:endParaRPr lang="en-GB"/>
        </a:p>
      </dgm:t>
    </dgm:pt>
    <dgm:pt modelId="{4BE6EA84-FEDC-48D1-B8A6-D922E8AF237B}" type="sibTrans" cxnId="{C3D1CA62-5EE5-4537-8FA7-170BEB8B4DD8}">
      <dgm:prSet/>
      <dgm:spPr/>
      <dgm:t>
        <a:bodyPr/>
        <a:lstStyle/>
        <a:p>
          <a:pPr algn="l"/>
          <a:endParaRPr lang="en-GB"/>
        </a:p>
      </dgm:t>
    </dgm:pt>
    <dgm:pt modelId="{1A129311-16E1-4453-A508-9F87B81AFA9C}" type="pres">
      <dgm:prSet presAssocID="{3E734C09-2300-40F3-A253-83922B1F37C7}" presName="linear" presStyleCnt="0">
        <dgm:presLayoutVars>
          <dgm:dir/>
          <dgm:animLvl val="lvl"/>
          <dgm:resizeHandles val="exact"/>
        </dgm:presLayoutVars>
      </dgm:prSet>
      <dgm:spPr/>
      <dgm:t>
        <a:bodyPr/>
        <a:lstStyle/>
        <a:p>
          <a:endParaRPr lang="en-US"/>
        </a:p>
      </dgm:t>
    </dgm:pt>
    <dgm:pt modelId="{1368BA87-7F0A-454C-AD30-514D197FA795}" type="pres">
      <dgm:prSet presAssocID="{16C321A4-4E3B-4FC0-BE74-4CD317E7CDBB}" presName="parentLin" presStyleCnt="0"/>
      <dgm:spPr/>
    </dgm:pt>
    <dgm:pt modelId="{D6540908-D93B-4F41-A1BB-BE6711FC20D4}" type="pres">
      <dgm:prSet presAssocID="{16C321A4-4E3B-4FC0-BE74-4CD317E7CDBB}" presName="parentLeftMargin" presStyleLbl="node1" presStyleIdx="0" presStyleCnt="2"/>
      <dgm:spPr/>
      <dgm:t>
        <a:bodyPr/>
        <a:lstStyle/>
        <a:p>
          <a:endParaRPr lang="en-US"/>
        </a:p>
      </dgm:t>
    </dgm:pt>
    <dgm:pt modelId="{5C488E9A-4DD3-416E-A2D0-85F1E21DFBB2}" type="pres">
      <dgm:prSet presAssocID="{16C321A4-4E3B-4FC0-BE74-4CD317E7CDBB}" presName="parentText" presStyleLbl="node1" presStyleIdx="0" presStyleCnt="2" custLinFactNeighborX="16668" custLinFactNeighborY="22962">
        <dgm:presLayoutVars>
          <dgm:chMax val="0"/>
          <dgm:bulletEnabled val="1"/>
        </dgm:presLayoutVars>
      </dgm:prSet>
      <dgm:spPr/>
      <dgm:t>
        <a:bodyPr/>
        <a:lstStyle/>
        <a:p>
          <a:endParaRPr lang="en-US"/>
        </a:p>
      </dgm:t>
    </dgm:pt>
    <dgm:pt modelId="{3BCF8BC8-9D3D-43F7-A630-5AC84897ED45}" type="pres">
      <dgm:prSet presAssocID="{16C321A4-4E3B-4FC0-BE74-4CD317E7CDBB}" presName="negativeSpace" presStyleCnt="0"/>
      <dgm:spPr/>
    </dgm:pt>
    <dgm:pt modelId="{ECF8E06B-4953-4B61-B759-F26FB489DC54}" type="pres">
      <dgm:prSet presAssocID="{16C321A4-4E3B-4FC0-BE74-4CD317E7CDBB}" presName="childText" presStyleLbl="conFgAcc1" presStyleIdx="0" presStyleCnt="2">
        <dgm:presLayoutVars>
          <dgm:bulletEnabled val="1"/>
        </dgm:presLayoutVars>
      </dgm:prSet>
      <dgm:spPr/>
      <dgm:t>
        <a:bodyPr/>
        <a:lstStyle/>
        <a:p>
          <a:endParaRPr lang="en-US"/>
        </a:p>
      </dgm:t>
    </dgm:pt>
    <dgm:pt modelId="{0F5F8213-CF4D-4736-9E9A-5AE209FE38A7}" type="pres">
      <dgm:prSet presAssocID="{311A5D91-3807-40E4-BA17-A0247B6930CE}" presName="spaceBetweenRectangles" presStyleCnt="0"/>
      <dgm:spPr/>
    </dgm:pt>
    <dgm:pt modelId="{4F87AF7A-A3B5-40DD-8CB5-9F2372758A1B}" type="pres">
      <dgm:prSet presAssocID="{1BA9B573-976A-427B-AD52-D9A9B7B2900B}" presName="parentLin" presStyleCnt="0"/>
      <dgm:spPr/>
    </dgm:pt>
    <dgm:pt modelId="{D9BC25B1-856D-4F66-92B1-344301226DD8}" type="pres">
      <dgm:prSet presAssocID="{1BA9B573-976A-427B-AD52-D9A9B7B2900B}" presName="parentLeftMargin" presStyleLbl="node1" presStyleIdx="0" presStyleCnt="2"/>
      <dgm:spPr/>
      <dgm:t>
        <a:bodyPr/>
        <a:lstStyle/>
        <a:p>
          <a:endParaRPr lang="en-US"/>
        </a:p>
      </dgm:t>
    </dgm:pt>
    <dgm:pt modelId="{2FAF93DC-7685-4AF6-8A72-2FF465B1606A}" type="pres">
      <dgm:prSet presAssocID="{1BA9B573-976A-427B-AD52-D9A9B7B2900B}" presName="parentText" presStyleLbl="node1" presStyleIdx="1" presStyleCnt="2" custLinFactNeighborX="2778" custLinFactNeighborY="12907">
        <dgm:presLayoutVars>
          <dgm:chMax val="0"/>
          <dgm:bulletEnabled val="1"/>
        </dgm:presLayoutVars>
      </dgm:prSet>
      <dgm:spPr/>
      <dgm:t>
        <a:bodyPr/>
        <a:lstStyle/>
        <a:p>
          <a:endParaRPr lang="en-US"/>
        </a:p>
      </dgm:t>
    </dgm:pt>
    <dgm:pt modelId="{7EF45D2C-1E38-4FA5-9149-C50AEA63C983}" type="pres">
      <dgm:prSet presAssocID="{1BA9B573-976A-427B-AD52-D9A9B7B2900B}" presName="negativeSpace" presStyleCnt="0"/>
      <dgm:spPr/>
    </dgm:pt>
    <dgm:pt modelId="{5011B033-A164-4872-B766-50030ED3C943}" type="pres">
      <dgm:prSet presAssocID="{1BA9B573-976A-427B-AD52-D9A9B7B2900B}" presName="childText" presStyleLbl="conFgAcc1" presStyleIdx="1" presStyleCnt="2">
        <dgm:presLayoutVars>
          <dgm:bulletEnabled val="1"/>
        </dgm:presLayoutVars>
      </dgm:prSet>
      <dgm:spPr/>
      <dgm:t>
        <a:bodyPr/>
        <a:lstStyle/>
        <a:p>
          <a:endParaRPr lang="en-US"/>
        </a:p>
      </dgm:t>
    </dgm:pt>
  </dgm:ptLst>
  <dgm:cxnLst>
    <dgm:cxn modelId="{FCCE6A1D-A6A4-40B2-A767-09B6CD009236}" type="presOf" srcId="{CA1C8FF9-3E78-4874-B05D-C4A73C1936EA}" destId="{5011B033-A164-4872-B766-50030ED3C943}" srcOrd="0" destOrd="0" presId="urn:microsoft.com/office/officeart/2005/8/layout/list1"/>
    <dgm:cxn modelId="{5D518B36-8CFF-42AF-B67E-D5C5EF51F96F}" type="presOf" srcId="{9E09D268-BEF6-4192-90FD-46B38C2DD32B}" destId="{5011B033-A164-4872-B766-50030ED3C943}" srcOrd="0" destOrd="2" presId="urn:microsoft.com/office/officeart/2005/8/layout/list1"/>
    <dgm:cxn modelId="{DDDB0EBF-3050-4D13-A660-43137A6CEFF9}" type="presOf" srcId="{16C321A4-4E3B-4FC0-BE74-4CD317E7CDBB}" destId="{D6540908-D93B-4F41-A1BB-BE6711FC20D4}" srcOrd="0" destOrd="0" presId="urn:microsoft.com/office/officeart/2005/8/layout/list1"/>
    <dgm:cxn modelId="{C3D1CA62-5EE5-4537-8FA7-170BEB8B4DD8}" srcId="{16C321A4-4E3B-4FC0-BE74-4CD317E7CDBB}" destId="{7BFF7426-26A0-4D91-868E-7DCB36B5A1F6}" srcOrd="2" destOrd="0" parTransId="{5C0200B4-AE5A-4392-9F4A-2C3678E946CF}" sibTransId="{4BE6EA84-FEDC-48D1-B8A6-D922E8AF237B}"/>
    <dgm:cxn modelId="{2293345F-0A17-4406-A82F-F18033A31521}" type="presOf" srcId="{7BFF7426-26A0-4D91-868E-7DCB36B5A1F6}" destId="{ECF8E06B-4953-4B61-B759-F26FB489DC54}" srcOrd="0" destOrd="2" presId="urn:microsoft.com/office/officeart/2005/8/layout/list1"/>
    <dgm:cxn modelId="{34978688-FCFC-48B4-9A63-546546197FBF}" srcId="{1BA9B573-976A-427B-AD52-D9A9B7B2900B}" destId="{CA1C8FF9-3E78-4874-B05D-C4A73C1936EA}" srcOrd="0" destOrd="0" parTransId="{5CD13223-869D-4693-B51D-1656C18264AB}" sibTransId="{A3D8869A-3F79-4C73-A8FC-01D8570FC2CA}"/>
    <dgm:cxn modelId="{0D882E09-6787-4019-8C9E-57984D38C33F}" type="presOf" srcId="{1BA9B573-976A-427B-AD52-D9A9B7B2900B}" destId="{D9BC25B1-856D-4F66-92B1-344301226DD8}" srcOrd="0" destOrd="0" presId="urn:microsoft.com/office/officeart/2005/8/layout/list1"/>
    <dgm:cxn modelId="{90E8FF11-F478-4C95-B862-91383D8D9AF8}" type="presOf" srcId="{1BA9B573-976A-427B-AD52-D9A9B7B2900B}" destId="{2FAF93DC-7685-4AF6-8A72-2FF465B1606A}" srcOrd="1" destOrd="0" presId="urn:microsoft.com/office/officeart/2005/8/layout/list1"/>
    <dgm:cxn modelId="{BE223E95-0415-4F2B-AFE8-F10F84BB5DDD}" srcId="{1BA9B573-976A-427B-AD52-D9A9B7B2900B}" destId="{9E09D268-BEF6-4192-90FD-46B38C2DD32B}" srcOrd="2" destOrd="0" parTransId="{90116982-1494-42B9-AD9A-98EF25D9E141}" sibTransId="{4A9518E3-5CE7-4F49-9B0A-E507143BA95A}"/>
    <dgm:cxn modelId="{E7D423C0-2FCC-44DB-8BF0-435FC6EDD72E}" type="presOf" srcId="{16C321A4-4E3B-4FC0-BE74-4CD317E7CDBB}" destId="{5C488E9A-4DD3-416E-A2D0-85F1E21DFBB2}" srcOrd="1" destOrd="0" presId="urn:microsoft.com/office/officeart/2005/8/layout/list1"/>
    <dgm:cxn modelId="{6004723C-EEC8-4E45-AADC-76A2E64C3D9E}" srcId="{3E734C09-2300-40F3-A253-83922B1F37C7}" destId="{16C321A4-4E3B-4FC0-BE74-4CD317E7CDBB}" srcOrd="0" destOrd="0" parTransId="{16CDE65B-3525-439B-A631-AE523484558F}" sibTransId="{311A5D91-3807-40E4-BA17-A0247B6930CE}"/>
    <dgm:cxn modelId="{A3D041F2-C023-4178-8D8E-9817CB32380C}" srcId="{3E734C09-2300-40F3-A253-83922B1F37C7}" destId="{1BA9B573-976A-427B-AD52-D9A9B7B2900B}" srcOrd="1" destOrd="0" parTransId="{FD09F8ED-1663-4E15-9335-650E58CF784E}" sibTransId="{82126C64-7B19-4563-AD6B-3864EE827721}"/>
    <dgm:cxn modelId="{2EC0DFA1-BC21-472E-AA10-E5C3378C6D10}" type="presOf" srcId="{3E734C09-2300-40F3-A253-83922B1F37C7}" destId="{1A129311-16E1-4453-A508-9F87B81AFA9C}" srcOrd="0" destOrd="0" presId="urn:microsoft.com/office/officeart/2005/8/layout/list1"/>
    <dgm:cxn modelId="{D19722B0-5D19-4C1C-8715-991DFEB3B3A1}" type="presOf" srcId="{64BDB29F-067F-4327-99B4-85319231415D}" destId="{ECF8E06B-4953-4B61-B759-F26FB489DC54}" srcOrd="0" destOrd="1" presId="urn:microsoft.com/office/officeart/2005/8/layout/list1"/>
    <dgm:cxn modelId="{A4AF97AF-03C6-4A61-8CF6-81EE63A0EA42}" type="presOf" srcId="{135F0121-AD96-44C9-9F31-1D074BD30DB2}" destId="{5011B033-A164-4872-B766-50030ED3C943}" srcOrd="0" destOrd="1" presId="urn:microsoft.com/office/officeart/2005/8/layout/list1"/>
    <dgm:cxn modelId="{93CCBD2B-134F-4BFE-BAF8-911EFA494BBF}" type="presOf" srcId="{1650BB1B-5BC8-46A9-82A7-95817D873372}" destId="{ECF8E06B-4953-4B61-B759-F26FB489DC54}" srcOrd="0" destOrd="0" presId="urn:microsoft.com/office/officeart/2005/8/layout/list1"/>
    <dgm:cxn modelId="{09AAC34C-D55F-4BD5-A3BA-C7D2E7F0F972}" srcId="{1BA9B573-976A-427B-AD52-D9A9B7B2900B}" destId="{135F0121-AD96-44C9-9F31-1D074BD30DB2}" srcOrd="1" destOrd="0" parTransId="{B22CC68F-0183-4310-A707-30297A0BEB2A}" sibTransId="{31AECED0-84E9-4A2C-8A51-B4790AA96935}"/>
    <dgm:cxn modelId="{3EC62722-757D-4BC6-B878-3DDD2B539C4F}" srcId="{16C321A4-4E3B-4FC0-BE74-4CD317E7CDBB}" destId="{64BDB29F-067F-4327-99B4-85319231415D}" srcOrd="1" destOrd="0" parTransId="{9BC7372C-6994-475C-BCD4-865EB7D9D693}" sibTransId="{B1EA7C28-0583-4D05-8B33-F966A784160B}"/>
    <dgm:cxn modelId="{B6C1D39E-91C7-4733-81D2-D524B764018D}" srcId="{16C321A4-4E3B-4FC0-BE74-4CD317E7CDBB}" destId="{1650BB1B-5BC8-46A9-82A7-95817D873372}" srcOrd="0" destOrd="0" parTransId="{DB6EFD35-CD96-423B-974C-B2DEEDB6A0DB}" sibTransId="{43D22C13-A12B-4733-AE2F-476EDF7BBADD}"/>
    <dgm:cxn modelId="{7B438D41-B35D-4E5C-8A68-0104B9B57F40}" type="presParOf" srcId="{1A129311-16E1-4453-A508-9F87B81AFA9C}" destId="{1368BA87-7F0A-454C-AD30-514D197FA795}" srcOrd="0" destOrd="0" presId="urn:microsoft.com/office/officeart/2005/8/layout/list1"/>
    <dgm:cxn modelId="{CA4AB650-1A98-42F7-BF71-0E196F5300FB}" type="presParOf" srcId="{1368BA87-7F0A-454C-AD30-514D197FA795}" destId="{D6540908-D93B-4F41-A1BB-BE6711FC20D4}" srcOrd="0" destOrd="0" presId="urn:microsoft.com/office/officeart/2005/8/layout/list1"/>
    <dgm:cxn modelId="{60654E91-BD99-4BD5-B359-8EE2701E21D0}" type="presParOf" srcId="{1368BA87-7F0A-454C-AD30-514D197FA795}" destId="{5C488E9A-4DD3-416E-A2D0-85F1E21DFBB2}" srcOrd="1" destOrd="0" presId="urn:microsoft.com/office/officeart/2005/8/layout/list1"/>
    <dgm:cxn modelId="{66C07294-6417-4701-862D-AAAAE28E8E42}" type="presParOf" srcId="{1A129311-16E1-4453-A508-9F87B81AFA9C}" destId="{3BCF8BC8-9D3D-43F7-A630-5AC84897ED45}" srcOrd="1" destOrd="0" presId="urn:microsoft.com/office/officeart/2005/8/layout/list1"/>
    <dgm:cxn modelId="{22CB6337-C1C0-440F-95B9-964EBA7355DF}" type="presParOf" srcId="{1A129311-16E1-4453-A508-9F87B81AFA9C}" destId="{ECF8E06B-4953-4B61-B759-F26FB489DC54}" srcOrd="2" destOrd="0" presId="urn:microsoft.com/office/officeart/2005/8/layout/list1"/>
    <dgm:cxn modelId="{7DD465E9-B8A8-49ED-A847-271B312F6DBE}" type="presParOf" srcId="{1A129311-16E1-4453-A508-9F87B81AFA9C}" destId="{0F5F8213-CF4D-4736-9E9A-5AE209FE38A7}" srcOrd="3" destOrd="0" presId="urn:microsoft.com/office/officeart/2005/8/layout/list1"/>
    <dgm:cxn modelId="{9479FF89-9461-4B1D-80CF-CD836177F2D2}" type="presParOf" srcId="{1A129311-16E1-4453-A508-9F87B81AFA9C}" destId="{4F87AF7A-A3B5-40DD-8CB5-9F2372758A1B}" srcOrd="4" destOrd="0" presId="urn:microsoft.com/office/officeart/2005/8/layout/list1"/>
    <dgm:cxn modelId="{6C949025-DA4E-42FF-AF71-6000095937E8}" type="presParOf" srcId="{4F87AF7A-A3B5-40DD-8CB5-9F2372758A1B}" destId="{D9BC25B1-856D-4F66-92B1-344301226DD8}" srcOrd="0" destOrd="0" presId="urn:microsoft.com/office/officeart/2005/8/layout/list1"/>
    <dgm:cxn modelId="{B91C4224-D5D1-4061-A8A2-03A247F8A5F9}" type="presParOf" srcId="{4F87AF7A-A3B5-40DD-8CB5-9F2372758A1B}" destId="{2FAF93DC-7685-4AF6-8A72-2FF465B1606A}" srcOrd="1" destOrd="0" presId="urn:microsoft.com/office/officeart/2005/8/layout/list1"/>
    <dgm:cxn modelId="{72D67F60-E2BF-43A6-914E-164381ED60FA}" type="presParOf" srcId="{1A129311-16E1-4453-A508-9F87B81AFA9C}" destId="{7EF45D2C-1E38-4FA5-9149-C50AEA63C983}" srcOrd="5" destOrd="0" presId="urn:microsoft.com/office/officeart/2005/8/layout/list1"/>
    <dgm:cxn modelId="{C846F65B-8B81-4920-8464-C7DB2042619A}" type="presParOf" srcId="{1A129311-16E1-4453-A508-9F87B81AFA9C}" destId="{5011B033-A164-4872-B766-50030ED3C943}" srcOrd="6"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734C09-2300-40F3-A253-83922B1F37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16C321A4-4E3B-4FC0-BE74-4CD317E7CDBB}">
      <dgm:prSet phldrT="[Text]" custT="1"/>
      <dgm:spPr>
        <a:solidFill>
          <a:srgbClr val="002060"/>
        </a:solidFill>
      </dgm:spPr>
      <dgm:t>
        <a:bodyPr/>
        <a:lstStyle/>
        <a:p>
          <a:pPr algn="l"/>
          <a:r>
            <a:rPr lang="en-GB" sz="900" b="1"/>
            <a:t>Statistical trend analysis</a:t>
          </a:r>
        </a:p>
      </dgm:t>
    </dgm:pt>
    <dgm:pt modelId="{16CDE65B-3525-439B-A631-AE523484558F}" type="parTrans" cxnId="{6004723C-EEC8-4E45-AADC-76A2E64C3D9E}">
      <dgm:prSet/>
      <dgm:spPr/>
      <dgm:t>
        <a:bodyPr/>
        <a:lstStyle/>
        <a:p>
          <a:pPr algn="l"/>
          <a:endParaRPr lang="en-GB" sz="2000"/>
        </a:p>
      </dgm:t>
    </dgm:pt>
    <dgm:pt modelId="{311A5D91-3807-40E4-BA17-A0247B6930CE}" type="sibTrans" cxnId="{6004723C-EEC8-4E45-AADC-76A2E64C3D9E}">
      <dgm:prSet/>
      <dgm:spPr/>
      <dgm:t>
        <a:bodyPr/>
        <a:lstStyle/>
        <a:p>
          <a:pPr algn="l"/>
          <a:endParaRPr lang="en-GB" sz="2000"/>
        </a:p>
      </dgm:t>
    </dgm:pt>
    <dgm:pt modelId="{CA1C8FF9-3E78-4874-B05D-C4A73C1936EA}">
      <dgm:prSet phldrT="[Text]" custT="1"/>
      <dgm:spPr/>
      <dgm:t>
        <a:bodyPr/>
        <a:lstStyle/>
        <a:p>
          <a:pPr algn="just"/>
          <a:r>
            <a:rPr lang="en-GB" sz="900" b="1"/>
            <a:t>Purpose: </a:t>
          </a:r>
          <a:r>
            <a:rPr lang="en-GB" sz="900"/>
            <a:t>to compensate for error and to improve credibility of the final forecast.</a:t>
          </a:r>
        </a:p>
      </dgm:t>
    </dgm:pt>
    <dgm:pt modelId="{5CD13223-869D-4693-B51D-1656C18264AB}" type="parTrans" cxnId="{34978688-FCFC-48B4-9A63-546546197FBF}">
      <dgm:prSet/>
      <dgm:spPr/>
      <dgm:t>
        <a:bodyPr/>
        <a:lstStyle/>
        <a:p>
          <a:pPr algn="l"/>
          <a:endParaRPr lang="en-GB" sz="2000"/>
        </a:p>
      </dgm:t>
    </dgm:pt>
    <dgm:pt modelId="{A3D8869A-3F79-4C73-A8FC-01D8570FC2CA}" type="sibTrans" cxnId="{34978688-FCFC-48B4-9A63-546546197FBF}">
      <dgm:prSet/>
      <dgm:spPr/>
      <dgm:t>
        <a:bodyPr/>
        <a:lstStyle/>
        <a:p>
          <a:pPr algn="l"/>
          <a:endParaRPr lang="en-GB" sz="2000"/>
        </a:p>
      </dgm:t>
    </dgm:pt>
    <dgm:pt modelId="{135F0121-AD96-44C9-9F31-1D074BD30DB2}">
      <dgm:prSet phldrT="[Text]" custT="1"/>
      <dgm:spPr/>
      <dgm:t>
        <a:bodyPr/>
        <a:lstStyle/>
        <a:p>
          <a:pPr algn="just"/>
          <a:r>
            <a:rPr lang="en-GB" sz="900"/>
            <a:t>Combine statistical and expert evaluation forecasts.</a:t>
          </a:r>
        </a:p>
      </dgm:t>
    </dgm:pt>
    <dgm:pt modelId="{B22CC68F-0183-4310-A707-30297A0BEB2A}" type="parTrans" cxnId="{09AAC34C-D55F-4BD5-A3BA-C7D2E7F0F972}">
      <dgm:prSet/>
      <dgm:spPr/>
      <dgm:t>
        <a:bodyPr/>
        <a:lstStyle/>
        <a:p>
          <a:pPr algn="l"/>
          <a:endParaRPr lang="en-GB" sz="2000"/>
        </a:p>
      </dgm:t>
    </dgm:pt>
    <dgm:pt modelId="{31AECED0-84E9-4A2C-8A51-B4790AA96935}" type="sibTrans" cxnId="{09AAC34C-D55F-4BD5-A3BA-C7D2E7F0F972}">
      <dgm:prSet/>
      <dgm:spPr/>
      <dgm:t>
        <a:bodyPr/>
        <a:lstStyle/>
        <a:p>
          <a:pPr algn="l"/>
          <a:endParaRPr lang="en-GB" sz="2000"/>
        </a:p>
      </dgm:t>
    </dgm:pt>
    <dgm:pt modelId="{64BDB29F-067F-4327-99B4-85319231415D}">
      <dgm:prSet phldrT="[Text]" custT="1"/>
      <dgm:spPr/>
      <dgm:t>
        <a:bodyPr/>
        <a:lstStyle/>
        <a:p>
          <a:pPr algn="just"/>
          <a:r>
            <a:rPr lang="en-GB" sz="900"/>
            <a:t>Statistical data were obtained using the statistical information on changes in costs of the construction industry available in the CSB database.</a:t>
          </a:r>
        </a:p>
      </dgm:t>
    </dgm:pt>
    <dgm:pt modelId="{B1EA7C28-0583-4D05-8B33-F966A784160B}" type="sibTrans" cxnId="{3EC62722-757D-4BC6-B878-3DDD2B539C4F}">
      <dgm:prSet/>
      <dgm:spPr/>
      <dgm:t>
        <a:bodyPr/>
        <a:lstStyle/>
        <a:p>
          <a:pPr algn="l"/>
          <a:endParaRPr lang="en-GB" sz="2000"/>
        </a:p>
      </dgm:t>
    </dgm:pt>
    <dgm:pt modelId="{9BC7372C-6994-475C-BCD4-865EB7D9D693}" type="parTrans" cxnId="{3EC62722-757D-4BC6-B878-3DDD2B539C4F}">
      <dgm:prSet/>
      <dgm:spPr/>
      <dgm:t>
        <a:bodyPr/>
        <a:lstStyle/>
        <a:p>
          <a:pPr algn="l"/>
          <a:endParaRPr lang="en-GB" sz="2000"/>
        </a:p>
      </dgm:t>
    </dgm:pt>
    <dgm:pt modelId="{7BFF7426-26A0-4D91-868E-7DCB36B5A1F6}">
      <dgm:prSet phldrT="[Text]" custT="1"/>
      <dgm:spPr/>
      <dgm:t>
        <a:bodyPr/>
        <a:lstStyle/>
        <a:p>
          <a:pPr algn="just"/>
          <a:r>
            <a:rPr lang="en-GB" sz="900" b="0"/>
            <a:t>State statistical data do not summarise information on changes in construction costs in such groups of objects: construction of complex structures in industrial manufacturing companies, construction of other civil engineering projects.</a:t>
          </a:r>
        </a:p>
      </dgm:t>
    </dgm:pt>
    <dgm:pt modelId="{4BE6EA84-FEDC-48D1-B8A6-D922E8AF237B}" type="sibTrans" cxnId="{C3D1CA62-5EE5-4537-8FA7-170BEB8B4DD8}">
      <dgm:prSet/>
      <dgm:spPr/>
      <dgm:t>
        <a:bodyPr/>
        <a:lstStyle/>
        <a:p>
          <a:pPr algn="l"/>
          <a:endParaRPr lang="en-GB"/>
        </a:p>
      </dgm:t>
    </dgm:pt>
    <dgm:pt modelId="{5C0200B4-AE5A-4392-9F4A-2C3678E946CF}" type="parTrans" cxnId="{C3D1CA62-5EE5-4537-8FA7-170BEB8B4DD8}">
      <dgm:prSet/>
      <dgm:spPr/>
      <dgm:t>
        <a:bodyPr/>
        <a:lstStyle/>
        <a:p>
          <a:pPr algn="l"/>
          <a:endParaRPr lang="en-GB"/>
        </a:p>
      </dgm:t>
    </dgm:pt>
    <dgm:pt modelId="{0D068A65-B2EE-4D97-8D43-FD7DB93CEC74}">
      <dgm:prSet phldrT="[Text]" custT="1"/>
      <dgm:spPr/>
      <dgm:t>
        <a:bodyPr/>
        <a:lstStyle/>
        <a:p>
          <a:pPr algn="just"/>
          <a:r>
            <a:rPr lang="en-GB" sz="900"/>
            <a:t>Aggregated CSB indicators corresponding to the indicator being studied, index of construction costs, were used in the study. Indexes were used for studying of changes in general construction prices and for studying changes by types of resources and by groups of objects in the areas, where such data exist.</a:t>
          </a:r>
        </a:p>
      </dgm:t>
    </dgm:pt>
    <dgm:pt modelId="{4CAD5AFD-24E8-483A-9C6B-696116C094B2}" type="parTrans" cxnId="{173A18AE-C5A4-408D-ADB3-27F7439FD664}">
      <dgm:prSet/>
      <dgm:spPr/>
      <dgm:t>
        <a:bodyPr/>
        <a:lstStyle/>
        <a:p>
          <a:endParaRPr lang="en-GB"/>
        </a:p>
      </dgm:t>
    </dgm:pt>
    <dgm:pt modelId="{65BB6F1B-0512-4C5D-8C5D-271351B47A30}" type="sibTrans" cxnId="{173A18AE-C5A4-408D-ADB3-27F7439FD664}">
      <dgm:prSet/>
      <dgm:spPr/>
      <dgm:t>
        <a:bodyPr/>
        <a:lstStyle/>
        <a:p>
          <a:endParaRPr lang="en-GB"/>
        </a:p>
      </dgm:t>
    </dgm:pt>
    <dgm:pt modelId="{FE0BCC41-9AFE-46F2-A682-37F110E8B655}">
      <dgm:prSet phldrT="[Text]" custT="1"/>
      <dgm:spPr/>
      <dgm:t>
        <a:bodyPr/>
        <a:lstStyle/>
        <a:p>
          <a:pPr algn="just"/>
          <a:r>
            <a:rPr lang="en-GB" sz="900"/>
            <a:t>Used in addition to the separate analysis of statistical information and expert evaluations.</a:t>
          </a:r>
        </a:p>
      </dgm:t>
    </dgm:pt>
    <dgm:pt modelId="{D79125D6-704E-4184-B860-37E57FBC6C7C}" type="parTrans" cxnId="{6C9A4A4B-BD5A-41DB-B8BC-99764B46FF6B}">
      <dgm:prSet/>
      <dgm:spPr/>
      <dgm:t>
        <a:bodyPr/>
        <a:lstStyle/>
        <a:p>
          <a:endParaRPr lang="en-GB"/>
        </a:p>
      </dgm:t>
    </dgm:pt>
    <dgm:pt modelId="{B120FA54-569D-4C21-95B2-DE4D1778F062}" type="sibTrans" cxnId="{6C9A4A4B-BD5A-41DB-B8BC-99764B46FF6B}">
      <dgm:prSet/>
      <dgm:spPr/>
      <dgm:t>
        <a:bodyPr/>
        <a:lstStyle/>
        <a:p>
          <a:endParaRPr lang="en-GB"/>
        </a:p>
      </dgm:t>
    </dgm:pt>
    <dgm:pt modelId="{379CAC03-BDB6-40E8-A41B-B18C31C64A24}">
      <dgm:prSet phldrT="[Text]" custT="1"/>
      <dgm:spPr>
        <a:solidFill>
          <a:srgbClr val="002060"/>
        </a:solidFill>
      </dgm:spPr>
      <dgm:t>
        <a:bodyPr/>
        <a:lstStyle/>
        <a:p>
          <a:pPr algn="l"/>
          <a:r>
            <a:rPr lang="en-GB" sz="900" b="1"/>
            <a:t>Combined forecasts </a:t>
          </a:r>
        </a:p>
      </dgm:t>
    </dgm:pt>
    <dgm:pt modelId="{03F4DA23-0129-428B-B468-95C3D3295832}" type="parTrans" cxnId="{A414FF20-35BF-405A-A859-D2ED7399F8B6}">
      <dgm:prSet/>
      <dgm:spPr/>
      <dgm:t>
        <a:bodyPr/>
        <a:lstStyle/>
        <a:p>
          <a:endParaRPr lang="en-GB"/>
        </a:p>
      </dgm:t>
    </dgm:pt>
    <dgm:pt modelId="{29B2BB67-E4BA-455D-A3F0-363B5C051F47}" type="sibTrans" cxnId="{A414FF20-35BF-405A-A859-D2ED7399F8B6}">
      <dgm:prSet/>
      <dgm:spPr/>
      <dgm:t>
        <a:bodyPr/>
        <a:lstStyle/>
        <a:p>
          <a:endParaRPr lang="en-GB"/>
        </a:p>
      </dgm:t>
    </dgm:pt>
    <dgm:pt modelId="{1A129311-16E1-4453-A508-9F87B81AFA9C}" type="pres">
      <dgm:prSet presAssocID="{3E734C09-2300-40F3-A253-83922B1F37C7}" presName="linear" presStyleCnt="0">
        <dgm:presLayoutVars>
          <dgm:dir/>
          <dgm:animLvl val="lvl"/>
          <dgm:resizeHandles val="exact"/>
        </dgm:presLayoutVars>
      </dgm:prSet>
      <dgm:spPr/>
      <dgm:t>
        <a:bodyPr/>
        <a:lstStyle/>
        <a:p>
          <a:endParaRPr lang="en-US"/>
        </a:p>
      </dgm:t>
    </dgm:pt>
    <dgm:pt modelId="{1368BA87-7F0A-454C-AD30-514D197FA795}" type="pres">
      <dgm:prSet presAssocID="{16C321A4-4E3B-4FC0-BE74-4CD317E7CDBB}" presName="parentLin" presStyleCnt="0"/>
      <dgm:spPr/>
    </dgm:pt>
    <dgm:pt modelId="{D6540908-D93B-4F41-A1BB-BE6711FC20D4}" type="pres">
      <dgm:prSet presAssocID="{16C321A4-4E3B-4FC0-BE74-4CD317E7CDBB}" presName="parentLeftMargin" presStyleLbl="node1" presStyleIdx="0" presStyleCnt="2"/>
      <dgm:spPr/>
      <dgm:t>
        <a:bodyPr/>
        <a:lstStyle/>
        <a:p>
          <a:endParaRPr lang="en-US"/>
        </a:p>
      </dgm:t>
    </dgm:pt>
    <dgm:pt modelId="{5C488E9A-4DD3-416E-A2D0-85F1E21DFBB2}" type="pres">
      <dgm:prSet presAssocID="{16C321A4-4E3B-4FC0-BE74-4CD317E7CDBB}" presName="parentText" presStyleLbl="node1" presStyleIdx="0" presStyleCnt="2" custScaleY="45314" custLinFactNeighborX="-18519" custLinFactNeighborY="-36083">
        <dgm:presLayoutVars>
          <dgm:chMax val="0"/>
          <dgm:bulletEnabled val="1"/>
        </dgm:presLayoutVars>
      </dgm:prSet>
      <dgm:spPr/>
      <dgm:t>
        <a:bodyPr/>
        <a:lstStyle/>
        <a:p>
          <a:endParaRPr lang="en-US"/>
        </a:p>
      </dgm:t>
    </dgm:pt>
    <dgm:pt modelId="{3BCF8BC8-9D3D-43F7-A630-5AC84897ED45}" type="pres">
      <dgm:prSet presAssocID="{16C321A4-4E3B-4FC0-BE74-4CD317E7CDBB}" presName="negativeSpace" presStyleCnt="0"/>
      <dgm:spPr/>
    </dgm:pt>
    <dgm:pt modelId="{ECF8E06B-4953-4B61-B759-F26FB489DC54}" type="pres">
      <dgm:prSet presAssocID="{16C321A4-4E3B-4FC0-BE74-4CD317E7CDBB}" presName="childText" presStyleLbl="conFgAcc1" presStyleIdx="0" presStyleCnt="2" custScaleY="96042" custLinFactNeighborX="2917" custLinFactNeighborY="0">
        <dgm:presLayoutVars>
          <dgm:bulletEnabled val="1"/>
        </dgm:presLayoutVars>
      </dgm:prSet>
      <dgm:spPr/>
      <dgm:t>
        <a:bodyPr/>
        <a:lstStyle/>
        <a:p>
          <a:endParaRPr lang="en-US"/>
        </a:p>
      </dgm:t>
    </dgm:pt>
    <dgm:pt modelId="{0F5F8213-CF4D-4736-9E9A-5AE209FE38A7}" type="pres">
      <dgm:prSet presAssocID="{311A5D91-3807-40E4-BA17-A0247B6930CE}" presName="spaceBetweenRectangles" presStyleCnt="0"/>
      <dgm:spPr/>
    </dgm:pt>
    <dgm:pt modelId="{F1E34514-3A21-4E8A-A5EA-EF90BFF52C7F}" type="pres">
      <dgm:prSet presAssocID="{379CAC03-BDB6-40E8-A41B-B18C31C64A24}" presName="parentLin" presStyleCnt="0"/>
      <dgm:spPr/>
    </dgm:pt>
    <dgm:pt modelId="{8A050B9C-1FC9-4EAB-A80A-76579D8B3551}" type="pres">
      <dgm:prSet presAssocID="{379CAC03-BDB6-40E8-A41B-B18C31C64A24}" presName="parentLeftMargin" presStyleLbl="node1" presStyleIdx="0" presStyleCnt="2"/>
      <dgm:spPr/>
      <dgm:t>
        <a:bodyPr/>
        <a:lstStyle/>
        <a:p>
          <a:endParaRPr lang="en-US"/>
        </a:p>
      </dgm:t>
    </dgm:pt>
    <dgm:pt modelId="{F87FEA1E-3456-4E9D-B630-BE5C6E557DEA}" type="pres">
      <dgm:prSet presAssocID="{379CAC03-BDB6-40E8-A41B-B18C31C64A24}" presName="parentText" presStyleLbl="node1" presStyleIdx="1" presStyleCnt="2" custScaleY="38401" custLinFactNeighborX="-6945" custLinFactNeighborY="-10039">
        <dgm:presLayoutVars>
          <dgm:chMax val="0"/>
          <dgm:bulletEnabled val="1"/>
        </dgm:presLayoutVars>
      </dgm:prSet>
      <dgm:spPr/>
      <dgm:t>
        <a:bodyPr/>
        <a:lstStyle/>
        <a:p>
          <a:endParaRPr lang="en-US"/>
        </a:p>
      </dgm:t>
    </dgm:pt>
    <dgm:pt modelId="{D7CE7C09-2FAC-45AE-A4C5-2820C2BF1AD7}" type="pres">
      <dgm:prSet presAssocID="{379CAC03-BDB6-40E8-A41B-B18C31C64A24}" presName="negativeSpace" presStyleCnt="0"/>
      <dgm:spPr/>
    </dgm:pt>
    <dgm:pt modelId="{768F054A-210B-48E7-8824-7A2FD6036DCC}" type="pres">
      <dgm:prSet presAssocID="{379CAC03-BDB6-40E8-A41B-B18C31C64A24}" presName="childText" presStyleLbl="conFgAcc1" presStyleIdx="1" presStyleCnt="2">
        <dgm:presLayoutVars>
          <dgm:bulletEnabled val="1"/>
        </dgm:presLayoutVars>
      </dgm:prSet>
      <dgm:spPr/>
      <dgm:t>
        <a:bodyPr/>
        <a:lstStyle/>
        <a:p>
          <a:endParaRPr lang="en-US"/>
        </a:p>
      </dgm:t>
    </dgm:pt>
  </dgm:ptLst>
  <dgm:cxnLst>
    <dgm:cxn modelId="{BB90FA59-8906-4499-AC2A-B6877C74DC6A}" type="presOf" srcId="{FE0BCC41-9AFE-46F2-A682-37F110E8B655}" destId="{768F054A-210B-48E7-8824-7A2FD6036DCC}" srcOrd="0" destOrd="2" presId="urn:microsoft.com/office/officeart/2005/8/layout/list1"/>
    <dgm:cxn modelId="{C3D1CA62-5EE5-4537-8FA7-170BEB8B4DD8}" srcId="{16C321A4-4E3B-4FC0-BE74-4CD317E7CDBB}" destId="{7BFF7426-26A0-4D91-868E-7DCB36B5A1F6}" srcOrd="2" destOrd="0" parTransId="{5C0200B4-AE5A-4392-9F4A-2C3678E946CF}" sibTransId="{4BE6EA84-FEDC-48D1-B8A6-D922E8AF237B}"/>
    <dgm:cxn modelId="{173A18AE-C5A4-408D-ADB3-27F7439FD664}" srcId="{16C321A4-4E3B-4FC0-BE74-4CD317E7CDBB}" destId="{0D068A65-B2EE-4D97-8D43-FD7DB93CEC74}" srcOrd="1" destOrd="0" parTransId="{4CAD5AFD-24E8-483A-9C6B-696116C094B2}" sibTransId="{65BB6F1B-0512-4C5D-8C5D-271351B47A30}"/>
    <dgm:cxn modelId="{B76662B5-0461-4C8F-BD8D-C2CA8165DDB3}" type="presOf" srcId="{135F0121-AD96-44C9-9F31-1D074BD30DB2}" destId="{768F054A-210B-48E7-8824-7A2FD6036DCC}" srcOrd="0" destOrd="1" presId="urn:microsoft.com/office/officeart/2005/8/layout/list1"/>
    <dgm:cxn modelId="{A414FF20-35BF-405A-A859-D2ED7399F8B6}" srcId="{3E734C09-2300-40F3-A253-83922B1F37C7}" destId="{379CAC03-BDB6-40E8-A41B-B18C31C64A24}" srcOrd="1" destOrd="0" parTransId="{03F4DA23-0129-428B-B468-95C3D3295832}" sibTransId="{29B2BB67-E4BA-455D-A3F0-363B5C051F47}"/>
    <dgm:cxn modelId="{34978688-FCFC-48B4-9A63-546546197FBF}" srcId="{379CAC03-BDB6-40E8-A41B-B18C31C64A24}" destId="{CA1C8FF9-3E78-4874-B05D-C4A73C1936EA}" srcOrd="0" destOrd="0" parTransId="{5CD13223-869D-4693-B51D-1656C18264AB}" sibTransId="{A3D8869A-3F79-4C73-A8FC-01D8570FC2CA}"/>
    <dgm:cxn modelId="{77077A6D-A669-4069-A046-AB140056115E}" type="presOf" srcId="{16C321A4-4E3B-4FC0-BE74-4CD317E7CDBB}" destId="{D6540908-D93B-4F41-A1BB-BE6711FC20D4}" srcOrd="0" destOrd="0" presId="urn:microsoft.com/office/officeart/2005/8/layout/list1"/>
    <dgm:cxn modelId="{D24194E4-5723-4CF0-9B48-B90AF70213B0}" type="presOf" srcId="{CA1C8FF9-3E78-4874-B05D-C4A73C1936EA}" destId="{768F054A-210B-48E7-8824-7A2FD6036DCC}" srcOrd="0" destOrd="0" presId="urn:microsoft.com/office/officeart/2005/8/layout/list1"/>
    <dgm:cxn modelId="{6C9A4A4B-BD5A-41DB-B8BC-99764B46FF6B}" srcId="{379CAC03-BDB6-40E8-A41B-B18C31C64A24}" destId="{FE0BCC41-9AFE-46F2-A682-37F110E8B655}" srcOrd="2" destOrd="0" parTransId="{D79125D6-704E-4184-B860-37E57FBC6C7C}" sibTransId="{B120FA54-569D-4C21-95B2-DE4D1778F062}"/>
    <dgm:cxn modelId="{496BE045-9E39-4C20-8CB4-CFAA0773B373}" type="presOf" srcId="{3E734C09-2300-40F3-A253-83922B1F37C7}" destId="{1A129311-16E1-4453-A508-9F87B81AFA9C}" srcOrd="0" destOrd="0" presId="urn:microsoft.com/office/officeart/2005/8/layout/list1"/>
    <dgm:cxn modelId="{C31B4747-6CC2-4FF1-BEE4-325745E231A9}" type="presOf" srcId="{379CAC03-BDB6-40E8-A41B-B18C31C64A24}" destId="{F87FEA1E-3456-4E9D-B630-BE5C6E557DEA}" srcOrd="1" destOrd="0" presId="urn:microsoft.com/office/officeart/2005/8/layout/list1"/>
    <dgm:cxn modelId="{8939A819-D526-4E04-B035-82425395164B}" type="presOf" srcId="{0D068A65-B2EE-4D97-8D43-FD7DB93CEC74}" destId="{ECF8E06B-4953-4B61-B759-F26FB489DC54}" srcOrd="0" destOrd="1" presId="urn:microsoft.com/office/officeart/2005/8/layout/list1"/>
    <dgm:cxn modelId="{6004723C-EEC8-4E45-AADC-76A2E64C3D9E}" srcId="{3E734C09-2300-40F3-A253-83922B1F37C7}" destId="{16C321A4-4E3B-4FC0-BE74-4CD317E7CDBB}" srcOrd="0" destOrd="0" parTransId="{16CDE65B-3525-439B-A631-AE523484558F}" sibTransId="{311A5D91-3807-40E4-BA17-A0247B6930CE}"/>
    <dgm:cxn modelId="{4693E36D-87E7-44A2-A4C7-365446FE7A77}" type="presOf" srcId="{7BFF7426-26A0-4D91-868E-7DCB36B5A1F6}" destId="{ECF8E06B-4953-4B61-B759-F26FB489DC54}" srcOrd="0" destOrd="2" presId="urn:microsoft.com/office/officeart/2005/8/layout/list1"/>
    <dgm:cxn modelId="{CDAC29C9-631A-4676-99C7-313694A42489}" type="presOf" srcId="{379CAC03-BDB6-40E8-A41B-B18C31C64A24}" destId="{8A050B9C-1FC9-4EAB-A80A-76579D8B3551}" srcOrd="0" destOrd="0" presId="urn:microsoft.com/office/officeart/2005/8/layout/list1"/>
    <dgm:cxn modelId="{88536658-A276-4A10-9362-472767A24602}" type="presOf" srcId="{16C321A4-4E3B-4FC0-BE74-4CD317E7CDBB}" destId="{5C488E9A-4DD3-416E-A2D0-85F1E21DFBB2}" srcOrd="1" destOrd="0" presId="urn:microsoft.com/office/officeart/2005/8/layout/list1"/>
    <dgm:cxn modelId="{09AAC34C-D55F-4BD5-A3BA-C7D2E7F0F972}" srcId="{379CAC03-BDB6-40E8-A41B-B18C31C64A24}" destId="{135F0121-AD96-44C9-9F31-1D074BD30DB2}" srcOrd="1" destOrd="0" parTransId="{B22CC68F-0183-4310-A707-30297A0BEB2A}" sibTransId="{31AECED0-84E9-4A2C-8A51-B4790AA96935}"/>
    <dgm:cxn modelId="{9E997009-F350-45C5-9BB7-DF6E0EFCF5D1}" type="presOf" srcId="{64BDB29F-067F-4327-99B4-85319231415D}" destId="{ECF8E06B-4953-4B61-B759-F26FB489DC54}" srcOrd="0" destOrd="0" presId="urn:microsoft.com/office/officeart/2005/8/layout/list1"/>
    <dgm:cxn modelId="{3EC62722-757D-4BC6-B878-3DDD2B539C4F}" srcId="{16C321A4-4E3B-4FC0-BE74-4CD317E7CDBB}" destId="{64BDB29F-067F-4327-99B4-85319231415D}" srcOrd="0" destOrd="0" parTransId="{9BC7372C-6994-475C-BCD4-865EB7D9D693}" sibTransId="{B1EA7C28-0583-4D05-8B33-F966A784160B}"/>
    <dgm:cxn modelId="{58A173AA-B2A6-4E27-940B-872E21AEDE53}" type="presParOf" srcId="{1A129311-16E1-4453-A508-9F87B81AFA9C}" destId="{1368BA87-7F0A-454C-AD30-514D197FA795}" srcOrd="0" destOrd="0" presId="urn:microsoft.com/office/officeart/2005/8/layout/list1"/>
    <dgm:cxn modelId="{65B59186-EB82-47D0-97F7-11035D0A76BD}" type="presParOf" srcId="{1368BA87-7F0A-454C-AD30-514D197FA795}" destId="{D6540908-D93B-4F41-A1BB-BE6711FC20D4}" srcOrd="0" destOrd="0" presId="urn:microsoft.com/office/officeart/2005/8/layout/list1"/>
    <dgm:cxn modelId="{0A2BB3CB-E673-48E6-BBE4-480853CCF9BC}" type="presParOf" srcId="{1368BA87-7F0A-454C-AD30-514D197FA795}" destId="{5C488E9A-4DD3-416E-A2D0-85F1E21DFBB2}" srcOrd="1" destOrd="0" presId="urn:microsoft.com/office/officeart/2005/8/layout/list1"/>
    <dgm:cxn modelId="{1F83F777-11C2-4C14-A108-BC9A18C4406D}" type="presParOf" srcId="{1A129311-16E1-4453-A508-9F87B81AFA9C}" destId="{3BCF8BC8-9D3D-43F7-A630-5AC84897ED45}" srcOrd="1" destOrd="0" presId="urn:microsoft.com/office/officeart/2005/8/layout/list1"/>
    <dgm:cxn modelId="{38EE4AE5-524C-476E-BC70-7448982E29FC}" type="presParOf" srcId="{1A129311-16E1-4453-A508-9F87B81AFA9C}" destId="{ECF8E06B-4953-4B61-B759-F26FB489DC54}" srcOrd="2" destOrd="0" presId="urn:microsoft.com/office/officeart/2005/8/layout/list1"/>
    <dgm:cxn modelId="{6EF2C507-06C0-4625-B663-54DFC0F22658}" type="presParOf" srcId="{1A129311-16E1-4453-A508-9F87B81AFA9C}" destId="{0F5F8213-CF4D-4736-9E9A-5AE209FE38A7}" srcOrd="3" destOrd="0" presId="urn:microsoft.com/office/officeart/2005/8/layout/list1"/>
    <dgm:cxn modelId="{03D431E3-B6D6-429A-8948-E2F85AF753C0}" type="presParOf" srcId="{1A129311-16E1-4453-A508-9F87B81AFA9C}" destId="{F1E34514-3A21-4E8A-A5EA-EF90BFF52C7F}" srcOrd="4" destOrd="0" presId="urn:microsoft.com/office/officeart/2005/8/layout/list1"/>
    <dgm:cxn modelId="{6B920821-C5A8-44E1-86AE-4BEEF8144D6B}" type="presParOf" srcId="{F1E34514-3A21-4E8A-A5EA-EF90BFF52C7F}" destId="{8A050B9C-1FC9-4EAB-A80A-76579D8B3551}" srcOrd="0" destOrd="0" presId="urn:microsoft.com/office/officeart/2005/8/layout/list1"/>
    <dgm:cxn modelId="{A7C400FB-2BB8-4C5F-9683-108D42E92D50}" type="presParOf" srcId="{F1E34514-3A21-4E8A-A5EA-EF90BFF52C7F}" destId="{F87FEA1E-3456-4E9D-B630-BE5C6E557DEA}" srcOrd="1" destOrd="0" presId="urn:microsoft.com/office/officeart/2005/8/layout/list1"/>
    <dgm:cxn modelId="{AD010EA6-F8CD-437C-8B2E-E7016D2B4350}" type="presParOf" srcId="{1A129311-16E1-4453-A508-9F87B81AFA9C}" destId="{D7CE7C09-2FAC-45AE-A4C5-2820C2BF1AD7}" srcOrd="5" destOrd="0" presId="urn:microsoft.com/office/officeart/2005/8/layout/list1"/>
    <dgm:cxn modelId="{142797E1-FE9B-4BE8-B35F-5D61E5DAC449}" type="presParOf" srcId="{1A129311-16E1-4453-A508-9F87B81AFA9C}" destId="{768F054A-210B-48E7-8824-7A2FD6036DCC}" srcOrd="6"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8E06B-4953-4B61-B759-F26FB489DC54}">
      <dsp:nvSpPr>
        <dsp:cNvPr id="0" name=""/>
        <dsp:cNvSpPr/>
      </dsp:nvSpPr>
      <dsp:spPr>
        <a:xfrm>
          <a:off x="0" y="138690"/>
          <a:ext cx="5486400" cy="1411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66624" rIns="425806" bIns="64008" numCol="1" spcCol="1270" anchor="t" anchorCtr="0">
          <a:noAutofit/>
        </a:bodyPr>
        <a:lstStyle/>
        <a:p>
          <a:pPr marL="57150" lvl="1" indent="-57150" algn="just" defTabSz="400050">
            <a:lnSpc>
              <a:spcPct val="90000"/>
            </a:lnSpc>
            <a:spcBef>
              <a:spcPct val="0"/>
            </a:spcBef>
            <a:spcAft>
              <a:spcPct val="15000"/>
            </a:spcAft>
            <a:buChar char="••"/>
          </a:pPr>
          <a:r>
            <a:rPr lang="en-GB" sz="900" b="1" kern="1200"/>
            <a:t>Participants: </a:t>
          </a:r>
          <a:r>
            <a:rPr lang="en-GB" sz="900" kern="1200"/>
            <a:t>Respondents representing </a:t>
          </a:r>
          <a:r>
            <a:rPr lang="en-GB" sz="900" b="1" kern="1200"/>
            <a:t>20 </a:t>
          </a:r>
          <a:r>
            <a:rPr lang="en-GB" sz="900" kern="1200"/>
            <a:t>different companies and organisations, which represent the construction industry, professional associations and unions representing it, state institutions, non-governmental organisations, academic institutions, banks, as well as representatives of the private sector related to the construction industry.</a:t>
          </a:r>
        </a:p>
        <a:p>
          <a:pPr marL="57150" lvl="1" indent="-57150" algn="just" defTabSz="400050">
            <a:lnSpc>
              <a:spcPct val="90000"/>
            </a:lnSpc>
            <a:spcBef>
              <a:spcPct val="0"/>
            </a:spcBef>
            <a:spcAft>
              <a:spcPct val="15000"/>
            </a:spcAft>
            <a:buChar char="••"/>
          </a:pPr>
          <a:r>
            <a:rPr lang="en-GB" sz="900" b="1" kern="1200"/>
            <a:t>Objects of the study: </a:t>
          </a:r>
          <a:r>
            <a:rPr lang="en-GB" sz="900" kern="1200"/>
            <a:t>factors affecting changes in costs of labour force and construction materials; forecasts of changes in construction costs; impact of shadow economy combating measures; impact of volumes of construction products on costs and the average profit margin of the sector.</a:t>
          </a:r>
        </a:p>
        <a:p>
          <a:pPr marL="57150" lvl="1" indent="-57150" algn="just" defTabSz="400050">
            <a:lnSpc>
              <a:spcPct val="90000"/>
            </a:lnSpc>
            <a:spcBef>
              <a:spcPct val="0"/>
            </a:spcBef>
            <a:spcAft>
              <a:spcPct val="15000"/>
            </a:spcAft>
            <a:buChar char="••"/>
          </a:pPr>
          <a:r>
            <a:rPr lang="en-GB" sz="900" b="1" kern="1200"/>
            <a:t>Experts in macroeconomics were invited</a:t>
          </a:r>
          <a:r>
            <a:rPr lang="en-GB" sz="900" kern="1200"/>
            <a:t>, whose competence includes the evaluation of the impact of construction on the national economy.</a:t>
          </a:r>
        </a:p>
      </dsp:txBody>
      <dsp:txXfrm>
        <a:off x="0" y="138690"/>
        <a:ext cx="5486400" cy="1411200"/>
      </dsp:txXfrm>
    </dsp:sp>
    <dsp:sp modelId="{5C488E9A-4DD3-416E-A2D0-85F1E21DFBB2}">
      <dsp:nvSpPr>
        <dsp:cNvPr id="0" name=""/>
        <dsp:cNvSpPr/>
      </dsp:nvSpPr>
      <dsp:spPr>
        <a:xfrm>
          <a:off x="320043" y="74837"/>
          <a:ext cx="3840480" cy="23616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en-GB" sz="900" b="1" kern="1200"/>
            <a:t>Interview of general experts</a:t>
          </a:r>
        </a:p>
      </dsp:txBody>
      <dsp:txXfrm>
        <a:off x="331571" y="86365"/>
        <a:ext cx="3817424" cy="213104"/>
      </dsp:txXfrm>
    </dsp:sp>
    <dsp:sp modelId="{5011B033-A164-4872-B766-50030ED3C943}">
      <dsp:nvSpPr>
        <dsp:cNvPr id="0" name=""/>
        <dsp:cNvSpPr/>
      </dsp:nvSpPr>
      <dsp:spPr>
        <a:xfrm>
          <a:off x="0" y="1711170"/>
          <a:ext cx="5486400" cy="1537199"/>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66624" rIns="425806" bIns="64008" numCol="1" spcCol="1270" anchor="t" anchorCtr="0">
          <a:noAutofit/>
        </a:bodyPr>
        <a:lstStyle/>
        <a:p>
          <a:pPr marL="57150" lvl="1" indent="-57150" algn="just" defTabSz="400050">
            <a:lnSpc>
              <a:spcPct val="90000"/>
            </a:lnSpc>
            <a:spcBef>
              <a:spcPct val="0"/>
            </a:spcBef>
            <a:spcAft>
              <a:spcPct val="15000"/>
            </a:spcAft>
            <a:buChar char="••"/>
          </a:pPr>
          <a:r>
            <a:rPr lang="en-GB" sz="900" b="1" kern="1200"/>
            <a:t>Participants: </a:t>
          </a:r>
          <a:r>
            <a:rPr lang="en-GB" sz="900" kern="1200"/>
            <a:t>29 organisations, which represent the private sector related to the construction industry, state institutions, non-governmental organisations, academic institutions and banks. </a:t>
          </a:r>
        </a:p>
        <a:p>
          <a:pPr marL="57150" lvl="1" indent="-57150" algn="just" defTabSz="400050">
            <a:lnSpc>
              <a:spcPct val="90000"/>
            </a:lnSpc>
            <a:spcBef>
              <a:spcPct val="0"/>
            </a:spcBef>
            <a:spcAft>
              <a:spcPct val="15000"/>
            </a:spcAft>
            <a:buChar char="••"/>
          </a:pPr>
          <a:r>
            <a:rPr lang="en-GB" sz="900" b="1" kern="1200"/>
            <a:t>Experts invited from five groups of companies: </a:t>
          </a:r>
          <a:r>
            <a:rPr lang="en-GB" sz="900" kern="1200"/>
            <a:t>Construction of residential and non-residential buildings; Construction of transport objects; Construction of underground main pipelines; Construction of complex structures in production companies; construction of other civil engineering projects, including construction of electrical transmission lines.</a:t>
          </a:r>
        </a:p>
        <a:p>
          <a:pPr marL="57150" lvl="1" indent="-57150" algn="just" defTabSz="400050">
            <a:lnSpc>
              <a:spcPct val="90000"/>
            </a:lnSpc>
            <a:spcBef>
              <a:spcPct val="0"/>
            </a:spcBef>
            <a:spcAft>
              <a:spcPct val="15000"/>
            </a:spcAft>
            <a:buChar char="••"/>
          </a:pPr>
          <a:r>
            <a:rPr lang="en-GB" sz="900" b="1" kern="1200"/>
            <a:t>Adapted questions were prepared</a:t>
          </a:r>
          <a:r>
            <a:rPr lang="en-GB" sz="900" kern="1200"/>
            <a:t> for experts from each group and combined with general questions from the interview of general experts. The general questions focused on the evaluation of development of the construction industry, the adapted questions focused on development trends of, factor influencing a specific subsector, etc.</a:t>
          </a:r>
        </a:p>
      </dsp:txBody>
      <dsp:txXfrm>
        <a:off x="0" y="1711170"/>
        <a:ext cx="5486400" cy="1537199"/>
      </dsp:txXfrm>
    </dsp:sp>
    <dsp:sp modelId="{2FAF93DC-7685-4AF6-8A72-2FF465B1606A}">
      <dsp:nvSpPr>
        <dsp:cNvPr id="0" name=""/>
        <dsp:cNvSpPr/>
      </dsp:nvSpPr>
      <dsp:spPr>
        <a:xfrm>
          <a:off x="281940" y="1623571"/>
          <a:ext cx="3840480" cy="23616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en-GB" sz="900" b="1" kern="1200"/>
            <a:t>Interview of experts in subsectors</a:t>
          </a:r>
        </a:p>
      </dsp:txBody>
      <dsp:txXfrm>
        <a:off x="293468" y="1635099"/>
        <a:ext cx="3817424"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8E06B-4953-4B61-B759-F26FB489DC54}">
      <dsp:nvSpPr>
        <dsp:cNvPr id="0" name=""/>
        <dsp:cNvSpPr/>
      </dsp:nvSpPr>
      <dsp:spPr>
        <a:xfrm>
          <a:off x="0" y="28587"/>
          <a:ext cx="5486400" cy="149753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64008" numCol="1" spcCol="1270" anchor="t" anchorCtr="0">
          <a:noAutofit/>
        </a:bodyPr>
        <a:lstStyle/>
        <a:p>
          <a:pPr marL="57150" lvl="1" indent="-57150" algn="just" defTabSz="400050">
            <a:lnSpc>
              <a:spcPct val="90000"/>
            </a:lnSpc>
            <a:spcBef>
              <a:spcPct val="0"/>
            </a:spcBef>
            <a:spcAft>
              <a:spcPct val="15000"/>
            </a:spcAft>
            <a:buChar char="••"/>
          </a:pPr>
          <a:r>
            <a:rPr lang="en-GB" sz="900" kern="1200"/>
            <a:t>Statistical data were obtained using the statistical information on changes in costs of the construction industry available in the CSB database.</a:t>
          </a:r>
        </a:p>
        <a:p>
          <a:pPr marL="57150" lvl="1" indent="-57150" algn="just" defTabSz="400050">
            <a:lnSpc>
              <a:spcPct val="90000"/>
            </a:lnSpc>
            <a:spcBef>
              <a:spcPct val="0"/>
            </a:spcBef>
            <a:spcAft>
              <a:spcPct val="15000"/>
            </a:spcAft>
            <a:buChar char="••"/>
          </a:pPr>
          <a:r>
            <a:rPr lang="en-GB" sz="900" kern="1200"/>
            <a:t>Aggregated CSB indicators corresponding to the indicator being studied, index of construction costs, were used in the study. Indexes were used for studying of changes in general construction prices and for studying changes by types of resources and by groups of objects in the areas, where such data exist.</a:t>
          </a:r>
        </a:p>
        <a:p>
          <a:pPr marL="57150" lvl="1" indent="-57150" algn="just" defTabSz="400050">
            <a:lnSpc>
              <a:spcPct val="90000"/>
            </a:lnSpc>
            <a:spcBef>
              <a:spcPct val="0"/>
            </a:spcBef>
            <a:spcAft>
              <a:spcPct val="15000"/>
            </a:spcAft>
            <a:buChar char="••"/>
          </a:pPr>
          <a:r>
            <a:rPr lang="en-GB" sz="900" b="0" kern="1200"/>
            <a:t>State statistical data do not summarise information on changes in construction costs in such groups of objects: construction of complex structures in industrial manufacturing companies, construction of other civil engineering projects.</a:t>
          </a:r>
        </a:p>
      </dsp:txBody>
      <dsp:txXfrm>
        <a:off x="0" y="28587"/>
        <a:ext cx="5486400" cy="1497534"/>
      </dsp:txXfrm>
    </dsp:sp>
    <dsp:sp modelId="{5C488E9A-4DD3-416E-A2D0-85F1E21DFBB2}">
      <dsp:nvSpPr>
        <dsp:cNvPr id="0" name=""/>
        <dsp:cNvSpPr/>
      </dsp:nvSpPr>
      <dsp:spPr>
        <a:xfrm>
          <a:off x="223518" y="0"/>
          <a:ext cx="3840480" cy="20065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en-GB" sz="900" b="1" kern="1200"/>
            <a:t>Statistical trend analysis</a:t>
          </a:r>
        </a:p>
      </dsp:txBody>
      <dsp:txXfrm>
        <a:off x="233313" y="9795"/>
        <a:ext cx="3820890" cy="181060"/>
      </dsp:txXfrm>
    </dsp:sp>
    <dsp:sp modelId="{768F054A-210B-48E7-8824-7A2FD6036DCC}">
      <dsp:nvSpPr>
        <dsp:cNvPr id="0" name=""/>
        <dsp:cNvSpPr/>
      </dsp:nvSpPr>
      <dsp:spPr>
        <a:xfrm>
          <a:off x="0" y="1555762"/>
          <a:ext cx="5486400" cy="80325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64008" numCol="1" spcCol="1270" anchor="t" anchorCtr="0">
          <a:noAutofit/>
        </a:bodyPr>
        <a:lstStyle/>
        <a:p>
          <a:pPr marL="57150" lvl="1" indent="-57150" algn="just" defTabSz="400050">
            <a:lnSpc>
              <a:spcPct val="90000"/>
            </a:lnSpc>
            <a:spcBef>
              <a:spcPct val="0"/>
            </a:spcBef>
            <a:spcAft>
              <a:spcPct val="15000"/>
            </a:spcAft>
            <a:buChar char="••"/>
          </a:pPr>
          <a:r>
            <a:rPr lang="en-GB" sz="900" b="1" kern="1200"/>
            <a:t>Purpose: </a:t>
          </a:r>
          <a:r>
            <a:rPr lang="en-GB" sz="900" kern="1200"/>
            <a:t>to compensate for error and to improve credibility of the final forecast.</a:t>
          </a:r>
        </a:p>
        <a:p>
          <a:pPr marL="57150" lvl="1" indent="-57150" algn="just" defTabSz="400050">
            <a:lnSpc>
              <a:spcPct val="90000"/>
            </a:lnSpc>
            <a:spcBef>
              <a:spcPct val="0"/>
            </a:spcBef>
            <a:spcAft>
              <a:spcPct val="15000"/>
            </a:spcAft>
            <a:buChar char="••"/>
          </a:pPr>
          <a:r>
            <a:rPr lang="en-GB" sz="900" kern="1200"/>
            <a:t>Combine statistical and expert evaluation forecasts.</a:t>
          </a:r>
        </a:p>
        <a:p>
          <a:pPr marL="57150" lvl="1" indent="-57150" algn="just" defTabSz="400050">
            <a:lnSpc>
              <a:spcPct val="90000"/>
            </a:lnSpc>
            <a:spcBef>
              <a:spcPct val="0"/>
            </a:spcBef>
            <a:spcAft>
              <a:spcPct val="15000"/>
            </a:spcAft>
            <a:buChar char="••"/>
          </a:pPr>
          <a:r>
            <a:rPr lang="en-GB" sz="900" kern="1200"/>
            <a:t>Used in addition to the separate analysis of statistical information and expert evaluations.</a:t>
          </a:r>
        </a:p>
      </dsp:txBody>
      <dsp:txXfrm>
        <a:off x="0" y="1555762"/>
        <a:ext cx="5486400" cy="803250"/>
      </dsp:txXfrm>
    </dsp:sp>
    <dsp:sp modelId="{F87FEA1E-3456-4E9D-B630-BE5C6E557DEA}">
      <dsp:nvSpPr>
        <dsp:cNvPr id="0" name=""/>
        <dsp:cNvSpPr/>
      </dsp:nvSpPr>
      <dsp:spPr>
        <a:xfrm>
          <a:off x="255268" y="1562669"/>
          <a:ext cx="3840480" cy="170039"/>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en-GB" sz="900" b="1" kern="1200"/>
            <a:t>Combined forecasts </a:t>
          </a:r>
        </a:p>
      </dsp:txBody>
      <dsp:txXfrm>
        <a:off x="263569" y="1570970"/>
        <a:ext cx="3823878" cy="15343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1F4979"/>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7532F-6F1F-4AE5-9180-C6F1EB33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Pages>
  <Words>12683</Words>
  <Characters>72296</Characters>
  <Application>Microsoft Office Word</Application>
  <DocSecurity>0</DocSecurity>
  <Lines>602</Lines>
  <Paragraphs>169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 ziņojums</vt:lpstr>
      <vt:lpstr>EM ziņojums</vt:lpstr>
    </vt:vector>
  </TitlesOfParts>
  <Company/>
  <LinksUpToDate>false</LinksUpToDate>
  <CharactersWithSpaces>84810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 ziņojums</dc:title>
  <dc:subject>Rīga, 2019</dc:subject>
  <dc:creator>Vitolds Skutans</dc:creator>
  <cp:keywords/>
  <dc:description/>
  <cp:lastModifiedBy>Home</cp:lastModifiedBy>
  <cp:revision>30</cp:revision>
  <cp:lastPrinted>2019-07-12T10:21:00Z</cp:lastPrinted>
  <dcterms:created xsi:type="dcterms:W3CDTF">2019-09-06T14:17:00Z</dcterms:created>
  <dcterms:modified xsi:type="dcterms:W3CDTF">2019-10-29T12:57:00Z</dcterms:modified>
</cp:coreProperties>
</file>