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36FA" w14:textId="77777777" w:rsidR="00813D18" w:rsidRPr="00B25920" w:rsidRDefault="008D1746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B25920">
        <w:rPr>
          <w:rFonts w:ascii="Times New Roman" w:hAnsi="Times New Roman"/>
          <w:b/>
          <w:sz w:val="32"/>
          <w:szCs w:val="32"/>
          <w:lang w:val="lv-LV"/>
        </w:rPr>
        <w:t>Rīkojums</w:t>
      </w:r>
    </w:p>
    <w:p w14:paraId="534C36FB" w14:textId="77777777" w:rsidR="00D859C2" w:rsidRDefault="008D1746" w:rsidP="00813D1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14:paraId="534C36FC" w14:textId="77777777" w:rsidR="006116AD" w:rsidRDefault="006116AD" w:rsidP="00F338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534C36FD" w14:textId="77777777" w:rsidR="00517616" w:rsidRPr="00784FFA" w:rsidRDefault="008D1746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sz w:val="28"/>
          <w:szCs w:val="28"/>
          <w:lang w:val="lv-LV"/>
        </w:rPr>
        <w:t>Datums skatāms laika zīmogā Nr. 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1-6.1/2022/37</w:t>
      </w:r>
    </w:p>
    <w:p w14:paraId="534C36FE" w14:textId="77777777" w:rsidR="00F338FB" w:rsidRDefault="00F338FB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534C36FF" w14:textId="57E2B1FF" w:rsidR="003F7D1C" w:rsidRDefault="008D1746" w:rsidP="00F338FB">
      <w:pPr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3F7D1C">
        <w:rPr>
          <w:rFonts w:ascii="Times New Roman" w:hAnsi="Times New Roman"/>
          <w:noProof/>
          <w:sz w:val="28"/>
          <w:szCs w:val="28"/>
          <w:lang w:val="lv-LV"/>
        </w:rPr>
        <w:t>Nacionālās enerģētikas un klimata padomes enerģētikas darba grupa grupas nolikums</w:t>
      </w:r>
    </w:p>
    <w:p w14:paraId="2ED365DE" w14:textId="7EF7D481" w:rsidR="006E5B27" w:rsidRDefault="006E5B27" w:rsidP="00F338FB">
      <w:pPr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</w:p>
    <w:p w14:paraId="04A0576C" w14:textId="1B5E4F81" w:rsidR="006E5B27" w:rsidRDefault="008D1746" w:rsidP="00904CD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/>
        </w:rPr>
        <w:t xml:space="preserve">Apstiprināt </w:t>
      </w:r>
      <w:r w:rsidRPr="006E5B27">
        <w:rPr>
          <w:rFonts w:ascii="Times New Roman" w:hAnsi="Times New Roman"/>
          <w:noProof/>
          <w:sz w:val="28"/>
          <w:szCs w:val="28"/>
          <w:lang w:val="lv-LV"/>
        </w:rPr>
        <w:t>Nacionālās enerģētikas un klimata padomes enerģētikas darba grupa grupas nolikum</w:t>
      </w:r>
      <w:r>
        <w:rPr>
          <w:rFonts w:ascii="Times New Roman" w:hAnsi="Times New Roman"/>
          <w:noProof/>
          <w:sz w:val="28"/>
          <w:szCs w:val="28"/>
          <w:lang w:val="lv-LV"/>
        </w:rPr>
        <w:t>u:</w:t>
      </w:r>
    </w:p>
    <w:p w14:paraId="534C3700" w14:textId="77777777" w:rsidR="00F338FB" w:rsidRDefault="00F338FB" w:rsidP="00904C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0D1D319" w14:textId="0A33403E" w:rsidR="00BC793B" w:rsidRPr="00BC793B" w:rsidRDefault="008D174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1.1. </w:t>
      </w:r>
      <w:r w:rsidRPr="00BC793B">
        <w:rPr>
          <w:rFonts w:ascii="Times New Roman" w:hAnsi="Times New Roman"/>
          <w:sz w:val="28"/>
          <w:szCs w:val="28"/>
          <w:lang w:val="lv-LV"/>
        </w:rPr>
        <w:t>Enerģētikas darba grupas (turpmāk – darba grupa)  sēdes ir atklātas, tās materiāli un protokoli tiek publicēti Ekonomikas ministrijas tīmekļa vietnē. Darba grupu dalībnieki, piesakot savu dalību attiecīgās darba grupās, piekrīt darba grupu darbības ierakst</w:t>
      </w:r>
      <w:r w:rsidRPr="00BC793B">
        <w:rPr>
          <w:rFonts w:ascii="Times New Roman" w:hAnsi="Times New Roman"/>
          <w:sz w:val="28"/>
          <w:szCs w:val="28"/>
          <w:lang w:val="lv-LV"/>
        </w:rPr>
        <w:t>u veikšanai un publiskošanai.</w:t>
      </w:r>
    </w:p>
    <w:p w14:paraId="7C9C380D" w14:textId="3CE12BDB" w:rsidR="00BC793B" w:rsidRPr="00BC793B" w:rsidRDefault="008D174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1.2. 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Darba grupā iekļautās institūcijas tiek apstiprinātas saskaņā ar šī nolikuma pielikumu. </w:t>
      </w:r>
    </w:p>
    <w:p w14:paraId="101F3FFD" w14:textId="2E8A7E35" w:rsidR="00BC793B" w:rsidRPr="00BC793B" w:rsidRDefault="008D174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1.3. </w:t>
      </w:r>
      <w:r w:rsidRPr="00BC793B">
        <w:rPr>
          <w:rFonts w:ascii="Times New Roman" w:hAnsi="Times New Roman"/>
          <w:sz w:val="28"/>
          <w:szCs w:val="28"/>
          <w:lang w:val="lv-LV"/>
        </w:rPr>
        <w:t>Darba grupas vadītājs ir Ekonomikas ministrijas valsts sekretāra vietnieks enerģētikas jautājumos.</w:t>
      </w:r>
    </w:p>
    <w:p w14:paraId="19E68ABB" w14:textId="0A34AF64" w:rsidR="00BC793B" w:rsidRPr="00BC793B" w:rsidRDefault="008D174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1.4. </w:t>
      </w:r>
      <w:r w:rsidRPr="00BC793B">
        <w:rPr>
          <w:rFonts w:ascii="Times New Roman" w:hAnsi="Times New Roman"/>
          <w:sz w:val="28"/>
          <w:szCs w:val="28"/>
          <w:lang w:val="lv-LV"/>
        </w:rPr>
        <w:t>Daba grupas uzdevumi ir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: </w:t>
      </w:r>
    </w:p>
    <w:p w14:paraId="3C64D5CA" w14:textId="08D8F51E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>4.1. Izmaksu efektīvāko scenāriju un īstenošanas pasākumu analīze, lai sasniegtu valsts enerģētikas un energoefektivitātes mērķus, kā arī novērtētu enerģētikas sektora potenciālo devumu klimata mērķu sasniegšanai.</w:t>
      </w:r>
    </w:p>
    <w:p w14:paraId="036A8685" w14:textId="1EB0A764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>4.2. Enerģētikas apakšsektoru sekto</w:t>
      </w:r>
      <w:r w:rsidRPr="00BC793B">
        <w:rPr>
          <w:rFonts w:ascii="Times New Roman" w:hAnsi="Times New Roman"/>
          <w:sz w:val="28"/>
          <w:szCs w:val="28"/>
          <w:lang w:val="lv-LV"/>
        </w:rPr>
        <w:t>ru integrācijas lomas un tehnisko risinājumu analīze. Izvērtēt elektrifikācijas lomu un tās veicināšanu visos sektoros (t.sk. apkure, transports, rūpniecība, u.c.) kā vienu no galvenajiem instrumentiem klimata mērķu sasniegšanā.</w:t>
      </w:r>
    </w:p>
    <w:p w14:paraId="28B75184" w14:textId="3EB68405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>4.3. Bioloģisko resursu i</w:t>
      </w:r>
      <w:r w:rsidRPr="00BC793B">
        <w:rPr>
          <w:rFonts w:ascii="Times New Roman" w:hAnsi="Times New Roman"/>
          <w:sz w:val="28"/>
          <w:szCs w:val="28"/>
          <w:lang w:val="lv-LV"/>
        </w:rPr>
        <w:t>zmantošanas iespējas un nepieciešamības analīze un pamatojums enerģētikas un klimata mērķu sasniegšanai.</w:t>
      </w:r>
    </w:p>
    <w:p w14:paraId="1BBF0D72" w14:textId="6C65F983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>4.4. Zaļā kursa dokumentu analīze darba grupas kompetences jomās un uz datiem balstītu priekšlikumu sagatavošana Latvijas tiesību aktu izmaiņām.</w:t>
      </w:r>
    </w:p>
    <w:p w14:paraId="0B7395C0" w14:textId="76E5DD1D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4.5. Risinājumu, finanšu plūsmu analīze un priekšlikumi normatīvā regulējuma izmaiņām ar mērķi sekmēt iesaistīto partneru atbildību </w:t>
      </w:r>
      <w:r w:rsidRPr="00BC793B">
        <w:rPr>
          <w:rFonts w:ascii="Times New Roman" w:hAnsi="Times New Roman"/>
          <w:sz w:val="28"/>
          <w:szCs w:val="28"/>
          <w:lang w:val="lv-LV"/>
        </w:rPr>
        <w:lastRenderedPageBreak/>
        <w:t>energoefektivitātes rādītāju sasniegšanā.</w:t>
      </w:r>
    </w:p>
    <w:p w14:paraId="6C44973A" w14:textId="75BC3AE2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4.6. Izskatīt priekšlikumus par  pārvades un sadales infrastruktūras attīstību, 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nepieciešamo jaudu nodrošināšanu enerģētikas mērķu sasniegšanai, ņemot vērā ietekmes uz tarifiem un tautsaimniecību kopumā. </w:t>
      </w:r>
    </w:p>
    <w:p w14:paraId="1E6A79EB" w14:textId="1CF6BA5D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>4.7. Priekšlikumu sniegšana par enerģētiskās pieejamības nodrošināšanu visām patērētāju grupām, īpaši mājsaimniecībām ar zemiem i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enākumiem, un energoresusu cenu pieauguma iespējamiem kompensējošiem un atbalsta pasākumiem enerģētiskās nabadzības mazināšanai.  </w:t>
      </w:r>
    </w:p>
    <w:p w14:paraId="75D3EAEF" w14:textId="13423A0A" w:rsidR="00BC793B" w:rsidRPr="00BC793B" w:rsidRDefault="008D1746" w:rsidP="00904CDD">
      <w:pPr>
        <w:spacing w:after="0"/>
        <w:ind w:left="142" w:firstLine="1134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>4.8. Darba grupas rezultātu komunikācija sabiedrībai.</w:t>
      </w:r>
    </w:p>
    <w:p w14:paraId="5DE8C65D" w14:textId="6DDF5AC0" w:rsidR="00BC793B" w:rsidRPr="00BC793B" w:rsidRDefault="008D174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</w:t>
      </w:r>
      <w:r w:rsidRPr="00BC793B">
        <w:rPr>
          <w:rFonts w:ascii="Times New Roman" w:hAnsi="Times New Roman"/>
          <w:sz w:val="28"/>
          <w:szCs w:val="28"/>
          <w:lang w:val="lv-LV"/>
        </w:rPr>
        <w:t>5.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BC793B">
        <w:rPr>
          <w:rFonts w:ascii="Times New Roman" w:hAnsi="Times New Roman"/>
          <w:sz w:val="28"/>
          <w:szCs w:val="28"/>
          <w:lang w:val="lv-LV"/>
        </w:rPr>
        <w:t>Darba grupa rekomendācijas tiek pieņemtas pēc vienprātības princ</w:t>
      </w:r>
      <w:r w:rsidRPr="00BC793B">
        <w:rPr>
          <w:rFonts w:ascii="Times New Roman" w:hAnsi="Times New Roman"/>
          <w:sz w:val="28"/>
          <w:szCs w:val="28"/>
          <w:lang w:val="lv-LV"/>
        </w:rPr>
        <w:t>ipa.</w:t>
      </w:r>
    </w:p>
    <w:p w14:paraId="460EBB38" w14:textId="21D51E1B" w:rsidR="00BC793B" w:rsidRPr="00BC793B" w:rsidRDefault="008D174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1.6. </w:t>
      </w:r>
      <w:r w:rsidRPr="00BC793B">
        <w:rPr>
          <w:rFonts w:ascii="Times New Roman" w:hAnsi="Times New Roman"/>
          <w:sz w:val="28"/>
          <w:szCs w:val="28"/>
          <w:lang w:val="lv-LV"/>
        </w:rPr>
        <w:t>Gadījumā, ja viedokļi atšķiras, tiek protokolēti atšķirīgie viedokļi.</w:t>
      </w:r>
    </w:p>
    <w:p w14:paraId="7520FA7F" w14:textId="26ECFB2E" w:rsidR="006E5B27" w:rsidRDefault="008D174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1.7.</w:t>
      </w:r>
      <w:r w:rsidR="00915993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BC793B" w:rsidRPr="00BC793B">
        <w:rPr>
          <w:rFonts w:ascii="Times New Roman" w:hAnsi="Times New Roman"/>
          <w:sz w:val="28"/>
          <w:szCs w:val="28"/>
          <w:lang w:val="lv-LV"/>
        </w:rPr>
        <w:t>Ekonomikas ministrija ziņo par darba grupas rezultātiem un rekomendācijām Nacionālajai enerģētikas un klimata padomei.</w:t>
      </w:r>
    </w:p>
    <w:p w14:paraId="6C6CD51F" w14:textId="77777777" w:rsidR="00222506" w:rsidRDefault="00222506" w:rsidP="00904CD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34C3702" w14:textId="78A0B62F" w:rsidR="00871F43" w:rsidRDefault="008D1746" w:rsidP="00904C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2. Uzdot Ekonomikas ministrijas </w:t>
      </w:r>
      <w:r>
        <w:rPr>
          <w:rFonts w:ascii="Times New Roman" w:hAnsi="Times New Roman"/>
          <w:sz w:val="28"/>
          <w:szCs w:val="28"/>
          <w:lang w:val="lv-LV"/>
        </w:rPr>
        <w:t>Ilgtspējīgas enerģētikas politikas departamentam īstenot darba grupas sekretariāta funkcijas.</w:t>
      </w:r>
    </w:p>
    <w:p w14:paraId="102F10B5" w14:textId="77777777" w:rsidR="00904CDD" w:rsidRDefault="00904CDD" w:rsidP="00BC793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34C3703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534C3704" w14:textId="487A1F63" w:rsidR="00517616" w:rsidRDefault="008D1746" w:rsidP="00904CDD">
      <w:pPr>
        <w:tabs>
          <w:tab w:val="left" w:pos="7088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8"/>
          <w:szCs w:val="28"/>
          <w:lang w:val="lv-LV"/>
        </w:rPr>
        <w:t>Valsts sekretārs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Edmunds Valantis</w:t>
      </w:r>
    </w:p>
    <w:p w14:paraId="1012EB9D" w14:textId="77777777" w:rsidR="00904CDD" w:rsidRDefault="00904CDD" w:rsidP="00904CDD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534C3705" w14:textId="77777777" w:rsidR="00377382" w:rsidRPr="00784FFA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884F1D" w14:paraId="534C3707" w14:textId="77777777" w:rsidTr="00904CDD">
        <w:trPr>
          <w:cantSplit/>
          <w:trHeight w:val="579"/>
        </w:trPr>
        <w:tc>
          <w:tcPr>
            <w:tcW w:w="8222" w:type="dxa"/>
            <w:vAlign w:val="center"/>
          </w:tcPr>
          <w:p w14:paraId="534C3706" w14:textId="7F68D628" w:rsidR="00904CDD" w:rsidRDefault="008D1746" w:rsidP="00904CDD">
            <w:pPr>
              <w:pStyle w:val="BodyTextIndent"/>
              <w:spacing w:before="0" w:after="0"/>
              <w:ind w:left="0"/>
              <w:jc w:val="center"/>
            </w:pPr>
            <w:r>
              <w:t>ŠIS DOKUMENTS IR ELEKTRONISKI PARAKSTĪTS AR DROŠU ELEKTRONISKO PARAKSTU UN SATUR LAIKA ZĪMOGU</w:t>
            </w:r>
          </w:p>
        </w:tc>
      </w:tr>
    </w:tbl>
    <w:p w14:paraId="534C3708" w14:textId="77777777" w:rsidR="00067964" w:rsidRDefault="00067964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534C3709" w14:textId="77777777" w:rsidR="00517616" w:rsidRPr="00784FFA" w:rsidRDefault="008D1746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Einārs Cilinskis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67013040</w:t>
      </w:r>
    </w:p>
    <w:p w14:paraId="534C370A" w14:textId="3E416574" w:rsidR="00BC793B" w:rsidRDefault="008D1746" w:rsidP="00D4379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  <w:hyperlink r:id="rId7" w:history="1">
        <w:r w:rsidRPr="00F47222">
          <w:rPr>
            <w:rStyle w:val="Hyperlink"/>
            <w:rFonts w:ascii="Times New Roman" w:hAnsi="Times New Roman"/>
            <w:noProof/>
            <w:sz w:val="20"/>
            <w:szCs w:val="20"/>
            <w:lang w:val="lv-LV"/>
          </w:rPr>
          <w:t>einars.cilinskis@em.gov.lv</w:t>
        </w:r>
      </w:hyperlink>
    </w:p>
    <w:p w14:paraId="73B338B7" w14:textId="13ABDC9A" w:rsidR="00BC793B" w:rsidRPr="00BC793B" w:rsidRDefault="008D1746" w:rsidP="00BC793B">
      <w:pPr>
        <w:spacing w:before="240" w:after="240"/>
        <w:jc w:val="right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noProof/>
          <w:sz w:val="20"/>
          <w:szCs w:val="20"/>
          <w:lang w:val="lv-LV"/>
        </w:rPr>
        <w:br w:type="page"/>
      </w:r>
      <w:r w:rsidRPr="00BC793B">
        <w:rPr>
          <w:rFonts w:ascii="Times New Roman" w:hAnsi="Times New Roman"/>
          <w:sz w:val="28"/>
          <w:szCs w:val="28"/>
          <w:lang w:val="lv-LV"/>
        </w:rPr>
        <w:lastRenderedPageBreak/>
        <w:t>Pielikums</w:t>
      </w:r>
      <w:r w:rsidRPr="00BC793B">
        <w:rPr>
          <w:sz w:val="28"/>
          <w:szCs w:val="28"/>
          <w:lang w:val="lv-LV"/>
        </w:rPr>
        <w:t xml:space="preserve"> 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Ekonomikas ministrijas rīkojumam “Nacionālās enerģētikas un klimata padomes enerģētikas darba grupa grupas nolikums” </w:t>
      </w:r>
    </w:p>
    <w:p w14:paraId="3D93AE81" w14:textId="77777777" w:rsidR="00BC793B" w:rsidRPr="00BC793B" w:rsidRDefault="008D1746" w:rsidP="00BC793B">
      <w:pPr>
        <w:spacing w:before="240" w:after="24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/>
          <w:bCs/>
          <w:sz w:val="28"/>
          <w:szCs w:val="28"/>
          <w:lang w:val="lv-LV"/>
        </w:rPr>
        <w:t xml:space="preserve">Darba grupā iekļautās institūcijas </w:t>
      </w:r>
    </w:p>
    <w:p w14:paraId="659A6599" w14:textId="77777777" w:rsidR="00BC793B" w:rsidRPr="00BC793B" w:rsidRDefault="008D1746" w:rsidP="00BC793B">
      <w:pPr>
        <w:spacing w:before="120" w:after="120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>Ekono</w:t>
      </w:r>
      <w:r w:rsidRPr="00BC793B">
        <w:rPr>
          <w:rFonts w:ascii="Times New Roman" w:hAnsi="Times New Roman"/>
          <w:sz w:val="28"/>
          <w:szCs w:val="28"/>
          <w:lang w:val="lv-LV"/>
        </w:rPr>
        <w:t xml:space="preserve">mikas ministrija </w:t>
      </w:r>
    </w:p>
    <w:p w14:paraId="6F389D82" w14:textId="77777777" w:rsidR="00BC793B" w:rsidRPr="00BC793B" w:rsidRDefault="008D1746" w:rsidP="00BC793B">
      <w:pPr>
        <w:jc w:val="both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>Vides aizsardzības un reģionālās attīstības ministrija</w:t>
      </w:r>
    </w:p>
    <w:p w14:paraId="69FF78E3" w14:textId="77777777" w:rsidR="00BC793B" w:rsidRPr="00BC793B" w:rsidRDefault="008D1746" w:rsidP="00BC793B">
      <w:pPr>
        <w:spacing w:before="120" w:after="120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 xml:space="preserve">Satiksmes ministrija </w:t>
      </w:r>
    </w:p>
    <w:p w14:paraId="08CD95A1" w14:textId="77777777" w:rsidR="00BC793B" w:rsidRPr="00BC793B" w:rsidRDefault="008D1746" w:rsidP="00BC793B">
      <w:pPr>
        <w:spacing w:before="120" w:after="120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>Finanšu institūcija ALTUM</w:t>
      </w:r>
    </w:p>
    <w:p w14:paraId="51F1E9F3" w14:textId="77777777" w:rsidR="00BC793B" w:rsidRPr="00BC793B" w:rsidRDefault="008D1746" w:rsidP="00BC793B">
      <w:pPr>
        <w:spacing w:before="120" w:after="120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eastAsia="Times New Roman" w:hAnsi="Times New Roman"/>
          <w:sz w:val="28"/>
          <w:szCs w:val="28"/>
          <w:lang w:val="lv-LV"/>
        </w:rPr>
        <w:t xml:space="preserve">Būvniecības valsts kontroles birojs </w:t>
      </w:r>
    </w:p>
    <w:p w14:paraId="48A8EC6A" w14:textId="77777777" w:rsidR="00BC793B" w:rsidRPr="00BC793B" w:rsidRDefault="008D1746" w:rsidP="00BC793B">
      <w:pPr>
        <w:spacing w:before="120" w:after="120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 xml:space="preserve">A/S “Augstsprieguma tīkli” </w:t>
      </w:r>
    </w:p>
    <w:p w14:paraId="13826FE2" w14:textId="77777777" w:rsidR="00BC793B" w:rsidRPr="00BC793B" w:rsidRDefault="008D1746" w:rsidP="00BC793B">
      <w:pPr>
        <w:spacing w:before="120" w:after="120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 xml:space="preserve">A/S “Sadales tīkli” </w:t>
      </w:r>
    </w:p>
    <w:p w14:paraId="0E0AEE9F" w14:textId="77777777" w:rsidR="00BC793B" w:rsidRPr="00BC793B" w:rsidRDefault="008D1746" w:rsidP="00BC793B">
      <w:pPr>
        <w:spacing w:before="120" w:after="120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 xml:space="preserve">Latvijas siltumuzņēmumu asociācija </w:t>
      </w:r>
    </w:p>
    <w:p w14:paraId="5471021B" w14:textId="77777777" w:rsidR="00BC793B" w:rsidRPr="00BC793B" w:rsidRDefault="008D1746" w:rsidP="00BC793B">
      <w:pPr>
        <w:ind w:right="141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 xml:space="preserve">Ārvalstu investoru padome Latvijā </w:t>
      </w:r>
    </w:p>
    <w:p w14:paraId="2EE54DAA" w14:textId="77777777" w:rsidR="00BC793B" w:rsidRPr="00BC793B" w:rsidRDefault="008D1746" w:rsidP="00BC793B">
      <w:pPr>
        <w:ind w:right="141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 xml:space="preserve">Latvijas pašvaldību savienība </w:t>
      </w:r>
    </w:p>
    <w:p w14:paraId="2DE132F9" w14:textId="77777777" w:rsidR="00BC793B" w:rsidRPr="00BC793B" w:rsidRDefault="008D1746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>Latvijas Tirdzniecības un rūpniecības kamera</w:t>
      </w:r>
    </w:p>
    <w:p w14:paraId="336D477C" w14:textId="77777777" w:rsidR="00BC793B" w:rsidRPr="00BC793B" w:rsidRDefault="008D1746" w:rsidP="00BC793B">
      <w:pPr>
        <w:spacing w:before="120" w:after="120"/>
        <w:ind w:right="-613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 xml:space="preserve">Latvijas Darba devēju konfederācija </w:t>
      </w:r>
    </w:p>
    <w:p w14:paraId="025C2F66" w14:textId="77777777" w:rsidR="00BC793B" w:rsidRPr="00BC793B" w:rsidRDefault="008D1746" w:rsidP="00BC793B">
      <w:pPr>
        <w:ind w:right="141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>Latvijas Brīvo arodbiedrību savienība</w:t>
      </w:r>
    </w:p>
    <w:p w14:paraId="17D5AE6B" w14:textId="77777777" w:rsidR="00BC793B" w:rsidRPr="00BC793B" w:rsidRDefault="008D1746" w:rsidP="00BC793B">
      <w:pPr>
        <w:ind w:right="141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>Latvijas finanšu nozares asociācija</w:t>
      </w:r>
    </w:p>
    <w:p w14:paraId="024696AA" w14:textId="77777777" w:rsidR="00BC793B" w:rsidRPr="00BC793B" w:rsidRDefault="008D1746" w:rsidP="00BC793B">
      <w:pPr>
        <w:ind w:right="141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>Atjaunojamās enerģijas federācija</w:t>
      </w:r>
    </w:p>
    <w:p w14:paraId="71FCF7C8" w14:textId="77777777" w:rsidR="00BC793B" w:rsidRPr="00BC793B" w:rsidRDefault="008D1746" w:rsidP="00BC793B">
      <w:pPr>
        <w:ind w:right="141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 xml:space="preserve">Biedrība "Zaļā brīvība" </w:t>
      </w:r>
    </w:p>
    <w:p w14:paraId="61AD5D78" w14:textId="77777777" w:rsidR="00BC793B" w:rsidRPr="00BC793B" w:rsidRDefault="008D1746" w:rsidP="00BC793B">
      <w:pPr>
        <w:ind w:right="141"/>
        <w:rPr>
          <w:rFonts w:ascii="Times New Roman" w:hAnsi="Times New Roman"/>
          <w:sz w:val="28"/>
          <w:szCs w:val="28"/>
          <w:lang w:val="lv-LV"/>
        </w:rPr>
      </w:pPr>
      <w:r w:rsidRPr="00BC793B">
        <w:rPr>
          <w:rFonts w:ascii="Times New Roman" w:hAnsi="Times New Roman"/>
          <w:sz w:val="28"/>
          <w:szCs w:val="28"/>
          <w:lang w:val="lv-LV"/>
        </w:rPr>
        <w:t>Vēja enerģijas asociācija</w:t>
      </w:r>
    </w:p>
    <w:p w14:paraId="52E7A88C" w14:textId="77777777" w:rsidR="00BC793B" w:rsidRPr="00BC793B" w:rsidRDefault="008D1746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 xml:space="preserve">A/S Gaso </w:t>
      </w:r>
    </w:p>
    <w:p w14:paraId="1C39E88A" w14:textId="77777777" w:rsidR="00BC793B" w:rsidRPr="00BC793B" w:rsidRDefault="008D1746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>A/S Conexus Baltic Grid</w:t>
      </w:r>
    </w:p>
    <w:p w14:paraId="749ABC43" w14:textId="77777777" w:rsidR="00BC793B" w:rsidRPr="00BC793B" w:rsidRDefault="008D1746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 xml:space="preserve">Rīgas tehniskā universitāte </w:t>
      </w:r>
    </w:p>
    <w:p w14:paraId="6F355724" w14:textId="77777777" w:rsidR="00BC793B" w:rsidRPr="00BC793B" w:rsidRDefault="008D1746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>Fizikālās enerģētikas institūts</w:t>
      </w:r>
    </w:p>
    <w:p w14:paraId="6C5CE335" w14:textId="77777777" w:rsidR="00BC793B" w:rsidRPr="00BC793B" w:rsidRDefault="008D1746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>Latvijas universitāte</w:t>
      </w:r>
    </w:p>
    <w:p w14:paraId="42854E15" w14:textId="77777777" w:rsidR="00BC793B" w:rsidRPr="00BC793B" w:rsidRDefault="008D1746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  <w:r w:rsidRPr="00BC793B">
        <w:rPr>
          <w:rFonts w:ascii="Times New Roman" w:hAnsi="Times New Roman"/>
          <w:bCs/>
          <w:sz w:val="28"/>
          <w:szCs w:val="28"/>
          <w:lang w:val="lv-LV"/>
        </w:rPr>
        <w:t>Latvijas Lauksaimniecības universitāte</w:t>
      </w:r>
    </w:p>
    <w:p w14:paraId="0F114FC7" w14:textId="77777777" w:rsidR="00BC793B" w:rsidRPr="00BC793B" w:rsidRDefault="00BC793B" w:rsidP="00BC793B">
      <w:pPr>
        <w:spacing w:before="120" w:after="120"/>
        <w:rPr>
          <w:rFonts w:ascii="Times New Roman" w:hAnsi="Times New Roman"/>
          <w:bCs/>
          <w:sz w:val="28"/>
          <w:szCs w:val="28"/>
          <w:lang w:val="lv-LV"/>
        </w:rPr>
      </w:pPr>
    </w:p>
    <w:p w14:paraId="2B1ADB76" w14:textId="4389D789" w:rsidR="002E1474" w:rsidRPr="00BC793B" w:rsidRDefault="002E1474" w:rsidP="00D4379D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sectPr w:rsidR="002E1474" w:rsidRPr="00BC793B" w:rsidSect="009B355D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D8AF1" w14:textId="77777777" w:rsidR="00000000" w:rsidRDefault="008D1746">
      <w:pPr>
        <w:spacing w:after="0" w:line="240" w:lineRule="auto"/>
      </w:pPr>
      <w:r>
        <w:separator/>
      </w:r>
    </w:p>
  </w:endnote>
  <w:endnote w:type="continuationSeparator" w:id="0">
    <w:p w14:paraId="277EFE3E" w14:textId="77777777" w:rsidR="00000000" w:rsidRDefault="008D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8839B" w14:textId="77777777" w:rsidR="00000000" w:rsidRDefault="008D1746">
      <w:pPr>
        <w:spacing w:after="0" w:line="240" w:lineRule="auto"/>
      </w:pPr>
      <w:r>
        <w:separator/>
      </w:r>
    </w:p>
  </w:footnote>
  <w:footnote w:type="continuationSeparator" w:id="0">
    <w:p w14:paraId="71877E37" w14:textId="77777777" w:rsidR="00000000" w:rsidRDefault="008D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370B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0C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0D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0E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0F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10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11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12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13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14" w14:textId="77777777" w:rsidR="009B355D" w:rsidRDefault="009B355D" w:rsidP="009B355D">
    <w:pPr>
      <w:pStyle w:val="Header"/>
      <w:rPr>
        <w:rFonts w:ascii="Times New Roman" w:hAnsi="Times New Roman"/>
      </w:rPr>
    </w:pPr>
  </w:p>
  <w:p w14:paraId="534C3715" w14:textId="77777777" w:rsidR="009B355D" w:rsidRDefault="009B355D">
    <w:pPr>
      <w:pStyle w:val="Header"/>
      <w:rPr>
        <w:rFonts w:ascii="Times New Roman" w:hAnsi="Times New Roman"/>
      </w:rPr>
    </w:pPr>
  </w:p>
  <w:p w14:paraId="534C3716" w14:textId="3BEA2069" w:rsidR="009B355D" w:rsidRPr="009B355D" w:rsidRDefault="008D1746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6E61D" wp14:editId="58FEA418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F2D200" wp14:editId="16A14B8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C371A" w14:textId="77777777" w:rsidR="009B355D" w:rsidRDefault="008D1746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Rīga,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LV-1519, tālr. 67013100, fakss 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2D20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PP0/G3gAAAADAEAAA8AAAAAAAAAAAAAAAAAQwQAAGRycy9kb3du&#10;cmV2LnhtbFBLBQYAAAAABAAEAPMAAABQBQAAAAA=&#10;" filled="f" stroked="f">
              <v:textbox inset="0,0,0,0">
                <w:txbxContent>
                  <w:p w14:paraId="534C371A" w14:textId="77777777" w:rsidR="009B355D" w:rsidRDefault="008D1746" w:rsidP="009B355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Rīga,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LV-1519, tālr. 67013100, fakss 67280882, e-pasts pasts@em.gov.lv,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FAEE6E" wp14:editId="7453273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8E2ABD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9B6E4B"/>
    <w:multiLevelType w:val="hybridMultilevel"/>
    <w:tmpl w:val="2484678A"/>
    <w:lvl w:ilvl="0" w:tplc="7612E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40F62" w:tentative="1">
      <w:start w:val="1"/>
      <w:numFmt w:val="lowerLetter"/>
      <w:lvlText w:val="%2."/>
      <w:lvlJc w:val="left"/>
      <w:pPr>
        <w:ind w:left="1440" w:hanging="360"/>
      </w:pPr>
    </w:lvl>
    <w:lvl w:ilvl="2" w:tplc="68AAB4EA" w:tentative="1">
      <w:start w:val="1"/>
      <w:numFmt w:val="lowerRoman"/>
      <w:lvlText w:val="%3."/>
      <w:lvlJc w:val="right"/>
      <w:pPr>
        <w:ind w:left="2160" w:hanging="180"/>
      </w:pPr>
    </w:lvl>
    <w:lvl w:ilvl="3" w:tplc="03CAA2F0" w:tentative="1">
      <w:start w:val="1"/>
      <w:numFmt w:val="decimal"/>
      <w:lvlText w:val="%4."/>
      <w:lvlJc w:val="left"/>
      <w:pPr>
        <w:ind w:left="2880" w:hanging="360"/>
      </w:pPr>
    </w:lvl>
    <w:lvl w:ilvl="4" w:tplc="6E74F57E" w:tentative="1">
      <w:start w:val="1"/>
      <w:numFmt w:val="lowerLetter"/>
      <w:lvlText w:val="%5."/>
      <w:lvlJc w:val="left"/>
      <w:pPr>
        <w:ind w:left="3600" w:hanging="360"/>
      </w:pPr>
    </w:lvl>
    <w:lvl w:ilvl="5" w:tplc="77C2D7E8" w:tentative="1">
      <w:start w:val="1"/>
      <w:numFmt w:val="lowerRoman"/>
      <w:lvlText w:val="%6."/>
      <w:lvlJc w:val="right"/>
      <w:pPr>
        <w:ind w:left="4320" w:hanging="180"/>
      </w:pPr>
    </w:lvl>
    <w:lvl w:ilvl="6" w:tplc="62548C16" w:tentative="1">
      <w:start w:val="1"/>
      <w:numFmt w:val="decimal"/>
      <w:lvlText w:val="%7."/>
      <w:lvlJc w:val="left"/>
      <w:pPr>
        <w:ind w:left="5040" w:hanging="360"/>
      </w:pPr>
    </w:lvl>
    <w:lvl w:ilvl="7" w:tplc="AFFE448A" w:tentative="1">
      <w:start w:val="1"/>
      <w:numFmt w:val="lowerLetter"/>
      <w:lvlText w:val="%8."/>
      <w:lvlJc w:val="left"/>
      <w:pPr>
        <w:ind w:left="5760" w:hanging="360"/>
      </w:pPr>
    </w:lvl>
    <w:lvl w:ilvl="8" w:tplc="CF5457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A96"/>
    <w:rsid w:val="00030349"/>
    <w:rsid w:val="00045B96"/>
    <w:rsid w:val="00067964"/>
    <w:rsid w:val="00084483"/>
    <w:rsid w:val="000A6346"/>
    <w:rsid w:val="00114B10"/>
    <w:rsid w:val="00124173"/>
    <w:rsid w:val="001434A8"/>
    <w:rsid w:val="001653F6"/>
    <w:rsid w:val="001D144B"/>
    <w:rsid w:val="00222506"/>
    <w:rsid w:val="00275B9E"/>
    <w:rsid w:val="002765F2"/>
    <w:rsid w:val="002872EF"/>
    <w:rsid w:val="002B3077"/>
    <w:rsid w:val="002C4CD8"/>
    <w:rsid w:val="002E1474"/>
    <w:rsid w:val="00377382"/>
    <w:rsid w:val="003F7D1C"/>
    <w:rsid w:val="00435B3B"/>
    <w:rsid w:val="00484B00"/>
    <w:rsid w:val="004B318D"/>
    <w:rsid w:val="00517616"/>
    <w:rsid w:val="00520AB9"/>
    <w:rsid w:val="00535564"/>
    <w:rsid w:val="0056121B"/>
    <w:rsid w:val="00582C37"/>
    <w:rsid w:val="005E0D83"/>
    <w:rsid w:val="006116AD"/>
    <w:rsid w:val="006448DC"/>
    <w:rsid w:val="00652D7A"/>
    <w:rsid w:val="00663C3A"/>
    <w:rsid w:val="00686C3C"/>
    <w:rsid w:val="00693967"/>
    <w:rsid w:val="006C1639"/>
    <w:rsid w:val="006D3871"/>
    <w:rsid w:val="006E5B27"/>
    <w:rsid w:val="00762903"/>
    <w:rsid w:val="007704BD"/>
    <w:rsid w:val="00784FFA"/>
    <w:rsid w:val="00794D42"/>
    <w:rsid w:val="007B3BA5"/>
    <w:rsid w:val="007B48EC"/>
    <w:rsid w:val="007E4D1F"/>
    <w:rsid w:val="00805F83"/>
    <w:rsid w:val="00813D18"/>
    <w:rsid w:val="00815277"/>
    <w:rsid w:val="00871F43"/>
    <w:rsid w:val="00876C21"/>
    <w:rsid w:val="00884F1D"/>
    <w:rsid w:val="008C5DCC"/>
    <w:rsid w:val="008D1746"/>
    <w:rsid w:val="00904CDD"/>
    <w:rsid w:val="00915993"/>
    <w:rsid w:val="00954D5A"/>
    <w:rsid w:val="009A1DA5"/>
    <w:rsid w:val="009B355D"/>
    <w:rsid w:val="00A16D66"/>
    <w:rsid w:val="00A36131"/>
    <w:rsid w:val="00A623FB"/>
    <w:rsid w:val="00A831CA"/>
    <w:rsid w:val="00B25920"/>
    <w:rsid w:val="00B71D61"/>
    <w:rsid w:val="00BC793B"/>
    <w:rsid w:val="00C47F57"/>
    <w:rsid w:val="00C84A8E"/>
    <w:rsid w:val="00D21FA6"/>
    <w:rsid w:val="00D30F75"/>
    <w:rsid w:val="00D4379D"/>
    <w:rsid w:val="00D55B4B"/>
    <w:rsid w:val="00D859C2"/>
    <w:rsid w:val="00E365CE"/>
    <w:rsid w:val="00E57795"/>
    <w:rsid w:val="00ED2ED7"/>
    <w:rsid w:val="00F338FB"/>
    <w:rsid w:val="00F47222"/>
    <w:rsid w:val="00F60586"/>
    <w:rsid w:val="00F7274A"/>
    <w:rsid w:val="00FA502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534C36FA"/>
  <w15:chartTrackingRefBased/>
  <w15:docId w15:val="{35C8F9C1-970F-4593-815F-5A2433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rsid w:val="00BC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ars.cilinski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Einārs Cilinskis</cp:lastModifiedBy>
  <cp:revision>2</cp:revision>
  <dcterms:created xsi:type="dcterms:W3CDTF">2022-03-24T15:13:00Z</dcterms:created>
  <dcterms:modified xsi:type="dcterms:W3CDTF">2022-03-24T15:13:00Z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