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9B44" w14:textId="70BC4130" w:rsidR="003E6D7D" w:rsidRDefault="00842CA9" w:rsidP="00B57432">
      <w:pPr>
        <w:jc w:val="center"/>
        <w:rPr>
          <w:rFonts w:ascii="Times New Roman" w:hAnsi="Times New Roman" w:cs="Times New Roman"/>
          <w:b/>
          <w:bCs/>
          <w:sz w:val="28"/>
          <w:szCs w:val="28"/>
        </w:rPr>
      </w:pPr>
      <w:r w:rsidRPr="003E6D7D">
        <w:rPr>
          <w:rFonts w:ascii="Times New Roman" w:hAnsi="Times New Roman" w:cs="Times New Roman"/>
          <w:b/>
          <w:bCs/>
          <w:sz w:val="28"/>
          <w:szCs w:val="28"/>
        </w:rPr>
        <w:t>Apsvērumi, kas jāņem vēra</w:t>
      </w:r>
    </w:p>
    <w:p w14:paraId="6052D370" w14:textId="5C3FECAD" w:rsidR="00842CA9" w:rsidRPr="003E6D7D" w:rsidRDefault="00842CA9" w:rsidP="003E6D7D">
      <w:pPr>
        <w:jc w:val="center"/>
        <w:rPr>
          <w:rFonts w:ascii="Times New Roman" w:hAnsi="Times New Roman" w:cs="Times New Roman"/>
          <w:b/>
          <w:bCs/>
          <w:sz w:val="28"/>
          <w:szCs w:val="28"/>
        </w:rPr>
      </w:pPr>
      <w:r w:rsidRPr="003E6D7D">
        <w:rPr>
          <w:rFonts w:ascii="Times New Roman" w:hAnsi="Times New Roman" w:cs="Times New Roman"/>
          <w:b/>
          <w:bCs/>
          <w:sz w:val="28"/>
          <w:szCs w:val="28"/>
        </w:rPr>
        <w:t>grozot spēkā esošus publiskus būvniecības līgumus</w:t>
      </w:r>
    </w:p>
    <w:p w14:paraId="0F71C9B3" w14:textId="77777777" w:rsidR="00842CA9" w:rsidRPr="00842CA9" w:rsidRDefault="00842CA9" w:rsidP="00842CA9">
      <w:pPr>
        <w:rPr>
          <w:rFonts w:ascii="Times New Roman" w:hAnsi="Times New Roman" w:cs="Times New Roman"/>
          <w:sz w:val="24"/>
          <w:szCs w:val="24"/>
        </w:rPr>
      </w:pPr>
    </w:p>
    <w:p w14:paraId="326BBE61" w14:textId="77777777" w:rsidR="00097A6A" w:rsidRDefault="00842CA9" w:rsidP="00842CA9">
      <w:pPr>
        <w:pStyle w:val="Paraststmeklis"/>
        <w:shd w:val="clear" w:color="auto" w:fill="FFFFFF"/>
        <w:jc w:val="both"/>
        <w:rPr>
          <w:color w:val="212529"/>
        </w:rPr>
      </w:pPr>
      <w:r>
        <w:rPr>
          <w:color w:val="212529"/>
        </w:rPr>
        <w:t>J</w:t>
      </w:r>
      <w:r w:rsidRPr="00842CA9">
        <w:rPr>
          <w:color w:val="212529"/>
        </w:rPr>
        <w:t>a</w:t>
      </w:r>
      <w:r>
        <w:rPr>
          <w:color w:val="212529"/>
        </w:rPr>
        <w:t xml:space="preserve"> līguma izpildes laikā</w:t>
      </w:r>
      <w:r w:rsidRPr="00842CA9">
        <w:rPr>
          <w:color w:val="212529"/>
        </w:rPr>
        <w:t xml:space="preserve"> </w:t>
      </w:r>
      <w:proofErr w:type="spellStart"/>
      <w:r w:rsidRPr="00842CA9">
        <w:rPr>
          <w:color w:val="212529"/>
        </w:rPr>
        <w:t>iestājušies</w:t>
      </w:r>
      <w:proofErr w:type="spellEnd"/>
      <w:r w:rsidRPr="00842CA9">
        <w:rPr>
          <w:color w:val="212529"/>
        </w:rPr>
        <w:t xml:space="preserve"> </w:t>
      </w:r>
      <w:proofErr w:type="spellStart"/>
      <w:r w:rsidRPr="00842CA9">
        <w:rPr>
          <w:color w:val="212529"/>
        </w:rPr>
        <w:t>apstākļi</w:t>
      </w:r>
      <w:proofErr w:type="spellEnd"/>
      <w:r w:rsidRPr="00842CA9">
        <w:rPr>
          <w:color w:val="212529"/>
        </w:rPr>
        <w:t xml:space="preserve">, kurus nebija iespējams </w:t>
      </w:r>
      <w:proofErr w:type="spellStart"/>
      <w:r w:rsidRPr="00842CA9">
        <w:rPr>
          <w:color w:val="212529"/>
        </w:rPr>
        <w:t>paredzēt</w:t>
      </w:r>
      <w:proofErr w:type="spellEnd"/>
      <w:r w:rsidRPr="00842CA9">
        <w:rPr>
          <w:color w:val="212529"/>
        </w:rPr>
        <w:t xml:space="preserve">, kā rezultātā ir iestājies būtisks cenu kāpums, </w:t>
      </w:r>
      <w:proofErr w:type="spellStart"/>
      <w:r w:rsidRPr="00842CA9">
        <w:rPr>
          <w:color w:val="212529"/>
        </w:rPr>
        <w:t>pasūtītājam</w:t>
      </w:r>
      <w:proofErr w:type="spellEnd"/>
      <w:r w:rsidRPr="00842CA9">
        <w:rPr>
          <w:color w:val="212529"/>
        </w:rPr>
        <w:t xml:space="preserve"> ir </w:t>
      </w:r>
      <w:proofErr w:type="spellStart"/>
      <w:r w:rsidRPr="00842CA9">
        <w:rPr>
          <w:color w:val="212529"/>
        </w:rPr>
        <w:t>tiesības</w:t>
      </w:r>
      <w:proofErr w:type="spellEnd"/>
      <w:r w:rsidRPr="00842CA9">
        <w:rPr>
          <w:color w:val="212529"/>
        </w:rPr>
        <w:t xml:space="preserve"> lemt par </w:t>
      </w:r>
      <w:proofErr w:type="spellStart"/>
      <w:r w:rsidRPr="00842CA9">
        <w:rPr>
          <w:color w:val="212529"/>
        </w:rPr>
        <w:t>līguma</w:t>
      </w:r>
      <w:proofErr w:type="spellEnd"/>
      <w:r w:rsidRPr="00842CA9">
        <w:rPr>
          <w:color w:val="212529"/>
        </w:rPr>
        <w:t xml:space="preserve"> </w:t>
      </w:r>
      <w:proofErr w:type="spellStart"/>
      <w:r w:rsidRPr="00842CA9">
        <w:rPr>
          <w:color w:val="212529"/>
        </w:rPr>
        <w:t>grozījumu</w:t>
      </w:r>
      <w:proofErr w:type="spellEnd"/>
      <w:r w:rsidRPr="00842CA9">
        <w:rPr>
          <w:color w:val="212529"/>
        </w:rPr>
        <w:t xml:space="preserve"> </w:t>
      </w:r>
      <w:proofErr w:type="spellStart"/>
      <w:r w:rsidRPr="00842CA9">
        <w:rPr>
          <w:color w:val="212529"/>
        </w:rPr>
        <w:t>veikšanu</w:t>
      </w:r>
      <w:proofErr w:type="spellEnd"/>
      <w:r w:rsidRPr="00842CA9">
        <w:rPr>
          <w:color w:val="212529"/>
        </w:rPr>
        <w:t xml:space="preserve"> </w:t>
      </w:r>
      <w:proofErr w:type="spellStart"/>
      <w:r w:rsidRPr="00842CA9">
        <w:rPr>
          <w:color w:val="212529"/>
        </w:rPr>
        <w:t>saskaņa</w:t>
      </w:r>
      <w:proofErr w:type="spellEnd"/>
      <w:r w:rsidRPr="00842CA9">
        <w:rPr>
          <w:color w:val="212529"/>
        </w:rPr>
        <w:t xml:space="preserve">̄ ar </w:t>
      </w:r>
      <w:r w:rsidRPr="004C2C5E">
        <w:rPr>
          <w:i/>
          <w:iCs/>
          <w:color w:val="212529"/>
        </w:rPr>
        <w:t>Publisko iepirkumu likuma</w:t>
      </w:r>
      <w:r w:rsidRPr="00842CA9">
        <w:rPr>
          <w:color w:val="212529"/>
        </w:rPr>
        <w:t xml:space="preserve"> 61. panta </w:t>
      </w:r>
      <w:proofErr w:type="spellStart"/>
      <w:r w:rsidRPr="00842CA9">
        <w:rPr>
          <w:color w:val="212529"/>
        </w:rPr>
        <w:t>trešās</w:t>
      </w:r>
      <w:proofErr w:type="spellEnd"/>
      <w:r w:rsidRPr="00842CA9">
        <w:rPr>
          <w:color w:val="212529"/>
        </w:rPr>
        <w:t xml:space="preserve"> </w:t>
      </w:r>
      <w:proofErr w:type="spellStart"/>
      <w:r w:rsidRPr="00842CA9">
        <w:rPr>
          <w:color w:val="212529"/>
        </w:rPr>
        <w:t>daļas</w:t>
      </w:r>
      <w:proofErr w:type="spellEnd"/>
      <w:r w:rsidRPr="00842CA9">
        <w:rPr>
          <w:color w:val="212529"/>
        </w:rPr>
        <w:t xml:space="preserve"> 3. punktu. </w:t>
      </w:r>
    </w:p>
    <w:p w14:paraId="277CAE8B" w14:textId="77777777" w:rsidR="00097A6A" w:rsidRDefault="00097A6A" w:rsidP="00842CA9">
      <w:pPr>
        <w:pStyle w:val="Paraststmeklis"/>
        <w:shd w:val="clear" w:color="auto" w:fill="FFFFFF"/>
        <w:jc w:val="both"/>
      </w:pPr>
      <w:r>
        <w:rPr>
          <w:color w:val="212529"/>
        </w:rPr>
        <w:t xml:space="preserve">Skatīt: </w:t>
      </w:r>
      <w:hyperlink r:id="rId8" w:history="1">
        <w:r>
          <w:rPr>
            <w:rStyle w:val="Hipersaite"/>
          </w:rPr>
          <w:t>https://www.iub.gov.lv/lv/jaunums/ligumu-vadiba-krizes-apstaklos</w:t>
        </w:r>
      </w:hyperlink>
    </w:p>
    <w:p w14:paraId="5666CDF8" w14:textId="3B9A3F57" w:rsidR="00842CA9" w:rsidRPr="00842CA9" w:rsidRDefault="00842CA9" w:rsidP="00842CA9">
      <w:pPr>
        <w:pStyle w:val="Paraststmeklis"/>
        <w:shd w:val="clear" w:color="auto" w:fill="FFFFFF"/>
        <w:jc w:val="both"/>
        <w:rPr>
          <w:color w:val="212529"/>
        </w:rPr>
      </w:pPr>
      <w:r>
        <w:rPr>
          <w:color w:val="212529"/>
        </w:rPr>
        <w:t xml:space="preserve">Svarīgi, ka neparedzēti apstākļi nav </w:t>
      </w:r>
      <w:proofErr w:type="spellStart"/>
      <w:r>
        <w:rPr>
          <w:color w:val="212529"/>
        </w:rPr>
        <w:t>force</w:t>
      </w:r>
      <w:proofErr w:type="spellEnd"/>
      <w:r>
        <w:rPr>
          <w:color w:val="212529"/>
        </w:rPr>
        <w:t xml:space="preserve"> </w:t>
      </w:r>
      <w:proofErr w:type="spellStart"/>
      <w:r>
        <w:rPr>
          <w:color w:val="212529"/>
        </w:rPr>
        <w:t>majeure</w:t>
      </w:r>
      <w:proofErr w:type="spellEnd"/>
      <w:r>
        <w:rPr>
          <w:color w:val="212529"/>
        </w:rPr>
        <w:t xml:space="preserve"> apstākļi un ir tulkojumi </w:t>
      </w:r>
      <w:r w:rsidR="004C2C5E">
        <w:rPr>
          <w:color w:val="212529"/>
        </w:rPr>
        <w:t xml:space="preserve">plašāk. </w:t>
      </w:r>
      <w:r w:rsidRPr="00842CA9">
        <w:rPr>
          <w:color w:val="212529"/>
        </w:rPr>
        <w:t>Līdz ar to jau šobrīd ir spēkā tiesisks pamats atsevišķos gadījumos pusēm vienoties par līguma izmaiņām, izpildoties vairākiem nosacījumiem:</w:t>
      </w:r>
    </w:p>
    <w:p w14:paraId="11B9E8FA" w14:textId="051BF5D8" w:rsidR="00842CA9" w:rsidRPr="00842CA9" w:rsidRDefault="00842CA9" w:rsidP="008B3590">
      <w:pPr>
        <w:pStyle w:val="Paraststmeklis"/>
        <w:numPr>
          <w:ilvl w:val="0"/>
          <w:numId w:val="3"/>
        </w:numPr>
        <w:shd w:val="clear" w:color="auto" w:fill="FFFFFF"/>
        <w:jc w:val="center"/>
        <w:rPr>
          <w:b/>
          <w:bCs/>
          <w:color w:val="212529"/>
        </w:rPr>
      </w:pPr>
      <w:r w:rsidRPr="00842CA9">
        <w:rPr>
          <w:b/>
          <w:bCs/>
          <w:color w:val="212529"/>
        </w:rPr>
        <w:t>Lietderības apsvērumi</w:t>
      </w:r>
    </w:p>
    <w:p w14:paraId="67EE9F99" w14:textId="5373E81C" w:rsidR="004C2C5E" w:rsidRDefault="004C2C5E" w:rsidP="00842CA9">
      <w:pPr>
        <w:pStyle w:val="Paraststmeklis"/>
        <w:shd w:val="clear" w:color="auto" w:fill="FFFFFF"/>
        <w:jc w:val="both"/>
        <w:rPr>
          <w:color w:val="212529"/>
        </w:rPr>
      </w:pPr>
      <w:r>
        <w:rPr>
          <w:color w:val="212529"/>
        </w:rPr>
        <w:t>Izvērtējot līguma izmaiņu pieprasījumu no lietderības apsvērumiem, pasūtītājam būtu jāņem vērā:</w:t>
      </w:r>
    </w:p>
    <w:p w14:paraId="06295EA7" w14:textId="07700342" w:rsidR="004C2C5E" w:rsidRDefault="00F66D38" w:rsidP="004C2C5E">
      <w:pPr>
        <w:pStyle w:val="Paraststmeklis"/>
        <w:numPr>
          <w:ilvl w:val="0"/>
          <w:numId w:val="5"/>
        </w:numPr>
        <w:shd w:val="clear" w:color="auto" w:fill="FFFFFF"/>
        <w:jc w:val="both"/>
        <w:rPr>
          <w:color w:val="212529"/>
        </w:rPr>
      </w:pPr>
      <w:r>
        <w:rPr>
          <w:color w:val="212529"/>
        </w:rPr>
        <w:t>Kā būvniecības apturēšana/pārtraukšana ietekmēs p</w:t>
      </w:r>
      <w:r w:rsidR="004C2C5E">
        <w:rPr>
          <w:color w:val="212529"/>
        </w:rPr>
        <w:t xml:space="preserve">asūtītajam </w:t>
      </w:r>
      <w:r w:rsidR="002410D4">
        <w:rPr>
          <w:color w:val="212529"/>
        </w:rPr>
        <w:t>uzliktās</w:t>
      </w:r>
      <w:r w:rsidR="004C2C5E">
        <w:rPr>
          <w:color w:val="212529"/>
        </w:rPr>
        <w:t xml:space="preserve"> funkcijas izpildi nākotnē</w:t>
      </w:r>
      <w:r w:rsidR="002410D4">
        <w:rPr>
          <w:color w:val="212529"/>
        </w:rPr>
        <w:t>;</w:t>
      </w:r>
    </w:p>
    <w:p w14:paraId="18EC4C65" w14:textId="34071C66" w:rsidR="002410D4" w:rsidRDefault="002410D4" w:rsidP="004C2C5E">
      <w:pPr>
        <w:pStyle w:val="Paraststmeklis"/>
        <w:numPr>
          <w:ilvl w:val="0"/>
          <w:numId w:val="5"/>
        </w:numPr>
        <w:shd w:val="clear" w:color="auto" w:fill="FFFFFF"/>
        <w:jc w:val="both"/>
        <w:rPr>
          <w:color w:val="212529"/>
        </w:rPr>
      </w:pPr>
      <w:r>
        <w:rPr>
          <w:color w:val="212529"/>
        </w:rPr>
        <w:t xml:space="preserve">Cik lielā mērā </w:t>
      </w:r>
      <w:r w:rsidR="00F66D38">
        <w:rPr>
          <w:color w:val="212529"/>
        </w:rPr>
        <w:t xml:space="preserve">jau </w:t>
      </w:r>
      <w:r>
        <w:rPr>
          <w:color w:val="212529"/>
        </w:rPr>
        <w:t>ir izpildīts līgums;</w:t>
      </w:r>
    </w:p>
    <w:p w14:paraId="54F45AA2" w14:textId="44B2B1CF" w:rsidR="002410D4" w:rsidRPr="00097A6A" w:rsidRDefault="00F66D38" w:rsidP="00097A6A">
      <w:pPr>
        <w:pStyle w:val="Paraststmeklis"/>
        <w:numPr>
          <w:ilvl w:val="0"/>
          <w:numId w:val="11"/>
        </w:numPr>
        <w:shd w:val="clear" w:color="auto" w:fill="FFFFFF"/>
        <w:jc w:val="both"/>
        <w:rPr>
          <w:color w:val="212529"/>
        </w:rPr>
      </w:pPr>
      <w:r>
        <w:rPr>
          <w:color w:val="212529"/>
        </w:rPr>
        <w:t xml:space="preserve">Ekonomiskie aprēķini </w:t>
      </w:r>
      <w:r w:rsidR="00097A6A">
        <w:rPr>
          <w:color w:val="212529"/>
        </w:rPr>
        <w:t>(ieguvumi/zaudējumi)</w:t>
      </w:r>
      <w:r>
        <w:rPr>
          <w:color w:val="212529"/>
        </w:rPr>
        <w:t xml:space="preserve">, </w:t>
      </w:r>
      <w:r w:rsidR="00097A6A">
        <w:rPr>
          <w:color w:val="212529"/>
        </w:rPr>
        <w:t>tiek pagarināti līguma izpildes termiņi un sadārdzinājuma dēļ palielināta līguma summa vai līgums tiek izbeigts no piegādātāja puses un būvniecības darbu pabeigšanai nepieciešams rīkot jaunu iepirkumu;</w:t>
      </w:r>
    </w:p>
    <w:p w14:paraId="2FB41DF0" w14:textId="00E1D9DD" w:rsidR="007853BC" w:rsidRDefault="007853BC" w:rsidP="004C2C5E">
      <w:pPr>
        <w:pStyle w:val="Paraststmeklis"/>
        <w:numPr>
          <w:ilvl w:val="0"/>
          <w:numId w:val="5"/>
        </w:numPr>
        <w:shd w:val="clear" w:color="auto" w:fill="FFFFFF"/>
        <w:jc w:val="both"/>
        <w:rPr>
          <w:color w:val="212529"/>
        </w:rPr>
      </w:pPr>
      <w:r>
        <w:rPr>
          <w:color w:val="212529"/>
        </w:rPr>
        <w:t>Pasūtītāja spējas piesaistīt papildus finansējumu;</w:t>
      </w:r>
    </w:p>
    <w:p w14:paraId="5242AB25" w14:textId="0027A35F" w:rsidR="00F66D38" w:rsidRDefault="00F66D38" w:rsidP="004C2C5E">
      <w:pPr>
        <w:pStyle w:val="Paraststmeklis"/>
        <w:numPr>
          <w:ilvl w:val="0"/>
          <w:numId w:val="5"/>
        </w:numPr>
        <w:shd w:val="clear" w:color="auto" w:fill="FFFFFF"/>
        <w:jc w:val="both"/>
        <w:rPr>
          <w:color w:val="212529"/>
        </w:rPr>
      </w:pPr>
      <w:r>
        <w:rPr>
          <w:color w:val="212529"/>
        </w:rPr>
        <w:t>Citi lietderības apsvērumi</w:t>
      </w:r>
      <w:r w:rsidR="000C4FCB">
        <w:rPr>
          <w:color w:val="212529"/>
        </w:rPr>
        <w:t>.</w:t>
      </w:r>
    </w:p>
    <w:p w14:paraId="2E225802" w14:textId="609888F2" w:rsidR="00F66D38" w:rsidRPr="00F66D38" w:rsidRDefault="00F66D38" w:rsidP="008B3590">
      <w:pPr>
        <w:pStyle w:val="Paraststmeklis"/>
        <w:numPr>
          <w:ilvl w:val="0"/>
          <w:numId w:val="3"/>
        </w:numPr>
        <w:shd w:val="clear" w:color="auto" w:fill="FFFFFF"/>
        <w:jc w:val="center"/>
        <w:rPr>
          <w:b/>
          <w:bCs/>
          <w:color w:val="212529"/>
        </w:rPr>
      </w:pPr>
      <w:r w:rsidRPr="00F66D38">
        <w:rPr>
          <w:b/>
          <w:bCs/>
          <w:color w:val="212529"/>
        </w:rPr>
        <w:t>Sadārdzinājuma ietekmes pamatojums konkrētā līgumā</w:t>
      </w:r>
    </w:p>
    <w:p w14:paraId="6E62B20E" w14:textId="4E2B4838" w:rsidR="000C4FCB" w:rsidRDefault="00F8344B" w:rsidP="00F8344B">
      <w:pPr>
        <w:jc w:val="both"/>
        <w:rPr>
          <w:rFonts w:ascii="Times New Roman" w:eastAsia="Times New Roman" w:hAnsi="Times New Roman" w:cs="Times New Roman"/>
          <w:color w:val="212529"/>
          <w:sz w:val="24"/>
          <w:szCs w:val="24"/>
          <w:lang w:eastAsia="lv-LV"/>
        </w:rPr>
      </w:pPr>
      <w:r w:rsidRPr="00F8344B">
        <w:rPr>
          <w:rFonts w:ascii="Times New Roman" w:eastAsia="Times New Roman" w:hAnsi="Times New Roman" w:cs="Times New Roman"/>
          <w:color w:val="212529"/>
          <w:sz w:val="24"/>
          <w:szCs w:val="24"/>
          <w:lang w:eastAsia="lv-LV"/>
        </w:rPr>
        <w:t xml:space="preserve">Būtiski ir vērtēt neparedzēto apstākļu ietekmi uz katra konkrētā līguma izpildi, nevis situāciju valstī kopumā. Līdz ar to piegādātājam ir pienākums pamatot </w:t>
      </w:r>
      <w:r>
        <w:rPr>
          <w:rFonts w:ascii="Times New Roman" w:eastAsia="Times New Roman" w:hAnsi="Times New Roman" w:cs="Times New Roman"/>
          <w:color w:val="212529"/>
          <w:sz w:val="24"/>
          <w:szCs w:val="24"/>
          <w:lang w:eastAsia="lv-LV"/>
        </w:rPr>
        <w:t>būtisku cenu pieaugumu</w:t>
      </w:r>
      <w:r w:rsidR="000C4FCB">
        <w:rPr>
          <w:rFonts w:ascii="Times New Roman" w:eastAsia="Times New Roman" w:hAnsi="Times New Roman" w:cs="Times New Roman"/>
          <w:color w:val="212529"/>
          <w:sz w:val="24"/>
          <w:szCs w:val="24"/>
          <w:lang w:eastAsia="lv-LV"/>
        </w:rPr>
        <w:t xml:space="preserve">. Pasūtītājiem ir jābūt izvēles iespējām, vairākiem risinājumiem, ar kuriem pārvaldīt esošo līgumu grozījumus. Garākos līgumos pasūtītājam būtu ērtāk standartizēt būvniecības cenu izmaiņu pārvaldību vidējā termiņā, bet īsākos līgumos, ērtāk būt izmantot vienreizēju būtisko izmaksu pozīciju grozījumus. </w:t>
      </w:r>
      <w:r w:rsidR="00E3469C">
        <w:rPr>
          <w:rFonts w:ascii="Times New Roman" w:eastAsia="Times New Roman" w:hAnsi="Times New Roman" w:cs="Times New Roman"/>
          <w:color w:val="212529"/>
          <w:sz w:val="24"/>
          <w:szCs w:val="24"/>
          <w:lang w:eastAsia="lv-LV"/>
        </w:rPr>
        <w:t xml:space="preserve">Apjomīgākos līgumos pasūtītājs varētu kombinēt abas metodes. </w:t>
      </w:r>
      <w:r w:rsidR="000C4FCB">
        <w:rPr>
          <w:rFonts w:ascii="Times New Roman" w:eastAsia="Times New Roman" w:hAnsi="Times New Roman" w:cs="Times New Roman"/>
          <w:color w:val="212529"/>
          <w:sz w:val="24"/>
          <w:szCs w:val="24"/>
          <w:lang w:eastAsia="lv-LV"/>
        </w:rPr>
        <w:t xml:space="preserve"> </w:t>
      </w:r>
    </w:p>
    <w:p w14:paraId="6D7E75C4" w14:textId="2778CFD9" w:rsidR="00E3469C" w:rsidRDefault="00E3469C" w:rsidP="00F8344B">
      <w:pPr>
        <w:jc w:val="both"/>
        <w:rPr>
          <w:rFonts w:ascii="Times New Roman" w:eastAsia="Times New Roman" w:hAnsi="Times New Roman" w:cs="Times New Roman"/>
          <w:color w:val="212529"/>
          <w:sz w:val="24"/>
          <w:szCs w:val="24"/>
          <w:lang w:eastAsia="lv-LV"/>
        </w:rPr>
      </w:pPr>
    </w:p>
    <w:p w14:paraId="60CA842F" w14:textId="5596C896" w:rsidR="00E3469C" w:rsidRPr="00E3469C" w:rsidRDefault="00E3469C" w:rsidP="00E3469C">
      <w:pPr>
        <w:pStyle w:val="Sarakstarindkopa"/>
        <w:numPr>
          <w:ilvl w:val="0"/>
          <w:numId w:val="12"/>
        </w:numPr>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Standartizēta cenu izmaiņu vadības metode</w:t>
      </w:r>
    </w:p>
    <w:p w14:paraId="1391E7EF" w14:textId="77777777" w:rsidR="000C4FCB" w:rsidRDefault="000C4FCB" w:rsidP="00F8344B">
      <w:pPr>
        <w:jc w:val="both"/>
        <w:rPr>
          <w:rFonts w:ascii="Times New Roman" w:eastAsia="Times New Roman" w:hAnsi="Times New Roman" w:cs="Times New Roman"/>
          <w:color w:val="212529"/>
          <w:sz w:val="24"/>
          <w:szCs w:val="24"/>
          <w:lang w:eastAsia="lv-LV"/>
        </w:rPr>
      </w:pPr>
    </w:p>
    <w:p w14:paraId="6DA9B96F" w14:textId="42DC2C07" w:rsidR="0058452F" w:rsidRDefault="001B7A20" w:rsidP="00F8344B">
      <w:pPr>
        <w:jc w:val="both"/>
        <w:rPr>
          <w:rFonts w:ascii="Times New Roman" w:eastAsia="Times New Roman" w:hAnsi="Times New Roman" w:cs="Times New Roman"/>
          <w:color w:val="212529"/>
          <w:sz w:val="24"/>
          <w:szCs w:val="24"/>
          <w:lang w:eastAsia="lv-LV"/>
        </w:rPr>
      </w:pPr>
      <w:r w:rsidRPr="00E3469C">
        <w:rPr>
          <w:rFonts w:ascii="Times New Roman" w:eastAsia="Times New Roman" w:hAnsi="Times New Roman" w:cs="Times New Roman"/>
          <w:color w:val="212529"/>
          <w:sz w:val="24"/>
          <w:szCs w:val="24"/>
          <w:lang w:eastAsia="lv-LV"/>
        </w:rPr>
        <w:t xml:space="preserve">Pamatā </w:t>
      </w:r>
      <w:r w:rsidR="005248CD" w:rsidRPr="00E3469C">
        <w:rPr>
          <w:rFonts w:ascii="Times New Roman" w:eastAsia="Times New Roman" w:hAnsi="Times New Roman" w:cs="Times New Roman"/>
          <w:color w:val="212529"/>
          <w:sz w:val="24"/>
          <w:szCs w:val="24"/>
          <w:lang w:eastAsia="lv-LV"/>
        </w:rPr>
        <w:t xml:space="preserve">līgumcenas izmaiņām pusēm līguma grozījumos būtu jānosaka </w:t>
      </w:r>
      <w:r w:rsidR="00B57432" w:rsidRPr="00E3469C">
        <w:rPr>
          <w:rFonts w:ascii="Times New Roman" w:eastAsia="Times New Roman" w:hAnsi="Times New Roman" w:cs="Times New Roman"/>
          <w:color w:val="212529"/>
          <w:sz w:val="24"/>
          <w:szCs w:val="24"/>
          <w:lang w:eastAsia="lv-LV"/>
        </w:rPr>
        <w:t>“</w:t>
      </w:r>
      <w:r w:rsidR="005248CD" w:rsidRPr="00E3469C">
        <w:rPr>
          <w:rFonts w:ascii="Times New Roman" w:eastAsia="Times New Roman" w:hAnsi="Times New Roman" w:cs="Times New Roman"/>
          <w:i/>
          <w:iCs/>
          <w:color w:val="212529"/>
          <w:sz w:val="24"/>
          <w:szCs w:val="24"/>
          <w:lang w:eastAsia="lv-LV"/>
        </w:rPr>
        <w:t>indeksācijas</w:t>
      </w:r>
      <w:r w:rsidR="00B57432" w:rsidRPr="00E3469C">
        <w:rPr>
          <w:rFonts w:ascii="Times New Roman" w:eastAsia="Times New Roman" w:hAnsi="Times New Roman" w:cs="Times New Roman"/>
          <w:i/>
          <w:iCs/>
          <w:color w:val="212529"/>
          <w:sz w:val="24"/>
          <w:szCs w:val="24"/>
          <w:lang w:eastAsia="lv-LV"/>
        </w:rPr>
        <w:t>”</w:t>
      </w:r>
      <w:r w:rsidR="005248CD" w:rsidRPr="00E3469C">
        <w:rPr>
          <w:rFonts w:ascii="Times New Roman" w:eastAsia="Times New Roman" w:hAnsi="Times New Roman" w:cs="Times New Roman"/>
          <w:color w:val="212529"/>
          <w:sz w:val="24"/>
          <w:szCs w:val="24"/>
          <w:lang w:eastAsia="lv-LV"/>
        </w:rPr>
        <w:t xml:space="preserve"> modelis</w:t>
      </w:r>
      <w:r w:rsidR="0034271C" w:rsidRPr="00E3469C">
        <w:rPr>
          <w:rFonts w:ascii="Times New Roman" w:eastAsia="Times New Roman" w:hAnsi="Times New Roman" w:cs="Times New Roman"/>
          <w:color w:val="212529"/>
          <w:sz w:val="24"/>
          <w:szCs w:val="24"/>
          <w:lang w:eastAsia="lv-LV"/>
        </w:rPr>
        <w:t>, kurā būtu paredzēti vismaz sekojoši noteikumi:</w:t>
      </w:r>
    </w:p>
    <w:p w14:paraId="54E548B9" w14:textId="77777777" w:rsidR="0034271C" w:rsidRDefault="0034271C" w:rsidP="00F8344B">
      <w:pPr>
        <w:jc w:val="both"/>
        <w:rPr>
          <w:rFonts w:ascii="Times New Roman" w:eastAsia="Times New Roman" w:hAnsi="Times New Roman" w:cs="Times New Roman"/>
          <w:color w:val="212529"/>
          <w:sz w:val="24"/>
          <w:szCs w:val="24"/>
          <w:lang w:eastAsia="lv-LV"/>
        </w:rPr>
      </w:pPr>
    </w:p>
    <w:p w14:paraId="47AB1667" w14:textId="2DC59C74" w:rsidR="0034271C" w:rsidRPr="00D23F5A" w:rsidRDefault="0034271C" w:rsidP="00C27BC8">
      <w:pPr>
        <w:pStyle w:val="Sarakstarindkopa"/>
        <w:numPr>
          <w:ilvl w:val="0"/>
          <w:numId w:val="10"/>
        </w:numPr>
        <w:tabs>
          <w:tab w:val="left" w:pos="567"/>
        </w:tabs>
        <w:jc w:val="both"/>
        <w:rPr>
          <w:rFonts w:ascii="Times New Roman" w:eastAsia="Times New Roman" w:hAnsi="Times New Roman" w:cs="Times New Roman"/>
          <w:color w:val="212529"/>
          <w:sz w:val="24"/>
          <w:szCs w:val="24"/>
          <w:lang w:eastAsia="lv-LV"/>
        </w:rPr>
      </w:pPr>
      <w:r w:rsidRPr="00D23F5A">
        <w:rPr>
          <w:rFonts w:ascii="Times New Roman" w:eastAsia="Times New Roman" w:hAnsi="Times New Roman" w:cs="Times New Roman"/>
          <w:color w:val="212529"/>
          <w:sz w:val="24"/>
          <w:szCs w:val="24"/>
          <w:lang w:eastAsia="lv-LV"/>
        </w:rPr>
        <w:t>Indeksēta tiek visa indeksācijas periodā veikto darbu kopsumma.</w:t>
      </w:r>
    </w:p>
    <w:p w14:paraId="098740F7" w14:textId="77777777" w:rsidR="0034271C" w:rsidRPr="00D23F5A" w:rsidRDefault="0034271C" w:rsidP="0034271C">
      <w:pPr>
        <w:pStyle w:val="Sarakstarindkopa"/>
        <w:tabs>
          <w:tab w:val="left" w:pos="567"/>
        </w:tabs>
        <w:ind w:left="0"/>
        <w:jc w:val="both"/>
        <w:rPr>
          <w:rFonts w:ascii="Times New Roman" w:eastAsia="Times New Roman" w:hAnsi="Times New Roman" w:cs="Times New Roman"/>
          <w:color w:val="212529"/>
          <w:sz w:val="24"/>
          <w:szCs w:val="24"/>
          <w:lang w:eastAsia="lv-LV"/>
        </w:rPr>
      </w:pPr>
    </w:p>
    <w:p w14:paraId="7D674BFE" w14:textId="77777777" w:rsidR="00D23F5A" w:rsidRDefault="0034271C" w:rsidP="00D23F5A">
      <w:pPr>
        <w:pStyle w:val="Sarakstarindkopa"/>
        <w:numPr>
          <w:ilvl w:val="0"/>
          <w:numId w:val="10"/>
        </w:numPr>
        <w:tabs>
          <w:tab w:val="left" w:pos="567"/>
        </w:tabs>
        <w:jc w:val="both"/>
        <w:rPr>
          <w:rFonts w:ascii="Times New Roman" w:eastAsia="Times New Roman" w:hAnsi="Times New Roman" w:cs="Times New Roman"/>
          <w:color w:val="212529"/>
          <w:sz w:val="24"/>
          <w:szCs w:val="24"/>
          <w:lang w:eastAsia="lv-LV"/>
        </w:rPr>
      </w:pPr>
      <w:r w:rsidRPr="00D23F5A">
        <w:rPr>
          <w:rFonts w:ascii="Times New Roman" w:eastAsia="Times New Roman" w:hAnsi="Times New Roman" w:cs="Times New Roman"/>
          <w:color w:val="212529"/>
          <w:sz w:val="24"/>
          <w:szCs w:val="24"/>
          <w:lang w:eastAsia="lv-LV"/>
        </w:rPr>
        <w:t xml:space="preserve">Indeksēti tiek būvdarbi, kas izpildīti </w:t>
      </w:r>
      <w:r w:rsidR="00C27BC8" w:rsidRPr="00D23F5A">
        <w:rPr>
          <w:rFonts w:ascii="Times New Roman" w:eastAsia="Times New Roman" w:hAnsi="Times New Roman" w:cs="Times New Roman"/>
          <w:color w:val="212529"/>
          <w:sz w:val="24"/>
          <w:szCs w:val="24"/>
          <w:lang w:eastAsia="lv-LV"/>
        </w:rPr>
        <w:t xml:space="preserve">sākot no </w:t>
      </w:r>
      <w:r w:rsidR="00D23F5A" w:rsidRPr="00D23F5A">
        <w:rPr>
          <w:rFonts w:ascii="Times New Roman" w:eastAsia="Times New Roman" w:hAnsi="Times New Roman" w:cs="Times New Roman"/>
          <w:color w:val="212529"/>
          <w:sz w:val="24"/>
          <w:szCs w:val="24"/>
          <w:lang w:eastAsia="lv-LV"/>
        </w:rPr>
        <w:t xml:space="preserve">līgumu grozījumu spēkā stāšanās. </w:t>
      </w:r>
    </w:p>
    <w:p w14:paraId="7EDB46C8" w14:textId="77777777" w:rsidR="00D23F5A" w:rsidRPr="00D23F5A" w:rsidRDefault="00D23F5A" w:rsidP="00D23F5A">
      <w:pPr>
        <w:pStyle w:val="Sarakstarindkopa"/>
        <w:rPr>
          <w:rFonts w:ascii="Times New Roman" w:hAnsi="Times New Roman" w:cs="Times New Roman"/>
          <w:i/>
          <w:iCs/>
          <w:sz w:val="24"/>
          <w:szCs w:val="24"/>
        </w:rPr>
      </w:pPr>
    </w:p>
    <w:p w14:paraId="73D8DEDB" w14:textId="0B57F017" w:rsidR="0034271C" w:rsidRPr="00D23F5A" w:rsidRDefault="0034271C" w:rsidP="00D23F5A">
      <w:pPr>
        <w:pStyle w:val="Sarakstarindkopa"/>
        <w:numPr>
          <w:ilvl w:val="0"/>
          <w:numId w:val="10"/>
        </w:numPr>
        <w:ind w:left="567" w:hanging="283"/>
        <w:jc w:val="both"/>
        <w:rPr>
          <w:rFonts w:ascii="Times New Roman" w:eastAsia="Times New Roman" w:hAnsi="Times New Roman" w:cs="Times New Roman"/>
          <w:color w:val="212529"/>
          <w:sz w:val="24"/>
          <w:szCs w:val="24"/>
          <w:lang w:eastAsia="lv-LV"/>
        </w:rPr>
      </w:pPr>
      <w:r w:rsidRPr="00D23F5A">
        <w:rPr>
          <w:rFonts w:ascii="Times New Roman" w:eastAsia="Times New Roman" w:hAnsi="Times New Roman" w:cs="Times New Roman"/>
          <w:color w:val="212529"/>
          <w:sz w:val="24"/>
          <w:szCs w:val="24"/>
          <w:lang w:eastAsia="lv-LV"/>
        </w:rPr>
        <w:lastRenderedPageBreak/>
        <w:t xml:space="preserve">Indeksācija </w:t>
      </w:r>
      <w:r w:rsidRPr="00097A6A">
        <w:rPr>
          <w:rFonts w:ascii="Times New Roman" w:eastAsia="Times New Roman" w:hAnsi="Times New Roman" w:cs="Times New Roman"/>
          <w:color w:val="212529"/>
          <w:sz w:val="24"/>
          <w:szCs w:val="24"/>
          <w:lang w:eastAsia="lv-LV"/>
        </w:rPr>
        <w:t>tiek veikta, ja indeksācijas periodā piemērojamā indeksa svārstības</w:t>
      </w:r>
      <w:r w:rsidR="00D23F5A" w:rsidRPr="00097A6A">
        <w:rPr>
          <w:rFonts w:ascii="Times New Roman" w:eastAsia="Times New Roman" w:hAnsi="Times New Roman" w:cs="Times New Roman"/>
          <w:color w:val="212529"/>
          <w:sz w:val="24"/>
          <w:szCs w:val="24"/>
          <w:lang w:eastAsia="lv-LV"/>
        </w:rPr>
        <w:t xml:space="preserve"> </w:t>
      </w:r>
      <w:r w:rsidRPr="00097A6A">
        <w:rPr>
          <w:rFonts w:ascii="Times New Roman" w:eastAsia="Times New Roman" w:hAnsi="Times New Roman" w:cs="Times New Roman"/>
          <w:color w:val="212529"/>
          <w:sz w:val="24"/>
          <w:szCs w:val="24"/>
          <w:lang w:eastAsia="lv-LV"/>
        </w:rPr>
        <w:t xml:space="preserve">pārsniedz ne vairāk kā </w:t>
      </w:r>
      <w:r w:rsidR="00BF5292" w:rsidRPr="00097A6A">
        <w:rPr>
          <w:rFonts w:ascii="Times New Roman" w:eastAsia="Times New Roman" w:hAnsi="Times New Roman" w:cs="Times New Roman"/>
          <w:color w:val="212529"/>
          <w:sz w:val="24"/>
          <w:szCs w:val="24"/>
          <w:lang w:eastAsia="lv-LV"/>
        </w:rPr>
        <w:t>10</w:t>
      </w:r>
      <w:r w:rsidRPr="00097A6A">
        <w:rPr>
          <w:rFonts w:ascii="Times New Roman" w:eastAsia="Times New Roman" w:hAnsi="Times New Roman" w:cs="Times New Roman"/>
          <w:color w:val="212529"/>
          <w:sz w:val="24"/>
          <w:szCs w:val="24"/>
          <w:lang w:eastAsia="lv-LV"/>
        </w:rPr>
        <w:t>% pret</w:t>
      </w:r>
      <w:r w:rsidRPr="00D23F5A">
        <w:rPr>
          <w:rFonts w:ascii="Times New Roman" w:eastAsia="Times New Roman" w:hAnsi="Times New Roman" w:cs="Times New Roman"/>
          <w:color w:val="212529"/>
          <w:sz w:val="24"/>
          <w:szCs w:val="24"/>
          <w:lang w:eastAsia="lv-LV"/>
        </w:rPr>
        <w:t xml:space="preserve"> indeksācijas bāzes periodu.</w:t>
      </w:r>
    </w:p>
    <w:p w14:paraId="61EA5E95" w14:textId="77777777" w:rsidR="0034271C" w:rsidRPr="00D66783" w:rsidRDefault="0034271C" w:rsidP="0034271C">
      <w:pPr>
        <w:pStyle w:val="Sarakstarindkopa"/>
        <w:tabs>
          <w:tab w:val="left" w:pos="567"/>
        </w:tabs>
        <w:ind w:left="0"/>
        <w:jc w:val="both"/>
        <w:rPr>
          <w:rFonts w:ascii="Times New Roman" w:hAnsi="Times New Roman" w:cs="Times New Roman"/>
          <w:i/>
          <w:iCs/>
          <w:sz w:val="24"/>
          <w:szCs w:val="24"/>
        </w:rPr>
      </w:pPr>
    </w:p>
    <w:p w14:paraId="43F757A7" w14:textId="77777777" w:rsidR="00E3469C" w:rsidRDefault="0034271C" w:rsidP="00E3469C">
      <w:pPr>
        <w:pStyle w:val="Sarakstarindkopa"/>
        <w:numPr>
          <w:ilvl w:val="0"/>
          <w:numId w:val="10"/>
        </w:numPr>
        <w:tabs>
          <w:tab w:val="left" w:pos="567"/>
        </w:tabs>
        <w:jc w:val="both"/>
        <w:rPr>
          <w:rFonts w:ascii="Times New Roman" w:eastAsia="Times New Roman" w:hAnsi="Times New Roman" w:cs="Times New Roman"/>
          <w:color w:val="212529"/>
          <w:sz w:val="24"/>
          <w:szCs w:val="24"/>
          <w:lang w:eastAsia="lv-LV"/>
        </w:rPr>
      </w:pPr>
      <w:r w:rsidRPr="006D646E">
        <w:rPr>
          <w:rFonts w:ascii="Times New Roman" w:eastAsia="Times New Roman" w:hAnsi="Times New Roman" w:cs="Times New Roman"/>
          <w:color w:val="212529"/>
          <w:sz w:val="24"/>
          <w:szCs w:val="24"/>
          <w:lang w:eastAsia="lv-LV"/>
        </w:rPr>
        <w:t>Indeksācijas bāzes periods ir mēnesis vai ceturksnis, kurā ir piedāvājumu</w:t>
      </w:r>
      <w:r w:rsidR="000C4FCB">
        <w:rPr>
          <w:rFonts w:ascii="Times New Roman" w:eastAsia="Times New Roman" w:hAnsi="Times New Roman" w:cs="Times New Roman"/>
          <w:color w:val="212529"/>
          <w:sz w:val="24"/>
          <w:szCs w:val="24"/>
          <w:lang w:eastAsia="lv-LV"/>
        </w:rPr>
        <w:t xml:space="preserve"> </w:t>
      </w:r>
      <w:r w:rsidRPr="000C4FCB">
        <w:rPr>
          <w:rFonts w:ascii="Times New Roman" w:eastAsia="Times New Roman" w:hAnsi="Times New Roman" w:cs="Times New Roman"/>
          <w:color w:val="212529"/>
          <w:sz w:val="24"/>
          <w:szCs w:val="24"/>
          <w:lang w:eastAsia="lv-LV"/>
        </w:rPr>
        <w:t>iesniegšanas termiņa pēdējā diena.</w:t>
      </w:r>
    </w:p>
    <w:p w14:paraId="02EA87CD" w14:textId="77777777" w:rsidR="00E3469C" w:rsidRPr="00E3469C" w:rsidRDefault="00E3469C" w:rsidP="00E3469C">
      <w:pPr>
        <w:pStyle w:val="Sarakstarindkopa"/>
        <w:rPr>
          <w:rFonts w:ascii="Times New Roman" w:eastAsia="Times New Roman" w:hAnsi="Times New Roman" w:cs="Times New Roman"/>
          <w:color w:val="212529"/>
          <w:sz w:val="24"/>
          <w:szCs w:val="24"/>
          <w:lang w:eastAsia="lv-LV"/>
        </w:rPr>
      </w:pPr>
    </w:p>
    <w:p w14:paraId="5D2ABA41" w14:textId="1A90E6EA" w:rsidR="006D646E" w:rsidRPr="00E3469C" w:rsidRDefault="0034271C" w:rsidP="00E3469C">
      <w:pPr>
        <w:pStyle w:val="Sarakstarindkopa"/>
        <w:numPr>
          <w:ilvl w:val="0"/>
          <w:numId w:val="10"/>
        </w:numPr>
        <w:tabs>
          <w:tab w:val="left" w:pos="567"/>
        </w:tabs>
        <w:jc w:val="both"/>
        <w:rPr>
          <w:rFonts w:ascii="Times New Roman" w:eastAsia="Times New Roman" w:hAnsi="Times New Roman" w:cs="Times New Roman"/>
          <w:color w:val="212529"/>
          <w:sz w:val="24"/>
          <w:szCs w:val="24"/>
          <w:lang w:eastAsia="lv-LV"/>
        </w:rPr>
      </w:pPr>
      <w:r w:rsidRPr="00E3469C">
        <w:rPr>
          <w:rFonts w:ascii="Times New Roman" w:eastAsia="Times New Roman" w:hAnsi="Times New Roman" w:cs="Times New Roman"/>
          <w:color w:val="212529"/>
          <w:sz w:val="24"/>
          <w:szCs w:val="24"/>
          <w:lang w:eastAsia="lv-LV"/>
        </w:rPr>
        <w:t xml:space="preserve">Indeksācija tiek veikta ne retāk kā reizi ceturksnī. </w:t>
      </w:r>
    </w:p>
    <w:p w14:paraId="4B38416E" w14:textId="77777777" w:rsidR="006D646E" w:rsidRPr="006D646E" w:rsidRDefault="006D646E" w:rsidP="006D646E">
      <w:pPr>
        <w:pStyle w:val="Sarakstarindkopa"/>
        <w:rPr>
          <w:rFonts w:ascii="Times New Roman" w:hAnsi="Times New Roman" w:cs="Times New Roman"/>
          <w:i/>
          <w:iCs/>
          <w:sz w:val="24"/>
          <w:szCs w:val="24"/>
        </w:rPr>
      </w:pPr>
    </w:p>
    <w:p w14:paraId="4765A62D" w14:textId="77777777" w:rsidR="000C4FCB" w:rsidRDefault="0034271C" w:rsidP="000C4FCB">
      <w:pPr>
        <w:pStyle w:val="Sarakstarindkopa"/>
        <w:numPr>
          <w:ilvl w:val="0"/>
          <w:numId w:val="10"/>
        </w:numPr>
        <w:ind w:left="567" w:hanging="283"/>
        <w:jc w:val="both"/>
        <w:rPr>
          <w:rFonts w:ascii="Times New Roman" w:eastAsia="Times New Roman" w:hAnsi="Times New Roman" w:cs="Times New Roman"/>
          <w:color w:val="212529"/>
          <w:sz w:val="24"/>
          <w:szCs w:val="24"/>
          <w:lang w:eastAsia="lv-LV"/>
        </w:rPr>
      </w:pPr>
      <w:r w:rsidRPr="006D646E">
        <w:rPr>
          <w:rFonts w:ascii="Times New Roman" w:eastAsia="Times New Roman" w:hAnsi="Times New Roman" w:cs="Times New Roman"/>
          <w:color w:val="212529"/>
          <w:sz w:val="24"/>
          <w:szCs w:val="24"/>
          <w:lang w:eastAsia="lv-LV"/>
        </w:rPr>
        <w:t>Ja indeksācijai piemēro Centrālās statistikas pārvaldes indeksus, tiek izmantots kopējais būvniecības izmaksu indekss vai  kopējais būvniecības izmaksu indekss pa resursu veidiem-  Būvmateriāli, Strādnieku darba samaksa un Izmaksas mašīnu un mehānismu uzturēšanai un ekspluatācijai.</w:t>
      </w:r>
    </w:p>
    <w:p w14:paraId="21A4F014" w14:textId="77777777" w:rsidR="000C4FCB" w:rsidRPr="000C4FCB" w:rsidRDefault="000C4FCB" w:rsidP="000C4FCB">
      <w:pPr>
        <w:pStyle w:val="Sarakstarindkopa"/>
        <w:rPr>
          <w:rFonts w:ascii="Times New Roman" w:eastAsia="Times New Roman" w:hAnsi="Times New Roman" w:cs="Times New Roman"/>
          <w:color w:val="212529"/>
          <w:sz w:val="24"/>
          <w:szCs w:val="24"/>
          <w:lang w:eastAsia="lv-LV"/>
        </w:rPr>
      </w:pPr>
    </w:p>
    <w:p w14:paraId="2B1A5233" w14:textId="77777777" w:rsidR="000C4FCB" w:rsidRDefault="0034271C" w:rsidP="000C4FCB">
      <w:pPr>
        <w:pStyle w:val="Sarakstarindkopa"/>
        <w:numPr>
          <w:ilvl w:val="0"/>
          <w:numId w:val="10"/>
        </w:numPr>
        <w:ind w:left="567" w:hanging="283"/>
        <w:jc w:val="both"/>
        <w:rPr>
          <w:rFonts w:ascii="Times New Roman" w:eastAsia="Times New Roman" w:hAnsi="Times New Roman" w:cs="Times New Roman"/>
          <w:color w:val="212529"/>
          <w:sz w:val="24"/>
          <w:szCs w:val="24"/>
          <w:lang w:eastAsia="lv-LV"/>
        </w:rPr>
      </w:pPr>
      <w:r w:rsidRPr="000C4FCB">
        <w:rPr>
          <w:rFonts w:ascii="Times New Roman" w:eastAsia="Times New Roman" w:hAnsi="Times New Roman" w:cs="Times New Roman"/>
          <w:color w:val="212529"/>
          <w:sz w:val="24"/>
          <w:szCs w:val="24"/>
          <w:lang w:eastAsia="lv-LV"/>
        </w:rPr>
        <w:t>Korekcijas izmaksas tiek aprēķinātas un norēķini tiek veikti reizi ceturksnī ne vēlāk kā 60 dienu laikā pēc korekcijas perioda indeksu publikācijas dienas.</w:t>
      </w:r>
    </w:p>
    <w:p w14:paraId="2BD034D0" w14:textId="77777777" w:rsidR="000C4FCB" w:rsidRPr="000C4FCB" w:rsidRDefault="000C4FCB" w:rsidP="000C4FCB">
      <w:pPr>
        <w:pStyle w:val="Sarakstarindkopa"/>
        <w:rPr>
          <w:rFonts w:ascii="Times New Roman" w:eastAsia="Times New Roman" w:hAnsi="Times New Roman" w:cs="Times New Roman"/>
          <w:color w:val="212529"/>
          <w:sz w:val="24"/>
          <w:szCs w:val="24"/>
          <w:lang w:eastAsia="lv-LV"/>
        </w:rPr>
      </w:pPr>
    </w:p>
    <w:p w14:paraId="15619D43" w14:textId="39C08E27" w:rsidR="0034271C" w:rsidRPr="000C4FCB" w:rsidRDefault="0034271C" w:rsidP="000C4FCB">
      <w:pPr>
        <w:pStyle w:val="Sarakstarindkopa"/>
        <w:numPr>
          <w:ilvl w:val="0"/>
          <w:numId w:val="10"/>
        </w:numPr>
        <w:ind w:left="567" w:hanging="283"/>
        <w:jc w:val="both"/>
        <w:rPr>
          <w:rFonts w:ascii="Times New Roman" w:eastAsia="Times New Roman" w:hAnsi="Times New Roman" w:cs="Times New Roman"/>
          <w:color w:val="212529"/>
          <w:sz w:val="24"/>
          <w:szCs w:val="24"/>
          <w:lang w:eastAsia="lv-LV"/>
        </w:rPr>
      </w:pPr>
      <w:r w:rsidRPr="000C4FCB">
        <w:rPr>
          <w:rFonts w:ascii="Times New Roman" w:eastAsia="Times New Roman" w:hAnsi="Times New Roman" w:cs="Times New Roman"/>
          <w:color w:val="212529"/>
          <w:sz w:val="24"/>
          <w:szCs w:val="24"/>
          <w:lang w:eastAsia="lv-LV"/>
        </w:rPr>
        <w:t xml:space="preserve">Ja indeksācijas rezultātā līgumcenas pieaugums vai samazinājums gadā pārsniedz </w:t>
      </w:r>
      <w:r w:rsidR="006D646E" w:rsidRPr="000C4FCB">
        <w:rPr>
          <w:rFonts w:ascii="Times New Roman" w:eastAsia="Times New Roman" w:hAnsi="Times New Roman" w:cs="Times New Roman"/>
          <w:color w:val="212529"/>
          <w:sz w:val="24"/>
          <w:szCs w:val="24"/>
          <w:lang w:eastAsia="lv-LV"/>
        </w:rPr>
        <w:t>20</w:t>
      </w:r>
      <w:r w:rsidRPr="000C4FCB">
        <w:rPr>
          <w:rFonts w:ascii="Times New Roman" w:eastAsia="Times New Roman" w:hAnsi="Times New Roman" w:cs="Times New Roman"/>
          <w:color w:val="212529"/>
          <w:sz w:val="24"/>
          <w:szCs w:val="24"/>
          <w:lang w:eastAsia="lv-LV"/>
        </w:rPr>
        <w:t xml:space="preserve"> % gadā, </w:t>
      </w:r>
      <w:r w:rsidR="006F52D0" w:rsidRPr="000C4FCB">
        <w:rPr>
          <w:rFonts w:ascii="Times New Roman" w:eastAsia="Times New Roman" w:hAnsi="Times New Roman" w:cs="Times New Roman"/>
          <w:color w:val="212529"/>
          <w:sz w:val="24"/>
          <w:szCs w:val="24"/>
          <w:lang w:eastAsia="lv-LV"/>
        </w:rPr>
        <w:t>pusēm</w:t>
      </w:r>
      <w:r w:rsidR="0035437F" w:rsidRPr="000C4FCB">
        <w:rPr>
          <w:rFonts w:ascii="Times New Roman" w:eastAsia="Times New Roman" w:hAnsi="Times New Roman" w:cs="Times New Roman"/>
          <w:color w:val="212529"/>
          <w:sz w:val="24"/>
          <w:szCs w:val="24"/>
          <w:lang w:eastAsia="lv-LV"/>
        </w:rPr>
        <w:t xml:space="preserve"> ir tiesības vienoties, ka turpinās līgumcenas indeksācija atbilstoši līguma noteikumiem</w:t>
      </w:r>
      <w:r w:rsidR="006F52D0" w:rsidRPr="000C4FCB">
        <w:rPr>
          <w:rFonts w:ascii="Times New Roman" w:eastAsia="Times New Roman" w:hAnsi="Times New Roman" w:cs="Times New Roman"/>
          <w:color w:val="212529"/>
          <w:sz w:val="24"/>
          <w:szCs w:val="24"/>
          <w:lang w:eastAsia="lv-LV"/>
        </w:rPr>
        <w:t xml:space="preserve"> </w:t>
      </w:r>
      <w:r w:rsidR="0035437F" w:rsidRPr="000C4FCB">
        <w:rPr>
          <w:rFonts w:ascii="Times New Roman" w:eastAsia="Times New Roman" w:hAnsi="Times New Roman" w:cs="Times New Roman"/>
          <w:color w:val="212529"/>
          <w:sz w:val="24"/>
          <w:szCs w:val="24"/>
          <w:lang w:eastAsia="lv-LV"/>
        </w:rPr>
        <w:t xml:space="preserve">vai </w:t>
      </w:r>
      <w:r w:rsidR="006F52D0" w:rsidRPr="000C4FCB">
        <w:rPr>
          <w:rFonts w:ascii="Times New Roman" w:eastAsia="Times New Roman" w:hAnsi="Times New Roman" w:cs="Times New Roman"/>
          <w:color w:val="212529"/>
          <w:sz w:val="24"/>
          <w:szCs w:val="24"/>
          <w:lang w:eastAsia="lv-LV"/>
        </w:rPr>
        <w:t>jāvienojas</w:t>
      </w:r>
      <w:r w:rsidR="00503998" w:rsidRPr="000C4FCB">
        <w:rPr>
          <w:rFonts w:ascii="Times New Roman" w:eastAsia="Times New Roman" w:hAnsi="Times New Roman" w:cs="Times New Roman"/>
          <w:color w:val="212529"/>
          <w:sz w:val="24"/>
          <w:szCs w:val="24"/>
          <w:lang w:eastAsia="lv-LV"/>
        </w:rPr>
        <w:t xml:space="preserve"> par citiem ārkārtas </w:t>
      </w:r>
      <w:r w:rsidR="006F52D0" w:rsidRPr="000C4FCB">
        <w:rPr>
          <w:rFonts w:ascii="Times New Roman" w:eastAsia="Times New Roman" w:hAnsi="Times New Roman" w:cs="Times New Roman"/>
          <w:color w:val="212529"/>
          <w:sz w:val="24"/>
          <w:szCs w:val="24"/>
          <w:lang w:eastAsia="lv-LV"/>
        </w:rPr>
        <w:t>līgumcenas izmaiņu</w:t>
      </w:r>
      <w:r w:rsidR="00503998" w:rsidRPr="000C4FCB">
        <w:rPr>
          <w:rFonts w:ascii="Times New Roman" w:eastAsia="Times New Roman" w:hAnsi="Times New Roman" w:cs="Times New Roman"/>
          <w:color w:val="212529"/>
          <w:sz w:val="24"/>
          <w:szCs w:val="24"/>
          <w:lang w:eastAsia="lv-LV"/>
        </w:rPr>
        <w:t xml:space="preserve"> mehānismiem</w:t>
      </w:r>
      <w:r w:rsidR="00CD67FE" w:rsidRPr="000C4FCB">
        <w:rPr>
          <w:rFonts w:ascii="Times New Roman" w:eastAsia="Times New Roman" w:hAnsi="Times New Roman" w:cs="Times New Roman"/>
          <w:color w:val="212529"/>
          <w:sz w:val="24"/>
          <w:szCs w:val="24"/>
          <w:lang w:eastAsia="lv-LV"/>
        </w:rPr>
        <w:t xml:space="preserve">. Ja vienošanās netiek panākta, </w:t>
      </w:r>
      <w:r w:rsidR="006F52D0" w:rsidRPr="000C4FCB">
        <w:rPr>
          <w:rFonts w:ascii="Times New Roman" w:eastAsia="Times New Roman" w:hAnsi="Times New Roman" w:cs="Times New Roman"/>
          <w:color w:val="212529"/>
          <w:sz w:val="24"/>
          <w:szCs w:val="24"/>
          <w:lang w:eastAsia="lv-LV"/>
        </w:rPr>
        <w:t>pusēm ir tiesības vienpusēji atkāpties no līguma bez soda sankcijām</w:t>
      </w:r>
      <w:r w:rsidR="00F5248A" w:rsidRPr="000C4FCB">
        <w:rPr>
          <w:rFonts w:ascii="Times New Roman" w:eastAsia="Times New Roman" w:hAnsi="Times New Roman" w:cs="Times New Roman"/>
          <w:color w:val="212529"/>
          <w:sz w:val="24"/>
          <w:szCs w:val="24"/>
          <w:lang w:eastAsia="lv-LV"/>
        </w:rPr>
        <w:t>.</w:t>
      </w:r>
    </w:p>
    <w:p w14:paraId="20178623" w14:textId="77777777" w:rsidR="0034271C" w:rsidRDefault="0034271C" w:rsidP="00F8344B">
      <w:pPr>
        <w:jc w:val="both"/>
        <w:rPr>
          <w:rFonts w:ascii="Times New Roman" w:eastAsia="Times New Roman" w:hAnsi="Times New Roman" w:cs="Times New Roman"/>
          <w:color w:val="212529"/>
          <w:sz w:val="24"/>
          <w:szCs w:val="24"/>
          <w:lang w:eastAsia="lv-LV"/>
        </w:rPr>
      </w:pPr>
    </w:p>
    <w:p w14:paraId="2655FE32" w14:textId="00FA5B11" w:rsidR="00E3469C" w:rsidRPr="00E3469C" w:rsidRDefault="00E3469C" w:rsidP="00E3469C">
      <w:pPr>
        <w:jc w:val="both"/>
        <w:rPr>
          <w:rFonts w:ascii="Times New Roman" w:eastAsia="Times New Roman" w:hAnsi="Times New Roman" w:cs="Times New Roman"/>
          <w:b/>
          <w:bCs/>
          <w:i/>
          <w:iCs/>
          <w:color w:val="212529"/>
          <w:sz w:val="24"/>
          <w:szCs w:val="24"/>
          <w:lang w:eastAsia="lv-LV"/>
        </w:rPr>
      </w:pPr>
      <w:r>
        <w:rPr>
          <w:rFonts w:ascii="Times New Roman" w:eastAsia="Times New Roman" w:hAnsi="Times New Roman" w:cs="Times New Roman"/>
          <w:b/>
          <w:bCs/>
          <w:i/>
          <w:iCs/>
          <w:color w:val="212529"/>
          <w:sz w:val="24"/>
          <w:szCs w:val="24"/>
          <w:lang w:eastAsia="lv-LV"/>
        </w:rPr>
        <w:t>B)Vienreizēja būtisko izmaksu pozīciju izmaiņu vadība</w:t>
      </w:r>
    </w:p>
    <w:p w14:paraId="0C8E94EE" w14:textId="77777777" w:rsidR="00E3469C" w:rsidRDefault="00E3469C" w:rsidP="00F8344B">
      <w:pPr>
        <w:jc w:val="both"/>
        <w:rPr>
          <w:rFonts w:ascii="Times New Roman" w:eastAsia="Times New Roman" w:hAnsi="Times New Roman" w:cs="Times New Roman"/>
          <w:b/>
          <w:bCs/>
          <w:i/>
          <w:iCs/>
          <w:color w:val="212529"/>
          <w:sz w:val="24"/>
          <w:szCs w:val="24"/>
          <w:lang w:eastAsia="lv-LV"/>
        </w:rPr>
      </w:pPr>
    </w:p>
    <w:p w14:paraId="47FE0938" w14:textId="4C0590BE" w:rsidR="00F8344B" w:rsidRPr="00E3469C" w:rsidRDefault="00F5248A" w:rsidP="00F8344B">
      <w:pPr>
        <w:jc w:val="both"/>
        <w:rPr>
          <w:rFonts w:ascii="Times New Roman" w:eastAsia="Times New Roman" w:hAnsi="Times New Roman" w:cs="Times New Roman"/>
          <w:color w:val="212529"/>
          <w:sz w:val="24"/>
          <w:szCs w:val="24"/>
          <w:lang w:eastAsia="lv-LV"/>
        </w:rPr>
      </w:pPr>
      <w:r w:rsidRPr="00E3469C">
        <w:rPr>
          <w:rFonts w:ascii="Times New Roman" w:eastAsia="Times New Roman" w:hAnsi="Times New Roman" w:cs="Times New Roman"/>
          <w:color w:val="212529"/>
          <w:sz w:val="24"/>
          <w:szCs w:val="24"/>
          <w:lang w:eastAsia="lv-LV"/>
        </w:rPr>
        <w:t xml:space="preserve">Ja </w:t>
      </w:r>
      <w:r w:rsidR="00AF1CD4" w:rsidRPr="00E3469C">
        <w:rPr>
          <w:rFonts w:ascii="Times New Roman" w:eastAsia="Times New Roman" w:hAnsi="Times New Roman" w:cs="Times New Roman"/>
          <w:color w:val="212529"/>
          <w:sz w:val="24"/>
          <w:szCs w:val="24"/>
          <w:lang w:eastAsia="lv-LV"/>
        </w:rPr>
        <w:t>kopējais līgumcenas izmaksu pieaugums pārsniedz 20%, pusēm</w:t>
      </w:r>
      <w:r w:rsidR="00211BE6" w:rsidRPr="00E3469C">
        <w:rPr>
          <w:rFonts w:ascii="Times New Roman" w:eastAsia="Times New Roman" w:hAnsi="Times New Roman" w:cs="Times New Roman"/>
          <w:color w:val="212529"/>
          <w:sz w:val="24"/>
          <w:szCs w:val="24"/>
          <w:lang w:eastAsia="lv-LV"/>
        </w:rPr>
        <w:t xml:space="preserve"> ir tiesības vienoties, par ārkārtas līgumcenas izmaiņu mehānismiem, piemēram par </w:t>
      </w:r>
      <w:r w:rsidR="001B0537" w:rsidRPr="00E3469C">
        <w:rPr>
          <w:rFonts w:ascii="Times New Roman" w:eastAsia="Times New Roman" w:hAnsi="Times New Roman" w:cs="Times New Roman"/>
          <w:color w:val="212529"/>
          <w:sz w:val="24"/>
          <w:szCs w:val="24"/>
          <w:lang w:eastAsia="lv-LV"/>
        </w:rPr>
        <w:t>gan konkrēt</w:t>
      </w:r>
      <w:r w:rsidR="00211BE6" w:rsidRPr="00E3469C">
        <w:rPr>
          <w:rFonts w:ascii="Times New Roman" w:eastAsia="Times New Roman" w:hAnsi="Times New Roman" w:cs="Times New Roman"/>
          <w:color w:val="212529"/>
          <w:sz w:val="24"/>
          <w:szCs w:val="24"/>
          <w:lang w:eastAsia="lv-LV"/>
        </w:rPr>
        <w:t>u</w:t>
      </w:r>
      <w:r w:rsidR="001B0537" w:rsidRPr="00E3469C">
        <w:rPr>
          <w:rFonts w:ascii="Times New Roman" w:eastAsia="Times New Roman" w:hAnsi="Times New Roman" w:cs="Times New Roman"/>
          <w:color w:val="212529"/>
          <w:sz w:val="24"/>
          <w:szCs w:val="24"/>
          <w:lang w:eastAsia="lv-LV"/>
        </w:rPr>
        <w:t xml:space="preserve"> būvizstrādājum</w:t>
      </w:r>
      <w:r w:rsidR="00211BE6" w:rsidRPr="00E3469C">
        <w:rPr>
          <w:rFonts w:ascii="Times New Roman" w:eastAsia="Times New Roman" w:hAnsi="Times New Roman" w:cs="Times New Roman"/>
          <w:color w:val="212529"/>
          <w:sz w:val="24"/>
          <w:szCs w:val="24"/>
          <w:lang w:eastAsia="lv-LV"/>
        </w:rPr>
        <w:t>u</w:t>
      </w:r>
      <w:r w:rsidR="00D64232" w:rsidRPr="00E3469C">
        <w:rPr>
          <w:rFonts w:ascii="Times New Roman" w:eastAsia="Times New Roman" w:hAnsi="Times New Roman" w:cs="Times New Roman"/>
          <w:color w:val="212529"/>
          <w:sz w:val="24"/>
          <w:szCs w:val="24"/>
          <w:lang w:eastAsia="lv-LV"/>
        </w:rPr>
        <w:t xml:space="preserve"> vai </w:t>
      </w:r>
      <w:r w:rsidR="009A3FF6" w:rsidRPr="00E3469C">
        <w:rPr>
          <w:rFonts w:ascii="Times New Roman" w:eastAsia="Times New Roman" w:hAnsi="Times New Roman" w:cs="Times New Roman"/>
          <w:color w:val="212529"/>
          <w:sz w:val="24"/>
          <w:szCs w:val="24"/>
          <w:lang w:eastAsia="lv-LV"/>
        </w:rPr>
        <w:t>būvizstrādājumu grupa</w:t>
      </w:r>
      <w:r w:rsidR="00D64232" w:rsidRPr="00E3469C">
        <w:rPr>
          <w:rFonts w:ascii="Times New Roman" w:eastAsia="Times New Roman" w:hAnsi="Times New Roman" w:cs="Times New Roman"/>
          <w:color w:val="212529"/>
          <w:sz w:val="24"/>
          <w:szCs w:val="24"/>
          <w:lang w:eastAsia="lv-LV"/>
        </w:rPr>
        <w:t>s izmaksu izmaiņu kompensēšanu</w:t>
      </w:r>
      <w:r w:rsidR="009A3FF6" w:rsidRPr="00E3469C">
        <w:rPr>
          <w:rFonts w:ascii="Times New Roman" w:eastAsia="Times New Roman" w:hAnsi="Times New Roman" w:cs="Times New Roman"/>
          <w:color w:val="212529"/>
          <w:sz w:val="24"/>
          <w:szCs w:val="24"/>
          <w:lang w:eastAsia="lv-LV"/>
        </w:rPr>
        <w:t xml:space="preserve"> (piemēram, metāli, kokmateriāli, siltināšanas materiāli u.c.), kas veido būtisku daļu no kopējām izmaksām</w:t>
      </w:r>
      <w:r w:rsidR="00F8344B" w:rsidRPr="00E3469C">
        <w:rPr>
          <w:rFonts w:ascii="Times New Roman" w:eastAsia="Times New Roman" w:hAnsi="Times New Roman" w:cs="Times New Roman"/>
          <w:color w:val="212529"/>
          <w:sz w:val="24"/>
          <w:szCs w:val="24"/>
          <w:lang w:eastAsia="lv-LV"/>
        </w:rPr>
        <w:t xml:space="preserve">. </w:t>
      </w:r>
    </w:p>
    <w:p w14:paraId="4F7E68EF" w14:textId="77777777" w:rsidR="005024C1" w:rsidRDefault="005024C1" w:rsidP="00F8344B">
      <w:pPr>
        <w:jc w:val="both"/>
        <w:rPr>
          <w:rFonts w:ascii="Times New Roman" w:eastAsia="Times New Roman" w:hAnsi="Times New Roman" w:cs="Times New Roman"/>
          <w:color w:val="212529"/>
          <w:sz w:val="24"/>
          <w:szCs w:val="24"/>
          <w:lang w:eastAsia="lv-LV"/>
        </w:rPr>
      </w:pPr>
    </w:p>
    <w:p w14:paraId="0B9B951E" w14:textId="718352AB" w:rsidR="00E90AEC" w:rsidRDefault="009A3FF6" w:rsidP="00F8344B">
      <w:pPr>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Vienlaicīgi</w:t>
      </w:r>
      <w:r w:rsidRPr="00F8344B">
        <w:rPr>
          <w:rFonts w:ascii="Times New Roman" w:eastAsia="Times New Roman" w:hAnsi="Times New Roman" w:cs="Times New Roman"/>
          <w:color w:val="212529"/>
          <w:sz w:val="24"/>
          <w:szCs w:val="24"/>
          <w:lang w:eastAsia="lv-LV"/>
        </w:rPr>
        <w:t>,</w:t>
      </w:r>
      <w:r>
        <w:rPr>
          <w:rFonts w:ascii="Times New Roman" w:eastAsia="Times New Roman" w:hAnsi="Times New Roman" w:cs="Times New Roman"/>
          <w:color w:val="212529"/>
          <w:sz w:val="24"/>
          <w:szCs w:val="24"/>
          <w:lang w:eastAsia="lv-LV"/>
        </w:rPr>
        <w:t xml:space="preserve"> būtu pieļaujami dažādi pierādīšanas līdzekļi, </w:t>
      </w:r>
      <w:r w:rsidRPr="00F8344B">
        <w:rPr>
          <w:rFonts w:ascii="Times New Roman" w:eastAsia="Times New Roman" w:hAnsi="Times New Roman" w:cs="Times New Roman"/>
          <w:color w:val="212529"/>
          <w:sz w:val="24"/>
          <w:szCs w:val="24"/>
          <w:lang w:eastAsia="lv-LV"/>
        </w:rPr>
        <w:t>kas pamato būtisk</w:t>
      </w:r>
      <w:r>
        <w:rPr>
          <w:rFonts w:ascii="Times New Roman" w:eastAsia="Times New Roman" w:hAnsi="Times New Roman" w:cs="Times New Roman"/>
          <w:color w:val="212529"/>
          <w:sz w:val="24"/>
          <w:szCs w:val="24"/>
          <w:lang w:eastAsia="lv-LV"/>
        </w:rPr>
        <w:t>u izmaksu</w:t>
      </w:r>
      <w:r w:rsidRPr="00F8344B">
        <w:rPr>
          <w:rFonts w:ascii="Times New Roman" w:eastAsia="Times New Roman" w:hAnsi="Times New Roman" w:cs="Times New Roman"/>
          <w:color w:val="212529"/>
          <w:sz w:val="24"/>
          <w:szCs w:val="24"/>
          <w:lang w:eastAsia="lv-LV"/>
        </w:rPr>
        <w:t xml:space="preserve"> pieaugum</w:t>
      </w:r>
      <w:r>
        <w:rPr>
          <w:rFonts w:ascii="Times New Roman" w:eastAsia="Times New Roman" w:hAnsi="Times New Roman" w:cs="Times New Roman"/>
          <w:color w:val="212529"/>
          <w:sz w:val="24"/>
          <w:szCs w:val="24"/>
          <w:lang w:eastAsia="lv-LV"/>
        </w:rPr>
        <w:t xml:space="preserve">u, kā piemēram, Centrālās statistikas pārvaldes dati, </w:t>
      </w:r>
      <w:r w:rsidR="00097A6A">
        <w:rPr>
          <w:rFonts w:ascii="Times New Roman" w:eastAsia="Times New Roman" w:hAnsi="Times New Roman" w:cs="Times New Roman"/>
          <w:color w:val="212529"/>
          <w:sz w:val="24"/>
          <w:szCs w:val="24"/>
          <w:lang w:eastAsia="lv-LV"/>
        </w:rPr>
        <w:t xml:space="preserve">nozares </w:t>
      </w:r>
      <w:r w:rsidR="00E3469C">
        <w:rPr>
          <w:rFonts w:ascii="Times New Roman" w:eastAsia="Times New Roman" w:hAnsi="Times New Roman" w:cs="Times New Roman"/>
          <w:color w:val="212529"/>
          <w:sz w:val="24"/>
          <w:szCs w:val="24"/>
          <w:lang w:eastAsia="lv-LV"/>
        </w:rPr>
        <w:t xml:space="preserve">profesionālo </w:t>
      </w:r>
      <w:r w:rsidR="00097A6A">
        <w:rPr>
          <w:rFonts w:ascii="Times New Roman" w:eastAsia="Times New Roman" w:hAnsi="Times New Roman" w:cs="Times New Roman"/>
          <w:color w:val="212529"/>
          <w:sz w:val="24"/>
          <w:szCs w:val="24"/>
          <w:lang w:eastAsia="lv-LV"/>
        </w:rPr>
        <w:t xml:space="preserve">asociāciju dati, </w:t>
      </w:r>
      <w:r w:rsidR="00D35D16">
        <w:rPr>
          <w:rFonts w:ascii="Times New Roman" w:eastAsia="Times New Roman" w:hAnsi="Times New Roman" w:cs="Times New Roman"/>
          <w:color w:val="212529"/>
          <w:sz w:val="24"/>
          <w:szCs w:val="24"/>
          <w:lang w:eastAsia="lv-LV"/>
        </w:rPr>
        <w:t>lielāko Latvijas ražotāju vai piegādātāju/apakšuzņēmēju aktuālie cenu piedāvājumi vai starptautiski atzītu preču biržu indeksi precēm, kuras Latvijā importē un kuru tirgus cenas noteikšana pēc preču biržu indeksiem ir ierasta prakse.</w:t>
      </w:r>
      <w:r w:rsidR="00E90AEC">
        <w:rPr>
          <w:rFonts w:ascii="Times New Roman" w:eastAsia="Times New Roman" w:hAnsi="Times New Roman" w:cs="Times New Roman"/>
          <w:color w:val="212529"/>
          <w:sz w:val="24"/>
          <w:szCs w:val="24"/>
          <w:lang w:eastAsia="lv-LV"/>
        </w:rPr>
        <w:t xml:space="preserve"> Neatkarīgi no izvēlētā pierādīšanas līdzekļa izvēles, svarīgi, lai pamatojums ir loģisks un reprezentatīvs.</w:t>
      </w:r>
    </w:p>
    <w:p w14:paraId="56076048" w14:textId="7405953A" w:rsidR="00E3469C" w:rsidRPr="009E7C57" w:rsidRDefault="00E3469C" w:rsidP="00F8344B">
      <w:pPr>
        <w:jc w:val="both"/>
        <w:rPr>
          <w:rFonts w:ascii="Times New Roman" w:eastAsia="Times New Roman" w:hAnsi="Times New Roman" w:cs="Times New Roman"/>
          <w:color w:val="212529"/>
          <w:sz w:val="24"/>
          <w:szCs w:val="24"/>
          <w:lang w:eastAsia="lv-LV"/>
        </w:rPr>
      </w:pPr>
    </w:p>
    <w:p w14:paraId="153AC191" w14:textId="6EE9DA8D" w:rsidR="00E3469C" w:rsidRPr="009E7C57" w:rsidRDefault="00E3469C" w:rsidP="00F8344B">
      <w:pPr>
        <w:jc w:val="both"/>
        <w:rPr>
          <w:rFonts w:ascii="Times New Roman" w:eastAsia="Times New Roman" w:hAnsi="Times New Roman" w:cs="Times New Roman"/>
          <w:color w:val="212529"/>
          <w:sz w:val="24"/>
          <w:szCs w:val="24"/>
          <w:lang w:eastAsia="lv-LV"/>
        </w:rPr>
      </w:pPr>
      <w:r w:rsidRPr="009E7C57">
        <w:rPr>
          <w:rFonts w:ascii="Times New Roman" w:eastAsia="Times New Roman" w:hAnsi="Times New Roman" w:cs="Times New Roman"/>
          <w:color w:val="212529"/>
          <w:sz w:val="24"/>
          <w:szCs w:val="24"/>
          <w:lang w:eastAsia="lv-LV"/>
        </w:rPr>
        <w:t xml:space="preserve">Piegādātājs iesniedzot pamatotu cenu izmaiņu piedāvājumu izmanto </w:t>
      </w:r>
      <w:r w:rsidRPr="009E7C57">
        <w:rPr>
          <w:rFonts w:ascii="Times New Roman" w:hAnsi="Times New Roman" w:cs="Times New Roman"/>
          <w:sz w:val="24"/>
          <w:szCs w:val="24"/>
        </w:rPr>
        <w:t>LBN 501-17 "</w:t>
      </w:r>
      <w:proofErr w:type="spellStart"/>
      <w:r w:rsidRPr="009E7C57">
        <w:rPr>
          <w:rFonts w:ascii="Times New Roman" w:hAnsi="Times New Roman" w:cs="Times New Roman"/>
          <w:sz w:val="24"/>
          <w:szCs w:val="24"/>
        </w:rPr>
        <w:t>Būvizmaksu</w:t>
      </w:r>
      <w:proofErr w:type="spellEnd"/>
      <w:r w:rsidRPr="009E7C57">
        <w:rPr>
          <w:rFonts w:ascii="Times New Roman" w:hAnsi="Times New Roman" w:cs="Times New Roman"/>
          <w:sz w:val="24"/>
          <w:szCs w:val="24"/>
        </w:rPr>
        <w:t xml:space="preserve"> noteikšanas kārtība"</w:t>
      </w:r>
      <w:r w:rsidR="009E7C57" w:rsidRPr="009E7C57">
        <w:rPr>
          <w:rFonts w:ascii="Times New Roman" w:hAnsi="Times New Roman" w:cs="Times New Roman"/>
          <w:sz w:val="24"/>
          <w:szCs w:val="24"/>
        </w:rPr>
        <w:t xml:space="preserve"> noteikto </w:t>
      </w:r>
      <w:proofErr w:type="spellStart"/>
      <w:r w:rsidR="009E7C57" w:rsidRPr="009E7C57">
        <w:rPr>
          <w:rFonts w:ascii="Times New Roman" w:hAnsi="Times New Roman" w:cs="Times New Roman"/>
          <w:sz w:val="24"/>
          <w:szCs w:val="24"/>
        </w:rPr>
        <w:t>izpilddokumentāciju</w:t>
      </w:r>
      <w:proofErr w:type="spellEnd"/>
      <w:r w:rsidR="009E7C57">
        <w:rPr>
          <w:rFonts w:ascii="Times New Roman" w:hAnsi="Times New Roman" w:cs="Times New Roman"/>
          <w:sz w:val="24"/>
          <w:szCs w:val="24"/>
        </w:rPr>
        <w:t>, piemēram Forma 2, Forma 3.</w:t>
      </w:r>
    </w:p>
    <w:p w14:paraId="185E5C64" w14:textId="77777777" w:rsidR="00E3469C" w:rsidRDefault="00E3469C" w:rsidP="00F8344B">
      <w:pPr>
        <w:jc w:val="both"/>
        <w:rPr>
          <w:rFonts w:ascii="Times New Roman" w:eastAsia="Times New Roman" w:hAnsi="Times New Roman" w:cs="Times New Roman"/>
          <w:color w:val="212529"/>
          <w:sz w:val="24"/>
          <w:szCs w:val="24"/>
          <w:lang w:eastAsia="lv-LV"/>
        </w:rPr>
      </w:pPr>
    </w:p>
    <w:p w14:paraId="7E9A15A7" w14:textId="586AE84B" w:rsidR="00D35D16" w:rsidRDefault="00D35D16" w:rsidP="00F8344B">
      <w:pPr>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Viena līguma ietvaros dažādiem būvizstrādājumiem cenu izmaiņu ietekmes noteikšanai var piemērot dažādas vērtēšanas metodes un pierādījumus.</w:t>
      </w:r>
    </w:p>
    <w:p w14:paraId="6CFCAEC2" w14:textId="77777777" w:rsidR="00D35D16" w:rsidRDefault="00D35D16" w:rsidP="00F8344B">
      <w:pPr>
        <w:jc w:val="both"/>
        <w:rPr>
          <w:rFonts w:ascii="Times New Roman" w:eastAsia="Times New Roman" w:hAnsi="Times New Roman" w:cs="Times New Roman"/>
          <w:color w:val="212529"/>
          <w:sz w:val="24"/>
          <w:szCs w:val="24"/>
          <w:lang w:eastAsia="lv-LV"/>
        </w:rPr>
      </w:pPr>
    </w:p>
    <w:p w14:paraId="396B3E2B" w14:textId="4398CF02" w:rsidR="009A3FF6" w:rsidRPr="00E90AEC" w:rsidRDefault="00E90AEC" w:rsidP="008B3590">
      <w:pPr>
        <w:pStyle w:val="Sarakstarindkopa"/>
        <w:numPr>
          <w:ilvl w:val="0"/>
          <w:numId w:val="3"/>
        </w:numPr>
        <w:jc w:val="center"/>
        <w:rPr>
          <w:rFonts w:ascii="Times New Roman" w:eastAsia="Times New Roman" w:hAnsi="Times New Roman" w:cs="Times New Roman"/>
          <w:color w:val="212529"/>
          <w:sz w:val="24"/>
          <w:szCs w:val="24"/>
          <w:lang w:eastAsia="lv-LV"/>
        </w:rPr>
      </w:pPr>
      <w:r>
        <w:rPr>
          <w:rFonts w:ascii="Times New Roman" w:eastAsia="Times New Roman" w:hAnsi="Times New Roman" w:cs="Times New Roman"/>
          <w:b/>
          <w:bCs/>
          <w:color w:val="212529"/>
          <w:sz w:val="24"/>
          <w:szCs w:val="24"/>
          <w:lang w:eastAsia="lv-LV"/>
        </w:rPr>
        <w:t>Pasūtītāja rīcības scenāriji</w:t>
      </w:r>
    </w:p>
    <w:p w14:paraId="584A6567" w14:textId="3EFF2FCF" w:rsidR="00E90AEC" w:rsidRDefault="00E90AEC" w:rsidP="00E90AEC">
      <w:pPr>
        <w:jc w:val="both"/>
        <w:rPr>
          <w:rFonts w:ascii="Times New Roman" w:eastAsia="Times New Roman" w:hAnsi="Times New Roman" w:cs="Times New Roman"/>
          <w:color w:val="212529"/>
          <w:sz w:val="24"/>
          <w:szCs w:val="24"/>
          <w:lang w:eastAsia="lv-LV"/>
        </w:rPr>
      </w:pPr>
    </w:p>
    <w:p w14:paraId="477C3E1F" w14:textId="0941F15A" w:rsidR="005B2137" w:rsidRDefault="005B2137" w:rsidP="005B2137">
      <w:pPr>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 xml:space="preserve">Neatkarīgi no pasūtītāja pieņemtā lēmuma, svarīgi to pieņemt pēc iespējas savlaicīgi, jo tiesiskā nenoteiktība var pasliktināt gan pasūtītāja, gan piegādātāja intereses. </w:t>
      </w:r>
    </w:p>
    <w:p w14:paraId="579F8A72" w14:textId="1E8F172D" w:rsidR="005B2137" w:rsidRDefault="005B2137" w:rsidP="005B2137">
      <w:pPr>
        <w:jc w:val="both"/>
        <w:rPr>
          <w:rFonts w:ascii="Times New Roman" w:eastAsia="Times New Roman" w:hAnsi="Times New Roman" w:cs="Times New Roman"/>
          <w:color w:val="212529"/>
          <w:sz w:val="24"/>
          <w:szCs w:val="24"/>
          <w:lang w:eastAsia="lv-LV"/>
        </w:rPr>
      </w:pPr>
    </w:p>
    <w:p w14:paraId="16A1944B" w14:textId="77777777" w:rsidR="005B2137" w:rsidRDefault="00E90AEC" w:rsidP="00E90AEC">
      <w:pPr>
        <w:pStyle w:val="Sarakstarindkopa"/>
        <w:numPr>
          <w:ilvl w:val="1"/>
          <w:numId w:val="3"/>
        </w:numPr>
        <w:ind w:left="426" w:hanging="426"/>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 xml:space="preserve">Ja pasūtītājs, ņemot vērā </w:t>
      </w:r>
      <w:r w:rsidR="005B2137">
        <w:rPr>
          <w:rFonts w:ascii="Times New Roman" w:eastAsia="Times New Roman" w:hAnsi="Times New Roman" w:cs="Times New Roman"/>
          <w:color w:val="212529"/>
          <w:sz w:val="24"/>
          <w:szCs w:val="24"/>
          <w:lang w:eastAsia="lv-LV"/>
        </w:rPr>
        <w:t>augstāk minēto apsvērumus, atzīst piegādātāja pieprasījumu par nepamatotu, svarīgi ir par to nekavējoties paziņot piegādātājam, vienlaicīgi norādot arī atteikuma iemeslus.</w:t>
      </w:r>
    </w:p>
    <w:p w14:paraId="25EB5D0D" w14:textId="77777777" w:rsidR="005B2137" w:rsidRDefault="005B2137" w:rsidP="005B2137">
      <w:pPr>
        <w:jc w:val="both"/>
        <w:rPr>
          <w:rFonts w:ascii="Times New Roman" w:eastAsia="Times New Roman" w:hAnsi="Times New Roman" w:cs="Times New Roman"/>
          <w:color w:val="212529"/>
          <w:sz w:val="24"/>
          <w:szCs w:val="24"/>
          <w:lang w:eastAsia="lv-LV"/>
        </w:rPr>
      </w:pPr>
    </w:p>
    <w:p w14:paraId="16771438" w14:textId="3F918AFE" w:rsidR="00526007" w:rsidRDefault="005B2137" w:rsidP="00526007">
      <w:pPr>
        <w:pStyle w:val="Sarakstarindkopa"/>
        <w:numPr>
          <w:ilvl w:val="1"/>
          <w:numId w:val="3"/>
        </w:numPr>
        <w:ind w:left="426" w:hanging="426"/>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 xml:space="preserve">Ja pasūtītājs pieņem lēmumu </w:t>
      </w:r>
      <w:r w:rsidR="00526007">
        <w:rPr>
          <w:rFonts w:ascii="Times New Roman" w:eastAsia="Times New Roman" w:hAnsi="Times New Roman" w:cs="Times New Roman"/>
          <w:color w:val="212529"/>
          <w:sz w:val="24"/>
          <w:szCs w:val="24"/>
          <w:lang w:eastAsia="lv-LV"/>
        </w:rPr>
        <w:t>pagarināt līguma izpildes termiņus, nepieciešams:</w:t>
      </w:r>
    </w:p>
    <w:p w14:paraId="137704F0" w14:textId="77777777" w:rsidR="00526007" w:rsidRPr="00526007" w:rsidRDefault="00526007" w:rsidP="00526007">
      <w:pPr>
        <w:pStyle w:val="Sarakstarindkopa"/>
        <w:rPr>
          <w:rFonts w:ascii="Times New Roman" w:eastAsia="Times New Roman" w:hAnsi="Times New Roman" w:cs="Times New Roman"/>
          <w:color w:val="212529"/>
          <w:sz w:val="24"/>
          <w:szCs w:val="24"/>
          <w:lang w:eastAsia="lv-LV"/>
        </w:rPr>
      </w:pPr>
    </w:p>
    <w:p w14:paraId="5ED9FF26" w14:textId="251260CE" w:rsidR="00E90AEC" w:rsidRDefault="00526007" w:rsidP="003E6D7D">
      <w:pPr>
        <w:pStyle w:val="Sarakstarindkopa"/>
        <w:numPr>
          <w:ilvl w:val="0"/>
          <w:numId w:val="6"/>
        </w:numPr>
        <w:ind w:left="709"/>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vienoties var piegādātāju par būvlaukuma uzturēšanas/būves konservācijas izmaksu segšanu;</w:t>
      </w:r>
    </w:p>
    <w:p w14:paraId="2238BF45" w14:textId="6280F279" w:rsidR="00A4748B" w:rsidRDefault="00526007" w:rsidP="003E6D7D">
      <w:pPr>
        <w:pStyle w:val="Sarakstarindkopa"/>
        <w:numPr>
          <w:ilvl w:val="0"/>
          <w:numId w:val="6"/>
        </w:numPr>
        <w:ind w:left="709"/>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 xml:space="preserve">izvērtēt rīcības scenārijus, gadījumā, ja līguma izpildes termiņa pagarināšana </w:t>
      </w:r>
      <w:r w:rsidR="00A4748B">
        <w:rPr>
          <w:rFonts w:ascii="Times New Roman" w:eastAsia="Times New Roman" w:hAnsi="Times New Roman" w:cs="Times New Roman"/>
          <w:color w:val="212529"/>
          <w:sz w:val="24"/>
          <w:szCs w:val="24"/>
          <w:lang w:eastAsia="lv-LV"/>
        </w:rPr>
        <w:t>nemazinās riskus sakarā būtisku izmaksu pieaugumu.</w:t>
      </w:r>
    </w:p>
    <w:p w14:paraId="07E2FB28" w14:textId="77777777" w:rsidR="00A4748B" w:rsidRDefault="00A4748B" w:rsidP="00A4748B">
      <w:pPr>
        <w:pStyle w:val="Sarakstarindkopa"/>
        <w:ind w:left="845"/>
        <w:jc w:val="both"/>
        <w:rPr>
          <w:rFonts w:ascii="Times New Roman" w:eastAsia="Times New Roman" w:hAnsi="Times New Roman" w:cs="Times New Roman"/>
          <w:color w:val="212529"/>
          <w:sz w:val="24"/>
          <w:szCs w:val="24"/>
          <w:lang w:eastAsia="lv-LV"/>
        </w:rPr>
      </w:pPr>
    </w:p>
    <w:p w14:paraId="06DE5D4A" w14:textId="2B56E263" w:rsidR="00526007" w:rsidRDefault="00526007" w:rsidP="00A4748B">
      <w:pPr>
        <w:pStyle w:val="Sarakstarindkopa"/>
        <w:numPr>
          <w:ilvl w:val="1"/>
          <w:numId w:val="3"/>
        </w:numPr>
        <w:ind w:left="426" w:hanging="568"/>
        <w:jc w:val="both"/>
        <w:rPr>
          <w:rFonts w:ascii="Times New Roman" w:eastAsia="Times New Roman" w:hAnsi="Times New Roman" w:cs="Times New Roman"/>
          <w:color w:val="212529"/>
          <w:sz w:val="24"/>
          <w:szCs w:val="24"/>
          <w:lang w:eastAsia="lv-LV"/>
        </w:rPr>
      </w:pPr>
      <w:r w:rsidRPr="00A4748B">
        <w:rPr>
          <w:rFonts w:ascii="Times New Roman" w:eastAsia="Times New Roman" w:hAnsi="Times New Roman" w:cs="Times New Roman"/>
          <w:color w:val="212529"/>
          <w:sz w:val="24"/>
          <w:szCs w:val="24"/>
          <w:lang w:eastAsia="lv-LV"/>
        </w:rPr>
        <w:t xml:space="preserve"> </w:t>
      </w:r>
      <w:r w:rsidR="00A4748B">
        <w:rPr>
          <w:rFonts w:ascii="Times New Roman" w:eastAsia="Times New Roman" w:hAnsi="Times New Roman" w:cs="Times New Roman"/>
          <w:color w:val="212529"/>
          <w:sz w:val="24"/>
          <w:szCs w:val="24"/>
          <w:lang w:eastAsia="lv-LV"/>
        </w:rPr>
        <w:t>Ja pasūtītājs pieņem lēmumu par līgumcenas izmaiņu veikšanu, atkarībā no līguma izpildes stadijas un izmaksu pieauguma cēloņiem, pasūtītājam nepieciešams apsvērt vairākus līguma izmaiņa scenārijus:</w:t>
      </w:r>
    </w:p>
    <w:p w14:paraId="3F37A83D" w14:textId="47F2D82A" w:rsidR="00A4748B" w:rsidRDefault="00A4748B" w:rsidP="00A4748B">
      <w:pPr>
        <w:jc w:val="both"/>
        <w:rPr>
          <w:rFonts w:ascii="Times New Roman" w:eastAsia="Times New Roman" w:hAnsi="Times New Roman" w:cs="Times New Roman"/>
          <w:color w:val="212529"/>
          <w:sz w:val="24"/>
          <w:szCs w:val="24"/>
          <w:lang w:eastAsia="lv-LV"/>
        </w:rPr>
      </w:pPr>
    </w:p>
    <w:p w14:paraId="506BBD68" w14:textId="4474AF48" w:rsidR="003E6D7D" w:rsidRPr="00807514" w:rsidRDefault="00A4748B" w:rsidP="00807514">
      <w:pPr>
        <w:pStyle w:val="Sarakstarindkopa"/>
        <w:numPr>
          <w:ilvl w:val="2"/>
          <w:numId w:val="3"/>
        </w:numPr>
        <w:ind w:left="709"/>
        <w:jc w:val="both"/>
        <w:rPr>
          <w:rFonts w:ascii="Times New Roman" w:eastAsia="Times New Roman" w:hAnsi="Times New Roman" w:cs="Times New Roman"/>
          <w:color w:val="212529"/>
          <w:sz w:val="24"/>
          <w:szCs w:val="24"/>
          <w:lang w:eastAsia="lv-LV"/>
        </w:rPr>
      </w:pPr>
      <w:r w:rsidRPr="00807514">
        <w:rPr>
          <w:rFonts w:ascii="Times New Roman" w:eastAsia="Times New Roman" w:hAnsi="Times New Roman" w:cs="Times New Roman"/>
          <w:b/>
          <w:bCs/>
          <w:color w:val="212529"/>
          <w:sz w:val="24"/>
          <w:szCs w:val="24"/>
          <w:lang w:eastAsia="lv-LV"/>
        </w:rPr>
        <w:t>Vienreizējas līguma cenas izmaiņas</w:t>
      </w:r>
      <w:r w:rsidRPr="00807514">
        <w:rPr>
          <w:rFonts w:ascii="Times New Roman" w:eastAsia="Times New Roman" w:hAnsi="Times New Roman" w:cs="Times New Roman"/>
          <w:color w:val="212529"/>
          <w:sz w:val="24"/>
          <w:szCs w:val="24"/>
          <w:lang w:eastAsia="lv-LV"/>
        </w:rPr>
        <w:t xml:space="preserve">. </w:t>
      </w:r>
    </w:p>
    <w:p w14:paraId="4A5BAFC1" w14:textId="067E63AE" w:rsidR="00A4748B" w:rsidRDefault="00A4748B" w:rsidP="003E6D7D">
      <w:pPr>
        <w:pStyle w:val="Sarakstarindkopa"/>
        <w:ind w:left="426"/>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 xml:space="preserve">Vispiemērotākais </w:t>
      </w:r>
      <w:r w:rsidR="00F717C6">
        <w:rPr>
          <w:rFonts w:ascii="Times New Roman" w:eastAsia="Times New Roman" w:hAnsi="Times New Roman" w:cs="Times New Roman"/>
          <w:color w:val="212529"/>
          <w:sz w:val="24"/>
          <w:szCs w:val="24"/>
          <w:lang w:eastAsia="lv-LV"/>
        </w:rPr>
        <w:t xml:space="preserve">risinājums </w:t>
      </w:r>
      <w:r>
        <w:rPr>
          <w:rFonts w:ascii="Times New Roman" w:eastAsia="Times New Roman" w:hAnsi="Times New Roman" w:cs="Times New Roman"/>
          <w:color w:val="212529"/>
          <w:sz w:val="24"/>
          <w:szCs w:val="24"/>
          <w:lang w:eastAsia="lv-LV"/>
        </w:rPr>
        <w:t xml:space="preserve">gadījumos, kad līguma izpildes atlikušais termiņš </w:t>
      </w:r>
      <w:r w:rsidR="00F717C6">
        <w:rPr>
          <w:rFonts w:ascii="Times New Roman" w:eastAsia="Times New Roman" w:hAnsi="Times New Roman" w:cs="Times New Roman"/>
          <w:color w:val="212529"/>
          <w:sz w:val="24"/>
          <w:szCs w:val="24"/>
          <w:lang w:eastAsia="lv-LV"/>
        </w:rPr>
        <w:t xml:space="preserve">ir </w:t>
      </w:r>
      <w:r w:rsidR="00F717C6" w:rsidRPr="00097A6A">
        <w:rPr>
          <w:rFonts w:ascii="Times New Roman" w:eastAsia="Times New Roman" w:hAnsi="Times New Roman" w:cs="Times New Roman"/>
          <w:color w:val="212529"/>
          <w:sz w:val="24"/>
          <w:szCs w:val="24"/>
          <w:lang w:eastAsia="lv-LV"/>
        </w:rPr>
        <w:t xml:space="preserve">samērā īss (līdz 6 </w:t>
      </w:r>
      <w:proofErr w:type="spellStart"/>
      <w:r w:rsidR="00F717C6" w:rsidRPr="00097A6A">
        <w:rPr>
          <w:rFonts w:ascii="Times New Roman" w:eastAsia="Times New Roman" w:hAnsi="Times New Roman" w:cs="Times New Roman"/>
          <w:color w:val="212529"/>
          <w:sz w:val="24"/>
          <w:szCs w:val="24"/>
          <w:lang w:eastAsia="lv-LV"/>
        </w:rPr>
        <w:t>mēn</w:t>
      </w:r>
      <w:proofErr w:type="spellEnd"/>
      <w:r w:rsidR="00F717C6" w:rsidRPr="00097A6A">
        <w:rPr>
          <w:rFonts w:ascii="Times New Roman" w:eastAsia="Times New Roman" w:hAnsi="Times New Roman" w:cs="Times New Roman"/>
          <w:color w:val="212529"/>
          <w:sz w:val="24"/>
          <w:szCs w:val="24"/>
          <w:lang w:eastAsia="lv-LV"/>
        </w:rPr>
        <w:t>.)</w:t>
      </w:r>
      <w:r w:rsidR="00097A6A" w:rsidRPr="00097A6A">
        <w:rPr>
          <w:rFonts w:ascii="Times New Roman" w:eastAsia="Times New Roman" w:hAnsi="Times New Roman" w:cs="Times New Roman"/>
          <w:color w:val="212529"/>
          <w:sz w:val="24"/>
          <w:szCs w:val="24"/>
          <w:lang w:eastAsia="lv-LV"/>
        </w:rPr>
        <w:t xml:space="preserve"> un</w:t>
      </w:r>
      <w:r w:rsidR="00F717C6" w:rsidRPr="00097A6A">
        <w:rPr>
          <w:rFonts w:ascii="Times New Roman" w:eastAsia="Times New Roman" w:hAnsi="Times New Roman" w:cs="Times New Roman"/>
          <w:color w:val="212529"/>
          <w:sz w:val="24"/>
          <w:szCs w:val="24"/>
          <w:lang w:eastAsia="lv-LV"/>
        </w:rPr>
        <w:t xml:space="preserve"> līguma</w:t>
      </w:r>
      <w:r w:rsidR="00F717C6">
        <w:rPr>
          <w:rFonts w:ascii="Times New Roman" w:eastAsia="Times New Roman" w:hAnsi="Times New Roman" w:cs="Times New Roman"/>
          <w:color w:val="212529"/>
          <w:sz w:val="24"/>
          <w:szCs w:val="24"/>
          <w:lang w:eastAsia="lv-LV"/>
        </w:rPr>
        <w:t xml:space="preserve"> realizācijai ir iespējams tūlītēji iepirkt nepieciešamos būvizstrādājumus;</w:t>
      </w:r>
    </w:p>
    <w:p w14:paraId="5EFF3E56" w14:textId="77777777" w:rsidR="003E6D7D" w:rsidRDefault="003E6D7D" w:rsidP="003E6D7D">
      <w:pPr>
        <w:pStyle w:val="Sarakstarindkopa"/>
        <w:jc w:val="both"/>
        <w:rPr>
          <w:rFonts w:ascii="Times New Roman" w:eastAsia="Times New Roman" w:hAnsi="Times New Roman" w:cs="Times New Roman"/>
          <w:color w:val="212529"/>
          <w:sz w:val="24"/>
          <w:szCs w:val="24"/>
          <w:lang w:eastAsia="lv-LV"/>
        </w:rPr>
      </w:pPr>
    </w:p>
    <w:p w14:paraId="600239FD" w14:textId="406EAE05" w:rsidR="00F717C6" w:rsidRPr="00807514" w:rsidRDefault="00F717C6" w:rsidP="00807514">
      <w:pPr>
        <w:pStyle w:val="Sarakstarindkopa"/>
        <w:numPr>
          <w:ilvl w:val="2"/>
          <w:numId w:val="3"/>
        </w:numPr>
        <w:ind w:left="709"/>
        <w:jc w:val="both"/>
        <w:rPr>
          <w:rFonts w:ascii="Times New Roman" w:eastAsia="Times New Roman" w:hAnsi="Times New Roman" w:cs="Times New Roman"/>
          <w:b/>
          <w:bCs/>
          <w:color w:val="212529"/>
          <w:sz w:val="24"/>
          <w:szCs w:val="24"/>
          <w:lang w:eastAsia="lv-LV"/>
        </w:rPr>
      </w:pPr>
      <w:r w:rsidRPr="00807514">
        <w:rPr>
          <w:rFonts w:ascii="Times New Roman" w:eastAsia="Times New Roman" w:hAnsi="Times New Roman" w:cs="Times New Roman"/>
          <w:b/>
          <w:bCs/>
          <w:color w:val="212529"/>
          <w:sz w:val="24"/>
          <w:szCs w:val="24"/>
          <w:lang w:eastAsia="lv-LV"/>
        </w:rPr>
        <w:t>Cenu izmaiņu m</w:t>
      </w:r>
      <w:r w:rsidR="003E6D7D" w:rsidRPr="00807514">
        <w:rPr>
          <w:rFonts w:ascii="Times New Roman" w:eastAsia="Times New Roman" w:hAnsi="Times New Roman" w:cs="Times New Roman"/>
          <w:b/>
          <w:bCs/>
          <w:color w:val="212529"/>
          <w:sz w:val="24"/>
          <w:szCs w:val="24"/>
          <w:lang w:eastAsia="lv-LV"/>
        </w:rPr>
        <w:t>odelis</w:t>
      </w:r>
      <w:r w:rsidR="003E6D7D" w:rsidRPr="00807514">
        <w:rPr>
          <w:rFonts w:ascii="Times New Roman" w:eastAsia="Times New Roman" w:hAnsi="Times New Roman" w:cs="Times New Roman"/>
          <w:color w:val="212529"/>
          <w:sz w:val="24"/>
          <w:szCs w:val="24"/>
          <w:lang w:eastAsia="lv-LV"/>
        </w:rPr>
        <w:t xml:space="preserve">. </w:t>
      </w:r>
    </w:p>
    <w:p w14:paraId="0CC66040" w14:textId="58CDFD82" w:rsidR="00E3469C" w:rsidRDefault="003E6D7D" w:rsidP="00E3469C">
      <w:pPr>
        <w:pStyle w:val="Paraststmeklis"/>
        <w:shd w:val="clear" w:color="auto" w:fill="FFFFFF"/>
        <w:ind w:left="426"/>
        <w:jc w:val="both"/>
        <w:rPr>
          <w:color w:val="212529"/>
        </w:rPr>
      </w:pPr>
      <w:r>
        <w:rPr>
          <w:color w:val="212529"/>
        </w:rPr>
        <w:t xml:space="preserve">Gadījumos, </w:t>
      </w:r>
      <w:r w:rsidR="00407D5F">
        <w:rPr>
          <w:color w:val="212529"/>
        </w:rPr>
        <w:t xml:space="preserve">ja </w:t>
      </w:r>
      <w:r>
        <w:rPr>
          <w:color w:val="212529"/>
        </w:rPr>
        <w:t>vienreizēja cenu izmaiņu veikšana nav iespējama, sakarā ar kara situāciju</w:t>
      </w:r>
      <w:r w:rsidR="00807514">
        <w:rPr>
          <w:color w:val="212529"/>
        </w:rPr>
        <w:t>, kad situācija uz vienu vai otru pusi var mainīties dienas laikā</w:t>
      </w:r>
      <w:r>
        <w:rPr>
          <w:color w:val="212529"/>
        </w:rPr>
        <w:t xml:space="preserve">, pusēm pastāv </w:t>
      </w:r>
      <w:r w:rsidR="008B3590">
        <w:rPr>
          <w:color w:val="212529"/>
        </w:rPr>
        <w:t xml:space="preserve">iespēja </w:t>
      </w:r>
      <w:r w:rsidR="00407D5F">
        <w:rPr>
          <w:color w:val="212529"/>
        </w:rPr>
        <w:t>vienoties par līgumcenas izmaiņām</w:t>
      </w:r>
      <w:r w:rsidR="006C1122">
        <w:rPr>
          <w:color w:val="212529"/>
        </w:rPr>
        <w:t xml:space="preserve"> darbiem</w:t>
      </w:r>
      <w:r w:rsidR="00407D5F">
        <w:rPr>
          <w:color w:val="212529"/>
        </w:rPr>
        <w:t>, kas tiks izpildīti nākošajā periodā, piemēram, mēnesī vai ceturksnī, atkarībā no būvniecības ieceres specifikas</w:t>
      </w:r>
      <w:r w:rsidR="006C1122">
        <w:rPr>
          <w:color w:val="212529"/>
        </w:rPr>
        <w:t xml:space="preserve"> un lietderīguma</w:t>
      </w:r>
      <w:r w:rsidR="00407D5F">
        <w:rPr>
          <w:color w:val="212529"/>
        </w:rPr>
        <w:t>. Attiecīgi par nākošajos periodos veicamo darbu apjomu un izmaksu iespējamām izmaiņām puses vienotos atsevišķi, ņemot vērā pastāvošos apstākļus.</w:t>
      </w:r>
    </w:p>
    <w:p w14:paraId="0F16BDFB" w14:textId="4E4E270B" w:rsidR="008B3590" w:rsidRPr="008B3590" w:rsidRDefault="008B3590" w:rsidP="008B3590">
      <w:pPr>
        <w:pStyle w:val="Paraststmeklis"/>
        <w:numPr>
          <w:ilvl w:val="0"/>
          <w:numId w:val="3"/>
        </w:numPr>
        <w:shd w:val="clear" w:color="auto" w:fill="FFFFFF"/>
        <w:ind w:left="426"/>
        <w:jc w:val="center"/>
        <w:rPr>
          <w:b/>
          <w:bCs/>
          <w:color w:val="212529"/>
        </w:rPr>
      </w:pPr>
      <w:r w:rsidRPr="008B3590">
        <w:rPr>
          <w:b/>
          <w:bCs/>
          <w:color w:val="212529"/>
        </w:rPr>
        <w:t>Līguma izbeigšana</w:t>
      </w:r>
    </w:p>
    <w:p w14:paraId="18E1EE76" w14:textId="77777777" w:rsidR="00097A6A" w:rsidRDefault="00097A6A" w:rsidP="00097A6A">
      <w:pPr>
        <w:pStyle w:val="Paraststmeklis"/>
        <w:shd w:val="clear" w:color="auto" w:fill="FFFFFF"/>
        <w:jc w:val="both"/>
        <w:rPr>
          <w:color w:val="212529"/>
        </w:rPr>
      </w:pPr>
      <w:r>
        <w:rPr>
          <w:color w:val="212529"/>
        </w:rPr>
        <w:t xml:space="preserve">Ja piegādātāja pieprasīto līguma izmaiņu pamatā ir </w:t>
      </w:r>
      <w:r>
        <w:rPr>
          <w:i/>
          <w:iCs/>
          <w:color w:val="212529"/>
        </w:rPr>
        <w:t>Publisko iepirkumu likuma</w:t>
      </w:r>
      <w:r>
        <w:rPr>
          <w:color w:val="212529"/>
        </w:rPr>
        <w:t xml:space="preserve"> 61. panta </w:t>
      </w:r>
      <w:proofErr w:type="spellStart"/>
      <w:r>
        <w:rPr>
          <w:color w:val="212529"/>
        </w:rPr>
        <w:t>trešās</w:t>
      </w:r>
      <w:proofErr w:type="spellEnd"/>
      <w:r>
        <w:rPr>
          <w:color w:val="212529"/>
        </w:rPr>
        <w:t xml:space="preserve"> </w:t>
      </w:r>
      <w:proofErr w:type="spellStart"/>
      <w:r>
        <w:rPr>
          <w:color w:val="212529"/>
        </w:rPr>
        <w:t>daļas</w:t>
      </w:r>
      <w:proofErr w:type="spellEnd"/>
      <w:r>
        <w:rPr>
          <w:color w:val="212529"/>
        </w:rPr>
        <w:t xml:space="preserve"> 3. punktā norādītie neparedzētie apstākļi, bet puses nespēj vienoties par līguma izmaiņām, lietderīgākais ir noslēgt vienošanos par līguma izbeigšanu, bez līgumā paredzēto soda sankciju piemērošanas, vienoties par nepieciešamajiem konservācijas darbiem, to izmaksām un segšanas kārtību,  kā arī pasūtītājam paturot līgumā paredzētās garantijas laika garantijas par to daļu, kurā līgums ir izpildīts. Vienlaikus jāparedz, ka piegādātājs tiesīgs saņemt garantijas laika garantiju atbilstoši līguma nosacījumiem. Tādējādi piegādātājs, netiktu sodīts dubultā, proti, netiktu piemērots līgumsods, kā arī piegādātājam tiktu saglabāta iespēja turpināt piedalīties publiskos iepirkumos.  </w:t>
      </w:r>
    </w:p>
    <w:p w14:paraId="18C4E4AC" w14:textId="0093D199" w:rsidR="008B3590" w:rsidRDefault="008B3590" w:rsidP="008B3590">
      <w:pPr>
        <w:pStyle w:val="Paraststmeklis"/>
        <w:shd w:val="clear" w:color="auto" w:fill="FFFFFF"/>
        <w:jc w:val="both"/>
        <w:rPr>
          <w:color w:val="212529"/>
        </w:rPr>
      </w:pPr>
      <w:r>
        <w:rPr>
          <w:color w:val="212529"/>
        </w:rPr>
        <w:t>Ja piegādātāja pieprasīto līguma izmaiņu pamatā ir</w:t>
      </w:r>
      <w:r w:rsidR="00D47181">
        <w:rPr>
          <w:color w:val="212529"/>
        </w:rPr>
        <w:t xml:space="preserve"> </w:t>
      </w:r>
      <w:r w:rsidR="00D47181" w:rsidRPr="004C2C5E">
        <w:rPr>
          <w:i/>
          <w:iCs/>
          <w:color w:val="212529"/>
        </w:rPr>
        <w:t>Publisko iepirkumu likuma</w:t>
      </w:r>
      <w:r w:rsidR="00D47181" w:rsidRPr="00842CA9">
        <w:rPr>
          <w:color w:val="212529"/>
        </w:rPr>
        <w:t xml:space="preserve"> 61. panta </w:t>
      </w:r>
    </w:p>
    <w:p w14:paraId="1D4B3048" w14:textId="77777777" w:rsidR="00732AE7" w:rsidRDefault="00732AE7" w:rsidP="008B3590">
      <w:pPr>
        <w:pStyle w:val="Paraststmeklis"/>
        <w:shd w:val="clear" w:color="auto" w:fill="FFFFFF"/>
        <w:jc w:val="both"/>
        <w:rPr>
          <w:color w:val="212529"/>
        </w:rPr>
      </w:pPr>
    </w:p>
    <w:p w14:paraId="4D32CFF0" w14:textId="6686A59B" w:rsidR="00BF35B5" w:rsidRDefault="00732AE7" w:rsidP="008B3590">
      <w:pPr>
        <w:pStyle w:val="Paraststmeklis"/>
        <w:shd w:val="clear" w:color="auto" w:fill="FFFFFF"/>
        <w:jc w:val="both"/>
        <w:rPr>
          <w:color w:val="212529"/>
        </w:rPr>
      </w:pPr>
      <w:r>
        <w:rPr>
          <w:color w:val="212529"/>
        </w:rPr>
        <w:t xml:space="preserve">Ar Ministru kabineta lēmumu būtu nepieciešams noteikt, ka </w:t>
      </w:r>
      <w:r w:rsidR="00094BA2">
        <w:rPr>
          <w:color w:val="212529"/>
        </w:rPr>
        <w:t xml:space="preserve">spēkā esošiem publisko būvniecības līgumiem </w:t>
      </w:r>
      <w:r w:rsidR="00CE2EEB">
        <w:rPr>
          <w:color w:val="212529"/>
        </w:rPr>
        <w:t>p</w:t>
      </w:r>
      <w:r w:rsidR="00E273E0">
        <w:rPr>
          <w:color w:val="212529"/>
        </w:rPr>
        <w:t xml:space="preserve">eriodā līdz </w:t>
      </w:r>
      <w:r w:rsidR="00E273E0" w:rsidRPr="00E273E0">
        <w:rPr>
          <w:color w:val="212529"/>
          <w:highlight w:val="yellow"/>
        </w:rPr>
        <w:t>XXXX</w:t>
      </w:r>
      <w:r w:rsidR="00094BA2">
        <w:rPr>
          <w:color w:val="212529"/>
        </w:rPr>
        <w:t xml:space="preserve"> </w:t>
      </w:r>
      <w:r w:rsidR="00E273E0">
        <w:rPr>
          <w:color w:val="212529"/>
        </w:rPr>
        <w:t>jāpiemēro</w:t>
      </w:r>
      <w:r w:rsidR="00094BA2">
        <w:rPr>
          <w:color w:val="212529"/>
        </w:rPr>
        <w:t xml:space="preserve"> sekojošus noteikumus:</w:t>
      </w:r>
    </w:p>
    <w:p w14:paraId="40AF94FD" w14:textId="30FCEF7E" w:rsidR="00687B70" w:rsidRPr="00740A4A" w:rsidRDefault="00687B70" w:rsidP="006B4D27">
      <w:pPr>
        <w:pStyle w:val="Paraststmeklis"/>
        <w:spacing w:before="120" w:beforeAutospacing="0" w:after="120" w:afterAutospacing="0" w:line="276" w:lineRule="auto"/>
        <w:jc w:val="both"/>
        <w:rPr>
          <w:i/>
          <w:iCs/>
          <w:color w:val="101820"/>
        </w:rPr>
      </w:pPr>
      <w:r w:rsidRPr="000C5F13">
        <w:rPr>
          <w:i/>
          <w:iCs/>
          <w:color w:val="212529"/>
        </w:rPr>
        <w:t xml:space="preserve">Ja </w:t>
      </w:r>
      <w:r w:rsidR="00732AE7" w:rsidRPr="004C2C5E">
        <w:rPr>
          <w:i/>
          <w:iCs/>
          <w:color w:val="212529"/>
        </w:rPr>
        <w:t>Publisko iepirkumu likuma</w:t>
      </w:r>
      <w:r w:rsidR="00732AE7" w:rsidRPr="000C5F13">
        <w:rPr>
          <w:i/>
          <w:iCs/>
          <w:color w:val="212529"/>
        </w:rPr>
        <w:t xml:space="preserve"> 61. panta </w:t>
      </w:r>
      <w:proofErr w:type="spellStart"/>
      <w:r w:rsidR="00732AE7" w:rsidRPr="000C5F13">
        <w:rPr>
          <w:i/>
          <w:iCs/>
          <w:color w:val="212529"/>
        </w:rPr>
        <w:t>trešās</w:t>
      </w:r>
      <w:proofErr w:type="spellEnd"/>
      <w:r w:rsidR="00732AE7" w:rsidRPr="000C5F13">
        <w:rPr>
          <w:i/>
          <w:iCs/>
          <w:color w:val="212529"/>
        </w:rPr>
        <w:t xml:space="preserve"> </w:t>
      </w:r>
      <w:proofErr w:type="spellStart"/>
      <w:r w:rsidR="00732AE7" w:rsidRPr="000C5F13">
        <w:rPr>
          <w:i/>
          <w:iCs/>
          <w:color w:val="212529"/>
        </w:rPr>
        <w:t>daļas</w:t>
      </w:r>
      <w:proofErr w:type="spellEnd"/>
      <w:r w:rsidR="00732AE7" w:rsidRPr="000C5F13">
        <w:rPr>
          <w:i/>
          <w:iCs/>
          <w:color w:val="212529"/>
        </w:rPr>
        <w:t xml:space="preserve"> 3. punktā norādīto neparedzēto apstākļu</w:t>
      </w:r>
      <w:r w:rsidR="000C5F13" w:rsidRPr="000C5F13">
        <w:rPr>
          <w:i/>
          <w:iCs/>
          <w:color w:val="212529"/>
        </w:rPr>
        <w:t xml:space="preserve"> rezultātā</w:t>
      </w:r>
      <w:r w:rsidR="00732AE7" w:rsidRPr="000C5F13">
        <w:rPr>
          <w:i/>
          <w:iCs/>
          <w:color w:val="212529"/>
        </w:rPr>
        <w:t xml:space="preserve"> </w:t>
      </w:r>
      <w:r w:rsidRPr="000C5F13">
        <w:rPr>
          <w:i/>
          <w:iCs/>
          <w:color w:val="212529"/>
        </w:rPr>
        <w:t xml:space="preserve">saistību izpilde kļuvusi pārmērīgi apgrūtinoša, līdzējiem ir pienākums veikt pārrunas, lai grozītu līgumu vai to izbeigtu. </w:t>
      </w:r>
    </w:p>
    <w:p w14:paraId="7A8CB675" w14:textId="06E7D50F" w:rsidR="00687B70" w:rsidRDefault="00687B70" w:rsidP="00687B70">
      <w:pPr>
        <w:pStyle w:val="Paraststmeklis"/>
        <w:spacing w:before="120" w:beforeAutospacing="0" w:after="120" w:afterAutospacing="0" w:line="276" w:lineRule="auto"/>
        <w:jc w:val="both"/>
        <w:rPr>
          <w:i/>
          <w:iCs/>
          <w:color w:val="101820"/>
        </w:rPr>
      </w:pPr>
      <w:r w:rsidRPr="00740A4A">
        <w:rPr>
          <w:i/>
          <w:iCs/>
          <w:color w:val="101820"/>
        </w:rPr>
        <w:t xml:space="preserve">Ja līdzēji saprātīgā laikā nespēj panākt vienošanos par līguma grozījumiem vai tā </w:t>
      </w:r>
      <w:r w:rsidRPr="008B4888">
        <w:rPr>
          <w:i/>
          <w:iCs/>
          <w:color w:val="101820"/>
        </w:rPr>
        <w:t>izbeigšanu, jebkurš no līdzējiem ir tiesīgs prasīt tiesai</w:t>
      </w:r>
      <w:r w:rsidR="007C3629" w:rsidRPr="008B4888">
        <w:rPr>
          <w:i/>
          <w:iCs/>
          <w:color w:val="101820"/>
        </w:rPr>
        <w:t xml:space="preserve"> </w:t>
      </w:r>
      <w:r w:rsidRPr="008B4888">
        <w:rPr>
          <w:i/>
          <w:iCs/>
          <w:color w:val="101820"/>
        </w:rPr>
        <w:t>izbeigt līgumu, nosakot izbeigšanas datumu;</w:t>
      </w:r>
    </w:p>
    <w:p w14:paraId="0A86CF06" w14:textId="6AB95EAB" w:rsidR="00AD21EE" w:rsidRPr="00740A4A" w:rsidRDefault="00AD21EE" w:rsidP="00687B70">
      <w:pPr>
        <w:pStyle w:val="Paraststmeklis"/>
        <w:spacing w:before="120" w:beforeAutospacing="0" w:after="120" w:afterAutospacing="0" w:line="276" w:lineRule="auto"/>
        <w:jc w:val="both"/>
        <w:rPr>
          <w:i/>
          <w:iCs/>
          <w:color w:val="101820"/>
        </w:rPr>
      </w:pPr>
      <w:r>
        <w:rPr>
          <w:i/>
          <w:iCs/>
          <w:color w:val="101820"/>
        </w:rPr>
        <w:t>Ja līgums tiek izbeigts</w:t>
      </w:r>
      <w:r w:rsidR="00DF2E97">
        <w:rPr>
          <w:i/>
          <w:iCs/>
          <w:color w:val="101820"/>
        </w:rPr>
        <w:t>, puses tiek atbrīvotas no līgumā noteiktajiem līgumsodiem par līguma izbeigšanu, kā arī</w:t>
      </w:r>
      <w:r w:rsidR="00534127">
        <w:rPr>
          <w:i/>
          <w:iCs/>
          <w:color w:val="101820"/>
        </w:rPr>
        <w:t xml:space="preserve"> </w:t>
      </w:r>
      <w:r w:rsidR="00DD12A6">
        <w:rPr>
          <w:i/>
          <w:iCs/>
          <w:color w:val="101820"/>
        </w:rPr>
        <w:t xml:space="preserve">attiecībā uz būvkomersantu netiek piemērots aizliegums piedalīties </w:t>
      </w:r>
      <w:r w:rsidR="000219F2">
        <w:rPr>
          <w:i/>
          <w:iCs/>
          <w:color w:val="101820"/>
        </w:rPr>
        <w:t xml:space="preserve">turpmākos </w:t>
      </w:r>
      <w:r w:rsidR="00DD12A6">
        <w:rPr>
          <w:i/>
          <w:iCs/>
          <w:color w:val="101820"/>
        </w:rPr>
        <w:t xml:space="preserve">publiskos </w:t>
      </w:r>
      <w:r w:rsidR="000219F2">
        <w:rPr>
          <w:i/>
          <w:iCs/>
          <w:color w:val="101820"/>
        </w:rPr>
        <w:t>iepirkumos saistībā ar konkrētā līguma priekšlaicīgu izbeigšanu.</w:t>
      </w:r>
      <w:r w:rsidR="00DD12A6">
        <w:rPr>
          <w:i/>
          <w:iCs/>
          <w:color w:val="101820"/>
        </w:rPr>
        <w:t xml:space="preserve"> </w:t>
      </w:r>
    </w:p>
    <w:sectPr w:rsidR="00AD21EE" w:rsidRPr="00740A4A" w:rsidSect="003E6D7D">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6372"/>
    <w:multiLevelType w:val="multilevel"/>
    <w:tmpl w:val="C696E04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9A14D6"/>
    <w:multiLevelType w:val="hybridMultilevel"/>
    <w:tmpl w:val="13982376"/>
    <w:lvl w:ilvl="0" w:tplc="04260005">
      <w:start w:val="1"/>
      <w:numFmt w:val="bullet"/>
      <w:lvlText w:val=""/>
      <w:lvlJc w:val="left"/>
      <w:pPr>
        <w:ind w:left="845" w:hanging="360"/>
      </w:pPr>
      <w:rPr>
        <w:rFonts w:ascii="Wingdings" w:hAnsi="Wingdings" w:hint="default"/>
      </w:rPr>
    </w:lvl>
    <w:lvl w:ilvl="1" w:tplc="04260003" w:tentative="1">
      <w:start w:val="1"/>
      <w:numFmt w:val="bullet"/>
      <w:lvlText w:val="o"/>
      <w:lvlJc w:val="left"/>
      <w:pPr>
        <w:ind w:left="1565" w:hanging="360"/>
      </w:pPr>
      <w:rPr>
        <w:rFonts w:ascii="Courier New" w:hAnsi="Courier New" w:cs="Courier New" w:hint="default"/>
      </w:rPr>
    </w:lvl>
    <w:lvl w:ilvl="2" w:tplc="04260005" w:tentative="1">
      <w:start w:val="1"/>
      <w:numFmt w:val="bullet"/>
      <w:lvlText w:val=""/>
      <w:lvlJc w:val="left"/>
      <w:pPr>
        <w:ind w:left="2285" w:hanging="360"/>
      </w:pPr>
      <w:rPr>
        <w:rFonts w:ascii="Wingdings" w:hAnsi="Wingdings" w:hint="default"/>
      </w:rPr>
    </w:lvl>
    <w:lvl w:ilvl="3" w:tplc="04260001" w:tentative="1">
      <w:start w:val="1"/>
      <w:numFmt w:val="bullet"/>
      <w:lvlText w:val=""/>
      <w:lvlJc w:val="left"/>
      <w:pPr>
        <w:ind w:left="3005" w:hanging="360"/>
      </w:pPr>
      <w:rPr>
        <w:rFonts w:ascii="Symbol" w:hAnsi="Symbol" w:hint="default"/>
      </w:rPr>
    </w:lvl>
    <w:lvl w:ilvl="4" w:tplc="04260003" w:tentative="1">
      <w:start w:val="1"/>
      <w:numFmt w:val="bullet"/>
      <w:lvlText w:val="o"/>
      <w:lvlJc w:val="left"/>
      <w:pPr>
        <w:ind w:left="3725" w:hanging="360"/>
      </w:pPr>
      <w:rPr>
        <w:rFonts w:ascii="Courier New" w:hAnsi="Courier New" w:cs="Courier New" w:hint="default"/>
      </w:rPr>
    </w:lvl>
    <w:lvl w:ilvl="5" w:tplc="04260005" w:tentative="1">
      <w:start w:val="1"/>
      <w:numFmt w:val="bullet"/>
      <w:lvlText w:val=""/>
      <w:lvlJc w:val="left"/>
      <w:pPr>
        <w:ind w:left="4445" w:hanging="360"/>
      </w:pPr>
      <w:rPr>
        <w:rFonts w:ascii="Wingdings" w:hAnsi="Wingdings" w:hint="default"/>
      </w:rPr>
    </w:lvl>
    <w:lvl w:ilvl="6" w:tplc="04260001" w:tentative="1">
      <w:start w:val="1"/>
      <w:numFmt w:val="bullet"/>
      <w:lvlText w:val=""/>
      <w:lvlJc w:val="left"/>
      <w:pPr>
        <w:ind w:left="5165" w:hanging="360"/>
      </w:pPr>
      <w:rPr>
        <w:rFonts w:ascii="Symbol" w:hAnsi="Symbol" w:hint="default"/>
      </w:rPr>
    </w:lvl>
    <w:lvl w:ilvl="7" w:tplc="04260003" w:tentative="1">
      <w:start w:val="1"/>
      <w:numFmt w:val="bullet"/>
      <w:lvlText w:val="o"/>
      <w:lvlJc w:val="left"/>
      <w:pPr>
        <w:ind w:left="5885" w:hanging="360"/>
      </w:pPr>
      <w:rPr>
        <w:rFonts w:ascii="Courier New" w:hAnsi="Courier New" w:cs="Courier New" w:hint="default"/>
      </w:rPr>
    </w:lvl>
    <w:lvl w:ilvl="8" w:tplc="04260005" w:tentative="1">
      <w:start w:val="1"/>
      <w:numFmt w:val="bullet"/>
      <w:lvlText w:val=""/>
      <w:lvlJc w:val="left"/>
      <w:pPr>
        <w:ind w:left="6605" w:hanging="360"/>
      </w:pPr>
      <w:rPr>
        <w:rFonts w:ascii="Wingdings" w:hAnsi="Wingdings" w:hint="default"/>
      </w:rPr>
    </w:lvl>
  </w:abstractNum>
  <w:abstractNum w:abstractNumId="2" w15:restartNumberingAfterBreak="0">
    <w:nsid w:val="110F2AD5"/>
    <w:multiLevelType w:val="hybridMultilevel"/>
    <w:tmpl w:val="77F2F6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70A6950"/>
    <w:multiLevelType w:val="hybridMultilevel"/>
    <w:tmpl w:val="F1142CB0"/>
    <w:lvl w:ilvl="0" w:tplc="04260005">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 w15:restartNumberingAfterBreak="0">
    <w:nsid w:val="479A170C"/>
    <w:multiLevelType w:val="hybridMultilevel"/>
    <w:tmpl w:val="CC289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9812F7D"/>
    <w:multiLevelType w:val="hybridMultilevel"/>
    <w:tmpl w:val="D4684A6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87B0FD3"/>
    <w:multiLevelType w:val="hybridMultilevel"/>
    <w:tmpl w:val="D6787308"/>
    <w:lvl w:ilvl="0" w:tplc="AD90E87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A6168B6"/>
    <w:multiLevelType w:val="hybridMultilevel"/>
    <w:tmpl w:val="C21A00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2283E17"/>
    <w:multiLevelType w:val="hybridMultilevel"/>
    <w:tmpl w:val="5CACB0FA"/>
    <w:lvl w:ilvl="0" w:tplc="04260001">
      <w:start w:val="1"/>
      <w:numFmt w:val="bullet"/>
      <w:lvlText w:val=""/>
      <w:lvlJc w:val="left"/>
      <w:pPr>
        <w:ind w:left="1484" w:hanging="360"/>
      </w:pPr>
      <w:rPr>
        <w:rFonts w:ascii="Symbol" w:hAnsi="Symbol" w:hint="default"/>
      </w:rPr>
    </w:lvl>
    <w:lvl w:ilvl="1" w:tplc="04260003">
      <w:start w:val="1"/>
      <w:numFmt w:val="bullet"/>
      <w:lvlText w:val="o"/>
      <w:lvlJc w:val="left"/>
      <w:pPr>
        <w:ind w:left="2204" w:hanging="360"/>
      </w:pPr>
      <w:rPr>
        <w:rFonts w:ascii="Courier New" w:hAnsi="Courier New" w:cs="Courier New" w:hint="default"/>
      </w:rPr>
    </w:lvl>
    <w:lvl w:ilvl="2" w:tplc="04260005">
      <w:start w:val="1"/>
      <w:numFmt w:val="bullet"/>
      <w:lvlText w:val=""/>
      <w:lvlJc w:val="left"/>
      <w:pPr>
        <w:ind w:left="2924" w:hanging="360"/>
      </w:pPr>
      <w:rPr>
        <w:rFonts w:ascii="Wingdings" w:hAnsi="Wingdings" w:hint="default"/>
      </w:rPr>
    </w:lvl>
    <w:lvl w:ilvl="3" w:tplc="04260001">
      <w:start w:val="1"/>
      <w:numFmt w:val="bullet"/>
      <w:lvlText w:val=""/>
      <w:lvlJc w:val="left"/>
      <w:pPr>
        <w:ind w:left="3644" w:hanging="360"/>
      </w:pPr>
      <w:rPr>
        <w:rFonts w:ascii="Symbol" w:hAnsi="Symbol" w:hint="default"/>
      </w:rPr>
    </w:lvl>
    <w:lvl w:ilvl="4" w:tplc="04260003">
      <w:start w:val="1"/>
      <w:numFmt w:val="bullet"/>
      <w:lvlText w:val="o"/>
      <w:lvlJc w:val="left"/>
      <w:pPr>
        <w:ind w:left="4364" w:hanging="360"/>
      </w:pPr>
      <w:rPr>
        <w:rFonts w:ascii="Courier New" w:hAnsi="Courier New" w:cs="Courier New" w:hint="default"/>
      </w:rPr>
    </w:lvl>
    <w:lvl w:ilvl="5" w:tplc="04260005">
      <w:start w:val="1"/>
      <w:numFmt w:val="bullet"/>
      <w:lvlText w:val=""/>
      <w:lvlJc w:val="left"/>
      <w:pPr>
        <w:ind w:left="5084" w:hanging="360"/>
      </w:pPr>
      <w:rPr>
        <w:rFonts w:ascii="Wingdings" w:hAnsi="Wingdings" w:hint="default"/>
      </w:rPr>
    </w:lvl>
    <w:lvl w:ilvl="6" w:tplc="04260001">
      <w:start w:val="1"/>
      <w:numFmt w:val="bullet"/>
      <w:lvlText w:val=""/>
      <w:lvlJc w:val="left"/>
      <w:pPr>
        <w:ind w:left="5804" w:hanging="360"/>
      </w:pPr>
      <w:rPr>
        <w:rFonts w:ascii="Symbol" w:hAnsi="Symbol" w:hint="default"/>
      </w:rPr>
    </w:lvl>
    <w:lvl w:ilvl="7" w:tplc="04260003">
      <w:start w:val="1"/>
      <w:numFmt w:val="bullet"/>
      <w:lvlText w:val="o"/>
      <w:lvlJc w:val="left"/>
      <w:pPr>
        <w:ind w:left="6524" w:hanging="360"/>
      </w:pPr>
      <w:rPr>
        <w:rFonts w:ascii="Courier New" w:hAnsi="Courier New" w:cs="Courier New" w:hint="default"/>
      </w:rPr>
    </w:lvl>
    <w:lvl w:ilvl="8" w:tplc="04260005">
      <w:start w:val="1"/>
      <w:numFmt w:val="bullet"/>
      <w:lvlText w:val=""/>
      <w:lvlJc w:val="left"/>
      <w:pPr>
        <w:ind w:left="7244" w:hanging="360"/>
      </w:pPr>
      <w:rPr>
        <w:rFonts w:ascii="Wingdings" w:hAnsi="Wingdings" w:hint="default"/>
      </w:rPr>
    </w:lvl>
  </w:abstractNum>
  <w:abstractNum w:abstractNumId="9" w15:restartNumberingAfterBreak="0">
    <w:nsid w:val="7C935C07"/>
    <w:multiLevelType w:val="multilevel"/>
    <w:tmpl w:val="DF229FA8"/>
    <w:lvl w:ilvl="0">
      <w:start w:val="1"/>
      <w:numFmt w:val="decimal"/>
      <w:lvlText w:val="%1."/>
      <w:lvlJc w:val="left"/>
      <w:pPr>
        <w:ind w:left="720" w:hanging="360"/>
      </w:pPr>
    </w:lvl>
    <w:lvl w:ilvl="1">
      <w:start w:val="1"/>
      <w:numFmt w:val="decimal"/>
      <w:isLgl/>
      <w:lvlText w:val="%1.%2."/>
      <w:lvlJc w:val="left"/>
      <w:pPr>
        <w:ind w:left="720" w:hanging="360"/>
      </w:pPr>
      <w:rPr>
        <w:color w:val="000000"/>
      </w:rPr>
    </w:lvl>
    <w:lvl w:ilvl="2">
      <w:start w:val="1"/>
      <w:numFmt w:val="decimal"/>
      <w:isLgl/>
      <w:lvlText w:val="%1.%2.%3."/>
      <w:lvlJc w:val="left"/>
      <w:pPr>
        <w:ind w:left="1080" w:hanging="720"/>
      </w:pPr>
      <w:rPr>
        <w:color w:val="FF0000"/>
      </w:rPr>
    </w:lvl>
    <w:lvl w:ilvl="3">
      <w:start w:val="1"/>
      <w:numFmt w:val="decimal"/>
      <w:isLgl/>
      <w:lvlText w:val="%1.%2.%3.%4."/>
      <w:lvlJc w:val="left"/>
      <w:pPr>
        <w:ind w:left="1080" w:hanging="720"/>
      </w:pPr>
      <w:rPr>
        <w:color w:val="FF0000"/>
      </w:rPr>
    </w:lvl>
    <w:lvl w:ilvl="4">
      <w:start w:val="1"/>
      <w:numFmt w:val="decimal"/>
      <w:isLgl/>
      <w:lvlText w:val="%1.%2.%3.%4.%5."/>
      <w:lvlJc w:val="left"/>
      <w:pPr>
        <w:ind w:left="1440" w:hanging="1080"/>
      </w:pPr>
      <w:rPr>
        <w:color w:val="FF0000"/>
      </w:rPr>
    </w:lvl>
    <w:lvl w:ilvl="5">
      <w:start w:val="1"/>
      <w:numFmt w:val="decimal"/>
      <w:isLgl/>
      <w:lvlText w:val="%1.%2.%3.%4.%5.%6."/>
      <w:lvlJc w:val="left"/>
      <w:pPr>
        <w:ind w:left="1440" w:hanging="108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1800" w:hanging="1440"/>
      </w:pPr>
      <w:rPr>
        <w:color w:val="FF0000"/>
      </w:rPr>
    </w:lvl>
    <w:lvl w:ilvl="8">
      <w:start w:val="1"/>
      <w:numFmt w:val="decimal"/>
      <w:isLgl/>
      <w:lvlText w:val="%1.%2.%3.%4.%5.%6.%7.%8.%9."/>
      <w:lvlJc w:val="left"/>
      <w:pPr>
        <w:ind w:left="2160" w:hanging="1800"/>
      </w:pPr>
      <w:rPr>
        <w:color w:val="FF000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8"/>
  </w:num>
  <w:num w:numId="5">
    <w:abstractNumId w:val="7"/>
  </w:num>
  <w:num w:numId="6">
    <w:abstractNumId w:val="1"/>
  </w:num>
  <w:num w:numId="7">
    <w:abstractNumId w:val="5"/>
  </w:num>
  <w:num w:numId="8">
    <w:abstractNumId w:val="3"/>
  </w:num>
  <w:num w:numId="9">
    <w:abstractNumId w:val="4"/>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A9"/>
    <w:rsid w:val="000219F2"/>
    <w:rsid w:val="00094BA2"/>
    <w:rsid w:val="00097A6A"/>
    <w:rsid w:val="000B2D9E"/>
    <w:rsid w:val="000C4FCB"/>
    <w:rsid w:val="000C5F13"/>
    <w:rsid w:val="001101DA"/>
    <w:rsid w:val="00116237"/>
    <w:rsid w:val="001652F5"/>
    <w:rsid w:val="001B0537"/>
    <w:rsid w:val="001B7A20"/>
    <w:rsid w:val="00211BE6"/>
    <w:rsid w:val="002410D4"/>
    <w:rsid w:val="002B121C"/>
    <w:rsid w:val="0034271C"/>
    <w:rsid w:val="0035437F"/>
    <w:rsid w:val="003E6D7D"/>
    <w:rsid w:val="00407D5F"/>
    <w:rsid w:val="004C2C5E"/>
    <w:rsid w:val="005024C1"/>
    <w:rsid w:val="00503998"/>
    <w:rsid w:val="005248CD"/>
    <w:rsid w:val="00526007"/>
    <w:rsid w:val="00534127"/>
    <w:rsid w:val="0058452F"/>
    <w:rsid w:val="005B2137"/>
    <w:rsid w:val="00687B70"/>
    <w:rsid w:val="006B4D27"/>
    <w:rsid w:val="006C1122"/>
    <w:rsid w:val="006D646E"/>
    <w:rsid w:val="006F52D0"/>
    <w:rsid w:val="00732AE7"/>
    <w:rsid w:val="007853BC"/>
    <w:rsid w:val="007C3629"/>
    <w:rsid w:val="00807514"/>
    <w:rsid w:val="00842CA9"/>
    <w:rsid w:val="00847564"/>
    <w:rsid w:val="008909FC"/>
    <w:rsid w:val="008B3590"/>
    <w:rsid w:val="008B4888"/>
    <w:rsid w:val="009A3FF6"/>
    <w:rsid w:val="009E7C57"/>
    <w:rsid w:val="00A4748B"/>
    <w:rsid w:val="00AD21EE"/>
    <w:rsid w:val="00AF1CD4"/>
    <w:rsid w:val="00B57432"/>
    <w:rsid w:val="00BF35B5"/>
    <w:rsid w:val="00BF5292"/>
    <w:rsid w:val="00C27BC8"/>
    <w:rsid w:val="00CC4182"/>
    <w:rsid w:val="00CD67FE"/>
    <w:rsid w:val="00CE2846"/>
    <w:rsid w:val="00CE2EEB"/>
    <w:rsid w:val="00D23F5A"/>
    <w:rsid w:val="00D35D16"/>
    <w:rsid w:val="00D47181"/>
    <w:rsid w:val="00D64232"/>
    <w:rsid w:val="00DD12A6"/>
    <w:rsid w:val="00DF2E97"/>
    <w:rsid w:val="00E273E0"/>
    <w:rsid w:val="00E3469C"/>
    <w:rsid w:val="00E90AEC"/>
    <w:rsid w:val="00F5248A"/>
    <w:rsid w:val="00F60811"/>
    <w:rsid w:val="00F66D38"/>
    <w:rsid w:val="00F717C6"/>
    <w:rsid w:val="00F834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8B4D"/>
  <w15:chartTrackingRefBased/>
  <w15:docId w15:val="{CDDF2497-01D2-45B8-8E7A-51AE373B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2CA9"/>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842CA9"/>
    <w:pPr>
      <w:ind w:left="720"/>
    </w:pPr>
  </w:style>
  <w:style w:type="paragraph" w:styleId="Paraststmeklis">
    <w:name w:val="Normal (Web)"/>
    <w:basedOn w:val="Parasts"/>
    <w:uiPriority w:val="99"/>
    <w:unhideWhenUsed/>
    <w:rsid w:val="00842CA9"/>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SarakstarindkopaRakstz">
    <w:name w:val="Saraksta rindkopa Rakstz."/>
    <w:link w:val="Sarakstarindkopa"/>
    <w:uiPriority w:val="34"/>
    <w:locked/>
    <w:rsid w:val="0034271C"/>
    <w:rPr>
      <w:rFonts w:ascii="Calibri" w:hAnsi="Calibri" w:cs="Calibri"/>
    </w:rPr>
  </w:style>
  <w:style w:type="paragraph" w:styleId="Vresteksts">
    <w:name w:val="footnote text"/>
    <w:basedOn w:val="Parasts"/>
    <w:link w:val="VrestekstsRakstz"/>
    <w:uiPriority w:val="99"/>
    <w:semiHidden/>
    <w:unhideWhenUsed/>
    <w:rsid w:val="00687B70"/>
    <w:rPr>
      <w:rFonts w:ascii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687B70"/>
    <w:rPr>
      <w:sz w:val="20"/>
      <w:szCs w:val="20"/>
      <w:lang w:val="en-US"/>
    </w:rPr>
  </w:style>
  <w:style w:type="character" w:styleId="Hipersaite">
    <w:name w:val="Hyperlink"/>
    <w:basedOn w:val="Noklusjumarindkopasfonts"/>
    <w:uiPriority w:val="99"/>
    <w:semiHidden/>
    <w:unhideWhenUsed/>
    <w:rsid w:val="00097A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41477">
      <w:bodyDiv w:val="1"/>
      <w:marLeft w:val="0"/>
      <w:marRight w:val="0"/>
      <w:marTop w:val="0"/>
      <w:marBottom w:val="0"/>
      <w:divBdr>
        <w:top w:val="none" w:sz="0" w:space="0" w:color="auto"/>
        <w:left w:val="none" w:sz="0" w:space="0" w:color="auto"/>
        <w:bottom w:val="none" w:sz="0" w:space="0" w:color="auto"/>
        <w:right w:val="none" w:sz="0" w:space="0" w:color="auto"/>
      </w:divBdr>
    </w:div>
    <w:div w:id="767772132">
      <w:bodyDiv w:val="1"/>
      <w:marLeft w:val="0"/>
      <w:marRight w:val="0"/>
      <w:marTop w:val="0"/>
      <w:marBottom w:val="0"/>
      <w:divBdr>
        <w:top w:val="none" w:sz="0" w:space="0" w:color="auto"/>
        <w:left w:val="none" w:sz="0" w:space="0" w:color="auto"/>
        <w:bottom w:val="none" w:sz="0" w:space="0" w:color="auto"/>
        <w:right w:val="none" w:sz="0" w:space="0" w:color="auto"/>
      </w:divBdr>
    </w:div>
    <w:div w:id="1144618048">
      <w:bodyDiv w:val="1"/>
      <w:marLeft w:val="0"/>
      <w:marRight w:val="0"/>
      <w:marTop w:val="0"/>
      <w:marBottom w:val="0"/>
      <w:divBdr>
        <w:top w:val="none" w:sz="0" w:space="0" w:color="auto"/>
        <w:left w:val="none" w:sz="0" w:space="0" w:color="auto"/>
        <w:bottom w:val="none" w:sz="0" w:space="0" w:color="auto"/>
        <w:right w:val="none" w:sz="0" w:space="0" w:color="auto"/>
      </w:divBdr>
    </w:div>
    <w:div w:id="1623612252">
      <w:bodyDiv w:val="1"/>
      <w:marLeft w:val="0"/>
      <w:marRight w:val="0"/>
      <w:marTop w:val="0"/>
      <w:marBottom w:val="0"/>
      <w:divBdr>
        <w:top w:val="none" w:sz="0" w:space="0" w:color="auto"/>
        <w:left w:val="none" w:sz="0" w:space="0" w:color="auto"/>
        <w:bottom w:val="none" w:sz="0" w:space="0" w:color="auto"/>
        <w:right w:val="none" w:sz="0" w:space="0" w:color="auto"/>
      </w:divBdr>
    </w:div>
    <w:div w:id="16451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jaunums/ligumu-vadiba-krizes-apstaklo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6DBDC6B1CCC42B41E74AA352C4FFD" ma:contentTypeVersion="12" ma:contentTypeDescription="Create a new document." ma:contentTypeScope="" ma:versionID="e576878481c998ecee8d4ac09294641f">
  <xsd:schema xmlns:xsd="http://www.w3.org/2001/XMLSchema" xmlns:xs="http://www.w3.org/2001/XMLSchema" xmlns:p="http://schemas.microsoft.com/office/2006/metadata/properties" xmlns:ns2="b3057933-4081-480e-9a83-5555dccee947" xmlns:ns3="06833f44-7947-476f-a6fe-035a1cdcb744" targetNamespace="http://schemas.microsoft.com/office/2006/metadata/properties" ma:root="true" ma:fieldsID="d37edf317618e85d61d2b3041f2f4639" ns2:_="" ns3:_="">
    <xsd:import namespace="b3057933-4081-480e-9a83-5555dccee947"/>
    <xsd:import namespace="06833f44-7947-476f-a6fe-035a1cdcb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57933-4081-480e-9a83-5555dccee9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33f44-7947-476f-a6fe-035a1cdcb74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BF9D0-9F05-4CCD-864E-0CF60041BC5A}">
  <ds:schemaRefs>
    <ds:schemaRef ds:uri="http://schemas.microsoft.com/sharepoint/v3/contenttype/forms"/>
  </ds:schemaRefs>
</ds:datastoreItem>
</file>

<file path=customXml/itemProps2.xml><?xml version="1.0" encoding="utf-8"?>
<ds:datastoreItem xmlns:ds="http://schemas.openxmlformats.org/officeDocument/2006/customXml" ds:itemID="{8256B69D-3538-4192-BD93-55BDD3FEA1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744E9D-CC46-44BB-8B39-14D10E7BA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57933-4081-480e-9a83-5555dccee947"/>
    <ds:schemaRef ds:uri="06833f44-7947-476f-a6fe-035a1cdcb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5047</Words>
  <Characters>2877</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Paegle</dc:creator>
  <cp:keywords/>
  <dc:description/>
  <cp:lastModifiedBy>Gints Miķelsons</cp:lastModifiedBy>
  <cp:revision>42</cp:revision>
  <dcterms:created xsi:type="dcterms:W3CDTF">2022-03-30T12:49:00Z</dcterms:created>
  <dcterms:modified xsi:type="dcterms:W3CDTF">2022-04-01T05:26:00Z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0x010100D6D6DBDC6B1CCC42B41E74AA352C4FFD</vt:lpwstr>
  </property>
</Properties>
</file>