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DF45" w14:textId="77777777" w:rsidR="00EC68B3" w:rsidRPr="00D40490" w:rsidRDefault="00EC68B3"/>
    <w:p w14:paraId="0876339C" w14:textId="77777777" w:rsidR="00B61599" w:rsidRPr="00D40490" w:rsidRDefault="00B61599"/>
    <w:p w14:paraId="39A69D79" w14:textId="77777777" w:rsidR="00B61599" w:rsidRPr="00D40490" w:rsidRDefault="00B61599">
      <w:pPr>
        <w:rPr>
          <w:sz w:val="24"/>
          <w:szCs w:val="24"/>
        </w:rPr>
      </w:pPr>
    </w:p>
    <w:p w14:paraId="47F3EE78" w14:textId="77777777" w:rsidR="00B61599" w:rsidRPr="00D40490" w:rsidRDefault="00B61599">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48"/>
      </w:tblGrid>
      <w:tr w:rsidR="00B61599" w:rsidRPr="00D40490" w14:paraId="4C0315C4" w14:textId="77777777" w:rsidTr="00C56E6A">
        <w:tc>
          <w:tcPr>
            <w:tcW w:w="2830" w:type="dxa"/>
          </w:tcPr>
          <w:p w14:paraId="74103E51" w14:textId="77777777" w:rsidR="00B61599" w:rsidRPr="00D40490" w:rsidRDefault="00B61599" w:rsidP="00C56E6A">
            <w:pPr>
              <w:rPr>
                <w:rFonts w:ascii="Times New Roman" w:eastAsia="Calibri" w:hAnsi="Times New Roman" w:cs="Times New Roman"/>
                <w:bCs/>
                <w:iCs/>
                <w:sz w:val="24"/>
                <w:szCs w:val="24"/>
              </w:rPr>
            </w:pPr>
            <w:r w:rsidRPr="00D40490">
              <w:rPr>
                <w:rFonts w:ascii="Times New Roman" w:hAnsi="Times New Roman" w:cs="Times New Roman"/>
                <w:b/>
                <w:bCs/>
                <w:sz w:val="24"/>
                <w:szCs w:val="24"/>
              </w:rPr>
              <w:t>PASŪTĪTĀJS:</w:t>
            </w:r>
          </w:p>
        </w:tc>
        <w:tc>
          <w:tcPr>
            <w:tcW w:w="6848" w:type="dxa"/>
          </w:tcPr>
          <w:p w14:paraId="2E33A9A1" w14:textId="77777777" w:rsidR="00B61599" w:rsidRPr="00D40490" w:rsidRDefault="00B61599" w:rsidP="00C56E6A">
            <w:pPr>
              <w:rPr>
                <w:rFonts w:ascii="Times New Roman" w:hAnsi="Times New Roman" w:cs="Times New Roman"/>
                <w:b/>
                <w:bCs/>
                <w:sz w:val="24"/>
                <w:szCs w:val="24"/>
              </w:rPr>
            </w:pPr>
            <w:r w:rsidRPr="00D40490">
              <w:rPr>
                <w:rFonts w:ascii="Times New Roman" w:hAnsi="Times New Roman" w:cs="Times New Roman"/>
                <w:b/>
                <w:bCs/>
                <w:sz w:val="24"/>
                <w:szCs w:val="24"/>
              </w:rPr>
              <w:t>Ekonomikas ministrija</w:t>
            </w:r>
          </w:p>
          <w:p w14:paraId="0EFF573D" w14:textId="77777777" w:rsidR="00B61599" w:rsidRPr="00D40490" w:rsidRDefault="00B61599" w:rsidP="00C56E6A">
            <w:pPr>
              <w:tabs>
                <w:tab w:val="left" w:pos="4395"/>
              </w:tabs>
              <w:rPr>
                <w:rFonts w:ascii="Times New Roman" w:hAnsi="Times New Roman" w:cs="Times New Roman"/>
                <w:sz w:val="24"/>
                <w:szCs w:val="24"/>
              </w:rPr>
            </w:pPr>
            <w:r w:rsidRPr="00D40490">
              <w:rPr>
                <w:rFonts w:ascii="Times New Roman" w:hAnsi="Times New Roman" w:cs="Times New Roman"/>
                <w:sz w:val="24"/>
                <w:szCs w:val="24"/>
              </w:rPr>
              <w:t>Reģ. nr. 90000086008</w:t>
            </w:r>
          </w:p>
          <w:p w14:paraId="74C27927" w14:textId="77777777" w:rsidR="00B61599" w:rsidRPr="00D40490" w:rsidRDefault="00B61599" w:rsidP="00C56E6A">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Brīvības iela 55, Rīga, LV-1519</w:t>
            </w:r>
          </w:p>
          <w:p w14:paraId="63AEBDA2" w14:textId="77777777" w:rsidR="00B61599" w:rsidRPr="00D40490" w:rsidRDefault="00B61599" w:rsidP="00C56E6A">
            <w:pPr>
              <w:jc w:val="both"/>
              <w:rPr>
                <w:rFonts w:ascii="Times New Roman" w:hAnsi="Times New Roman" w:cs="Times New Roman"/>
                <w:color w:val="000000"/>
                <w:sz w:val="24"/>
                <w:szCs w:val="24"/>
              </w:rPr>
            </w:pPr>
          </w:p>
          <w:p w14:paraId="41ADE26B" w14:textId="77777777" w:rsidR="00B61599" w:rsidRPr="00D40490" w:rsidRDefault="00B61599" w:rsidP="00C56E6A">
            <w:pPr>
              <w:jc w:val="both"/>
              <w:rPr>
                <w:rFonts w:ascii="Times New Roman" w:hAnsi="Times New Roman" w:cs="Times New Roman"/>
                <w:color w:val="000000"/>
                <w:sz w:val="24"/>
                <w:szCs w:val="24"/>
              </w:rPr>
            </w:pPr>
          </w:p>
          <w:p w14:paraId="46D3F24C" w14:textId="77777777" w:rsidR="00B61599" w:rsidRPr="00D40490" w:rsidRDefault="00B61599" w:rsidP="00C56E6A">
            <w:pPr>
              <w:tabs>
                <w:tab w:val="left" w:pos="4395"/>
              </w:tabs>
              <w:rPr>
                <w:rFonts w:ascii="Times New Roman" w:eastAsia="Calibri" w:hAnsi="Times New Roman" w:cs="Times New Roman"/>
                <w:bCs/>
                <w:iCs/>
                <w:sz w:val="24"/>
                <w:szCs w:val="24"/>
              </w:rPr>
            </w:pPr>
          </w:p>
        </w:tc>
      </w:tr>
      <w:tr w:rsidR="00B61599" w:rsidRPr="00D40490" w14:paraId="53CD2E06" w14:textId="77777777" w:rsidTr="00C56E6A">
        <w:tc>
          <w:tcPr>
            <w:tcW w:w="2830" w:type="dxa"/>
          </w:tcPr>
          <w:p w14:paraId="2D66D6F9" w14:textId="77777777" w:rsidR="00B61599" w:rsidRPr="00D40490" w:rsidRDefault="00B61599" w:rsidP="00C56E6A">
            <w:pPr>
              <w:rPr>
                <w:rFonts w:ascii="Times New Roman" w:eastAsia="Calibri" w:hAnsi="Times New Roman" w:cs="Times New Roman"/>
                <w:bCs/>
                <w:iCs/>
                <w:sz w:val="24"/>
                <w:szCs w:val="24"/>
              </w:rPr>
            </w:pPr>
            <w:r w:rsidRPr="00D40490">
              <w:rPr>
                <w:rFonts w:ascii="Times New Roman" w:hAnsi="Times New Roman" w:cs="Times New Roman"/>
                <w:b/>
                <w:bCs/>
                <w:sz w:val="24"/>
                <w:szCs w:val="24"/>
              </w:rPr>
              <w:t>IZSTRĀDĀTĀJS:</w:t>
            </w:r>
          </w:p>
        </w:tc>
        <w:tc>
          <w:tcPr>
            <w:tcW w:w="6848" w:type="dxa"/>
          </w:tcPr>
          <w:p w14:paraId="5D51CEF8" w14:textId="77777777" w:rsidR="00B61599" w:rsidRPr="00D40490" w:rsidRDefault="00B61599" w:rsidP="00C56E6A">
            <w:pPr>
              <w:pStyle w:val="Default"/>
              <w:rPr>
                <w:lang w:val="lv-LV"/>
              </w:rPr>
            </w:pPr>
            <w:r w:rsidRPr="00D40490">
              <w:rPr>
                <w:b/>
                <w:bCs/>
                <w:lang w:val="lv-LV"/>
              </w:rPr>
              <w:t xml:space="preserve">SIA ,,ABC Energy efficiency” </w:t>
            </w:r>
          </w:p>
          <w:p w14:paraId="267DE8FF" w14:textId="77777777" w:rsidR="00B61599" w:rsidRPr="00D40490" w:rsidRDefault="00B61599" w:rsidP="00C56E6A">
            <w:pPr>
              <w:pStyle w:val="Default"/>
              <w:rPr>
                <w:lang w:val="lv-LV"/>
              </w:rPr>
            </w:pPr>
            <w:r w:rsidRPr="00D40490">
              <w:rPr>
                <w:lang w:val="lv-LV"/>
              </w:rPr>
              <w:t xml:space="preserve">Reģ. nr. 43603044765 </w:t>
            </w:r>
          </w:p>
          <w:p w14:paraId="47603D80" w14:textId="77777777" w:rsidR="00B61599" w:rsidRPr="00D40490" w:rsidRDefault="00B61599" w:rsidP="00C56E6A">
            <w:pPr>
              <w:rPr>
                <w:rFonts w:ascii="Times New Roman" w:hAnsi="Times New Roman" w:cs="Times New Roman"/>
                <w:sz w:val="24"/>
                <w:szCs w:val="24"/>
              </w:rPr>
            </w:pPr>
            <w:r w:rsidRPr="00D40490">
              <w:rPr>
                <w:rFonts w:ascii="Times New Roman" w:hAnsi="Times New Roman" w:cs="Times New Roman"/>
                <w:sz w:val="24"/>
                <w:szCs w:val="24"/>
              </w:rPr>
              <w:t>Liepu iela 25, Bauska, Bauskas novads, LV-3901</w:t>
            </w:r>
          </w:p>
          <w:p w14:paraId="5224408C" w14:textId="77777777" w:rsidR="00B61599" w:rsidRPr="00D40490" w:rsidRDefault="00B61599" w:rsidP="00C56E6A">
            <w:pPr>
              <w:rPr>
                <w:rFonts w:ascii="Times New Roman" w:eastAsia="Calibri" w:hAnsi="Times New Roman" w:cs="Times New Roman"/>
                <w:bCs/>
                <w:iCs/>
                <w:sz w:val="24"/>
                <w:szCs w:val="24"/>
              </w:rPr>
            </w:pPr>
          </w:p>
        </w:tc>
      </w:tr>
    </w:tbl>
    <w:p w14:paraId="016B7CFE" w14:textId="77777777" w:rsidR="00B61599" w:rsidRPr="00D40490" w:rsidRDefault="00B61599">
      <w:pPr>
        <w:rPr>
          <w:sz w:val="24"/>
          <w:szCs w:val="24"/>
        </w:rPr>
      </w:pPr>
    </w:p>
    <w:p w14:paraId="13A6C377" w14:textId="77777777" w:rsidR="00B61599" w:rsidRPr="00D40490" w:rsidRDefault="00B61599" w:rsidP="006A5E5D">
      <w:pPr>
        <w:jc w:val="center"/>
        <w:rPr>
          <w:rFonts w:ascii="Times New Roman" w:hAnsi="Times New Roman" w:cs="Times New Roman"/>
          <w:b/>
          <w:sz w:val="32"/>
          <w:szCs w:val="32"/>
        </w:rPr>
      </w:pPr>
    </w:p>
    <w:p w14:paraId="7FA55FA1" w14:textId="77777777" w:rsidR="006A5E5D" w:rsidRPr="00D40490" w:rsidRDefault="006A5E5D" w:rsidP="006A5E5D">
      <w:pPr>
        <w:jc w:val="center"/>
        <w:rPr>
          <w:rFonts w:ascii="Times New Roman" w:hAnsi="Times New Roman" w:cs="Times New Roman"/>
          <w:b/>
          <w:sz w:val="32"/>
          <w:szCs w:val="32"/>
        </w:rPr>
      </w:pPr>
    </w:p>
    <w:p w14:paraId="0652A00F" w14:textId="77777777" w:rsidR="006A5E5D" w:rsidRPr="00D40490" w:rsidRDefault="006A5E5D" w:rsidP="00F43DEC">
      <w:pPr>
        <w:spacing w:after="0" w:line="240" w:lineRule="auto"/>
        <w:jc w:val="center"/>
        <w:rPr>
          <w:rFonts w:ascii="Times New Roman" w:hAnsi="Times New Roman" w:cs="Times New Roman"/>
          <w:b/>
          <w:sz w:val="32"/>
          <w:szCs w:val="32"/>
        </w:rPr>
      </w:pPr>
    </w:p>
    <w:p w14:paraId="2AD3255C" w14:textId="66AB063D" w:rsidR="006A5E5D" w:rsidRPr="005C195D" w:rsidRDefault="006A5E5D" w:rsidP="00F43DEC">
      <w:pPr>
        <w:spacing w:after="0" w:line="240" w:lineRule="auto"/>
        <w:jc w:val="center"/>
        <w:rPr>
          <w:rFonts w:ascii="Times New Roman" w:hAnsi="Times New Roman" w:cs="Times New Roman"/>
          <w:b/>
          <w:sz w:val="40"/>
          <w:szCs w:val="40"/>
        </w:rPr>
      </w:pPr>
      <w:r w:rsidRPr="00D40490">
        <w:rPr>
          <w:rFonts w:ascii="Times New Roman" w:hAnsi="Times New Roman" w:cs="Times New Roman"/>
          <w:b/>
          <w:color w:val="000000"/>
          <w:sz w:val="40"/>
          <w:szCs w:val="40"/>
        </w:rPr>
        <w:t xml:space="preserve">Metodiskie </w:t>
      </w:r>
      <w:r w:rsidRPr="005C195D">
        <w:rPr>
          <w:rFonts w:ascii="Times New Roman" w:hAnsi="Times New Roman" w:cs="Times New Roman"/>
          <w:b/>
          <w:color w:val="000000"/>
          <w:sz w:val="40"/>
          <w:szCs w:val="40"/>
        </w:rPr>
        <w:t>norādījumi</w:t>
      </w:r>
      <w:r w:rsidRPr="005C195D">
        <w:rPr>
          <w:rFonts w:ascii="Times New Roman" w:hAnsi="Times New Roman" w:cs="Times New Roman"/>
          <w:b/>
          <w:sz w:val="40"/>
          <w:szCs w:val="40"/>
        </w:rPr>
        <w:t xml:space="preserve"> individuāl</w:t>
      </w:r>
      <w:r w:rsidR="005C195D" w:rsidRPr="005C195D">
        <w:rPr>
          <w:rFonts w:ascii="Times New Roman" w:hAnsi="Times New Roman" w:cs="Times New Roman"/>
          <w:b/>
          <w:sz w:val="40"/>
          <w:szCs w:val="40"/>
        </w:rPr>
        <w:t>o</w:t>
      </w:r>
      <w:r w:rsidRPr="005C195D">
        <w:rPr>
          <w:rFonts w:ascii="Times New Roman" w:hAnsi="Times New Roman" w:cs="Times New Roman"/>
          <w:b/>
          <w:sz w:val="40"/>
          <w:szCs w:val="40"/>
        </w:rPr>
        <w:t xml:space="preserve"> </w:t>
      </w:r>
    </w:p>
    <w:p w14:paraId="014CFFF6" w14:textId="4A1B330B" w:rsidR="006A5E5D" w:rsidRPr="005C195D" w:rsidRDefault="006A5E5D" w:rsidP="00F43DEC">
      <w:pPr>
        <w:spacing w:after="0" w:line="240" w:lineRule="auto"/>
        <w:jc w:val="center"/>
        <w:rPr>
          <w:rFonts w:ascii="Times New Roman" w:hAnsi="Times New Roman" w:cs="Times New Roman"/>
          <w:b/>
          <w:bCs/>
          <w:sz w:val="40"/>
          <w:szCs w:val="40"/>
        </w:rPr>
      </w:pPr>
      <w:r w:rsidRPr="005C195D">
        <w:rPr>
          <w:rFonts w:ascii="Times New Roman" w:hAnsi="Times New Roman" w:cs="Times New Roman"/>
          <w:b/>
          <w:sz w:val="40"/>
          <w:szCs w:val="40"/>
        </w:rPr>
        <w:t>siltuma maksas sadalītāj</w:t>
      </w:r>
      <w:r w:rsidR="005C195D" w:rsidRPr="005C195D">
        <w:rPr>
          <w:rFonts w:ascii="Times New Roman" w:hAnsi="Times New Roman" w:cs="Times New Roman"/>
          <w:b/>
          <w:sz w:val="40"/>
          <w:szCs w:val="40"/>
        </w:rPr>
        <w:t>u</w:t>
      </w:r>
      <w:r w:rsidR="005C195D" w:rsidRPr="00A53AD7">
        <w:rPr>
          <w:rFonts w:ascii="Times New Roman" w:hAnsi="Times New Roman" w:cs="Times New Roman"/>
          <w:b/>
          <w:sz w:val="40"/>
          <w:szCs w:val="40"/>
        </w:rPr>
        <w:t xml:space="preserve"> </w:t>
      </w:r>
      <w:r w:rsidR="005C195D" w:rsidRPr="005C195D">
        <w:rPr>
          <w:rFonts w:ascii="Times New Roman" w:hAnsi="Times New Roman" w:cs="Times New Roman"/>
          <w:b/>
          <w:bCs/>
          <w:sz w:val="40"/>
          <w:szCs w:val="40"/>
        </w:rPr>
        <w:t xml:space="preserve">uzstādīšanas ekonomiskā pamatojuma novērtēšanas veidlapu </w:t>
      </w:r>
      <w:r w:rsidR="005C195D">
        <w:rPr>
          <w:rFonts w:ascii="Times New Roman" w:hAnsi="Times New Roman" w:cs="Times New Roman"/>
          <w:b/>
          <w:bCs/>
          <w:sz w:val="40"/>
          <w:szCs w:val="40"/>
        </w:rPr>
        <w:t>pielietošanai</w:t>
      </w:r>
    </w:p>
    <w:p w14:paraId="02042310" w14:textId="77777777" w:rsidR="00B61599" w:rsidRPr="00D40490" w:rsidRDefault="00B61599" w:rsidP="00F43DEC">
      <w:pPr>
        <w:spacing w:after="0" w:line="240" w:lineRule="auto"/>
        <w:rPr>
          <w:szCs w:val="24"/>
        </w:rPr>
      </w:pPr>
    </w:p>
    <w:p w14:paraId="73C1D41C" w14:textId="77777777" w:rsidR="00B61599" w:rsidRPr="00D40490" w:rsidRDefault="00B61599" w:rsidP="006A5E5D">
      <w:pPr>
        <w:rPr>
          <w:szCs w:val="24"/>
        </w:rPr>
      </w:pPr>
    </w:p>
    <w:p w14:paraId="6DF31D75" w14:textId="77777777" w:rsidR="00B61599" w:rsidRPr="00D40490" w:rsidRDefault="00B61599">
      <w:pPr>
        <w:rPr>
          <w:sz w:val="24"/>
          <w:szCs w:val="24"/>
        </w:rPr>
      </w:pPr>
    </w:p>
    <w:p w14:paraId="22BDF696" w14:textId="77777777" w:rsidR="006A5E5D" w:rsidRPr="00D40490" w:rsidRDefault="006A5E5D">
      <w:pPr>
        <w:rPr>
          <w:sz w:val="24"/>
          <w:szCs w:val="24"/>
        </w:rPr>
      </w:pPr>
    </w:p>
    <w:p w14:paraId="6CA98D50" w14:textId="77777777" w:rsidR="006A5E5D" w:rsidRPr="00D40490" w:rsidRDefault="006A5E5D">
      <w:pPr>
        <w:rPr>
          <w:sz w:val="24"/>
          <w:szCs w:val="24"/>
        </w:rPr>
      </w:pPr>
    </w:p>
    <w:p w14:paraId="3F9F3870" w14:textId="77777777" w:rsidR="006A5E5D" w:rsidRPr="00D40490" w:rsidRDefault="006A5E5D">
      <w:pPr>
        <w:rPr>
          <w:sz w:val="24"/>
          <w:szCs w:val="24"/>
        </w:rPr>
      </w:pPr>
    </w:p>
    <w:p w14:paraId="5A44FCA0" w14:textId="77777777" w:rsidR="006A5E5D" w:rsidRPr="00D40490" w:rsidRDefault="006A5E5D">
      <w:pPr>
        <w:rPr>
          <w:sz w:val="24"/>
          <w:szCs w:val="24"/>
        </w:rPr>
      </w:pPr>
    </w:p>
    <w:p w14:paraId="239C5B19" w14:textId="77777777" w:rsidR="006A5E5D" w:rsidRPr="00D40490" w:rsidRDefault="006A5E5D">
      <w:pPr>
        <w:rPr>
          <w:sz w:val="24"/>
          <w:szCs w:val="24"/>
        </w:rPr>
      </w:pPr>
    </w:p>
    <w:p w14:paraId="405F80CF" w14:textId="77777777" w:rsidR="006A5E5D" w:rsidRPr="00D40490" w:rsidRDefault="006A5E5D">
      <w:pPr>
        <w:rPr>
          <w:sz w:val="24"/>
          <w:szCs w:val="24"/>
        </w:rPr>
      </w:pPr>
    </w:p>
    <w:p w14:paraId="2ADD5DEA" w14:textId="77777777" w:rsidR="00B61599" w:rsidRPr="00D40490" w:rsidRDefault="00B61599" w:rsidP="00B61599">
      <w:pPr>
        <w:pStyle w:val="Default"/>
        <w:jc w:val="center"/>
        <w:rPr>
          <w:lang w:val="lv-LV"/>
        </w:rPr>
      </w:pPr>
      <w:r w:rsidRPr="00D40490">
        <w:rPr>
          <w:lang w:val="lv-LV"/>
        </w:rPr>
        <w:t>2021</w:t>
      </w:r>
    </w:p>
    <w:p w14:paraId="0968B640" w14:textId="77777777" w:rsidR="00B61599" w:rsidRPr="00D40490" w:rsidRDefault="00B61599" w:rsidP="00B61599">
      <w:pPr>
        <w:pStyle w:val="Default"/>
        <w:jc w:val="center"/>
        <w:rPr>
          <w:lang w:val="lv-LV"/>
        </w:rPr>
      </w:pPr>
    </w:p>
    <w:p w14:paraId="1124595E" w14:textId="77777777" w:rsidR="00B61599" w:rsidRPr="00D40490" w:rsidRDefault="00B61599" w:rsidP="00B61599">
      <w:pPr>
        <w:pStyle w:val="Default"/>
        <w:jc w:val="center"/>
        <w:rPr>
          <w:lang w:val="lv-LV"/>
        </w:rPr>
      </w:pPr>
    </w:p>
    <w:p w14:paraId="02E65DAB" w14:textId="10820185" w:rsidR="006A5E5D" w:rsidRPr="00D40490" w:rsidRDefault="00B61599" w:rsidP="00455728">
      <w:pPr>
        <w:jc w:val="center"/>
        <w:rPr>
          <w:sz w:val="16"/>
          <w:szCs w:val="16"/>
        </w:rPr>
      </w:pPr>
      <w:r w:rsidRPr="00D40490">
        <w:rPr>
          <w:sz w:val="16"/>
          <w:szCs w:val="16"/>
        </w:rPr>
        <w:t>ŠIS DOKUMENTS IR ELEKTRONISKI PARAKSTĪTS AR DROŠU ELEKTRONISKO PARAKSTU UN SATUR LAIKA ZĪMOGU</w:t>
      </w:r>
    </w:p>
    <w:sdt>
      <w:sdtPr>
        <w:rPr>
          <w:rFonts w:asciiTheme="minorHAnsi" w:eastAsiaTheme="minorHAnsi" w:hAnsiTheme="minorHAnsi" w:cstheme="minorBidi"/>
          <w:b w:val="0"/>
          <w:bCs w:val="0"/>
          <w:color w:val="auto"/>
          <w:sz w:val="22"/>
          <w:szCs w:val="22"/>
          <w:lang w:val="lv-LV" w:eastAsia="en-US"/>
        </w:rPr>
        <w:id w:val="-689829216"/>
        <w:docPartObj>
          <w:docPartGallery w:val="Table of Contents"/>
          <w:docPartUnique/>
        </w:docPartObj>
      </w:sdtPr>
      <w:sdtEndPr/>
      <w:sdtContent>
        <w:p w14:paraId="20DC4CFE" w14:textId="77777777" w:rsidR="005E609A" w:rsidRDefault="005E609A" w:rsidP="002D05AF">
          <w:pPr>
            <w:pStyle w:val="TOCHeading"/>
            <w:jc w:val="center"/>
            <w:rPr>
              <w:rFonts w:asciiTheme="minorHAnsi" w:eastAsiaTheme="minorHAnsi" w:hAnsiTheme="minorHAnsi" w:cstheme="minorBidi"/>
              <w:b w:val="0"/>
              <w:bCs w:val="0"/>
              <w:color w:val="auto"/>
              <w:sz w:val="22"/>
              <w:szCs w:val="22"/>
              <w:lang w:val="lv-LV" w:eastAsia="en-US"/>
            </w:rPr>
          </w:pPr>
        </w:p>
        <w:p w14:paraId="5AA42DE7" w14:textId="3E82728E" w:rsidR="00BA5A22" w:rsidRDefault="00BA5A22" w:rsidP="002D05AF">
          <w:pPr>
            <w:pStyle w:val="TOCHeading"/>
            <w:jc w:val="center"/>
            <w:rPr>
              <w:rFonts w:ascii="Times New Roman" w:hAnsi="Times New Roman" w:cs="Times New Roman"/>
              <w:color w:val="000000" w:themeColor="text1"/>
              <w:lang w:val="lv-LV"/>
            </w:rPr>
          </w:pPr>
          <w:r w:rsidRPr="00D40490">
            <w:rPr>
              <w:rFonts w:ascii="Times New Roman" w:hAnsi="Times New Roman" w:cs="Times New Roman"/>
              <w:color w:val="000000" w:themeColor="text1"/>
              <w:lang w:val="lv-LV"/>
            </w:rPr>
            <w:t>Saturs</w:t>
          </w:r>
        </w:p>
        <w:p w14:paraId="55D78481" w14:textId="77777777" w:rsidR="00B13577" w:rsidRDefault="00BA5A22">
          <w:pPr>
            <w:pStyle w:val="TOC1"/>
            <w:tabs>
              <w:tab w:val="right" w:leader="dot" w:pos="9678"/>
            </w:tabs>
            <w:rPr>
              <w:rFonts w:eastAsiaTheme="minorEastAsia"/>
              <w:noProof/>
              <w:lang w:val="en-US"/>
            </w:rPr>
          </w:pPr>
          <w:r w:rsidRPr="00ED5A5D">
            <w:rPr>
              <w:rFonts w:ascii="Times New Roman" w:hAnsi="Times New Roman" w:cs="Times New Roman"/>
            </w:rPr>
            <w:fldChar w:fldCharType="begin"/>
          </w:r>
          <w:r w:rsidRPr="00ED5A5D">
            <w:rPr>
              <w:rFonts w:ascii="Times New Roman" w:hAnsi="Times New Roman" w:cs="Times New Roman"/>
            </w:rPr>
            <w:instrText xml:space="preserve"> TOC \o "1-3" \h \z \u </w:instrText>
          </w:r>
          <w:r w:rsidRPr="00ED5A5D">
            <w:rPr>
              <w:rFonts w:ascii="Times New Roman" w:hAnsi="Times New Roman" w:cs="Times New Roman"/>
            </w:rPr>
            <w:fldChar w:fldCharType="separate"/>
          </w:r>
          <w:hyperlink w:anchor="_Toc91665787" w:history="1">
            <w:r w:rsidR="00B13577" w:rsidRPr="00A114A2">
              <w:rPr>
                <w:rStyle w:val="Hyperlink"/>
                <w:rFonts w:ascii="Times New Roman" w:hAnsi="Times New Roman" w:cs="Times New Roman"/>
                <w:noProof/>
              </w:rPr>
              <w:t>Ievads</w:t>
            </w:r>
            <w:r w:rsidR="00B13577">
              <w:rPr>
                <w:noProof/>
                <w:webHidden/>
              </w:rPr>
              <w:tab/>
            </w:r>
            <w:r w:rsidR="00B13577">
              <w:rPr>
                <w:noProof/>
                <w:webHidden/>
              </w:rPr>
              <w:fldChar w:fldCharType="begin"/>
            </w:r>
            <w:r w:rsidR="00B13577">
              <w:rPr>
                <w:noProof/>
                <w:webHidden/>
              </w:rPr>
              <w:instrText xml:space="preserve"> PAGEREF _Toc91665787 \h </w:instrText>
            </w:r>
            <w:r w:rsidR="00B13577">
              <w:rPr>
                <w:noProof/>
                <w:webHidden/>
              </w:rPr>
            </w:r>
            <w:r w:rsidR="00B13577">
              <w:rPr>
                <w:noProof/>
                <w:webHidden/>
              </w:rPr>
              <w:fldChar w:fldCharType="separate"/>
            </w:r>
            <w:r w:rsidR="00B13577">
              <w:rPr>
                <w:noProof/>
                <w:webHidden/>
              </w:rPr>
              <w:t>3</w:t>
            </w:r>
            <w:r w:rsidR="00B13577">
              <w:rPr>
                <w:noProof/>
                <w:webHidden/>
              </w:rPr>
              <w:fldChar w:fldCharType="end"/>
            </w:r>
          </w:hyperlink>
        </w:p>
        <w:p w14:paraId="48033E93" w14:textId="77777777" w:rsidR="00B13577" w:rsidRDefault="000A350A">
          <w:pPr>
            <w:pStyle w:val="TOC1"/>
            <w:tabs>
              <w:tab w:val="right" w:leader="dot" w:pos="9678"/>
            </w:tabs>
            <w:rPr>
              <w:rFonts w:eastAsiaTheme="minorEastAsia"/>
              <w:noProof/>
              <w:lang w:val="en-US"/>
            </w:rPr>
          </w:pPr>
          <w:hyperlink w:anchor="_Toc91665788" w:history="1">
            <w:r w:rsidR="00B13577" w:rsidRPr="00A114A2">
              <w:rPr>
                <w:rStyle w:val="Hyperlink"/>
                <w:rFonts w:ascii="Times New Roman" w:hAnsi="Times New Roman" w:cs="Times New Roman"/>
                <w:noProof/>
              </w:rPr>
              <w:t>Metodiskie norādījumi individuālo siltuma maksas sadalītāju uzstādīšanas ekonomiskā pamatojuma novērtēšanas veidlapu pielietošanai</w:t>
            </w:r>
            <w:r w:rsidR="00B13577">
              <w:rPr>
                <w:noProof/>
                <w:webHidden/>
              </w:rPr>
              <w:tab/>
            </w:r>
            <w:r w:rsidR="00B13577">
              <w:rPr>
                <w:noProof/>
                <w:webHidden/>
              </w:rPr>
              <w:fldChar w:fldCharType="begin"/>
            </w:r>
            <w:r w:rsidR="00B13577">
              <w:rPr>
                <w:noProof/>
                <w:webHidden/>
              </w:rPr>
              <w:instrText xml:space="preserve"> PAGEREF _Toc91665788 \h </w:instrText>
            </w:r>
            <w:r w:rsidR="00B13577">
              <w:rPr>
                <w:noProof/>
                <w:webHidden/>
              </w:rPr>
            </w:r>
            <w:r w:rsidR="00B13577">
              <w:rPr>
                <w:noProof/>
                <w:webHidden/>
              </w:rPr>
              <w:fldChar w:fldCharType="separate"/>
            </w:r>
            <w:r w:rsidR="00B13577">
              <w:rPr>
                <w:noProof/>
                <w:webHidden/>
              </w:rPr>
              <w:t>3</w:t>
            </w:r>
            <w:r w:rsidR="00B13577">
              <w:rPr>
                <w:noProof/>
                <w:webHidden/>
              </w:rPr>
              <w:fldChar w:fldCharType="end"/>
            </w:r>
          </w:hyperlink>
        </w:p>
        <w:p w14:paraId="3F8474F4" w14:textId="77777777" w:rsidR="00B13577" w:rsidRDefault="000A350A">
          <w:pPr>
            <w:pStyle w:val="TOC2"/>
            <w:tabs>
              <w:tab w:val="right" w:leader="dot" w:pos="9678"/>
            </w:tabs>
            <w:rPr>
              <w:rFonts w:eastAsiaTheme="minorEastAsia"/>
              <w:noProof/>
              <w:lang w:val="en-US"/>
            </w:rPr>
          </w:pPr>
          <w:hyperlink w:anchor="_Toc91665789" w:history="1">
            <w:r w:rsidR="00B13577" w:rsidRPr="00A114A2">
              <w:rPr>
                <w:rStyle w:val="Hyperlink"/>
                <w:rFonts w:ascii="Times New Roman" w:hAnsi="Times New Roman" w:cs="Times New Roman"/>
                <w:noProof/>
              </w:rPr>
              <w:t>Darba lapa Nr. 1 Ievads</w:t>
            </w:r>
            <w:r w:rsidR="00B13577">
              <w:rPr>
                <w:noProof/>
                <w:webHidden/>
              </w:rPr>
              <w:tab/>
            </w:r>
            <w:r w:rsidR="00B13577">
              <w:rPr>
                <w:noProof/>
                <w:webHidden/>
              </w:rPr>
              <w:fldChar w:fldCharType="begin"/>
            </w:r>
            <w:r w:rsidR="00B13577">
              <w:rPr>
                <w:noProof/>
                <w:webHidden/>
              </w:rPr>
              <w:instrText xml:space="preserve"> PAGEREF _Toc91665789 \h </w:instrText>
            </w:r>
            <w:r w:rsidR="00B13577">
              <w:rPr>
                <w:noProof/>
                <w:webHidden/>
              </w:rPr>
            </w:r>
            <w:r w:rsidR="00B13577">
              <w:rPr>
                <w:noProof/>
                <w:webHidden/>
              </w:rPr>
              <w:fldChar w:fldCharType="separate"/>
            </w:r>
            <w:r w:rsidR="00B13577">
              <w:rPr>
                <w:noProof/>
                <w:webHidden/>
              </w:rPr>
              <w:t>4</w:t>
            </w:r>
            <w:r w:rsidR="00B13577">
              <w:rPr>
                <w:noProof/>
                <w:webHidden/>
              </w:rPr>
              <w:fldChar w:fldCharType="end"/>
            </w:r>
          </w:hyperlink>
        </w:p>
        <w:p w14:paraId="57878F87" w14:textId="77777777" w:rsidR="00B13577" w:rsidRDefault="000A350A">
          <w:pPr>
            <w:pStyle w:val="TOC2"/>
            <w:tabs>
              <w:tab w:val="right" w:leader="dot" w:pos="9678"/>
            </w:tabs>
            <w:rPr>
              <w:rFonts w:eastAsiaTheme="minorEastAsia"/>
              <w:noProof/>
              <w:lang w:val="en-US"/>
            </w:rPr>
          </w:pPr>
          <w:hyperlink w:anchor="_Toc91665790" w:history="1">
            <w:r w:rsidR="00B13577" w:rsidRPr="00A114A2">
              <w:rPr>
                <w:rStyle w:val="Hyperlink"/>
                <w:rFonts w:ascii="Times New Roman" w:hAnsi="Times New Roman" w:cs="Times New Roman"/>
                <w:noProof/>
              </w:rPr>
              <w:t>Darba lapa Nr. 2 Ēkas  apraksts</w:t>
            </w:r>
            <w:r w:rsidR="00B13577">
              <w:rPr>
                <w:noProof/>
                <w:webHidden/>
              </w:rPr>
              <w:tab/>
            </w:r>
            <w:r w:rsidR="00B13577">
              <w:rPr>
                <w:noProof/>
                <w:webHidden/>
              </w:rPr>
              <w:fldChar w:fldCharType="begin"/>
            </w:r>
            <w:r w:rsidR="00B13577">
              <w:rPr>
                <w:noProof/>
                <w:webHidden/>
              </w:rPr>
              <w:instrText xml:space="preserve"> PAGEREF _Toc91665790 \h </w:instrText>
            </w:r>
            <w:r w:rsidR="00B13577">
              <w:rPr>
                <w:noProof/>
                <w:webHidden/>
              </w:rPr>
            </w:r>
            <w:r w:rsidR="00B13577">
              <w:rPr>
                <w:noProof/>
                <w:webHidden/>
              </w:rPr>
              <w:fldChar w:fldCharType="separate"/>
            </w:r>
            <w:r w:rsidR="00B13577">
              <w:rPr>
                <w:noProof/>
                <w:webHidden/>
              </w:rPr>
              <w:t>4</w:t>
            </w:r>
            <w:r w:rsidR="00B13577">
              <w:rPr>
                <w:noProof/>
                <w:webHidden/>
              </w:rPr>
              <w:fldChar w:fldCharType="end"/>
            </w:r>
          </w:hyperlink>
        </w:p>
        <w:p w14:paraId="069A148C" w14:textId="77777777" w:rsidR="00B13577" w:rsidRDefault="000A350A">
          <w:pPr>
            <w:pStyle w:val="TOC2"/>
            <w:tabs>
              <w:tab w:val="right" w:leader="dot" w:pos="9678"/>
            </w:tabs>
            <w:rPr>
              <w:rFonts w:eastAsiaTheme="minorEastAsia"/>
              <w:noProof/>
              <w:lang w:val="en-US"/>
            </w:rPr>
          </w:pPr>
          <w:hyperlink w:anchor="_Toc91665791" w:history="1">
            <w:r w:rsidR="00B13577" w:rsidRPr="00A114A2">
              <w:rPr>
                <w:rStyle w:val="Hyperlink"/>
                <w:rFonts w:ascii="Times New Roman" w:hAnsi="Times New Roman" w:cs="Times New Roman"/>
                <w:noProof/>
              </w:rPr>
              <w:t>Darba lapa Nr. 3 Enerģijas patēriņa dati</w:t>
            </w:r>
            <w:r w:rsidR="00B13577">
              <w:rPr>
                <w:noProof/>
                <w:webHidden/>
              </w:rPr>
              <w:tab/>
            </w:r>
            <w:r w:rsidR="00B13577">
              <w:rPr>
                <w:noProof/>
                <w:webHidden/>
              </w:rPr>
              <w:fldChar w:fldCharType="begin"/>
            </w:r>
            <w:r w:rsidR="00B13577">
              <w:rPr>
                <w:noProof/>
                <w:webHidden/>
              </w:rPr>
              <w:instrText xml:space="preserve"> PAGEREF _Toc91665791 \h </w:instrText>
            </w:r>
            <w:r w:rsidR="00B13577">
              <w:rPr>
                <w:noProof/>
                <w:webHidden/>
              </w:rPr>
            </w:r>
            <w:r w:rsidR="00B13577">
              <w:rPr>
                <w:noProof/>
                <w:webHidden/>
              </w:rPr>
              <w:fldChar w:fldCharType="separate"/>
            </w:r>
            <w:r w:rsidR="00B13577">
              <w:rPr>
                <w:noProof/>
                <w:webHidden/>
              </w:rPr>
              <w:t>6</w:t>
            </w:r>
            <w:r w:rsidR="00B13577">
              <w:rPr>
                <w:noProof/>
                <w:webHidden/>
              </w:rPr>
              <w:fldChar w:fldCharType="end"/>
            </w:r>
          </w:hyperlink>
        </w:p>
        <w:p w14:paraId="601304EA" w14:textId="77777777" w:rsidR="00B13577" w:rsidRDefault="000A350A">
          <w:pPr>
            <w:pStyle w:val="TOC2"/>
            <w:tabs>
              <w:tab w:val="right" w:leader="dot" w:pos="9678"/>
            </w:tabs>
            <w:rPr>
              <w:rFonts w:eastAsiaTheme="minorEastAsia"/>
              <w:noProof/>
              <w:lang w:val="en-US"/>
            </w:rPr>
          </w:pPr>
          <w:hyperlink w:anchor="_Toc91665792" w:history="1">
            <w:r w:rsidR="00B13577" w:rsidRPr="00A114A2">
              <w:rPr>
                <w:rStyle w:val="Hyperlink"/>
                <w:rFonts w:ascii="Times New Roman" w:hAnsi="Times New Roman" w:cs="Times New Roman"/>
                <w:noProof/>
              </w:rPr>
              <w:t>Darba lapa Nr. 4 Ēkas esošā situācija</w:t>
            </w:r>
            <w:r w:rsidR="00B13577">
              <w:rPr>
                <w:noProof/>
                <w:webHidden/>
              </w:rPr>
              <w:tab/>
            </w:r>
            <w:r w:rsidR="00B13577">
              <w:rPr>
                <w:noProof/>
                <w:webHidden/>
              </w:rPr>
              <w:fldChar w:fldCharType="begin"/>
            </w:r>
            <w:r w:rsidR="00B13577">
              <w:rPr>
                <w:noProof/>
                <w:webHidden/>
              </w:rPr>
              <w:instrText xml:space="preserve"> PAGEREF _Toc91665792 \h </w:instrText>
            </w:r>
            <w:r w:rsidR="00B13577">
              <w:rPr>
                <w:noProof/>
                <w:webHidden/>
              </w:rPr>
            </w:r>
            <w:r w:rsidR="00B13577">
              <w:rPr>
                <w:noProof/>
                <w:webHidden/>
              </w:rPr>
              <w:fldChar w:fldCharType="separate"/>
            </w:r>
            <w:r w:rsidR="00B13577">
              <w:rPr>
                <w:noProof/>
                <w:webHidden/>
              </w:rPr>
              <w:t>6</w:t>
            </w:r>
            <w:r w:rsidR="00B13577">
              <w:rPr>
                <w:noProof/>
                <w:webHidden/>
              </w:rPr>
              <w:fldChar w:fldCharType="end"/>
            </w:r>
          </w:hyperlink>
        </w:p>
        <w:p w14:paraId="54B07ED7" w14:textId="77777777" w:rsidR="00B13577" w:rsidRDefault="000A350A">
          <w:pPr>
            <w:pStyle w:val="TOC2"/>
            <w:tabs>
              <w:tab w:val="right" w:leader="dot" w:pos="9678"/>
            </w:tabs>
            <w:rPr>
              <w:rFonts w:eastAsiaTheme="minorEastAsia"/>
              <w:noProof/>
              <w:lang w:val="en-US"/>
            </w:rPr>
          </w:pPr>
          <w:hyperlink w:anchor="_Toc91665793" w:history="1">
            <w:r w:rsidR="00B13577" w:rsidRPr="00A114A2">
              <w:rPr>
                <w:rStyle w:val="Hyperlink"/>
                <w:rFonts w:ascii="Times New Roman" w:hAnsi="Times New Roman" w:cs="Times New Roman"/>
                <w:noProof/>
              </w:rPr>
              <w:t>Darba lapa Nr. 5 Individuālo siltuma maksas sadalītāju (SMS) uzstādīšanas izmaksas</w:t>
            </w:r>
            <w:r w:rsidR="00B13577">
              <w:rPr>
                <w:noProof/>
                <w:webHidden/>
              </w:rPr>
              <w:tab/>
            </w:r>
            <w:r w:rsidR="00B13577">
              <w:rPr>
                <w:noProof/>
                <w:webHidden/>
              </w:rPr>
              <w:fldChar w:fldCharType="begin"/>
            </w:r>
            <w:r w:rsidR="00B13577">
              <w:rPr>
                <w:noProof/>
                <w:webHidden/>
              </w:rPr>
              <w:instrText xml:space="preserve"> PAGEREF _Toc91665793 \h </w:instrText>
            </w:r>
            <w:r w:rsidR="00B13577">
              <w:rPr>
                <w:noProof/>
                <w:webHidden/>
              </w:rPr>
            </w:r>
            <w:r w:rsidR="00B13577">
              <w:rPr>
                <w:noProof/>
                <w:webHidden/>
              </w:rPr>
              <w:fldChar w:fldCharType="separate"/>
            </w:r>
            <w:r w:rsidR="00B13577">
              <w:rPr>
                <w:noProof/>
                <w:webHidden/>
              </w:rPr>
              <w:t>7</w:t>
            </w:r>
            <w:r w:rsidR="00B13577">
              <w:rPr>
                <w:noProof/>
                <w:webHidden/>
              </w:rPr>
              <w:fldChar w:fldCharType="end"/>
            </w:r>
          </w:hyperlink>
        </w:p>
        <w:p w14:paraId="11FEE549" w14:textId="77777777" w:rsidR="00B13577" w:rsidRDefault="000A350A">
          <w:pPr>
            <w:pStyle w:val="TOC2"/>
            <w:tabs>
              <w:tab w:val="right" w:leader="dot" w:pos="9678"/>
            </w:tabs>
            <w:rPr>
              <w:rFonts w:eastAsiaTheme="minorEastAsia"/>
              <w:noProof/>
              <w:lang w:val="en-US"/>
            </w:rPr>
          </w:pPr>
          <w:hyperlink w:anchor="_Toc91665794" w:history="1">
            <w:r w:rsidR="00B13577" w:rsidRPr="00A114A2">
              <w:rPr>
                <w:rStyle w:val="Hyperlink"/>
                <w:rFonts w:ascii="Times New Roman" w:hAnsi="Times New Roman" w:cs="Times New Roman"/>
                <w:noProof/>
              </w:rPr>
              <w:t>Darba lapa Nr. 6 Ekonomiskie aprēķini</w:t>
            </w:r>
            <w:r w:rsidR="00B13577">
              <w:rPr>
                <w:noProof/>
                <w:webHidden/>
              </w:rPr>
              <w:tab/>
            </w:r>
            <w:r w:rsidR="00B13577">
              <w:rPr>
                <w:noProof/>
                <w:webHidden/>
              </w:rPr>
              <w:fldChar w:fldCharType="begin"/>
            </w:r>
            <w:r w:rsidR="00B13577">
              <w:rPr>
                <w:noProof/>
                <w:webHidden/>
              </w:rPr>
              <w:instrText xml:space="preserve"> PAGEREF _Toc91665794 \h </w:instrText>
            </w:r>
            <w:r w:rsidR="00B13577">
              <w:rPr>
                <w:noProof/>
                <w:webHidden/>
              </w:rPr>
            </w:r>
            <w:r w:rsidR="00B13577">
              <w:rPr>
                <w:noProof/>
                <w:webHidden/>
              </w:rPr>
              <w:fldChar w:fldCharType="separate"/>
            </w:r>
            <w:r w:rsidR="00B13577">
              <w:rPr>
                <w:noProof/>
                <w:webHidden/>
              </w:rPr>
              <w:t>9</w:t>
            </w:r>
            <w:r w:rsidR="00B13577">
              <w:rPr>
                <w:noProof/>
                <w:webHidden/>
              </w:rPr>
              <w:fldChar w:fldCharType="end"/>
            </w:r>
          </w:hyperlink>
        </w:p>
        <w:p w14:paraId="7AAED990" w14:textId="77777777" w:rsidR="00B13577" w:rsidRDefault="000A350A">
          <w:pPr>
            <w:pStyle w:val="TOC2"/>
            <w:tabs>
              <w:tab w:val="right" w:leader="dot" w:pos="9678"/>
            </w:tabs>
            <w:rPr>
              <w:rFonts w:eastAsiaTheme="minorEastAsia"/>
              <w:noProof/>
              <w:lang w:val="en-US"/>
            </w:rPr>
          </w:pPr>
          <w:hyperlink w:anchor="_Toc91665795" w:history="1">
            <w:r w:rsidR="00B13577" w:rsidRPr="00A114A2">
              <w:rPr>
                <w:rStyle w:val="Hyperlink"/>
                <w:rFonts w:ascii="Times New Roman" w:hAnsi="Times New Roman" w:cs="Times New Roman"/>
                <w:noProof/>
              </w:rPr>
              <w:t>Pielikums Nr 1.</w:t>
            </w:r>
            <w:r w:rsidR="00B13577">
              <w:rPr>
                <w:noProof/>
                <w:webHidden/>
              </w:rPr>
              <w:tab/>
            </w:r>
            <w:r w:rsidR="00B13577">
              <w:rPr>
                <w:noProof/>
                <w:webHidden/>
              </w:rPr>
              <w:fldChar w:fldCharType="begin"/>
            </w:r>
            <w:r w:rsidR="00B13577">
              <w:rPr>
                <w:noProof/>
                <w:webHidden/>
              </w:rPr>
              <w:instrText xml:space="preserve"> PAGEREF _Toc91665795 \h </w:instrText>
            </w:r>
            <w:r w:rsidR="00B13577">
              <w:rPr>
                <w:noProof/>
                <w:webHidden/>
              </w:rPr>
            </w:r>
            <w:r w:rsidR="00B13577">
              <w:rPr>
                <w:noProof/>
                <w:webHidden/>
              </w:rPr>
              <w:fldChar w:fldCharType="separate"/>
            </w:r>
            <w:r w:rsidR="00B13577">
              <w:rPr>
                <w:noProof/>
                <w:webHidden/>
              </w:rPr>
              <w:t>10</w:t>
            </w:r>
            <w:r w:rsidR="00B13577">
              <w:rPr>
                <w:noProof/>
                <w:webHidden/>
              </w:rPr>
              <w:fldChar w:fldCharType="end"/>
            </w:r>
          </w:hyperlink>
        </w:p>
        <w:p w14:paraId="20DD646C" w14:textId="77777777" w:rsidR="00B13577" w:rsidRDefault="000A350A">
          <w:pPr>
            <w:pStyle w:val="TOC2"/>
            <w:tabs>
              <w:tab w:val="right" w:leader="dot" w:pos="9678"/>
            </w:tabs>
            <w:rPr>
              <w:rFonts w:eastAsiaTheme="minorEastAsia"/>
              <w:noProof/>
              <w:lang w:val="en-US"/>
            </w:rPr>
          </w:pPr>
          <w:hyperlink w:anchor="_Toc91665796" w:history="1">
            <w:r w:rsidR="00B13577" w:rsidRPr="00A114A2">
              <w:rPr>
                <w:rStyle w:val="Hyperlink"/>
                <w:rFonts w:ascii="Times New Roman" w:hAnsi="Times New Roman" w:cs="Times New Roman"/>
                <w:noProof/>
              </w:rPr>
              <w:t>Pielikums Nr. 2</w:t>
            </w:r>
            <w:r w:rsidR="00B13577">
              <w:rPr>
                <w:noProof/>
                <w:webHidden/>
              </w:rPr>
              <w:tab/>
            </w:r>
            <w:r w:rsidR="00B13577">
              <w:rPr>
                <w:noProof/>
                <w:webHidden/>
              </w:rPr>
              <w:fldChar w:fldCharType="begin"/>
            </w:r>
            <w:r w:rsidR="00B13577">
              <w:rPr>
                <w:noProof/>
                <w:webHidden/>
              </w:rPr>
              <w:instrText xml:space="preserve"> PAGEREF _Toc91665796 \h </w:instrText>
            </w:r>
            <w:r w:rsidR="00B13577">
              <w:rPr>
                <w:noProof/>
                <w:webHidden/>
              </w:rPr>
            </w:r>
            <w:r w:rsidR="00B13577">
              <w:rPr>
                <w:noProof/>
                <w:webHidden/>
              </w:rPr>
              <w:fldChar w:fldCharType="separate"/>
            </w:r>
            <w:r w:rsidR="00B13577">
              <w:rPr>
                <w:noProof/>
                <w:webHidden/>
              </w:rPr>
              <w:t>10</w:t>
            </w:r>
            <w:r w:rsidR="00B13577">
              <w:rPr>
                <w:noProof/>
                <w:webHidden/>
              </w:rPr>
              <w:fldChar w:fldCharType="end"/>
            </w:r>
          </w:hyperlink>
        </w:p>
        <w:p w14:paraId="5019A2E0" w14:textId="707F9BAD" w:rsidR="00BA5A22" w:rsidRPr="00D40490" w:rsidRDefault="00BA5A22">
          <w:r w:rsidRPr="00ED5A5D">
            <w:rPr>
              <w:rFonts w:ascii="Times New Roman" w:hAnsi="Times New Roman" w:cs="Times New Roman"/>
              <w:b/>
              <w:bCs/>
            </w:rPr>
            <w:fldChar w:fldCharType="end"/>
          </w:r>
        </w:p>
      </w:sdtContent>
    </w:sdt>
    <w:p w14:paraId="2768FEA3" w14:textId="77777777" w:rsidR="002F1BAC" w:rsidRDefault="002F1BAC">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14:paraId="41C0438F" w14:textId="0E3BCE60" w:rsidR="00434139" w:rsidRDefault="00434139" w:rsidP="008A2F6F">
      <w:pPr>
        <w:pStyle w:val="Heading1"/>
        <w:spacing w:before="0" w:after="240" w:line="240" w:lineRule="auto"/>
        <w:jc w:val="center"/>
        <w:rPr>
          <w:rFonts w:ascii="Times New Roman" w:hAnsi="Times New Roman" w:cs="Times New Roman"/>
          <w:color w:val="000000" w:themeColor="text1"/>
        </w:rPr>
      </w:pPr>
      <w:bookmarkStart w:id="0" w:name="_Toc91665787"/>
      <w:r w:rsidRPr="0091479D">
        <w:rPr>
          <w:rFonts w:ascii="Times New Roman" w:hAnsi="Times New Roman" w:cs="Times New Roman"/>
          <w:color w:val="000000" w:themeColor="text1"/>
        </w:rPr>
        <w:lastRenderedPageBreak/>
        <w:t>Ievads</w:t>
      </w:r>
      <w:bookmarkEnd w:id="0"/>
    </w:p>
    <w:p w14:paraId="7185B6FF" w14:textId="32B7604D" w:rsidR="00434139" w:rsidRPr="00E636AC" w:rsidRDefault="00B44BAB" w:rsidP="008A2F6F">
      <w:pPr>
        <w:spacing w:after="240" w:line="240" w:lineRule="auto"/>
        <w:ind w:firstLine="567"/>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 individuālajiem siltuma maksas sadalītājiem ir izstrādāta</w:t>
      </w:r>
      <w:r>
        <w:rPr>
          <w:rFonts w:ascii="Times New Roman" w:hAnsi="Times New Roman" w:cs="Times New Roman"/>
          <w:color w:val="000000"/>
          <w:sz w:val="24"/>
          <w:szCs w:val="24"/>
        </w:rPr>
        <w:t xml:space="preserve"> saskaņā ar</w:t>
      </w:r>
      <w:r w:rsidRPr="00B44BAB">
        <w:rPr>
          <w:rFonts w:ascii="Times New Roman" w:hAnsi="Times New Roman" w:cs="Times New Roman"/>
          <w:color w:val="000000"/>
          <w:sz w:val="24"/>
          <w:szCs w:val="24"/>
        </w:rPr>
        <w:t xml:space="preserve"> </w:t>
      </w:r>
      <w:r w:rsidR="00434139" w:rsidRPr="00E636AC">
        <w:rPr>
          <w:rFonts w:ascii="Times New Roman" w:hAnsi="Times New Roman" w:cs="Times New Roman"/>
          <w:color w:val="000000"/>
          <w:sz w:val="24"/>
          <w:szCs w:val="24"/>
        </w:rPr>
        <w:t>Ministru kabineta 2020.gada 10.decembra noteikumi</w:t>
      </w:r>
      <w:r>
        <w:rPr>
          <w:rFonts w:ascii="Times New Roman" w:hAnsi="Times New Roman" w:cs="Times New Roman"/>
          <w:color w:val="000000"/>
          <w:sz w:val="24"/>
          <w:szCs w:val="24"/>
        </w:rPr>
        <w:t>em</w:t>
      </w:r>
      <w:r w:rsidR="00434139" w:rsidRPr="00E636AC">
        <w:rPr>
          <w:rFonts w:ascii="Times New Roman" w:hAnsi="Times New Roman" w:cs="Times New Roman"/>
          <w:color w:val="000000"/>
          <w:sz w:val="24"/>
          <w:szCs w:val="24"/>
        </w:rPr>
        <w:t xml:space="preserve"> Nr. 730 “Ekspluatējamu ēku energoefektivitātes minimālās prasības” (turpmāk – MK noteikumi Nr.730). MK noteikumu Nr.730 5.punkts paredz, ka daudzdzīvokļu dzīvojamā mājā patērēto siltumenerģiju uzskaita atsevišķi katrai dzīvojamo un nedzīvojamo telpu grupai. Patērētās siltumenerģijas uzskaitē izmanto attālināti nolasāmus individuālus siltumenerģijas patēriņa skaitītājus (turpmāk arī – skaitītāji) vai individuālus siltuma maksas sadalītājus (turpmāk arī – sadalītāji) katram sildelementam, ja individuālu siltumenerģijas patēriņa skaitītāju uzstādīšana nav tehniski iespējama</w:t>
      </w:r>
      <w:r w:rsidR="00D13A84">
        <w:rPr>
          <w:rFonts w:ascii="Times New Roman" w:hAnsi="Times New Roman" w:cs="Times New Roman"/>
          <w:color w:val="000000"/>
          <w:sz w:val="24"/>
          <w:szCs w:val="24"/>
        </w:rPr>
        <w:t>,</w:t>
      </w:r>
      <w:r w:rsidR="00434139" w:rsidRPr="00E636AC">
        <w:rPr>
          <w:rFonts w:ascii="Times New Roman" w:hAnsi="Times New Roman" w:cs="Times New Roman"/>
          <w:color w:val="000000"/>
          <w:sz w:val="24"/>
          <w:szCs w:val="24"/>
        </w:rPr>
        <w:t xml:space="preserve"> vai nav e</w:t>
      </w:r>
      <w:r w:rsidR="00D13A84">
        <w:rPr>
          <w:rFonts w:ascii="Times New Roman" w:hAnsi="Times New Roman" w:cs="Times New Roman"/>
          <w:color w:val="000000"/>
          <w:sz w:val="24"/>
          <w:szCs w:val="24"/>
        </w:rPr>
        <w:t xml:space="preserve">konomiski pamatota. Atbilstoši </w:t>
      </w:r>
      <w:r w:rsidR="00434139" w:rsidRPr="00E636AC">
        <w:rPr>
          <w:rFonts w:ascii="Times New Roman" w:hAnsi="Times New Roman" w:cs="Times New Roman"/>
          <w:color w:val="000000"/>
          <w:sz w:val="24"/>
          <w:szCs w:val="24"/>
        </w:rPr>
        <w:t>MK noteikumu Nr.730 6.punktam skaitītāju uzstādīšanas tehniskā iespējamība tiek noteikta, izvērtējot, vai tehniski iespējams ar vienu skaitītāju uzskaitīt visā telpu grupā patērēto siltumenerģiju. Savukārt sadalītāju un skaitītāju uzstādīšanas eko</w:t>
      </w:r>
      <w:r w:rsidR="000A1052">
        <w:rPr>
          <w:rFonts w:ascii="Times New Roman" w:hAnsi="Times New Roman" w:cs="Times New Roman"/>
          <w:color w:val="000000"/>
          <w:sz w:val="24"/>
          <w:szCs w:val="24"/>
        </w:rPr>
        <w:t xml:space="preserve">nomiskā pamatojuma noteikšanai </w:t>
      </w:r>
      <w:r w:rsidR="00434139" w:rsidRPr="00E636AC">
        <w:rPr>
          <w:rFonts w:ascii="Times New Roman" w:hAnsi="Times New Roman" w:cs="Times New Roman"/>
          <w:color w:val="000000"/>
          <w:sz w:val="24"/>
          <w:szCs w:val="24"/>
        </w:rPr>
        <w:t>MK noteik</w:t>
      </w:r>
      <w:r w:rsidR="000A1052">
        <w:rPr>
          <w:rFonts w:ascii="Times New Roman" w:hAnsi="Times New Roman" w:cs="Times New Roman"/>
          <w:color w:val="000000"/>
          <w:sz w:val="24"/>
          <w:szCs w:val="24"/>
        </w:rPr>
        <w:t xml:space="preserve">umu Nr.730 7.punkts paredz, ka </w:t>
      </w:r>
      <w:r w:rsidR="00434139" w:rsidRPr="00E636AC">
        <w:rPr>
          <w:rFonts w:ascii="Times New Roman" w:hAnsi="Times New Roman" w:cs="Times New Roman"/>
          <w:color w:val="000000"/>
          <w:sz w:val="24"/>
          <w:szCs w:val="24"/>
        </w:rPr>
        <w:t xml:space="preserve">ekonomisko pamatojumu izvērtē dzīvojamās mājas pārvaldītājs atbilstoši MK noteikumu Nr.730 1. un 2.pielikumā norādītajai sadalītāju un skaitītāju uzstādīšanas ekonomiskā pamatojuma aprēķināšanas metodikai. Papildus Individuālu siltuma maksas sadalītāju vai individuālu siltumenerģijas patēriņa skaitītāju uzstādīšana ir ekonomiski pamatota, ja, piemērojot Valsts kases tīmekļvietnē publicēto pēdējā pieejamā ceturkšņa attiecīgo diskonta likmi ilgtermiņa ieguldījumu patiesās vērtības noteikšanai saimnieciskās darbības veidam "Nekustamais īpašums (vispārīgi)", neto tagadnes vērtība 10 gadu atmaksāšanās periodam ir pozitīva. </w:t>
      </w:r>
    </w:p>
    <w:p w14:paraId="7EE7C656" w14:textId="1F6AEE78" w:rsidR="00821D07" w:rsidRDefault="00821D07" w:rsidP="008A2F6F">
      <w:pPr>
        <w:spacing w:after="240" w:line="240" w:lineRule="auto"/>
        <w:ind w:firstLine="34"/>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 individuālajiem siltuma maksas sadalītājiem</w:t>
      </w:r>
      <w:r w:rsidRPr="00821D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izstrādāta, l</w:t>
      </w:r>
      <w:r w:rsidR="00434139" w:rsidRPr="00E636AC">
        <w:rPr>
          <w:rFonts w:ascii="Times New Roman" w:hAnsi="Times New Roman" w:cs="Times New Roman"/>
          <w:color w:val="000000"/>
          <w:sz w:val="24"/>
          <w:szCs w:val="24"/>
        </w:rPr>
        <w:t xml:space="preserve">ai nodrošinātu MK noteikumu Nr.730 1.pielikumā norādītās metodikas korektu piemērošanu, </w:t>
      </w:r>
      <w:r w:rsidR="005167B0" w:rsidRPr="00E636AC">
        <w:rPr>
          <w:rFonts w:ascii="Times New Roman" w:hAnsi="Times New Roman" w:cs="Times New Roman"/>
          <w:color w:val="000000"/>
          <w:sz w:val="24"/>
          <w:szCs w:val="24"/>
        </w:rPr>
        <w:t>vienlaikus</w:t>
      </w:r>
      <w:r w:rsidR="00434139" w:rsidRPr="00E636AC">
        <w:rPr>
          <w:rFonts w:ascii="Times New Roman" w:hAnsi="Times New Roman" w:cs="Times New Roman"/>
          <w:color w:val="000000"/>
          <w:sz w:val="24"/>
          <w:szCs w:val="24"/>
        </w:rPr>
        <w:t xml:space="preserve"> atvieglojot procesu, kādā dzīvojamo māju pārvaldītājiem jāveic sadalītāju uzstādīšanas ekonomiskā pamatojuma aprēķini</w:t>
      </w:r>
      <w:r>
        <w:rPr>
          <w:rFonts w:ascii="Times New Roman" w:hAnsi="Times New Roman" w:cs="Times New Roman"/>
          <w:color w:val="000000"/>
          <w:sz w:val="24"/>
          <w:szCs w:val="24"/>
        </w:rPr>
        <w:t>.</w:t>
      </w:r>
    </w:p>
    <w:p w14:paraId="31CA50F2" w14:textId="6ECAAFA8" w:rsidR="00434139" w:rsidRDefault="00821D07" w:rsidP="008A2F6F">
      <w:pPr>
        <w:spacing w:after="240" w:line="240" w:lineRule="auto"/>
        <w:ind w:firstLine="34"/>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w:t>
      </w:r>
      <w:r w:rsidR="00434139" w:rsidRPr="00E636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veidota, kā</w:t>
      </w:r>
      <w:r w:rsidRPr="00821D07">
        <w:rPr>
          <w:rFonts w:ascii="Times New Roman" w:hAnsi="Times New Roman" w:cs="Times New Roman"/>
          <w:color w:val="000000"/>
          <w:sz w:val="24"/>
          <w:szCs w:val="24"/>
        </w:rPr>
        <w:t xml:space="preserve"> parocīg</w:t>
      </w:r>
      <w:r>
        <w:rPr>
          <w:rFonts w:ascii="Times New Roman" w:hAnsi="Times New Roman" w:cs="Times New Roman"/>
          <w:color w:val="000000"/>
          <w:sz w:val="24"/>
          <w:szCs w:val="24"/>
        </w:rPr>
        <w:t>s</w:t>
      </w:r>
      <w:r w:rsidRPr="00821D07">
        <w:rPr>
          <w:rFonts w:ascii="Times New Roman" w:hAnsi="Times New Roman" w:cs="Times New Roman"/>
          <w:color w:val="000000"/>
          <w:sz w:val="24"/>
          <w:szCs w:val="24"/>
        </w:rPr>
        <w:t xml:space="preserve"> un viegli lietojam</w:t>
      </w:r>
      <w:r>
        <w:rPr>
          <w:rFonts w:ascii="Times New Roman" w:hAnsi="Times New Roman" w:cs="Times New Roman"/>
          <w:color w:val="000000"/>
          <w:sz w:val="24"/>
          <w:szCs w:val="24"/>
        </w:rPr>
        <w:t>s</w:t>
      </w:r>
      <w:r w:rsidR="00434139" w:rsidRPr="00E636AC">
        <w:rPr>
          <w:rFonts w:ascii="Times New Roman" w:hAnsi="Times New Roman" w:cs="Times New Roman"/>
          <w:color w:val="000000"/>
          <w:sz w:val="24"/>
          <w:szCs w:val="24"/>
        </w:rPr>
        <w:t xml:space="preserve"> ekonomiskā pamato</w:t>
      </w:r>
      <w:r w:rsidRPr="00821D07">
        <w:rPr>
          <w:rFonts w:ascii="Times New Roman" w:hAnsi="Times New Roman" w:cs="Times New Roman"/>
          <w:color w:val="000000"/>
          <w:sz w:val="24"/>
          <w:szCs w:val="24"/>
        </w:rPr>
        <w:t>juma aprēķin</w:t>
      </w:r>
      <w:r>
        <w:rPr>
          <w:rFonts w:ascii="Times New Roman" w:hAnsi="Times New Roman" w:cs="Times New Roman"/>
          <w:color w:val="000000"/>
          <w:sz w:val="24"/>
          <w:szCs w:val="24"/>
        </w:rPr>
        <w:t>a</w:t>
      </w:r>
      <w:r w:rsidRPr="00821D07">
        <w:rPr>
          <w:rFonts w:ascii="Times New Roman" w:hAnsi="Times New Roman" w:cs="Times New Roman"/>
          <w:color w:val="000000"/>
          <w:sz w:val="24"/>
          <w:szCs w:val="24"/>
        </w:rPr>
        <w:t xml:space="preserve"> veikšanas rīk</w:t>
      </w:r>
      <w:r>
        <w:rPr>
          <w:rFonts w:ascii="Times New Roman" w:hAnsi="Times New Roman" w:cs="Times New Roman"/>
          <w:color w:val="000000"/>
          <w:sz w:val="24"/>
          <w:szCs w:val="24"/>
        </w:rPr>
        <w:t>s</w:t>
      </w:r>
      <w:r w:rsidRPr="00821D07">
        <w:rPr>
          <w:rFonts w:ascii="Times New Roman" w:hAnsi="Times New Roman" w:cs="Times New Roman"/>
          <w:color w:val="000000"/>
          <w:sz w:val="24"/>
          <w:szCs w:val="24"/>
        </w:rPr>
        <w:t>. Papildus ir izstrādā</w:t>
      </w:r>
      <w:r>
        <w:rPr>
          <w:rFonts w:ascii="Times New Roman" w:hAnsi="Times New Roman" w:cs="Times New Roman"/>
          <w:color w:val="000000"/>
          <w:sz w:val="24"/>
          <w:szCs w:val="24"/>
        </w:rPr>
        <w:t>ti</w:t>
      </w:r>
      <w:r w:rsidR="00434139" w:rsidRPr="00E636AC">
        <w:rPr>
          <w:rFonts w:ascii="Times New Roman" w:hAnsi="Times New Roman" w:cs="Times New Roman"/>
          <w:color w:val="000000"/>
          <w:sz w:val="24"/>
          <w:szCs w:val="24"/>
        </w:rPr>
        <w:t xml:space="preserve"> metodiskie norādījumi, kas satur saprotamu un viegli uztveramu skaidrojumu, kā lietojama Elek</w:t>
      </w:r>
      <w:r w:rsidR="000E026C" w:rsidRPr="000E026C">
        <w:rPr>
          <w:rFonts w:ascii="Times New Roman" w:hAnsi="Times New Roman" w:cs="Times New Roman"/>
          <w:color w:val="000000"/>
          <w:sz w:val="24"/>
          <w:szCs w:val="24"/>
        </w:rPr>
        <w:t>troniskā novērtēšanas veidlapa.</w:t>
      </w:r>
    </w:p>
    <w:p w14:paraId="07FF7F23" w14:textId="09DBC2B7" w:rsidR="00434139" w:rsidRPr="005E609A" w:rsidRDefault="000E026C" w:rsidP="008A2F6F">
      <w:pPr>
        <w:spacing w:after="240" w:line="240"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Elektroniskā novērtēšanas veidlapa paredzēta ēku un dzīvokļu īpašniekiem, pārvaldniekiem un citiem, kuri saistīti ar i</w:t>
      </w:r>
      <w:r w:rsidRPr="00D40AEB">
        <w:rPr>
          <w:rFonts w:ascii="Times New Roman" w:hAnsi="Times New Roman" w:cs="Times New Roman"/>
          <w:color w:val="000000"/>
          <w:sz w:val="24"/>
          <w:szCs w:val="24"/>
        </w:rPr>
        <w:t>ndividuālu siltuma maksas sadalītāju uzstādīšan</w:t>
      </w:r>
      <w:r>
        <w:rPr>
          <w:rFonts w:ascii="Times New Roman" w:hAnsi="Times New Roman" w:cs="Times New Roman"/>
          <w:color w:val="000000"/>
          <w:sz w:val="24"/>
          <w:szCs w:val="24"/>
        </w:rPr>
        <w:t>u un izmantošanu.</w:t>
      </w:r>
    </w:p>
    <w:p w14:paraId="028A521B" w14:textId="25F08B84" w:rsidR="00B137FB" w:rsidRPr="00D40490" w:rsidRDefault="00B137FB" w:rsidP="008A2F6F">
      <w:pPr>
        <w:pStyle w:val="Heading1"/>
        <w:spacing w:before="0" w:after="240" w:line="240" w:lineRule="auto"/>
        <w:jc w:val="center"/>
        <w:rPr>
          <w:rFonts w:ascii="Times New Roman" w:hAnsi="Times New Roman" w:cs="Times New Roman"/>
          <w:color w:val="000000" w:themeColor="text1"/>
        </w:rPr>
      </w:pPr>
      <w:bookmarkStart w:id="1" w:name="_Toc91665788"/>
      <w:r w:rsidRPr="00D40490">
        <w:rPr>
          <w:rFonts w:ascii="Times New Roman" w:hAnsi="Times New Roman" w:cs="Times New Roman"/>
          <w:color w:val="000000" w:themeColor="text1"/>
        </w:rPr>
        <w:t>Metodiskie norādījumi individuāl</w:t>
      </w:r>
      <w:r w:rsidR="005C195D">
        <w:rPr>
          <w:rFonts w:ascii="Times New Roman" w:hAnsi="Times New Roman" w:cs="Times New Roman"/>
          <w:color w:val="000000" w:themeColor="text1"/>
        </w:rPr>
        <w:t>o</w:t>
      </w:r>
      <w:r w:rsidRPr="00D40490">
        <w:rPr>
          <w:rFonts w:ascii="Times New Roman" w:hAnsi="Times New Roman" w:cs="Times New Roman"/>
          <w:color w:val="000000" w:themeColor="text1"/>
        </w:rPr>
        <w:t xml:space="preserve"> siltuma maksas sadalītāj</w:t>
      </w:r>
      <w:r w:rsidR="005C195D">
        <w:rPr>
          <w:rFonts w:ascii="Times New Roman" w:hAnsi="Times New Roman" w:cs="Times New Roman"/>
          <w:color w:val="000000" w:themeColor="text1"/>
        </w:rPr>
        <w:t>u uzstādīšanas ekonomiskā pamatojuma novērtēšanas veidlapu pielietošanai</w:t>
      </w:r>
      <w:bookmarkEnd w:id="1"/>
    </w:p>
    <w:p w14:paraId="37D6A541" w14:textId="6F3B48BD" w:rsidR="00B137FB" w:rsidRPr="00D40490" w:rsidRDefault="00B137FB" w:rsidP="008A2F6F">
      <w:pPr>
        <w:spacing w:after="24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Elektroniskā novērtēšanas veidlapa individuālajiem siltuma maksas sadalītājiem ir izstrādāta Microsoft Excel formātā un sastāv no </w:t>
      </w:r>
      <w:r w:rsidR="005167B0">
        <w:rPr>
          <w:rFonts w:ascii="Times New Roman" w:hAnsi="Times New Roman" w:cs="Times New Roman"/>
          <w:color w:val="000000"/>
          <w:sz w:val="24"/>
          <w:szCs w:val="24"/>
        </w:rPr>
        <w:t>s</w:t>
      </w:r>
      <w:r w:rsidR="00604C0B">
        <w:rPr>
          <w:rFonts w:ascii="Times New Roman" w:hAnsi="Times New Roman" w:cs="Times New Roman"/>
          <w:color w:val="000000"/>
          <w:sz w:val="24"/>
          <w:szCs w:val="24"/>
        </w:rPr>
        <w:t>ešām</w:t>
      </w:r>
      <w:r w:rsidRPr="00D40490">
        <w:rPr>
          <w:rFonts w:ascii="Times New Roman" w:hAnsi="Times New Roman" w:cs="Times New Roman"/>
          <w:color w:val="000000"/>
          <w:sz w:val="24"/>
          <w:szCs w:val="24"/>
        </w:rPr>
        <w:t xml:space="preserve"> darba lapām:</w:t>
      </w:r>
    </w:p>
    <w:p w14:paraId="30366860" w14:textId="3B008B00" w:rsidR="00604C0B" w:rsidRDefault="00604C0B"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Ievads</w:t>
      </w:r>
    </w:p>
    <w:p w14:paraId="408E878E" w14:textId="3D627870" w:rsidR="00B137FB" w:rsidRDefault="00344754"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Ēkas</w:t>
      </w:r>
      <w:r w:rsidRPr="00D40490">
        <w:rPr>
          <w:rFonts w:ascii="Times New Roman" w:hAnsi="Times New Roman"/>
          <w:color w:val="000000"/>
          <w:sz w:val="24"/>
          <w:szCs w:val="24"/>
          <w:lang w:val="lv-LV"/>
        </w:rPr>
        <w:t xml:space="preserve"> </w:t>
      </w:r>
      <w:r w:rsidR="00B137FB" w:rsidRPr="00D40490">
        <w:rPr>
          <w:rFonts w:ascii="Times New Roman" w:hAnsi="Times New Roman"/>
          <w:color w:val="000000"/>
          <w:sz w:val="24"/>
          <w:szCs w:val="24"/>
          <w:lang w:val="lv-LV"/>
        </w:rPr>
        <w:t>apraksts</w:t>
      </w:r>
    </w:p>
    <w:p w14:paraId="609084F8" w14:textId="5E251536" w:rsidR="00604C0B" w:rsidRPr="00D40490" w:rsidRDefault="00604C0B"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Enerģijas patēriņa dati</w:t>
      </w:r>
    </w:p>
    <w:p w14:paraId="36F31D5E" w14:textId="77777777" w:rsidR="00B137FB" w:rsidRPr="00D40490" w:rsidRDefault="00B137FB" w:rsidP="008A2F6F">
      <w:pPr>
        <w:pStyle w:val="ListParagraph"/>
        <w:numPr>
          <w:ilvl w:val="0"/>
          <w:numId w:val="2"/>
        </w:numPr>
        <w:spacing w:after="200"/>
        <w:ind w:left="714" w:hanging="357"/>
        <w:jc w:val="both"/>
        <w:rPr>
          <w:rFonts w:ascii="Times New Roman" w:hAnsi="Times New Roman"/>
          <w:color w:val="000000"/>
          <w:sz w:val="24"/>
          <w:szCs w:val="24"/>
          <w:lang w:val="lv-LV"/>
        </w:rPr>
      </w:pPr>
      <w:r w:rsidRPr="00D40490">
        <w:rPr>
          <w:rFonts w:ascii="Times New Roman" w:hAnsi="Times New Roman"/>
          <w:color w:val="000000"/>
          <w:sz w:val="24"/>
          <w:szCs w:val="24"/>
          <w:lang w:val="lv-LV"/>
        </w:rPr>
        <w:t>Ēkas esošā situācija</w:t>
      </w:r>
    </w:p>
    <w:p w14:paraId="27BA5D44" w14:textId="57CAD1DF" w:rsidR="00B137FB" w:rsidRPr="00D40490" w:rsidRDefault="001C5E9D"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Individuālo s</w:t>
      </w:r>
      <w:r w:rsidR="00B137FB" w:rsidRPr="00D40490">
        <w:rPr>
          <w:rFonts w:ascii="Times New Roman" w:hAnsi="Times New Roman"/>
          <w:color w:val="000000"/>
          <w:sz w:val="24"/>
          <w:szCs w:val="24"/>
          <w:lang w:val="lv-LV"/>
        </w:rPr>
        <w:t>iltuma maksas sadalītāju (SMS) uzstādīšanas izmaksas</w:t>
      </w:r>
    </w:p>
    <w:p w14:paraId="3398C36F" w14:textId="77777777" w:rsidR="00BA5A22" w:rsidRPr="00D40490" w:rsidRDefault="00B137FB" w:rsidP="008A2F6F">
      <w:pPr>
        <w:pStyle w:val="ListParagraph"/>
        <w:numPr>
          <w:ilvl w:val="0"/>
          <w:numId w:val="2"/>
        </w:numPr>
        <w:spacing w:after="200"/>
        <w:ind w:left="714" w:hanging="357"/>
        <w:jc w:val="both"/>
        <w:rPr>
          <w:rFonts w:ascii="Times New Roman" w:hAnsi="Times New Roman"/>
          <w:color w:val="000000"/>
          <w:sz w:val="24"/>
          <w:szCs w:val="24"/>
          <w:lang w:val="lv-LV"/>
        </w:rPr>
      </w:pPr>
      <w:r w:rsidRPr="00D40490">
        <w:rPr>
          <w:rFonts w:ascii="Times New Roman" w:hAnsi="Times New Roman"/>
          <w:color w:val="000000"/>
          <w:sz w:val="24"/>
          <w:szCs w:val="24"/>
          <w:lang w:val="lv-LV"/>
        </w:rPr>
        <w:t>Ekonomiskie aprēķini</w:t>
      </w:r>
    </w:p>
    <w:p w14:paraId="084513F1" w14:textId="46A6CFC6" w:rsidR="00044D0F" w:rsidRPr="0091479D" w:rsidRDefault="00044D0F" w:rsidP="0091479D">
      <w:pPr>
        <w:pStyle w:val="Heading2"/>
        <w:spacing w:before="0" w:after="120" w:line="240" w:lineRule="auto"/>
        <w:rPr>
          <w:rFonts w:ascii="Times New Roman" w:hAnsi="Times New Roman" w:cs="Times New Roman"/>
          <w:color w:val="000000" w:themeColor="text1"/>
          <w:sz w:val="24"/>
          <w:szCs w:val="24"/>
        </w:rPr>
      </w:pPr>
      <w:bookmarkStart w:id="2" w:name="_Toc91665789"/>
      <w:r w:rsidRPr="0091479D">
        <w:rPr>
          <w:rFonts w:ascii="Times New Roman" w:hAnsi="Times New Roman" w:cs="Times New Roman"/>
          <w:color w:val="000000" w:themeColor="text1"/>
          <w:sz w:val="24"/>
          <w:szCs w:val="24"/>
        </w:rPr>
        <w:lastRenderedPageBreak/>
        <w:t>Darba lapa Nr. 1 Ievads</w:t>
      </w:r>
      <w:bookmarkEnd w:id="2"/>
    </w:p>
    <w:p w14:paraId="2FAACDD2" w14:textId="7BC28E3B" w:rsidR="00044D0F" w:rsidRPr="00E636AC" w:rsidRDefault="00044D0F" w:rsidP="00E636AC">
      <w:r w:rsidRPr="00D40490">
        <w:rPr>
          <w:rFonts w:ascii="Times New Roman" w:hAnsi="Times New Roman" w:cs="Times New Roman"/>
          <w:color w:val="000000"/>
          <w:sz w:val="24"/>
          <w:szCs w:val="24"/>
        </w:rPr>
        <w:t>Elektroniskā</w:t>
      </w:r>
      <w:r>
        <w:rPr>
          <w:rFonts w:ascii="Times New Roman" w:hAnsi="Times New Roman" w:cs="Times New Roman"/>
          <w:color w:val="000000"/>
          <w:sz w:val="24"/>
          <w:szCs w:val="24"/>
        </w:rPr>
        <w:t>s</w:t>
      </w:r>
      <w:r w:rsidRPr="00D40490">
        <w:rPr>
          <w:rFonts w:ascii="Times New Roman" w:hAnsi="Times New Roman" w:cs="Times New Roman"/>
          <w:color w:val="000000"/>
          <w:sz w:val="24"/>
          <w:szCs w:val="24"/>
        </w:rPr>
        <w:t xml:space="preserve"> novērtēšanas veidlap</w:t>
      </w:r>
      <w:r>
        <w:rPr>
          <w:rFonts w:ascii="Times New Roman" w:hAnsi="Times New Roman" w:cs="Times New Roman"/>
          <w:color w:val="000000"/>
          <w:sz w:val="24"/>
          <w:szCs w:val="24"/>
        </w:rPr>
        <w:t>as pirmajā darba lapā sniegta vispārējā informācija un saistīb</w:t>
      </w:r>
      <w:r w:rsidR="005C195D">
        <w:rPr>
          <w:rFonts w:ascii="Times New Roman" w:hAnsi="Times New Roman" w:cs="Times New Roman"/>
          <w:color w:val="000000"/>
          <w:sz w:val="24"/>
          <w:szCs w:val="24"/>
        </w:rPr>
        <w:t>a</w:t>
      </w:r>
      <w:r>
        <w:rPr>
          <w:rFonts w:ascii="Times New Roman" w:hAnsi="Times New Roman" w:cs="Times New Roman"/>
          <w:color w:val="000000"/>
          <w:sz w:val="24"/>
          <w:szCs w:val="24"/>
        </w:rPr>
        <w:t xml:space="preserve"> ar normatīvajiem </w:t>
      </w:r>
      <w:r w:rsidR="005C195D">
        <w:rPr>
          <w:rFonts w:ascii="Times New Roman" w:hAnsi="Times New Roman" w:cs="Times New Roman"/>
          <w:color w:val="000000"/>
          <w:sz w:val="24"/>
          <w:szCs w:val="24"/>
        </w:rPr>
        <w:t>aktiem</w:t>
      </w:r>
      <w:r>
        <w:rPr>
          <w:rFonts w:ascii="Times New Roman" w:hAnsi="Times New Roman" w:cs="Times New Roman"/>
          <w:color w:val="000000"/>
          <w:sz w:val="24"/>
          <w:szCs w:val="24"/>
        </w:rPr>
        <w:t>.</w:t>
      </w:r>
    </w:p>
    <w:p w14:paraId="57E799B8" w14:textId="1E8A45CE" w:rsidR="00B137FB" w:rsidRPr="00D40490" w:rsidRDefault="00B137FB" w:rsidP="002D05AF">
      <w:pPr>
        <w:pStyle w:val="Heading2"/>
        <w:spacing w:before="0" w:after="120" w:line="240" w:lineRule="auto"/>
        <w:rPr>
          <w:rFonts w:ascii="Times New Roman" w:hAnsi="Times New Roman" w:cs="Times New Roman"/>
          <w:color w:val="000000" w:themeColor="text1"/>
          <w:sz w:val="24"/>
          <w:szCs w:val="24"/>
        </w:rPr>
      </w:pPr>
      <w:bookmarkStart w:id="3" w:name="_Toc91665790"/>
      <w:r w:rsidRPr="00D40490">
        <w:rPr>
          <w:rFonts w:ascii="Times New Roman" w:hAnsi="Times New Roman" w:cs="Times New Roman"/>
          <w:color w:val="000000" w:themeColor="text1"/>
          <w:sz w:val="24"/>
          <w:szCs w:val="24"/>
        </w:rPr>
        <w:t xml:space="preserve">Darba lapa Nr. </w:t>
      </w:r>
      <w:r w:rsidR="00044D0F">
        <w:rPr>
          <w:rFonts w:ascii="Times New Roman" w:hAnsi="Times New Roman" w:cs="Times New Roman"/>
          <w:color w:val="000000" w:themeColor="text1"/>
          <w:sz w:val="24"/>
          <w:szCs w:val="24"/>
        </w:rPr>
        <w:t>2</w:t>
      </w:r>
      <w:r w:rsidR="00044D0F" w:rsidRPr="00D40490">
        <w:rPr>
          <w:rFonts w:ascii="Times New Roman" w:hAnsi="Times New Roman" w:cs="Times New Roman"/>
          <w:color w:val="000000" w:themeColor="text1"/>
          <w:sz w:val="24"/>
          <w:szCs w:val="24"/>
        </w:rPr>
        <w:t xml:space="preserve"> </w:t>
      </w:r>
      <w:r w:rsidR="00B13577">
        <w:rPr>
          <w:rFonts w:ascii="Times New Roman" w:hAnsi="Times New Roman" w:cs="Times New Roman"/>
          <w:color w:val="000000" w:themeColor="text1"/>
          <w:sz w:val="24"/>
          <w:szCs w:val="24"/>
        </w:rPr>
        <w:t xml:space="preserve">Ēkas </w:t>
      </w:r>
      <w:r w:rsidRPr="00D40490">
        <w:rPr>
          <w:rFonts w:ascii="Times New Roman" w:hAnsi="Times New Roman" w:cs="Times New Roman"/>
          <w:color w:val="000000" w:themeColor="text1"/>
          <w:sz w:val="24"/>
          <w:szCs w:val="24"/>
        </w:rPr>
        <w:t>apraksts</w:t>
      </w:r>
      <w:bookmarkEnd w:id="3"/>
    </w:p>
    <w:p w14:paraId="5F606B6C" w14:textId="77777777" w:rsidR="008A17ED" w:rsidRDefault="00B137FB"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Šajā darba lapā tiek norādīta visa nepieciešamā informācija saistībā ar ēku </w:t>
      </w:r>
      <w:r w:rsidR="008A17ED">
        <w:rPr>
          <w:rFonts w:ascii="Times New Roman" w:hAnsi="Times New Roman" w:cs="Times New Roman"/>
          <w:color w:val="000000"/>
          <w:sz w:val="24"/>
          <w:szCs w:val="24"/>
        </w:rPr>
        <w:t>un tās ģeometriju.</w:t>
      </w:r>
    </w:p>
    <w:p w14:paraId="6B010FD8" w14:textId="1105F3B1" w:rsidR="00B137FB" w:rsidRPr="00D40490" w:rsidRDefault="00B137FB"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Darba lapā ir divas sadaļas pamatinformācija un ekonomiskie dati.</w:t>
      </w:r>
    </w:p>
    <w:p w14:paraId="22C9AFCE" w14:textId="77777777" w:rsidR="00B137FB"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Pamatinformācij</w:t>
      </w:r>
      <w:r w:rsidR="002D05AF">
        <w:rPr>
          <w:rFonts w:ascii="Times New Roman" w:hAnsi="Times New Roman" w:cs="Times New Roman"/>
          <w:b/>
          <w:color w:val="000000"/>
          <w:sz w:val="24"/>
          <w:szCs w:val="24"/>
        </w:rPr>
        <w:t xml:space="preserve">ā tiek iekļauti sekojoši dati </w:t>
      </w:r>
    </w:p>
    <w:tbl>
      <w:tblPr>
        <w:tblStyle w:val="TableGrid"/>
        <w:tblW w:w="0" w:type="auto"/>
        <w:jc w:val="center"/>
        <w:tblLook w:val="04A0" w:firstRow="1" w:lastRow="0" w:firstColumn="1" w:lastColumn="0" w:noHBand="0" w:noVBand="1"/>
      </w:tblPr>
      <w:tblGrid>
        <w:gridCol w:w="4820"/>
        <w:gridCol w:w="4858"/>
      </w:tblGrid>
      <w:tr w:rsidR="00BA5A22" w:rsidRPr="00D40490" w14:paraId="2C398234" w14:textId="77777777" w:rsidTr="001064BF">
        <w:trPr>
          <w:trHeight w:val="513"/>
          <w:jc w:val="center"/>
        </w:trPr>
        <w:tc>
          <w:tcPr>
            <w:tcW w:w="4952" w:type="dxa"/>
            <w:vAlign w:val="center"/>
          </w:tcPr>
          <w:p w14:paraId="2E6A3FB0"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3D1A1236"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5E609A" w:rsidRPr="00D40490" w14:paraId="306BF24E" w14:textId="77777777" w:rsidTr="00D40490">
        <w:trPr>
          <w:trHeight w:val="839"/>
          <w:jc w:val="center"/>
        </w:trPr>
        <w:tc>
          <w:tcPr>
            <w:tcW w:w="4952" w:type="dxa"/>
            <w:vAlign w:val="center"/>
          </w:tcPr>
          <w:p w14:paraId="0D91B774" w14:textId="4B1AABF1" w:rsidR="005E609A" w:rsidRPr="00D40490" w:rsidRDefault="005E609A"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adrese</w:t>
            </w:r>
            <w:r w:rsidR="00E15879">
              <w:rPr>
                <w:rFonts w:ascii="Times New Roman" w:hAnsi="Times New Roman" w:cs="Times New Roman"/>
                <w:color w:val="000000"/>
                <w:sz w:val="24"/>
                <w:szCs w:val="24"/>
              </w:rPr>
              <w:t xml:space="preserve"> (novads, pilsēta, ielas nosaukums, nr.)</w:t>
            </w:r>
          </w:p>
        </w:tc>
        <w:tc>
          <w:tcPr>
            <w:tcW w:w="4952" w:type="dxa"/>
            <w:vAlign w:val="center"/>
          </w:tcPr>
          <w:p w14:paraId="2A378EBF" w14:textId="599CE7D8" w:rsidR="005E609A" w:rsidRPr="00D40490" w:rsidRDefault="005E609A"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norāda ēkas adresi</w:t>
            </w:r>
            <w:r>
              <w:rPr>
                <w:rFonts w:ascii="Times New Roman" w:hAnsi="Times New Roman" w:cs="Times New Roman"/>
                <w:color w:val="000000"/>
                <w:sz w:val="24"/>
                <w:szCs w:val="24"/>
              </w:rPr>
              <w:t xml:space="preserve"> var atrast </w:t>
            </w:r>
            <w:r w:rsidR="006829CB">
              <w:rPr>
                <w:rFonts w:ascii="Times New Roman" w:hAnsi="Times New Roman" w:cs="Times New Roman"/>
                <w:color w:val="000000"/>
                <w:sz w:val="24"/>
                <w:szCs w:val="24"/>
              </w:rPr>
              <w:t xml:space="preserve">būves </w:t>
            </w:r>
            <w:r w:rsidRPr="005E609A">
              <w:rPr>
                <w:rFonts w:ascii="Times New Roman" w:hAnsi="Times New Roman" w:cs="Times New Roman"/>
                <w:color w:val="000000"/>
                <w:sz w:val="24"/>
                <w:szCs w:val="24"/>
              </w:rPr>
              <w:t>kadastrālās uzmērīšanas lietā</w:t>
            </w:r>
          </w:p>
        </w:tc>
      </w:tr>
      <w:tr w:rsidR="00BA5A22" w:rsidRPr="00D40490" w14:paraId="1635AC62" w14:textId="77777777" w:rsidTr="00D40490">
        <w:trPr>
          <w:trHeight w:val="839"/>
          <w:jc w:val="center"/>
        </w:trPr>
        <w:tc>
          <w:tcPr>
            <w:tcW w:w="4952" w:type="dxa"/>
            <w:vAlign w:val="center"/>
          </w:tcPr>
          <w:p w14:paraId="5199E36D"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Pasta indekss</w:t>
            </w:r>
          </w:p>
        </w:tc>
        <w:tc>
          <w:tcPr>
            <w:tcW w:w="4952" w:type="dxa"/>
            <w:vAlign w:val="center"/>
          </w:tcPr>
          <w:p w14:paraId="17B6B1E8"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norāda pasta indeksu,</w:t>
            </w:r>
          </w:p>
          <w:p w14:paraId="56D3CB93" w14:textId="73772B66" w:rsidR="00BA5A22" w:rsidRPr="008A2F6F" w:rsidRDefault="00D40490"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informāciju </w:t>
            </w:r>
            <w:r w:rsidR="00BA5A22" w:rsidRPr="00D40490">
              <w:rPr>
                <w:rFonts w:ascii="Times New Roman" w:hAnsi="Times New Roman" w:cs="Times New Roman"/>
                <w:color w:val="000000"/>
                <w:sz w:val="24"/>
                <w:szCs w:val="24"/>
              </w:rPr>
              <w:t>var atrast</w:t>
            </w:r>
            <w:r w:rsidR="006829CB">
              <w:rPr>
                <w:rFonts w:ascii="Times New Roman" w:hAnsi="Times New Roman" w:cs="Times New Roman"/>
                <w:color w:val="000000"/>
                <w:sz w:val="24"/>
                <w:szCs w:val="24"/>
              </w:rPr>
              <w:t>:</w:t>
            </w:r>
            <w:r w:rsidR="00BA5A22" w:rsidRPr="00D40490">
              <w:rPr>
                <w:rFonts w:ascii="Times New Roman" w:hAnsi="Times New Roman" w:cs="Times New Roman"/>
                <w:color w:val="000000"/>
                <w:sz w:val="24"/>
                <w:szCs w:val="24"/>
              </w:rPr>
              <w:t xml:space="preserve"> https://pastaindekss.lv/lv/</w:t>
            </w:r>
          </w:p>
        </w:tc>
      </w:tr>
      <w:tr w:rsidR="00BA5A22" w:rsidRPr="00D40490" w14:paraId="3BCE8DA9" w14:textId="77777777" w:rsidTr="00D13A84">
        <w:trPr>
          <w:trHeight w:val="823"/>
          <w:jc w:val="center"/>
        </w:trPr>
        <w:tc>
          <w:tcPr>
            <w:tcW w:w="4952" w:type="dxa"/>
            <w:vAlign w:val="center"/>
          </w:tcPr>
          <w:p w14:paraId="2422E73F"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Būves kadastra apzīmējums </w:t>
            </w:r>
          </w:p>
        </w:tc>
        <w:tc>
          <w:tcPr>
            <w:tcW w:w="4952" w:type="dxa"/>
            <w:vAlign w:val="center"/>
          </w:tcPr>
          <w:p w14:paraId="6A0E25D7" w14:textId="25CE8A1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būves kadastra apzīmējumu, </w:t>
            </w:r>
            <w:r w:rsidR="00D40490" w:rsidRPr="00D40490">
              <w:rPr>
                <w:rFonts w:ascii="Times New Roman" w:hAnsi="Times New Roman" w:cs="Times New Roman"/>
                <w:color w:val="000000"/>
                <w:sz w:val="24"/>
                <w:szCs w:val="24"/>
              </w:rPr>
              <w:t xml:space="preserve">informāciju </w:t>
            </w:r>
            <w:r w:rsidRPr="00D40490">
              <w:rPr>
                <w:rFonts w:ascii="Times New Roman" w:hAnsi="Times New Roman" w:cs="Times New Roman"/>
                <w:color w:val="000000"/>
                <w:sz w:val="24"/>
                <w:szCs w:val="24"/>
              </w:rPr>
              <w:t>var atrast</w:t>
            </w:r>
            <w:r w:rsidR="006829CB">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https://www.kadastrs.lv/</w:t>
            </w:r>
          </w:p>
        </w:tc>
      </w:tr>
      <w:tr w:rsidR="00BA5A22" w:rsidRPr="00D40490" w14:paraId="7499A752" w14:textId="77777777" w:rsidTr="00D40490">
        <w:trPr>
          <w:trHeight w:val="704"/>
          <w:jc w:val="center"/>
        </w:trPr>
        <w:tc>
          <w:tcPr>
            <w:tcW w:w="4952" w:type="dxa"/>
            <w:vAlign w:val="center"/>
          </w:tcPr>
          <w:p w14:paraId="7E1D5D17"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klasifikācija</w:t>
            </w:r>
          </w:p>
        </w:tc>
        <w:tc>
          <w:tcPr>
            <w:tcW w:w="4952" w:type="dxa"/>
            <w:vAlign w:val="center"/>
          </w:tcPr>
          <w:p w14:paraId="47892D3F"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norāda dzīvojamā vai nedzīvojamā ēka</w:t>
            </w:r>
          </w:p>
        </w:tc>
      </w:tr>
      <w:tr w:rsidR="00B13577" w:rsidRPr="00D40490" w14:paraId="6DB987B4" w14:textId="77777777" w:rsidTr="001E5653">
        <w:trPr>
          <w:trHeight w:val="2136"/>
          <w:jc w:val="center"/>
        </w:trPr>
        <w:tc>
          <w:tcPr>
            <w:tcW w:w="4952" w:type="dxa"/>
            <w:vAlign w:val="center"/>
          </w:tcPr>
          <w:p w14:paraId="45B4E209" w14:textId="675616C8" w:rsidR="00B13577" w:rsidRPr="008A2F6F" w:rsidRDefault="00B13577"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Ēkas </w:t>
            </w:r>
            <w:r w:rsidRPr="003F5D7E">
              <w:rPr>
                <w:rFonts w:ascii="Times New Roman" w:hAnsi="Times New Roman" w:cs="Times New Roman"/>
                <w:sz w:val="24"/>
                <w:szCs w:val="24"/>
              </w:rPr>
              <w:t xml:space="preserve">dzīvojamo un nedzīvojamo telpu </w:t>
            </w:r>
            <w:r>
              <w:rPr>
                <w:rFonts w:ascii="Times New Roman" w:hAnsi="Times New Roman" w:cs="Times New Roman"/>
                <w:color w:val="000000"/>
                <w:sz w:val="24"/>
                <w:szCs w:val="24"/>
              </w:rPr>
              <w:t>kopskaits</w:t>
            </w:r>
          </w:p>
        </w:tc>
        <w:tc>
          <w:tcPr>
            <w:tcW w:w="4952" w:type="dxa"/>
            <w:vAlign w:val="center"/>
          </w:tcPr>
          <w:p w14:paraId="475046D1" w14:textId="73080344" w:rsidR="00B13577" w:rsidRPr="008A2F6F" w:rsidRDefault="00B13577" w:rsidP="00060822">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kopējo </w:t>
            </w:r>
            <w:r>
              <w:rPr>
                <w:rFonts w:ascii="Times New Roman" w:hAnsi="Times New Roman" w:cs="Times New Roman"/>
                <w:color w:val="000000"/>
                <w:sz w:val="24"/>
                <w:szCs w:val="24"/>
              </w:rPr>
              <w:t xml:space="preserve">dzīvojamo telpu </w:t>
            </w:r>
            <w:r w:rsidRPr="00D40490">
              <w:rPr>
                <w:rFonts w:ascii="Times New Roman" w:hAnsi="Times New Roman" w:cs="Times New Roman"/>
                <w:color w:val="000000"/>
                <w:sz w:val="24"/>
                <w:szCs w:val="24"/>
              </w:rPr>
              <w:t xml:space="preserve">skaitu, atsevišķos gadījumos, ja ir gan </w:t>
            </w:r>
            <w:r>
              <w:rPr>
                <w:rFonts w:ascii="Times New Roman" w:hAnsi="Times New Roman" w:cs="Times New Roman"/>
                <w:color w:val="000000"/>
                <w:sz w:val="24"/>
                <w:szCs w:val="24"/>
              </w:rPr>
              <w:t>dzīvojamās</w:t>
            </w:r>
            <w:r w:rsidRPr="00D40490">
              <w:rPr>
                <w:rFonts w:ascii="Times New Roman" w:hAnsi="Times New Roman" w:cs="Times New Roman"/>
                <w:color w:val="000000"/>
                <w:sz w:val="24"/>
                <w:szCs w:val="24"/>
              </w:rPr>
              <w:t xml:space="preserve">, gan arī </w:t>
            </w:r>
            <w:r>
              <w:rPr>
                <w:rFonts w:ascii="Times New Roman" w:hAnsi="Times New Roman" w:cs="Times New Roman"/>
                <w:color w:val="000000"/>
                <w:sz w:val="24"/>
                <w:szCs w:val="24"/>
              </w:rPr>
              <w:t xml:space="preserve">nedzīvojamās </w:t>
            </w:r>
            <w:r w:rsidRPr="00D40490">
              <w:rPr>
                <w:rFonts w:ascii="Times New Roman" w:hAnsi="Times New Roman" w:cs="Times New Roman"/>
                <w:color w:val="000000"/>
                <w:sz w:val="24"/>
                <w:szCs w:val="24"/>
              </w:rPr>
              <w:t xml:space="preserve">telpas, piemēram, veikala vai biroja telpas, tad norāda gan </w:t>
            </w:r>
            <w:r>
              <w:rPr>
                <w:rFonts w:ascii="Times New Roman" w:hAnsi="Times New Roman" w:cs="Times New Roman"/>
                <w:color w:val="000000"/>
                <w:sz w:val="24"/>
                <w:szCs w:val="24"/>
              </w:rPr>
              <w:t>dzīvojamo telpu</w:t>
            </w:r>
            <w:r w:rsidRPr="00D40490">
              <w:rPr>
                <w:rFonts w:ascii="Times New Roman" w:hAnsi="Times New Roman" w:cs="Times New Roman"/>
                <w:color w:val="000000"/>
                <w:sz w:val="24"/>
                <w:szCs w:val="24"/>
              </w:rPr>
              <w:t xml:space="preserve"> skaitu, gan arī </w:t>
            </w:r>
            <w:r>
              <w:rPr>
                <w:rFonts w:ascii="Times New Roman" w:hAnsi="Times New Roman" w:cs="Times New Roman"/>
                <w:color w:val="000000"/>
                <w:sz w:val="24"/>
                <w:szCs w:val="24"/>
              </w:rPr>
              <w:t xml:space="preserve">nedzīvojamo </w:t>
            </w:r>
            <w:r w:rsidRPr="00D40490">
              <w:rPr>
                <w:rFonts w:ascii="Times New Roman" w:hAnsi="Times New Roman" w:cs="Times New Roman"/>
                <w:color w:val="000000"/>
                <w:sz w:val="24"/>
                <w:szCs w:val="24"/>
              </w:rPr>
              <w:t xml:space="preserve">telpu </w:t>
            </w:r>
            <w:r>
              <w:rPr>
                <w:rFonts w:ascii="Times New Roman" w:hAnsi="Times New Roman" w:cs="Times New Roman"/>
                <w:color w:val="000000"/>
                <w:sz w:val="24"/>
                <w:szCs w:val="24"/>
              </w:rPr>
              <w:t>kopskaitu,</w:t>
            </w:r>
            <w:r w:rsidR="00580719">
              <w:rPr>
                <w:rFonts w:ascii="Times New Roman" w:hAnsi="Times New Roman" w:cs="Times New Roman"/>
                <w:color w:val="000000"/>
                <w:sz w:val="24"/>
                <w:szCs w:val="24"/>
              </w:rPr>
              <w:t xml:space="preserve"> kuru</w:t>
            </w:r>
            <w:r>
              <w:rPr>
                <w:rFonts w:ascii="Times New Roman" w:hAnsi="Times New Roman" w:cs="Times New Roman"/>
                <w:color w:val="000000"/>
                <w:sz w:val="24"/>
                <w:szCs w:val="24"/>
              </w:rPr>
              <w:t xml:space="preserve"> var atrast būves </w:t>
            </w:r>
            <w:r w:rsidRPr="005E609A">
              <w:rPr>
                <w:rFonts w:ascii="Times New Roman" w:hAnsi="Times New Roman" w:cs="Times New Roman"/>
                <w:color w:val="000000"/>
                <w:sz w:val="24"/>
                <w:szCs w:val="24"/>
              </w:rPr>
              <w:t>kadastrālās uzmērīšanas lietā</w:t>
            </w:r>
          </w:p>
        </w:tc>
      </w:tr>
      <w:tr w:rsidR="008A17ED" w:rsidRPr="00D40490" w14:paraId="61048371" w14:textId="77777777" w:rsidTr="00D40490">
        <w:trPr>
          <w:trHeight w:val="831"/>
          <w:jc w:val="center"/>
        </w:trPr>
        <w:tc>
          <w:tcPr>
            <w:tcW w:w="4952" w:type="dxa"/>
            <w:vAlign w:val="center"/>
          </w:tcPr>
          <w:p w14:paraId="5D6B39C8" w14:textId="29BBF9F8" w:rsidR="008A17ED" w:rsidRPr="00D40490" w:rsidRDefault="008A17ED" w:rsidP="008A2F6F">
            <w:pPr>
              <w:jc w:val="both"/>
              <w:rPr>
                <w:rFonts w:ascii="Times New Roman" w:hAnsi="Times New Roman" w:cs="Times New Roman"/>
                <w:color w:val="000000"/>
                <w:sz w:val="24"/>
                <w:szCs w:val="24"/>
              </w:rPr>
            </w:pPr>
            <w:r w:rsidRPr="008A17ED">
              <w:rPr>
                <w:rFonts w:ascii="Times New Roman" w:hAnsi="Times New Roman" w:cs="Times New Roman"/>
                <w:color w:val="000000"/>
                <w:sz w:val="24"/>
                <w:szCs w:val="24"/>
              </w:rPr>
              <w:t>Ēkas ekspluatācijas uzsākšanas gads</w:t>
            </w:r>
          </w:p>
        </w:tc>
        <w:tc>
          <w:tcPr>
            <w:tcW w:w="4952" w:type="dxa"/>
            <w:vAlign w:val="center"/>
          </w:tcPr>
          <w:p w14:paraId="75949AD3" w14:textId="1FE3F7FA" w:rsidR="008A17ED" w:rsidRPr="00D40490" w:rsidRDefault="008A17ED" w:rsidP="008A2F6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norāda ekspluatācijas uzsākšanas gadu, var atrast būves </w:t>
            </w:r>
            <w:r w:rsidRPr="005E609A">
              <w:rPr>
                <w:rFonts w:ascii="Times New Roman" w:hAnsi="Times New Roman" w:cs="Times New Roman"/>
                <w:color w:val="000000"/>
                <w:sz w:val="24"/>
                <w:szCs w:val="24"/>
              </w:rPr>
              <w:t>kadastrālās uzmērīšanas lietā</w:t>
            </w:r>
          </w:p>
        </w:tc>
      </w:tr>
      <w:tr w:rsidR="00BA5A22" w:rsidRPr="00D40490" w14:paraId="4CA5BB6F" w14:textId="77777777" w:rsidTr="00D40490">
        <w:trPr>
          <w:trHeight w:val="831"/>
          <w:jc w:val="center"/>
        </w:trPr>
        <w:tc>
          <w:tcPr>
            <w:tcW w:w="4952" w:type="dxa"/>
            <w:vAlign w:val="center"/>
          </w:tcPr>
          <w:p w14:paraId="0198050C"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pēdējās pārbūves vai atjaunošanas gads</w:t>
            </w:r>
          </w:p>
        </w:tc>
        <w:tc>
          <w:tcPr>
            <w:tcW w:w="4952" w:type="dxa"/>
            <w:vAlign w:val="center"/>
          </w:tcPr>
          <w:p w14:paraId="40064C31" w14:textId="3B9B3E4D"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w:t>
            </w:r>
            <w:r w:rsidR="00CC051C">
              <w:rPr>
                <w:rFonts w:ascii="Times New Roman" w:hAnsi="Times New Roman" w:cs="Times New Roman"/>
                <w:color w:val="000000"/>
                <w:sz w:val="24"/>
                <w:szCs w:val="24"/>
              </w:rPr>
              <w:t xml:space="preserve">pēdējo ,,aktuālo” </w:t>
            </w:r>
            <w:r w:rsidRPr="00D40490">
              <w:rPr>
                <w:rFonts w:ascii="Times New Roman" w:hAnsi="Times New Roman" w:cs="Times New Roman"/>
                <w:color w:val="000000"/>
                <w:sz w:val="24"/>
                <w:szCs w:val="24"/>
              </w:rPr>
              <w:t>gadu, ja ēkā ir veikti pārbūves vai atjaunošanas darbi</w:t>
            </w:r>
          </w:p>
        </w:tc>
      </w:tr>
      <w:tr w:rsidR="00D40490" w:rsidRPr="00D40490" w14:paraId="63125F6B" w14:textId="77777777" w:rsidTr="00D13A84">
        <w:trPr>
          <w:trHeight w:val="695"/>
          <w:jc w:val="center"/>
        </w:trPr>
        <w:tc>
          <w:tcPr>
            <w:tcW w:w="9904" w:type="dxa"/>
            <w:gridSpan w:val="2"/>
            <w:vAlign w:val="center"/>
          </w:tcPr>
          <w:p w14:paraId="0D146925" w14:textId="77777777" w:rsidR="00D40490" w:rsidRPr="008A2F6F" w:rsidRDefault="00D40490"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ģeometriskie izmēri</w:t>
            </w:r>
          </w:p>
        </w:tc>
      </w:tr>
      <w:tr w:rsidR="00BA5A22" w:rsidRPr="00D40490" w14:paraId="3C66FB06" w14:textId="77777777" w:rsidTr="00D40490">
        <w:trPr>
          <w:trHeight w:val="844"/>
          <w:jc w:val="center"/>
        </w:trPr>
        <w:tc>
          <w:tcPr>
            <w:tcW w:w="4952" w:type="dxa"/>
            <w:vAlign w:val="center"/>
          </w:tcPr>
          <w:p w14:paraId="52E387CD"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kopējā platība</w:t>
            </w:r>
          </w:p>
        </w:tc>
        <w:tc>
          <w:tcPr>
            <w:tcW w:w="4952" w:type="dxa"/>
            <w:vAlign w:val="center"/>
          </w:tcPr>
          <w:p w14:paraId="7DDDADF1" w14:textId="7475142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kopējā platība tiek norādīta, </w:t>
            </w:r>
            <w:r w:rsidR="00CE65D2">
              <w:rPr>
                <w:rFonts w:ascii="Times New Roman" w:hAnsi="Times New Roman" w:cs="Times New Roman"/>
                <w:color w:val="000000"/>
                <w:sz w:val="24"/>
                <w:szCs w:val="24"/>
              </w:rPr>
              <w:t xml:space="preserve">var atrast </w:t>
            </w:r>
            <w:r w:rsidR="003F5D7E">
              <w:rPr>
                <w:rFonts w:ascii="Times New Roman" w:hAnsi="Times New Roman" w:cs="Times New Roman"/>
                <w:color w:val="000000"/>
                <w:sz w:val="24"/>
                <w:szCs w:val="24"/>
              </w:rPr>
              <w:t>būves</w:t>
            </w:r>
            <w:r w:rsidR="00CE65D2" w:rsidRPr="008A2F6F">
              <w:rPr>
                <w:rFonts w:ascii="Times New Roman" w:hAnsi="Times New Roman" w:cs="Times New Roman"/>
                <w:color w:val="000000"/>
                <w:sz w:val="24"/>
                <w:szCs w:val="24"/>
              </w:rPr>
              <w:t>kadastrālās uzmērīšanas lietā</w:t>
            </w:r>
          </w:p>
        </w:tc>
      </w:tr>
      <w:tr w:rsidR="00BA5A22" w:rsidRPr="00D40490" w14:paraId="1E07B0EE" w14:textId="77777777" w:rsidTr="00D40490">
        <w:trPr>
          <w:trHeight w:val="984"/>
          <w:jc w:val="center"/>
        </w:trPr>
        <w:tc>
          <w:tcPr>
            <w:tcW w:w="4952" w:type="dxa"/>
            <w:vAlign w:val="center"/>
          </w:tcPr>
          <w:p w14:paraId="55B8F46A"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aprēķina platība</w:t>
            </w:r>
          </w:p>
        </w:tc>
        <w:tc>
          <w:tcPr>
            <w:tcW w:w="4952" w:type="dxa"/>
            <w:vAlign w:val="center"/>
          </w:tcPr>
          <w:p w14:paraId="33855B2E"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norādīta platība, kura tiek apkurināta un attiecināma uz siltuma maksas sadalītāju aprēķiniem</w:t>
            </w:r>
          </w:p>
        </w:tc>
      </w:tr>
      <w:tr w:rsidR="00BA5A22" w:rsidRPr="00D40490" w14:paraId="2041B9E6" w14:textId="77777777" w:rsidTr="00D40490">
        <w:trPr>
          <w:trHeight w:val="854"/>
          <w:jc w:val="center"/>
        </w:trPr>
        <w:tc>
          <w:tcPr>
            <w:tcW w:w="4952" w:type="dxa"/>
            <w:vAlign w:val="center"/>
          </w:tcPr>
          <w:p w14:paraId="281B5D4C"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telpu augstums</w:t>
            </w:r>
          </w:p>
        </w:tc>
        <w:tc>
          <w:tcPr>
            <w:tcW w:w="4952" w:type="dxa"/>
            <w:vAlign w:val="center"/>
          </w:tcPr>
          <w:p w14:paraId="3CD70759" w14:textId="46B7FA08"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ēkas telpu augstumu, </w:t>
            </w:r>
            <w:r w:rsidR="00CE65D2">
              <w:rPr>
                <w:rFonts w:ascii="Times New Roman" w:hAnsi="Times New Roman" w:cs="Times New Roman"/>
                <w:color w:val="000000"/>
                <w:sz w:val="24"/>
                <w:szCs w:val="24"/>
              </w:rPr>
              <w:t xml:space="preserve">var atrast </w:t>
            </w:r>
            <w:r w:rsidR="006829CB">
              <w:rPr>
                <w:rFonts w:ascii="Times New Roman" w:hAnsi="Times New Roman" w:cs="Times New Roman"/>
                <w:color w:val="000000"/>
                <w:sz w:val="24"/>
                <w:szCs w:val="24"/>
              </w:rPr>
              <w:t>būves</w:t>
            </w:r>
            <w:r w:rsidR="00060822">
              <w:rPr>
                <w:rFonts w:ascii="Times New Roman" w:hAnsi="Times New Roman" w:cs="Times New Roman"/>
                <w:color w:val="000000"/>
                <w:sz w:val="24"/>
                <w:szCs w:val="24"/>
              </w:rPr>
              <w:t xml:space="preserve"> </w:t>
            </w:r>
            <w:r w:rsidR="00CE65D2" w:rsidRPr="008A2F6F">
              <w:rPr>
                <w:rFonts w:ascii="Times New Roman" w:hAnsi="Times New Roman" w:cs="Times New Roman"/>
                <w:color w:val="000000"/>
                <w:sz w:val="24"/>
                <w:szCs w:val="24"/>
              </w:rPr>
              <w:t>kadastrālās uzmērīšanas lietā</w:t>
            </w:r>
          </w:p>
        </w:tc>
      </w:tr>
      <w:tr w:rsidR="00BA5A22" w:rsidRPr="00D40490" w14:paraId="6EE2F003" w14:textId="77777777" w:rsidTr="00D40490">
        <w:trPr>
          <w:trHeight w:val="720"/>
          <w:jc w:val="center"/>
        </w:trPr>
        <w:tc>
          <w:tcPr>
            <w:tcW w:w="4952" w:type="dxa"/>
            <w:vAlign w:val="center"/>
          </w:tcPr>
          <w:p w14:paraId="14857ADC"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lastRenderedPageBreak/>
              <w:t>Ēkas tilpums</w:t>
            </w:r>
          </w:p>
        </w:tc>
        <w:tc>
          <w:tcPr>
            <w:tcW w:w="4952" w:type="dxa"/>
            <w:vAlign w:val="center"/>
          </w:tcPr>
          <w:p w14:paraId="5FC6F647"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tiek aprēķināts, ņemot vērā ēkas aprēķina platību un reizinot ar ēkas telpu augstumu</w:t>
            </w:r>
          </w:p>
        </w:tc>
      </w:tr>
      <w:tr w:rsidR="00BA5A22" w:rsidRPr="00D40490" w14:paraId="5BD30CA8" w14:textId="77777777" w:rsidTr="00D40490">
        <w:trPr>
          <w:trHeight w:val="831"/>
          <w:jc w:val="center"/>
        </w:trPr>
        <w:tc>
          <w:tcPr>
            <w:tcW w:w="4952" w:type="dxa"/>
            <w:vAlign w:val="center"/>
          </w:tcPr>
          <w:p w14:paraId="131E845A"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apsaimniekotājs</w:t>
            </w:r>
          </w:p>
        </w:tc>
        <w:tc>
          <w:tcPr>
            <w:tcW w:w="4952" w:type="dxa"/>
            <w:vAlign w:val="center"/>
          </w:tcPr>
          <w:p w14:paraId="14C81B7B"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norādīts ēkas apsaimniekotāja nosaukums</w:t>
            </w:r>
          </w:p>
        </w:tc>
      </w:tr>
    </w:tbl>
    <w:p w14:paraId="58E5F3D1" w14:textId="77777777" w:rsidR="00BA5A22" w:rsidRDefault="00BA5A22" w:rsidP="002D05AF">
      <w:pPr>
        <w:spacing w:after="120" w:line="240" w:lineRule="auto"/>
        <w:jc w:val="both"/>
        <w:rPr>
          <w:rFonts w:ascii="Times New Roman" w:hAnsi="Times New Roman" w:cs="Times New Roman"/>
          <w:color w:val="000000"/>
          <w:sz w:val="24"/>
          <w:szCs w:val="24"/>
        </w:rPr>
      </w:pPr>
    </w:p>
    <w:p w14:paraId="08C770AC" w14:textId="77777777" w:rsidR="00B137FB"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Ekonomiskie dati</w:t>
      </w:r>
    </w:p>
    <w:p w14:paraId="663A1E7E" w14:textId="15724702" w:rsidR="00B137FB" w:rsidRPr="00D40490" w:rsidRDefault="00B137FB"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Ekonomiskie dati satur pamatinformāciju </w:t>
      </w:r>
      <w:r w:rsidRPr="00F43DEC">
        <w:rPr>
          <w:rFonts w:ascii="Times New Roman" w:hAnsi="Times New Roman" w:cs="Times New Roman"/>
          <w:color w:val="000000"/>
          <w:sz w:val="24"/>
          <w:szCs w:val="24"/>
        </w:rPr>
        <w:t>par</w:t>
      </w:r>
      <w:r w:rsidR="003A355A" w:rsidRPr="00F43DEC">
        <w:rPr>
          <w:rFonts w:ascii="Times New Roman" w:hAnsi="Times New Roman" w:cs="Times New Roman"/>
          <w:color w:val="000000"/>
          <w:sz w:val="24"/>
          <w:szCs w:val="24"/>
        </w:rPr>
        <w:t xml:space="preserve"> ēkas </w:t>
      </w:r>
      <w:r w:rsidR="00027D15" w:rsidRPr="00F43DEC">
        <w:rPr>
          <w:rFonts w:ascii="Times New Roman" w:hAnsi="Times New Roman" w:cs="Times New Roman"/>
          <w:color w:val="000000"/>
          <w:sz w:val="24"/>
          <w:szCs w:val="24"/>
        </w:rPr>
        <w:t xml:space="preserve">ekonomiskajiem </w:t>
      </w:r>
      <w:r w:rsidR="003A355A" w:rsidRPr="00F43DEC">
        <w:rPr>
          <w:rFonts w:ascii="Times New Roman" w:hAnsi="Times New Roman" w:cs="Times New Roman"/>
          <w:color w:val="000000"/>
          <w:sz w:val="24"/>
          <w:szCs w:val="24"/>
        </w:rPr>
        <w:t>rādītājiem</w:t>
      </w:r>
      <w:r w:rsidRPr="00F43DEC">
        <w:rPr>
          <w:rFonts w:ascii="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4836"/>
        <w:gridCol w:w="4842"/>
      </w:tblGrid>
      <w:tr w:rsidR="00BA5A22" w:rsidRPr="00D40490" w14:paraId="6B3E4E61" w14:textId="77777777" w:rsidTr="001064BF">
        <w:trPr>
          <w:trHeight w:val="601"/>
          <w:jc w:val="center"/>
        </w:trPr>
        <w:tc>
          <w:tcPr>
            <w:tcW w:w="4952" w:type="dxa"/>
            <w:vAlign w:val="center"/>
          </w:tcPr>
          <w:p w14:paraId="5EB0C7D3"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3EEED3C0"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BA5A22" w:rsidRPr="00D40490" w14:paraId="2F05E961" w14:textId="77777777" w:rsidTr="00D40490">
        <w:trPr>
          <w:trHeight w:val="1405"/>
          <w:jc w:val="center"/>
        </w:trPr>
        <w:tc>
          <w:tcPr>
            <w:tcW w:w="4952" w:type="dxa"/>
            <w:vAlign w:val="center"/>
          </w:tcPr>
          <w:p w14:paraId="5051D314" w14:textId="77777777"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tarifs</w:t>
            </w:r>
          </w:p>
        </w:tc>
        <w:tc>
          <w:tcPr>
            <w:tcW w:w="4952" w:type="dxa"/>
            <w:vAlign w:val="center"/>
          </w:tcPr>
          <w:p w14:paraId="6E1B7935" w14:textId="3338190B"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norādīts spēkā esoša</w:t>
            </w:r>
            <w:r w:rsidR="009B0FA5">
              <w:rPr>
                <w:rFonts w:ascii="Times New Roman" w:hAnsi="Times New Roman" w:cs="Times New Roman"/>
                <w:color w:val="000000"/>
                <w:sz w:val="24"/>
                <w:szCs w:val="24"/>
              </w:rPr>
              <w:t>is tarifs attiecīgajā periodā EU</w:t>
            </w:r>
            <w:r w:rsidRPr="00D40490">
              <w:rPr>
                <w:rFonts w:ascii="Times New Roman" w:hAnsi="Times New Roman" w:cs="Times New Roman"/>
                <w:color w:val="000000"/>
                <w:sz w:val="24"/>
                <w:szCs w:val="24"/>
              </w:rPr>
              <w:t>RO/MWh, datus var atrast rēķinos par siltumenerģijas piegādi vai centralizētās siltumapgādes uzņēmuma mājaslapā</w:t>
            </w:r>
          </w:p>
        </w:tc>
      </w:tr>
      <w:tr w:rsidR="00BA5A22" w:rsidRPr="00D40490" w14:paraId="28F22F94" w14:textId="77777777" w:rsidTr="00D40490">
        <w:trPr>
          <w:trHeight w:val="2262"/>
          <w:jc w:val="center"/>
        </w:trPr>
        <w:tc>
          <w:tcPr>
            <w:tcW w:w="4952" w:type="dxa"/>
            <w:vAlign w:val="center"/>
          </w:tcPr>
          <w:p w14:paraId="10D70349" w14:textId="77777777"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patēriņš apkurei</w:t>
            </w:r>
          </w:p>
        </w:tc>
        <w:tc>
          <w:tcPr>
            <w:tcW w:w="4952" w:type="dxa"/>
            <w:vAlign w:val="center"/>
          </w:tcPr>
          <w:p w14:paraId="23A5C137" w14:textId="77777777" w:rsidR="00BA5A22" w:rsidRPr="00D40490" w:rsidRDefault="00BA5A22" w:rsidP="00D40490">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 xml:space="preserve">norāda siltumenerģijas patēriņu gadā apkures nodrošināšanai, var izmantot viena gada siltumenerģijas patēriņu vai arī norāda vidējo siltumenerģijas patēriņu par vairākiem gadiem. Ja ir izstrādāts ēkas energosertifikāts, </w:t>
            </w:r>
            <w:r w:rsidR="00D40490" w:rsidRPr="00D40490">
              <w:rPr>
                <w:rFonts w:ascii="Times New Roman" w:hAnsi="Times New Roman" w:cs="Times New Roman"/>
                <w:color w:val="000000"/>
                <w:sz w:val="24"/>
                <w:szCs w:val="24"/>
              </w:rPr>
              <w:t>tad izmanto</w:t>
            </w:r>
            <w:r w:rsidRPr="00D40490">
              <w:rPr>
                <w:rFonts w:ascii="Times New Roman" w:hAnsi="Times New Roman" w:cs="Times New Roman"/>
                <w:color w:val="000000"/>
                <w:sz w:val="24"/>
                <w:szCs w:val="24"/>
              </w:rPr>
              <w:t xml:space="preserve"> siltumenerģijas patēriņa datus no ēkas energosertifikāta</w:t>
            </w:r>
          </w:p>
        </w:tc>
      </w:tr>
      <w:tr w:rsidR="00BA5A22" w:rsidRPr="00D40490" w14:paraId="56646595" w14:textId="77777777" w:rsidTr="00D40490">
        <w:trPr>
          <w:trHeight w:val="1402"/>
          <w:jc w:val="center"/>
        </w:trPr>
        <w:tc>
          <w:tcPr>
            <w:tcW w:w="4952" w:type="dxa"/>
            <w:vAlign w:val="center"/>
          </w:tcPr>
          <w:p w14:paraId="6E17F703" w14:textId="77777777" w:rsidR="00BA5A22" w:rsidRPr="00D40490" w:rsidRDefault="00BA5A22" w:rsidP="00576025">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Īpatnējais siltumenerģijas patēriņš apkurei</w:t>
            </w:r>
          </w:p>
        </w:tc>
        <w:tc>
          <w:tcPr>
            <w:tcW w:w="4952" w:type="dxa"/>
            <w:vAlign w:val="center"/>
          </w:tcPr>
          <w:p w14:paraId="286C1B69" w14:textId="77777777"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īpatnējais siltumenerģijas patēriņš apkurei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tiek iegūts kopējo siltumenerģijas patēriņu apkures nodrošināšanai, dalot ar ēkas aprēķina platību</w:t>
            </w:r>
          </w:p>
        </w:tc>
      </w:tr>
      <w:tr w:rsidR="00BA5A22" w:rsidRPr="00D40490" w14:paraId="74F0998D" w14:textId="77777777" w:rsidTr="000E7983">
        <w:trPr>
          <w:trHeight w:val="4101"/>
          <w:jc w:val="center"/>
        </w:trPr>
        <w:tc>
          <w:tcPr>
            <w:tcW w:w="4952" w:type="dxa"/>
            <w:vAlign w:val="center"/>
          </w:tcPr>
          <w:p w14:paraId="6499E82F" w14:textId="168A611D" w:rsidR="00BA5A22" w:rsidRPr="00D40490" w:rsidRDefault="00B84F19"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S</w:t>
            </w:r>
            <w:r w:rsidR="00BA5A22" w:rsidRPr="00D40490">
              <w:rPr>
                <w:rFonts w:ascii="Times New Roman" w:hAnsi="Times New Roman" w:cs="Times New Roman"/>
                <w:color w:val="000000"/>
                <w:sz w:val="24"/>
                <w:szCs w:val="24"/>
              </w:rPr>
              <w:t>iltumenerģijas ietaupījums uzstādot siltuma maksas sadalītāju (SMS) iekārtas</w:t>
            </w:r>
          </w:p>
        </w:tc>
        <w:tc>
          <w:tcPr>
            <w:tcW w:w="4952" w:type="dxa"/>
            <w:vAlign w:val="center"/>
          </w:tcPr>
          <w:p w14:paraId="345B94A1" w14:textId="15DD7C58" w:rsidR="001E5653" w:rsidRDefault="001E5653" w:rsidP="0057602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šo rādītāju nosaka, ņemot vērā darba lapas piezīmi - </w:t>
            </w:r>
          </w:p>
          <w:p w14:paraId="7F6D31DB" w14:textId="77777777" w:rsidR="00BA5A22" w:rsidRDefault="00BA5A22"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siltumenerģijas ietaupījums tiek norādīts atkarībā no īpatnējā siltumenerģijas patēriņa apkurei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izmantojot sekojošo - ja ēkas apkurei izmantotās siltumenerģijas patēriņš ir līdz 100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pieņemtais enerģijas ietaupījums, uzstādot siltuma maksas sadalītājus, ir 10 %, ja patēriņš ir no 100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līdz 150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 15 %, bet, ja patēriņš ir lielāks par 150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 20 %)</w:t>
            </w:r>
          </w:p>
          <w:p w14:paraId="1B1E9626" w14:textId="77777777" w:rsidR="000E7983" w:rsidRDefault="000E7983" w:rsidP="00576025">
            <w:pPr>
              <w:rPr>
                <w:rFonts w:ascii="Times New Roman" w:hAnsi="Times New Roman" w:cs="Times New Roman"/>
                <w:color w:val="000000"/>
                <w:sz w:val="24"/>
                <w:szCs w:val="24"/>
              </w:rPr>
            </w:pPr>
          </w:p>
          <w:p w14:paraId="7F72DF61" w14:textId="77777777" w:rsidR="000E7983" w:rsidRPr="00D40490" w:rsidRDefault="000E7983"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var izmantot arī papildu aprēķinus, piesaistot speciālistus šajā jomā un nosakot enerģijas ietaupījumu attiecīgajai ēkai</w:t>
            </w:r>
          </w:p>
        </w:tc>
      </w:tr>
      <w:tr w:rsidR="00BA5A22" w:rsidRPr="00D40490" w14:paraId="3CAAB1D3" w14:textId="77777777" w:rsidTr="005525AD">
        <w:trPr>
          <w:trHeight w:val="2014"/>
          <w:jc w:val="center"/>
        </w:trPr>
        <w:tc>
          <w:tcPr>
            <w:tcW w:w="4952" w:type="dxa"/>
            <w:vAlign w:val="center"/>
          </w:tcPr>
          <w:p w14:paraId="1DD96148" w14:textId="366BC5AE" w:rsidR="00BA5A22" w:rsidRPr="005525AD" w:rsidRDefault="0032752C" w:rsidP="005525AD">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5525AD">
              <w:rPr>
                <w:rFonts w:ascii="Times New Roman" w:hAnsi="Times New Roman" w:cs="Times New Roman"/>
                <w:color w:val="000000"/>
                <w:sz w:val="24"/>
                <w:szCs w:val="24"/>
              </w:rPr>
              <w:t>rocentu likme</w:t>
            </w:r>
          </w:p>
        </w:tc>
        <w:tc>
          <w:tcPr>
            <w:tcW w:w="4952" w:type="dxa"/>
            <w:vAlign w:val="center"/>
          </w:tcPr>
          <w:p w14:paraId="3775C8F2" w14:textId="14FE3DDF" w:rsidR="005525AD" w:rsidRPr="005525AD" w:rsidRDefault="00BA5A22" w:rsidP="0037749E">
            <w:pPr>
              <w:rPr>
                <w:rFonts w:ascii="Times New Roman" w:hAnsi="Times New Roman" w:cs="Times New Roman"/>
                <w:color w:val="000000"/>
                <w:sz w:val="24"/>
                <w:szCs w:val="24"/>
              </w:rPr>
            </w:pPr>
            <w:r w:rsidRPr="00D40490">
              <w:rPr>
                <w:rFonts w:ascii="Times New Roman" w:hAnsi="Times New Roman" w:cs="Times New Roman"/>
                <w:color w:val="000000"/>
                <w:sz w:val="24"/>
                <w:szCs w:val="24"/>
              </w:rPr>
              <w:t>no</w:t>
            </w:r>
            <w:r w:rsidR="005525AD">
              <w:rPr>
                <w:rFonts w:ascii="Times New Roman" w:hAnsi="Times New Roman" w:cs="Times New Roman"/>
                <w:color w:val="000000"/>
                <w:sz w:val="24"/>
                <w:szCs w:val="24"/>
              </w:rPr>
              <w:t xml:space="preserve">rādīt procenta likmi, </w:t>
            </w:r>
            <w:r w:rsidR="005525AD" w:rsidRPr="00E636AC">
              <w:rPr>
                <w:rFonts w:ascii="Times New Roman" w:hAnsi="Times New Roman" w:cs="Times New Roman"/>
                <w:color w:val="000000"/>
                <w:sz w:val="24"/>
                <w:szCs w:val="24"/>
              </w:rPr>
              <w:t>piemērojot Valsts kases tīmekļvietnē publicēto pēdējā pieejamā ceturkšņa attiecīgo diskonta likmi ilgtermiņa ieguldījumu patiesās vērtības noteikšanai saimnieciskās darbības veidam "Nekustamais īpašums (vispārīgi)"</w:t>
            </w:r>
          </w:p>
        </w:tc>
      </w:tr>
      <w:tr w:rsidR="005525AD" w:rsidRPr="00D40490" w14:paraId="46833E1D" w14:textId="77777777" w:rsidTr="000E7983">
        <w:trPr>
          <w:trHeight w:val="1267"/>
          <w:jc w:val="center"/>
        </w:trPr>
        <w:tc>
          <w:tcPr>
            <w:tcW w:w="4952" w:type="dxa"/>
            <w:vAlign w:val="center"/>
          </w:tcPr>
          <w:p w14:paraId="6D19D85A" w14:textId="7A20BAB4" w:rsidR="005525AD" w:rsidRPr="00D40490" w:rsidRDefault="005525AD" w:rsidP="00BA5A22">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Inflācijas likme</w:t>
            </w:r>
          </w:p>
        </w:tc>
        <w:tc>
          <w:tcPr>
            <w:tcW w:w="4952" w:type="dxa"/>
            <w:vAlign w:val="center"/>
          </w:tcPr>
          <w:p w14:paraId="138DEB29" w14:textId="74431F27" w:rsidR="005525AD" w:rsidRPr="00D40490" w:rsidRDefault="007A0EAE" w:rsidP="00576025">
            <w:pPr>
              <w:rPr>
                <w:rFonts w:ascii="Times New Roman" w:hAnsi="Times New Roman" w:cs="Times New Roman"/>
                <w:color w:val="000000"/>
                <w:sz w:val="24"/>
                <w:szCs w:val="24"/>
              </w:rPr>
            </w:pPr>
            <w:r>
              <w:rPr>
                <w:rFonts w:ascii="Times New Roman" w:hAnsi="Times New Roman" w:cs="Times New Roman"/>
                <w:color w:val="000000"/>
                <w:sz w:val="24"/>
                <w:szCs w:val="24"/>
              </w:rPr>
              <w:t>inflācijas likme saistībā ar enerģijas cenu izmaiņām,</w:t>
            </w:r>
            <w:r w:rsidR="005525AD" w:rsidRPr="00D40490">
              <w:rPr>
                <w:rFonts w:ascii="Times New Roman" w:hAnsi="Times New Roman" w:cs="Times New Roman"/>
                <w:color w:val="000000"/>
                <w:sz w:val="24"/>
                <w:szCs w:val="24"/>
              </w:rPr>
              <w:t xml:space="preserve"> </w:t>
            </w:r>
            <w:r w:rsidR="00B84F19">
              <w:rPr>
                <w:rFonts w:ascii="Times New Roman" w:hAnsi="Times New Roman" w:cs="Times New Roman"/>
                <w:color w:val="000000"/>
                <w:sz w:val="24"/>
                <w:szCs w:val="24"/>
              </w:rPr>
              <w:t xml:space="preserve">to </w:t>
            </w:r>
            <w:r w:rsidR="005525AD" w:rsidRPr="00D40490">
              <w:rPr>
                <w:rFonts w:ascii="Times New Roman" w:hAnsi="Times New Roman" w:cs="Times New Roman"/>
                <w:color w:val="000000"/>
                <w:sz w:val="24"/>
                <w:szCs w:val="24"/>
              </w:rPr>
              <w:t>pieņem</w:t>
            </w:r>
            <w:r w:rsidR="005525AD">
              <w:rPr>
                <w:rFonts w:ascii="Times New Roman" w:hAnsi="Times New Roman" w:cs="Times New Roman"/>
                <w:color w:val="000000"/>
                <w:sz w:val="24"/>
                <w:szCs w:val="24"/>
              </w:rPr>
              <w:t>,</w:t>
            </w:r>
            <w:r w:rsidR="005525AD" w:rsidRPr="00D40490">
              <w:rPr>
                <w:rFonts w:ascii="Times New Roman" w:hAnsi="Times New Roman" w:cs="Times New Roman"/>
                <w:color w:val="000000"/>
                <w:sz w:val="24"/>
                <w:szCs w:val="24"/>
              </w:rPr>
              <w:t xml:space="preserve"> ņemot vērā Valstī norādītās procenta likmes</w:t>
            </w:r>
          </w:p>
        </w:tc>
      </w:tr>
    </w:tbl>
    <w:p w14:paraId="7B74B12F" w14:textId="77777777" w:rsidR="00B137FB" w:rsidRPr="00D40490" w:rsidRDefault="00B137FB" w:rsidP="00B137FB">
      <w:pPr>
        <w:jc w:val="both"/>
        <w:rPr>
          <w:rFonts w:ascii="Times New Roman" w:hAnsi="Times New Roman" w:cs="Times New Roman"/>
          <w:color w:val="000000"/>
          <w:sz w:val="24"/>
          <w:szCs w:val="24"/>
        </w:rPr>
      </w:pPr>
    </w:p>
    <w:p w14:paraId="63AD0684" w14:textId="3D141D45" w:rsidR="00D54B77" w:rsidRPr="00D40490" w:rsidRDefault="00D54B77" w:rsidP="00D54B77">
      <w:pPr>
        <w:pStyle w:val="Heading2"/>
        <w:spacing w:before="0" w:after="120" w:line="240" w:lineRule="auto"/>
        <w:rPr>
          <w:rFonts w:ascii="Times New Roman" w:hAnsi="Times New Roman" w:cs="Times New Roman"/>
          <w:color w:val="000000" w:themeColor="text1"/>
          <w:sz w:val="24"/>
          <w:szCs w:val="24"/>
        </w:rPr>
      </w:pPr>
      <w:bookmarkStart w:id="4" w:name="_Toc91665791"/>
      <w:r w:rsidRPr="00D40490">
        <w:rPr>
          <w:rFonts w:ascii="Times New Roman" w:hAnsi="Times New Roman" w:cs="Times New Roman"/>
          <w:color w:val="000000" w:themeColor="text1"/>
          <w:sz w:val="24"/>
          <w:szCs w:val="24"/>
        </w:rPr>
        <w:t xml:space="preserve">Darba lapa Nr. </w:t>
      </w:r>
      <w:r>
        <w:rPr>
          <w:rFonts w:ascii="Times New Roman" w:hAnsi="Times New Roman" w:cs="Times New Roman"/>
          <w:color w:val="000000" w:themeColor="text1"/>
          <w:sz w:val="24"/>
          <w:szCs w:val="24"/>
        </w:rPr>
        <w:t>3</w:t>
      </w:r>
      <w:r w:rsidRPr="00D404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Enerģijas patēriņa dati</w:t>
      </w:r>
      <w:bookmarkEnd w:id="4"/>
    </w:p>
    <w:p w14:paraId="6F177C0D" w14:textId="65A0F403" w:rsidR="00D54B77" w:rsidRDefault="00D54B77" w:rsidP="00E636A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Darba lapā jāaizpilda tabula enerģijas patēriņa dati apkures nodrošināšanai mēnešu </w:t>
      </w:r>
      <w:r w:rsidR="00C67CB4">
        <w:rPr>
          <w:rFonts w:ascii="Times New Roman" w:hAnsi="Times New Roman" w:cs="Times New Roman"/>
          <w:color w:val="000000" w:themeColor="text1"/>
          <w:sz w:val="24"/>
          <w:szCs w:val="24"/>
        </w:rPr>
        <w:t xml:space="preserve">un gadu </w:t>
      </w:r>
      <w:r>
        <w:rPr>
          <w:rFonts w:ascii="Times New Roman" w:hAnsi="Times New Roman" w:cs="Times New Roman"/>
          <w:color w:val="000000" w:themeColor="text1"/>
          <w:sz w:val="24"/>
          <w:szCs w:val="24"/>
        </w:rPr>
        <w:t>griezumā.</w:t>
      </w:r>
      <w:r w:rsidR="00677FA9">
        <w:rPr>
          <w:rFonts w:ascii="Times New Roman" w:hAnsi="Times New Roman" w:cs="Times New Roman"/>
          <w:color w:val="000000" w:themeColor="text1"/>
          <w:sz w:val="24"/>
          <w:szCs w:val="24"/>
        </w:rPr>
        <w:t xml:space="preserve"> Darba lapas grafikā tiek attēlots enerģijas patēriņa grafiki pa gadiem mēnešu griezumā.</w:t>
      </w:r>
    </w:p>
    <w:p w14:paraId="46460543" w14:textId="07892342" w:rsidR="00D54B77" w:rsidRDefault="00D54B77" w:rsidP="00E636A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Enerģijas vērtība MWh mēnesī un MWh gadā, gala rezultātā iegūst vidējo vērtību enerģijas patēriņam apkures nodrošināšanai MWh gadā un šo vērtību izmanto jau tālākajiem aprēķiniem.</w:t>
      </w:r>
    </w:p>
    <w:p w14:paraId="46BE477E" w14:textId="0C49D3A8" w:rsidR="00B137FB" w:rsidRPr="00D40490" w:rsidRDefault="00B137FB" w:rsidP="002D05AF">
      <w:pPr>
        <w:pStyle w:val="Heading2"/>
        <w:spacing w:before="0" w:after="120" w:line="240" w:lineRule="auto"/>
        <w:rPr>
          <w:rFonts w:ascii="Times New Roman" w:hAnsi="Times New Roman" w:cs="Times New Roman"/>
          <w:color w:val="000000" w:themeColor="text1"/>
          <w:sz w:val="24"/>
          <w:szCs w:val="24"/>
        </w:rPr>
      </w:pPr>
      <w:bookmarkStart w:id="5" w:name="_Toc91665792"/>
      <w:r w:rsidRPr="00D40490">
        <w:rPr>
          <w:rFonts w:ascii="Times New Roman" w:hAnsi="Times New Roman" w:cs="Times New Roman"/>
          <w:color w:val="000000" w:themeColor="text1"/>
          <w:sz w:val="24"/>
          <w:szCs w:val="24"/>
        </w:rPr>
        <w:t xml:space="preserve">Darba lapa Nr. </w:t>
      </w:r>
      <w:r w:rsidR="00D54B77">
        <w:rPr>
          <w:rFonts w:ascii="Times New Roman" w:hAnsi="Times New Roman" w:cs="Times New Roman"/>
          <w:color w:val="000000" w:themeColor="text1"/>
          <w:sz w:val="24"/>
          <w:szCs w:val="24"/>
        </w:rPr>
        <w:t>4</w:t>
      </w:r>
      <w:r w:rsidR="00D54B77" w:rsidRPr="00D40490">
        <w:rPr>
          <w:rFonts w:ascii="Times New Roman" w:hAnsi="Times New Roman" w:cs="Times New Roman"/>
          <w:color w:val="000000" w:themeColor="text1"/>
          <w:sz w:val="24"/>
          <w:szCs w:val="24"/>
        </w:rPr>
        <w:t xml:space="preserve"> </w:t>
      </w:r>
      <w:r w:rsidRPr="00D40490">
        <w:rPr>
          <w:rFonts w:ascii="Times New Roman" w:hAnsi="Times New Roman" w:cs="Times New Roman"/>
          <w:color w:val="000000" w:themeColor="text1"/>
          <w:sz w:val="24"/>
          <w:szCs w:val="24"/>
        </w:rPr>
        <w:t>Ēkas esošā situācija</w:t>
      </w:r>
      <w:bookmarkEnd w:id="5"/>
    </w:p>
    <w:p w14:paraId="0CC98A83" w14:textId="7FE683C4" w:rsidR="001064BF" w:rsidRPr="00D40490" w:rsidRDefault="001064BF"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Darba lapā</w:t>
      </w:r>
      <w:r w:rsidR="00677FA9">
        <w:rPr>
          <w:rFonts w:ascii="Times New Roman" w:hAnsi="Times New Roman" w:cs="Times New Roman"/>
          <w:color w:val="000000"/>
          <w:sz w:val="24"/>
          <w:szCs w:val="24"/>
        </w:rPr>
        <w:t xml:space="preserve"> </w:t>
      </w:r>
      <w:r w:rsidRPr="00D40490">
        <w:rPr>
          <w:rFonts w:ascii="Times New Roman" w:hAnsi="Times New Roman" w:cs="Times New Roman"/>
          <w:color w:val="000000"/>
          <w:sz w:val="24"/>
          <w:szCs w:val="24"/>
        </w:rPr>
        <w:t>tiek norādīta pamatinformācija par ēku, enerģijas patēriņiem un izmaksām.</w:t>
      </w:r>
    </w:p>
    <w:tbl>
      <w:tblPr>
        <w:tblStyle w:val="TableGrid"/>
        <w:tblW w:w="0" w:type="auto"/>
        <w:jc w:val="center"/>
        <w:tblLook w:val="04A0" w:firstRow="1" w:lastRow="0" w:firstColumn="1" w:lastColumn="0" w:noHBand="0" w:noVBand="1"/>
      </w:tblPr>
      <w:tblGrid>
        <w:gridCol w:w="4840"/>
        <w:gridCol w:w="4838"/>
      </w:tblGrid>
      <w:tr w:rsidR="00BA5A22" w:rsidRPr="00D40490" w14:paraId="022ECF37" w14:textId="77777777" w:rsidTr="000E7983">
        <w:trPr>
          <w:trHeight w:val="783"/>
          <w:jc w:val="center"/>
        </w:trPr>
        <w:tc>
          <w:tcPr>
            <w:tcW w:w="4952" w:type="dxa"/>
            <w:vAlign w:val="center"/>
          </w:tcPr>
          <w:p w14:paraId="2AD37FFC"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0EE1A976"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BA5A22" w:rsidRPr="00D40490" w14:paraId="34A8DC9D" w14:textId="77777777" w:rsidTr="000E7983">
        <w:trPr>
          <w:trHeight w:val="1144"/>
          <w:jc w:val="center"/>
        </w:trPr>
        <w:tc>
          <w:tcPr>
            <w:tcW w:w="4952" w:type="dxa"/>
            <w:vAlign w:val="center"/>
          </w:tcPr>
          <w:p w14:paraId="58D01F0F" w14:textId="77777777"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patēriņš un īpatnējais siltumenerģijas patēriņš apkurei</w:t>
            </w:r>
          </w:p>
        </w:tc>
        <w:tc>
          <w:tcPr>
            <w:tcW w:w="4952" w:type="dxa"/>
            <w:vAlign w:val="center"/>
          </w:tcPr>
          <w:p w14:paraId="4344777D" w14:textId="3D8A44F6"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automātiski norādīti no iepriekšējās darba lapas</w:t>
            </w:r>
            <w:r w:rsidR="00677FA9">
              <w:rPr>
                <w:rFonts w:ascii="Times New Roman" w:hAnsi="Times New Roman" w:cs="Times New Roman"/>
                <w:color w:val="000000"/>
                <w:sz w:val="24"/>
                <w:szCs w:val="24"/>
              </w:rPr>
              <w:t xml:space="preserve"> Nr. 3</w:t>
            </w:r>
          </w:p>
        </w:tc>
      </w:tr>
      <w:tr w:rsidR="00BA5A22" w:rsidRPr="00D40490" w14:paraId="051AFE4F" w14:textId="77777777" w:rsidTr="000E7983">
        <w:trPr>
          <w:trHeight w:val="1412"/>
          <w:jc w:val="center"/>
        </w:trPr>
        <w:tc>
          <w:tcPr>
            <w:tcW w:w="4952" w:type="dxa"/>
            <w:vAlign w:val="center"/>
          </w:tcPr>
          <w:p w14:paraId="4D244395" w14:textId="77777777"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izmaksas apkurei</w:t>
            </w:r>
          </w:p>
        </w:tc>
        <w:tc>
          <w:tcPr>
            <w:tcW w:w="4952" w:type="dxa"/>
            <w:vAlign w:val="center"/>
          </w:tcPr>
          <w:p w14:paraId="03418F16" w14:textId="2ECEB9B6"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aprēķināts</w:t>
            </w:r>
            <w:r w:rsidR="00264B48">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ņemot vērā siltumenerģijas patēriņu apku</w:t>
            </w:r>
            <w:r w:rsidR="002D05AF">
              <w:rPr>
                <w:rFonts w:ascii="Times New Roman" w:hAnsi="Times New Roman" w:cs="Times New Roman"/>
                <w:color w:val="000000"/>
                <w:sz w:val="24"/>
                <w:szCs w:val="24"/>
              </w:rPr>
              <w:t>res un siltumenerģijas tarifu EU</w:t>
            </w:r>
            <w:r w:rsidRPr="00D40490">
              <w:rPr>
                <w:rFonts w:ascii="Times New Roman" w:hAnsi="Times New Roman" w:cs="Times New Roman"/>
                <w:color w:val="000000"/>
                <w:sz w:val="24"/>
                <w:szCs w:val="24"/>
              </w:rPr>
              <w:t>RO gadā</w:t>
            </w:r>
          </w:p>
        </w:tc>
      </w:tr>
      <w:tr w:rsidR="001064BF" w:rsidRPr="00D40490" w14:paraId="0BFCF6D1" w14:textId="77777777" w:rsidTr="000E7983">
        <w:trPr>
          <w:trHeight w:val="701"/>
          <w:jc w:val="center"/>
        </w:trPr>
        <w:tc>
          <w:tcPr>
            <w:tcW w:w="9904" w:type="dxa"/>
            <w:gridSpan w:val="2"/>
            <w:vAlign w:val="center"/>
          </w:tcPr>
          <w:p w14:paraId="779AE2D5" w14:textId="77777777" w:rsidR="001064BF" w:rsidRPr="000E7983"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t>Kopējās siltumenerģijas ekspluatācijas izmaksas gadā tiek aprēķinātas, ņemot vērā –</w:t>
            </w:r>
          </w:p>
        </w:tc>
      </w:tr>
      <w:tr w:rsidR="001064BF" w:rsidRPr="00D40490" w14:paraId="2D58E99E" w14:textId="77777777" w:rsidTr="000E7983">
        <w:trPr>
          <w:trHeight w:val="1839"/>
          <w:jc w:val="center"/>
        </w:trPr>
        <w:tc>
          <w:tcPr>
            <w:tcW w:w="4952" w:type="dxa"/>
            <w:vAlign w:val="center"/>
          </w:tcPr>
          <w:p w14:paraId="0295546C" w14:textId="7B9F29A0" w:rsidR="001064BF" w:rsidRPr="00D40490"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Siltuma maksas sadalītāju iekārtu ekspluatācijas izmaksas </w:t>
            </w:r>
            <w:r w:rsidR="00677FA9">
              <w:rPr>
                <w:rFonts w:ascii="Times New Roman" w:hAnsi="Times New Roman" w:cs="Times New Roman"/>
                <w:color w:val="000000"/>
                <w:sz w:val="24"/>
                <w:szCs w:val="24"/>
              </w:rPr>
              <w:t>un/</w:t>
            </w:r>
            <w:r w:rsidRPr="00D40490">
              <w:rPr>
                <w:rFonts w:ascii="Times New Roman" w:hAnsi="Times New Roman" w:cs="Times New Roman"/>
                <w:color w:val="000000"/>
                <w:sz w:val="24"/>
                <w:szCs w:val="24"/>
              </w:rPr>
              <w:t>vai siltumenerģijas sadalījuma uzskaites izmaksas</w:t>
            </w:r>
          </w:p>
        </w:tc>
        <w:tc>
          <w:tcPr>
            <w:tcW w:w="4952" w:type="dxa"/>
            <w:vAlign w:val="center"/>
          </w:tcPr>
          <w:p w14:paraId="35D451F5" w14:textId="77777777" w:rsidR="001064BF"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norādītas visas izmaksas gadā, kuras saistītas ar siltuma maksas sadalītāju iekārtu ekspluatāciju, piemēram</w:t>
            </w:r>
            <w:r w:rsidR="000E7983">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siltumenerģijas skaitītāju nolasīšana un enerģijas patēriņa sadalīšana</w:t>
            </w:r>
          </w:p>
        </w:tc>
      </w:tr>
      <w:tr w:rsidR="001064BF" w:rsidRPr="00D40490" w14:paraId="5C375681" w14:textId="77777777" w:rsidTr="000E7983">
        <w:trPr>
          <w:trHeight w:val="1164"/>
          <w:jc w:val="center"/>
        </w:trPr>
        <w:tc>
          <w:tcPr>
            <w:tcW w:w="4952" w:type="dxa"/>
            <w:vAlign w:val="center"/>
          </w:tcPr>
          <w:p w14:paraId="47071310" w14:textId="346DDCAB" w:rsidR="001064BF" w:rsidRPr="00D40490"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t>Citas ar siltumenerģijas uzskaites sadalījumu saistīt</w:t>
            </w:r>
            <w:r w:rsidR="0032752C">
              <w:rPr>
                <w:rFonts w:ascii="Times New Roman" w:hAnsi="Times New Roman" w:cs="Times New Roman"/>
                <w:color w:val="000000"/>
                <w:sz w:val="24"/>
                <w:szCs w:val="24"/>
              </w:rPr>
              <w:t>ās</w:t>
            </w:r>
            <w:r w:rsidRPr="00D40490">
              <w:rPr>
                <w:rFonts w:ascii="Times New Roman" w:hAnsi="Times New Roman" w:cs="Times New Roman"/>
                <w:color w:val="000000"/>
                <w:sz w:val="24"/>
                <w:szCs w:val="24"/>
              </w:rPr>
              <w:t xml:space="preserve"> izmaks</w:t>
            </w:r>
            <w:r w:rsidR="0032752C">
              <w:rPr>
                <w:rFonts w:ascii="Times New Roman" w:hAnsi="Times New Roman" w:cs="Times New Roman"/>
                <w:color w:val="000000"/>
                <w:sz w:val="24"/>
                <w:szCs w:val="24"/>
              </w:rPr>
              <w:t>as</w:t>
            </w:r>
          </w:p>
        </w:tc>
        <w:tc>
          <w:tcPr>
            <w:tcW w:w="4952" w:type="dxa"/>
            <w:vAlign w:val="center"/>
          </w:tcPr>
          <w:p w14:paraId="75731D48" w14:textId="69DF635E" w:rsidR="001064BF"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norādītas citas izmaksas, kuras saistītas ar siltumenerģijas uzskaites sadalījumu</w:t>
            </w:r>
            <w:r w:rsidR="00CE65D2">
              <w:rPr>
                <w:rFonts w:ascii="Times New Roman" w:hAnsi="Times New Roman" w:cs="Times New Roman"/>
                <w:color w:val="000000"/>
                <w:sz w:val="24"/>
                <w:szCs w:val="24"/>
              </w:rPr>
              <w:t xml:space="preserve">, piemēram personāla algas, jau daļēja </w:t>
            </w:r>
            <w:r w:rsidR="00E51A05">
              <w:rPr>
                <w:rFonts w:ascii="Times New Roman" w:hAnsi="Times New Roman" w:cs="Times New Roman"/>
                <w:color w:val="000000"/>
                <w:sz w:val="24"/>
                <w:szCs w:val="24"/>
              </w:rPr>
              <w:t>individuālās sistēmas ieviešanas izmaksas un tml.</w:t>
            </w:r>
          </w:p>
        </w:tc>
      </w:tr>
      <w:tr w:rsidR="001064BF" w:rsidRPr="00D40490" w14:paraId="5A014ECD" w14:textId="77777777" w:rsidTr="000E7983">
        <w:trPr>
          <w:trHeight w:val="1300"/>
          <w:jc w:val="center"/>
        </w:trPr>
        <w:tc>
          <w:tcPr>
            <w:tcW w:w="4952" w:type="dxa"/>
            <w:vAlign w:val="center"/>
          </w:tcPr>
          <w:p w14:paraId="51FE7CBC" w14:textId="6CF8076B" w:rsidR="001064BF" w:rsidRPr="00D40490"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lastRenderedPageBreak/>
              <w:t>Remonta izmaksas saistībā ar siltumenerģijas apgādes nodrošināšanu</w:t>
            </w:r>
          </w:p>
        </w:tc>
        <w:tc>
          <w:tcPr>
            <w:tcW w:w="4952" w:type="dxa"/>
            <w:vAlign w:val="center"/>
          </w:tcPr>
          <w:p w14:paraId="2B042B63" w14:textId="22D53923" w:rsidR="001064BF"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 xml:space="preserve">tiek norādītas remonta izmaksas, kuras saistītas ar siltumenerģijas (apkures) nodrošināšanu, piemēram, sildķermeņu </w:t>
            </w:r>
            <w:r w:rsidR="00E51A05">
              <w:rPr>
                <w:rFonts w:ascii="Times New Roman" w:hAnsi="Times New Roman" w:cs="Times New Roman"/>
                <w:color w:val="000000"/>
                <w:sz w:val="24"/>
                <w:szCs w:val="24"/>
              </w:rPr>
              <w:t xml:space="preserve">un sadales sistēmas </w:t>
            </w:r>
            <w:r w:rsidRPr="00D40490">
              <w:rPr>
                <w:rFonts w:ascii="Times New Roman" w:hAnsi="Times New Roman" w:cs="Times New Roman"/>
                <w:color w:val="000000"/>
                <w:sz w:val="24"/>
                <w:szCs w:val="24"/>
              </w:rPr>
              <w:t>remonts</w:t>
            </w:r>
          </w:p>
        </w:tc>
      </w:tr>
    </w:tbl>
    <w:p w14:paraId="398EB5B3" w14:textId="77777777" w:rsidR="00B137FB" w:rsidRPr="00D40490" w:rsidRDefault="00B137FB" w:rsidP="00B137FB">
      <w:pPr>
        <w:jc w:val="both"/>
        <w:rPr>
          <w:rFonts w:ascii="Times New Roman" w:hAnsi="Times New Roman" w:cs="Times New Roman"/>
          <w:color w:val="000000"/>
          <w:sz w:val="24"/>
          <w:szCs w:val="24"/>
        </w:rPr>
      </w:pPr>
    </w:p>
    <w:p w14:paraId="32DD66C0" w14:textId="1B5D6D25" w:rsidR="00B137FB" w:rsidRPr="00D40490" w:rsidRDefault="00B137FB" w:rsidP="002D05AF">
      <w:pPr>
        <w:pStyle w:val="Heading2"/>
        <w:spacing w:before="0" w:after="120" w:line="240" w:lineRule="auto"/>
        <w:rPr>
          <w:rFonts w:ascii="Times New Roman" w:hAnsi="Times New Roman" w:cs="Times New Roman"/>
          <w:color w:val="000000" w:themeColor="text1"/>
          <w:sz w:val="24"/>
          <w:szCs w:val="24"/>
        </w:rPr>
      </w:pPr>
      <w:bookmarkStart w:id="6" w:name="_Toc91665793"/>
      <w:r w:rsidRPr="00D40490">
        <w:rPr>
          <w:rFonts w:ascii="Times New Roman" w:hAnsi="Times New Roman" w:cs="Times New Roman"/>
          <w:color w:val="000000" w:themeColor="text1"/>
          <w:sz w:val="24"/>
          <w:szCs w:val="24"/>
        </w:rPr>
        <w:t xml:space="preserve">Darba lapa Nr. </w:t>
      </w:r>
      <w:r w:rsidR="00044D0F">
        <w:rPr>
          <w:rFonts w:ascii="Times New Roman" w:hAnsi="Times New Roman" w:cs="Times New Roman"/>
          <w:color w:val="000000" w:themeColor="text1"/>
          <w:sz w:val="24"/>
          <w:szCs w:val="24"/>
        </w:rPr>
        <w:t>5</w:t>
      </w:r>
      <w:r w:rsidR="00044D0F" w:rsidRPr="00D40490">
        <w:rPr>
          <w:rFonts w:ascii="Times New Roman" w:hAnsi="Times New Roman" w:cs="Times New Roman"/>
          <w:color w:val="000000" w:themeColor="text1"/>
          <w:sz w:val="24"/>
          <w:szCs w:val="24"/>
        </w:rPr>
        <w:t xml:space="preserve"> </w:t>
      </w:r>
      <w:r w:rsidR="00264B48">
        <w:rPr>
          <w:rFonts w:ascii="Times New Roman" w:hAnsi="Times New Roman" w:cs="Times New Roman"/>
          <w:color w:val="000000" w:themeColor="text1"/>
          <w:sz w:val="24"/>
          <w:szCs w:val="24"/>
        </w:rPr>
        <w:t>Individuālo s</w:t>
      </w:r>
      <w:r w:rsidRPr="00D40490">
        <w:rPr>
          <w:rFonts w:ascii="Times New Roman" w:hAnsi="Times New Roman" w:cs="Times New Roman"/>
          <w:color w:val="000000" w:themeColor="text1"/>
          <w:sz w:val="24"/>
          <w:szCs w:val="24"/>
        </w:rPr>
        <w:t>iltuma maksas sadalītāju</w:t>
      </w:r>
      <w:r w:rsidR="00264B48">
        <w:rPr>
          <w:rFonts w:ascii="Times New Roman" w:hAnsi="Times New Roman" w:cs="Times New Roman"/>
          <w:color w:val="000000" w:themeColor="text1"/>
          <w:sz w:val="24"/>
          <w:szCs w:val="24"/>
        </w:rPr>
        <w:t xml:space="preserve"> (SMS)</w:t>
      </w:r>
      <w:r w:rsidRPr="00D40490">
        <w:rPr>
          <w:rFonts w:ascii="Times New Roman" w:hAnsi="Times New Roman" w:cs="Times New Roman"/>
          <w:color w:val="000000" w:themeColor="text1"/>
          <w:sz w:val="24"/>
          <w:szCs w:val="24"/>
        </w:rPr>
        <w:t xml:space="preserve"> uzstādīšanas izmaksas</w:t>
      </w:r>
      <w:bookmarkEnd w:id="6"/>
      <w:r w:rsidRPr="00D40490">
        <w:rPr>
          <w:rFonts w:ascii="Times New Roman" w:hAnsi="Times New Roman" w:cs="Times New Roman"/>
          <w:color w:val="000000" w:themeColor="text1"/>
          <w:sz w:val="24"/>
          <w:szCs w:val="24"/>
        </w:rPr>
        <w:t xml:space="preserve"> </w:t>
      </w:r>
    </w:p>
    <w:p w14:paraId="224D6A91" w14:textId="465EA88B" w:rsidR="00B137FB"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 xml:space="preserve">Kopējās </w:t>
      </w:r>
      <w:r w:rsidR="00264B48">
        <w:rPr>
          <w:rFonts w:ascii="Times New Roman" w:hAnsi="Times New Roman" w:cs="Times New Roman"/>
          <w:b/>
          <w:color w:val="000000"/>
          <w:sz w:val="24"/>
          <w:szCs w:val="24"/>
        </w:rPr>
        <w:t>SMS</w:t>
      </w:r>
      <w:r w:rsidRPr="00D40490">
        <w:rPr>
          <w:rFonts w:ascii="Times New Roman" w:hAnsi="Times New Roman" w:cs="Times New Roman"/>
          <w:b/>
          <w:color w:val="000000"/>
          <w:sz w:val="24"/>
          <w:szCs w:val="24"/>
        </w:rPr>
        <w:t xml:space="preserve"> un to darbībai nepieciešamo iekārtu uzstādīšanas un apkures sistēmas pielāgošanas iz</w:t>
      </w:r>
      <w:r w:rsidR="002D05AF">
        <w:rPr>
          <w:rFonts w:ascii="Times New Roman" w:hAnsi="Times New Roman" w:cs="Times New Roman"/>
          <w:b/>
          <w:color w:val="000000"/>
          <w:sz w:val="24"/>
          <w:szCs w:val="24"/>
        </w:rPr>
        <w:t xml:space="preserve">maksas tiek noteiktas sekojoši </w:t>
      </w:r>
    </w:p>
    <w:tbl>
      <w:tblPr>
        <w:tblStyle w:val="TableGrid"/>
        <w:tblW w:w="0" w:type="auto"/>
        <w:jc w:val="center"/>
        <w:tblLook w:val="04A0" w:firstRow="1" w:lastRow="0" w:firstColumn="1" w:lastColumn="0" w:noHBand="0" w:noVBand="1"/>
      </w:tblPr>
      <w:tblGrid>
        <w:gridCol w:w="4839"/>
        <w:gridCol w:w="4839"/>
      </w:tblGrid>
      <w:tr w:rsidR="001064BF" w:rsidRPr="00D40490" w14:paraId="1A87B333" w14:textId="77777777" w:rsidTr="000E7983">
        <w:trPr>
          <w:trHeight w:val="659"/>
          <w:jc w:val="center"/>
        </w:trPr>
        <w:tc>
          <w:tcPr>
            <w:tcW w:w="4952" w:type="dxa"/>
            <w:vAlign w:val="center"/>
          </w:tcPr>
          <w:p w14:paraId="0EFE0DD4"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436526A0"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1064BF" w:rsidRPr="00D40490" w14:paraId="5A816C0F" w14:textId="77777777" w:rsidTr="009B0FA5">
        <w:trPr>
          <w:trHeight w:val="1831"/>
          <w:jc w:val="center"/>
        </w:trPr>
        <w:tc>
          <w:tcPr>
            <w:tcW w:w="4952" w:type="dxa"/>
            <w:vAlign w:val="center"/>
          </w:tcPr>
          <w:p w14:paraId="62F274A8" w14:textId="4F0D1D2C" w:rsidR="001064BF" w:rsidRPr="00D40490" w:rsidRDefault="00264B48" w:rsidP="009B0FA5">
            <w:pPr>
              <w:rPr>
                <w:rFonts w:ascii="Times New Roman" w:hAnsi="Times New Roman" w:cs="Times New Roman"/>
                <w:color w:val="000000"/>
                <w:sz w:val="24"/>
                <w:szCs w:val="24"/>
              </w:rPr>
            </w:pPr>
            <w:r>
              <w:rPr>
                <w:rFonts w:ascii="Times New Roman" w:hAnsi="Times New Roman" w:cs="Times New Roman"/>
                <w:color w:val="000000"/>
                <w:sz w:val="24"/>
                <w:szCs w:val="24"/>
              </w:rPr>
              <w:t>SMS</w:t>
            </w:r>
            <w:r w:rsidR="001064BF" w:rsidRPr="00D40490">
              <w:rPr>
                <w:rFonts w:ascii="Times New Roman" w:hAnsi="Times New Roman" w:cs="Times New Roman"/>
                <w:color w:val="000000"/>
                <w:sz w:val="24"/>
                <w:szCs w:val="24"/>
              </w:rPr>
              <w:t xml:space="preserve"> iekārtas un tās uzstādīšanas i</w:t>
            </w:r>
            <w:r w:rsidR="009B0FA5">
              <w:rPr>
                <w:rFonts w:ascii="Times New Roman" w:hAnsi="Times New Roman" w:cs="Times New Roman"/>
                <w:color w:val="000000"/>
                <w:sz w:val="24"/>
                <w:szCs w:val="24"/>
              </w:rPr>
              <w:t>zmaksas par vienu sildelementu</w:t>
            </w:r>
          </w:p>
        </w:tc>
        <w:tc>
          <w:tcPr>
            <w:tcW w:w="4952" w:type="dxa"/>
            <w:vAlign w:val="center"/>
          </w:tcPr>
          <w:p w14:paraId="0A7235AA" w14:textId="7C845433" w:rsidR="001064BF" w:rsidRPr="00D40490" w:rsidRDefault="009B0FA5"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noteiktas vienas mēriekārtas</w:t>
            </w:r>
            <w:r>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w:t>
            </w:r>
            <w:r w:rsidR="001064BF" w:rsidRPr="00D40490">
              <w:rPr>
                <w:rFonts w:ascii="Times New Roman" w:hAnsi="Times New Roman" w:cs="Times New Roman"/>
                <w:color w:val="000000"/>
                <w:sz w:val="24"/>
                <w:szCs w:val="24"/>
              </w:rPr>
              <w:t>piemēram, alokatora izmaksas, iekļaujot arī uzstādīšanas izmaksas vienam sildelementam, izmaksas var atrast interneta vietnēs vai arī sazinoties ar iekārtu piegādātājiem</w:t>
            </w:r>
          </w:p>
        </w:tc>
      </w:tr>
      <w:tr w:rsidR="001064BF" w:rsidRPr="00D40490" w14:paraId="04A22CE5" w14:textId="77777777" w:rsidTr="000E7983">
        <w:trPr>
          <w:trHeight w:val="2254"/>
          <w:jc w:val="center"/>
        </w:trPr>
        <w:tc>
          <w:tcPr>
            <w:tcW w:w="4952" w:type="dxa"/>
            <w:vAlign w:val="center"/>
          </w:tcPr>
          <w:p w14:paraId="321B6938"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Termoregulatoru un apvadcauruļu uzstādīšanas izmaksas par vienu sildelementu</w:t>
            </w:r>
          </w:p>
        </w:tc>
        <w:tc>
          <w:tcPr>
            <w:tcW w:w="4952" w:type="dxa"/>
            <w:vAlign w:val="center"/>
          </w:tcPr>
          <w:p w14:paraId="60A06727"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noteiktas vienas iekārtas izmaksas, iekļaujot arī uzstādīšanas izmaksas par vienu sildelementu, izmaksas var atrast interneta vietnēs vai arī sazinoties ar iekārtu piegādātājiem. Gadījumos, ja uzstādīšanu veic apsaimniekotājs, tad izmaksas var noteikt pēc tāmju sastādīšanas</w:t>
            </w:r>
          </w:p>
        </w:tc>
      </w:tr>
      <w:tr w:rsidR="001064BF" w:rsidRPr="00D40490" w14:paraId="4FD9C7A0" w14:textId="77777777" w:rsidTr="000E7983">
        <w:trPr>
          <w:trHeight w:val="2399"/>
          <w:jc w:val="center"/>
        </w:trPr>
        <w:tc>
          <w:tcPr>
            <w:tcW w:w="4952" w:type="dxa"/>
            <w:vAlign w:val="center"/>
          </w:tcPr>
          <w:p w14:paraId="5CA10BFB"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Viena sildelementa uzstādīšanas izmaksas</w:t>
            </w:r>
          </w:p>
        </w:tc>
        <w:tc>
          <w:tcPr>
            <w:tcW w:w="4952" w:type="dxa"/>
            <w:vAlign w:val="center"/>
          </w:tcPr>
          <w:p w14:paraId="29557E44"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gadījumos, kad ir nepieciešams nomainīt esošos sildķermeņus pret jauniem, tad tiek noteiktas viena sildelementa izmaksas, tās var atrast interneta vietnēs vai arī sazinoties ar iekārtu piegādātājiem. Gadījumos, ja uzstādīšanu veic apsaimniekotājs, tad izmaksas var noteikt pēc tāmju sastādīšanas</w:t>
            </w:r>
          </w:p>
        </w:tc>
      </w:tr>
      <w:tr w:rsidR="001064BF" w:rsidRPr="00D40490" w14:paraId="6E729E55" w14:textId="77777777" w:rsidTr="000E7983">
        <w:trPr>
          <w:trHeight w:val="1556"/>
          <w:jc w:val="center"/>
        </w:trPr>
        <w:tc>
          <w:tcPr>
            <w:tcW w:w="4952" w:type="dxa"/>
            <w:vAlign w:val="center"/>
          </w:tcPr>
          <w:p w14:paraId="70CC258E"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Sildelementu skaits ēkā</w:t>
            </w:r>
          </w:p>
        </w:tc>
        <w:tc>
          <w:tcPr>
            <w:tcW w:w="4952" w:type="dxa"/>
            <w:vAlign w:val="center"/>
          </w:tcPr>
          <w:p w14:paraId="62C9B005"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norādīti visi sildķermeņi ēkā, kuriem tiks uzstādīti siltuma maksas sadalītāji, gadījumos, ja uz sildķermeņiem neuzstāda iekārtas, piemēram, kāpņu telpās, tad šos sildelementus nenorāda</w:t>
            </w:r>
          </w:p>
        </w:tc>
      </w:tr>
    </w:tbl>
    <w:p w14:paraId="3E312002" w14:textId="77777777" w:rsidR="000E7983" w:rsidRDefault="000E7983">
      <w:r>
        <w:br w:type="page"/>
      </w:r>
    </w:p>
    <w:tbl>
      <w:tblPr>
        <w:tblStyle w:val="TableGrid"/>
        <w:tblW w:w="0" w:type="auto"/>
        <w:jc w:val="center"/>
        <w:tblLook w:val="04A0" w:firstRow="1" w:lastRow="0" w:firstColumn="1" w:lastColumn="0" w:noHBand="0" w:noVBand="1"/>
      </w:tblPr>
      <w:tblGrid>
        <w:gridCol w:w="4838"/>
        <w:gridCol w:w="4840"/>
      </w:tblGrid>
      <w:tr w:rsidR="001064BF" w:rsidRPr="00D40490" w14:paraId="2C2E4EA1" w14:textId="77777777" w:rsidTr="000E7983">
        <w:trPr>
          <w:trHeight w:val="1406"/>
          <w:jc w:val="center"/>
        </w:trPr>
        <w:tc>
          <w:tcPr>
            <w:tcW w:w="4952" w:type="dxa"/>
            <w:vAlign w:val="center"/>
          </w:tcPr>
          <w:p w14:paraId="7DA5D3C0"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lastRenderedPageBreak/>
              <w:t>Sildelementu skaits, kam jāuzstāda termoregulators vai apvadcaurules</w:t>
            </w:r>
          </w:p>
        </w:tc>
        <w:tc>
          <w:tcPr>
            <w:tcW w:w="4952" w:type="dxa"/>
            <w:vAlign w:val="center"/>
          </w:tcPr>
          <w:p w14:paraId="5DB96396"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norādīti visi sildķermeņi ēkā, kuriem tiks uzstādīti termoregulatori, gadījumos, ja uz sildķermeņiem neuzstāda iekārtas, piemēram, kāpņu telpās, tad šos sildelementus nenorāda</w:t>
            </w:r>
          </w:p>
        </w:tc>
      </w:tr>
      <w:tr w:rsidR="001064BF" w:rsidRPr="00D40490" w14:paraId="021BE530" w14:textId="77777777" w:rsidTr="000E7983">
        <w:trPr>
          <w:trHeight w:val="1411"/>
          <w:jc w:val="center"/>
        </w:trPr>
        <w:tc>
          <w:tcPr>
            <w:tcW w:w="4952" w:type="dxa"/>
            <w:vAlign w:val="center"/>
          </w:tcPr>
          <w:p w14:paraId="078B47DD"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Sildelementu skaits, kas jāuzstāda</w:t>
            </w:r>
          </w:p>
        </w:tc>
        <w:tc>
          <w:tcPr>
            <w:tcW w:w="4952" w:type="dxa"/>
            <w:vAlign w:val="center"/>
          </w:tcPr>
          <w:p w14:paraId="0550A6CE"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norādīts sildelementu skaits, kuri ir jānomaina un jāuzstāda jauni, gadījumos, ja telpās ir sildelementi, kuri ir nokalpojuši savu laiku, tad var paredzēt sildelementu nomaiņu</w:t>
            </w:r>
          </w:p>
        </w:tc>
      </w:tr>
      <w:tr w:rsidR="001064BF" w:rsidRPr="00D40490" w14:paraId="20479158" w14:textId="77777777" w:rsidTr="000E7983">
        <w:trPr>
          <w:trHeight w:val="1971"/>
          <w:jc w:val="center"/>
        </w:trPr>
        <w:tc>
          <w:tcPr>
            <w:tcW w:w="4952" w:type="dxa"/>
            <w:vAlign w:val="center"/>
          </w:tcPr>
          <w:p w14:paraId="03340655" w14:textId="23E653DF" w:rsidR="001064BF" w:rsidRPr="00D40490" w:rsidRDefault="0007133D" w:rsidP="00576025">
            <w:pPr>
              <w:rPr>
                <w:rFonts w:ascii="Times New Roman" w:hAnsi="Times New Roman" w:cs="Times New Roman"/>
                <w:color w:val="000000"/>
                <w:sz w:val="24"/>
                <w:szCs w:val="24"/>
              </w:rPr>
            </w:pPr>
            <w:r w:rsidRPr="0007133D">
              <w:rPr>
                <w:rFonts w:ascii="Times New Roman" w:hAnsi="Times New Roman" w:cs="Times New Roman"/>
                <w:color w:val="000000"/>
                <w:sz w:val="24"/>
                <w:szCs w:val="24"/>
              </w:rPr>
              <w:t>Citas apkures sistēmas pielāgošanas izmaksas, kas nepieciešamas siltuma maksas sadalītāju darbības nodrošināšanai</w:t>
            </w:r>
          </w:p>
        </w:tc>
        <w:tc>
          <w:tcPr>
            <w:tcW w:w="4952" w:type="dxa"/>
            <w:vAlign w:val="center"/>
          </w:tcPr>
          <w:p w14:paraId="7DE39E94" w14:textId="1614B3F5"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norādītas visas izmaksas, kuras vēl papildu nepieciešamas, lai pielāgotu esošo sistēmu siltuma maksas sadalītāju darbībai, piemēram</w:t>
            </w:r>
            <w:r w:rsidR="00BA0DC1">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attālināta datu nolasīšana, apkures sistēmas skalošana un tml.</w:t>
            </w:r>
          </w:p>
        </w:tc>
      </w:tr>
    </w:tbl>
    <w:p w14:paraId="749F996F" w14:textId="77777777" w:rsidR="000E7983" w:rsidRDefault="000E7983" w:rsidP="002D05AF">
      <w:pPr>
        <w:spacing w:after="120" w:line="240" w:lineRule="auto"/>
        <w:jc w:val="both"/>
        <w:rPr>
          <w:rFonts w:ascii="Times New Roman" w:hAnsi="Times New Roman" w:cs="Times New Roman"/>
          <w:color w:val="000000"/>
          <w:sz w:val="24"/>
          <w:szCs w:val="24"/>
        </w:rPr>
      </w:pPr>
    </w:p>
    <w:p w14:paraId="64D0C369" w14:textId="7A2C4D2D" w:rsidR="002D05AF"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 xml:space="preserve">Kopējās </w:t>
      </w:r>
      <w:r w:rsidR="009A4B0F">
        <w:rPr>
          <w:rFonts w:ascii="Times New Roman" w:hAnsi="Times New Roman" w:cs="Times New Roman"/>
          <w:b/>
          <w:color w:val="000000"/>
          <w:sz w:val="24"/>
          <w:szCs w:val="24"/>
        </w:rPr>
        <w:t>SMS</w:t>
      </w:r>
      <w:r w:rsidRPr="00D40490">
        <w:rPr>
          <w:rFonts w:ascii="Times New Roman" w:hAnsi="Times New Roman" w:cs="Times New Roman"/>
          <w:b/>
          <w:color w:val="000000"/>
          <w:sz w:val="24"/>
          <w:szCs w:val="24"/>
        </w:rPr>
        <w:t xml:space="preserve"> iekārtu ekspluatācijas</w:t>
      </w:r>
      <w:r w:rsidR="002D05AF">
        <w:rPr>
          <w:rFonts w:ascii="Times New Roman" w:hAnsi="Times New Roman" w:cs="Times New Roman"/>
          <w:b/>
          <w:color w:val="000000"/>
          <w:sz w:val="24"/>
          <w:szCs w:val="24"/>
        </w:rPr>
        <w:t xml:space="preserve"> izmaksas gadā tiek noteiktas</w:t>
      </w:r>
    </w:p>
    <w:tbl>
      <w:tblPr>
        <w:tblStyle w:val="TableGrid"/>
        <w:tblW w:w="0" w:type="auto"/>
        <w:jc w:val="center"/>
        <w:tblLook w:val="04A0" w:firstRow="1" w:lastRow="0" w:firstColumn="1" w:lastColumn="0" w:noHBand="0" w:noVBand="1"/>
      </w:tblPr>
      <w:tblGrid>
        <w:gridCol w:w="4835"/>
        <w:gridCol w:w="4843"/>
      </w:tblGrid>
      <w:tr w:rsidR="001064BF" w:rsidRPr="00D40490" w14:paraId="192C63BA" w14:textId="77777777" w:rsidTr="000E7983">
        <w:trPr>
          <w:trHeight w:val="1049"/>
          <w:jc w:val="center"/>
        </w:trPr>
        <w:tc>
          <w:tcPr>
            <w:tcW w:w="4952" w:type="dxa"/>
            <w:vAlign w:val="center"/>
          </w:tcPr>
          <w:p w14:paraId="37E575E7"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78E8E1D3"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1064BF" w:rsidRPr="00D40490" w14:paraId="7AAD43EC" w14:textId="77777777" w:rsidTr="000E7983">
        <w:trPr>
          <w:trHeight w:val="2254"/>
          <w:jc w:val="center"/>
        </w:trPr>
        <w:tc>
          <w:tcPr>
            <w:tcW w:w="4952" w:type="dxa"/>
            <w:vAlign w:val="center"/>
          </w:tcPr>
          <w:p w14:paraId="56FA84A6" w14:textId="6EBEEE95" w:rsidR="001064BF" w:rsidRPr="00D40490" w:rsidRDefault="009A4B0F"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SMS</w:t>
            </w:r>
            <w:r w:rsidR="001064BF" w:rsidRPr="00D40490">
              <w:rPr>
                <w:rFonts w:ascii="Times New Roman" w:hAnsi="Times New Roman" w:cs="Times New Roman"/>
                <w:color w:val="000000"/>
                <w:sz w:val="24"/>
                <w:szCs w:val="24"/>
              </w:rPr>
              <w:t xml:space="preserve"> iekārtu ekspluatācijas izmaksas par vienu sildelementu mēnesī</w:t>
            </w:r>
          </w:p>
        </w:tc>
        <w:tc>
          <w:tcPr>
            <w:tcW w:w="4952" w:type="dxa"/>
            <w:vAlign w:val="center"/>
          </w:tcPr>
          <w:p w14:paraId="63BFC957" w14:textId="77777777" w:rsidR="000E7983"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norādītas siltuma maksas iekārtu ekspluatācijas izmaksas</w:t>
            </w:r>
            <w:r w:rsidR="000E7983">
              <w:rPr>
                <w:rFonts w:ascii="Times New Roman" w:hAnsi="Times New Roman" w:cs="Times New Roman"/>
                <w:color w:val="000000"/>
                <w:sz w:val="24"/>
                <w:szCs w:val="24"/>
              </w:rPr>
              <w:t>;</w:t>
            </w:r>
          </w:p>
          <w:p w14:paraId="4F9C042B" w14:textId="77777777" w:rsidR="000E7983" w:rsidRDefault="000E7983" w:rsidP="00576025">
            <w:pPr>
              <w:rPr>
                <w:rFonts w:ascii="Times New Roman" w:hAnsi="Times New Roman" w:cs="Times New Roman"/>
                <w:color w:val="000000"/>
                <w:sz w:val="24"/>
                <w:szCs w:val="24"/>
              </w:rPr>
            </w:pPr>
            <w:r>
              <w:rPr>
                <w:rFonts w:ascii="Times New Roman" w:hAnsi="Times New Roman" w:cs="Times New Roman"/>
                <w:color w:val="000000"/>
                <w:sz w:val="24"/>
                <w:szCs w:val="24"/>
              </w:rPr>
              <w:t>izmaksas</w:t>
            </w:r>
            <w:r w:rsidR="001064BF" w:rsidRPr="00D40490">
              <w:rPr>
                <w:rFonts w:ascii="Times New Roman" w:hAnsi="Times New Roman" w:cs="Times New Roman"/>
                <w:color w:val="000000"/>
                <w:sz w:val="24"/>
                <w:szCs w:val="24"/>
              </w:rPr>
              <w:t xml:space="preserve"> var atrast</w:t>
            </w:r>
            <w:r w:rsidR="009A4B0F">
              <w:rPr>
                <w:rFonts w:ascii="Times New Roman" w:hAnsi="Times New Roman" w:cs="Times New Roman"/>
                <w:color w:val="000000"/>
                <w:sz w:val="24"/>
                <w:szCs w:val="24"/>
              </w:rPr>
              <w:t>,</w:t>
            </w:r>
            <w:r w:rsidR="001064BF" w:rsidRPr="00D40490">
              <w:rPr>
                <w:rFonts w:ascii="Times New Roman" w:hAnsi="Times New Roman" w:cs="Times New Roman"/>
                <w:color w:val="000000"/>
                <w:sz w:val="24"/>
                <w:szCs w:val="24"/>
              </w:rPr>
              <w:t xml:space="preserve"> sazinoties ar iekārtu piegādātājiem un/vai uzņēmumiem, kuri nodarbojas ar iekārtu ekspluatāciju</w:t>
            </w:r>
            <w:r>
              <w:rPr>
                <w:rFonts w:ascii="Times New Roman" w:hAnsi="Times New Roman" w:cs="Times New Roman"/>
                <w:color w:val="000000"/>
                <w:sz w:val="24"/>
                <w:szCs w:val="24"/>
              </w:rPr>
              <w:t>;</w:t>
            </w:r>
          </w:p>
          <w:p w14:paraId="2F58BF3D" w14:textId="77777777" w:rsidR="001064BF" w:rsidRPr="00D40490" w:rsidRDefault="000E7983"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g</w:t>
            </w:r>
            <w:r w:rsidR="001064BF" w:rsidRPr="00D40490">
              <w:rPr>
                <w:rFonts w:ascii="Times New Roman" w:hAnsi="Times New Roman" w:cs="Times New Roman"/>
                <w:color w:val="000000"/>
                <w:sz w:val="24"/>
                <w:szCs w:val="24"/>
              </w:rPr>
              <w:t>adījumos, ja uzstādīšanu veic apsaimniekotājs, tad izmaksas var noteikt pēc tāmju sastādīšanas</w:t>
            </w:r>
          </w:p>
        </w:tc>
      </w:tr>
      <w:tr w:rsidR="001064BF" w:rsidRPr="00D40490" w14:paraId="22B451AC" w14:textId="77777777" w:rsidTr="000E7983">
        <w:trPr>
          <w:trHeight w:val="1549"/>
          <w:jc w:val="center"/>
        </w:trPr>
        <w:tc>
          <w:tcPr>
            <w:tcW w:w="4952" w:type="dxa"/>
            <w:vAlign w:val="center"/>
          </w:tcPr>
          <w:p w14:paraId="6413C0D9" w14:textId="77777777"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Sildelementu skaits ēkā</w:t>
            </w:r>
          </w:p>
        </w:tc>
        <w:tc>
          <w:tcPr>
            <w:tcW w:w="4952" w:type="dxa"/>
            <w:vAlign w:val="center"/>
          </w:tcPr>
          <w:p w14:paraId="64DA3872" w14:textId="77777777"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norādīti visi sildķermeņi ēkā, kuriem tiks uzstādīti siltuma maksas sadalītāji, gadījumos, ja uz sildķermeņiem neuzstāda iekārtas, piemēram, kāpņu telpās, tad šos sildelementus nenorāda</w:t>
            </w:r>
          </w:p>
        </w:tc>
      </w:tr>
      <w:tr w:rsidR="001064BF" w:rsidRPr="00D40490" w14:paraId="6C5FF40D" w14:textId="77777777" w:rsidTr="000E7983">
        <w:trPr>
          <w:trHeight w:val="1152"/>
          <w:jc w:val="center"/>
        </w:trPr>
        <w:tc>
          <w:tcPr>
            <w:tcW w:w="4952" w:type="dxa"/>
            <w:vAlign w:val="center"/>
          </w:tcPr>
          <w:p w14:paraId="7AADE84E"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Siltuma maksas sadalītāju iekārtu apkalpošanas reizes apkures sezonā</w:t>
            </w:r>
          </w:p>
        </w:tc>
        <w:tc>
          <w:tcPr>
            <w:tcW w:w="4952" w:type="dxa"/>
            <w:vAlign w:val="center"/>
          </w:tcPr>
          <w:p w14:paraId="7CB5FAB5"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norādīts apkures sezonas ilgums mēnešos, parasti pieņem 7 mēnešus</w:t>
            </w:r>
          </w:p>
        </w:tc>
      </w:tr>
    </w:tbl>
    <w:p w14:paraId="38229221" w14:textId="77777777" w:rsidR="000E7983" w:rsidRDefault="000E7983" w:rsidP="00B137FB">
      <w:pPr>
        <w:jc w:val="both"/>
        <w:rPr>
          <w:rFonts w:ascii="Times New Roman" w:hAnsi="Times New Roman" w:cs="Times New Roman"/>
          <w:b/>
          <w:color w:val="000000"/>
          <w:sz w:val="24"/>
          <w:szCs w:val="24"/>
        </w:rPr>
      </w:pPr>
    </w:p>
    <w:p w14:paraId="214CDC20" w14:textId="77777777" w:rsidR="000E7983" w:rsidRDefault="000E7983">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1CA56CD4" w14:textId="620FFA41" w:rsidR="00B137FB" w:rsidRPr="00D40490" w:rsidRDefault="00B137FB" w:rsidP="00B137FB">
      <w:pPr>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lastRenderedPageBreak/>
        <w:t xml:space="preserve">Ikgadējās </w:t>
      </w:r>
      <w:r w:rsidR="009A4B0F">
        <w:rPr>
          <w:rFonts w:ascii="Times New Roman" w:hAnsi="Times New Roman" w:cs="Times New Roman"/>
          <w:b/>
          <w:color w:val="000000"/>
          <w:sz w:val="24"/>
          <w:szCs w:val="24"/>
        </w:rPr>
        <w:t>SMS</w:t>
      </w:r>
      <w:r w:rsidR="00362F1E" w:rsidRPr="00D40490">
        <w:rPr>
          <w:rFonts w:ascii="Times New Roman" w:hAnsi="Times New Roman" w:cs="Times New Roman"/>
          <w:b/>
          <w:color w:val="000000"/>
          <w:sz w:val="24"/>
          <w:szCs w:val="24"/>
        </w:rPr>
        <w:t xml:space="preserve"> uzturēšanas neto naudas plūsma </w:t>
      </w:r>
    </w:p>
    <w:tbl>
      <w:tblPr>
        <w:tblStyle w:val="TableGrid"/>
        <w:tblW w:w="0" w:type="auto"/>
        <w:jc w:val="center"/>
        <w:tblLook w:val="04A0" w:firstRow="1" w:lastRow="0" w:firstColumn="1" w:lastColumn="0" w:noHBand="0" w:noVBand="1"/>
      </w:tblPr>
      <w:tblGrid>
        <w:gridCol w:w="4844"/>
        <w:gridCol w:w="4834"/>
      </w:tblGrid>
      <w:tr w:rsidR="001064BF" w:rsidRPr="00D40490" w14:paraId="6B5DD7C5" w14:textId="77777777" w:rsidTr="00576025">
        <w:trPr>
          <w:trHeight w:val="481"/>
          <w:jc w:val="center"/>
        </w:trPr>
        <w:tc>
          <w:tcPr>
            <w:tcW w:w="4952" w:type="dxa"/>
            <w:vAlign w:val="center"/>
          </w:tcPr>
          <w:p w14:paraId="114CB325"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468159C6"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1064BF" w:rsidRPr="00D40490" w14:paraId="4A64A114" w14:textId="77777777" w:rsidTr="000E7983">
        <w:trPr>
          <w:trHeight w:val="859"/>
          <w:jc w:val="center"/>
        </w:trPr>
        <w:tc>
          <w:tcPr>
            <w:tcW w:w="4952" w:type="dxa"/>
            <w:vAlign w:val="center"/>
          </w:tcPr>
          <w:p w14:paraId="0A2B8E6A" w14:textId="77777777"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Patērētās siltumenerģijas izmaksas apkures nodrošināšanai gadā</w:t>
            </w:r>
          </w:p>
        </w:tc>
        <w:tc>
          <w:tcPr>
            <w:tcW w:w="4952" w:type="dxa"/>
            <w:vAlign w:val="center"/>
          </w:tcPr>
          <w:p w14:paraId="44033713" w14:textId="562C5599"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 xml:space="preserve">rādītājs tiek </w:t>
            </w:r>
            <w:r w:rsidR="00E51A05">
              <w:rPr>
                <w:rFonts w:ascii="Times New Roman" w:hAnsi="Times New Roman" w:cs="Times New Roman"/>
                <w:color w:val="000000"/>
                <w:sz w:val="24"/>
                <w:szCs w:val="24"/>
              </w:rPr>
              <w:t>automātisk</w:t>
            </w:r>
            <w:r w:rsidR="0056568C">
              <w:rPr>
                <w:rFonts w:ascii="Times New Roman" w:hAnsi="Times New Roman" w:cs="Times New Roman"/>
                <w:color w:val="000000"/>
                <w:sz w:val="24"/>
                <w:szCs w:val="24"/>
              </w:rPr>
              <w:t>i</w:t>
            </w:r>
            <w:r w:rsidR="00E51A05">
              <w:rPr>
                <w:rFonts w:ascii="Times New Roman" w:hAnsi="Times New Roman" w:cs="Times New Roman"/>
                <w:color w:val="000000"/>
                <w:sz w:val="24"/>
                <w:szCs w:val="24"/>
              </w:rPr>
              <w:t xml:space="preserve"> </w:t>
            </w:r>
            <w:r w:rsidRPr="00D40490">
              <w:rPr>
                <w:rFonts w:ascii="Times New Roman" w:hAnsi="Times New Roman" w:cs="Times New Roman"/>
                <w:color w:val="000000"/>
                <w:sz w:val="24"/>
                <w:szCs w:val="24"/>
              </w:rPr>
              <w:t>pārlikts no iepriekšējās darba lapas</w:t>
            </w:r>
            <w:r w:rsidR="0007133D">
              <w:rPr>
                <w:rFonts w:ascii="Times New Roman" w:hAnsi="Times New Roman" w:cs="Times New Roman"/>
                <w:color w:val="000000"/>
                <w:sz w:val="24"/>
                <w:szCs w:val="24"/>
              </w:rPr>
              <w:t xml:space="preserve"> Nr.5</w:t>
            </w:r>
          </w:p>
        </w:tc>
      </w:tr>
      <w:tr w:rsidR="001064BF" w:rsidRPr="00D40490" w14:paraId="601A1E0B" w14:textId="77777777" w:rsidTr="000E7983">
        <w:trPr>
          <w:trHeight w:val="1254"/>
          <w:jc w:val="center"/>
        </w:trPr>
        <w:tc>
          <w:tcPr>
            <w:tcW w:w="4952" w:type="dxa"/>
            <w:vAlign w:val="center"/>
          </w:tcPr>
          <w:p w14:paraId="1184598E" w14:textId="7F08875B" w:rsidR="00A017FC" w:rsidRPr="00D40490" w:rsidRDefault="00A017FC" w:rsidP="00576025">
            <w:pPr>
              <w:rPr>
                <w:rFonts w:ascii="Times New Roman" w:hAnsi="Times New Roman" w:cs="Times New Roman"/>
                <w:color w:val="000000"/>
                <w:sz w:val="24"/>
                <w:szCs w:val="24"/>
              </w:rPr>
            </w:pPr>
            <w:r w:rsidRPr="00A017FC">
              <w:rPr>
                <w:rFonts w:ascii="Times New Roman" w:hAnsi="Times New Roman" w:cs="Times New Roman"/>
                <w:color w:val="000000"/>
                <w:sz w:val="24"/>
                <w:szCs w:val="24"/>
              </w:rPr>
              <w:t>Pieņemtais enerģijas ietaupījums, uzstādot siltuma maksas sadalītājus atbilstoši ēkas izmantotās siltumenerģijas patēriņam (%)</w:t>
            </w:r>
          </w:p>
        </w:tc>
        <w:tc>
          <w:tcPr>
            <w:tcW w:w="4952" w:type="dxa"/>
            <w:vAlign w:val="center"/>
          </w:tcPr>
          <w:p w14:paraId="1D6C5589" w14:textId="7DDCA246"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rādītājs tiek </w:t>
            </w:r>
            <w:r w:rsidR="00E51A05">
              <w:rPr>
                <w:rFonts w:ascii="Times New Roman" w:hAnsi="Times New Roman" w:cs="Times New Roman"/>
                <w:color w:val="000000"/>
                <w:sz w:val="24"/>
                <w:szCs w:val="24"/>
              </w:rPr>
              <w:t xml:space="preserve">automātiski </w:t>
            </w:r>
            <w:r w:rsidRPr="00D40490">
              <w:rPr>
                <w:rFonts w:ascii="Times New Roman" w:hAnsi="Times New Roman" w:cs="Times New Roman"/>
                <w:color w:val="000000"/>
                <w:sz w:val="24"/>
                <w:szCs w:val="24"/>
              </w:rPr>
              <w:t>pārlikts no iepriekšējās darba lapas</w:t>
            </w:r>
            <w:r w:rsidR="0007133D">
              <w:rPr>
                <w:rFonts w:ascii="Times New Roman" w:hAnsi="Times New Roman" w:cs="Times New Roman"/>
                <w:color w:val="000000"/>
                <w:sz w:val="24"/>
                <w:szCs w:val="24"/>
              </w:rPr>
              <w:t xml:space="preserve"> Nr.5</w:t>
            </w:r>
          </w:p>
        </w:tc>
      </w:tr>
    </w:tbl>
    <w:p w14:paraId="64FF6B74" w14:textId="77777777" w:rsidR="006A5E5D" w:rsidRDefault="006A5E5D" w:rsidP="002D05AF">
      <w:pPr>
        <w:spacing w:after="120" w:line="240" w:lineRule="auto"/>
        <w:rPr>
          <w:rFonts w:ascii="Times New Roman" w:hAnsi="Times New Roman" w:cs="Times New Roman"/>
          <w:sz w:val="24"/>
          <w:szCs w:val="24"/>
        </w:rPr>
      </w:pPr>
    </w:p>
    <w:p w14:paraId="35CA2AB7" w14:textId="1D7B5193" w:rsidR="000E7983" w:rsidRDefault="000E7983" w:rsidP="002D05AF">
      <w:pPr>
        <w:pStyle w:val="Heading2"/>
        <w:spacing w:before="0" w:after="120" w:line="240" w:lineRule="auto"/>
        <w:rPr>
          <w:rFonts w:ascii="Times New Roman" w:hAnsi="Times New Roman" w:cs="Times New Roman"/>
          <w:color w:val="000000" w:themeColor="text1"/>
          <w:sz w:val="24"/>
          <w:szCs w:val="24"/>
        </w:rPr>
      </w:pPr>
      <w:bookmarkStart w:id="7" w:name="_Toc91665794"/>
      <w:r w:rsidRPr="00D40490">
        <w:rPr>
          <w:rFonts w:ascii="Times New Roman" w:hAnsi="Times New Roman" w:cs="Times New Roman"/>
          <w:color w:val="000000" w:themeColor="text1"/>
          <w:sz w:val="24"/>
          <w:szCs w:val="24"/>
        </w:rPr>
        <w:t xml:space="preserve">Darba lapa Nr. </w:t>
      </w:r>
      <w:r w:rsidR="00044D0F">
        <w:rPr>
          <w:rFonts w:ascii="Times New Roman" w:hAnsi="Times New Roman" w:cs="Times New Roman"/>
          <w:color w:val="000000" w:themeColor="text1"/>
          <w:sz w:val="24"/>
          <w:szCs w:val="24"/>
        </w:rPr>
        <w:t>6</w:t>
      </w:r>
      <w:r w:rsidR="00044D0F" w:rsidRPr="00D40490">
        <w:rPr>
          <w:rFonts w:ascii="Times New Roman" w:hAnsi="Times New Roman" w:cs="Times New Roman"/>
          <w:color w:val="000000" w:themeColor="text1"/>
          <w:sz w:val="24"/>
          <w:szCs w:val="24"/>
        </w:rPr>
        <w:t xml:space="preserve"> </w:t>
      </w:r>
      <w:r w:rsidRPr="000E7983">
        <w:rPr>
          <w:rFonts w:ascii="Times New Roman" w:hAnsi="Times New Roman" w:cs="Times New Roman"/>
          <w:color w:val="000000" w:themeColor="text1"/>
          <w:sz w:val="24"/>
          <w:szCs w:val="24"/>
        </w:rPr>
        <w:t>Ekonomiskie aprēķini</w:t>
      </w:r>
      <w:bookmarkEnd w:id="7"/>
    </w:p>
    <w:p w14:paraId="3BCB2B68" w14:textId="57157D8F" w:rsidR="002735EF" w:rsidRPr="00F43DEC" w:rsidRDefault="00FE57FE" w:rsidP="00F43DEC">
      <w:pPr>
        <w:autoSpaceDE w:val="0"/>
        <w:autoSpaceDN w:val="0"/>
        <w:adjustRightInd w:val="0"/>
        <w:spacing w:after="0" w:line="240" w:lineRule="auto"/>
        <w:jc w:val="both"/>
        <w:rPr>
          <w:rFonts w:ascii="Times New Roman" w:hAnsi="Times New Roman" w:cs="Times New Roman"/>
          <w:sz w:val="24"/>
          <w:szCs w:val="24"/>
        </w:rPr>
      </w:pPr>
      <w:r w:rsidRPr="00F43DEC">
        <w:rPr>
          <w:rFonts w:ascii="Times New Roman" w:hAnsi="Times New Roman" w:cs="Times New Roman"/>
          <w:sz w:val="24"/>
          <w:szCs w:val="24"/>
        </w:rPr>
        <w:t xml:space="preserve">Projekts </w:t>
      </w:r>
      <w:r w:rsidR="002735EF">
        <w:rPr>
          <w:rFonts w:ascii="Times New Roman" w:hAnsi="Times New Roman" w:cs="Times New Roman"/>
          <w:sz w:val="24"/>
          <w:szCs w:val="24"/>
        </w:rPr>
        <w:t>ir k</w:t>
      </w:r>
      <w:r w:rsidR="002735EF" w:rsidRPr="00F43DEC">
        <w:rPr>
          <w:rFonts w:ascii="Times New Roman" w:hAnsi="Times New Roman" w:cs="Times New Roman"/>
          <w:sz w:val="24"/>
          <w:szCs w:val="24"/>
        </w:rPr>
        <w:t>opējās siltuma maksas sadalītāju un to darbībai nepieciešamo iekārtu uzstādīšanas un apkures sistē</w:t>
      </w:r>
      <w:r w:rsidR="002735EF" w:rsidRPr="002735EF">
        <w:rPr>
          <w:rFonts w:ascii="Times New Roman" w:hAnsi="Times New Roman" w:cs="Times New Roman"/>
          <w:sz w:val="24"/>
          <w:szCs w:val="24"/>
        </w:rPr>
        <w:t>mas</w:t>
      </w:r>
      <w:r w:rsidR="002735EF">
        <w:rPr>
          <w:rFonts w:ascii="Times New Roman" w:hAnsi="Times New Roman" w:cs="Times New Roman"/>
          <w:sz w:val="24"/>
          <w:szCs w:val="24"/>
        </w:rPr>
        <w:t xml:space="preserve"> </w:t>
      </w:r>
      <w:r w:rsidR="002735EF" w:rsidRPr="00F43DEC">
        <w:rPr>
          <w:rFonts w:ascii="Times New Roman" w:hAnsi="Times New Roman" w:cs="Times New Roman"/>
          <w:sz w:val="24"/>
          <w:szCs w:val="24"/>
        </w:rPr>
        <w:t>pielāgošanas izmaksas</w:t>
      </w:r>
      <w:r w:rsidR="002735EF">
        <w:rPr>
          <w:rFonts w:ascii="Times New Roman" w:hAnsi="Times New Roman" w:cs="Times New Roman"/>
          <w:sz w:val="24"/>
          <w:szCs w:val="24"/>
        </w:rPr>
        <w:t xml:space="preserve">, saskaņā </w:t>
      </w:r>
      <w:r w:rsidR="00DD0E2B">
        <w:rPr>
          <w:rFonts w:ascii="Times New Roman" w:hAnsi="Times New Roman" w:cs="Times New Roman"/>
          <w:sz w:val="24"/>
          <w:szCs w:val="24"/>
        </w:rPr>
        <w:t xml:space="preserve">ar </w:t>
      </w:r>
      <w:r w:rsidR="002735EF" w:rsidRPr="002735EF">
        <w:rPr>
          <w:rFonts w:ascii="Times New Roman" w:hAnsi="Times New Roman" w:cs="Times New Roman"/>
          <w:sz w:val="24"/>
          <w:szCs w:val="24"/>
        </w:rPr>
        <w:t>Ministru kabineta 2020.gada 10.decembra noteikumu Nr. 730 “Ekspluatējamu ēku energoefektivitātes minimālās prasības”</w:t>
      </w:r>
      <w:r w:rsidR="002C00F5">
        <w:rPr>
          <w:rFonts w:ascii="Times New Roman" w:hAnsi="Times New Roman" w:cs="Times New Roman"/>
          <w:sz w:val="24"/>
          <w:szCs w:val="24"/>
        </w:rPr>
        <w:t xml:space="preserve"> 1.pielikumu</w:t>
      </w:r>
    </w:p>
    <w:p w14:paraId="4576E7FD" w14:textId="54EFC9A1" w:rsidR="000E7983" w:rsidRDefault="000E7983" w:rsidP="00F43DE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Ekonomiskie aprēķini tiek </w:t>
      </w:r>
      <w:r w:rsidR="004D6C99">
        <w:rPr>
          <w:rFonts w:ascii="Times New Roman" w:hAnsi="Times New Roman" w:cs="Times New Roman"/>
          <w:sz w:val="24"/>
          <w:szCs w:val="24"/>
        </w:rPr>
        <w:t>veikti</w:t>
      </w:r>
      <w:r>
        <w:rPr>
          <w:rFonts w:ascii="Times New Roman" w:hAnsi="Times New Roman" w:cs="Times New Roman"/>
          <w:sz w:val="24"/>
          <w:szCs w:val="24"/>
        </w:rPr>
        <w:t xml:space="preserve"> automātiski</w:t>
      </w:r>
      <w:r w:rsidR="00B8558B">
        <w:rPr>
          <w:rFonts w:ascii="Times New Roman" w:hAnsi="Times New Roman" w:cs="Times New Roman"/>
          <w:sz w:val="24"/>
          <w:szCs w:val="24"/>
        </w:rPr>
        <w:t xml:space="preserve"> </w:t>
      </w:r>
      <w:r w:rsidR="00044D0F">
        <w:rPr>
          <w:rFonts w:ascii="Times New Roman" w:hAnsi="Times New Roman" w:cs="Times New Roman"/>
          <w:sz w:val="24"/>
          <w:szCs w:val="24"/>
        </w:rPr>
        <w:t>darba lapā Nr. 6</w:t>
      </w:r>
      <w:r>
        <w:rPr>
          <w:rFonts w:ascii="Times New Roman" w:hAnsi="Times New Roman" w:cs="Times New Roman"/>
          <w:sz w:val="24"/>
          <w:szCs w:val="24"/>
        </w:rPr>
        <w:t xml:space="preserve">, norādot </w:t>
      </w:r>
      <w:r w:rsidR="0007133D">
        <w:rPr>
          <w:rFonts w:ascii="Times New Roman" w:hAnsi="Times New Roman" w:cs="Times New Roman"/>
          <w:sz w:val="24"/>
          <w:szCs w:val="24"/>
        </w:rPr>
        <w:t>k</w:t>
      </w:r>
      <w:r w:rsidR="0007133D" w:rsidRPr="0007133D">
        <w:rPr>
          <w:rFonts w:ascii="Times New Roman" w:hAnsi="Times New Roman" w:cs="Times New Roman"/>
          <w:sz w:val="24"/>
          <w:szCs w:val="24"/>
        </w:rPr>
        <w:t>opējās siltuma maksas sadalītāju un to darbībai nepieciešamo iekārtu uzstādīšanas un apkures sistēmas pielāgošanas izmaksas</w:t>
      </w:r>
      <w:r w:rsidR="0007133D">
        <w:rPr>
          <w:rFonts w:ascii="Times New Roman" w:hAnsi="Times New Roman" w:cs="Times New Roman"/>
          <w:sz w:val="24"/>
          <w:szCs w:val="24"/>
        </w:rPr>
        <w:t xml:space="preserve"> (ievērojot ievadītos datus darba lapa Nr. 5)</w:t>
      </w:r>
      <w:r w:rsidR="00E51A05" w:rsidRPr="00E636AC">
        <w:rPr>
          <w:rFonts w:ascii="Times New Roman" w:hAnsi="Times New Roman" w:cs="Times New Roman"/>
          <w:sz w:val="24"/>
          <w:szCs w:val="24"/>
        </w:rPr>
        <w:t xml:space="preserve"> neto tagadnes vērt</w:t>
      </w:r>
      <w:r w:rsidR="00B8558B" w:rsidRPr="00B8558B">
        <w:rPr>
          <w:rFonts w:ascii="Times New Roman" w:hAnsi="Times New Roman" w:cs="Times New Roman"/>
          <w:sz w:val="24"/>
          <w:szCs w:val="24"/>
        </w:rPr>
        <w:t>ību 10 gadu atmaksāšanās period</w:t>
      </w:r>
      <w:r w:rsidR="00B8558B">
        <w:rPr>
          <w:rFonts w:ascii="Times New Roman" w:hAnsi="Times New Roman" w:cs="Times New Roman"/>
          <w:sz w:val="24"/>
          <w:szCs w:val="24"/>
        </w:rPr>
        <w:t>ā, kā arī projekta atmaksāšanās periodu un i</w:t>
      </w:r>
      <w:r w:rsidR="00B8558B" w:rsidRPr="000A3037">
        <w:rPr>
          <w:rFonts w:ascii="Times New Roman" w:hAnsi="Times New Roman" w:cs="Times New Roman"/>
          <w:sz w:val="24"/>
          <w:szCs w:val="24"/>
        </w:rPr>
        <w:t>ekšējās rentabilitātes norm</w:t>
      </w:r>
      <w:r w:rsidR="00B8558B">
        <w:rPr>
          <w:rFonts w:ascii="Times New Roman" w:hAnsi="Times New Roman" w:cs="Times New Roman"/>
          <w:sz w:val="24"/>
          <w:szCs w:val="24"/>
        </w:rPr>
        <w:t>u.</w:t>
      </w:r>
    </w:p>
    <w:p w14:paraId="389C8625" w14:textId="29E506BA" w:rsidR="005C7E12" w:rsidRDefault="005C7E12" w:rsidP="005167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Darba lapā ir </w:t>
      </w:r>
      <w:r w:rsidR="001E5653">
        <w:rPr>
          <w:rFonts w:ascii="Times New Roman" w:hAnsi="Times New Roman" w:cs="Times New Roman"/>
          <w:sz w:val="24"/>
          <w:szCs w:val="24"/>
        </w:rPr>
        <w:t xml:space="preserve">iestrādāti divi </w:t>
      </w:r>
      <w:r>
        <w:rPr>
          <w:rFonts w:ascii="Times New Roman" w:hAnsi="Times New Roman" w:cs="Times New Roman"/>
          <w:sz w:val="24"/>
          <w:szCs w:val="24"/>
        </w:rPr>
        <w:t xml:space="preserve">grafiskie attēli, </w:t>
      </w:r>
      <w:r w:rsidR="001E5653">
        <w:rPr>
          <w:rFonts w:ascii="Times New Roman" w:hAnsi="Times New Roman" w:cs="Times New Roman"/>
          <w:sz w:val="24"/>
          <w:szCs w:val="24"/>
        </w:rPr>
        <w:t>pirmajā grafikā norādīts kopējo</w:t>
      </w:r>
      <w:r>
        <w:rPr>
          <w:rFonts w:ascii="Times New Roman" w:hAnsi="Times New Roman" w:cs="Times New Roman"/>
          <w:sz w:val="24"/>
          <w:szCs w:val="24"/>
        </w:rPr>
        <w:t xml:space="preserve"> izmaksu salīdzinājums </w:t>
      </w:r>
      <w:r w:rsidR="001E5653">
        <w:rPr>
          <w:rFonts w:ascii="Times New Roman" w:hAnsi="Times New Roman" w:cs="Times New Roman"/>
          <w:sz w:val="24"/>
          <w:szCs w:val="24"/>
        </w:rPr>
        <w:t xml:space="preserve">- </w:t>
      </w:r>
      <w:r>
        <w:rPr>
          <w:rFonts w:ascii="Times New Roman" w:hAnsi="Times New Roman" w:cs="Times New Roman"/>
          <w:sz w:val="24"/>
          <w:szCs w:val="24"/>
        </w:rPr>
        <w:t>esošajā situācijā un pēc SMS uzstādīšanas, savukārt otrs grafiks norāda kopējo izmaksu izvērtējumu desmit gadu periodā.</w:t>
      </w:r>
    </w:p>
    <w:p w14:paraId="748501D5" w14:textId="5A47D6E1" w:rsidR="00B8558B" w:rsidRDefault="00B8558B" w:rsidP="005167B0">
      <w:pPr>
        <w:jc w:val="both"/>
        <w:rPr>
          <w:rFonts w:ascii="Times New Roman" w:hAnsi="Times New Roman" w:cs="Times New Roman"/>
          <w:b/>
          <w:sz w:val="24"/>
          <w:szCs w:val="24"/>
        </w:rPr>
      </w:pPr>
      <w:r w:rsidRPr="004D6C99">
        <w:rPr>
          <w:rFonts w:ascii="Times New Roman" w:hAnsi="Times New Roman" w:cs="Times New Roman"/>
          <w:b/>
          <w:sz w:val="24"/>
          <w:szCs w:val="24"/>
        </w:rPr>
        <w:t xml:space="preserve">Projekta </w:t>
      </w:r>
      <w:r w:rsidR="005C7E12">
        <w:rPr>
          <w:rFonts w:ascii="Times New Roman" w:hAnsi="Times New Roman" w:cs="Times New Roman"/>
          <w:b/>
          <w:sz w:val="24"/>
          <w:szCs w:val="24"/>
        </w:rPr>
        <w:t xml:space="preserve">investīciju </w:t>
      </w:r>
      <w:r w:rsidRPr="004D6C99">
        <w:rPr>
          <w:rFonts w:ascii="Times New Roman" w:hAnsi="Times New Roman" w:cs="Times New Roman"/>
          <w:b/>
          <w:sz w:val="24"/>
          <w:szCs w:val="24"/>
        </w:rPr>
        <w:t xml:space="preserve">atmaksāšanās </w:t>
      </w:r>
      <w:r w:rsidR="005C7E12">
        <w:rPr>
          <w:rFonts w:ascii="Times New Roman" w:hAnsi="Times New Roman" w:cs="Times New Roman"/>
          <w:b/>
          <w:sz w:val="24"/>
          <w:szCs w:val="24"/>
        </w:rPr>
        <w:t>laiks</w:t>
      </w:r>
    </w:p>
    <w:p w14:paraId="3EAEDB06" w14:textId="08698DCD" w:rsidR="00B8558B" w:rsidRPr="000A3037" w:rsidRDefault="00B8558B" w:rsidP="005167B0">
      <w:pPr>
        <w:jc w:val="both"/>
        <w:rPr>
          <w:rFonts w:ascii="Times New Roman" w:hAnsi="Times New Roman" w:cs="Times New Roman"/>
          <w:sz w:val="24"/>
          <w:szCs w:val="24"/>
        </w:rPr>
      </w:pPr>
      <w:r w:rsidRPr="000A3037">
        <w:rPr>
          <w:rFonts w:ascii="Times New Roman" w:hAnsi="Times New Roman" w:cs="Times New Roman"/>
          <w:sz w:val="24"/>
          <w:szCs w:val="24"/>
        </w:rPr>
        <w:t xml:space="preserve">Projekta atmaksāšanās </w:t>
      </w:r>
      <w:r w:rsidR="00922805">
        <w:rPr>
          <w:rFonts w:ascii="Times New Roman" w:hAnsi="Times New Roman" w:cs="Times New Roman"/>
          <w:sz w:val="24"/>
          <w:szCs w:val="24"/>
        </w:rPr>
        <w:t>laiks</w:t>
      </w:r>
      <w:r w:rsidR="00922805" w:rsidRPr="000A3037">
        <w:rPr>
          <w:rFonts w:ascii="Times New Roman" w:hAnsi="Times New Roman" w:cs="Times New Roman"/>
          <w:sz w:val="24"/>
          <w:szCs w:val="24"/>
        </w:rPr>
        <w:t xml:space="preserve"> </w:t>
      </w:r>
      <w:r w:rsidRPr="000A3037">
        <w:rPr>
          <w:rFonts w:ascii="Times New Roman" w:hAnsi="Times New Roman" w:cs="Times New Roman"/>
          <w:sz w:val="24"/>
          <w:szCs w:val="24"/>
        </w:rPr>
        <w:t xml:space="preserve">tiek noteikts kā paredzamais gadu skaits, kas nepieciešams pilnīgai investīciju izmaksu </w:t>
      </w:r>
      <w:r>
        <w:rPr>
          <w:rFonts w:ascii="Times New Roman" w:hAnsi="Times New Roman" w:cs="Times New Roman"/>
          <w:sz w:val="24"/>
          <w:szCs w:val="24"/>
        </w:rPr>
        <w:t>nosegšanai</w:t>
      </w:r>
      <w:r w:rsidRPr="000A3037">
        <w:rPr>
          <w:rFonts w:ascii="Times New Roman" w:hAnsi="Times New Roman" w:cs="Times New Roman"/>
          <w:sz w:val="24"/>
          <w:szCs w:val="24"/>
        </w:rPr>
        <w:t>. Tas ir laika posms gados līdz tam brīdim, kad kapitāla</w:t>
      </w:r>
      <w:r>
        <w:rPr>
          <w:rFonts w:ascii="Times New Roman" w:hAnsi="Times New Roman" w:cs="Times New Roman"/>
          <w:sz w:val="24"/>
          <w:szCs w:val="24"/>
        </w:rPr>
        <w:t xml:space="preserve"> (SMS)</w:t>
      </w:r>
      <w:r w:rsidRPr="000A3037">
        <w:rPr>
          <w:rFonts w:ascii="Times New Roman" w:hAnsi="Times New Roman" w:cs="Times New Roman"/>
          <w:sz w:val="24"/>
          <w:szCs w:val="24"/>
        </w:rPr>
        <w:t xml:space="preserve"> ieguldījuma izmaksas ir pilnībā </w:t>
      </w:r>
      <w:r>
        <w:rPr>
          <w:rFonts w:ascii="Times New Roman" w:hAnsi="Times New Roman" w:cs="Times New Roman"/>
          <w:sz w:val="24"/>
          <w:szCs w:val="24"/>
        </w:rPr>
        <w:t>no</w:t>
      </w:r>
      <w:r w:rsidRPr="000A3037">
        <w:rPr>
          <w:rFonts w:ascii="Times New Roman" w:hAnsi="Times New Roman" w:cs="Times New Roman"/>
          <w:sz w:val="24"/>
          <w:szCs w:val="24"/>
        </w:rPr>
        <w:t xml:space="preserve">segtas ar </w:t>
      </w:r>
      <w:r>
        <w:rPr>
          <w:rFonts w:ascii="Times New Roman" w:hAnsi="Times New Roman" w:cs="Times New Roman"/>
          <w:sz w:val="24"/>
          <w:szCs w:val="24"/>
        </w:rPr>
        <w:t>enerģijas ietaupījuma izmaksām (neto naudas ieņēmumiem). Maksimālais periods ir desmit gadi</w:t>
      </w:r>
      <w:r w:rsidR="00D73C84">
        <w:rPr>
          <w:rFonts w:ascii="Times New Roman" w:hAnsi="Times New Roman" w:cs="Times New Roman"/>
          <w:sz w:val="24"/>
          <w:szCs w:val="24"/>
        </w:rPr>
        <w:t>, savukārt darba lapā tiek norādīti aprēķini trīs, piecu un desmit gadu periodā, lai būtu vieglāka un saprotamāka datu izvērtēšana.</w:t>
      </w:r>
    </w:p>
    <w:p w14:paraId="55154042" w14:textId="628AF645" w:rsidR="00B8558B" w:rsidRPr="004D6C99" w:rsidRDefault="00B8558B" w:rsidP="005167B0">
      <w:pPr>
        <w:jc w:val="both"/>
        <w:rPr>
          <w:rFonts w:ascii="Times New Roman" w:hAnsi="Times New Roman" w:cs="Times New Roman"/>
          <w:b/>
          <w:sz w:val="24"/>
          <w:szCs w:val="24"/>
        </w:rPr>
      </w:pPr>
      <w:r w:rsidRPr="004D6C99">
        <w:rPr>
          <w:rFonts w:ascii="Times New Roman" w:hAnsi="Times New Roman" w:cs="Times New Roman"/>
          <w:b/>
          <w:sz w:val="24"/>
          <w:szCs w:val="24"/>
        </w:rPr>
        <w:t>Neto tagadnes vērtības metode (NPV)</w:t>
      </w:r>
    </w:p>
    <w:p w14:paraId="2B4EFDF8" w14:textId="521717FD" w:rsidR="00B8558B" w:rsidRDefault="00B8558B" w:rsidP="005167B0">
      <w:pPr>
        <w:jc w:val="both"/>
        <w:rPr>
          <w:rFonts w:ascii="Times New Roman" w:hAnsi="Times New Roman" w:cs="Times New Roman"/>
          <w:sz w:val="24"/>
          <w:szCs w:val="24"/>
        </w:rPr>
      </w:pPr>
      <w:r w:rsidRPr="000A3037">
        <w:rPr>
          <w:rFonts w:ascii="Times New Roman" w:hAnsi="Times New Roman" w:cs="Times New Roman"/>
          <w:sz w:val="24"/>
          <w:szCs w:val="24"/>
        </w:rPr>
        <w:t>Neto tagadnes vērtības metode ir</w:t>
      </w:r>
      <w:r w:rsidR="00E104DE">
        <w:rPr>
          <w:rFonts w:ascii="Times New Roman" w:hAnsi="Times New Roman" w:cs="Times New Roman"/>
          <w:sz w:val="24"/>
          <w:szCs w:val="24"/>
        </w:rPr>
        <w:t xml:space="preserve"> </w:t>
      </w:r>
      <w:r w:rsidR="00E104DE" w:rsidRPr="000A3037">
        <w:rPr>
          <w:rFonts w:ascii="Times New Roman" w:hAnsi="Times New Roman" w:cs="Times New Roman"/>
          <w:sz w:val="24"/>
          <w:szCs w:val="24"/>
        </w:rPr>
        <w:t>aprēķināšanas metode</w:t>
      </w:r>
      <w:r w:rsidR="00E104DE">
        <w:rPr>
          <w:rFonts w:ascii="Times New Roman" w:hAnsi="Times New Roman" w:cs="Times New Roman"/>
          <w:sz w:val="24"/>
          <w:szCs w:val="24"/>
        </w:rPr>
        <w:t xml:space="preserve"> un</w:t>
      </w:r>
      <w:r w:rsidRPr="000A3037">
        <w:rPr>
          <w:rFonts w:ascii="Times New Roman" w:hAnsi="Times New Roman" w:cs="Times New Roman"/>
          <w:sz w:val="24"/>
          <w:szCs w:val="24"/>
        </w:rPr>
        <w:t xml:space="preserve"> pašreizējās vērtības rādītāj</w:t>
      </w:r>
      <w:r w:rsidR="00956ACC">
        <w:rPr>
          <w:rFonts w:ascii="Times New Roman" w:hAnsi="Times New Roman" w:cs="Times New Roman"/>
          <w:sz w:val="24"/>
          <w:szCs w:val="24"/>
        </w:rPr>
        <w:t>s</w:t>
      </w:r>
      <w:r w:rsidRPr="000A3037">
        <w:rPr>
          <w:rFonts w:ascii="Times New Roman" w:hAnsi="Times New Roman" w:cs="Times New Roman"/>
          <w:sz w:val="24"/>
          <w:szCs w:val="24"/>
        </w:rPr>
        <w:t xml:space="preserve"> kopējiem ienākumiem, ko radījis projekts</w:t>
      </w:r>
      <w:r w:rsidR="00956ACC">
        <w:rPr>
          <w:rFonts w:ascii="Times New Roman" w:hAnsi="Times New Roman" w:cs="Times New Roman"/>
          <w:sz w:val="24"/>
          <w:szCs w:val="24"/>
        </w:rPr>
        <w:t xml:space="preserve"> (SMS uzstādīšana</w:t>
      </w:r>
      <w:r w:rsidR="00E00614">
        <w:rPr>
          <w:rFonts w:ascii="Times New Roman" w:hAnsi="Times New Roman" w:cs="Times New Roman"/>
          <w:sz w:val="24"/>
          <w:szCs w:val="24"/>
        </w:rPr>
        <w:t>s izmaksa</w:t>
      </w:r>
      <w:r w:rsidR="002C00F5">
        <w:rPr>
          <w:rFonts w:ascii="Times New Roman" w:hAnsi="Times New Roman" w:cs="Times New Roman"/>
          <w:sz w:val="24"/>
          <w:szCs w:val="24"/>
        </w:rPr>
        <w:t>s</w:t>
      </w:r>
      <w:r w:rsidR="00956ACC">
        <w:rPr>
          <w:rFonts w:ascii="Times New Roman" w:hAnsi="Times New Roman" w:cs="Times New Roman"/>
          <w:sz w:val="24"/>
          <w:szCs w:val="24"/>
        </w:rPr>
        <w:t>)</w:t>
      </w:r>
      <w:r w:rsidRPr="000A3037">
        <w:rPr>
          <w:rFonts w:ascii="Times New Roman" w:hAnsi="Times New Roman" w:cs="Times New Roman"/>
          <w:sz w:val="24"/>
          <w:szCs w:val="24"/>
        </w:rPr>
        <w:t xml:space="preserve"> tā sagaidāmajā darbības laikā,. </w:t>
      </w:r>
      <w:r w:rsidR="00956ACC">
        <w:rPr>
          <w:rFonts w:ascii="Times New Roman" w:hAnsi="Times New Roman" w:cs="Times New Roman"/>
          <w:sz w:val="24"/>
          <w:szCs w:val="24"/>
        </w:rPr>
        <w:t>Aprēķina pamatā</w:t>
      </w:r>
      <w:r w:rsidRPr="000A3037">
        <w:rPr>
          <w:rFonts w:ascii="Times New Roman" w:hAnsi="Times New Roman" w:cs="Times New Roman"/>
          <w:sz w:val="24"/>
          <w:szCs w:val="24"/>
        </w:rPr>
        <w:t xml:space="preserve"> ir projekta visu ieņēmumu un izdevumu šodienas vērtības salīdzināšana. NPV metode balstās uz naudas plūsmas diskontēšanu. Par diskonta likmi sauc kopējo ieguldījumu atdeves likmi, kuru </w:t>
      </w:r>
      <w:r w:rsidR="00956ACC">
        <w:rPr>
          <w:rFonts w:ascii="Times New Roman" w:hAnsi="Times New Roman" w:cs="Times New Roman"/>
          <w:sz w:val="24"/>
          <w:szCs w:val="24"/>
        </w:rPr>
        <w:t xml:space="preserve">pieņem, </w:t>
      </w:r>
      <w:r w:rsidR="00956ACC" w:rsidRPr="00E636AC">
        <w:rPr>
          <w:rFonts w:ascii="Times New Roman" w:hAnsi="Times New Roman" w:cs="Times New Roman"/>
          <w:color w:val="000000"/>
          <w:sz w:val="24"/>
          <w:szCs w:val="24"/>
        </w:rPr>
        <w:t>piemērojot Valsts kases tīmekļvietnē publicēto pēdējā pieejamā ceturkšņa attiecīgo diskonta likmi ilgtermiņa ieguldījumu patiesās vērtības noteikšanai saimnieciskās darbības veidam "Nekustamais īpašums (vispārīgi)"</w:t>
      </w:r>
      <w:r w:rsidR="00956ACC">
        <w:rPr>
          <w:rFonts w:ascii="Times New Roman" w:hAnsi="Times New Roman" w:cs="Times New Roman"/>
          <w:sz w:val="24"/>
          <w:szCs w:val="24"/>
        </w:rPr>
        <w:t xml:space="preserve">. </w:t>
      </w:r>
      <w:r w:rsidRPr="000A3037">
        <w:rPr>
          <w:rFonts w:ascii="Times New Roman" w:hAnsi="Times New Roman" w:cs="Times New Roman"/>
          <w:sz w:val="24"/>
          <w:szCs w:val="24"/>
        </w:rPr>
        <w:t>Diskontētie neto ieņēmumi ir rādītājs, ko aprēķina, diskontējot visus no projekta gaidāmos naudas izdevumus un ieņēmumus līdz pašreizējai vērtībai. Diskontētie neto ienākumi ir diskontēto naudas</w:t>
      </w:r>
      <w:r>
        <w:rPr>
          <w:rFonts w:ascii="Times New Roman" w:hAnsi="Times New Roman" w:cs="Times New Roman"/>
          <w:sz w:val="24"/>
          <w:szCs w:val="24"/>
        </w:rPr>
        <w:t xml:space="preserve"> ieņēmumu un izdevumu starpība.</w:t>
      </w:r>
    </w:p>
    <w:p w14:paraId="224D58A1" w14:textId="26DF89E0" w:rsidR="00F43DEC" w:rsidRDefault="002F1BAC" w:rsidP="005167B0">
      <w:pPr>
        <w:jc w:val="both"/>
        <w:rPr>
          <w:rFonts w:ascii="Times New Roman" w:hAnsi="Times New Roman" w:cs="Times New Roman"/>
          <w:sz w:val="24"/>
          <w:szCs w:val="24"/>
        </w:rPr>
      </w:pPr>
      <w:r>
        <w:rPr>
          <w:rFonts w:ascii="Times New Roman" w:hAnsi="Times New Roman" w:cs="Times New Roman"/>
          <w:sz w:val="24"/>
          <w:szCs w:val="24"/>
        </w:rPr>
        <w:t>Aprēķinos tiek norādītas NPV vērtības – trīs, piecu un desmit gadu periodā. Projekta</w:t>
      </w:r>
      <w:r w:rsidR="00E104DE">
        <w:rPr>
          <w:rFonts w:ascii="Times New Roman" w:hAnsi="Times New Roman" w:cs="Times New Roman"/>
          <w:sz w:val="24"/>
          <w:szCs w:val="24"/>
        </w:rPr>
        <w:t xml:space="preserve"> (SMS </w:t>
      </w:r>
      <w:r w:rsidR="00027D15">
        <w:rPr>
          <w:rFonts w:ascii="Times New Roman" w:hAnsi="Times New Roman" w:cs="Times New Roman"/>
          <w:sz w:val="24"/>
          <w:szCs w:val="24"/>
        </w:rPr>
        <w:t>uzstādīšanas izmaksu</w:t>
      </w:r>
      <w:r w:rsidR="00E104DE">
        <w:rPr>
          <w:rFonts w:ascii="Times New Roman" w:hAnsi="Times New Roman" w:cs="Times New Roman"/>
          <w:sz w:val="24"/>
          <w:szCs w:val="24"/>
        </w:rPr>
        <w:t>)</w:t>
      </w:r>
      <w:r w:rsidR="00E104DE" w:rsidRPr="000A3037">
        <w:rPr>
          <w:rFonts w:ascii="Times New Roman" w:hAnsi="Times New Roman" w:cs="Times New Roman"/>
          <w:sz w:val="24"/>
          <w:szCs w:val="24"/>
        </w:rPr>
        <w:t xml:space="preserve"> </w:t>
      </w:r>
      <w:r>
        <w:rPr>
          <w:rFonts w:ascii="Times New Roman" w:hAnsi="Times New Roman" w:cs="Times New Roman"/>
          <w:sz w:val="24"/>
          <w:szCs w:val="24"/>
        </w:rPr>
        <w:t>izvērtējumam tiek izmantota Neto tagadnes vērtība desmit gadu periodā.</w:t>
      </w:r>
    </w:p>
    <w:p w14:paraId="68B91516" w14:textId="77777777" w:rsidR="00F43DEC" w:rsidRDefault="00F43DEC">
      <w:pPr>
        <w:rPr>
          <w:rFonts w:ascii="Times New Roman" w:hAnsi="Times New Roman" w:cs="Times New Roman"/>
          <w:sz w:val="24"/>
          <w:szCs w:val="24"/>
        </w:rPr>
      </w:pPr>
      <w:r>
        <w:rPr>
          <w:rFonts w:ascii="Times New Roman" w:hAnsi="Times New Roman" w:cs="Times New Roman"/>
          <w:sz w:val="24"/>
          <w:szCs w:val="24"/>
        </w:rPr>
        <w:br w:type="page"/>
      </w:r>
    </w:p>
    <w:p w14:paraId="71E63080" w14:textId="77777777" w:rsidR="002F1BAC" w:rsidRPr="000A3037" w:rsidRDefault="002F1BAC" w:rsidP="005167B0">
      <w:pPr>
        <w:jc w:val="both"/>
        <w:rPr>
          <w:rFonts w:ascii="Times New Roman" w:hAnsi="Times New Roman" w:cs="Times New Roman"/>
          <w:sz w:val="24"/>
          <w:szCs w:val="24"/>
        </w:rPr>
      </w:pPr>
    </w:p>
    <w:p w14:paraId="69D221EE" w14:textId="77777777" w:rsidR="002F1BAC" w:rsidRPr="004D6C99" w:rsidRDefault="00B8558B" w:rsidP="005167B0">
      <w:pPr>
        <w:jc w:val="both"/>
        <w:rPr>
          <w:rFonts w:ascii="Times New Roman" w:hAnsi="Times New Roman" w:cs="Times New Roman"/>
          <w:b/>
          <w:sz w:val="24"/>
          <w:szCs w:val="24"/>
        </w:rPr>
      </w:pPr>
      <w:r w:rsidRPr="004D6C99">
        <w:rPr>
          <w:rFonts w:ascii="Times New Roman" w:hAnsi="Times New Roman" w:cs="Times New Roman"/>
          <w:b/>
          <w:sz w:val="24"/>
          <w:szCs w:val="24"/>
        </w:rPr>
        <w:t>Iekšējās ren</w:t>
      </w:r>
      <w:r w:rsidR="002F1BAC" w:rsidRPr="004D6C99">
        <w:rPr>
          <w:rFonts w:ascii="Times New Roman" w:hAnsi="Times New Roman" w:cs="Times New Roman"/>
          <w:b/>
          <w:sz w:val="24"/>
          <w:szCs w:val="24"/>
        </w:rPr>
        <w:t>tabilitātes normas metode (IRR)</w:t>
      </w:r>
    </w:p>
    <w:p w14:paraId="78B8F6C0" w14:textId="6CFD4B80" w:rsidR="00B8558B" w:rsidRDefault="00B8558B" w:rsidP="005167B0">
      <w:pPr>
        <w:jc w:val="both"/>
        <w:rPr>
          <w:rFonts w:ascii="Times New Roman" w:hAnsi="Times New Roman" w:cs="Times New Roman"/>
          <w:sz w:val="24"/>
          <w:szCs w:val="24"/>
        </w:rPr>
      </w:pPr>
      <w:r w:rsidRPr="000A3037">
        <w:rPr>
          <w:rFonts w:ascii="Times New Roman" w:hAnsi="Times New Roman" w:cs="Times New Roman"/>
          <w:sz w:val="24"/>
          <w:szCs w:val="24"/>
        </w:rPr>
        <w:t xml:space="preserve">Investīciju projektu vērtēšana, piemērojot IRR, ir balstīta uz diskonta likmes maksimālā lieluma noteikšanu, pie kuras projekti joprojām ir rentabli. IRR – tā ir tāda diskonta likme, pie kuras NPV=0. Vienlaikus tā </w:t>
      </w:r>
      <w:r w:rsidR="00956ACC">
        <w:rPr>
          <w:rFonts w:ascii="Times New Roman" w:hAnsi="Times New Roman" w:cs="Times New Roman"/>
          <w:sz w:val="24"/>
          <w:szCs w:val="24"/>
        </w:rPr>
        <w:t>no</w:t>
      </w:r>
      <w:r w:rsidRPr="000A3037">
        <w:rPr>
          <w:rFonts w:ascii="Times New Roman" w:hAnsi="Times New Roman" w:cs="Times New Roman"/>
          <w:sz w:val="24"/>
          <w:szCs w:val="24"/>
        </w:rPr>
        <w:t xml:space="preserve">rāda arī, kādu maksimālo atdevi no projekta var saņemt </w:t>
      </w:r>
      <w:r w:rsidR="00956ACC">
        <w:rPr>
          <w:rFonts w:ascii="Times New Roman" w:hAnsi="Times New Roman" w:cs="Times New Roman"/>
          <w:sz w:val="24"/>
          <w:szCs w:val="24"/>
        </w:rPr>
        <w:t>finanšu ieguldītājs.</w:t>
      </w:r>
    </w:p>
    <w:p w14:paraId="7DAEA514" w14:textId="77777777" w:rsidR="00104431" w:rsidRPr="00D40490" w:rsidRDefault="001064BF" w:rsidP="002D05AF">
      <w:pPr>
        <w:pStyle w:val="Heading2"/>
        <w:spacing w:before="0" w:after="120" w:line="240" w:lineRule="auto"/>
        <w:rPr>
          <w:rFonts w:ascii="Times New Roman" w:hAnsi="Times New Roman" w:cs="Times New Roman"/>
          <w:color w:val="000000" w:themeColor="text1"/>
          <w:sz w:val="24"/>
          <w:szCs w:val="24"/>
        </w:rPr>
      </w:pPr>
      <w:bookmarkStart w:id="8" w:name="_Toc91665795"/>
      <w:r w:rsidRPr="00D40490">
        <w:rPr>
          <w:rFonts w:ascii="Times New Roman" w:hAnsi="Times New Roman" w:cs="Times New Roman"/>
          <w:color w:val="000000" w:themeColor="text1"/>
          <w:sz w:val="24"/>
          <w:szCs w:val="24"/>
        </w:rPr>
        <w:t>Pielikums Nr 1.</w:t>
      </w:r>
      <w:bookmarkEnd w:id="8"/>
      <w:r w:rsidRPr="00D40490">
        <w:rPr>
          <w:rFonts w:ascii="Times New Roman" w:hAnsi="Times New Roman" w:cs="Times New Roman"/>
          <w:color w:val="000000" w:themeColor="text1"/>
          <w:sz w:val="24"/>
          <w:szCs w:val="24"/>
        </w:rPr>
        <w:t xml:space="preserve"> </w:t>
      </w:r>
    </w:p>
    <w:p w14:paraId="2FFFFE1B" w14:textId="77777777" w:rsidR="006A5E5D" w:rsidRDefault="00104431" w:rsidP="002D05AF">
      <w:pPr>
        <w:spacing w:after="120" w:line="240" w:lineRule="auto"/>
        <w:ind w:left="34"/>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 individuālu siltuma maksas sadalītāju uzstādīšanas ekonomiskā pamatojuma novērtēšanai.</w:t>
      </w:r>
    </w:p>
    <w:p w14:paraId="35FC5349" w14:textId="127E5AD9" w:rsidR="00D73C84" w:rsidRPr="00AE6A94" w:rsidRDefault="00D73C84" w:rsidP="00AE6A94">
      <w:pPr>
        <w:pStyle w:val="Heading2"/>
        <w:spacing w:before="0" w:after="120" w:line="240" w:lineRule="auto"/>
        <w:rPr>
          <w:rFonts w:ascii="Times New Roman" w:hAnsi="Times New Roman" w:cs="Times New Roman"/>
          <w:color w:val="000000" w:themeColor="text1"/>
          <w:sz w:val="24"/>
          <w:szCs w:val="24"/>
        </w:rPr>
      </w:pPr>
      <w:bookmarkStart w:id="9" w:name="_Toc91665796"/>
      <w:r w:rsidRPr="00AE6A94">
        <w:rPr>
          <w:rFonts w:ascii="Times New Roman" w:hAnsi="Times New Roman" w:cs="Times New Roman"/>
          <w:color w:val="000000" w:themeColor="text1"/>
          <w:sz w:val="24"/>
          <w:szCs w:val="24"/>
        </w:rPr>
        <w:t>Pielikums Nr. 2</w:t>
      </w:r>
      <w:bookmarkEnd w:id="9"/>
    </w:p>
    <w:p w14:paraId="2C13E67F" w14:textId="751150F4" w:rsidR="00D73C84" w:rsidRPr="00D40490" w:rsidRDefault="00D73C84" w:rsidP="002D05AF">
      <w:pPr>
        <w:spacing w:after="120" w:line="240" w:lineRule="auto"/>
        <w:ind w:left="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Aprēķina piemērs - </w:t>
      </w:r>
      <w:r w:rsidRPr="00D40490">
        <w:rPr>
          <w:rFonts w:ascii="Times New Roman" w:hAnsi="Times New Roman" w:cs="Times New Roman"/>
          <w:color w:val="000000"/>
          <w:sz w:val="24"/>
          <w:szCs w:val="24"/>
        </w:rPr>
        <w:t>Elektroniskā novērtēšanas veidlapa individuālu siltuma maksas sadalītāju uzstādīšanas ekonomiskā pamatojuma novērtēšanai</w:t>
      </w:r>
      <w:r w:rsidR="001E5653">
        <w:rPr>
          <w:rFonts w:ascii="Times New Roman" w:hAnsi="Times New Roman" w:cs="Times New Roman"/>
          <w:color w:val="000000"/>
          <w:sz w:val="24"/>
          <w:szCs w:val="24"/>
        </w:rPr>
        <w:t>.</w:t>
      </w:r>
    </w:p>
    <w:sectPr w:rsidR="00D73C84" w:rsidRPr="00D40490" w:rsidSect="008A2F6F">
      <w:pgSz w:w="12240" w:h="15840"/>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47A21"/>
    <w:multiLevelType w:val="hybridMultilevel"/>
    <w:tmpl w:val="7B1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425F4"/>
    <w:multiLevelType w:val="hybridMultilevel"/>
    <w:tmpl w:val="8F1C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8495E"/>
    <w:multiLevelType w:val="hybridMultilevel"/>
    <w:tmpl w:val="0CFA4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F4"/>
    <w:rsid w:val="00011FC4"/>
    <w:rsid w:val="00027D15"/>
    <w:rsid w:val="00044D0F"/>
    <w:rsid w:val="00060822"/>
    <w:rsid w:val="0007133D"/>
    <w:rsid w:val="000A1052"/>
    <w:rsid w:val="000A350A"/>
    <w:rsid w:val="000B79E8"/>
    <w:rsid w:val="000E026C"/>
    <w:rsid w:val="000E7983"/>
    <w:rsid w:val="000E7D72"/>
    <w:rsid w:val="00104431"/>
    <w:rsid w:val="001064BF"/>
    <w:rsid w:val="00171D56"/>
    <w:rsid w:val="001809F4"/>
    <w:rsid w:val="001B2CC8"/>
    <w:rsid w:val="001C5E9D"/>
    <w:rsid w:val="001E5653"/>
    <w:rsid w:val="001F2689"/>
    <w:rsid w:val="0024316A"/>
    <w:rsid w:val="00264B48"/>
    <w:rsid w:val="002735EF"/>
    <w:rsid w:val="0029717F"/>
    <w:rsid w:val="002C00F5"/>
    <w:rsid w:val="002D05AF"/>
    <w:rsid w:val="002D413E"/>
    <w:rsid w:val="002F1BAC"/>
    <w:rsid w:val="003234FA"/>
    <w:rsid w:val="0032752C"/>
    <w:rsid w:val="00344754"/>
    <w:rsid w:val="00362F1E"/>
    <w:rsid w:val="0037749E"/>
    <w:rsid w:val="003A355A"/>
    <w:rsid w:val="003F3E1F"/>
    <w:rsid w:val="003F5D7E"/>
    <w:rsid w:val="00434139"/>
    <w:rsid w:val="004345DD"/>
    <w:rsid w:val="00455728"/>
    <w:rsid w:val="004D6C99"/>
    <w:rsid w:val="005167B0"/>
    <w:rsid w:val="005308F7"/>
    <w:rsid w:val="005525AD"/>
    <w:rsid w:val="00554D59"/>
    <w:rsid w:val="0056568C"/>
    <w:rsid w:val="00580719"/>
    <w:rsid w:val="00590398"/>
    <w:rsid w:val="005C195D"/>
    <w:rsid w:val="005C7E12"/>
    <w:rsid w:val="005E609A"/>
    <w:rsid w:val="00604C0B"/>
    <w:rsid w:val="00640811"/>
    <w:rsid w:val="00647420"/>
    <w:rsid w:val="00677FA9"/>
    <w:rsid w:val="00680523"/>
    <w:rsid w:val="006829CB"/>
    <w:rsid w:val="006A5E5D"/>
    <w:rsid w:val="006C7A75"/>
    <w:rsid w:val="00723AD2"/>
    <w:rsid w:val="00724AE4"/>
    <w:rsid w:val="00770821"/>
    <w:rsid w:val="007A0EAE"/>
    <w:rsid w:val="007A17C5"/>
    <w:rsid w:val="00804CCC"/>
    <w:rsid w:val="00821D07"/>
    <w:rsid w:val="008913B7"/>
    <w:rsid w:val="008A17ED"/>
    <w:rsid w:val="008A2F6F"/>
    <w:rsid w:val="008E41C1"/>
    <w:rsid w:val="0091029F"/>
    <w:rsid w:val="0091479D"/>
    <w:rsid w:val="00922805"/>
    <w:rsid w:val="00956ACC"/>
    <w:rsid w:val="00974920"/>
    <w:rsid w:val="009950F6"/>
    <w:rsid w:val="009A4B0F"/>
    <w:rsid w:val="009B0FA5"/>
    <w:rsid w:val="009B5F54"/>
    <w:rsid w:val="00A017FC"/>
    <w:rsid w:val="00A049A3"/>
    <w:rsid w:val="00A17614"/>
    <w:rsid w:val="00A2324D"/>
    <w:rsid w:val="00A53AD7"/>
    <w:rsid w:val="00A8083D"/>
    <w:rsid w:val="00A84232"/>
    <w:rsid w:val="00AB21B3"/>
    <w:rsid w:val="00AB64AB"/>
    <w:rsid w:val="00AC7278"/>
    <w:rsid w:val="00AE3000"/>
    <w:rsid w:val="00AE6A94"/>
    <w:rsid w:val="00AF1B51"/>
    <w:rsid w:val="00B13577"/>
    <w:rsid w:val="00B137FB"/>
    <w:rsid w:val="00B44BAB"/>
    <w:rsid w:val="00B509C1"/>
    <w:rsid w:val="00B54075"/>
    <w:rsid w:val="00B61599"/>
    <w:rsid w:val="00B65B55"/>
    <w:rsid w:val="00B84F19"/>
    <w:rsid w:val="00B8558B"/>
    <w:rsid w:val="00B92549"/>
    <w:rsid w:val="00BA0DC1"/>
    <w:rsid w:val="00BA5A22"/>
    <w:rsid w:val="00C67CB4"/>
    <w:rsid w:val="00C93187"/>
    <w:rsid w:val="00CC051C"/>
    <w:rsid w:val="00CE09A3"/>
    <w:rsid w:val="00CE65D2"/>
    <w:rsid w:val="00D13A84"/>
    <w:rsid w:val="00D40490"/>
    <w:rsid w:val="00D54B77"/>
    <w:rsid w:val="00D73C84"/>
    <w:rsid w:val="00DD0E2B"/>
    <w:rsid w:val="00E00614"/>
    <w:rsid w:val="00E0347F"/>
    <w:rsid w:val="00E07821"/>
    <w:rsid w:val="00E104DE"/>
    <w:rsid w:val="00E15879"/>
    <w:rsid w:val="00E51A05"/>
    <w:rsid w:val="00E636AC"/>
    <w:rsid w:val="00EA1BCF"/>
    <w:rsid w:val="00EC68B3"/>
    <w:rsid w:val="00ED5A5D"/>
    <w:rsid w:val="00EF49A3"/>
    <w:rsid w:val="00EF63D9"/>
    <w:rsid w:val="00F43DEC"/>
    <w:rsid w:val="00F45E80"/>
    <w:rsid w:val="00F47177"/>
    <w:rsid w:val="00F81C8F"/>
    <w:rsid w:val="00F83555"/>
    <w:rsid w:val="00FD6308"/>
    <w:rsid w:val="00FE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9A71"/>
  <w15:docId w15:val="{222D63E6-8D6D-4AF1-86C5-DEE315C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599"/>
    <w:rPr>
      <w:lang w:val="lv-LV"/>
    </w:rPr>
  </w:style>
  <w:style w:type="paragraph" w:styleId="Heading1">
    <w:name w:val="heading 1"/>
    <w:basedOn w:val="Normal"/>
    <w:next w:val="Normal"/>
    <w:link w:val="Heading1Char"/>
    <w:uiPriority w:val="9"/>
    <w:qFormat/>
    <w:rsid w:val="00362F1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62F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04C0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15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6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2,LP1.,Normal bullet 2,Bullet list,H&amp;P List Paragraph,Colorful List - Accent 12,Table of contents numbered,Citation List,Syle 1,PPS_Bullet,Saistīto dokumentu saraksts,Numurets,Virsraksti,List Paragraph1,Bullet EY,ERP-List Paragraph"/>
    <w:basedOn w:val="Normal"/>
    <w:link w:val="ListParagraphChar"/>
    <w:uiPriority w:val="34"/>
    <w:qFormat/>
    <w:rsid w:val="006A5E5D"/>
    <w:pPr>
      <w:spacing w:after="0" w:line="240" w:lineRule="auto"/>
      <w:ind w:left="720"/>
    </w:pPr>
    <w:rPr>
      <w:rFonts w:ascii="Calibri" w:eastAsia="Calibri" w:hAnsi="Calibri" w:cs="Times New Roman"/>
      <w:lang w:val="en-US"/>
    </w:rPr>
  </w:style>
  <w:style w:type="character" w:customStyle="1" w:styleId="ListParagraphChar">
    <w:name w:val="List Paragraph Char"/>
    <w:aliases w:val="Strip Char,2 Char,LP1. Char,Normal bullet 2 Char,Bullet list Char,H&amp;P List Paragraph Char,Colorful List - Accent 12 Char,Table of contents numbered Char,Citation List Char,Syle 1 Char,PPS_Bullet Char,Saistīto dokumentu saraksts Char"/>
    <w:link w:val="ListParagraph"/>
    <w:uiPriority w:val="34"/>
    <w:qFormat/>
    <w:rsid w:val="006A5E5D"/>
    <w:rPr>
      <w:rFonts w:ascii="Calibri" w:eastAsia="Calibri" w:hAnsi="Calibri" w:cs="Times New Roman"/>
    </w:rPr>
  </w:style>
  <w:style w:type="character" w:customStyle="1" w:styleId="Heading1Char">
    <w:name w:val="Heading 1 Char"/>
    <w:basedOn w:val="DefaultParagraphFont"/>
    <w:link w:val="Heading1"/>
    <w:uiPriority w:val="9"/>
    <w:rsid w:val="00362F1E"/>
    <w:rPr>
      <w:rFonts w:asciiTheme="majorHAnsi" w:eastAsiaTheme="majorEastAsia" w:hAnsiTheme="majorHAnsi" w:cstheme="majorBidi"/>
      <w:b/>
      <w:bCs/>
      <w:color w:val="2E74B5" w:themeColor="accent1" w:themeShade="BF"/>
      <w:sz w:val="28"/>
      <w:szCs w:val="28"/>
      <w:lang w:val="lv-LV"/>
    </w:rPr>
  </w:style>
  <w:style w:type="character" w:customStyle="1" w:styleId="Heading2Char">
    <w:name w:val="Heading 2 Char"/>
    <w:basedOn w:val="DefaultParagraphFont"/>
    <w:link w:val="Heading2"/>
    <w:uiPriority w:val="9"/>
    <w:rsid w:val="00362F1E"/>
    <w:rPr>
      <w:rFonts w:asciiTheme="majorHAnsi" w:eastAsiaTheme="majorEastAsia" w:hAnsiTheme="majorHAnsi" w:cstheme="majorBidi"/>
      <w:b/>
      <w:bCs/>
      <w:color w:val="5B9BD5" w:themeColor="accent1"/>
      <w:sz w:val="26"/>
      <w:szCs w:val="26"/>
      <w:lang w:val="lv-LV"/>
    </w:rPr>
  </w:style>
  <w:style w:type="paragraph" w:styleId="TOCHeading">
    <w:name w:val="TOC Heading"/>
    <w:basedOn w:val="Heading1"/>
    <w:next w:val="Normal"/>
    <w:uiPriority w:val="39"/>
    <w:semiHidden/>
    <w:unhideWhenUsed/>
    <w:qFormat/>
    <w:rsid w:val="00BA5A22"/>
    <w:pPr>
      <w:spacing w:line="276" w:lineRule="auto"/>
      <w:outlineLvl w:val="9"/>
    </w:pPr>
    <w:rPr>
      <w:lang w:val="en-US" w:eastAsia="ja-JP"/>
    </w:rPr>
  </w:style>
  <w:style w:type="paragraph" w:styleId="TOC1">
    <w:name w:val="toc 1"/>
    <w:basedOn w:val="Normal"/>
    <w:next w:val="Normal"/>
    <w:autoRedefine/>
    <w:uiPriority w:val="39"/>
    <w:unhideWhenUsed/>
    <w:rsid w:val="00BA5A22"/>
    <w:pPr>
      <w:spacing w:after="100"/>
    </w:pPr>
  </w:style>
  <w:style w:type="paragraph" w:styleId="TOC2">
    <w:name w:val="toc 2"/>
    <w:basedOn w:val="Normal"/>
    <w:next w:val="Normal"/>
    <w:autoRedefine/>
    <w:uiPriority w:val="39"/>
    <w:unhideWhenUsed/>
    <w:rsid w:val="00BA5A22"/>
    <w:pPr>
      <w:spacing w:after="100"/>
      <w:ind w:left="220"/>
    </w:pPr>
  </w:style>
  <w:style w:type="character" w:styleId="Hyperlink">
    <w:name w:val="Hyperlink"/>
    <w:basedOn w:val="DefaultParagraphFont"/>
    <w:uiPriority w:val="99"/>
    <w:unhideWhenUsed/>
    <w:rsid w:val="00BA5A22"/>
    <w:rPr>
      <w:color w:val="0563C1" w:themeColor="hyperlink"/>
      <w:u w:val="single"/>
    </w:rPr>
  </w:style>
  <w:style w:type="paragraph" w:styleId="BalloonText">
    <w:name w:val="Balloon Text"/>
    <w:basedOn w:val="Normal"/>
    <w:link w:val="BalloonTextChar"/>
    <w:uiPriority w:val="99"/>
    <w:semiHidden/>
    <w:unhideWhenUsed/>
    <w:rsid w:val="00BA5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22"/>
    <w:rPr>
      <w:rFonts w:ascii="Tahoma" w:hAnsi="Tahoma" w:cs="Tahoma"/>
      <w:sz w:val="16"/>
      <w:szCs w:val="16"/>
      <w:lang w:val="lv-LV"/>
    </w:rPr>
  </w:style>
  <w:style w:type="character" w:styleId="CommentReference">
    <w:name w:val="annotation reference"/>
    <w:basedOn w:val="DefaultParagraphFont"/>
    <w:uiPriority w:val="99"/>
    <w:semiHidden/>
    <w:unhideWhenUsed/>
    <w:rsid w:val="00974920"/>
    <w:rPr>
      <w:sz w:val="16"/>
      <w:szCs w:val="16"/>
    </w:rPr>
  </w:style>
  <w:style w:type="paragraph" w:styleId="CommentText">
    <w:name w:val="annotation text"/>
    <w:basedOn w:val="Normal"/>
    <w:link w:val="CommentTextChar"/>
    <w:uiPriority w:val="99"/>
    <w:semiHidden/>
    <w:unhideWhenUsed/>
    <w:rsid w:val="00974920"/>
    <w:pPr>
      <w:spacing w:line="240" w:lineRule="auto"/>
    </w:pPr>
    <w:rPr>
      <w:sz w:val="20"/>
      <w:szCs w:val="20"/>
    </w:rPr>
  </w:style>
  <w:style w:type="character" w:customStyle="1" w:styleId="CommentTextChar">
    <w:name w:val="Comment Text Char"/>
    <w:basedOn w:val="DefaultParagraphFont"/>
    <w:link w:val="CommentText"/>
    <w:uiPriority w:val="99"/>
    <w:semiHidden/>
    <w:rsid w:val="00974920"/>
    <w:rPr>
      <w:sz w:val="20"/>
      <w:szCs w:val="20"/>
      <w:lang w:val="lv-LV"/>
    </w:rPr>
  </w:style>
  <w:style w:type="paragraph" w:styleId="CommentSubject">
    <w:name w:val="annotation subject"/>
    <w:basedOn w:val="CommentText"/>
    <w:next w:val="CommentText"/>
    <w:link w:val="CommentSubjectChar"/>
    <w:uiPriority w:val="99"/>
    <w:semiHidden/>
    <w:unhideWhenUsed/>
    <w:rsid w:val="00974920"/>
    <w:rPr>
      <w:b/>
      <w:bCs/>
    </w:rPr>
  </w:style>
  <w:style w:type="character" w:customStyle="1" w:styleId="CommentSubjectChar">
    <w:name w:val="Comment Subject Char"/>
    <w:basedOn w:val="CommentTextChar"/>
    <w:link w:val="CommentSubject"/>
    <w:uiPriority w:val="99"/>
    <w:semiHidden/>
    <w:rsid w:val="00974920"/>
    <w:rPr>
      <w:b/>
      <w:bCs/>
      <w:sz w:val="20"/>
      <w:szCs w:val="20"/>
      <w:lang w:val="lv-LV"/>
    </w:rPr>
  </w:style>
  <w:style w:type="character" w:customStyle="1" w:styleId="Heading3Char">
    <w:name w:val="Heading 3 Char"/>
    <w:basedOn w:val="DefaultParagraphFont"/>
    <w:link w:val="Heading3"/>
    <w:uiPriority w:val="9"/>
    <w:semiHidden/>
    <w:rsid w:val="00604C0B"/>
    <w:rPr>
      <w:rFonts w:asciiTheme="majorHAnsi" w:eastAsiaTheme="majorEastAsia" w:hAnsiTheme="majorHAnsi" w:cstheme="majorBidi"/>
      <w:b/>
      <w:bCs/>
      <w:color w:val="5B9BD5" w:themeColor="accent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654792">
      <w:bodyDiv w:val="1"/>
      <w:marLeft w:val="0"/>
      <w:marRight w:val="0"/>
      <w:marTop w:val="0"/>
      <w:marBottom w:val="0"/>
      <w:divBdr>
        <w:top w:val="none" w:sz="0" w:space="0" w:color="auto"/>
        <w:left w:val="none" w:sz="0" w:space="0" w:color="auto"/>
        <w:bottom w:val="none" w:sz="0" w:space="0" w:color="auto"/>
        <w:right w:val="none" w:sz="0" w:space="0" w:color="auto"/>
      </w:divBdr>
    </w:div>
    <w:div w:id="15001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75856F525BC6B4AAC9326C419DA09EB" ma:contentTypeVersion="13" ma:contentTypeDescription="Izveidot jaunu dokumentu." ma:contentTypeScope="" ma:versionID="4e687e577741206111abe88cdf9f5994">
  <xsd:schema xmlns:xsd="http://www.w3.org/2001/XMLSchema" xmlns:xs="http://www.w3.org/2001/XMLSchema" xmlns:p="http://schemas.microsoft.com/office/2006/metadata/properties" xmlns:ns2="e793aee2-0702-45ff-9c51-b29030239f5c" xmlns:ns3="98d6c3d8-aeaf-4e5b-adb6-e1ad8a72b2c7" targetNamespace="http://schemas.microsoft.com/office/2006/metadata/properties" ma:root="true" ma:fieldsID="8e9bf498bcf4646c0062ba63437693b1" ns2:_="" ns3:_="">
    <xsd:import namespace="e793aee2-0702-45ff-9c51-b29030239f5c"/>
    <xsd:import namespace="98d6c3d8-aeaf-4e5b-adb6-e1ad8a72b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F220E-6125-4CED-ACBE-38FED0DCE14D}"/>
</file>

<file path=customXml/itemProps2.xml><?xml version="1.0" encoding="utf-8"?>
<ds:datastoreItem xmlns:ds="http://schemas.openxmlformats.org/officeDocument/2006/customXml" ds:itemID="{E2B6E72F-3895-43DB-9EB8-F4ACC6E7C7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89A2E-19CF-4D95-8B6E-5827E8F2C498}">
  <ds:schemaRefs>
    <ds:schemaRef ds:uri="http://schemas.microsoft.com/sharepoint/v3/contenttype/forms"/>
  </ds:schemaRefs>
</ds:datastoreItem>
</file>

<file path=customXml/itemProps4.xml><?xml version="1.0" encoding="utf-8"?>
<ds:datastoreItem xmlns:ds="http://schemas.openxmlformats.org/officeDocument/2006/customXml" ds:itemID="{B246EC49-F12D-4CB9-9EEA-61D6B7CB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10463</Words>
  <Characters>5964</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Karina Truhanova</cp:lastModifiedBy>
  <cp:revision>2</cp:revision>
  <dcterms:created xsi:type="dcterms:W3CDTF">2022-04-29T11:39:00Z</dcterms:created>
  <dcterms:modified xsi:type="dcterms:W3CDTF">2022-04-29T11:39:00Z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