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A5CA1" w14:textId="77777777" w:rsidR="00A072E8" w:rsidRPr="0094223C" w:rsidRDefault="00A072E8" w:rsidP="002206CC">
      <w:pPr>
        <w:spacing w:after="240" w:line="240" w:lineRule="auto"/>
        <w:jc w:val="center"/>
        <w:rPr>
          <w:rFonts w:ascii="Times New Roman" w:hAnsi="Times New Roman" w:cs="Times New Roman"/>
          <w:b/>
          <w:bCs/>
          <w:sz w:val="24"/>
          <w:szCs w:val="24"/>
        </w:rPr>
      </w:pPr>
      <w:r w:rsidRPr="0094223C">
        <w:rPr>
          <w:rFonts w:ascii="Times New Roman" w:hAnsi="Times New Roman" w:cs="Times New Roman"/>
          <w:b/>
          <w:bCs/>
          <w:sz w:val="24"/>
          <w:szCs w:val="24"/>
        </w:rPr>
        <w:t>Pavadošais teksts EM mājaslapā</w:t>
      </w:r>
    </w:p>
    <w:p w14:paraId="2E356AC3" w14:textId="769445C1" w:rsidR="004651A9" w:rsidRDefault="00411D0A" w:rsidP="004651A9">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Ekonomikas ministrija (turpmāk – EM)</w:t>
      </w:r>
      <w:r w:rsidR="00A072E8" w:rsidRPr="0094223C">
        <w:rPr>
          <w:rFonts w:ascii="Times New Roman" w:hAnsi="Times New Roman" w:cs="Times New Roman"/>
          <w:sz w:val="24"/>
          <w:szCs w:val="24"/>
          <w:shd w:val="clear" w:color="auto" w:fill="FFFFFF"/>
        </w:rPr>
        <w:t xml:space="preserve"> ir izstrādājusi vadlīnijas</w:t>
      </w:r>
      <w:r w:rsidR="00514D30" w:rsidRPr="0094223C">
        <w:rPr>
          <w:rFonts w:ascii="Times New Roman" w:hAnsi="Times New Roman" w:cs="Times New Roman"/>
          <w:sz w:val="24"/>
          <w:szCs w:val="24"/>
          <w:shd w:val="clear" w:color="auto" w:fill="FFFFFF"/>
        </w:rPr>
        <w:t xml:space="preserve"> </w:t>
      </w:r>
      <w:r w:rsidR="00514D30" w:rsidRPr="0094223C">
        <w:rPr>
          <w:rFonts w:ascii="Times New Roman" w:hAnsi="Times New Roman" w:cs="Times New Roman"/>
          <w:sz w:val="24"/>
          <w:szCs w:val="24"/>
        </w:rPr>
        <w:t>būv</w:t>
      </w:r>
      <w:r w:rsidR="00CB28B3" w:rsidRPr="0094223C">
        <w:rPr>
          <w:rFonts w:ascii="Times New Roman" w:hAnsi="Times New Roman" w:cs="Times New Roman"/>
          <w:sz w:val="24"/>
          <w:szCs w:val="24"/>
        </w:rPr>
        <w:t>materiālu</w:t>
      </w:r>
      <w:r w:rsidR="008A62FF">
        <w:rPr>
          <w:rStyle w:val="FootnoteReference"/>
          <w:rFonts w:ascii="Times New Roman" w:hAnsi="Times New Roman" w:cs="Times New Roman"/>
          <w:sz w:val="24"/>
          <w:szCs w:val="24"/>
        </w:rPr>
        <w:footnoteReference w:id="1"/>
      </w:r>
      <w:r w:rsidR="00514D30" w:rsidRPr="0094223C">
        <w:rPr>
          <w:rFonts w:ascii="Times New Roman" w:hAnsi="Times New Roman" w:cs="Times New Roman"/>
          <w:sz w:val="24"/>
          <w:szCs w:val="24"/>
        </w:rPr>
        <w:t xml:space="preserve"> izmaksu </w:t>
      </w:r>
      <w:r w:rsidR="00E33581">
        <w:rPr>
          <w:rFonts w:ascii="Times New Roman" w:hAnsi="Times New Roman" w:cs="Times New Roman"/>
          <w:sz w:val="24"/>
          <w:szCs w:val="24"/>
        </w:rPr>
        <w:t xml:space="preserve">sadārdzinājuma novērtēšanai pēc vienotiem kritērijiem publisko būvdarbu līgumu veiksmīgai saistību izpildei. Vadlīnijas attiecas uz </w:t>
      </w:r>
      <w:r w:rsidR="00B20E12" w:rsidRPr="0094223C">
        <w:rPr>
          <w:rFonts w:ascii="Times New Roman" w:hAnsi="Times New Roman" w:cs="Times New Roman"/>
          <w:sz w:val="24"/>
          <w:szCs w:val="24"/>
        </w:rPr>
        <w:t>ēku būvniecību</w:t>
      </w:r>
      <w:r w:rsidR="00384C96" w:rsidRPr="0094223C">
        <w:rPr>
          <w:rFonts w:ascii="Times New Roman" w:hAnsi="Times New Roman" w:cs="Times New Roman"/>
          <w:sz w:val="24"/>
          <w:szCs w:val="24"/>
        </w:rPr>
        <w:t xml:space="preserve">. Vadlīnijas izstrādātas </w:t>
      </w:r>
      <w:r w:rsidR="00A072E8" w:rsidRPr="0094223C">
        <w:rPr>
          <w:rFonts w:ascii="Times New Roman" w:hAnsi="Times New Roman" w:cs="Times New Roman"/>
          <w:sz w:val="24"/>
          <w:szCs w:val="24"/>
          <w:shd w:val="clear" w:color="auto" w:fill="FFFFFF"/>
        </w:rPr>
        <w:t xml:space="preserve">ņemot vērā </w:t>
      </w:r>
      <w:r w:rsidR="00514D30" w:rsidRPr="0094223C">
        <w:rPr>
          <w:rFonts w:ascii="Times New Roman" w:hAnsi="Times New Roman" w:cs="Times New Roman"/>
          <w:sz w:val="24"/>
          <w:szCs w:val="24"/>
          <w:shd w:val="clear" w:color="auto" w:fill="FFFFFF"/>
        </w:rPr>
        <w:t xml:space="preserve">Iepirkumu uzraudzības biroja, </w:t>
      </w:r>
      <w:r w:rsidR="00D94D6B" w:rsidRPr="0094223C">
        <w:rPr>
          <w:rFonts w:ascii="Times New Roman" w:hAnsi="Times New Roman" w:cs="Times New Roman"/>
          <w:sz w:val="24"/>
          <w:szCs w:val="24"/>
          <w:shd w:val="clear" w:color="auto" w:fill="FFFFFF"/>
        </w:rPr>
        <w:t xml:space="preserve">Centrālās finanšu un līgumu aģentūras, VAS “Valsts nekustamie īpašumi”, biedrības “Latvijas Lielo pilsētu asociācija” un biedrības “Latvijas Pašvaldību savienība” </w:t>
      </w:r>
      <w:r w:rsidR="00A072E8" w:rsidRPr="0094223C">
        <w:rPr>
          <w:rFonts w:ascii="Times New Roman" w:hAnsi="Times New Roman" w:cs="Times New Roman"/>
          <w:sz w:val="24"/>
          <w:szCs w:val="24"/>
          <w:shd w:val="clear" w:color="auto" w:fill="FFFFFF"/>
        </w:rPr>
        <w:t>viedokli un pieredzi</w:t>
      </w:r>
      <w:r w:rsidR="00A072E8" w:rsidRPr="0094223C">
        <w:rPr>
          <w:rFonts w:ascii="Times New Roman" w:hAnsi="Times New Roman" w:cs="Times New Roman"/>
          <w:sz w:val="24"/>
          <w:szCs w:val="24"/>
        </w:rPr>
        <w:t xml:space="preserve">. </w:t>
      </w:r>
      <w:r w:rsidR="00CB28B3" w:rsidRPr="0094223C">
        <w:rPr>
          <w:rFonts w:ascii="Times New Roman" w:hAnsi="Times New Roman" w:cs="Times New Roman"/>
          <w:sz w:val="24"/>
          <w:szCs w:val="24"/>
        </w:rPr>
        <w:t>Būvmateriālu</w:t>
      </w:r>
      <w:r w:rsidR="005B0A84" w:rsidRPr="0094223C">
        <w:rPr>
          <w:rFonts w:ascii="Times New Roman" w:hAnsi="Times New Roman" w:cs="Times New Roman"/>
          <w:sz w:val="24"/>
          <w:szCs w:val="24"/>
        </w:rPr>
        <w:t xml:space="preserve"> izmaksu </w:t>
      </w:r>
      <w:r w:rsidR="00E33581">
        <w:rPr>
          <w:rFonts w:ascii="Times New Roman" w:hAnsi="Times New Roman" w:cs="Times New Roman"/>
          <w:sz w:val="24"/>
          <w:szCs w:val="24"/>
        </w:rPr>
        <w:t xml:space="preserve">sadārdzinājuma novērtēšana šobrīd ir ļoti aktuāla dēļ Krievijas agresijas Ukrainā izraisītā neprognozējamā </w:t>
      </w:r>
      <w:r w:rsidR="006123A2">
        <w:rPr>
          <w:rFonts w:ascii="Times New Roman" w:hAnsi="Times New Roman" w:cs="Times New Roman"/>
          <w:sz w:val="24"/>
          <w:szCs w:val="24"/>
        </w:rPr>
        <w:t>būvmateriālu</w:t>
      </w:r>
      <w:r w:rsidR="00E33581">
        <w:rPr>
          <w:rFonts w:ascii="Times New Roman" w:hAnsi="Times New Roman" w:cs="Times New Roman"/>
          <w:sz w:val="24"/>
          <w:szCs w:val="24"/>
        </w:rPr>
        <w:t xml:space="preserve"> cenu sadārdzinājuma un piegādes traucējumiem</w:t>
      </w:r>
      <w:r w:rsidR="003903E1">
        <w:rPr>
          <w:rFonts w:ascii="Times New Roman" w:hAnsi="Times New Roman" w:cs="Times New Roman"/>
          <w:sz w:val="24"/>
          <w:szCs w:val="24"/>
        </w:rPr>
        <w:t>. Būvniecības nozarē izveidojušies apstākļi būtiski apgrūtina iepriekš uzsākto projektu īstenošanu atbilstoši uzņemtām saistībām, līgumu grozījumi, vienojoties par solidāro sadārdzinājuma kompensēšanu, būtu efektīvs instruments publisko būvdarbu līguma vadībai un veiksmīgai pabeigšanai.</w:t>
      </w:r>
      <w:r w:rsidR="00E33581" w:rsidRPr="0094223C">
        <w:rPr>
          <w:rFonts w:ascii="Times New Roman" w:hAnsi="Times New Roman" w:cs="Times New Roman"/>
          <w:sz w:val="24"/>
          <w:szCs w:val="24"/>
        </w:rPr>
        <w:t xml:space="preserve"> </w:t>
      </w:r>
    </w:p>
    <w:p w14:paraId="609757FF" w14:textId="3AC4CD39" w:rsidR="004651A9" w:rsidRDefault="00D93A46" w:rsidP="004651A9">
      <w:pPr>
        <w:spacing w:after="80" w:line="240" w:lineRule="auto"/>
        <w:ind w:firstLine="709"/>
        <w:jc w:val="both"/>
        <w:rPr>
          <w:rFonts w:ascii="Times New Roman" w:hAnsi="Times New Roman" w:cs="Times New Roman"/>
          <w:sz w:val="24"/>
          <w:szCs w:val="24"/>
        </w:rPr>
      </w:pPr>
      <w:r w:rsidRPr="0094223C">
        <w:rPr>
          <w:rFonts w:ascii="Times New Roman" w:hAnsi="Times New Roman" w:cs="Times New Roman"/>
          <w:sz w:val="24"/>
          <w:szCs w:val="24"/>
        </w:rPr>
        <w:t>Krievijas karadarbības Ukrainā ietekmes dēļ būvkomersanti saskaras ar objektīvām problēmām izpildīt iepriekš uzņemt</w:t>
      </w:r>
      <w:r w:rsidR="001B7C78">
        <w:rPr>
          <w:rFonts w:ascii="Times New Roman" w:hAnsi="Times New Roman" w:cs="Times New Roman"/>
          <w:sz w:val="24"/>
          <w:szCs w:val="24"/>
        </w:rPr>
        <w:t>ā</w:t>
      </w:r>
      <w:r w:rsidRPr="0094223C">
        <w:rPr>
          <w:rFonts w:ascii="Times New Roman" w:hAnsi="Times New Roman" w:cs="Times New Roman"/>
          <w:sz w:val="24"/>
          <w:szCs w:val="24"/>
        </w:rPr>
        <w:t xml:space="preserve">s līgumsaistības un nodrošināt publisko būvdarbu līgumu izpildi. Izejvielu un </w:t>
      </w:r>
      <w:r w:rsidR="006123A2">
        <w:rPr>
          <w:rFonts w:ascii="Times New Roman" w:hAnsi="Times New Roman" w:cs="Times New Roman"/>
          <w:sz w:val="24"/>
          <w:szCs w:val="24"/>
        </w:rPr>
        <w:t>būvmateriālu</w:t>
      </w:r>
      <w:r w:rsidRPr="0094223C">
        <w:rPr>
          <w:rFonts w:ascii="Times New Roman" w:hAnsi="Times New Roman" w:cs="Times New Roman"/>
          <w:sz w:val="24"/>
          <w:szCs w:val="24"/>
        </w:rPr>
        <w:t xml:space="preserve"> sadārdzinājums neļauj iekļauties līgumcenā, radot finanšu zaudējumus, savukārt </w:t>
      </w:r>
      <w:r w:rsidR="006123A2">
        <w:rPr>
          <w:rFonts w:ascii="Times New Roman" w:hAnsi="Times New Roman" w:cs="Times New Roman"/>
          <w:sz w:val="24"/>
          <w:szCs w:val="24"/>
        </w:rPr>
        <w:t>būvmateriālu</w:t>
      </w:r>
      <w:r w:rsidRPr="0094223C">
        <w:rPr>
          <w:rFonts w:ascii="Times New Roman" w:hAnsi="Times New Roman" w:cs="Times New Roman"/>
          <w:sz w:val="24"/>
          <w:szCs w:val="24"/>
        </w:rPr>
        <w:t xml:space="preserve"> </w:t>
      </w:r>
      <w:r w:rsidR="001B7C78">
        <w:rPr>
          <w:rFonts w:ascii="Times New Roman" w:hAnsi="Times New Roman" w:cs="Times New Roman"/>
          <w:sz w:val="24"/>
          <w:szCs w:val="24"/>
        </w:rPr>
        <w:t>nestabilās piegādes a</w:t>
      </w:r>
      <w:r w:rsidRPr="0094223C">
        <w:rPr>
          <w:rFonts w:ascii="Times New Roman" w:hAnsi="Times New Roman" w:cs="Times New Roman"/>
          <w:sz w:val="24"/>
          <w:szCs w:val="24"/>
        </w:rPr>
        <w:t>pdraud būvniecības ieceres īstenošanas termiņu ievērošanu. Pieaugot zaudējumu apjomam, palielinās risks, ka būvkomersanti vienpusēji atkāpsies no publiskajiem būvdarbu līgumiem, atstājot nepabeigtus būvobjektus. Šāda notikumu attīstība radīs zaudējumus pasūtītājam, jo jauna publisko būvdarbu iepirkuma rīkošana ir laikietilpīgs process, sadrumstalots būvdarbu veikšanas process samazina pasūtītāja iespēju efektīvi aizstāvēt savas intereses, būvobjekta uzturēšana dīkstāves laikā prasīs papildu finanšu resursus, jaunā līgumcena ar lielu varbūtību būs augstāka, ņemot vērā nestabilo situāciju nozarē.</w:t>
      </w:r>
    </w:p>
    <w:p w14:paraId="60A1EF7D" w14:textId="56EBCB4F" w:rsidR="004651A9" w:rsidRDefault="00716900" w:rsidP="004651A9">
      <w:pPr>
        <w:spacing w:after="80" w:line="240" w:lineRule="auto"/>
        <w:ind w:firstLine="709"/>
        <w:jc w:val="both"/>
        <w:rPr>
          <w:rFonts w:ascii="Times New Roman" w:hAnsi="Times New Roman" w:cs="Times New Roman"/>
          <w:sz w:val="24"/>
          <w:szCs w:val="24"/>
        </w:rPr>
      </w:pPr>
      <w:r w:rsidRPr="0094223C">
        <w:rPr>
          <w:rFonts w:ascii="Times New Roman" w:hAnsi="Times New Roman" w:cs="Times New Roman"/>
          <w:sz w:val="24"/>
          <w:szCs w:val="24"/>
        </w:rPr>
        <w:t xml:space="preserve">Atbilstoši publisko iepirkumus regulējošajiem normatīvajiem aktiem tieši pasūtītājam ir aktīva loma līguma vadībā, it īpaši, ja rodas sarežģījumi līguma izpildē, pasūtītājam aktīvi jālemj par līguma turpināšanas iespējām un pieejamo instrumentu izmantošanu līguma izpildes nodrošināšanai. </w:t>
      </w:r>
      <w:r w:rsidR="000820F0">
        <w:rPr>
          <w:rFonts w:ascii="Times New Roman" w:hAnsi="Times New Roman" w:cs="Times New Roman"/>
          <w:b/>
          <w:bCs/>
          <w:sz w:val="24"/>
          <w:szCs w:val="24"/>
        </w:rPr>
        <w:t>P</w:t>
      </w:r>
      <w:r w:rsidRPr="003903E1">
        <w:rPr>
          <w:rFonts w:ascii="Times New Roman" w:hAnsi="Times New Roman" w:cs="Times New Roman"/>
          <w:b/>
          <w:bCs/>
          <w:sz w:val="24"/>
          <w:szCs w:val="24"/>
        </w:rPr>
        <w:t>ublisko būvdarbu līguma grozījumi ir veicami, pusēm savstarpēji vienojoties, ņemot vērā, piemēram, šādus aspektus - katras konkrētas būvniecības ieceres raksturu, būvdarbu izpildes stadiju, riskus, kas ir saistīti ar noslēgta publiskā būvdarbu līguma pārtraukšanu, grozījumu samērīgumu un atbilstību pasūtītāja interesēm, pasūtītāja spēju nodrošināt papildus nepieciešamo finansējumu.</w:t>
      </w:r>
      <w:r w:rsidR="00290A46" w:rsidRPr="0094223C">
        <w:rPr>
          <w:rFonts w:ascii="Times New Roman" w:hAnsi="Times New Roman" w:cs="Times New Roman"/>
          <w:sz w:val="24"/>
          <w:szCs w:val="24"/>
        </w:rPr>
        <w:t xml:space="preserve"> </w:t>
      </w:r>
      <w:r w:rsidR="0070455F">
        <w:rPr>
          <w:rFonts w:ascii="Times New Roman" w:hAnsi="Times New Roman" w:cs="Times New Roman"/>
          <w:b/>
          <w:bCs/>
          <w:sz w:val="24"/>
          <w:szCs w:val="24"/>
        </w:rPr>
        <w:t xml:space="preserve">Vienlaicīgi pasūtītājam būtu jānodrošina tādas darbības, lai lēmums par turpmāko rīcību tiek pieņemts iespējami īsā laikā, lai, nerisinot situāciju pēc būtības, </w:t>
      </w:r>
      <w:r w:rsidR="0078580E">
        <w:rPr>
          <w:rFonts w:ascii="Times New Roman" w:hAnsi="Times New Roman" w:cs="Times New Roman"/>
          <w:b/>
          <w:bCs/>
          <w:sz w:val="24"/>
          <w:szCs w:val="24"/>
        </w:rPr>
        <w:t>netiktu radīt</w:t>
      </w:r>
      <w:r w:rsidR="00257EE0">
        <w:rPr>
          <w:rFonts w:ascii="Times New Roman" w:hAnsi="Times New Roman" w:cs="Times New Roman"/>
          <w:b/>
          <w:bCs/>
          <w:sz w:val="24"/>
          <w:szCs w:val="24"/>
        </w:rPr>
        <w:t>i</w:t>
      </w:r>
      <w:r w:rsidR="0078580E">
        <w:rPr>
          <w:rFonts w:ascii="Times New Roman" w:hAnsi="Times New Roman" w:cs="Times New Roman"/>
          <w:b/>
          <w:bCs/>
          <w:sz w:val="24"/>
          <w:szCs w:val="24"/>
        </w:rPr>
        <w:t xml:space="preserve"> papildus riski projekta sekmīg</w:t>
      </w:r>
      <w:r w:rsidR="00ED6DB0">
        <w:rPr>
          <w:rFonts w:ascii="Times New Roman" w:hAnsi="Times New Roman" w:cs="Times New Roman"/>
          <w:b/>
          <w:bCs/>
          <w:sz w:val="24"/>
          <w:szCs w:val="24"/>
        </w:rPr>
        <w:t>ai</w:t>
      </w:r>
      <w:r w:rsidR="0078580E">
        <w:rPr>
          <w:rFonts w:ascii="Times New Roman" w:hAnsi="Times New Roman" w:cs="Times New Roman"/>
          <w:b/>
          <w:bCs/>
          <w:sz w:val="24"/>
          <w:szCs w:val="24"/>
        </w:rPr>
        <w:t xml:space="preserve"> </w:t>
      </w:r>
      <w:r w:rsidR="00002886">
        <w:rPr>
          <w:rFonts w:ascii="Times New Roman" w:hAnsi="Times New Roman" w:cs="Times New Roman"/>
          <w:b/>
          <w:bCs/>
          <w:sz w:val="24"/>
          <w:szCs w:val="24"/>
        </w:rPr>
        <w:t>realizēšan</w:t>
      </w:r>
      <w:r w:rsidR="00ED6DB0">
        <w:rPr>
          <w:rFonts w:ascii="Times New Roman" w:hAnsi="Times New Roman" w:cs="Times New Roman"/>
          <w:b/>
          <w:bCs/>
          <w:sz w:val="24"/>
          <w:szCs w:val="24"/>
        </w:rPr>
        <w:t>ai</w:t>
      </w:r>
      <w:r w:rsidR="0078580E">
        <w:rPr>
          <w:rFonts w:ascii="Times New Roman" w:hAnsi="Times New Roman" w:cs="Times New Roman"/>
          <w:b/>
          <w:bCs/>
          <w:sz w:val="24"/>
          <w:szCs w:val="24"/>
        </w:rPr>
        <w:t>.</w:t>
      </w:r>
    </w:p>
    <w:p w14:paraId="0B085190" w14:textId="5262DFB9" w:rsidR="005C78AC" w:rsidRPr="005367C0" w:rsidRDefault="00442AFB" w:rsidP="006D4231">
      <w:pPr>
        <w:spacing w:after="0" w:line="240" w:lineRule="auto"/>
        <w:ind w:firstLine="709"/>
        <w:jc w:val="both"/>
        <w:rPr>
          <w:rFonts w:ascii="Times New Roman" w:hAnsi="Times New Roman" w:cs="Times New Roman"/>
          <w:b/>
          <w:bCs/>
          <w:sz w:val="24"/>
          <w:szCs w:val="24"/>
        </w:rPr>
      </w:pPr>
      <w:r w:rsidRPr="009667EE">
        <w:rPr>
          <w:rFonts w:ascii="Times New Roman" w:hAnsi="Times New Roman" w:cs="Times New Roman"/>
          <w:sz w:val="24"/>
          <w:szCs w:val="24"/>
        </w:rPr>
        <w:t xml:space="preserve">Vadlīnijas satur ieteikumus būvmateriālu izmaksu </w:t>
      </w:r>
      <w:r w:rsidR="003903E1" w:rsidRPr="009667EE">
        <w:rPr>
          <w:rFonts w:ascii="Times New Roman" w:hAnsi="Times New Roman" w:cs="Times New Roman"/>
          <w:sz w:val="24"/>
          <w:szCs w:val="24"/>
        </w:rPr>
        <w:t xml:space="preserve">sadārdzinājuma novērtēšanai </w:t>
      </w:r>
      <w:r w:rsidRPr="009667EE">
        <w:rPr>
          <w:rFonts w:ascii="Times New Roman" w:hAnsi="Times New Roman" w:cs="Times New Roman"/>
          <w:sz w:val="24"/>
          <w:szCs w:val="24"/>
        </w:rPr>
        <w:t>un ieskicē faktorus</w:t>
      </w:r>
      <w:r w:rsidRPr="0060140A">
        <w:rPr>
          <w:rFonts w:ascii="Times New Roman" w:hAnsi="Times New Roman" w:cs="Times New Roman"/>
          <w:sz w:val="24"/>
          <w:szCs w:val="24"/>
        </w:rPr>
        <w:t>, kas būtu vērtējami</w:t>
      </w:r>
      <w:r w:rsidR="00453527" w:rsidRPr="0060140A">
        <w:rPr>
          <w:rFonts w:ascii="Times New Roman" w:hAnsi="Times New Roman" w:cs="Times New Roman"/>
          <w:sz w:val="24"/>
          <w:szCs w:val="24"/>
        </w:rPr>
        <w:t xml:space="preserve">, </w:t>
      </w:r>
      <w:r w:rsidR="00307C91" w:rsidRPr="0060140A">
        <w:rPr>
          <w:rFonts w:ascii="Times New Roman" w:hAnsi="Times New Roman" w:cs="Times New Roman"/>
          <w:sz w:val="24"/>
          <w:szCs w:val="24"/>
        </w:rPr>
        <w:t xml:space="preserve">veicot grozījumus </w:t>
      </w:r>
      <w:r w:rsidRPr="0060140A">
        <w:rPr>
          <w:rFonts w:ascii="Times New Roman" w:hAnsi="Times New Roman" w:cs="Times New Roman"/>
          <w:sz w:val="24"/>
          <w:szCs w:val="24"/>
        </w:rPr>
        <w:t>spēkā esošajos publiskajos būvdarbu līgumos attiecībā uz ēku būvniecību.</w:t>
      </w:r>
      <w:r w:rsidR="001D013F" w:rsidRPr="0060140A">
        <w:rPr>
          <w:rFonts w:ascii="Times New Roman" w:hAnsi="Times New Roman" w:cs="Times New Roman"/>
          <w:sz w:val="24"/>
          <w:szCs w:val="24"/>
        </w:rPr>
        <w:t xml:space="preserve"> </w:t>
      </w:r>
      <w:r w:rsidR="000415D9" w:rsidRPr="0060140A">
        <w:rPr>
          <w:rFonts w:ascii="Times New Roman" w:hAnsi="Times New Roman" w:cs="Times New Roman"/>
          <w:sz w:val="24"/>
          <w:szCs w:val="24"/>
        </w:rPr>
        <w:t>Vadlīnijas</w:t>
      </w:r>
      <w:r w:rsidR="00325B0F">
        <w:rPr>
          <w:rFonts w:ascii="Times New Roman" w:hAnsi="Times New Roman" w:cs="Times New Roman"/>
          <w:sz w:val="24"/>
          <w:szCs w:val="24"/>
        </w:rPr>
        <w:t xml:space="preserve"> </w:t>
      </w:r>
      <w:r w:rsidR="000415D9" w:rsidRPr="0060140A">
        <w:rPr>
          <w:rFonts w:ascii="Times New Roman" w:hAnsi="Times New Roman" w:cs="Times New Roman"/>
          <w:sz w:val="24"/>
          <w:szCs w:val="24"/>
        </w:rPr>
        <w:t>nav izmantojamas, lai novērtētu sadārdzinājumu, kas radies Covid-19 pandēmijas vai kādu citu faktoru ietekmē</w:t>
      </w:r>
      <w:r w:rsidR="002D493D" w:rsidRPr="0060140A">
        <w:rPr>
          <w:rFonts w:ascii="Times New Roman" w:hAnsi="Times New Roman" w:cs="Times New Roman"/>
          <w:sz w:val="24"/>
          <w:szCs w:val="24"/>
        </w:rPr>
        <w:t xml:space="preserve">. Vadlīnijas izstrādātas, balstoties uz </w:t>
      </w:r>
      <w:r w:rsidR="00421B3E" w:rsidRPr="0060140A">
        <w:rPr>
          <w:rFonts w:ascii="Times New Roman" w:hAnsi="Times New Roman" w:cs="Times New Roman"/>
          <w:sz w:val="24"/>
          <w:szCs w:val="24"/>
        </w:rPr>
        <w:t xml:space="preserve">EM informatīvo </w:t>
      </w:r>
      <w:r w:rsidR="00782C0F" w:rsidRPr="0060140A">
        <w:rPr>
          <w:rFonts w:ascii="Times New Roman" w:hAnsi="Times New Roman" w:cs="Times New Roman"/>
          <w:sz w:val="24"/>
          <w:szCs w:val="24"/>
        </w:rPr>
        <w:t xml:space="preserve">ziņojumu </w:t>
      </w:r>
      <w:r w:rsidR="00782C0F" w:rsidRPr="0060140A">
        <w:rPr>
          <w:rFonts w:ascii="Times New Roman" w:hAnsi="Times New Roman" w:cs="Times New Roman"/>
          <w:i/>
          <w:iCs/>
          <w:sz w:val="24"/>
          <w:szCs w:val="24"/>
        </w:rPr>
        <w:t>“Par situāciju būvniecības nozarē saistībā ar Krievijas agresiju Ukrainā un nepieciešamajiem risinājumiem publisko investīciju projektos”</w:t>
      </w:r>
      <w:r w:rsidR="00E02473" w:rsidRPr="0060140A">
        <w:rPr>
          <w:rFonts w:ascii="Times New Roman" w:hAnsi="Times New Roman" w:cs="Times New Roman"/>
          <w:i/>
          <w:iCs/>
          <w:sz w:val="24"/>
          <w:szCs w:val="24"/>
        </w:rPr>
        <w:t xml:space="preserve"> </w:t>
      </w:r>
      <w:r w:rsidR="00782C0F" w:rsidRPr="0060140A">
        <w:rPr>
          <w:rFonts w:ascii="Times New Roman" w:hAnsi="Times New Roman" w:cs="Times New Roman"/>
          <w:sz w:val="24"/>
          <w:szCs w:val="24"/>
        </w:rPr>
        <w:t>(TAP 22-TA-938</w:t>
      </w:r>
      <w:r w:rsidR="00E02473" w:rsidRPr="0060140A">
        <w:rPr>
          <w:rFonts w:ascii="Times New Roman" w:hAnsi="Times New Roman" w:cs="Times New Roman"/>
          <w:sz w:val="24"/>
          <w:szCs w:val="24"/>
        </w:rPr>
        <w:t xml:space="preserve">, apstiprināts Ministru </w:t>
      </w:r>
      <w:r w:rsidR="00E02473" w:rsidRPr="0060140A">
        <w:rPr>
          <w:rFonts w:ascii="Times New Roman" w:hAnsi="Times New Roman" w:cs="Times New Roman"/>
          <w:sz w:val="24"/>
          <w:szCs w:val="24"/>
        </w:rPr>
        <w:lastRenderedPageBreak/>
        <w:t>kabineta 2022.gada 5.aprīļa sēdē, protokols Nr.19,  43.§, darba kārtības jautājums 4.4)</w:t>
      </w:r>
      <w:r w:rsidR="00782C0F" w:rsidRPr="0060140A">
        <w:rPr>
          <w:rStyle w:val="FootnoteReference"/>
          <w:rFonts w:ascii="Times New Roman" w:hAnsi="Times New Roman" w:cs="Times New Roman"/>
          <w:sz w:val="24"/>
          <w:szCs w:val="24"/>
        </w:rPr>
        <w:footnoteReference w:id="2"/>
      </w:r>
      <w:r w:rsidR="002D493D" w:rsidRPr="0060140A">
        <w:rPr>
          <w:rFonts w:ascii="Times New Roman" w:hAnsi="Times New Roman" w:cs="Times New Roman"/>
          <w:sz w:val="24"/>
          <w:szCs w:val="24"/>
        </w:rPr>
        <w:t xml:space="preserve">, kurā </w:t>
      </w:r>
      <w:r w:rsidR="00BE672F">
        <w:rPr>
          <w:rFonts w:ascii="Times New Roman" w:hAnsi="Times New Roman" w:cs="Times New Roman"/>
          <w:sz w:val="24"/>
          <w:szCs w:val="24"/>
        </w:rPr>
        <w:t>norādīta</w:t>
      </w:r>
      <w:r w:rsidR="002D493D" w:rsidRPr="0060140A">
        <w:rPr>
          <w:rFonts w:ascii="Times New Roman" w:hAnsi="Times New Roman" w:cs="Times New Roman"/>
          <w:sz w:val="24"/>
          <w:szCs w:val="24"/>
        </w:rPr>
        <w:t xml:space="preserve"> Krievijas </w:t>
      </w:r>
      <w:r w:rsidR="001F20E7" w:rsidRPr="00CF30B4">
        <w:rPr>
          <w:rFonts w:ascii="Times New Roman" w:hAnsi="Times New Roman" w:cs="Times New Roman"/>
          <w:sz w:val="24"/>
          <w:szCs w:val="24"/>
        </w:rPr>
        <w:t xml:space="preserve">uzsāktās karadarbības </w:t>
      </w:r>
      <w:r w:rsidR="002D493D" w:rsidRPr="00CF30B4">
        <w:rPr>
          <w:rFonts w:ascii="Times New Roman" w:hAnsi="Times New Roman" w:cs="Times New Roman"/>
          <w:sz w:val="24"/>
          <w:szCs w:val="24"/>
        </w:rPr>
        <w:t xml:space="preserve">Ukrainā </w:t>
      </w:r>
      <w:r w:rsidR="001F20E7" w:rsidRPr="00CF30B4">
        <w:rPr>
          <w:rFonts w:ascii="Times New Roman" w:hAnsi="Times New Roman" w:cs="Times New Roman"/>
          <w:sz w:val="24"/>
          <w:szCs w:val="24"/>
        </w:rPr>
        <w:t>tiešā ietekme uz būvmateriālu s</w:t>
      </w:r>
      <w:r w:rsidR="002D493D" w:rsidRPr="00CF30B4">
        <w:rPr>
          <w:rFonts w:ascii="Times New Roman" w:hAnsi="Times New Roman" w:cs="Times New Roman"/>
          <w:sz w:val="24"/>
          <w:szCs w:val="24"/>
        </w:rPr>
        <w:t>adārdzinājum</w:t>
      </w:r>
      <w:r w:rsidR="001F20E7" w:rsidRPr="00CF30B4">
        <w:rPr>
          <w:rFonts w:ascii="Times New Roman" w:hAnsi="Times New Roman" w:cs="Times New Roman"/>
          <w:sz w:val="24"/>
          <w:szCs w:val="24"/>
        </w:rPr>
        <w:t>u</w:t>
      </w:r>
      <w:r w:rsidR="002D493D" w:rsidRPr="00CF30B4">
        <w:rPr>
          <w:rFonts w:ascii="Times New Roman" w:hAnsi="Times New Roman" w:cs="Times New Roman"/>
          <w:sz w:val="24"/>
          <w:szCs w:val="24"/>
        </w:rPr>
        <w:t xml:space="preserve"> un piegādes traucējum</w:t>
      </w:r>
      <w:r w:rsidR="001F20E7" w:rsidRPr="00CF30B4">
        <w:rPr>
          <w:rFonts w:ascii="Times New Roman" w:hAnsi="Times New Roman" w:cs="Times New Roman"/>
          <w:sz w:val="24"/>
          <w:szCs w:val="24"/>
        </w:rPr>
        <w:t>iem.</w:t>
      </w:r>
      <w:r w:rsidR="005C78AC" w:rsidRPr="00CF30B4">
        <w:rPr>
          <w:rFonts w:ascii="Times New Roman" w:hAnsi="Times New Roman" w:cs="Times New Roman"/>
          <w:sz w:val="24"/>
          <w:szCs w:val="24"/>
        </w:rPr>
        <w:t xml:space="preserve"> </w:t>
      </w:r>
      <w:r w:rsidR="005367C0" w:rsidRPr="006D4231">
        <w:rPr>
          <w:rFonts w:ascii="Times New Roman" w:hAnsi="Times New Roman" w:cs="Times New Roman"/>
          <w:sz w:val="24"/>
          <w:szCs w:val="24"/>
        </w:rPr>
        <w:t xml:space="preserve">Puses var izmantot šajās vadlīnijās ietvertos principus, taču grozījumu pieļaujamība un grozījumu tvērums būtu vērtējami atsevišķi, ņemot vērā normatīvo aktu prasības publisko iepirkumu jomā, </w:t>
      </w:r>
      <w:r w:rsidR="005367C0" w:rsidRPr="006D4231">
        <w:rPr>
          <w:rFonts w:ascii="Times New Roman" w:hAnsi="Times New Roman" w:cs="Times New Roman"/>
          <w:sz w:val="24"/>
          <w:szCs w:val="24"/>
          <w:u w:val="single"/>
        </w:rPr>
        <w:t>kā arī attiecībā uz komercdarbības atbalsta projektiem, ja būvniecība tiek līdzfinansēta no publiskajiem līdzekļiem, t.sk. ES fondu ietvaros, ir jāievēro konkrētā situācijā piemērojamā komercdarbības atbalsta normas.</w:t>
      </w:r>
    </w:p>
    <w:p w14:paraId="63F95E43" w14:textId="1F8F6848" w:rsidR="00C24199" w:rsidRPr="0094223C" w:rsidRDefault="00174919" w:rsidP="00200453">
      <w:pPr>
        <w:jc w:val="center"/>
        <w:rPr>
          <w:rFonts w:ascii="Times New Roman" w:hAnsi="Times New Roman" w:cs="Times New Roman"/>
          <w:b/>
          <w:sz w:val="24"/>
          <w:szCs w:val="24"/>
        </w:rPr>
      </w:pPr>
      <w:r>
        <w:rPr>
          <w:rFonts w:ascii="Times New Roman" w:hAnsi="Times New Roman" w:cs="Times New Roman"/>
          <w:b/>
          <w:sz w:val="24"/>
          <w:szCs w:val="24"/>
        </w:rPr>
        <w:br w:type="page"/>
      </w:r>
      <w:r w:rsidR="00A072E8" w:rsidRPr="0094223C">
        <w:rPr>
          <w:rFonts w:ascii="Times New Roman" w:hAnsi="Times New Roman" w:cs="Times New Roman"/>
          <w:b/>
          <w:sz w:val="24"/>
          <w:szCs w:val="24"/>
        </w:rPr>
        <w:lastRenderedPageBreak/>
        <w:t xml:space="preserve">Vadlīnijas </w:t>
      </w:r>
      <w:r w:rsidR="00424509" w:rsidRPr="0094223C">
        <w:rPr>
          <w:rFonts w:ascii="Times New Roman" w:hAnsi="Times New Roman" w:cs="Times New Roman"/>
          <w:b/>
          <w:sz w:val="24"/>
          <w:szCs w:val="24"/>
        </w:rPr>
        <w:t>būvmateriālu izmaksu</w:t>
      </w:r>
      <w:r w:rsidR="00A072E8" w:rsidRPr="0094223C">
        <w:rPr>
          <w:rFonts w:ascii="Times New Roman" w:hAnsi="Times New Roman" w:cs="Times New Roman"/>
          <w:b/>
          <w:sz w:val="24"/>
          <w:szCs w:val="24"/>
        </w:rPr>
        <w:t xml:space="preserve"> </w:t>
      </w:r>
      <w:r w:rsidR="007260EB">
        <w:rPr>
          <w:rFonts w:ascii="Times New Roman" w:hAnsi="Times New Roman" w:cs="Times New Roman"/>
          <w:b/>
          <w:sz w:val="24"/>
          <w:szCs w:val="24"/>
        </w:rPr>
        <w:t>sadārdzinājuma novērtēšanai</w:t>
      </w:r>
      <w:r w:rsidR="00E2250C">
        <w:rPr>
          <w:rFonts w:ascii="Times New Roman" w:hAnsi="Times New Roman" w:cs="Times New Roman"/>
          <w:b/>
          <w:sz w:val="24"/>
          <w:szCs w:val="24"/>
        </w:rPr>
        <w:t xml:space="preserve"> </w:t>
      </w:r>
      <w:r w:rsidR="00E2250C" w:rsidRPr="00E2250C">
        <w:rPr>
          <w:rFonts w:ascii="Times New Roman" w:hAnsi="Times New Roman" w:cs="Times New Roman"/>
          <w:b/>
          <w:sz w:val="24"/>
          <w:szCs w:val="24"/>
        </w:rPr>
        <w:t xml:space="preserve">sakarā ar Krievijas </w:t>
      </w:r>
      <w:r w:rsidR="006D4231">
        <w:rPr>
          <w:rFonts w:ascii="Times New Roman" w:hAnsi="Times New Roman" w:cs="Times New Roman"/>
          <w:b/>
          <w:sz w:val="24"/>
          <w:szCs w:val="24"/>
        </w:rPr>
        <w:t xml:space="preserve">militāro agresiju </w:t>
      </w:r>
      <w:r w:rsidR="00E2250C" w:rsidRPr="00E2250C">
        <w:rPr>
          <w:rFonts w:ascii="Times New Roman" w:hAnsi="Times New Roman" w:cs="Times New Roman"/>
          <w:b/>
          <w:sz w:val="24"/>
          <w:szCs w:val="24"/>
        </w:rPr>
        <w:t xml:space="preserve"> Ukrainā</w:t>
      </w:r>
      <w:r w:rsidR="007260EB">
        <w:rPr>
          <w:rFonts w:ascii="Times New Roman" w:hAnsi="Times New Roman" w:cs="Times New Roman"/>
          <w:b/>
          <w:sz w:val="24"/>
          <w:szCs w:val="24"/>
        </w:rPr>
        <w:t xml:space="preserve"> </w:t>
      </w:r>
      <w:r w:rsidR="00C24199" w:rsidRPr="0094223C">
        <w:rPr>
          <w:rFonts w:ascii="Times New Roman" w:hAnsi="Times New Roman" w:cs="Times New Roman"/>
          <w:b/>
          <w:sz w:val="24"/>
          <w:szCs w:val="24"/>
        </w:rPr>
        <w:t>grozījumu veikšanai spēkā esošajos publiskajos būvdarbu līgumos</w:t>
      </w:r>
      <w:r w:rsidR="00FC70FF" w:rsidRPr="0094223C">
        <w:rPr>
          <w:rFonts w:ascii="Times New Roman" w:hAnsi="Times New Roman" w:cs="Times New Roman"/>
          <w:b/>
          <w:sz w:val="24"/>
          <w:szCs w:val="24"/>
        </w:rPr>
        <w:t xml:space="preserve"> attiecībā uz ēku būvniecību</w:t>
      </w:r>
    </w:p>
    <w:p w14:paraId="54A02DAA" w14:textId="6BD278E5" w:rsidR="00A072E8" w:rsidRPr="0094223C" w:rsidRDefault="00424509" w:rsidP="00ED4B32">
      <w:pPr>
        <w:spacing w:before="240" w:after="120" w:line="240" w:lineRule="auto"/>
        <w:rPr>
          <w:rFonts w:ascii="Times New Roman" w:hAnsi="Times New Roman" w:cs="Times New Roman"/>
          <w:b/>
          <w:bCs/>
          <w:sz w:val="24"/>
          <w:szCs w:val="24"/>
        </w:rPr>
      </w:pPr>
      <w:r>
        <w:rPr>
          <w:rFonts w:ascii="Times New Roman" w:hAnsi="Times New Roman" w:cs="Times New Roman"/>
          <w:b/>
          <w:sz w:val="24"/>
          <w:szCs w:val="24"/>
        </w:rPr>
        <w:t>B</w:t>
      </w:r>
      <w:r w:rsidRPr="0094223C">
        <w:rPr>
          <w:rFonts w:ascii="Times New Roman" w:hAnsi="Times New Roman" w:cs="Times New Roman"/>
          <w:b/>
          <w:sz w:val="24"/>
          <w:szCs w:val="24"/>
        </w:rPr>
        <w:t>ūvmateriālu izmaksu</w:t>
      </w:r>
      <w:r>
        <w:rPr>
          <w:rFonts w:ascii="Times New Roman" w:hAnsi="Times New Roman" w:cs="Times New Roman"/>
          <w:b/>
          <w:bCs/>
          <w:sz w:val="24"/>
          <w:szCs w:val="24"/>
        </w:rPr>
        <w:t xml:space="preserve"> s</w:t>
      </w:r>
      <w:r w:rsidR="003903E1">
        <w:rPr>
          <w:rFonts w:ascii="Times New Roman" w:hAnsi="Times New Roman" w:cs="Times New Roman"/>
          <w:b/>
          <w:bCs/>
          <w:sz w:val="24"/>
          <w:szCs w:val="24"/>
        </w:rPr>
        <w:t>adārdzinājuma novērtēšanas</w:t>
      </w:r>
      <w:r w:rsidR="003903E1" w:rsidRPr="0094223C">
        <w:rPr>
          <w:rFonts w:ascii="Times New Roman" w:hAnsi="Times New Roman" w:cs="Times New Roman"/>
          <w:b/>
          <w:bCs/>
          <w:sz w:val="24"/>
          <w:szCs w:val="24"/>
        </w:rPr>
        <w:t xml:space="preserve"> </w:t>
      </w:r>
      <w:r w:rsidR="00A072E8" w:rsidRPr="0094223C">
        <w:rPr>
          <w:rFonts w:ascii="Times New Roman" w:hAnsi="Times New Roman" w:cs="Times New Roman"/>
          <w:b/>
          <w:bCs/>
          <w:sz w:val="24"/>
          <w:szCs w:val="24"/>
        </w:rPr>
        <w:t>mērķis</w:t>
      </w:r>
    </w:p>
    <w:p w14:paraId="319DE486" w14:textId="5BA04D20" w:rsidR="004651A9" w:rsidRDefault="00D0764F" w:rsidP="004651A9">
      <w:pPr>
        <w:spacing w:after="80" w:line="240" w:lineRule="auto"/>
        <w:ind w:firstLine="709"/>
        <w:jc w:val="both"/>
        <w:rPr>
          <w:rFonts w:ascii="Times New Roman" w:hAnsi="Times New Roman" w:cs="Times New Roman"/>
          <w:sz w:val="24"/>
          <w:szCs w:val="24"/>
        </w:rPr>
      </w:pPr>
      <w:r w:rsidRPr="0094223C">
        <w:rPr>
          <w:rFonts w:ascii="Times New Roman" w:hAnsi="Times New Roman" w:cs="Times New Roman"/>
          <w:sz w:val="24"/>
          <w:szCs w:val="24"/>
        </w:rPr>
        <w:t xml:space="preserve">Vadlīniju mērķis ir noteikt vienotu metodiku būvmateriālu </w:t>
      </w:r>
      <w:r w:rsidR="004C43A6" w:rsidRPr="0094223C">
        <w:rPr>
          <w:rFonts w:ascii="Times New Roman" w:hAnsi="Times New Roman" w:cs="Times New Roman"/>
          <w:sz w:val="24"/>
          <w:szCs w:val="24"/>
        </w:rPr>
        <w:t xml:space="preserve">izmaksu </w:t>
      </w:r>
      <w:r w:rsidR="003903E1">
        <w:rPr>
          <w:rFonts w:ascii="Times New Roman" w:hAnsi="Times New Roman" w:cs="Times New Roman"/>
          <w:sz w:val="24"/>
          <w:szCs w:val="24"/>
        </w:rPr>
        <w:t xml:space="preserve">sadārdzinājuma novērtēšanai un </w:t>
      </w:r>
      <w:r w:rsidR="002B447F">
        <w:rPr>
          <w:rFonts w:ascii="Times New Roman" w:hAnsi="Times New Roman" w:cs="Times New Roman"/>
          <w:sz w:val="24"/>
          <w:szCs w:val="24"/>
        </w:rPr>
        <w:t xml:space="preserve">sadārdzinājuma </w:t>
      </w:r>
      <w:r w:rsidR="003903E1">
        <w:rPr>
          <w:rFonts w:ascii="Times New Roman" w:hAnsi="Times New Roman" w:cs="Times New Roman"/>
          <w:sz w:val="24"/>
          <w:szCs w:val="24"/>
        </w:rPr>
        <w:t xml:space="preserve">solidārai </w:t>
      </w:r>
      <w:r w:rsidR="002B447F">
        <w:rPr>
          <w:rFonts w:ascii="Times New Roman" w:hAnsi="Times New Roman" w:cs="Times New Roman"/>
          <w:sz w:val="24"/>
          <w:szCs w:val="24"/>
        </w:rPr>
        <w:t>kompensēšanai</w:t>
      </w:r>
      <w:r w:rsidR="00FF62B2">
        <w:rPr>
          <w:rFonts w:ascii="Times New Roman" w:hAnsi="Times New Roman" w:cs="Times New Roman"/>
          <w:sz w:val="24"/>
          <w:szCs w:val="24"/>
        </w:rPr>
        <w:t xml:space="preserve">, </w:t>
      </w:r>
      <w:r w:rsidR="00DE4EB1" w:rsidRPr="006D4231">
        <w:rPr>
          <w:rFonts w:ascii="Times New Roman" w:hAnsi="Times New Roman" w:cs="Times New Roman"/>
          <w:sz w:val="24"/>
          <w:szCs w:val="24"/>
        </w:rPr>
        <w:t>vienojoties ar pasūtītāju un ņemot vērā pasūtītāja finansiālās iespējas</w:t>
      </w:r>
      <w:r w:rsidR="00B53897">
        <w:rPr>
          <w:rFonts w:ascii="Times New Roman" w:hAnsi="Times New Roman" w:cs="Times New Roman"/>
          <w:sz w:val="24"/>
          <w:szCs w:val="24"/>
        </w:rPr>
        <w:t>,</w:t>
      </w:r>
      <w:r w:rsidR="00DE4EB1" w:rsidRPr="006D4231">
        <w:t xml:space="preserve"> </w:t>
      </w:r>
      <w:r w:rsidR="00FF62B2">
        <w:rPr>
          <w:rFonts w:ascii="Times New Roman" w:hAnsi="Times New Roman" w:cs="Times New Roman"/>
          <w:sz w:val="24"/>
          <w:szCs w:val="24"/>
        </w:rPr>
        <w:t>veicot grozījumus publiskajos būvdarbu līgumos,</w:t>
      </w:r>
      <w:r w:rsidR="00DE4EB1">
        <w:rPr>
          <w:rFonts w:ascii="Times New Roman" w:hAnsi="Times New Roman" w:cs="Times New Roman"/>
          <w:sz w:val="24"/>
          <w:szCs w:val="24"/>
        </w:rPr>
        <w:t xml:space="preserve"> </w:t>
      </w:r>
      <w:r w:rsidR="00FF62B2">
        <w:rPr>
          <w:rFonts w:ascii="Times New Roman" w:hAnsi="Times New Roman" w:cs="Times New Roman"/>
          <w:sz w:val="24"/>
          <w:szCs w:val="24"/>
        </w:rPr>
        <w:t xml:space="preserve">lai nodrošinātu efektīvu iepriekš noslēgto līgumu vadību un līgumsaistību izpildi. </w:t>
      </w:r>
    </w:p>
    <w:p w14:paraId="023D68EC" w14:textId="120260E9" w:rsidR="004651A9" w:rsidRDefault="00BE2531" w:rsidP="004651A9">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Vadlīnijas attiecas uz tād</w:t>
      </w:r>
      <w:r w:rsidR="001926BE">
        <w:rPr>
          <w:rFonts w:ascii="Times New Roman" w:hAnsi="Times New Roman" w:cs="Times New Roman"/>
          <w:sz w:val="24"/>
          <w:szCs w:val="24"/>
        </w:rPr>
        <w:t>u</w:t>
      </w:r>
      <w:r>
        <w:rPr>
          <w:rFonts w:ascii="Times New Roman" w:hAnsi="Times New Roman" w:cs="Times New Roman"/>
          <w:sz w:val="24"/>
          <w:szCs w:val="24"/>
        </w:rPr>
        <w:t xml:space="preserve"> būvmateriālu sadārdzinājuma kompensēšanu, kas ir radies</w:t>
      </w:r>
      <w:r w:rsidRPr="0094223C">
        <w:rPr>
          <w:rFonts w:ascii="Times New Roman" w:hAnsi="Times New Roman" w:cs="Times New Roman"/>
          <w:sz w:val="24"/>
          <w:szCs w:val="24"/>
        </w:rPr>
        <w:t xml:space="preserve"> </w:t>
      </w:r>
      <w:r>
        <w:rPr>
          <w:rFonts w:ascii="Times New Roman" w:hAnsi="Times New Roman" w:cs="Times New Roman"/>
          <w:sz w:val="24"/>
          <w:szCs w:val="24"/>
        </w:rPr>
        <w:t xml:space="preserve">tiešā cēloniskajā sakarā ar </w:t>
      </w:r>
      <w:r w:rsidRPr="0094223C">
        <w:rPr>
          <w:rFonts w:ascii="Times New Roman" w:hAnsi="Times New Roman" w:cs="Times New Roman"/>
          <w:sz w:val="24"/>
          <w:szCs w:val="24"/>
        </w:rPr>
        <w:t>Krievijas uzsākt</w:t>
      </w:r>
      <w:r>
        <w:rPr>
          <w:rFonts w:ascii="Times New Roman" w:hAnsi="Times New Roman" w:cs="Times New Roman"/>
          <w:sz w:val="24"/>
          <w:szCs w:val="24"/>
        </w:rPr>
        <w:t>o</w:t>
      </w:r>
      <w:r w:rsidRPr="0094223C">
        <w:rPr>
          <w:rFonts w:ascii="Times New Roman" w:hAnsi="Times New Roman" w:cs="Times New Roman"/>
          <w:sz w:val="24"/>
          <w:szCs w:val="24"/>
        </w:rPr>
        <w:t xml:space="preserve"> kar</w:t>
      </w:r>
      <w:r>
        <w:rPr>
          <w:rFonts w:ascii="Times New Roman" w:hAnsi="Times New Roman" w:cs="Times New Roman"/>
          <w:sz w:val="24"/>
          <w:szCs w:val="24"/>
        </w:rPr>
        <w:t>u</w:t>
      </w:r>
      <w:r w:rsidRPr="0094223C">
        <w:rPr>
          <w:rFonts w:ascii="Times New Roman" w:hAnsi="Times New Roman" w:cs="Times New Roman"/>
          <w:sz w:val="24"/>
          <w:szCs w:val="24"/>
        </w:rPr>
        <w:t xml:space="preserve"> Ukrainā</w:t>
      </w:r>
      <w:r>
        <w:rPr>
          <w:rFonts w:ascii="Times New Roman" w:hAnsi="Times New Roman" w:cs="Times New Roman"/>
          <w:sz w:val="24"/>
          <w:szCs w:val="24"/>
        </w:rPr>
        <w:t>.</w:t>
      </w:r>
    </w:p>
    <w:p w14:paraId="3D4DFB1B" w14:textId="4F5A8E10" w:rsidR="00FF62B2" w:rsidRDefault="00CB391C" w:rsidP="004651A9">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P</w:t>
      </w:r>
      <w:r w:rsidR="00007942">
        <w:rPr>
          <w:rFonts w:ascii="Times New Roman" w:hAnsi="Times New Roman" w:cs="Times New Roman"/>
          <w:sz w:val="24"/>
          <w:szCs w:val="24"/>
        </w:rPr>
        <w:t xml:space="preserve">asūtītājiem šobrīd nav pietiekama izpratne par </w:t>
      </w:r>
      <w:r w:rsidR="001926BE">
        <w:rPr>
          <w:rFonts w:ascii="Times New Roman" w:hAnsi="Times New Roman" w:cs="Times New Roman"/>
          <w:sz w:val="24"/>
          <w:szCs w:val="24"/>
        </w:rPr>
        <w:t xml:space="preserve">būvmateriālu </w:t>
      </w:r>
      <w:r w:rsidR="00007942">
        <w:rPr>
          <w:rFonts w:ascii="Times New Roman" w:hAnsi="Times New Roman" w:cs="Times New Roman"/>
          <w:sz w:val="24"/>
          <w:szCs w:val="24"/>
        </w:rPr>
        <w:t>sadārdzinājuma kompensēšanas pieļaujamību, sadārdzinājuma aprēķināšanas metodiku, kā arī sadārdzinājuma kompensēšanas kārtību un noteikumiem</w:t>
      </w:r>
      <w:r w:rsidR="00EA3C56">
        <w:rPr>
          <w:rFonts w:ascii="Times New Roman" w:hAnsi="Times New Roman" w:cs="Times New Roman"/>
          <w:sz w:val="24"/>
          <w:szCs w:val="24"/>
        </w:rPr>
        <w:t xml:space="preserve">. Vadlīnijas piedāvā vienotu metodiku publiskā būvdarbu līguma cenas vienas komponentes sadārdzinājuma novērtēšanai, kā arī norāda uz faktoriem, kas būtu vērā ņemami, vienojoties par </w:t>
      </w:r>
      <w:r w:rsidR="001926BE">
        <w:rPr>
          <w:rFonts w:ascii="Times New Roman" w:hAnsi="Times New Roman" w:cs="Times New Roman"/>
          <w:sz w:val="24"/>
          <w:szCs w:val="24"/>
        </w:rPr>
        <w:t>būvmateriālu</w:t>
      </w:r>
      <w:r w:rsidR="00EA3C56">
        <w:rPr>
          <w:rFonts w:ascii="Times New Roman" w:hAnsi="Times New Roman" w:cs="Times New Roman"/>
          <w:sz w:val="24"/>
          <w:szCs w:val="24"/>
        </w:rPr>
        <w:t xml:space="preserve"> sadārdzinājuma kompensēšanu. </w:t>
      </w:r>
    </w:p>
    <w:p w14:paraId="5933533D" w14:textId="44B97C0F" w:rsidR="00453527" w:rsidRPr="00453527" w:rsidRDefault="00424509" w:rsidP="00ED4B32">
      <w:pPr>
        <w:spacing w:before="240" w:after="120" w:line="240" w:lineRule="auto"/>
        <w:jc w:val="both"/>
        <w:rPr>
          <w:rFonts w:ascii="Times New Roman" w:hAnsi="Times New Roman" w:cs="Times New Roman"/>
          <w:b/>
          <w:sz w:val="24"/>
          <w:szCs w:val="24"/>
        </w:rPr>
      </w:pPr>
      <w:r>
        <w:rPr>
          <w:rFonts w:ascii="Times New Roman" w:hAnsi="Times New Roman" w:cs="Times New Roman"/>
          <w:b/>
          <w:sz w:val="24"/>
          <w:szCs w:val="24"/>
        </w:rPr>
        <w:t>B</w:t>
      </w:r>
      <w:r w:rsidRPr="0094223C">
        <w:rPr>
          <w:rFonts w:ascii="Times New Roman" w:hAnsi="Times New Roman" w:cs="Times New Roman"/>
          <w:b/>
          <w:sz w:val="24"/>
          <w:szCs w:val="24"/>
        </w:rPr>
        <w:t>ūvmateriālu izmaksu</w:t>
      </w:r>
      <w:r>
        <w:rPr>
          <w:rFonts w:ascii="Times New Roman" w:hAnsi="Times New Roman" w:cs="Times New Roman"/>
          <w:b/>
          <w:bCs/>
          <w:sz w:val="24"/>
          <w:szCs w:val="24"/>
        </w:rPr>
        <w:t xml:space="preserve"> sadārdzinājuma </w:t>
      </w:r>
      <w:r w:rsidR="000105CC">
        <w:rPr>
          <w:rFonts w:ascii="Times New Roman" w:hAnsi="Times New Roman" w:cs="Times New Roman"/>
          <w:b/>
          <w:iCs/>
          <w:sz w:val="24"/>
          <w:szCs w:val="24"/>
        </w:rPr>
        <w:t>novērtēšanas metodikas</w:t>
      </w:r>
      <w:r w:rsidR="000105CC" w:rsidRPr="00453527">
        <w:rPr>
          <w:rFonts w:ascii="Times New Roman" w:hAnsi="Times New Roman" w:cs="Times New Roman"/>
          <w:b/>
          <w:iCs/>
          <w:sz w:val="24"/>
          <w:szCs w:val="24"/>
        </w:rPr>
        <w:t xml:space="preserve"> </w:t>
      </w:r>
      <w:r w:rsidR="00453527" w:rsidRPr="00453527">
        <w:rPr>
          <w:rFonts w:ascii="Times New Roman" w:hAnsi="Times New Roman" w:cs="Times New Roman"/>
          <w:b/>
          <w:iCs/>
          <w:sz w:val="24"/>
          <w:szCs w:val="24"/>
        </w:rPr>
        <w:t>piemērošana</w:t>
      </w:r>
    </w:p>
    <w:p w14:paraId="18D21930" w14:textId="1D9E86F5" w:rsidR="009179AA" w:rsidRDefault="00A866D6" w:rsidP="005B5F7E">
      <w:pPr>
        <w:spacing w:after="0" w:line="240" w:lineRule="auto"/>
        <w:ind w:firstLine="709"/>
        <w:jc w:val="both"/>
        <w:rPr>
          <w:rFonts w:ascii="Times New Roman" w:hAnsi="Times New Roman" w:cs="Times New Roman"/>
          <w:sz w:val="24"/>
          <w:szCs w:val="24"/>
        </w:rPr>
      </w:pPr>
      <w:r w:rsidRPr="00910DF7">
        <w:rPr>
          <w:rFonts w:ascii="Times New Roman" w:hAnsi="Times New Roman" w:cs="Times New Roman"/>
          <w:sz w:val="24"/>
          <w:szCs w:val="24"/>
        </w:rPr>
        <w:t xml:space="preserve">Būvmateriālu izmaksu </w:t>
      </w:r>
      <w:r w:rsidR="009179AA">
        <w:rPr>
          <w:rFonts w:ascii="Times New Roman" w:hAnsi="Times New Roman" w:cs="Times New Roman"/>
          <w:sz w:val="24"/>
          <w:szCs w:val="24"/>
        </w:rPr>
        <w:t>sadārdzinājumu novērtē</w:t>
      </w:r>
      <w:r w:rsidRPr="00910DF7">
        <w:rPr>
          <w:rFonts w:ascii="Times New Roman" w:hAnsi="Times New Roman" w:cs="Times New Roman"/>
          <w:sz w:val="24"/>
          <w:szCs w:val="24"/>
        </w:rPr>
        <w:t xml:space="preserve"> grozījumu veikšanai spēkā esošajos publiskajos </w:t>
      </w:r>
      <w:r w:rsidRPr="00A004D9">
        <w:rPr>
          <w:rFonts w:ascii="Times New Roman" w:hAnsi="Times New Roman" w:cs="Times New Roman"/>
          <w:sz w:val="24"/>
          <w:szCs w:val="24"/>
        </w:rPr>
        <w:t>būvdarbu līgumos attiecībā uz ēku būvniecību</w:t>
      </w:r>
      <w:r w:rsidR="009179AA">
        <w:rPr>
          <w:rFonts w:ascii="Times New Roman" w:hAnsi="Times New Roman" w:cs="Times New Roman"/>
          <w:sz w:val="24"/>
          <w:szCs w:val="24"/>
        </w:rPr>
        <w:t>:</w:t>
      </w:r>
    </w:p>
    <w:p w14:paraId="61FFF1AF" w14:textId="77777777" w:rsidR="009179AA" w:rsidRDefault="009179AA" w:rsidP="009179AA">
      <w:pPr>
        <w:pStyle w:val="ListParagraph"/>
        <w:numPr>
          <w:ilvl w:val="0"/>
          <w:numId w:val="6"/>
        </w:numPr>
        <w:spacing w:after="0" w:line="240" w:lineRule="auto"/>
        <w:jc w:val="both"/>
        <w:rPr>
          <w:rFonts w:ascii="Times New Roman" w:hAnsi="Times New Roman" w:cs="Times New Roman"/>
          <w:sz w:val="24"/>
          <w:szCs w:val="24"/>
        </w:rPr>
      </w:pPr>
      <w:r w:rsidRPr="001C1EC9">
        <w:rPr>
          <w:rFonts w:ascii="Times New Roman" w:hAnsi="Times New Roman" w:cs="Times New Roman"/>
          <w:sz w:val="24"/>
          <w:szCs w:val="24"/>
        </w:rPr>
        <w:t>kas ir noslēgti pirms 2022.gada 24.februāra</w:t>
      </w:r>
      <w:r>
        <w:rPr>
          <w:rFonts w:ascii="Times New Roman" w:hAnsi="Times New Roman" w:cs="Times New Roman"/>
          <w:sz w:val="24"/>
          <w:szCs w:val="24"/>
        </w:rPr>
        <w:t>, vai</w:t>
      </w:r>
    </w:p>
    <w:p w14:paraId="595296E9" w14:textId="77777777" w:rsidR="009179AA" w:rsidRDefault="009179AA" w:rsidP="004651A9">
      <w:pPr>
        <w:pStyle w:val="ListParagraph"/>
        <w:numPr>
          <w:ilvl w:val="0"/>
          <w:numId w:val="6"/>
        </w:numPr>
        <w:spacing w:after="80" w:line="240" w:lineRule="auto"/>
        <w:ind w:left="1066" w:hanging="357"/>
        <w:jc w:val="both"/>
        <w:rPr>
          <w:rFonts w:ascii="Times New Roman" w:hAnsi="Times New Roman" w:cs="Times New Roman"/>
          <w:sz w:val="24"/>
          <w:szCs w:val="24"/>
        </w:rPr>
      </w:pPr>
      <w:r w:rsidRPr="001C1EC9">
        <w:rPr>
          <w:rFonts w:ascii="Times New Roman" w:hAnsi="Times New Roman" w:cs="Times New Roman"/>
          <w:sz w:val="24"/>
          <w:szCs w:val="24"/>
        </w:rPr>
        <w:t>kas ir noslēgti pēc 2022.gada 24.februāra, ja pretendenta piedāvājums ir iesniegts pirms augstāk minētā datuma.</w:t>
      </w:r>
    </w:p>
    <w:p w14:paraId="21C7F791" w14:textId="77777777" w:rsidR="004651A9" w:rsidRDefault="009179AA" w:rsidP="004651A9">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Publisko būvdarbu līguma grozīšanas pieļaujamība un </w:t>
      </w:r>
      <w:r w:rsidR="00CD06E0">
        <w:rPr>
          <w:rFonts w:ascii="Times New Roman" w:hAnsi="Times New Roman" w:cs="Times New Roman"/>
          <w:sz w:val="24"/>
          <w:szCs w:val="24"/>
        </w:rPr>
        <w:t xml:space="preserve">grozījumu </w:t>
      </w:r>
      <w:r>
        <w:rPr>
          <w:rFonts w:ascii="Times New Roman" w:hAnsi="Times New Roman" w:cs="Times New Roman"/>
          <w:sz w:val="24"/>
          <w:szCs w:val="24"/>
        </w:rPr>
        <w:t xml:space="preserve">nepieciešamība ir balstīta apsvērumā, ka pretendents, aprēķinot </w:t>
      </w:r>
      <w:r w:rsidR="00CD06E0">
        <w:rPr>
          <w:rFonts w:ascii="Times New Roman" w:hAnsi="Times New Roman" w:cs="Times New Roman"/>
          <w:sz w:val="24"/>
          <w:szCs w:val="24"/>
        </w:rPr>
        <w:t xml:space="preserve">finanšu piedāvājumā ietverto </w:t>
      </w:r>
      <w:r>
        <w:rPr>
          <w:rFonts w:ascii="Times New Roman" w:hAnsi="Times New Roman" w:cs="Times New Roman"/>
          <w:sz w:val="24"/>
          <w:szCs w:val="24"/>
        </w:rPr>
        <w:t xml:space="preserve">līguma cenu, nevarēja </w:t>
      </w:r>
      <w:r w:rsidR="00CD06E0">
        <w:rPr>
          <w:rFonts w:ascii="Times New Roman" w:hAnsi="Times New Roman" w:cs="Times New Roman"/>
          <w:sz w:val="24"/>
          <w:szCs w:val="24"/>
        </w:rPr>
        <w:t>paredzēt Krievijas militārās agresijas sākumu un militārās agresijas ietekmi uz būvniecības nozares darbības apstākļiem, un līdz ar to, šī ietekme nav ierēķināta nolīgtajā cenā.</w:t>
      </w:r>
    </w:p>
    <w:p w14:paraId="65974D20" w14:textId="0988D575" w:rsidR="004651A9" w:rsidRDefault="00024BAF" w:rsidP="004651A9">
      <w:pPr>
        <w:spacing w:after="80" w:line="240" w:lineRule="auto"/>
        <w:ind w:firstLine="709"/>
        <w:jc w:val="both"/>
        <w:rPr>
          <w:rFonts w:ascii="Times New Roman" w:hAnsi="Times New Roman" w:cs="Times New Roman"/>
          <w:sz w:val="24"/>
          <w:szCs w:val="24"/>
        </w:rPr>
      </w:pPr>
      <w:r w:rsidRPr="00CD06E0">
        <w:rPr>
          <w:rFonts w:ascii="Times New Roman" w:hAnsi="Times New Roman" w:cs="Times New Roman"/>
          <w:sz w:val="24"/>
          <w:szCs w:val="24"/>
        </w:rPr>
        <w:t xml:space="preserve">Būvmateriālu </w:t>
      </w:r>
      <w:r w:rsidR="00EA3C56">
        <w:rPr>
          <w:rFonts w:ascii="Times New Roman" w:hAnsi="Times New Roman" w:cs="Times New Roman"/>
          <w:sz w:val="24"/>
          <w:szCs w:val="24"/>
        </w:rPr>
        <w:t>sadārdzinājumu</w:t>
      </w:r>
      <w:r w:rsidRPr="00CD06E0">
        <w:rPr>
          <w:rFonts w:ascii="Times New Roman" w:hAnsi="Times New Roman" w:cs="Times New Roman"/>
          <w:sz w:val="24"/>
          <w:szCs w:val="24"/>
        </w:rPr>
        <w:t xml:space="preserve"> piemēro </w:t>
      </w:r>
      <w:r w:rsidR="00CD06E0">
        <w:rPr>
          <w:rFonts w:ascii="Times New Roman" w:hAnsi="Times New Roman" w:cs="Times New Roman"/>
          <w:sz w:val="24"/>
          <w:szCs w:val="24"/>
        </w:rPr>
        <w:t xml:space="preserve">būvdarbiem, kas ir veikti, </w:t>
      </w:r>
      <w:r w:rsidRPr="00CD06E0">
        <w:rPr>
          <w:rFonts w:ascii="Times New Roman" w:hAnsi="Times New Roman" w:cs="Times New Roman"/>
          <w:sz w:val="24"/>
          <w:szCs w:val="24"/>
        </w:rPr>
        <w:t xml:space="preserve">sākot ar 2022. gada </w:t>
      </w:r>
      <w:r w:rsidR="00A004D9" w:rsidRPr="00CD06E0">
        <w:rPr>
          <w:rFonts w:ascii="Times New Roman" w:hAnsi="Times New Roman" w:cs="Times New Roman"/>
          <w:sz w:val="24"/>
          <w:szCs w:val="24"/>
        </w:rPr>
        <w:t xml:space="preserve">1. </w:t>
      </w:r>
      <w:r w:rsidRPr="00CD06E0">
        <w:rPr>
          <w:rFonts w:ascii="Times New Roman" w:hAnsi="Times New Roman" w:cs="Times New Roman"/>
          <w:sz w:val="24"/>
          <w:szCs w:val="24"/>
        </w:rPr>
        <w:t>martu</w:t>
      </w:r>
      <w:r w:rsidR="00184AC8">
        <w:rPr>
          <w:rFonts w:ascii="Times New Roman" w:hAnsi="Times New Roman" w:cs="Times New Roman"/>
          <w:sz w:val="24"/>
          <w:szCs w:val="24"/>
        </w:rPr>
        <w:t xml:space="preserve">. </w:t>
      </w:r>
      <w:r w:rsidR="00222C35">
        <w:rPr>
          <w:rFonts w:ascii="Times New Roman" w:hAnsi="Times New Roman" w:cs="Times New Roman"/>
          <w:sz w:val="24"/>
          <w:szCs w:val="24"/>
        </w:rPr>
        <w:t xml:space="preserve">Būvdarbu izpildi apliecina pieņemšanas-nodošanas akts. </w:t>
      </w:r>
      <w:r w:rsidR="00942C54">
        <w:rPr>
          <w:rFonts w:ascii="Times New Roman" w:hAnsi="Times New Roman" w:cs="Times New Roman"/>
          <w:sz w:val="24"/>
          <w:szCs w:val="24"/>
        </w:rPr>
        <w:t>Būvmateriālu sadārdzinājuma novērtēšanai par bāzes periodu</w:t>
      </w:r>
      <w:r w:rsidR="002310A9">
        <w:rPr>
          <w:rFonts w:ascii="Times New Roman" w:hAnsi="Times New Roman" w:cs="Times New Roman"/>
          <w:sz w:val="24"/>
          <w:szCs w:val="24"/>
        </w:rPr>
        <w:t>, jeb periodu kurā būvmateriālu cenas nebija ietekmētas Krievijas agresijas Ukrainā rezultātā,</w:t>
      </w:r>
      <w:r w:rsidR="00942C54">
        <w:rPr>
          <w:rFonts w:ascii="Times New Roman" w:hAnsi="Times New Roman" w:cs="Times New Roman"/>
          <w:sz w:val="24"/>
          <w:szCs w:val="24"/>
        </w:rPr>
        <w:t xml:space="preserve"> nosaka 2022. gada janvāri, tādējādi izslēdzot </w:t>
      </w:r>
      <w:r w:rsidR="00942C54" w:rsidRPr="0094223C">
        <w:rPr>
          <w:rFonts w:ascii="Times New Roman" w:hAnsi="Times New Roman" w:cs="Times New Roman"/>
          <w:sz w:val="24"/>
          <w:szCs w:val="24"/>
        </w:rPr>
        <w:t xml:space="preserve">Covid-19 </w:t>
      </w:r>
      <w:r w:rsidR="00942C54">
        <w:rPr>
          <w:rFonts w:ascii="Times New Roman" w:hAnsi="Times New Roman" w:cs="Times New Roman"/>
          <w:sz w:val="24"/>
          <w:szCs w:val="24"/>
        </w:rPr>
        <w:t xml:space="preserve">pandēmijas </w:t>
      </w:r>
      <w:r w:rsidR="00942C54" w:rsidRPr="0094223C">
        <w:rPr>
          <w:rFonts w:ascii="Times New Roman" w:hAnsi="Times New Roman" w:cs="Times New Roman"/>
          <w:sz w:val="24"/>
          <w:szCs w:val="24"/>
        </w:rPr>
        <w:t>vai kādu citu faktoru ietekm</w:t>
      </w:r>
      <w:r w:rsidR="00942C54">
        <w:rPr>
          <w:rFonts w:ascii="Times New Roman" w:hAnsi="Times New Roman" w:cs="Times New Roman"/>
          <w:sz w:val="24"/>
          <w:szCs w:val="24"/>
        </w:rPr>
        <w:t>i.</w:t>
      </w:r>
      <w:r w:rsidR="00325B0F">
        <w:rPr>
          <w:rFonts w:ascii="Times New Roman" w:hAnsi="Times New Roman" w:cs="Times New Roman"/>
          <w:sz w:val="24"/>
          <w:szCs w:val="24"/>
        </w:rPr>
        <w:t xml:space="preserve"> </w:t>
      </w:r>
      <w:r w:rsidR="001167B6">
        <w:rPr>
          <w:rFonts w:ascii="Times New Roman" w:hAnsi="Times New Roman" w:cs="Times New Roman"/>
          <w:sz w:val="24"/>
          <w:szCs w:val="24"/>
        </w:rPr>
        <w:t xml:space="preserve">Vienojoties par </w:t>
      </w:r>
      <w:r w:rsidR="0071036B">
        <w:rPr>
          <w:rFonts w:ascii="Times New Roman" w:hAnsi="Times New Roman" w:cs="Times New Roman"/>
          <w:sz w:val="24"/>
          <w:szCs w:val="24"/>
        </w:rPr>
        <w:t>sadārdzinājumu būvdarbiem, p</w:t>
      </w:r>
      <w:r w:rsidR="00325B0F">
        <w:rPr>
          <w:rFonts w:ascii="Times New Roman" w:hAnsi="Times New Roman" w:cs="Times New Roman"/>
          <w:sz w:val="24"/>
          <w:szCs w:val="24"/>
        </w:rPr>
        <w:t>asūtītajam</w:t>
      </w:r>
      <w:r w:rsidR="0071036B">
        <w:rPr>
          <w:rFonts w:ascii="Times New Roman" w:hAnsi="Times New Roman" w:cs="Times New Roman"/>
          <w:sz w:val="24"/>
          <w:szCs w:val="24"/>
        </w:rPr>
        <w:t>, ja tam ir pamatotas bažas ka būvmateriālu cenu neietekmēja Krievijas agresija Ukrainā,</w:t>
      </w:r>
      <w:r w:rsidR="00325B0F">
        <w:rPr>
          <w:rFonts w:ascii="Times New Roman" w:hAnsi="Times New Roman" w:cs="Times New Roman"/>
          <w:sz w:val="24"/>
          <w:szCs w:val="24"/>
        </w:rPr>
        <w:t xml:space="preserve"> ir tiesības pieprasīt pierādījumus,</w:t>
      </w:r>
      <w:r w:rsidR="0071036B">
        <w:rPr>
          <w:rFonts w:ascii="Times New Roman" w:hAnsi="Times New Roman" w:cs="Times New Roman"/>
          <w:sz w:val="24"/>
          <w:szCs w:val="24"/>
        </w:rPr>
        <w:t xml:space="preserve"> ka vienošanās par attiecīgo būvmateriālu cenu ir notikusi pēc 24.februāra</w:t>
      </w:r>
      <w:r w:rsidR="00325B0F">
        <w:rPr>
          <w:rFonts w:ascii="Times New Roman" w:hAnsi="Times New Roman" w:cs="Times New Roman"/>
          <w:sz w:val="24"/>
          <w:szCs w:val="24"/>
        </w:rPr>
        <w:t>.</w:t>
      </w:r>
      <w:r w:rsidR="0071036B" w:rsidRPr="0071036B">
        <w:rPr>
          <w:rFonts w:ascii="Times New Roman" w:hAnsi="Times New Roman" w:cs="Times New Roman"/>
          <w:sz w:val="24"/>
          <w:szCs w:val="24"/>
        </w:rPr>
        <w:t xml:space="preserve"> </w:t>
      </w:r>
      <w:r w:rsidR="0071036B">
        <w:rPr>
          <w:rFonts w:ascii="Times New Roman" w:hAnsi="Times New Roman" w:cs="Times New Roman"/>
          <w:sz w:val="24"/>
          <w:szCs w:val="24"/>
        </w:rPr>
        <w:t xml:space="preserve">Attiecībā uz būvdarbiem, kas veikti pēc 2022.gada 1.aprīļa nav lietderīgi katrā gadījumā pārliecināties, ka būvmateriāli šo darbu veikšanai ir </w:t>
      </w:r>
      <w:r w:rsidR="006D4231">
        <w:rPr>
          <w:rFonts w:ascii="Times New Roman" w:hAnsi="Times New Roman" w:cs="Times New Roman"/>
          <w:sz w:val="24"/>
          <w:szCs w:val="24"/>
        </w:rPr>
        <w:t xml:space="preserve">piegādāti objektā </w:t>
      </w:r>
      <w:r w:rsidR="0071036B">
        <w:rPr>
          <w:rFonts w:ascii="Times New Roman" w:hAnsi="Times New Roman" w:cs="Times New Roman"/>
          <w:sz w:val="24"/>
          <w:szCs w:val="24"/>
        </w:rPr>
        <w:t>pirms Krievijas militārās agresijas uzsākšanas.</w:t>
      </w:r>
    </w:p>
    <w:p w14:paraId="0F3597A6" w14:textId="17A4D168" w:rsidR="00F533F6" w:rsidRDefault="00F04BD8" w:rsidP="0060140A">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Aprēķinot būvmateriālu sadārdzinājumu, nav nepieciešams katru reizi pierādīt sadārdzinājuma cēlonisko sakaru ar Krievijas militāro agresiju Ukrainā un agresijas radīto ietekmi. </w:t>
      </w:r>
      <w:r w:rsidR="001C1EC9" w:rsidRPr="00184AC8">
        <w:rPr>
          <w:rFonts w:ascii="Times New Roman" w:hAnsi="Times New Roman" w:cs="Times New Roman"/>
          <w:sz w:val="24"/>
          <w:szCs w:val="24"/>
        </w:rPr>
        <w:t xml:space="preserve">Kopš Krievijas militārās agresijas Ukrainā sākuma 2022.gada 24.februārī ir novērots globāls būvmateriālu cenu pieaugums, viena no lielākām ietekmēm ir novērota Baltijas valstīs, ņemot vērā vēsturiski izveidojušās piegāžu ķēdes no Ukrainas, Baltkrievijas un Krievijas Federācijas, kā arī ievērojot </w:t>
      </w:r>
      <w:r w:rsidR="001926BE">
        <w:rPr>
          <w:rFonts w:ascii="Times New Roman" w:hAnsi="Times New Roman" w:cs="Times New Roman"/>
          <w:sz w:val="24"/>
          <w:szCs w:val="24"/>
        </w:rPr>
        <w:t xml:space="preserve">būvmateriālu </w:t>
      </w:r>
      <w:r w:rsidR="001C1EC9" w:rsidRPr="00184AC8">
        <w:rPr>
          <w:rFonts w:ascii="Times New Roman" w:hAnsi="Times New Roman" w:cs="Times New Roman"/>
          <w:sz w:val="24"/>
          <w:szCs w:val="24"/>
        </w:rPr>
        <w:t xml:space="preserve">ražošanas procesa energoietilpību un energoresursu cenu straujo lēcienu. Ņemot vērā, </w:t>
      </w:r>
      <w:r w:rsidR="001C1EC9" w:rsidRPr="00184AC8">
        <w:rPr>
          <w:rFonts w:ascii="Times New Roman" w:hAnsi="Times New Roman" w:cs="Times New Roman"/>
          <w:sz w:val="24"/>
          <w:szCs w:val="24"/>
        </w:rPr>
        <w:lastRenderedPageBreak/>
        <w:t xml:space="preserve">ka </w:t>
      </w:r>
      <w:r w:rsidR="001926BE">
        <w:rPr>
          <w:rFonts w:ascii="Times New Roman" w:hAnsi="Times New Roman" w:cs="Times New Roman"/>
          <w:sz w:val="24"/>
          <w:szCs w:val="24"/>
        </w:rPr>
        <w:t>būvmateriālu</w:t>
      </w:r>
      <w:r w:rsidR="001C1EC9" w:rsidRPr="00184AC8">
        <w:rPr>
          <w:rFonts w:ascii="Times New Roman" w:hAnsi="Times New Roman" w:cs="Times New Roman"/>
          <w:sz w:val="24"/>
          <w:szCs w:val="24"/>
        </w:rPr>
        <w:t xml:space="preserve"> cenu straujā pieauguma cēloniskais sakars ar Krievijas agresiju ir vispārzināms fakts, kas cita starpā ir atzīmēts </w:t>
      </w:r>
      <w:r w:rsidR="00411D0A">
        <w:rPr>
          <w:rFonts w:ascii="Times New Roman" w:hAnsi="Times New Roman" w:cs="Times New Roman"/>
          <w:sz w:val="24"/>
          <w:szCs w:val="24"/>
        </w:rPr>
        <w:t>EM</w:t>
      </w:r>
      <w:r w:rsidR="001C1EC9" w:rsidRPr="00184AC8">
        <w:rPr>
          <w:rFonts w:ascii="Times New Roman" w:hAnsi="Times New Roman" w:cs="Times New Roman"/>
          <w:sz w:val="24"/>
          <w:szCs w:val="24"/>
        </w:rPr>
        <w:t xml:space="preserve"> informatīvajā ziņojumā </w:t>
      </w:r>
      <w:r w:rsidR="001C1EC9" w:rsidRPr="003A3C6E">
        <w:rPr>
          <w:rFonts w:ascii="Times New Roman" w:hAnsi="Times New Roman" w:cs="Times New Roman"/>
          <w:i/>
          <w:iCs/>
          <w:sz w:val="24"/>
          <w:szCs w:val="24"/>
        </w:rPr>
        <w:t>“Par situāciju būvniecības nozarē saistībā ar Krievijas agresiju Ukrainā un nepieciešamajiem risinājumiem publisko investīciju projektos”</w:t>
      </w:r>
      <w:r w:rsidR="001C1EC9" w:rsidRPr="00184AC8">
        <w:rPr>
          <w:rFonts w:ascii="Times New Roman" w:hAnsi="Times New Roman" w:cs="Times New Roman"/>
          <w:sz w:val="24"/>
          <w:szCs w:val="24"/>
        </w:rPr>
        <w:t xml:space="preserve"> </w:t>
      </w:r>
      <w:r w:rsidR="0060140A" w:rsidRPr="00E02473">
        <w:rPr>
          <w:rFonts w:ascii="Times New Roman" w:hAnsi="Times New Roman" w:cs="Times New Roman"/>
          <w:sz w:val="24"/>
          <w:szCs w:val="24"/>
        </w:rPr>
        <w:t xml:space="preserve">(TAP 22-TA-938, apstiprināts Ministru kabineta 2022.gada 5.aprīļa sēdē, protokols Nr.19,  43.§, darba kārtības </w:t>
      </w:r>
      <w:r w:rsidR="0060140A" w:rsidRPr="00F533F6">
        <w:rPr>
          <w:rFonts w:ascii="Times New Roman" w:hAnsi="Times New Roman" w:cs="Times New Roman"/>
          <w:sz w:val="24"/>
          <w:szCs w:val="24"/>
        </w:rPr>
        <w:t>jautājums 4.4)</w:t>
      </w:r>
      <w:r w:rsidR="0060140A" w:rsidRPr="00F533F6">
        <w:rPr>
          <w:rStyle w:val="FootnoteReference"/>
          <w:rFonts w:ascii="Times New Roman" w:hAnsi="Times New Roman" w:cs="Times New Roman"/>
          <w:sz w:val="24"/>
          <w:szCs w:val="24"/>
        </w:rPr>
        <w:footnoteReference w:id="3"/>
      </w:r>
      <w:r w:rsidR="001C1EC9" w:rsidRPr="00F533F6">
        <w:rPr>
          <w:rFonts w:ascii="Times New Roman" w:hAnsi="Times New Roman" w:cs="Times New Roman"/>
          <w:sz w:val="24"/>
          <w:szCs w:val="24"/>
        </w:rPr>
        <w:t>, veicot līguma grozījumus par līguma cenas pārskatīšanu par periodu no 2022.gada 1.marta</w:t>
      </w:r>
      <w:r w:rsidR="00270FAE" w:rsidRPr="00F533F6">
        <w:rPr>
          <w:rFonts w:ascii="Times New Roman" w:hAnsi="Times New Roman" w:cs="Times New Roman"/>
          <w:sz w:val="24"/>
          <w:szCs w:val="24"/>
        </w:rPr>
        <w:t xml:space="preserve">, </w:t>
      </w:r>
      <w:r w:rsidR="00F533F6" w:rsidRPr="00F533F6">
        <w:rPr>
          <w:rFonts w:ascii="Times New Roman" w:hAnsi="Times New Roman" w:cs="Times New Roman"/>
          <w:sz w:val="24"/>
          <w:szCs w:val="24"/>
        </w:rPr>
        <w:t>atsevišķi pie katriem grozījumiem nav jāpierāda būvmateriālu sadārdzinājuma cēloniskais sakars.</w:t>
      </w:r>
    </w:p>
    <w:p w14:paraId="417360CF" w14:textId="7CE8C786" w:rsidR="001C1EC9" w:rsidRPr="007F407C" w:rsidRDefault="001C1EC9" w:rsidP="004651A9">
      <w:pPr>
        <w:spacing w:after="80" w:line="240" w:lineRule="auto"/>
        <w:ind w:firstLine="709"/>
        <w:jc w:val="both"/>
        <w:rPr>
          <w:rFonts w:ascii="Times New Roman" w:hAnsi="Times New Roman" w:cs="Times New Roman"/>
          <w:sz w:val="24"/>
          <w:szCs w:val="24"/>
        </w:rPr>
      </w:pPr>
      <w:r w:rsidRPr="007F407C">
        <w:rPr>
          <w:rFonts w:ascii="Times New Roman" w:hAnsi="Times New Roman" w:cs="Times New Roman"/>
          <w:sz w:val="24"/>
          <w:szCs w:val="24"/>
        </w:rPr>
        <w:t xml:space="preserve">Sadārdzinājums attiecas uz praktiski visām būvmateriālu grupām, </w:t>
      </w:r>
      <w:r>
        <w:rPr>
          <w:rFonts w:ascii="Times New Roman" w:hAnsi="Times New Roman" w:cs="Times New Roman"/>
          <w:sz w:val="24"/>
          <w:szCs w:val="24"/>
        </w:rPr>
        <w:t>sadārdzinājuma pamatā ir šādi faktori</w:t>
      </w:r>
      <w:r w:rsidRPr="007F407C">
        <w:rPr>
          <w:rFonts w:ascii="Times New Roman" w:hAnsi="Times New Roman" w:cs="Times New Roman"/>
          <w:sz w:val="24"/>
          <w:szCs w:val="24"/>
        </w:rPr>
        <w:t>:</w:t>
      </w:r>
    </w:p>
    <w:p w14:paraId="0255B5C0" w14:textId="77777777" w:rsidR="001C1EC9" w:rsidRPr="007F407C" w:rsidRDefault="001C1EC9" w:rsidP="001C1EC9">
      <w:pPr>
        <w:pStyle w:val="ListParagraph"/>
        <w:numPr>
          <w:ilvl w:val="0"/>
          <w:numId w:val="4"/>
        </w:numPr>
        <w:spacing w:after="0" w:line="240" w:lineRule="auto"/>
        <w:jc w:val="both"/>
        <w:rPr>
          <w:rFonts w:ascii="Times New Roman" w:hAnsi="Times New Roman" w:cs="Times New Roman"/>
          <w:sz w:val="24"/>
          <w:szCs w:val="24"/>
        </w:rPr>
      </w:pPr>
      <w:r w:rsidRPr="007F407C">
        <w:rPr>
          <w:rFonts w:ascii="Times New Roman" w:hAnsi="Times New Roman" w:cs="Times New Roman"/>
          <w:sz w:val="24"/>
          <w:szCs w:val="24"/>
        </w:rPr>
        <w:t>izejvielu sadārdzinājums (koks, metāls, cements);</w:t>
      </w:r>
    </w:p>
    <w:p w14:paraId="2D2A4458" w14:textId="77777777" w:rsidR="001C1EC9" w:rsidRDefault="001C1EC9" w:rsidP="001C1EC9">
      <w:pPr>
        <w:pStyle w:val="ListParagraph"/>
        <w:numPr>
          <w:ilvl w:val="0"/>
          <w:numId w:val="4"/>
        </w:numPr>
        <w:spacing w:after="0" w:line="240" w:lineRule="auto"/>
        <w:jc w:val="both"/>
        <w:rPr>
          <w:rFonts w:ascii="Times New Roman" w:hAnsi="Times New Roman" w:cs="Times New Roman"/>
          <w:sz w:val="24"/>
          <w:szCs w:val="24"/>
        </w:rPr>
      </w:pPr>
      <w:r w:rsidRPr="007F407C">
        <w:rPr>
          <w:rFonts w:ascii="Times New Roman" w:hAnsi="Times New Roman" w:cs="Times New Roman"/>
          <w:sz w:val="24"/>
          <w:szCs w:val="24"/>
        </w:rPr>
        <w:t xml:space="preserve">loģistikas traucējumi, vēsturiski izveidojušos loģistikas </w:t>
      </w:r>
      <w:r>
        <w:rPr>
          <w:rFonts w:ascii="Times New Roman" w:hAnsi="Times New Roman" w:cs="Times New Roman"/>
          <w:sz w:val="24"/>
          <w:szCs w:val="24"/>
        </w:rPr>
        <w:t>maršrutu pārtraukšana</w:t>
      </w:r>
      <w:r w:rsidRPr="007F407C">
        <w:rPr>
          <w:rFonts w:ascii="Times New Roman" w:hAnsi="Times New Roman" w:cs="Times New Roman"/>
          <w:sz w:val="24"/>
          <w:szCs w:val="24"/>
        </w:rPr>
        <w:t>, jaunu piegāžu maršrutu dibināšana, jaunu sadarbības partneru meklēšana un sadarbības attīstīšana;</w:t>
      </w:r>
    </w:p>
    <w:p w14:paraId="498CA349" w14:textId="77777777" w:rsidR="001C1EC9" w:rsidRPr="002B67C8" w:rsidRDefault="001C1EC9" w:rsidP="004651A9">
      <w:pPr>
        <w:pStyle w:val="ListParagraph"/>
        <w:numPr>
          <w:ilvl w:val="0"/>
          <w:numId w:val="4"/>
        </w:numPr>
        <w:spacing w:after="80" w:line="240" w:lineRule="auto"/>
        <w:ind w:left="714" w:hanging="357"/>
        <w:jc w:val="both"/>
        <w:rPr>
          <w:rFonts w:ascii="Times New Roman" w:hAnsi="Times New Roman" w:cs="Times New Roman"/>
          <w:sz w:val="24"/>
          <w:szCs w:val="24"/>
        </w:rPr>
      </w:pPr>
      <w:r w:rsidRPr="00C426FB">
        <w:rPr>
          <w:rFonts w:ascii="Times New Roman" w:hAnsi="Times New Roman" w:cs="Times New Roman"/>
          <w:sz w:val="24"/>
          <w:szCs w:val="24"/>
        </w:rPr>
        <w:t>energoresursu cenu straujš kāpums un ražošanas izmaksu palielināšanās, ko izraisīja atteikšanās no Krievijas energoresursiem</w:t>
      </w:r>
      <w:r>
        <w:rPr>
          <w:rFonts w:ascii="Times New Roman" w:hAnsi="Times New Roman" w:cs="Times New Roman"/>
          <w:sz w:val="24"/>
          <w:szCs w:val="24"/>
        </w:rPr>
        <w:t>.</w:t>
      </w:r>
    </w:p>
    <w:p w14:paraId="517C125E" w14:textId="77777777" w:rsidR="00A044AA" w:rsidRDefault="001C1EC9" w:rsidP="00A044AA">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Nav pamata neattiecināt sadārdzinājumu uz kādu no </w:t>
      </w:r>
      <w:r w:rsidR="001926BE">
        <w:rPr>
          <w:rFonts w:ascii="Times New Roman" w:hAnsi="Times New Roman" w:cs="Times New Roman"/>
          <w:sz w:val="24"/>
          <w:szCs w:val="24"/>
        </w:rPr>
        <w:t>būvmateriālu</w:t>
      </w:r>
      <w:r>
        <w:rPr>
          <w:rFonts w:ascii="Times New Roman" w:hAnsi="Times New Roman" w:cs="Times New Roman"/>
          <w:sz w:val="24"/>
          <w:szCs w:val="24"/>
        </w:rPr>
        <w:t xml:space="preserve"> grupām. </w:t>
      </w:r>
      <w:r w:rsidR="00F04BD8">
        <w:rPr>
          <w:rFonts w:ascii="Times New Roman" w:hAnsi="Times New Roman" w:cs="Times New Roman"/>
          <w:sz w:val="24"/>
          <w:szCs w:val="24"/>
        </w:rPr>
        <w:t xml:space="preserve">Turklāt </w:t>
      </w:r>
      <w:r w:rsidR="00411D0A">
        <w:rPr>
          <w:rFonts w:ascii="Times New Roman" w:hAnsi="Times New Roman" w:cs="Times New Roman"/>
          <w:sz w:val="24"/>
          <w:szCs w:val="24"/>
        </w:rPr>
        <w:t>EM</w:t>
      </w:r>
      <w:r w:rsidR="00F04BD8">
        <w:rPr>
          <w:rFonts w:ascii="Times New Roman" w:hAnsi="Times New Roman" w:cs="Times New Roman"/>
          <w:sz w:val="24"/>
          <w:szCs w:val="24"/>
        </w:rPr>
        <w:t xml:space="preserve"> piedāvā sadārdzinājuma novērtēšanai izmantot Centrālās statistikas pārvaldes </w:t>
      </w:r>
      <w:r w:rsidR="00B17EF5">
        <w:rPr>
          <w:rFonts w:ascii="Times New Roman" w:hAnsi="Times New Roman" w:cs="Times New Roman"/>
          <w:sz w:val="24"/>
          <w:szCs w:val="24"/>
        </w:rPr>
        <w:t xml:space="preserve">(turpmāk – CSP) </w:t>
      </w:r>
      <w:r w:rsidR="00445B92">
        <w:rPr>
          <w:rFonts w:ascii="Times New Roman" w:hAnsi="Times New Roman" w:cs="Times New Roman"/>
          <w:sz w:val="24"/>
          <w:szCs w:val="24"/>
        </w:rPr>
        <w:t>apkopotos datus par būvmateriālu</w:t>
      </w:r>
      <w:r w:rsidR="00F430CD">
        <w:rPr>
          <w:rFonts w:ascii="Times New Roman" w:hAnsi="Times New Roman" w:cs="Times New Roman"/>
          <w:sz w:val="24"/>
          <w:szCs w:val="24"/>
        </w:rPr>
        <w:t xml:space="preserve"> indeksu, kura aprēķināšanai izmanto fiksēto sadārdzinājumu visās būvmateriālu grupās.</w:t>
      </w:r>
    </w:p>
    <w:p w14:paraId="77A684E9" w14:textId="5A4C07E4" w:rsidR="004651A9" w:rsidRDefault="00EA3C56" w:rsidP="00A044AA">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Būvmateriālu sadārdzinājumu aprēķināšanai izmanto būvdarbu veicēja (pretendenta) publiskā būvdarbu iepirkuma ietvaros iesniegtajā tāmē iekļauto konkrētās tāmes pozīcijas cenu veidojošās </w:t>
      </w:r>
      <w:r w:rsidR="001926BE">
        <w:rPr>
          <w:rFonts w:ascii="Times New Roman" w:hAnsi="Times New Roman" w:cs="Times New Roman"/>
          <w:sz w:val="24"/>
          <w:szCs w:val="24"/>
        </w:rPr>
        <w:t>būvmateriālu</w:t>
      </w:r>
      <w:r>
        <w:rPr>
          <w:rFonts w:ascii="Times New Roman" w:hAnsi="Times New Roman" w:cs="Times New Roman"/>
          <w:sz w:val="24"/>
          <w:szCs w:val="24"/>
        </w:rPr>
        <w:t xml:space="preserve"> daļas vērtību, ņemot vērā konkrētā </w:t>
      </w:r>
      <w:r w:rsidR="001B282D">
        <w:rPr>
          <w:rFonts w:ascii="Times New Roman" w:hAnsi="Times New Roman" w:cs="Times New Roman"/>
          <w:sz w:val="24"/>
          <w:szCs w:val="24"/>
        </w:rPr>
        <w:t xml:space="preserve">pārskata perioda </w:t>
      </w:r>
      <w:r>
        <w:rPr>
          <w:rFonts w:ascii="Times New Roman" w:hAnsi="Times New Roman" w:cs="Times New Roman"/>
          <w:sz w:val="24"/>
          <w:szCs w:val="24"/>
        </w:rPr>
        <w:t xml:space="preserve">faktisko izpildi. Jānorāda, ka publiskajos būvdarbu iepirkumos pretendentam ir pienākums iesniegt tāmi, kas ir sagatavota atbilstoši Ministru kabineta 2017. gada 3.maija noteikumu Nr. 239 </w:t>
      </w:r>
      <w:r w:rsidRPr="00CB1D14">
        <w:rPr>
          <w:rFonts w:ascii="Times New Roman" w:hAnsi="Times New Roman" w:cs="Times New Roman"/>
          <w:i/>
          <w:iCs/>
          <w:sz w:val="24"/>
          <w:szCs w:val="24"/>
        </w:rPr>
        <w:t xml:space="preserve">“Noteikumi par Latvijas būvnormatīvu LBN 501-17 </w:t>
      </w:r>
      <w:r w:rsidR="00D106BF" w:rsidRPr="00CB1D14">
        <w:rPr>
          <w:rFonts w:ascii="Times New Roman" w:hAnsi="Times New Roman" w:cs="Times New Roman"/>
          <w:i/>
          <w:iCs/>
          <w:sz w:val="24"/>
          <w:szCs w:val="24"/>
        </w:rPr>
        <w:t>“</w:t>
      </w:r>
      <w:r w:rsidRPr="00CB1D14">
        <w:rPr>
          <w:rFonts w:ascii="Times New Roman" w:hAnsi="Times New Roman" w:cs="Times New Roman"/>
          <w:i/>
          <w:iCs/>
          <w:sz w:val="24"/>
          <w:szCs w:val="24"/>
        </w:rPr>
        <w:t>Būvizmaksu noteikšanas kārtība</w:t>
      </w:r>
      <w:r w:rsidR="00D106BF" w:rsidRPr="00CB1D14">
        <w:rPr>
          <w:rFonts w:ascii="Times New Roman" w:hAnsi="Times New Roman" w:cs="Times New Roman"/>
          <w:i/>
          <w:iCs/>
          <w:sz w:val="24"/>
          <w:szCs w:val="24"/>
        </w:rPr>
        <w:t>”</w:t>
      </w:r>
      <w:r>
        <w:rPr>
          <w:rFonts w:ascii="Times New Roman" w:hAnsi="Times New Roman" w:cs="Times New Roman"/>
          <w:sz w:val="24"/>
          <w:szCs w:val="24"/>
        </w:rPr>
        <w:t xml:space="preserve"> regulējumam</w:t>
      </w:r>
      <w:r w:rsidR="001167B6">
        <w:rPr>
          <w:rFonts w:ascii="Times New Roman" w:hAnsi="Times New Roman" w:cs="Times New Roman"/>
          <w:sz w:val="24"/>
          <w:szCs w:val="24"/>
        </w:rPr>
        <w:t>.</w:t>
      </w:r>
      <w:r>
        <w:rPr>
          <w:rFonts w:ascii="Times New Roman" w:hAnsi="Times New Roman" w:cs="Times New Roman"/>
          <w:sz w:val="24"/>
          <w:szCs w:val="24"/>
        </w:rPr>
        <w:t xml:space="preserve"> </w:t>
      </w:r>
      <w:r w:rsidR="001C1EC9">
        <w:rPr>
          <w:rFonts w:ascii="Times New Roman" w:hAnsi="Times New Roman" w:cs="Times New Roman"/>
          <w:sz w:val="24"/>
          <w:szCs w:val="24"/>
        </w:rPr>
        <w:t xml:space="preserve">Tātad, sadārdzinājuma aprēķināšanai izmanto tāmē konkrētajā pozīcijā norādīto </w:t>
      </w:r>
      <w:r w:rsidR="001926BE">
        <w:rPr>
          <w:rFonts w:ascii="Times New Roman" w:hAnsi="Times New Roman" w:cs="Times New Roman"/>
          <w:sz w:val="24"/>
          <w:szCs w:val="24"/>
        </w:rPr>
        <w:t>būvmateriālu</w:t>
      </w:r>
      <w:r w:rsidR="001C1EC9">
        <w:rPr>
          <w:rFonts w:ascii="Times New Roman" w:hAnsi="Times New Roman" w:cs="Times New Roman"/>
          <w:sz w:val="24"/>
          <w:szCs w:val="24"/>
        </w:rPr>
        <w:t xml:space="preserve"> vērtību proporcionāli attiecīgā </w:t>
      </w:r>
      <w:r w:rsidR="00E34A18">
        <w:rPr>
          <w:rFonts w:ascii="Times New Roman" w:hAnsi="Times New Roman" w:cs="Times New Roman"/>
          <w:sz w:val="24"/>
          <w:szCs w:val="24"/>
        </w:rPr>
        <w:t xml:space="preserve">pārskata perioda </w:t>
      </w:r>
      <w:r w:rsidR="001C1EC9">
        <w:rPr>
          <w:rFonts w:ascii="Times New Roman" w:hAnsi="Times New Roman" w:cs="Times New Roman"/>
          <w:sz w:val="24"/>
          <w:szCs w:val="24"/>
        </w:rPr>
        <w:t xml:space="preserve">faktiskai izpildei. </w:t>
      </w:r>
      <w:r w:rsidR="00CB1D14">
        <w:rPr>
          <w:rFonts w:ascii="Times New Roman" w:hAnsi="Times New Roman" w:cs="Times New Roman"/>
          <w:bCs/>
          <w:sz w:val="24"/>
          <w:szCs w:val="24"/>
        </w:rPr>
        <w:t>Proporcionāli – tāmes pozīcija, proporcionāli fiksēta izpilde.</w:t>
      </w:r>
    </w:p>
    <w:p w14:paraId="425A2BA7" w14:textId="6FAFE3C4" w:rsidR="00184AC8" w:rsidRDefault="0047239D" w:rsidP="00ED4B32">
      <w:pPr>
        <w:spacing w:after="80" w:line="240" w:lineRule="auto"/>
        <w:ind w:firstLine="709"/>
        <w:jc w:val="both"/>
        <w:rPr>
          <w:rFonts w:ascii="Times New Roman" w:hAnsi="Times New Roman" w:cs="Times New Roman"/>
          <w:sz w:val="24"/>
          <w:szCs w:val="24"/>
        </w:rPr>
      </w:pPr>
      <w:r w:rsidRPr="00024BAF">
        <w:rPr>
          <w:rFonts w:ascii="Times New Roman" w:hAnsi="Times New Roman" w:cs="Times New Roman"/>
          <w:sz w:val="24"/>
          <w:szCs w:val="24"/>
        </w:rPr>
        <w:t xml:space="preserve">Pasūtītājam jāpieņem lēmums par uzsāktas būvniecības ieceres turpmāko īstenošanu, </w:t>
      </w:r>
      <w:r w:rsidRPr="001178C1">
        <w:rPr>
          <w:rFonts w:ascii="Times New Roman" w:hAnsi="Times New Roman" w:cs="Times New Roman"/>
          <w:sz w:val="24"/>
          <w:szCs w:val="24"/>
        </w:rPr>
        <w:t xml:space="preserve">novērtējot būvniecības ieceres īstenošanas procesu un ar īstenošanu saistītos apstākļus. </w:t>
      </w:r>
    </w:p>
    <w:p w14:paraId="55B07B47" w14:textId="1AD4C932" w:rsidR="00184AC8" w:rsidRPr="00BE2531" w:rsidRDefault="00BC361F" w:rsidP="00ED4B32">
      <w:pPr>
        <w:spacing w:before="240" w:after="120" w:line="240" w:lineRule="auto"/>
        <w:jc w:val="both"/>
        <w:rPr>
          <w:rFonts w:ascii="Times New Roman" w:hAnsi="Times New Roman" w:cs="Times New Roman"/>
          <w:b/>
          <w:bCs/>
          <w:sz w:val="24"/>
          <w:szCs w:val="24"/>
        </w:rPr>
      </w:pPr>
      <w:r>
        <w:rPr>
          <w:rFonts w:ascii="Times New Roman" w:hAnsi="Times New Roman" w:cs="Times New Roman"/>
          <w:b/>
          <w:sz w:val="24"/>
          <w:szCs w:val="24"/>
        </w:rPr>
        <w:t>B</w:t>
      </w:r>
      <w:r w:rsidRPr="0094223C">
        <w:rPr>
          <w:rFonts w:ascii="Times New Roman" w:hAnsi="Times New Roman" w:cs="Times New Roman"/>
          <w:b/>
          <w:sz w:val="24"/>
          <w:szCs w:val="24"/>
        </w:rPr>
        <w:t>ūvmateriālu</w:t>
      </w:r>
      <w:r w:rsidRPr="00BE2531">
        <w:rPr>
          <w:rFonts w:ascii="Times New Roman" w:hAnsi="Times New Roman" w:cs="Times New Roman"/>
          <w:b/>
          <w:bCs/>
          <w:sz w:val="24"/>
          <w:szCs w:val="24"/>
        </w:rPr>
        <w:t xml:space="preserve"> </w:t>
      </w:r>
      <w:r>
        <w:rPr>
          <w:rFonts w:ascii="Times New Roman" w:hAnsi="Times New Roman" w:cs="Times New Roman"/>
          <w:b/>
          <w:bCs/>
          <w:sz w:val="24"/>
          <w:szCs w:val="24"/>
        </w:rPr>
        <w:t>izmaksu k</w:t>
      </w:r>
      <w:r w:rsidR="00184AC8" w:rsidRPr="00BE2531">
        <w:rPr>
          <w:rFonts w:ascii="Times New Roman" w:hAnsi="Times New Roman" w:cs="Times New Roman"/>
          <w:b/>
          <w:bCs/>
          <w:sz w:val="24"/>
          <w:szCs w:val="24"/>
        </w:rPr>
        <w:t>ompensējams sadārdzinājums</w:t>
      </w:r>
    </w:p>
    <w:p w14:paraId="2E8C5EFD" w14:textId="134B1933" w:rsidR="00F01DBD" w:rsidRDefault="001107DE" w:rsidP="004651A9">
      <w:pPr>
        <w:spacing w:after="80" w:line="240" w:lineRule="auto"/>
        <w:ind w:firstLine="709"/>
        <w:jc w:val="both"/>
        <w:rPr>
          <w:rFonts w:ascii="Times New Roman" w:hAnsi="Times New Roman" w:cs="Times New Roman"/>
          <w:sz w:val="24"/>
          <w:szCs w:val="24"/>
        </w:rPr>
      </w:pPr>
      <w:r w:rsidRPr="00A004D9">
        <w:rPr>
          <w:rFonts w:ascii="Times New Roman" w:hAnsi="Times New Roman" w:cs="Times New Roman"/>
          <w:sz w:val="24"/>
          <w:szCs w:val="24"/>
        </w:rPr>
        <w:t xml:space="preserve">Vadlīnijas attiecas </w:t>
      </w:r>
      <w:r w:rsidR="00310FC1">
        <w:rPr>
          <w:rFonts w:ascii="Times New Roman" w:hAnsi="Times New Roman" w:cs="Times New Roman"/>
          <w:sz w:val="24"/>
          <w:szCs w:val="24"/>
        </w:rPr>
        <w:t xml:space="preserve">tikai </w:t>
      </w:r>
      <w:r w:rsidRPr="00802573">
        <w:rPr>
          <w:rFonts w:ascii="Times New Roman" w:hAnsi="Times New Roman" w:cs="Times New Roman"/>
          <w:sz w:val="24"/>
          <w:szCs w:val="24"/>
        </w:rPr>
        <w:t xml:space="preserve">uz būvmateriālu sadārdzinājumu, ko </w:t>
      </w:r>
      <w:r w:rsidRPr="005B5F7E">
        <w:rPr>
          <w:rFonts w:ascii="Times New Roman" w:hAnsi="Times New Roman" w:cs="Times New Roman"/>
          <w:sz w:val="24"/>
          <w:szCs w:val="24"/>
        </w:rPr>
        <w:t>izraisīja Krievijas uzsāktā karadarbība Ukrainā</w:t>
      </w:r>
      <w:r w:rsidR="001E282C" w:rsidRPr="005B5F7E">
        <w:rPr>
          <w:rFonts w:ascii="Times New Roman" w:hAnsi="Times New Roman" w:cs="Times New Roman"/>
          <w:sz w:val="24"/>
          <w:szCs w:val="24"/>
        </w:rPr>
        <w:t>.</w:t>
      </w:r>
      <w:r w:rsidR="00802573" w:rsidRPr="005B5F7E">
        <w:rPr>
          <w:rFonts w:ascii="Times New Roman" w:hAnsi="Times New Roman" w:cs="Times New Roman"/>
          <w:sz w:val="24"/>
          <w:szCs w:val="24"/>
        </w:rPr>
        <w:t xml:space="preserve"> </w:t>
      </w:r>
      <w:r w:rsidRPr="005B5F7E">
        <w:rPr>
          <w:rFonts w:ascii="Times New Roman" w:hAnsi="Times New Roman" w:cs="Times New Roman"/>
          <w:sz w:val="24"/>
          <w:szCs w:val="24"/>
        </w:rPr>
        <w:t xml:space="preserve">Būvmateriālu izmaksu </w:t>
      </w:r>
      <w:r w:rsidR="00F01DBD">
        <w:rPr>
          <w:rFonts w:ascii="Times New Roman" w:hAnsi="Times New Roman" w:cs="Times New Roman"/>
          <w:sz w:val="24"/>
          <w:szCs w:val="24"/>
        </w:rPr>
        <w:t>sadārdzinājuma</w:t>
      </w:r>
      <w:r w:rsidRPr="005B5F7E">
        <w:rPr>
          <w:rFonts w:ascii="Times New Roman" w:hAnsi="Times New Roman" w:cs="Times New Roman"/>
          <w:sz w:val="24"/>
          <w:szCs w:val="24"/>
        </w:rPr>
        <w:t xml:space="preserve"> aprēķinā </w:t>
      </w:r>
      <w:r w:rsidR="00DD404D" w:rsidRPr="005B5F7E">
        <w:rPr>
          <w:rFonts w:ascii="Times New Roman" w:hAnsi="Times New Roman" w:cs="Times New Roman"/>
          <w:sz w:val="24"/>
          <w:szCs w:val="24"/>
        </w:rPr>
        <w:t>iekļaujama</w:t>
      </w:r>
      <w:r w:rsidR="001D7545" w:rsidRPr="005B5F7E">
        <w:rPr>
          <w:rFonts w:ascii="Times New Roman" w:hAnsi="Times New Roman" w:cs="Times New Roman"/>
          <w:sz w:val="24"/>
          <w:szCs w:val="24"/>
        </w:rPr>
        <w:t xml:space="preserve"> </w:t>
      </w:r>
      <w:r w:rsidR="002B1472" w:rsidRPr="005B5F7E">
        <w:rPr>
          <w:rFonts w:ascii="Times New Roman" w:hAnsi="Times New Roman" w:cs="Times New Roman"/>
          <w:sz w:val="24"/>
          <w:szCs w:val="24"/>
        </w:rPr>
        <w:t xml:space="preserve">iepriekš prognozēta </w:t>
      </w:r>
      <w:r w:rsidR="001D7545" w:rsidRPr="005B5F7E">
        <w:rPr>
          <w:rFonts w:ascii="Times New Roman" w:hAnsi="Times New Roman" w:cs="Times New Roman"/>
          <w:sz w:val="24"/>
          <w:szCs w:val="24"/>
        </w:rPr>
        <w:t xml:space="preserve">inflācija, </w:t>
      </w:r>
      <w:r w:rsidRPr="005B5F7E">
        <w:rPr>
          <w:rFonts w:ascii="Times New Roman" w:hAnsi="Times New Roman" w:cs="Times New Roman"/>
          <w:sz w:val="24"/>
          <w:szCs w:val="24"/>
        </w:rPr>
        <w:t xml:space="preserve">kas netiek </w:t>
      </w:r>
      <w:r w:rsidR="001D7545" w:rsidRPr="005B5F7E">
        <w:rPr>
          <w:rFonts w:ascii="Times New Roman" w:hAnsi="Times New Roman" w:cs="Times New Roman"/>
          <w:sz w:val="24"/>
          <w:szCs w:val="24"/>
        </w:rPr>
        <w:t>uzskatīta par neparedzamu sadārdzinājumu</w:t>
      </w:r>
      <w:r w:rsidR="00802573" w:rsidRPr="005B5F7E">
        <w:rPr>
          <w:rFonts w:ascii="Times New Roman" w:hAnsi="Times New Roman" w:cs="Times New Roman"/>
          <w:sz w:val="24"/>
          <w:szCs w:val="24"/>
        </w:rPr>
        <w:t xml:space="preserve">, </w:t>
      </w:r>
      <w:r w:rsidR="009D7E94">
        <w:rPr>
          <w:rFonts w:ascii="Times New Roman" w:hAnsi="Times New Roman" w:cs="Times New Roman"/>
          <w:sz w:val="24"/>
          <w:szCs w:val="24"/>
        </w:rPr>
        <w:t xml:space="preserve">kā rezultātā </w:t>
      </w:r>
      <w:r w:rsidR="005B5F7E" w:rsidRPr="005B5F7E">
        <w:rPr>
          <w:rFonts w:ascii="Times New Roman" w:hAnsi="Times New Roman" w:cs="Times New Roman"/>
          <w:sz w:val="24"/>
          <w:szCs w:val="24"/>
        </w:rPr>
        <w:t>pasūtītājam nebūtu jāsedz prognozētās inflācijas radītais sadārdzinājums.</w:t>
      </w:r>
      <w:r w:rsidR="0073222E">
        <w:rPr>
          <w:rFonts w:ascii="Times New Roman" w:hAnsi="Times New Roman" w:cs="Times New Roman"/>
          <w:sz w:val="24"/>
          <w:szCs w:val="24"/>
        </w:rPr>
        <w:t xml:space="preserve"> </w:t>
      </w:r>
      <w:r w:rsidR="004263F6">
        <w:rPr>
          <w:rFonts w:ascii="Times New Roman" w:hAnsi="Times New Roman" w:cs="Times New Roman"/>
          <w:sz w:val="24"/>
          <w:szCs w:val="24"/>
        </w:rPr>
        <w:t>P</w:t>
      </w:r>
      <w:r w:rsidR="0073222E">
        <w:rPr>
          <w:rFonts w:ascii="Times New Roman" w:hAnsi="Times New Roman" w:cs="Times New Roman"/>
          <w:sz w:val="24"/>
          <w:szCs w:val="24"/>
        </w:rPr>
        <w:t xml:space="preserve">asūtītājam nav pamata kompensēt sadārdzinājumu, kas atbilst </w:t>
      </w:r>
      <w:r w:rsidR="00954BDD">
        <w:rPr>
          <w:rFonts w:ascii="Times New Roman" w:hAnsi="Times New Roman" w:cs="Times New Roman"/>
          <w:sz w:val="24"/>
          <w:szCs w:val="24"/>
        </w:rPr>
        <w:t xml:space="preserve">prognozētajam </w:t>
      </w:r>
      <w:r w:rsidR="0073222E">
        <w:rPr>
          <w:rFonts w:ascii="Times New Roman" w:hAnsi="Times New Roman" w:cs="Times New Roman"/>
          <w:sz w:val="24"/>
          <w:szCs w:val="24"/>
        </w:rPr>
        <w:t xml:space="preserve">inflācijas līmenim. </w:t>
      </w:r>
      <w:r w:rsidR="00C12D3C">
        <w:rPr>
          <w:rFonts w:ascii="Times New Roman" w:hAnsi="Times New Roman" w:cs="Times New Roman"/>
          <w:sz w:val="24"/>
          <w:szCs w:val="24"/>
        </w:rPr>
        <w:t xml:space="preserve">Turklāt </w:t>
      </w:r>
      <w:r w:rsidR="00411D0A">
        <w:rPr>
          <w:rFonts w:ascii="Times New Roman" w:hAnsi="Times New Roman" w:cs="Times New Roman"/>
          <w:sz w:val="24"/>
          <w:szCs w:val="24"/>
        </w:rPr>
        <w:t>EM</w:t>
      </w:r>
      <w:r w:rsidR="00C12D3C">
        <w:rPr>
          <w:rFonts w:ascii="Times New Roman" w:hAnsi="Times New Roman" w:cs="Times New Roman"/>
          <w:sz w:val="24"/>
          <w:szCs w:val="24"/>
        </w:rPr>
        <w:t xml:space="preserve"> katru gadu publicē mājas lapā informāciju par prognozētām izmaiņām darbaspēka un būvmateriālu izmaksās būvniecības nozarē Latvijā turpmākajiem 5 gadiem. </w:t>
      </w:r>
      <w:r w:rsidR="005368AB">
        <w:rPr>
          <w:rFonts w:ascii="Times New Roman" w:hAnsi="Times New Roman" w:cs="Times New Roman"/>
          <w:sz w:val="24"/>
          <w:szCs w:val="24"/>
        </w:rPr>
        <w:t>I</w:t>
      </w:r>
      <w:r w:rsidR="00C12D3C">
        <w:rPr>
          <w:rFonts w:ascii="Times New Roman" w:hAnsi="Times New Roman" w:cs="Times New Roman"/>
          <w:sz w:val="24"/>
          <w:szCs w:val="24"/>
        </w:rPr>
        <w:t xml:space="preserve">nflācijas līmeņa noteikšanai ir </w:t>
      </w:r>
      <w:r w:rsidR="00D32FE9">
        <w:rPr>
          <w:rFonts w:ascii="Times New Roman" w:hAnsi="Times New Roman" w:cs="Times New Roman"/>
          <w:sz w:val="24"/>
          <w:szCs w:val="24"/>
        </w:rPr>
        <w:lastRenderedPageBreak/>
        <w:t>ieteicams</w:t>
      </w:r>
      <w:r w:rsidR="00C12D3C">
        <w:rPr>
          <w:rFonts w:ascii="Times New Roman" w:hAnsi="Times New Roman" w:cs="Times New Roman"/>
          <w:sz w:val="24"/>
          <w:szCs w:val="24"/>
        </w:rPr>
        <w:t xml:space="preserve"> izmantot publiskā būvdarbu līguma noslēgšanas brīdī </w:t>
      </w:r>
      <w:r w:rsidR="00411D0A">
        <w:rPr>
          <w:rFonts w:ascii="Times New Roman" w:hAnsi="Times New Roman" w:cs="Times New Roman"/>
          <w:sz w:val="24"/>
          <w:szCs w:val="24"/>
        </w:rPr>
        <w:t xml:space="preserve">EM </w:t>
      </w:r>
      <w:r w:rsidR="00C12D3C">
        <w:rPr>
          <w:rFonts w:ascii="Times New Roman" w:hAnsi="Times New Roman" w:cs="Times New Roman"/>
          <w:sz w:val="24"/>
          <w:szCs w:val="24"/>
        </w:rPr>
        <w:t xml:space="preserve">publicēto </w:t>
      </w:r>
      <w:r w:rsidR="00D32FE9">
        <w:rPr>
          <w:rFonts w:ascii="Times New Roman" w:hAnsi="Times New Roman" w:cs="Times New Roman"/>
          <w:sz w:val="24"/>
          <w:szCs w:val="24"/>
        </w:rPr>
        <w:t>informāciju par plānotām izmaiņām būvdarbu cenās</w:t>
      </w:r>
      <w:r w:rsidR="00D32FE9">
        <w:rPr>
          <w:rStyle w:val="FootnoteReference"/>
          <w:rFonts w:ascii="Times New Roman" w:hAnsi="Times New Roman" w:cs="Times New Roman"/>
          <w:sz w:val="24"/>
          <w:szCs w:val="24"/>
        </w:rPr>
        <w:footnoteReference w:id="4"/>
      </w:r>
      <w:r w:rsidR="00D32FE9">
        <w:rPr>
          <w:rFonts w:ascii="Times New Roman" w:hAnsi="Times New Roman" w:cs="Times New Roman"/>
          <w:sz w:val="24"/>
          <w:szCs w:val="24"/>
        </w:rPr>
        <w:t>.</w:t>
      </w:r>
      <w:r w:rsidR="00696143" w:rsidRPr="00696143">
        <w:rPr>
          <w:rFonts w:ascii="Times New Roman" w:hAnsi="Times New Roman" w:cs="Times New Roman"/>
          <w:sz w:val="24"/>
          <w:szCs w:val="24"/>
        </w:rPr>
        <w:t xml:space="preserve"> </w:t>
      </w:r>
    </w:p>
    <w:p w14:paraId="17B5350D" w14:textId="5F0D85C3" w:rsidR="0094223C" w:rsidRPr="00D608EE" w:rsidRDefault="00C67C02" w:rsidP="00ED4B32">
      <w:pPr>
        <w:spacing w:before="240" w:after="120" w:line="240" w:lineRule="auto"/>
        <w:jc w:val="both"/>
        <w:rPr>
          <w:rFonts w:ascii="Times New Roman" w:hAnsi="Times New Roman" w:cs="Times New Roman"/>
          <w:b/>
          <w:i/>
          <w:sz w:val="24"/>
          <w:szCs w:val="24"/>
        </w:rPr>
      </w:pPr>
      <w:r>
        <w:rPr>
          <w:rFonts w:ascii="Times New Roman" w:hAnsi="Times New Roman" w:cs="Times New Roman"/>
          <w:b/>
          <w:sz w:val="24"/>
          <w:szCs w:val="24"/>
        </w:rPr>
        <w:t>B</w:t>
      </w:r>
      <w:r w:rsidRPr="0094223C">
        <w:rPr>
          <w:rFonts w:ascii="Times New Roman" w:hAnsi="Times New Roman" w:cs="Times New Roman"/>
          <w:b/>
          <w:sz w:val="24"/>
          <w:szCs w:val="24"/>
        </w:rPr>
        <w:t>ūvmateriālu</w:t>
      </w:r>
      <w:r w:rsidRPr="00BE2531">
        <w:rPr>
          <w:rFonts w:ascii="Times New Roman" w:hAnsi="Times New Roman" w:cs="Times New Roman"/>
          <w:b/>
          <w:bCs/>
          <w:sz w:val="24"/>
          <w:szCs w:val="24"/>
        </w:rPr>
        <w:t xml:space="preserve"> </w:t>
      </w:r>
      <w:r>
        <w:rPr>
          <w:rFonts w:ascii="Times New Roman" w:hAnsi="Times New Roman" w:cs="Times New Roman"/>
          <w:b/>
          <w:bCs/>
          <w:sz w:val="24"/>
          <w:szCs w:val="24"/>
        </w:rPr>
        <w:t>izmaksu s</w:t>
      </w:r>
      <w:r w:rsidR="007260EB" w:rsidRPr="007260EB">
        <w:rPr>
          <w:rFonts w:ascii="Times New Roman" w:hAnsi="Times New Roman" w:cs="Times New Roman"/>
          <w:b/>
          <w:bCs/>
          <w:sz w:val="24"/>
          <w:szCs w:val="24"/>
        </w:rPr>
        <w:t>adārdzinājuma novērtēšanas periods</w:t>
      </w:r>
    </w:p>
    <w:p w14:paraId="29417167" w14:textId="57E64EAE" w:rsidR="004651A9" w:rsidRDefault="00285E5D" w:rsidP="004651A9">
      <w:pPr>
        <w:spacing w:after="80" w:line="240" w:lineRule="auto"/>
        <w:ind w:firstLine="709"/>
        <w:jc w:val="both"/>
        <w:rPr>
          <w:rFonts w:ascii="Times New Roman" w:hAnsi="Times New Roman" w:cs="Times New Roman"/>
          <w:sz w:val="24"/>
          <w:szCs w:val="24"/>
        </w:rPr>
      </w:pPr>
      <w:r w:rsidRPr="00C67C02">
        <w:rPr>
          <w:rFonts w:ascii="Times New Roman" w:hAnsi="Times New Roman" w:cs="Times New Roman"/>
          <w:sz w:val="24"/>
          <w:szCs w:val="24"/>
        </w:rPr>
        <w:t xml:space="preserve">Sadārdzinājuma novērtēšanas </w:t>
      </w:r>
      <w:r w:rsidR="00B20E89" w:rsidRPr="00C67C02">
        <w:rPr>
          <w:rFonts w:ascii="Times New Roman" w:hAnsi="Times New Roman" w:cs="Times New Roman"/>
          <w:sz w:val="24"/>
          <w:szCs w:val="24"/>
        </w:rPr>
        <w:t>periods ir mēnesis</w:t>
      </w:r>
      <w:r w:rsidR="006F736D" w:rsidRPr="00C67C02">
        <w:rPr>
          <w:rFonts w:ascii="Times New Roman" w:hAnsi="Times New Roman" w:cs="Times New Roman"/>
          <w:sz w:val="24"/>
          <w:szCs w:val="24"/>
        </w:rPr>
        <w:t xml:space="preserve">, </w:t>
      </w:r>
      <w:r w:rsidR="00B20E89" w:rsidRPr="00C67C02">
        <w:rPr>
          <w:rFonts w:ascii="Times New Roman" w:hAnsi="Times New Roman" w:cs="Times New Roman"/>
          <w:sz w:val="24"/>
          <w:szCs w:val="24"/>
        </w:rPr>
        <w:t xml:space="preserve">ceturksnis </w:t>
      </w:r>
      <w:r w:rsidR="006F736D" w:rsidRPr="00C67C02">
        <w:rPr>
          <w:rFonts w:ascii="Times New Roman" w:hAnsi="Times New Roman" w:cs="Times New Roman"/>
          <w:sz w:val="24"/>
          <w:szCs w:val="24"/>
        </w:rPr>
        <w:t xml:space="preserve">vai kāds cits periods </w:t>
      </w:r>
      <w:r w:rsidR="00B20E89" w:rsidRPr="00C67C02">
        <w:rPr>
          <w:rFonts w:ascii="Times New Roman" w:hAnsi="Times New Roman" w:cs="Times New Roman"/>
          <w:sz w:val="24"/>
          <w:szCs w:val="24"/>
        </w:rPr>
        <w:t>atkarībā no būvprojekta specifikācijas</w:t>
      </w:r>
      <w:r w:rsidR="00D46A78" w:rsidRPr="00C67C02">
        <w:rPr>
          <w:rFonts w:ascii="Times New Roman" w:hAnsi="Times New Roman" w:cs="Times New Roman"/>
          <w:sz w:val="24"/>
          <w:szCs w:val="24"/>
        </w:rPr>
        <w:t>, ko izmanto kā korekcijas periodu būvmateriālu izmaksu sadārdzinājuma novērtēšanai</w:t>
      </w:r>
      <w:r w:rsidR="00B20E89" w:rsidRPr="00C67C02">
        <w:rPr>
          <w:rFonts w:ascii="Times New Roman" w:hAnsi="Times New Roman" w:cs="Times New Roman"/>
          <w:sz w:val="24"/>
          <w:szCs w:val="24"/>
        </w:rPr>
        <w:t xml:space="preserve">. </w:t>
      </w:r>
      <w:r w:rsidR="00B63184" w:rsidRPr="00C67C02">
        <w:rPr>
          <w:rFonts w:ascii="Times New Roman" w:hAnsi="Times New Roman" w:cs="Times New Roman"/>
          <w:sz w:val="24"/>
          <w:szCs w:val="24"/>
        </w:rPr>
        <w:t>Būvdarbu veicējs</w:t>
      </w:r>
      <w:r w:rsidR="00A7338B" w:rsidRPr="00C67C02">
        <w:rPr>
          <w:rFonts w:ascii="Times New Roman" w:hAnsi="Times New Roman" w:cs="Times New Roman"/>
          <w:sz w:val="24"/>
          <w:szCs w:val="24"/>
        </w:rPr>
        <w:t xml:space="preserve"> </w:t>
      </w:r>
      <w:r w:rsidR="00BC43CD" w:rsidRPr="00C67C02">
        <w:rPr>
          <w:rFonts w:ascii="Times New Roman" w:hAnsi="Times New Roman" w:cs="Times New Roman"/>
          <w:sz w:val="24"/>
          <w:szCs w:val="24"/>
        </w:rPr>
        <w:t>sākot ar 2022.</w:t>
      </w:r>
      <w:r w:rsidR="00B63184">
        <w:rPr>
          <w:rFonts w:ascii="Times New Roman" w:hAnsi="Times New Roman" w:cs="Times New Roman"/>
          <w:sz w:val="24"/>
          <w:szCs w:val="24"/>
        </w:rPr>
        <w:t xml:space="preserve"> </w:t>
      </w:r>
      <w:r w:rsidR="00BC43CD" w:rsidRPr="00BC43CD">
        <w:rPr>
          <w:rFonts w:ascii="Times New Roman" w:hAnsi="Times New Roman" w:cs="Times New Roman"/>
          <w:sz w:val="24"/>
          <w:szCs w:val="24"/>
        </w:rPr>
        <w:t xml:space="preserve">gada </w:t>
      </w:r>
      <w:r w:rsidR="00D33F66">
        <w:rPr>
          <w:rFonts w:ascii="Times New Roman" w:hAnsi="Times New Roman" w:cs="Times New Roman"/>
          <w:sz w:val="24"/>
          <w:szCs w:val="24"/>
        </w:rPr>
        <w:t xml:space="preserve">1. </w:t>
      </w:r>
      <w:r w:rsidR="00BC43CD" w:rsidRPr="00BC43CD">
        <w:rPr>
          <w:rFonts w:ascii="Times New Roman" w:hAnsi="Times New Roman" w:cs="Times New Roman"/>
          <w:sz w:val="24"/>
          <w:szCs w:val="24"/>
        </w:rPr>
        <w:t xml:space="preserve">martu </w:t>
      </w:r>
      <w:r w:rsidR="00B63184">
        <w:rPr>
          <w:rFonts w:ascii="Times New Roman" w:hAnsi="Times New Roman" w:cs="Times New Roman"/>
          <w:sz w:val="24"/>
          <w:szCs w:val="24"/>
        </w:rPr>
        <w:t xml:space="preserve">par </w:t>
      </w:r>
      <w:r w:rsidR="00D2050C">
        <w:rPr>
          <w:rFonts w:ascii="Times New Roman" w:hAnsi="Times New Roman" w:cs="Times New Roman"/>
          <w:sz w:val="24"/>
          <w:szCs w:val="24"/>
        </w:rPr>
        <w:t>attiecīgo periodu</w:t>
      </w:r>
      <w:r w:rsidR="0076211D">
        <w:rPr>
          <w:rFonts w:ascii="Times New Roman" w:hAnsi="Times New Roman" w:cs="Times New Roman"/>
          <w:sz w:val="24"/>
          <w:szCs w:val="24"/>
        </w:rPr>
        <w:t xml:space="preserve"> (mēnesi, ceturksni vai kādu citu periodu)</w:t>
      </w:r>
      <w:r w:rsidR="00B63184">
        <w:rPr>
          <w:rFonts w:ascii="Times New Roman" w:hAnsi="Times New Roman" w:cs="Times New Roman"/>
          <w:sz w:val="24"/>
          <w:szCs w:val="24"/>
        </w:rPr>
        <w:t xml:space="preserve"> aprēķina </w:t>
      </w:r>
      <w:r w:rsidR="00BC43CD" w:rsidRPr="00BC43CD">
        <w:rPr>
          <w:rFonts w:ascii="Times New Roman" w:hAnsi="Times New Roman" w:cs="Times New Roman"/>
          <w:sz w:val="24"/>
          <w:szCs w:val="24"/>
        </w:rPr>
        <w:t xml:space="preserve">faktiski paveikto </w:t>
      </w:r>
      <w:r w:rsidR="00B63184" w:rsidRPr="00C36210">
        <w:rPr>
          <w:rFonts w:ascii="Times New Roman" w:hAnsi="Times New Roman" w:cs="Times New Roman"/>
          <w:sz w:val="24"/>
          <w:szCs w:val="24"/>
        </w:rPr>
        <w:t>būv</w:t>
      </w:r>
      <w:r w:rsidR="00BC43CD" w:rsidRPr="00B20E89">
        <w:rPr>
          <w:rFonts w:ascii="Times New Roman" w:hAnsi="Times New Roman" w:cs="Times New Roman"/>
          <w:sz w:val="24"/>
          <w:szCs w:val="24"/>
        </w:rPr>
        <w:t>darbu apjomu</w:t>
      </w:r>
      <w:r w:rsidR="003608CC" w:rsidRPr="00B20E89">
        <w:rPr>
          <w:rFonts w:ascii="Times New Roman" w:hAnsi="Times New Roman" w:cs="Times New Roman"/>
          <w:sz w:val="24"/>
          <w:szCs w:val="24"/>
        </w:rPr>
        <w:t xml:space="preserve"> un </w:t>
      </w:r>
      <w:r w:rsidR="00B63184" w:rsidRPr="00B20E89">
        <w:rPr>
          <w:rFonts w:ascii="Times New Roman" w:hAnsi="Times New Roman" w:cs="Times New Roman"/>
          <w:sz w:val="24"/>
          <w:szCs w:val="24"/>
        </w:rPr>
        <w:t xml:space="preserve">vadoties no </w:t>
      </w:r>
      <w:r w:rsidR="00BC43CD" w:rsidRPr="00B20E89">
        <w:rPr>
          <w:rFonts w:ascii="Times New Roman" w:hAnsi="Times New Roman" w:cs="Times New Roman"/>
          <w:sz w:val="24"/>
          <w:szCs w:val="24"/>
        </w:rPr>
        <w:t xml:space="preserve">tāmes </w:t>
      </w:r>
      <w:r w:rsidR="003608CC" w:rsidRPr="00B20E89">
        <w:rPr>
          <w:rFonts w:ascii="Times New Roman" w:hAnsi="Times New Roman" w:cs="Times New Roman"/>
          <w:sz w:val="24"/>
          <w:szCs w:val="24"/>
        </w:rPr>
        <w:t>nosaka</w:t>
      </w:r>
      <w:r w:rsidR="00BC43CD" w:rsidRPr="00B20E89">
        <w:rPr>
          <w:rFonts w:ascii="Times New Roman" w:hAnsi="Times New Roman" w:cs="Times New Roman"/>
          <w:sz w:val="24"/>
          <w:szCs w:val="24"/>
        </w:rPr>
        <w:t xml:space="preserve"> būvmateriālu izmaksas paveiktajiem būvdarbie</w:t>
      </w:r>
      <w:r w:rsidR="00261EF3" w:rsidRPr="00B20E89">
        <w:rPr>
          <w:rFonts w:ascii="Times New Roman" w:hAnsi="Times New Roman" w:cs="Times New Roman"/>
          <w:sz w:val="24"/>
          <w:szCs w:val="24"/>
        </w:rPr>
        <w:t>m</w:t>
      </w:r>
      <w:r w:rsidR="00B20E89">
        <w:rPr>
          <w:rFonts w:ascii="Times New Roman" w:hAnsi="Times New Roman" w:cs="Times New Roman"/>
          <w:sz w:val="24"/>
          <w:szCs w:val="24"/>
        </w:rPr>
        <w:t>.</w:t>
      </w:r>
    </w:p>
    <w:p w14:paraId="55F15EFC" w14:textId="77777777" w:rsidR="004651A9" w:rsidRDefault="00994EBD" w:rsidP="004651A9">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Sadārdzinājuma novērtēšanu</w:t>
      </w:r>
      <w:r w:rsidR="003608CC" w:rsidRPr="008E0A0F">
        <w:rPr>
          <w:rFonts w:ascii="Times New Roman" w:hAnsi="Times New Roman" w:cs="Times New Roman"/>
          <w:sz w:val="24"/>
          <w:szCs w:val="24"/>
        </w:rPr>
        <w:t xml:space="preserve"> veic, par bāzes mēnesi nosakot 2022. gada janvāri – mēnesi pirms Krievijas uzsāktās karadarbības Ukrainā, un par korekcijas periodu izvēloties </w:t>
      </w:r>
      <w:r w:rsidR="003A30FB" w:rsidRPr="008E0A0F">
        <w:rPr>
          <w:rFonts w:ascii="Times New Roman" w:hAnsi="Times New Roman" w:cs="Times New Roman"/>
          <w:sz w:val="24"/>
          <w:szCs w:val="24"/>
        </w:rPr>
        <w:t xml:space="preserve">attiecīgu periodu, </w:t>
      </w:r>
      <w:r w:rsidR="0077046E" w:rsidRPr="008E0A0F">
        <w:rPr>
          <w:rFonts w:ascii="Times New Roman" w:hAnsi="Times New Roman" w:cs="Times New Roman"/>
          <w:sz w:val="24"/>
          <w:szCs w:val="24"/>
        </w:rPr>
        <w:t xml:space="preserve">sākot no </w:t>
      </w:r>
      <w:r w:rsidR="003A30FB" w:rsidRPr="008E0A0F">
        <w:rPr>
          <w:rFonts w:ascii="Times New Roman" w:hAnsi="Times New Roman" w:cs="Times New Roman"/>
          <w:sz w:val="24"/>
          <w:szCs w:val="24"/>
        </w:rPr>
        <w:t xml:space="preserve">2022. gada </w:t>
      </w:r>
      <w:r w:rsidR="0077046E" w:rsidRPr="008E0A0F">
        <w:rPr>
          <w:rFonts w:ascii="Times New Roman" w:hAnsi="Times New Roman" w:cs="Times New Roman"/>
          <w:sz w:val="24"/>
          <w:szCs w:val="24"/>
        </w:rPr>
        <w:t>1. marta</w:t>
      </w:r>
      <w:r w:rsidR="003608CC" w:rsidRPr="008E0A0F">
        <w:rPr>
          <w:rFonts w:ascii="Times New Roman" w:hAnsi="Times New Roman" w:cs="Times New Roman"/>
          <w:sz w:val="24"/>
          <w:szCs w:val="24"/>
        </w:rPr>
        <w:t>, par kuru aprēķināms būvmateriālu sadārdzinājums.</w:t>
      </w:r>
    </w:p>
    <w:p w14:paraId="5CFFF2F3" w14:textId="02A46013" w:rsidR="00AB0625" w:rsidRDefault="00F851BC" w:rsidP="004651A9">
      <w:pPr>
        <w:spacing w:after="80" w:line="240" w:lineRule="auto"/>
        <w:ind w:firstLine="709"/>
        <w:jc w:val="both"/>
        <w:rPr>
          <w:rFonts w:ascii="Times New Roman" w:hAnsi="Times New Roman" w:cs="Times New Roman"/>
          <w:sz w:val="24"/>
          <w:szCs w:val="24"/>
        </w:rPr>
      </w:pPr>
      <w:r w:rsidRPr="0077046E">
        <w:rPr>
          <w:rFonts w:ascii="Times New Roman" w:hAnsi="Times New Roman" w:cs="Times New Roman"/>
          <w:sz w:val="24"/>
          <w:szCs w:val="24"/>
        </w:rPr>
        <w:t>Būvdarbu veicējs</w:t>
      </w:r>
      <w:r w:rsidR="00AB0625" w:rsidRPr="0077046E">
        <w:rPr>
          <w:rFonts w:ascii="Times New Roman" w:hAnsi="Times New Roman" w:cs="Times New Roman"/>
          <w:sz w:val="24"/>
          <w:szCs w:val="24"/>
        </w:rPr>
        <w:t xml:space="preserve"> </w:t>
      </w:r>
      <w:r w:rsidR="006C684E" w:rsidRPr="0077046E">
        <w:rPr>
          <w:rFonts w:ascii="Times New Roman" w:hAnsi="Times New Roman" w:cs="Times New Roman"/>
          <w:sz w:val="24"/>
          <w:szCs w:val="24"/>
        </w:rPr>
        <w:t xml:space="preserve">pasūtītājam </w:t>
      </w:r>
      <w:r w:rsidR="00AB0625" w:rsidRPr="0077046E">
        <w:rPr>
          <w:rFonts w:ascii="Times New Roman" w:hAnsi="Times New Roman" w:cs="Times New Roman"/>
          <w:sz w:val="24"/>
          <w:szCs w:val="24"/>
        </w:rPr>
        <w:t>iesnie</w:t>
      </w:r>
      <w:r w:rsidR="00AB0625" w:rsidRPr="0094223C">
        <w:rPr>
          <w:rFonts w:ascii="Times New Roman" w:hAnsi="Times New Roman" w:cs="Times New Roman"/>
          <w:sz w:val="24"/>
          <w:szCs w:val="24"/>
        </w:rPr>
        <w:t>dz fiksētu faktiski paveikto būvdarbu apjomu uz 2022.</w:t>
      </w:r>
      <w:r w:rsidR="001F72E0">
        <w:rPr>
          <w:rFonts w:ascii="Times New Roman" w:hAnsi="Times New Roman" w:cs="Times New Roman"/>
          <w:sz w:val="24"/>
          <w:szCs w:val="24"/>
        </w:rPr>
        <w:t xml:space="preserve"> </w:t>
      </w:r>
      <w:r w:rsidR="00AB0625" w:rsidRPr="0094223C">
        <w:rPr>
          <w:rFonts w:ascii="Times New Roman" w:hAnsi="Times New Roman" w:cs="Times New Roman"/>
          <w:sz w:val="24"/>
          <w:szCs w:val="24"/>
        </w:rPr>
        <w:t>gada 28.</w:t>
      </w:r>
      <w:r w:rsidR="001F72E0">
        <w:rPr>
          <w:rFonts w:ascii="Times New Roman" w:hAnsi="Times New Roman" w:cs="Times New Roman"/>
          <w:sz w:val="24"/>
          <w:szCs w:val="24"/>
        </w:rPr>
        <w:t xml:space="preserve"> </w:t>
      </w:r>
      <w:r w:rsidR="00AB0625" w:rsidRPr="0094223C">
        <w:rPr>
          <w:rFonts w:ascii="Times New Roman" w:hAnsi="Times New Roman" w:cs="Times New Roman"/>
          <w:sz w:val="24"/>
          <w:szCs w:val="24"/>
        </w:rPr>
        <w:t>februāri</w:t>
      </w:r>
      <w:r w:rsidR="00F66065">
        <w:rPr>
          <w:rFonts w:ascii="Times New Roman" w:hAnsi="Times New Roman" w:cs="Times New Roman"/>
          <w:sz w:val="24"/>
          <w:szCs w:val="24"/>
        </w:rPr>
        <w:t xml:space="preserve">, norādot būvdarbu izmaksas, kas netiks </w:t>
      </w:r>
      <w:r w:rsidR="001A7E3A">
        <w:rPr>
          <w:rFonts w:ascii="Times New Roman" w:hAnsi="Times New Roman" w:cs="Times New Roman"/>
          <w:sz w:val="24"/>
          <w:szCs w:val="24"/>
        </w:rPr>
        <w:t>attiecinātas uz sadārdzinājum</w:t>
      </w:r>
      <w:r w:rsidR="00E9791E">
        <w:rPr>
          <w:rFonts w:ascii="Times New Roman" w:hAnsi="Times New Roman" w:cs="Times New Roman"/>
          <w:sz w:val="24"/>
          <w:szCs w:val="24"/>
        </w:rPr>
        <w:t>a</w:t>
      </w:r>
      <w:r w:rsidR="001A7E3A">
        <w:rPr>
          <w:rFonts w:ascii="Times New Roman" w:hAnsi="Times New Roman" w:cs="Times New Roman"/>
          <w:sz w:val="24"/>
          <w:szCs w:val="24"/>
        </w:rPr>
        <w:t xml:space="preserve"> aprēķināšanu un </w:t>
      </w:r>
      <w:r w:rsidR="00696143">
        <w:rPr>
          <w:rFonts w:ascii="Times New Roman" w:hAnsi="Times New Roman" w:cs="Times New Roman"/>
          <w:sz w:val="24"/>
          <w:szCs w:val="24"/>
        </w:rPr>
        <w:t>kompensēšanu</w:t>
      </w:r>
      <w:r w:rsidR="001A7E3A">
        <w:rPr>
          <w:rFonts w:ascii="Times New Roman" w:hAnsi="Times New Roman" w:cs="Times New Roman"/>
          <w:sz w:val="24"/>
          <w:szCs w:val="24"/>
        </w:rPr>
        <w:t xml:space="preserve">. </w:t>
      </w:r>
      <w:r w:rsidR="00AB0625" w:rsidRPr="0094223C">
        <w:rPr>
          <w:rFonts w:ascii="Times New Roman" w:hAnsi="Times New Roman" w:cs="Times New Roman"/>
          <w:sz w:val="24"/>
          <w:szCs w:val="24"/>
        </w:rPr>
        <w:t>Faktiski paveikto</w:t>
      </w:r>
      <w:r w:rsidR="009417E7">
        <w:rPr>
          <w:rFonts w:ascii="Times New Roman" w:hAnsi="Times New Roman" w:cs="Times New Roman"/>
          <w:sz w:val="24"/>
          <w:szCs w:val="24"/>
        </w:rPr>
        <w:t xml:space="preserve"> būvdarbu</w:t>
      </w:r>
      <w:r w:rsidR="00AB0625" w:rsidRPr="0094223C">
        <w:rPr>
          <w:rFonts w:ascii="Times New Roman" w:hAnsi="Times New Roman" w:cs="Times New Roman"/>
          <w:sz w:val="24"/>
          <w:szCs w:val="24"/>
        </w:rPr>
        <w:t xml:space="preserve"> apjomu </w:t>
      </w:r>
      <w:r w:rsidR="001A7E3A">
        <w:rPr>
          <w:rFonts w:ascii="Times New Roman" w:hAnsi="Times New Roman" w:cs="Times New Roman"/>
          <w:sz w:val="24"/>
          <w:szCs w:val="24"/>
        </w:rPr>
        <w:t>nosaka,</w:t>
      </w:r>
      <w:r w:rsidR="00AB0625" w:rsidRPr="0094223C">
        <w:rPr>
          <w:rFonts w:ascii="Times New Roman" w:hAnsi="Times New Roman" w:cs="Times New Roman"/>
          <w:sz w:val="24"/>
          <w:szCs w:val="24"/>
        </w:rPr>
        <w:t xml:space="preserve"> vadoties pēc ierakstiem būvdarbu žurnālā par paveiktajiem darbiem un ievestajiem būvmateriāliem. </w:t>
      </w:r>
      <w:r w:rsidR="00BD0C00">
        <w:rPr>
          <w:rFonts w:ascii="Times New Roman" w:hAnsi="Times New Roman" w:cs="Times New Roman"/>
          <w:sz w:val="24"/>
          <w:szCs w:val="24"/>
        </w:rPr>
        <w:t>F</w:t>
      </w:r>
      <w:r w:rsidR="00AB0625" w:rsidRPr="0094223C">
        <w:rPr>
          <w:rFonts w:ascii="Times New Roman" w:hAnsi="Times New Roman" w:cs="Times New Roman"/>
          <w:sz w:val="24"/>
          <w:szCs w:val="24"/>
        </w:rPr>
        <w:t>aktiski paveikto būvdarbu apjomu apstiprina būvuzraugs</w:t>
      </w:r>
      <w:r w:rsidR="0076211D">
        <w:rPr>
          <w:rFonts w:ascii="Times New Roman" w:hAnsi="Times New Roman" w:cs="Times New Roman"/>
          <w:sz w:val="24"/>
          <w:szCs w:val="24"/>
        </w:rPr>
        <w:t>, saskaņojot ar pasūtītāju,</w:t>
      </w:r>
      <w:r w:rsidR="00AB0625" w:rsidRPr="0094223C">
        <w:rPr>
          <w:rFonts w:ascii="Times New Roman" w:hAnsi="Times New Roman" w:cs="Times New Roman"/>
          <w:sz w:val="24"/>
          <w:szCs w:val="24"/>
        </w:rPr>
        <w:t xml:space="preserve"> vai </w:t>
      </w:r>
      <w:r w:rsidR="00DE1BFB">
        <w:rPr>
          <w:rFonts w:ascii="Times New Roman" w:hAnsi="Times New Roman" w:cs="Times New Roman"/>
          <w:sz w:val="24"/>
          <w:szCs w:val="24"/>
        </w:rPr>
        <w:t xml:space="preserve">arī, </w:t>
      </w:r>
      <w:r w:rsidR="00BD0C00" w:rsidRPr="0094223C">
        <w:rPr>
          <w:rFonts w:ascii="Times New Roman" w:hAnsi="Times New Roman" w:cs="Times New Roman"/>
          <w:sz w:val="24"/>
          <w:szCs w:val="24"/>
        </w:rPr>
        <w:t xml:space="preserve">ja netiek veikta būvuzraudzība </w:t>
      </w:r>
      <w:r w:rsidR="00BD0C00" w:rsidRPr="00D33F66">
        <w:rPr>
          <w:rFonts w:ascii="Times New Roman" w:hAnsi="Times New Roman" w:cs="Times New Roman"/>
          <w:sz w:val="24"/>
          <w:szCs w:val="24"/>
        </w:rPr>
        <w:t>–</w:t>
      </w:r>
      <w:r w:rsidR="00BD0C00" w:rsidRPr="00D608EE">
        <w:rPr>
          <w:rFonts w:ascii="Times New Roman" w:hAnsi="Times New Roman" w:cs="Times New Roman"/>
          <w:sz w:val="24"/>
          <w:szCs w:val="24"/>
        </w:rPr>
        <w:t xml:space="preserve"> </w:t>
      </w:r>
      <w:r w:rsidR="00AB0625" w:rsidRPr="0094223C">
        <w:rPr>
          <w:rFonts w:ascii="Times New Roman" w:hAnsi="Times New Roman" w:cs="Times New Roman"/>
          <w:sz w:val="24"/>
          <w:szCs w:val="24"/>
        </w:rPr>
        <w:t>pasūtītājs</w:t>
      </w:r>
      <w:r w:rsidR="00BD0C00">
        <w:rPr>
          <w:rFonts w:ascii="Times New Roman" w:hAnsi="Times New Roman" w:cs="Times New Roman"/>
          <w:sz w:val="24"/>
          <w:szCs w:val="24"/>
        </w:rPr>
        <w:t>.</w:t>
      </w:r>
    </w:p>
    <w:p w14:paraId="6CCAD729" w14:textId="37606EBA" w:rsidR="008C30D0" w:rsidRPr="0094223C" w:rsidRDefault="008C30D0" w:rsidP="00ED4B32">
      <w:pPr>
        <w:spacing w:before="240" w:after="120" w:line="240" w:lineRule="auto"/>
        <w:jc w:val="both"/>
        <w:rPr>
          <w:rFonts w:ascii="Times New Roman" w:hAnsi="Times New Roman" w:cs="Times New Roman"/>
          <w:b/>
          <w:bCs/>
          <w:sz w:val="24"/>
          <w:szCs w:val="24"/>
        </w:rPr>
      </w:pPr>
      <w:r w:rsidRPr="0094223C">
        <w:rPr>
          <w:rFonts w:ascii="Times New Roman" w:hAnsi="Times New Roman" w:cs="Times New Roman"/>
          <w:b/>
          <w:bCs/>
          <w:sz w:val="24"/>
          <w:szCs w:val="24"/>
        </w:rPr>
        <w:t xml:space="preserve">Būvmateriālu izmaksu </w:t>
      </w:r>
      <w:r w:rsidR="00994EBD">
        <w:rPr>
          <w:rFonts w:ascii="Times New Roman" w:hAnsi="Times New Roman" w:cs="Times New Roman"/>
          <w:b/>
          <w:bCs/>
          <w:sz w:val="24"/>
          <w:szCs w:val="24"/>
        </w:rPr>
        <w:t xml:space="preserve">sadārdzinājuma novērtēšanai </w:t>
      </w:r>
      <w:r w:rsidRPr="0094223C">
        <w:rPr>
          <w:rFonts w:ascii="Times New Roman" w:hAnsi="Times New Roman" w:cs="Times New Roman"/>
          <w:b/>
          <w:bCs/>
          <w:sz w:val="24"/>
          <w:szCs w:val="24"/>
        </w:rPr>
        <w:t>izmantojamie dati</w:t>
      </w:r>
    </w:p>
    <w:p w14:paraId="4B13C184" w14:textId="23DBFDFA" w:rsidR="00560176" w:rsidRDefault="00560176" w:rsidP="004651A9">
      <w:pPr>
        <w:spacing w:after="80" w:line="240" w:lineRule="auto"/>
        <w:ind w:firstLine="720"/>
        <w:jc w:val="both"/>
        <w:rPr>
          <w:rFonts w:ascii="Times New Roman" w:hAnsi="Times New Roman" w:cs="Times New Roman"/>
          <w:sz w:val="24"/>
          <w:szCs w:val="24"/>
        </w:rPr>
      </w:pPr>
      <w:r w:rsidRPr="0094223C">
        <w:rPr>
          <w:rFonts w:ascii="Times New Roman" w:hAnsi="Times New Roman" w:cs="Times New Roman"/>
          <w:sz w:val="24"/>
          <w:szCs w:val="24"/>
        </w:rPr>
        <w:t xml:space="preserve">Vadlīnijas būvmateriālu izmaksu </w:t>
      </w:r>
      <w:r>
        <w:rPr>
          <w:rFonts w:ascii="Times New Roman" w:hAnsi="Times New Roman" w:cs="Times New Roman"/>
          <w:sz w:val="24"/>
          <w:szCs w:val="24"/>
        </w:rPr>
        <w:t>sadārdzinājuma novērtēšanai</w:t>
      </w:r>
      <w:r w:rsidRPr="0094223C">
        <w:rPr>
          <w:rFonts w:ascii="Times New Roman" w:hAnsi="Times New Roman" w:cs="Times New Roman"/>
          <w:sz w:val="24"/>
          <w:szCs w:val="24"/>
        </w:rPr>
        <w:t xml:space="preserve"> ir izstrādātas balstoties uz</w:t>
      </w:r>
      <w:r>
        <w:rPr>
          <w:rFonts w:ascii="Times New Roman" w:hAnsi="Times New Roman" w:cs="Times New Roman"/>
          <w:sz w:val="24"/>
          <w:szCs w:val="24"/>
        </w:rPr>
        <w:t xml:space="preserve"> </w:t>
      </w:r>
      <w:r w:rsidRPr="0094223C">
        <w:rPr>
          <w:rFonts w:ascii="Times New Roman" w:hAnsi="Times New Roman" w:cs="Times New Roman"/>
          <w:sz w:val="24"/>
          <w:szCs w:val="24"/>
        </w:rPr>
        <w:t xml:space="preserve">CSP apkopotajiem datiem par </w:t>
      </w:r>
      <w:r>
        <w:rPr>
          <w:rFonts w:ascii="Times New Roman" w:hAnsi="Times New Roman" w:cs="Times New Roman"/>
          <w:sz w:val="24"/>
          <w:szCs w:val="24"/>
        </w:rPr>
        <w:t xml:space="preserve">būvmateriālu indeksu un </w:t>
      </w:r>
      <w:r w:rsidR="00411D0A">
        <w:rPr>
          <w:rFonts w:ascii="Times New Roman" w:hAnsi="Times New Roman" w:cs="Times New Roman"/>
          <w:sz w:val="24"/>
          <w:szCs w:val="24"/>
        </w:rPr>
        <w:t>EM</w:t>
      </w:r>
      <w:r w:rsidR="00D200E8">
        <w:rPr>
          <w:rFonts w:ascii="Times New Roman" w:hAnsi="Times New Roman" w:cs="Times New Roman"/>
          <w:sz w:val="24"/>
          <w:szCs w:val="24"/>
        </w:rPr>
        <w:t xml:space="preserve"> </w:t>
      </w:r>
      <w:r w:rsidRPr="0094223C">
        <w:rPr>
          <w:rFonts w:ascii="Times New Roman" w:hAnsi="Times New Roman" w:cs="Times New Roman"/>
          <w:sz w:val="24"/>
          <w:szCs w:val="24"/>
        </w:rPr>
        <w:t>pētījuma par prognozētajām izmaiņām darbaspēka un būvmateriālu izmaksās Latvijas būvniecības nozarē ietvaros atspoguļotajām būvmateriālu izmaksu prognozēm</w:t>
      </w:r>
      <w:r w:rsidRPr="0094223C">
        <w:rPr>
          <w:rStyle w:val="FootnoteReference"/>
          <w:rFonts w:ascii="Times New Roman" w:hAnsi="Times New Roman" w:cs="Times New Roman"/>
          <w:sz w:val="24"/>
          <w:szCs w:val="24"/>
        </w:rPr>
        <w:footnoteReference w:id="5"/>
      </w:r>
      <w:r w:rsidRPr="0094223C">
        <w:rPr>
          <w:rFonts w:ascii="Times New Roman" w:hAnsi="Times New Roman" w:cs="Times New Roman"/>
          <w:sz w:val="24"/>
          <w:szCs w:val="24"/>
        </w:rPr>
        <w:t>.</w:t>
      </w:r>
    </w:p>
    <w:p w14:paraId="29F24A14" w14:textId="0984A2F0" w:rsidR="00A06416" w:rsidRDefault="00A06416" w:rsidP="00B80F5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Būvmateriālu izmaksu sadārdzinājuma novērtēšanai var izmantot šādus publiski pieejamus </w:t>
      </w:r>
      <w:r w:rsidR="00FE215C">
        <w:rPr>
          <w:rFonts w:ascii="Times New Roman" w:hAnsi="Times New Roman" w:cs="Times New Roman"/>
          <w:sz w:val="24"/>
          <w:szCs w:val="24"/>
        </w:rPr>
        <w:t xml:space="preserve">CSP </w:t>
      </w:r>
      <w:r>
        <w:rPr>
          <w:rFonts w:ascii="Times New Roman" w:hAnsi="Times New Roman" w:cs="Times New Roman"/>
          <w:sz w:val="24"/>
          <w:szCs w:val="24"/>
        </w:rPr>
        <w:t>datus:</w:t>
      </w:r>
    </w:p>
    <w:p w14:paraId="76982DA8" w14:textId="1715800B" w:rsidR="00A06416" w:rsidRDefault="008A7AFB" w:rsidP="00A06416">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būvmateriālu indekss </w:t>
      </w:r>
      <w:r w:rsidR="00DA7B5F">
        <w:rPr>
          <w:rFonts w:ascii="Times New Roman" w:hAnsi="Times New Roman" w:cs="Times New Roman"/>
          <w:sz w:val="24"/>
          <w:szCs w:val="24"/>
        </w:rPr>
        <w:t xml:space="preserve">būvniecībā </w:t>
      </w:r>
      <w:r>
        <w:rPr>
          <w:rFonts w:ascii="Times New Roman" w:hAnsi="Times New Roman" w:cs="Times New Roman"/>
          <w:sz w:val="24"/>
          <w:szCs w:val="24"/>
        </w:rPr>
        <w:t>pa gadiem</w:t>
      </w:r>
      <w:r w:rsidR="00DC0430">
        <w:rPr>
          <w:rFonts w:ascii="Times New Roman" w:hAnsi="Times New Roman" w:cs="Times New Roman"/>
          <w:sz w:val="24"/>
          <w:szCs w:val="24"/>
        </w:rPr>
        <w:t xml:space="preserve"> (2015=100)</w:t>
      </w:r>
      <w:r>
        <w:rPr>
          <w:rStyle w:val="FootnoteReference"/>
          <w:rFonts w:ascii="Times New Roman" w:hAnsi="Times New Roman" w:cs="Times New Roman"/>
          <w:sz w:val="24"/>
          <w:szCs w:val="24"/>
        </w:rPr>
        <w:footnoteReference w:id="6"/>
      </w:r>
      <w:r w:rsidR="00733431">
        <w:rPr>
          <w:rFonts w:ascii="Times New Roman" w:hAnsi="Times New Roman" w:cs="Times New Roman"/>
          <w:sz w:val="24"/>
          <w:szCs w:val="24"/>
        </w:rPr>
        <w:t>;</w:t>
      </w:r>
    </w:p>
    <w:p w14:paraId="61BBF5D0" w14:textId="1F947BBC" w:rsidR="0047049C" w:rsidRPr="00B53C16" w:rsidRDefault="0047049C" w:rsidP="0047049C">
      <w:pPr>
        <w:pStyle w:val="ListParagraph"/>
        <w:numPr>
          <w:ilvl w:val="0"/>
          <w:numId w:val="7"/>
        </w:numPr>
        <w:spacing w:after="80" w:line="240" w:lineRule="auto"/>
        <w:ind w:left="1434" w:hanging="357"/>
        <w:jc w:val="both"/>
        <w:rPr>
          <w:rFonts w:ascii="Times New Roman" w:hAnsi="Times New Roman" w:cs="Times New Roman"/>
          <w:sz w:val="24"/>
          <w:szCs w:val="24"/>
        </w:rPr>
      </w:pPr>
      <w:r w:rsidRPr="00B53C16">
        <w:rPr>
          <w:rFonts w:ascii="Times New Roman" w:hAnsi="Times New Roman" w:cs="Times New Roman"/>
          <w:sz w:val="24"/>
          <w:szCs w:val="24"/>
        </w:rPr>
        <w:t xml:space="preserve">būvmateriālu indekss </w:t>
      </w:r>
      <w:r>
        <w:rPr>
          <w:rFonts w:ascii="Times New Roman" w:hAnsi="Times New Roman" w:cs="Times New Roman"/>
          <w:sz w:val="24"/>
          <w:szCs w:val="24"/>
        </w:rPr>
        <w:t>dalījumā pa objektu grupām (</w:t>
      </w:r>
      <w:r w:rsidRPr="00B53C16">
        <w:rPr>
          <w:rFonts w:ascii="Times New Roman" w:hAnsi="Times New Roman" w:cs="Times New Roman"/>
          <w:sz w:val="24"/>
          <w:szCs w:val="24"/>
        </w:rPr>
        <w:t>dzīvojam</w:t>
      </w:r>
      <w:r>
        <w:rPr>
          <w:rFonts w:ascii="Times New Roman" w:hAnsi="Times New Roman" w:cs="Times New Roman"/>
          <w:sz w:val="24"/>
          <w:szCs w:val="24"/>
        </w:rPr>
        <w:t xml:space="preserve">ās ēkas, nedzīvojamās ēkas, u.c.) </w:t>
      </w:r>
      <w:r w:rsidRPr="00B53C16">
        <w:rPr>
          <w:rFonts w:ascii="Times New Roman" w:hAnsi="Times New Roman" w:cs="Times New Roman"/>
          <w:sz w:val="24"/>
          <w:szCs w:val="24"/>
        </w:rPr>
        <w:t>pa ceturkšņiem</w:t>
      </w:r>
      <w:r>
        <w:rPr>
          <w:rFonts w:ascii="Times New Roman" w:hAnsi="Times New Roman" w:cs="Times New Roman"/>
          <w:sz w:val="24"/>
          <w:szCs w:val="24"/>
        </w:rPr>
        <w:t xml:space="preserve"> (2015=100)</w:t>
      </w:r>
      <w:r w:rsidRPr="00B53C16">
        <w:rPr>
          <w:rStyle w:val="FootnoteReference"/>
          <w:rFonts w:ascii="Times New Roman" w:hAnsi="Times New Roman" w:cs="Times New Roman"/>
          <w:sz w:val="24"/>
          <w:szCs w:val="24"/>
        </w:rPr>
        <w:footnoteReference w:id="7"/>
      </w:r>
      <w:r>
        <w:rPr>
          <w:rFonts w:ascii="Times New Roman" w:hAnsi="Times New Roman" w:cs="Times New Roman"/>
          <w:sz w:val="24"/>
          <w:szCs w:val="24"/>
        </w:rPr>
        <w:t>;</w:t>
      </w:r>
    </w:p>
    <w:p w14:paraId="3C5B32C1" w14:textId="38E583D8" w:rsidR="0047049C" w:rsidRDefault="0047049C" w:rsidP="0047049C">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sz w:val="24"/>
          <w:szCs w:val="24"/>
        </w:rPr>
        <w:t xml:space="preserve">būvmateriālu indekss </w:t>
      </w:r>
      <w:r>
        <w:rPr>
          <w:rFonts w:ascii="Times New Roman" w:hAnsi="Times New Roman" w:cs="Times New Roman"/>
          <w:sz w:val="24"/>
          <w:szCs w:val="24"/>
        </w:rPr>
        <w:t>dalījumā pa objektu grupām (</w:t>
      </w:r>
      <w:r w:rsidRPr="00B53C16">
        <w:rPr>
          <w:rFonts w:ascii="Times New Roman" w:hAnsi="Times New Roman" w:cs="Times New Roman"/>
          <w:sz w:val="24"/>
          <w:szCs w:val="24"/>
        </w:rPr>
        <w:t>dzīvojam</w:t>
      </w:r>
      <w:r>
        <w:rPr>
          <w:rFonts w:ascii="Times New Roman" w:hAnsi="Times New Roman" w:cs="Times New Roman"/>
          <w:sz w:val="24"/>
          <w:szCs w:val="24"/>
        </w:rPr>
        <w:t xml:space="preserve">ās ēkas, nedzīvojamās ēkas, u.c.) </w:t>
      </w:r>
      <w:r w:rsidRPr="00B53C16">
        <w:rPr>
          <w:rFonts w:ascii="Times New Roman" w:hAnsi="Times New Roman" w:cs="Times New Roman"/>
          <w:sz w:val="24"/>
          <w:szCs w:val="24"/>
        </w:rPr>
        <w:t xml:space="preserve">pa </w:t>
      </w:r>
      <w:r>
        <w:rPr>
          <w:rFonts w:ascii="Times New Roman" w:hAnsi="Times New Roman" w:cs="Times New Roman"/>
          <w:sz w:val="24"/>
          <w:szCs w:val="24"/>
        </w:rPr>
        <w:t>mēnešiem (2015=100)</w:t>
      </w:r>
      <w:r>
        <w:rPr>
          <w:rStyle w:val="FootnoteReference"/>
          <w:rFonts w:ascii="Times New Roman" w:hAnsi="Times New Roman" w:cs="Times New Roman"/>
          <w:sz w:val="24"/>
          <w:szCs w:val="24"/>
        </w:rPr>
        <w:footnoteReference w:id="8"/>
      </w:r>
      <w:r w:rsidR="00A234D4">
        <w:rPr>
          <w:rFonts w:ascii="Times New Roman" w:hAnsi="Times New Roman" w:cs="Times New Roman"/>
          <w:sz w:val="24"/>
          <w:szCs w:val="24"/>
        </w:rPr>
        <w:t>;</w:t>
      </w:r>
    </w:p>
    <w:p w14:paraId="4883455F" w14:textId="73044C0D" w:rsidR="00C1151C" w:rsidRPr="00C1151C" w:rsidRDefault="00C1151C" w:rsidP="00C1151C">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C1151C">
        <w:rPr>
          <w:rFonts w:ascii="Times New Roman" w:hAnsi="Times New Roman" w:cs="Times New Roman"/>
          <w:sz w:val="24"/>
          <w:szCs w:val="24"/>
        </w:rPr>
        <w:t>opējais būvniecības izmaksu indekss būvmateriāliem sadalījumā pa būvmateriālu grupām</w:t>
      </w:r>
      <w:r>
        <w:rPr>
          <w:rFonts w:ascii="Times New Roman" w:hAnsi="Times New Roman" w:cs="Times New Roman"/>
          <w:sz w:val="24"/>
          <w:szCs w:val="24"/>
        </w:rPr>
        <w:t xml:space="preserve"> </w:t>
      </w:r>
      <w:r w:rsidRPr="00B53C16">
        <w:rPr>
          <w:rFonts w:ascii="Times New Roman" w:hAnsi="Times New Roman" w:cs="Times New Roman"/>
          <w:sz w:val="24"/>
          <w:szCs w:val="24"/>
        </w:rPr>
        <w:t xml:space="preserve">pa </w:t>
      </w:r>
      <w:r>
        <w:rPr>
          <w:rFonts w:ascii="Times New Roman" w:hAnsi="Times New Roman" w:cs="Times New Roman"/>
          <w:sz w:val="24"/>
          <w:szCs w:val="24"/>
        </w:rPr>
        <w:t xml:space="preserve">mēnešiem </w:t>
      </w:r>
      <w:r w:rsidRPr="00052F9D">
        <w:rPr>
          <w:rFonts w:ascii="Times New Roman" w:hAnsi="Times New Roman" w:cs="Times New Roman"/>
          <w:i/>
          <w:iCs/>
          <w:sz w:val="24"/>
          <w:szCs w:val="24"/>
        </w:rPr>
        <w:t>(dat</w:t>
      </w:r>
      <w:r w:rsidR="00F56ED5">
        <w:rPr>
          <w:rFonts w:ascii="Times New Roman" w:hAnsi="Times New Roman" w:cs="Times New Roman"/>
          <w:i/>
          <w:iCs/>
          <w:sz w:val="24"/>
          <w:szCs w:val="24"/>
        </w:rPr>
        <w:t xml:space="preserve">us </w:t>
      </w:r>
      <w:r w:rsidRPr="00052F9D">
        <w:rPr>
          <w:rFonts w:ascii="Times New Roman" w:hAnsi="Times New Roman" w:cs="Times New Roman"/>
          <w:i/>
          <w:iCs/>
          <w:sz w:val="24"/>
          <w:szCs w:val="24"/>
        </w:rPr>
        <w:t xml:space="preserve">CSP datubāzē </w:t>
      </w:r>
      <w:r w:rsidR="00F56ED5">
        <w:rPr>
          <w:rFonts w:ascii="Times New Roman" w:hAnsi="Times New Roman" w:cs="Times New Roman"/>
          <w:i/>
          <w:iCs/>
          <w:sz w:val="24"/>
          <w:szCs w:val="24"/>
        </w:rPr>
        <w:t xml:space="preserve">plānots publicēt </w:t>
      </w:r>
      <w:r w:rsidRPr="00052F9D">
        <w:rPr>
          <w:rFonts w:ascii="Times New Roman" w:hAnsi="Times New Roman" w:cs="Times New Roman"/>
          <w:i/>
          <w:iCs/>
          <w:sz w:val="24"/>
          <w:szCs w:val="24"/>
        </w:rPr>
        <w:t>2022.gada 12.jūlij</w:t>
      </w:r>
      <w:r w:rsidR="00F56ED5">
        <w:rPr>
          <w:rFonts w:ascii="Times New Roman" w:hAnsi="Times New Roman" w:cs="Times New Roman"/>
          <w:i/>
          <w:iCs/>
          <w:sz w:val="24"/>
          <w:szCs w:val="24"/>
        </w:rPr>
        <w:t>ā</w:t>
      </w:r>
      <w:r w:rsidRPr="00052F9D">
        <w:rPr>
          <w:rFonts w:ascii="Times New Roman" w:hAnsi="Times New Roman" w:cs="Times New Roman"/>
          <w:i/>
          <w:iCs/>
          <w:sz w:val="24"/>
          <w:szCs w:val="24"/>
        </w:rPr>
        <w:t>)</w:t>
      </w:r>
      <w:r>
        <w:rPr>
          <w:rFonts w:ascii="Times New Roman" w:hAnsi="Times New Roman" w:cs="Times New Roman"/>
          <w:sz w:val="24"/>
          <w:szCs w:val="24"/>
        </w:rPr>
        <w:t>.</w:t>
      </w:r>
    </w:p>
    <w:p w14:paraId="738E94C3" w14:textId="6CB2D79C" w:rsidR="004651A9" w:rsidRDefault="00B80F5F" w:rsidP="004651A9">
      <w:pPr>
        <w:spacing w:after="8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Informācija par būvmateriālu indeksa un </w:t>
      </w:r>
      <w:r w:rsidRPr="0094223C">
        <w:rPr>
          <w:rFonts w:ascii="Times New Roman" w:hAnsi="Times New Roman" w:cs="Times New Roman"/>
          <w:sz w:val="24"/>
          <w:szCs w:val="24"/>
        </w:rPr>
        <w:t>būvniecības resursu vidēj</w:t>
      </w:r>
      <w:r>
        <w:rPr>
          <w:rFonts w:ascii="Times New Roman" w:hAnsi="Times New Roman" w:cs="Times New Roman"/>
          <w:sz w:val="24"/>
          <w:szCs w:val="24"/>
        </w:rPr>
        <w:t>o</w:t>
      </w:r>
      <w:r w:rsidRPr="0094223C">
        <w:rPr>
          <w:rFonts w:ascii="Times New Roman" w:hAnsi="Times New Roman" w:cs="Times New Roman"/>
          <w:sz w:val="24"/>
          <w:szCs w:val="24"/>
        </w:rPr>
        <w:t xml:space="preserve"> cenu pārmaiņ</w:t>
      </w:r>
      <w:r w:rsidR="00EC798D">
        <w:rPr>
          <w:rFonts w:ascii="Times New Roman" w:hAnsi="Times New Roman" w:cs="Times New Roman"/>
          <w:sz w:val="24"/>
          <w:szCs w:val="24"/>
        </w:rPr>
        <w:t xml:space="preserve">ām </w:t>
      </w:r>
      <w:r w:rsidRPr="0094223C">
        <w:rPr>
          <w:rFonts w:ascii="Times New Roman" w:hAnsi="Times New Roman" w:cs="Times New Roman"/>
          <w:sz w:val="24"/>
          <w:szCs w:val="24"/>
        </w:rPr>
        <w:t>publicēšanas datumiem ir pieejam</w:t>
      </w:r>
      <w:r w:rsidR="00C27012">
        <w:rPr>
          <w:rFonts w:ascii="Times New Roman" w:hAnsi="Times New Roman" w:cs="Times New Roman"/>
          <w:sz w:val="24"/>
          <w:szCs w:val="24"/>
        </w:rPr>
        <w:t xml:space="preserve">a </w:t>
      </w:r>
      <w:r w:rsidRPr="0094223C">
        <w:rPr>
          <w:rFonts w:ascii="Times New Roman" w:hAnsi="Times New Roman" w:cs="Times New Roman"/>
          <w:sz w:val="24"/>
          <w:szCs w:val="24"/>
        </w:rPr>
        <w:t>CS</w:t>
      </w:r>
      <w:r w:rsidR="00E46FCD">
        <w:rPr>
          <w:rFonts w:ascii="Times New Roman" w:hAnsi="Times New Roman" w:cs="Times New Roman"/>
          <w:sz w:val="24"/>
          <w:szCs w:val="24"/>
        </w:rPr>
        <w:t>P</w:t>
      </w:r>
      <w:r w:rsidRPr="0094223C">
        <w:rPr>
          <w:rFonts w:ascii="Times New Roman" w:hAnsi="Times New Roman" w:cs="Times New Roman"/>
          <w:sz w:val="24"/>
          <w:szCs w:val="24"/>
        </w:rPr>
        <w:t xml:space="preserve"> </w:t>
      </w:r>
      <w:r w:rsidR="00C27012">
        <w:rPr>
          <w:rFonts w:ascii="Times New Roman" w:hAnsi="Times New Roman" w:cs="Times New Roman"/>
          <w:sz w:val="24"/>
          <w:szCs w:val="24"/>
        </w:rPr>
        <w:t>mājaslapā</w:t>
      </w:r>
      <w:r w:rsidR="00860FC0">
        <w:rPr>
          <w:rFonts w:ascii="Times New Roman" w:hAnsi="Times New Roman" w:cs="Times New Roman"/>
          <w:sz w:val="24"/>
          <w:szCs w:val="24"/>
        </w:rPr>
        <w:t xml:space="preserve"> pie d</w:t>
      </w:r>
      <w:r w:rsidR="00860FC0" w:rsidRPr="00860FC0">
        <w:rPr>
          <w:rFonts w:ascii="Times New Roman" w:hAnsi="Times New Roman" w:cs="Times New Roman"/>
          <w:sz w:val="24"/>
          <w:szCs w:val="24"/>
        </w:rPr>
        <w:t>atu publicēšanas kalendār</w:t>
      </w:r>
      <w:r w:rsidR="00860FC0">
        <w:rPr>
          <w:rFonts w:ascii="Times New Roman" w:hAnsi="Times New Roman" w:cs="Times New Roman"/>
          <w:sz w:val="24"/>
          <w:szCs w:val="24"/>
        </w:rPr>
        <w:t>a</w:t>
      </w:r>
      <w:r w:rsidRPr="0094223C">
        <w:rPr>
          <w:rFonts w:ascii="Times New Roman" w:hAnsi="Times New Roman" w:cs="Times New Roman"/>
          <w:sz w:val="24"/>
          <w:szCs w:val="24"/>
        </w:rPr>
        <w:t>.</w:t>
      </w:r>
    </w:p>
    <w:p w14:paraId="6F34388C" w14:textId="5BF2FD81" w:rsidR="008E036B" w:rsidRDefault="002210E9" w:rsidP="004651A9">
      <w:pPr>
        <w:spacing w:after="80" w:line="240" w:lineRule="auto"/>
        <w:ind w:firstLine="720"/>
        <w:jc w:val="both"/>
        <w:rPr>
          <w:rFonts w:ascii="Times New Roman" w:hAnsi="Times New Roman" w:cs="Times New Roman"/>
          <w:sz w:val="24"/>
          <w:szCs w:val="24"/>
        </w:rPr>
      </w:pPr>
      <w:r w:rsidRPr="00291A12">
        <w:rPr>
          <w:rFonts w:ascii="Times New Roman" w:hAnsi="Times New Roman" w:cs="Times New Roman"/>
          <w:sz w:val="24"/>
          <w:szCs w:val="24"/>
        </w:rPr>
        <w:t>B</w:t>
      </w:r>
      <w:r w:rsidR="00310FC1" w:rsidRPr="00291A12">
        <w:rPr>
          <w:rFonts w:ascii="Times New Roman" w:hAnsi="Times New Roman" w:cs="Times New Roman"/>
          <w:sz w:val="24"/>
          <w:szCs w:val="24"/>
        </w:rPr>
        <w:t>ūvmateriāliem prognozēt</w:t>
      </w:r>
      <w:r w:rsidRPr="00291A12">
        <w:rPr>
          <w:rFonts w:ascii="Times New Roman" w:hAnsi="Times New Roman" w:cs="Times New Roman"/>
          <w:sz w:val="24"/>
          <w:szCs w:val="24"/>
        </w:rPr>
        <w:t>ā</w:t>
      </w:r>
      <w:r w:rsidR="00310FC1" w:rsidRPr="00291A12">
        <w:rPr>
          <w:rFonts w:ascii="Times New Roman" w:hAnsi="Times New Roman" w:cs="Times New Roman"/>
          <w:sz w:val="24"/>
          <w:szCs w:val="24"/>
        </w:rPr>
        <w:t xml:space="preserve"> inflācij</w:t>
      </w:r>
      <w:r w:rsidRPr="00291A12">
        <w:rPr>
          <w:rFonts w:ascii="Times New Roman" w:hAnsi="Times New Roman" w:cs="Times New Roman"/>
          <w:sz w:val="24"/>
          <w:szCs w:val="24"/>
        </w:rPr>
        <w:t>a</w:t>
      </w:r>
      <w:r w:rsidR="0072109F" w:rsidRPr="00291A12">
        <w:rPr>
          <w:rFonts w:ascii="Times New Roman" w:hAnsi="Times New Roman" w:cs="Times New Roman"/>
          <w:sz w:val="24"/>
          <w:szCs w:val="24"/>
        </w:rPr>
        <w:t xml:space="preserve"> </w:t>
      </w:r>
      <w:r w:rsidRPr="00291A12">
        <w:rPr>
          <w:rFonts w:ascii="Times New Roman" w:hAnsi="Times New Roman" w:cs="Times New Roman"/>
          <w:sz w:val="24"/>
          <w:szCs w:val="24"/>
        </w:rPr>
        <w:t>jānosaka atkarībā no būvniecības piedāvājuma iesniegšanas brīža</w:t>
      </w:r>
      <w:r w:rsidR="0084631F" w:rsidRPr="00291A12">
        <w:rPr>
          <w:rFonts w:ascii="Times New Roman" w:hAnsi="Times New Roman" w:cs="Times New Roman"/>
          <w:sz w:val="24"/>
          <w:szCs w:val="24"/>
        </w:rPr>
        <w:t xml:space="preserve"> un </w:t>
      </w:r>
      <w:r w:rsidR="00F87AA8">
        <w:rPr>
          <w:rFonts w:ascii="Times New Roman" w:hAnsi="Times New Roman" w:cs="Times New Roman"/>
          <w:sz w:val="24"/>
          <w:szCs w:val="24"/>
        </w:rPr>
        <w:t xml:space="preserve">pēc EM veiktajos pētījumos apkopotās </w:t>
      </w:r>
      <w:r w:rsidR="0084631F" w:rsidRPr="00291A12">
        <w:rPr>
          <w:rFonts w:ascii="Times New Roman" w:hAnsi="Times New Roman" w:cs="Times New Roman"/>
          <w:sz w:val="24"/>
          <w:szCs w:val="24"/>
        </w:rPr>
        <w:t>informācijas</w:t>
      </w:r>
      <w:r w:rsidR="008E036B">
        <w:rPr>
          <w:rFonts w:ascii="Times New Roman" w:hAnsi="Times New Roman" w:cs="Times New Roman"/>
          <w:sz w:val="24"/>
          <w:szCs w:val="24"/>
        </w:rPr>
        <w:t xml:space="preserve"> (skat. 1.tabulu)</w:t>
      </w:r>
      <w:r w:rsidR="00EA64B2" w:rsidRPr="00291A12">
        <w:rPr>
          <w:rFonts w:ascii="Times New Roman" w:hAnsi="Times New Roman" w:cs="Times New Roman"/>
          <w:sz w:val="24"/>
          <w:szCs w:val="24"/>
        </w:rPr>
        <w:t>.</w:t>
      </w:r>
      <w:r w:rsidR="0072109F" w:rsidRPr="00291A12">
        <w:rPr>
          <w:rFonts w:ascii="Times New Roman" w:hAnsi="Times New Roman" w:cs="Times New Roman"/>
          <w:sz w:val="24"/>
          <w:szCs w:val="24"/>
        </w:rPr>
        <w:t xml:space="preserve"> </w:t>
      </w:r>
    </w:p>
    <w:p w14:paraId="6B3C6708" w14:textId="37C9411E" w:rsidR="008E036B" w:rsidRPr="008E036B" w:rsidRDefault="008E036B" w:rsidP="008E036B">
      <w:pPr>
        <w:pStyle w:val="ListParagraph"/>
        <w:numPr>
          <w:ilvl w:val="0"/>
          <w:numId w:val="8"/>
        </w:numPr>
        <w:tabs>
          <w:tab w:val="left" w:pos="284"/>
        </w:tabs>
        <w:spacing w:before="240" w:after="120" w:line="240" w:lineRule="auto"/>
        <w:ind w:left="0" w:firstLine="0"/>
        <w:contextualSpacing w:val="0"/>
        <w:jc w:val="center"/>
        <w:rPr>
          <w:rFonts w:ascii="Times New Roman" w:hAnsi="Times New Roman" w:cs="Times New Roman"/>
          <w:sz w:val="24"/>
          <w:szCs w:val="24"/>
        </w:rPr>
      </w:pPr>
      <w:r>
        <w:rPr>
          <w:rFonts w:ascii="Times New Roman" w:hAnsi="Times New Roman" w:cs="Times New Roman"/>
          <w:sz w:val="24"/>
          <w:szCs w:val="24"/>
        </w:rPr>
        <w:t xml:space="preserve">tabula. </w:t>
      </w:r>
      <w:r w:rsidRPr="008E036B">
        <w:rPr>
          <w:rFonts w:ascii="Times New Roman" w:hAnsi="Times New Roman" w:cs="Times New Roman"/>
          <w:sz w:val="24"/>
          <w:szCs w:val="24"/>
        </w:rPr>
        <w:t>Būvmateriāliem prognozētā inflācija pēc kombinētās metodes EM veiktajos pētījumos (%)</w:t>
      </w:r>
    </w:p>
    <w:tbl>
      <w:tblPr>
        <w:tblStyle w:val="TableGrid"/>
        <w:tblW w:w="0" w:type="auto"/>
        <w:jc w:val="center"/>
        <w:tblLook w:val="04A0" w:firstRow="1" w:lastRow="0" w:firstColumn="1" w:lastColumn="0" w:noHBand="0" w:noVBand="1"/>
      </w:tblPr>
      <w:tblGrid>
        <w:gridCol w:w="2705"/>
        <w:gridCol w:w="931"/>
        <w:gridCol w:w="932"/>
        <w:gridCol w:w="932"/>
        <w:gridCol w:w="932"/>
        <w:gridCol w:w="932"/>
        <w:gridCol w:w="932"/>
      </w:tblGrid>
      <w:tr w:rsidR="008E036B" w14:paraId="0D50C3B2" w14:textId="77777777" w:rsidTr="00F046A5">
        <w:trPr>
          <w:jc w:val="center"/>
        </w:trPr>
        <w:tc>
          <w:tcPr>
            <w:tcW w:w="3058" w:type="dxa"/>
            <w:shd w:val="clear" w:color="auto" w:fill="D9E2F3" w:themeFill="accent1" w:themeFillTint="33"/>
          </w:tcPr>
          <w:p w14:paraId="07497B32" w14:textId="77777777" w:rsidR="008E036B" w:rsidRPr="004651A9" w:rsidRDefault="008E036B" w:rsidP="00F046A5">
            <w:pPr>
              <w:pStyle w:val="ListParagraph"/>
              <w:ind w:left="0"/>
              <w:jc w:val="center"/>
            </w:pPr>
            <w:r w:rsidRPr="004651A9">
              <w:t>Pētījums</w:t>
            </w:r>
          </w:p>
        </w:tc>
        <w:tc>
          <w:tcPr>
            <w:tcW w:w="969" w:type="dxa"/>
            <w:shd w:val="clear" w:color="auto" w:fill="D9E2F3" w:themeFill="accent1" w:themeFillTint="33"/>
            <w:vAlign w:val="center"/>
          </w:tcPr>
          <w:p w14:paraId="2907E630" w14:textId="77777777" w:rsidR="008E036B" w:rsidRPr="004651A9" w:rsidRDefault="008E036B" w:rsidP="00F046A5">
            <w:pPr>
              <w:pStyle w:val="ListParagraph"/>
              <w:ind w:left="0"/>
              <w:jc w:val="center"/>
            </w:pPr>
            <w:r w:rsidRPr="004651A9">
              <w:t>2020.</w:t>
            </w:r>
          </w:p>
        </w:tc>
        <w:tc>
          <w:tcPr>
            <w:tcW w:w="969" w:type="dxa"/>
            <w:shd w:val="clear" w:color="auto" w:fill="D9E2F3" w:themeFill="accent1" w:themeFillTint="33"/>
            <w:vAlign w:val="center"/>
          </w:tcPr>
          <w:p w14:paraId="2F167BAE" w14:textId="77777777" w:rsidR="008E036B" w:rsidRPr="004651A9" w:rsidRDefault="008E036B" w:rsidP="00F046A5">
            <w:pPr>
              <w:pStyle w:val="ListParagraph"/>
              <w:ind w:left="0"/>
              <w:jc w:val="center"/>
            </w:pPr>
            <w:r w:rsidRPr="004651A9">
              <w:t>2021.</w:t>
            </w:r>
          </w:p>
        </w:tc>
        <w:tc>
          <w:tcPr>
            <w:tcW w:w="969" w:type="dxa"/>
            <w:shd w:val="clear" w:color="auto" w:fill="D9E2F3" w:themeFill="accent1" w:themeFillTint="33"/>
            <w:vAlign w:val="center"/>
          </w:tcPr>
          <w:p w14:paraId="0C939D8D" w14:textId="77777777" w:rsidR="008E036B" w:rsidRPr="004651A9" w:rsidRDefault="008E036B" w:rsidP="00F046A5">
            <w:pPr>
              <w:pStyle w:val="ListParagraph"/>
              <w:ind w:left="0"/>
              <w:jc w:val="center"/>
            </w:pPr>
            <w:r w:rsidRPr="004651A9">
              <w:t>2022.</w:t>
            </w:r>
          </w:p>
        </w:tc>
        <w:tc>
          <w:tcPr>
            <w:tcW w:w="969" w:type="dxa"/>
            <w:shd w:val="clear" w:color="auto" w:fill="D9E2F3" w:themeFill="accent1" w:themeFillTint="33"/>
            <w:vAlign w:val="center"/>
          </w:tcPr>
          <w:p w14:paraId="160FEDD0" w14:textId="77777777" w:rsidR="008E036B" w:rsidRPr="004651A9" w:rsidRDefault="008E036B" w:rsidP="00F046A5">
            <w:pPr>
              <w:pStyle w:val="ListParagraph"/>
              <w:ind w:left="0"/>
              <w:jc w:val="center"/>
            </w:pPr>
            <w:r w:rsidRPr="004651A9">
              <w:t>2023.</w:t>
            </w:r>
          </w:p>
        </w:tc>
        <w:tc>
          <w:tcPr>
            <w:tcW w:w="969" w:type="dxa"/>
            <w:shd w:val="clear" w:color="auto" w:fill="D9E2F3" w:themeFill="accent1" w:themeFillTint="33"/>
            <w:vAlign w:val="center"/>
          </w:tcPr>
          <w:p w14:paraId="7C22F1E4" w14:textId="77777777" w:rsidR="008E036B" w:rsidRPr="004651A9" w:rsidRDefault="008E036B" w:rsidP="00F046A5">
            <w:pPr>
              <w:pStyle w:val="ListParagraph"/>
              <w:ind w:left="0"/>
              <w:jc w:val="center"/>
            </w:pPr>
            <w:r w:rsidRPr="004651A9">
              <w:t>2024.</w:t>
            </w:r>
          </w:p>
        </w:tc>
        <w:tc>
          <w:tcPr>
            <w:tcW w:w="970" w:type="dxa"/>
            <w:shd w:val="clear" w:color="auto" w:fill="D9E2F3" w:themeFill="accent1" w:themeFillTint="33"/>
          </w:tcPr>
          <w:p w14:paraId="63A6B3E8" w14:textId="77777777" w:rsidR="008E036B" w:rsidRPr="004651A9" w:rsidRDefault="008E036B" w:rsidP="00F046A5">
            <w:pPr>
              <w:pStyle w:val="ListParagraph"/>
              <w:ind w:left="0"/>
              <w:jc w:val="center"/>
            </w:pPr>
            <w:r w:rsidRPr="004651A9">
              <w:t>2025.</w:t>
            </w:r>
          </w:p>
        </w:tc>
      </w:tr>
      <w:tr w:rsidR="008E036B" w14:paraId="1E504558" w14:textId="77777777" w:rsidTr="00F046A5">
        <w:trPr>
          <w:jc w:val="center"/>
        </w:trPr>
        <w:tc>
          <w:tcPr>
            <w:tcW w:w="3058" w:type="dxa"/>
          </w:tcPr>
          <w:p w14:paraId="6E70332B" w14:textId="77777777" w:rsidR="008E036B" w:rsidRDefault="008E036B" w:rsidP="00F046A5">
            <w:pPr>
              <w:pStyle w:val="ListParagraph"/>
              <w:ind w:left="0"/>
            </w:pPr>
            <w:r>
              <w:t>2020. gada pētījums</w:t>
            </w:r>
          </w:p>
        </w:tc>
        <w:tc>
          <w:tcPr>
            <w:tcW w:w="969" w:type="dxa"/>
            <w:vAlign w:val="center"/>
          </w:tcPr>
          <w:p w14:paraId="6167D89A" w14:textId="77777777" w:rsidR="008E036B" w:rsidRDefault="008E036B" w:rsidP="00F046A5">
            <w:pPr>
              <w:pStyle w:val="ListParagraph"/>
              <w:ind w:left="0"/>
              <w:jc w:val="center"/>
            </w:pPr>
            <w:r w:rsidRPr="0094223C">
              <w:t>2,09</w:t>
            </w:r>
          </w:p>
        </w:tc>
        <w:tc>
          <w:tcPr>
            <w:tcW w:w="969" w:type="dxa"/>
            <w:vAlign w:val="center"/>
          </w:tcPr>
          <w:p w14:paraId="67ED8002" w14:textId="77777777" w:rsidR="008E036B" w:rsidRDefault="008E036B" w:rsidP="00F046A5">
            <w:pPr>
              <w:pStyle w:val="ListParagraph"/>
              <w:ind w:left="0"/>
              <w:jc w:val="center"/>
            </w:pPr>
            <w:r w:rsidRPr="0094223C">
              <w:t>2,87</w:t>
            </w:r>
          </w:p>
        </w:tc>
        <w:tc>
          <w:tcPr>
            <w:tcW w:w="969" w:type="dxa"/>
            <w:vAlign w:val="center"/>
          </w:tcPr>
          <w:p w14:paraId="1D54B46E" w14:textId="77777777" w:rsidR="008E036B" w:rsidRDefault="008E036B" w:rsidP="00F046A5">
            <w:pPr>
              <w:pStyle w:val="ListParagraph"/>
              <w:ind w:left="0"/>
              <w:jc w:val="center"/>
            </w:pPr>
            <w:r w:rsidRPr="0094223C">
              <w:t>3,22</w:t>
            </w:r>
          </w:p>
        </w:tc>
        <w:tc>
          <w:tcPr>
            <w:tcW w:w="969" w:type="dxa"/>
            <w:vAlign w:val="center"/>
          </w:tcPr>
          <w:p w14:paraId="559AA26C" w14:textId="77777777" w:rsidR="008E036B" w:rsidRDefault="008E036B" w:rsidP="00F046A5">
            <w:pPr>
              <w:pStyle w:val="ListParagraph"/>
              <w:ind w:left="0"/>
              <w:jc w:val="center"/>
            </w:pPr>
            <w:r w:rsidRPr="0094223C">
              <w:t>3,55</w:t>
            </w:r>
          </w:p>
        </w:tc>
        <w:tc>
          <w:tcPr>
            <w:tcW w:w="969" w:type="dxa"/>
            <w:vAlign w:val="center"/>
          </w:tcPr>
          <w:p w14:paraId="2855E77F" w14:textId="77777777" w:rsidR="008E036B" w:rsidRDefault="008E036B" w:rsidP="00F046A5">
            <w:pPr>
              <w:pStyle w:val="ListParagraph"/>
              <w:ind w:left="0"/>
              <w:jc w:val="center"/>
            </w:pPr>
            <w:r w:rsidRPr="0094223C">
              <w:t>3,88</w:t>
            </w:r>
          </w:p>
        </w:tc>
        <w:tc>
          <w:tcPr>
            <w:tcW w:w="970" w:type="dxa"/>
          </w:tcPr>
          <w:p w14:paraId="029EB9F3" w14:textId="77777777" w:rsidR="008E036B" w:rsidRDefault="008E036B" w:rsidP="00F046A5">
            <w:pPr>
              <w:pStyle w:val="ListParagraph"/>
              <w:ind w:left="0"/>
              <w:jc w:val="center"/>
            </w:pPr>
            <w:r>
              <w:t>x</w:t>
            </w:r>
          </w:p>
        </w:tc>
      </w:tr>
      <w:tr w:rsidR="008E036B" w14:paraId="796B4947" w14:textId="77777777" w:rsidTr="00F046A5">
        <w:trPr>
          <w:jc w:val="center"/>
        </w:trPr>
        <w:tc>
          <w:tcPr>
            <w:tcW w:w="3058" w:type="dxa"/>
          </w:tcPr>
          <w:p w14:paraId="0880FEF1" w14:textId="77777777" w:rsidR="008E036B" w:rsidRDefault="008E036B" w:rsidP="00F046A5">
            <w:pPr>
              <w:pStyle w:val="ListParagraph"/>
              <w:ind w:left="0"/>
            </w:pPr>
            <w:r>
              <w:t>2021. gada pētījums</w:t>
            </w:r>
          </w:p>
        </w:tc>
        <w:tc>
          <w:tcPr>
            <w:tcW w:w="969" w:type="dxa"/>
          </w:tcPr>
          <w:p w14:paraId="57C10FFB" w14:textId="77777777" w:rsidR="008E036B" w:rsidRDefault="008E036B" w:rsidP="00F046A5">
            <w:pPr>
              <w:pStyle w:val="ListParagraph"/>
              <w:ind w:left="0"/>
              <w:jc w:val="center"/>
            </w:pPr>
            <w:r>
              <w:t>x</w:t>
            </w:r>
          </w:p>
        </w:tc>
        <w:tc>
          <w:tcPr>
            <w:tcW w:w="969" w:type="dxa"/>
          </w:tcPr>
          <w:p w14:paraId="248F0560" w14:textId="77777777" w:rsidR="008E036B" w:rsidRDefault="008E036B" w:rsidP="00F046A5">
            <w:pPr>
              <w:pStyle w:val="ListParagraph"/>
              <w:ind w:left="0"/>
              <w:jc w:val="center"/>
            </w:pPr>
            <w:r>
              <w:t>7,00</w:t>
            </w:r>
          </w:p>
        </w:tc>
        <w:tc>
          <w:tcPr>
            <w:tcW w:w="969" w:type="dxa"/>
          </w:tcPr>
          <w:p w14:paraId="1DCDEAA6" w14:textId="77777777" w:rsidR="008E036B" w:rsidRDefault="008E036B" w:rsidP="00F046A5">
            <w:pPr>
              <w:pStyle w:val="ListParagraph"/>
              <w:ind w:left="0"/>
              <w:jc w:val="center"/>
            </w:pPr>
            <w:r>
              <w:t>4,50</w:t>
            </w:r>
          </w:p>
        </w:tc>
        <w:tc>
          <w:tcPr>
            <w:tcW w:w="969" w:type="dxa"/>
          </w:tcPr>
          <w:p w14:paraId="7FAFB3AC" w14:textId="77777777" w:rsidR="008E036B" w:rsidRDefault="008E036B" w:rsidP="00F046A5">
            <w:pPr>
              <w:pStyle w:val="ListParagraph"/>
              <w:ind w:left="0"/>
              <w:jc w:val="center"/>
            </w:pPr>
            <w:r>
              <w:t>3,60</w:t>
            </w:r>
          </w:p>
        </w:tc>
        <w:tc>
          <w:tcPr>
            <w:tcW w:w="969" w:type="dxa"/>
          </w:tcPr>
          <w:p w14:paraId="128CD7BB" w14:textId="77777777" w:rsidR="008E036B" w:rsidRDefault="008E036B" w:rsidP="00F046A5">
            <w:pPr>
              <w:pStyle w:val="ListParagraph"/>
              <w:ind w:left="0"/>
              <w:jc w:val="center"/>
            </w:pPr>
            <w:r>
              <w:t>2,90</w:t>
            </w:r>
          </w:p>
        </w:tc>
        <w:tc>
          <w:tcPr>
            <w:tcW w:w="970" w:type="dxa"/>
          </w:tcPr>
          <w:p w14:paraId="403CD95B" w14:textId="77777777" w:rsidR="008E036B" w:rsidRDefault="008E036B" w:rsidP="00F046A5">
            <w:pPr>
              <w:pStyle w:val="ListParagraph"/>
              <w:ind w:left="0"/>
              <w:jc w:val="center"/>
            </w:pPr>
            <w:r>
              <w:t>2,70</w:t>
            </w:r>
          </w:p>
        </w:tc>
      </w:tr>
    </w:tbl>
    <w:p w14:paraId="23E7251A" w14:textId="77777777" w:rsidR="008E036B" w:rsidRPr="00794718" w:rsidRDefault="008E036B" w:rsidP="008E036B">
      <w:pPr>
        <w:pStyle w:val="ListParagraph"/>
        <w:spacing w:before="120" w:after="0" w:line="240" w:lineRule="auto"/>
        <w:ind w:left="0"/>
        <w:jc w:val="both"/>
        <w:rPr>
          <w:rFonts w:ascii="Times New Roman" w:hAnsi="Times New Roman" w:cs="Times New Roman"/>
          <w:sz w:val="20"/>
          <w:szCs w:val="20"/>
        </w:rPr>
      </w:pPr>
      <w:r w:rsidRPr="001A3419">
        <w:rPr>
          <w:rFonts w:ascii="Times New Roman" w:hAnsi="Times New Roman" w:cs="Times New Roman"/>
          <w:sz w:val="20"/>
          <w:szCs w:val="20"/>
        </w:rPr>
        <w:t xml:space="preserve">Datu avots: </w:t>
      </w:r>
      <w:r>
        <w:rPr>
          <w:rFonts w:ascii="Times New Roman" w:hAnsi="Times New Roman" w:cs="Times New Roman"/>
          <w:sz w:val="20"/>
          <w:szCs w:val="20"/>
        </w:rPr>
        <w:t xml:space="preserve">izveidots pēc EM 2020. gadā veikta pētījuma </w:t>
      </w:r>
      <w:r w:rsidRPr="004A423B">
        <w:rPr>
          <w:rFonts w:ascii="Times New Roman" w:hAnsi="Times New Roman" w:cs="Times New Roman"/>
          <w:i/>
          <w:iCs/>
          <w:sz w:val="20"/>
          <w:szCs w:val="20"/>
        </w:rPr>
        <w:t xml:space="preserve">“Par prognozētajām izmaiņām darbaspēka un </w:t>
      </w:r>
      <w:r w:rsidRPr="000C5FEF">
        <w:rPr>
          <w:rFonts w:ascii="Times New Roman" w:hAnsi="Times New Roman" w:cs="Times New Roman"/>
          <w:i/>
          <w:iCs/>
          <w:sz w:val="20"/>
          <w:szCs w:val="20"/>
        </w:rPr>
        <w:t>būvmateriālu izmaksām būvniecības nozarē Latvijā 2020. -2024.”</w:t>
      </w:r>
      <w:r w:rsidRPr="000C5FEF">
        <w:rPr>
          <w:rFonts w:ascii="Times New Roman" w:hAnsi="Times New Roman" w:cs="Times New Roman"/>
          <w:sz w:val="20"/>
          <w:szCs w:val="20"/>
        </w:rPr>
        <w:t xml:space="preserve"> </w:t>
      </w:r>
      <w:r>
        <w:rPr>
          <w:rFonts w:ascii="Times New Roman" w:hAnsi="Times New Roman" w:cs="Times New Roman"/>
          <w:sz w:val="20"/>
          <w:szCs w:val="20"/>
        </w:rPr>
        <w:t xml:space="preserve">21. tabulas </w:t>
      </w:r>
      <w:r w:rsidRPr="000C5FEF">
        <w:rPr>
          <w:rFonts w:ascii="Times New Roman" w:hAnsi="Times New Roman" w:cs="Times New Roman"/>
          <w:sz w:val="20"/>
          <w:szCs w:val="20"/>
        </w:rPr>
        <w:t xml:space="preserve">un 2021. gadā veikta pētījuma </w:t>
      </w:r>
      <w:r w:rsidRPr="000C5FEF">
        <w:rPr>
          <w:rFonts w:ascii="Times New Roman" w:hAnsi="Times New Roman" w:cs="Times New Roman"/>
          <w:i/>
          <w:iCs/>
          <w:sz w:val="20"/>
          <w:szCs w:val="20"/>
        </w:rPr>
        <w:t>“Prognozētās izmaiņās darbaspēka un būvmateriālu izmaksās būvniecības nozarē Latvijā 2021.-2025.”</w:t>
      </w:r>
      <w:r w:rsidRPr="000C5FEF">
        <w:rPr>
          <w:rFonts w:ascii="Times New Roman" w:hAnsi="Times New Roman" w:cs="Times New Roman"/>
          <w:sz w:val="20"/>
          <w:szCs w:val="20"/>
        </w:rPr>
        <w:t xml:space="preserve"> </w:t>
      </w:r>
      <w:r>
        <w:rPr>
          <w:rFonts w:ascii="Times New Roman" w:hAnsi="Times New Roman" w:cs="Times New Roman"/>
          <w:sz w:val="20"/>
          <w:szCs w:val="20"/>
        </w:rPr>
        <w:t xml:space="preserve">10. attēla </w:t>
      </w:r>
      <w:r w:rsidRPr="000C5FEF">
        <w:rPr>
          <w:rFonts w:ascii="Times New Roman" w:hAnsi="Times New Roman" w:cs="Times New Roman"/>
          <w:sz w:val="20"/>
          <w:szCs w:val="20"/>
        </w:rPr>
        <w:t xml:space="preserve">datiem, kas pieejami EM mājaslapā: </w:t>
      </w:r>
      <w:hyperlink r:id="rId8" w:history="1">
        <w:r w:rsidRPr="000C5FEF">
          <w:rPr>
            <w:rStyle w:val="Hyperlink"/>
            <w:rFonts w:ascii="Times New Roman" w:hAnsi="Times New Roman" w:cs="Times New Roman"/>
            <w:color w:val="auto"/>
            <w:sz w:val="20"/>
            <w:szCs w:val="20"/>
          </w:rPr>
          <w:t>https://www.em.gov.lv/lv/buvniecibas-nozare-attistiba-strategija-un-petijumi</w:t>
        </w:r>
      </w:hyperlink>
      <w:r w:rsidRPr="000C5FEF">
        <w:rPr>
          <w:rFonts w:ascii="Times New Roman" w:hAnsi="Times New Roman" w:cs="Times New Roman"/>
          <w:sz w:val="20"/>
          <w:szCs w:val="20"/>
        </w:rPr>
        <w:t>.</w:t>
      </w:r>
    </w:p>
    <w:p w14:paraId="4A801024" w14:textId="77777777" w:rsidR="008E036B" w:rsidRDefault="008E036B" w:rsidP="00F87694">
      <w:pPr>
        <w:spacing w:after="0" w:line="240" w:lineRule="auto"/>
        <w:ind w:firstLine="720"/>
        <w:jc w:val="both"/>
        <w:rPr>
          <w:rFonts w:ascii="Times New Roman" w:hAnsi="Times New Roman" w:cs="Times New Roman"/>
          <w:sz w:val="24"/>
          <w:szCs w:val="24"/>
        </w:rPr>
      </w:pPr>
    </w:p>
    <w:p w14:paraId="18EB72DD" w14:textId="563603A2" w:rsidR="00EA64B2" w:rsidRDefault="00BB73A0" w:rsidP="004651A9">
      <w:pPr>
        <w:spacing w:after="80" w:line="240" w:lineRule="auto"/>
        <w:ind w:firstLine="720"/>
        <w:jc w:val="both"/>
        <w:rPr>
          <w:rFonts w:ascii="Times New Roman" w:hAnsi="Times New Roman" w:cs="Times New Roman"/>
          <w:sz w:val="24"/>
          <w:szCs w:val="24"/>
        </w:rPr>
      </w:pPr>
      <w:r>
        <w:rPr>
          <w:rFonts w:ascii="Times New Roman" w:hAnsi="Times New Roman" w:cs="Times New Roman"/>
          <w:sz w:val="24"/>
          <w:szCs w:val="24"/>
        </w:rPr>
        <w:t>Piemēram, b</w:t>
      </w:r>
      <w:r w:rsidR="00EA64B2" w:rsidRPr="00291A12">
        <w:rPr>
          <w:rFonts w:ascii="Times New Roman" w:hAnsi="Times New Roman" w:cs="Times New Roman"/>
          <w:sz w:val="24"/>
          <w:szCs w:val="24"/>
        </w:rPr>
        <w:t xml:space="preserve">ūvniecības cenu piedāvājums, kas iesniegts līdz 2021. gada 6. septembrim, </w:t>
      </w:r>
      <w:r w:rsidR="00C168E2" w:rsidRPr="00291A12">
        <w:rPr>
          <w:rFonts w:ascii="Times New Roman" w:hAnsi="Times New Roman" w:cs="Times New Roman"/>
          <w:sz w:val="24"/>
          <w:szCs w:val="24"/>
        </w:rPr>
        <w:t xml:space="preserve">2022. gadam </w:t>
      </w:r>
      <w:r w:rsidR="00EA64B2" w:rsidRPr="00291A12">
        <w:rPr>
          <w:rFonts w:ascii="Times New Roman" w:hAnsi="Times New Roman" w:cs="Times New Roman"/>
          <w:sz w:val="24"/>
          <w:szCs w:val="24"/>
        </w:rPr>
        <w:t xml:space="preserve">piemērojama prognozētā inflācija </w:t>
      </w:r>
      <w:r w:rsidR="00F87AA8">
        <w:rPr>
          <w:rFonts w:ascii="Times New Roman" w:hAnsi="Times New Roman" w:cs="Times New Roman"/>
          <w:sz w:val="24"/>
          <w:szCs w:val="24"/>
        </w:rPr>
        <w:t xml:space="preserve">pēc kombinētās metodes </w:t>
      </w:r>
      <w:r w:rsidR="00EA64B2" w:rsidRPr="00291A12">
        <w:rPr>
          <w:rFonts w:ascii="Times New Roman" w:hAnsi="Times New Roman" w:cs="Times New Roman"/>
          <w:sz w:val="24"/>
          <w:szCs w:val="24"/>
        </w:rPr>
        <w:t xml:space="preserve">atbilstoši </w:t>
      </w:r>
      <w:r w:rsidR="00411D0A">
        <w:rPr>
          <w:rFonts w:ascii="Times New Roman" w:hAnsi="Times New Roman" w:cs="Times New Roman"/>
          <w:sz w:val="24"/>
          <w:szCs w:val="24"/>
        </w:rPr>
        <w:t>EM</w:t>
      </w:r>
      <w:r w:rsidR="00EA64B2" w:rsidRPr="00291A12">
        <w:rPr>
          <w:rFonts w:ascii="Times New Roman" w:hAnsi="Times New Roman" w:cs="Times New Roman"/>
          <w:sz w:val="24"/>
          <w:szCs w:val="24"/>
        </w:rPr>
        <w:t xml:space="preserve"> 2020. gadā veiktajam pētījumam</w:t>
      </w:r>
      <w:r w:rsidR="0072109F" w:rsidRPr="00291A12">
        <w:rPr>
          <w:rFonts w:ascii="Times New Roman" w:hAnsi="Times New Roman" w:cs="Times New Roman"/>
          <w:sz w:val="24"/>
          <w:szCs w:val="24"/>
        </w:rPr>
        <w:t xml:space="preserve"> </w:t>
      </w:r>
      <w:r w:rsidR="00EA64B2" w:rsidRPr="00291A12">
        <w:rPr>
          <w:rFonts w:ascii="Times New Roman" w:hAnsi="Times New Roman" w:cs="Times New Roman"/>
          <w:sz w:val="24"/>
          <w:szCs w:val="24"/>
        </w:rPr>
        <w:t xml:space="preserve">– 3,22%. Savukārt būvniecības cenu piedāvājums, kas iesniegts pēc 2021. gada 6. septembra, </w:t>
      </w:r>
      <w:r w:rsidR="00291A12" w:rsidRPr="00291A12">
        <w:rPr>
          <w:rFonts w:ascii="Times New Roman" w:hAnsi="Times New Roman" w:cs="Times New Roman"/>
          <w:sz w:val="24"/>
          <w:szCs w:val="24"/>
        </w:rPr>
        <w:t xml:space="preserve">2022. gadam </w:t>
      </w:r>
      <w:r w:rsidR="00EA64B2" w:rsidRPr="00291A12">
        <w:rPr>
          <w:rFonts w:ascii="Times New Roman" w:hAnsi="Times New Roman" w:cs="Times New Roman"/>
          <w:sz w:val="24"/>
          <w:szCs w:val="24"/>
        </w:rPr>
        <w:t xml:space="preserve">piemērojama prognozētā inflācija </w:t>
      </w:r>
      <w:r w:rsidR="00F87AA8">
        <w:rPr>
          <w:rFonts w:ascii="Times New Roman" w:hAnsi="Times New Roman" w:cs="Times New Roman"/>
          <w:sz w:val="24"/>
          <w:szCs w:val="24"/>
        </w:rPr>
        <w:t xml:space="preserve">pēc kombinētās metodes </w:t>
      </w:r>
      <w:r w:rsidR="00EA64B2" w:rsidRPr="00291A12">
        <w:rPr>
          <w:rFonts w:ascii="Times New Roman" w:hAnsi="Times New Roman" w:cs="Times New Roman"/>
          <w:sz w:val="24"/>
          <w:szCs w:val="24"/>
        </w:rPr>
        <w:t>atbilstoši EM 2021. gadā veikta</w:t>
      </w:r>
      <w:r w:rsidR="00291A12" w:rsidRPr="00291A12">
        <w:rPr>
          <w:rFonts w:ascii="Times New Roman" w:hAnsi="Times New Roman" w:cs="Times New Roman"/>
          <w:sz w:val="24"/>
          <w:szCs w:val="24"/>
        </w:rPr>
        <w:t>ja</w:t>
      </w:r>
      <w:r w:rsidR="00EA64B2" w:rsidRPr="00291A12">
        <w:rPr>
          <w:rFonts w:ascii="Times New Roman" w:hAnsi="Times New Roman" w:cs="Times New Roman"/>
          <w:sz w:val="24"/>
          <w:szCs w:val="24"/>
        </w:rPr>
        <w:t>m pētījumam</w:t>
      </w:r>
      <w:r w:rsidR="00291A12" w:rsidRPr="00291A12">
        <w:rPr>
          <w:rFonts w:ascii="Times New Roman" w:hAnsi="Times New Roman" w:cs="Times New Roman"/>
          <w:sz w:val="24"/>
          <w:szCs w:val="24"/>
        </w:rPr>
        <w:t xml:space="preserve"> </w:t>
      </w:r>
      <w:r w:rsidR="00EA64B2" w:rsidRPr="00291A12">
        <w:rPr>
          <w:rFonts w:ascii="Times New Roman" w:hAnsi="Times New Roman" w:cs="Times New Roman"/>
          <w:sz w:val="24"/>
          <w:szCs w:val="24"/>
        </w:rPr>
        <w:t xml:space="preserve">– </w:t>
      </w:r>
      <w:r w:rsidR="00FE727D">
        <w:rPr>
          <w:rFonts w:ascii="Times New Roman" w:hAnsi="Times New Roman" w:cs="Times New Roman"/>
          <w:sz w:val="24"/>
          <w:szCs w:val="24"/>
        </w:rPr>
        <w:t>4,50</w:t>
      </w:r>
      <w:r w:rsidR="00EA64B2" w:rsidRPr="00291A12">
        <w:rPr>
          <w:rFonts w:ascii="Times New Roman" w:hAnsi="Times New Roman" w:cs="Times New Roman"/>
          <w:sz w:val="24"/>
          <w:szCs w:val="24"/>
        </w:rPr>
        <w:t>%</w:t>
      </w:r>
      <w:r w:rsidR="0092303E">
        <w:rPr>
          <w:rFonts w:ascii="Times New Roman" w:hAnsi="Times New Roman" w:cs="Times New Roman"/>
          <w:sz w:val="24"/>
          <w:szCs w:val="24"/>
        </w:rPr>
        <w:t>.</w:t>
      </w:r>
    </w:p>
    <w:p w14:paraId="59703FA5" w14:textId="5863F740" w:rsidR="008C30D0" w:rsidRPr="0094223C" w:rsidRDefault="00C723C4" w:rsidP="00ED4B32">
      <w:pPr>
        <w:spacing w:before="240" w:after="120" w:line="240" w:lineRule="auto"/>
        <w:rPr>
          <w:rFonts w:ascii="Times New Roman" w:hAnsi="Times New Roman" w:cs="Times New Roman"/>
          <w:b/>
          <w:bCs/>
          <w:sz w:val="24"/>
          <w:szCs w:val="24"/>
        </w:rPr>
      </w:pPr>
      <w:r w:rsidRPr="0094223C">
        <w:rPr>
          <w:rFonts w:ascii="Times New Roman" w:hAnsi="Times New Roman" w:cs="Times New Roman"/>
          <w:b/>
          <w:bCs/>
          <w:sz w:val="24"/>
          <w:szCs w:val="24"/>
        </w:rPr>
        <w:t xml:space="preserve">Būvmateriālu izmaksu </w:t>
      </w:r>
      <w:r>
        <w:rPr>
          <w:rFonts w:ascii="Times New Roman" w:hAnsi="Times New Roman" w:cs="Times New Roman"/>
          <w:b/>
          <w:bCs/>
          <w:sz w:val="24"/>
          <w:szCs w:val="24"/>
        </w:rPr>
        <w:t xml:space="preserve">sadārdzinājuma </w:t>
      </w:r>
      <w:r w:rsidR="00B272DD">
        <w:rPr>
          <w:rFonts w:ascii="Times New Roman" w:hAnsi="Times New Roman" w:cs="Times New Roman"/>
          <w:b/>
          <w:bCs/>
          <w:sz w:val="24"/>
          <w:szCs w:val="24"/>
        </w:rPr>
        <w:t>aprēķināšanas</w:t>
      </w:r>
      <w:r>
        <w:rPr>
          <w:rFonts w:ascii="Times New Roman" w:hAnsi="Times New Roman" w:cs="Times New Roman"/>
          <w:b/>
          <w:bCs/>
          <w:sz w:val="24"/>
          <w:szCs w:val="24"/>
        </w:rPr>
        <w:t xml:space="preserve"> </w:t>
      </w:r>
      <w:r w:rsidR="008C30D0" w:rsidRPr="0094223C">
        <w:rPr>
          <w:rFonts w:ascii="Times New Roman" w:hAnsi="Times New Roman" w:cs="Times New Roman"/>
          <w:b/>
          <w:bCs/>
          <w:sz w:val="24"/>
          <w:szCs w:val="24"/>
        </w:rPr>
        <w:t>formula</w:t>
      </w:r>
    </w:p>
    <w:p w14:paraId="424678F4" w14:textId="22D664FB" w:rsidR="008C30D0" w:rsidRPr="00B82EC6" w:rsidRDefault="008C30D0" w:rsidP="004651A9">
      <w:pPr>
        <w:spacing w:after="80" w:line="240" w:lineRule="auto"/>
        <w:ind w:firstLine="720"/>
        <w:jc w:val="both"/>
        <w:rPr>
          <w:rFonts w:ascii="Times New Roman" w:hAnsi="Times New Roman" w:cs="Times New Roman"/>
          <w:sz w:val="24"/>
          <w:szCs w:val="24"/>
        </w:rPr>
      </w:pPr>
      <w:r w:rsidRPr="00B82EC6">
        <w:rPr>
          <w:rFonts w:ascii="Times New Roman" w:hAnsi="Times New Roman" w:cs="Times New Roman"/>
          <w:sz w:val="24"/>
          <w:szCs w:val="24"/>
        </w:rPr>
        <w:t xml:space="preserve">Būvmateriālu izmaksu </w:t>
      </w:r>
      <w:r w:rsidR="00B82EC6" w:rsidRPr="00B82EC6">
        <w:rPr>
          <w:rFonts w:ascii="Times New Roman" w:hAnsi="Times New Roman" w:cs="Times New Roman"/>
          <w:sz w:val="24"/>
          <w:szCs w:val="24"/>
        </w:rPr>
        <w:t xml:space="preserve">sadārdzinājuma </w:t>
      </w:r>
      <w:r w:rsidR="00E36233">
        <w:rPr>
          <w:rFonts w:ascii="Times New Roman" w:hAnsi="Times New Roman" w:cs="Times New Roman"/>
          <w:sz w:val="24"/>
          <w:szCs w:val="24"/>
        </w:rPr>
        <w:t>aprēķināšanai</w:t>
      </w:r>
      <w:r w:rsidR="00B82EC6" w:rsidRPr="00B82EC6">
        <w:rPr>
          <w:rFonts w:ascii="Times New Roman" w:hAnsi="Times New Roman" w:cs="Times New Roman"/>
          <w:sz w:val="24"/>
          <w:szCs w:val="24"/>
        </w:rPr>
        <w:t xml:space="preserve"> </w:t>
      </w:r>
      <w:r w:rsidRPr="00B82EC6">
        <w:rPr>
          <w:rFonts w:ascii="Times New Roman" w:hAnsi="Times New Roman" w:cs="Times New Roman"/>
          <w:sz w:val="24"/>
          <w:szCs w:val="24"/>
        </w:rPr>
        <w:t>var izmantot zemāk redzamo 1.formulu.</w:t>
      </w:r>
    </w:p>
    <w:p w14:paraId="249B0494" w14:textId="77777777" w:rsidR="008C30D0" w:rsidRPr="00300CD3" w:rsidRDefault="008C30D0" w:rsidP="008C30D0">
      <w:pPr>
        <w:spacing w:after="0" w:line="240" w:lineRule="auto"/>
        <w:ind w:firstLine="720"/>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1"/>
        <w:gridCol w:w="1315"/>
      </w:tblGrid>
      <w:tr w:rsidR="00300CD3" w:rsidRPr="00300CD3" w14:paraId="52DE25AE" w14:textId="77777777" w:rsidTr="006A707E">
        <w:tc>
          <w:tcPr>
            <w:tcW w:w="6991" w:type="dxa"/>
          </w:tcPr>
          <w:p w14:paraId="6A0B76BB" w14:textId="04835FB7" w:rsidR="008C30D0" w:rsidRPr="00247CCD" w:rsidRDefault="00A47DA6" w:rsidP="006A707E">
            <w:pPr>
              <w:tabs>
                <w:tab w:val="left" w:pos="2775"/>
              </w:tabs>
              <w:rPr>
                <w:rFonts w:eastAsiaTheme="minorEastAsia"/>
                <w:bCs/>
              </w:rPr>
            </w:pPr>
            <m:oMathPara>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m:t>
                </m:r>
                <m:f>
                  <m:fPr>
                    <m:ctrlPr>
                      <w:rPr>
                        <w:rFonts w:ascii="Cambria Math" w:eastAsiaTheme="minorEastAsia" w:hAnsi="Cambria Math"/>
                        <w:iCs/>
                      </w:rPr>
                    </m:ctrlPr>
                  </m:fPr>
                  <m:num>
                    <m:sSub>
                      <m:sSubPr>
                        <m:ctrlPr>
                          <w:rPr>
                            <w:rFonts w:ascii="Cambria Math" w:eastAsiaTheme="minorEastAsia" w:hAnsi="Cambria Math"/>
                            <w:bCs/>
                            <w:iCs/>
                          </w:rPr>
                        </m:ctrlPr>
                      </m:sSubPr>
                      <m:e>
                        <m:r>
                          <m:rPr>
                            <m:sty m:val="p"/>
                          </m:rPr>
                          <w:rPr>
                            <w:rFonts w:ascii="Cambria Math" w:eastAsiaTheme="minorEastAsia" w:hAnsi="Cambria Math"/>
                          </w:rPr>
                          <m:t>Izm</m:t>
                        </m:r>
                      </m:e>
                      <m:sub>
                        <m:r>
                          <m:rPr>
                            <m:sty m:val="p"/>
                          </m:rPr>
                          <w:rPr>
                            <w:rFonts w:ascii="Cambria Math" w:eastAsiaTheme="minorEastAsia" w:hAnsi="Cambria Math"/>
                          </w:rPr>
                          <m:t>B</m:t>
                        </m:r>
                      </m:sub>
                    </m:sSub>
                    <m:r>
                      <m:rPr>
                        <m:sty m:val="p"/>
                      </m:rPr>
                      <w:rPr>
                        <w:rFonts w:ascii="Cambria Math" w:eastAsiaTheme="minorEastAsia" w:hAnsi="Cambria Math"/>
                      </w:rPr>
                      <m:t>∙</m:t>
                    </m:r>
                    <m:d>
                      <m:dPr>
                        <m:ctrlPr>
                          <w:rPr>
                            <w:rFonts w:ascii="Cambria Math" w:eastAsiaTheme="minorEastAsia" w:hAnsi="Cambria Math"/>
                            <w:iCs/>
                          </w:rPr>
                        </m:ctrlPr>
                      </m:dPr>
                      <m:e>
                        <m:d>
                          <m:dPr>
                            <m:ctrlPr>
                              <w:rPr>
                                <w:rFonts w:ascii="Cambria Math" w:eastAsiaTheme="minorEastAsia" w:hAnsi="Cambria Math"/>
                                <w:i/>
                                <w:iCs/>
                              </w:rPr>
                            </m:ctrlPr>
                          </m:dPr>
                          <m:e>
                            <m:f>
                              <m:fPr>
                                <m:ctrlPr>
                                  <w:rPr>
                                    <w:rFonts w:ascii="Cambria Math" w:eastAsiaTheme="minorEastAsia" w:hAnsi="Cambria Math"/>
                                    <w:i/>
                                    <w:iCs/>
                                  </w:rPr>
                                </m:ctrlPr>
                              </m:fPr>
                              <m:num>
                                <m:d>
                                  <m:dPr>
                                    <m:ctrlPr>
                                      <w:rPr>
                                        <w:rFonts w:ascii="Cambria Math" w:eastAsiaTheme="minorEastAsia" w:hAnsi="Cambria Math"/>
                                        <w:i/>
                                        <w:iCs/>
                                      </w:rPr>
                                    </m:ctrlPr>
                                  </m:dPr>
                                  <m:e>
                                    <m:sSub>
                                      <m:sSubPr>
                                        <m:ctrlPr>
                                          <w:rPr>
                                            <w:rFonts w:ascii="Cambria Math" w:eastAsiaTheme="minorEastAsia" w:hAnsi="Cambria Math"/>
                                            <w:iCs/>
                                          </w:rPr>
                                        </m:ctrlPr>
                                      </m:sSubPr>
                                      <m:e>
                                        <m:r>
                                          <m:rPr>
                                            <m:sty m:val="p"/>
                                          </m:rPr>
                                          <w:rPr>
                                            <w:rFonts w:ascii="Cambria Math" w:eastAsiaTheme="minorEastAsia" w:hAnsi="Cambria Math"/>
                                          </w:rPr>
                                          <m:t>I</m:t>
                                        </m:r>
                                      </m:e>
                                      <m:sub>
                                        <m:sSub>
                                          <m:sSubPr>
                                            <m:ctrlPr>
                                              <w:rPr>
                                                <w:rFonts w:ascii="Cambria Math" w:eastAsiaTheme="minorEastAsia" w:hAnsi="Cambria Math"/>
                                                <w:iCs/>
                                              </w:rPr>
                                            </m:ctrlPr>
                                          </m:sSubPr>
                                          <m:e>
                                            <m:r>
                                              <m:rPr>
                                                <m:sty m:val="p"/>
                                              </m:rPr>
                                              <w:rPr>
                                                <w:rFonts w:ascii="Cambria Math" w:eastAsiaTheme="minorEastAsia" w:hAnsi="Cambria Math"/>
                                              </w:rPr>
                                              <m:t>B</m:t>
                                            </m:r>
                                          </m:e>
                                          <m:sub>
                                            <m:r>
                                              <m:rPr>
                                                <m:sty m:val="p"/>
                                              </m:rPr>
                                              <w:rPr>
                                                <w:rFonts w:ascii="Cambria Math" w:eastAsiaTheme="minorEastAsia" w:hAnsi="Cambria Math"/>
                                              </w:rPr>
                                              <m:t>n</m:t>
                                            </m:r>
                                          </m:sub>
                                        </m:sSub>
                                      </m:sub>
                                    </m:sSub>
                                    <m:r>
                                      <m:rPr>
                                        <m:sty m:val="p"/>
                                      </m:rPr>
                                      <w:rPr>
                                        <w:rFonts w:ascii="Cambria Math" w:eastAsiaTheme="minorEastAsia" w:hAnsi="Cambria Math"/>
                                      </w:rPr>
                                      <m:t>-</m:t>
                                    </m:r>
                                    <m:sSub>
                                      <m:sSubPr>
                                        <m:ctrlPr>
                                          <w:rPr>
                                            <w:rFonts w:ascii="Cambria Math" w:eastAsiaTheme="minorEastAsia" w:hAnsi="Cambria Math"/>
                                            <w:iCs/>
                                          </w:rPr>
                                        </m:ctrlPr>
                                      </m:sSubPr>
                                      <m:e>
                                        <m:r>
                                          <m:rPr>
                                            <m:sty m:val="p"/>
                                          </m:rPr>
                                          <w:rPr>
                                            <w:rFonts w:ascii="Cambria Math" w:eastAsiaTheme="minorEastAsia" w:hAnsi="Cambria Math"/>
                                          </w:rPr>
                                          <m:t>I</m:t>
                                        </m:r>
                                      </m:e>
                                      <m:sub>
                                        <m:sSub>
                                          <m:sSubPr>
                                            <m:ctrlPr>
                                              <w:rPr>
                                                <w:rFonts w:ascii="Cambria Math" w:eastAsiaTheme="minorEastAsia" w:hAnsi="Cambria Math"/>
                                                <w:iCs/>
                                              </w:rPr>
                                            </m:ctrlPr>
                                          </m:sSubPr>
                                          <m:e>
                                            <m:r>
                                              <m:rPr>
                                                <m:sty m:val="p"/>
                                              </m:rPr>
                                              <w:rPr>
                                                <w:rFonts w:ascii="Cambria Math" w:eastAsiaTheme="minorEastAsia" w:hAnsi="Cambria Math"/>
                                              </w:rPr>
                                              <m:t>B</m:t>
                                            </m:r>
                                          </m:e>
                                          <m:sub>
                                            <m:r>
                                              <m:rPr>
                                                <m:sty m:val="p"/>
                                              </m:rPr>
                                              <w:rPr>
                                                <w:rFonts w:ascii="Cambria Math" w:eastAsiaTheme="minorEastAsia" w:hAnsi="Cambria Math"/>
                                              </w:rPr>
                                              <m:t>0</m:t>
                                            </m:r>
                                          </m:sub>
                                        </m:sSub>
                                      </m:sub>
                                    </m:sSub>
                                  </m:e>
                                </m:d>
                              </m:num>
                              <m:den>
                                <m:sSub>
                                  <m:sSubPr>
                                    <m:ctrlPr>
                                      <w:rPr>
                                        <w:rFonts w:ascii="Cambria Math" w:eastAsiaTheme="minorEastAsia" w:hAnsi="Cambria Math"/>
                                        <w:iCs/>
                                      </w:rPr>
                                    </m:ctrlPr>
                                  </m:sSubPr>
                                  <m:e>
                                    <m:r>
                                      <m:rPr>
                                        <m:sty m:val="p"/>
                                      </m:rPr>
                                      <w:rPr>
                                        <w:rFonts w:ascii="Cambria Math" w:eastAsiaTheme="minorEastAsia" w:hAnsi="Cambria Math"/>
                                      </w:rPr>
                                      <m:t>I</m:t>
                                    </m:r>
                                  </m:e>
                                  <m:sub>
                                    <m:sSub>
                                      <m:sSubPr>
                                        <m:ctrlPr>
                                          <w:rPr>
                                            <w:rFonts w:ascii="Cambria Math" w:eastAsiaTheme="minorEastAsia" w:hAnsi="Cambria Math"/>
                                            <w:iCs/>
                                          </w:rPr>
                                        </m:ctrlPr>
                                      </m:sSubPr>
                                      <m:e>
                                        <m:r>
                                          <m:rPr>
                                            <m:sty m:val="p"/>
                                          </m:rPr>
                                          <w:rPr>
                                            <w:rFonts w:ascii="Cambria Math" w:eastAsiaTheme="minorEastAsia" w:hAnsi="Cambria Math"/>
                                          </w:rPr>
                                          <m:t>B</m:t>
                                        </m:r>
                                      </m:e>
                                      <m:sub>
                                        <m:r>
                                          <m:rPr>
                                            <m:sty m:val="p"/>
                                          </m:rPr>
                                          <w:rPr>
                                            <w:rFonts w:ascii="Cambria Math" w:eastAsiaTheme="minorEastAsia" w:hAnsi="Cambria Math"/>
                                          </w:rPr>
                                          <m:t>0</m:t>
                                        </m:r>
                                      </m:sub>
                                    </m:sSub>
                                  </m:sub>
                                </m:sSub>
                              </m:den>
                            </m:f>
                            <m:r>
                              <w:rPr>
                                <w:rFonts w:ascii="Cambria Math" w:eastAsiaTheme="minorEastAsia" w:hAnsi="Cambria Math"/>
                              </w:rPr>
                              <m:t>∙100</m:t>
                            </m:r>
                          </m:e>
                        </m:d>
                        <m:r>
                          <m:rPr>
                            <m:sty m:val="p"/>
                          </m:rPr>
                          <w:rPr>
                            <w:rFonts w:ascii="Cambria Math" w:eastAsiaTheme="minorEastAsia" w:hAnsi="Cambria Math"/>
                          </w:rPr>
                          <m:t>-</m:t>
                        </m:r>
                        <m:sSub>
                          <m:sSubPr>
                            <m:ctrlPr>
                              <w:rPr>
                                <w:rFonts w:ascii="Cambria Math" w:eastAsiaTheme="minorEastAsia" w:hAnsi="Cambria Math"/>
                                <w:iCs/>
                              </w:rPr>
                            </m:ctrlPr>
                          </m:sSubPr>
                          <m:e>
                            <m:r>
                              <m:rPr>
                                <m:sty m:val="p"/>
                              </m:rPr>
                              <w:rPr>
                                <w:rFonts w:ascii="Cambria Math" w:eastAsiaTheme="minorEastAsia" w:hAnsi="Cambria Math"/>
                              </w:rPr>
                              <m:t>Inflācija</m:t>
                            </m:r>
                          </m:e>
                          <m:sub>
                            <m:r>
                              <m:rPr>
                                <m:sty m:val="p"/>
                              </m:rPr>
                              <w:rPr>
                                <w:rFonts w:ascii="Cambria Math" w:eastAsiaTheme="minorEastAsia" w:hAnsi="Cambria Math"/>
                              </w:rPr>
                              <m:t>%</m:t>
                            </m:r>
                          </m:sub>
                        </m:sSub>
                      </m:e>
                    </m:d>
                  </m:num>
                  <m:den>
                    <m:r>
                      <m:rPr>
                        <m:sty m:val="p"/>
                      </m:rPr>
                      <w:rPr>
                        <w:rFonts w:ascii="Cambria Math" w:eastAsiaTheme="minorEastAsia" w:hAnsi="Cambria Math"/>
                      </w:rPr>
                      <m:t>100</m:t>
                    </m:r>
                  </m:den>
                </m:f>
              </m:oMath>
            </m:oMathPara>
          </w:p>
        </w:tc>
        <w:tc>
          <w:tcPr>
            <w:tcW w:w="1315" w:type="dxa"/>
          </w:tcPr>
          <w:p w14:paraId="54D6E363" w14:textId="77777777" w:rsidR="008C30D0" w:rsidRPr="00300CD3" w:rsidRDefault="008C30D0" w:rsidP="006A707E">
            <w:pPr>
              <w:jc w:val="right"/>
            </w:pPr>
            <w:r w:rsidRPr="00300CD3">
              <w:t>1.formula</w:t>
            </w:r>
          </w:p>
        </w:tc>
      </w:tr>
      <w:tr w:rsidR="00300CD3" w:rsidRPr="00300CD3" w14:paraId="7C5F8B4B" w14:textId="77777777" w:rsidTr="006A707E">
        <w:tc>
          <w:tcPr>
            <w:tcW w:w="8306" w:type="dxa"/>
            <w:gridSpan w:val="2"/>
          </w:tcPr>
          <w:p w14:paraId="059C0B81" w14:textId="78860D16" w:rsidR="00D048C6" w:rsidRDefault="00D048C6" w:rsidP="00F43ADE">
            <w:pPr>
              <w:jc w:val="both"/>
            </w:pPr>
            <w:r>
              <w:t>kur:</w:t>
            </w:r>
          </w:p>
          <w:p w14:paraId="1C388FD0" w14:textId="5ABDE645" w:rsidR="00F43ADE" w:rsidRPr="00300CD3" w:rsidRDefault="00F43ADE" w:rsidP="00F43ADE">
            <w:pPr>
              <w:jc w:val="both"/>
            </w:pPr>
            <w:r w:rsidRPr="00300CD3">
              <w:t>K</w:t>
            </w:r>
            <w:r w:rsidR="009D7107">
              <w:rPr>
                <w:vertAlign w:val="subscript"/>
              </w:rPr>
              <w:t>B</w:t>
            </w:r>
            <w:r w:rsidRPr="00300CD3">
              <w:t xml:space="preserve"> – būvmateriālu izmaksu korekcijas summa;</w:t>
            </w:r>
          </w:p>
          <w:p w14:paraId="6C78E641" w14:textId="37E07E02" w:rsidR="008C30D0" w:rsidRDefault="009D7107" w:rsidP="006A707E">
            <w:pPr>
              <w:jc w:val="both"/>
            </w:pPr>
            <w:r>
              <w:t>I</w:t>
            </w:r>
            <w:r w:rsidR="00ED3D15">
              <w:t>zm</w:t>
            </w:r>
            <w:r>
              <w:rPr>
                <w:vertAlign w:val="subscript"/>
              </w:rPr>
              <w:t>B</w:t>
            </w:r>
            <w:r w:rsidR="008C30D0" w:rsidRPr="00300CD3">
              <w:t xml:space="preserve"> –</w:t>
            </w:r>
            <w:r w:rsidR="009423B6" w:rsidRPr="00300CD3">
              <w:t xml:space="preserve"> </w:t>
            </w:r>
            <w:r w:rsidR="008C30D0" w:rsidRPr="00300CD3">
              <w:t xml:space="preserve">aprēķina </w:t>
            </w:r>
            <w:r w:rsidR="008F3E4C">
              <w:t>periodā</w:t>
            </w:r>
            <w:r w:rsidR="008F3E4C" w:rsidRPr="00300CD3">
              <w:t xml:space="preserve"> </w:t>
            </w:r>
            <w:r w:rsidR="00512997" w:rsidRPr="00300CD3">
              <w:t xml:space="preserve">tāmē </w:t>
            </w:r>
            <w:r w:rsidR="008C30D0" w:rsidRPr="00300CD3">
              <w:t>paveikto darbu noteiktās būvmateriālu izmaksas;</w:t>
            </w:r>
          </w:p>
          <w:p w14:paraId="75263A94" w14:textId="633D566C" w:rsidR="008C30D0" w:rsidRPr="00300CD3" w:rsidRDefault="009D7B7D" w:rsidP="006A707E">
            <w:pPr>
              <w:jc w:val="both"/>
            </w:pPr>
            <w:r>
              <w:t>I</w:t>
            </w:r>
            <w:r w:rsidR="00E637FD">
              <w:rPr>
                <w:vertAlign w:val="subscript"/>
              </w:rPr>
              <w:t>B</w:t>
            </w:r>
            <w:r>
              <w:rPr>
                <w:vertAlign w:val="subscript"/>
              </w:rPr>
              <w:t xml:space="preserve"> </w:t>
            </w:r>
            <w:r w:rsidRPr="00300CD3">
              <w:t xml:space="preserve">– </w:t>
            </w:r>
            <w:r w:rsidRPr="0094223C">
              <w:t xml:space="preserve">būvniecības </w:t>
            </w:r>
            <w:r w:rsidRPr="00242638">
              <w:t>resursu vidējās cenu pārmaiņ</w:t>
            </w:r>
            <w:r w:rsidR="00242638" w:rsidRPr="00242638">
              <w:t>a</w:t>
            </w:r>
            <w:r w:rsidRPr="00242638">
              <w:t xml:space="preserve">s un/vai </w:t>
            </w:r>
            <w:r w:rsidR="008C30D0" w:rsidRPr="00242638">
              <w:t>būvmateriālu izmaksu indekss</w:t>
            </w:r>
            <w:r w:rsidR="00214399">
              <w:t xml:space="preserve"> </w:t>
            </w:r>
            <w:r w:rsidR="008C30D0" w:rsidRPr="00242638">
              <w:t>atbilstoši CSP datiem;</w:t>
            </w:r>
          </w:p>
          <w:p w14:paraId="56A2406B" w14:textId="67A7A63C" w:rsidR="008C30D0" w:rsidRPr="00300CD3" w:rsidRDefault="00DD6134" w:rsidP="006A707E">
            <w:pPr>
              <w:jc w:val="both"/>
            </w:pPr>
            <w:r w:rsidRPr="00300CD3">
              <w:t>Inflācija</w:t>
            </w:r>
            <w:r w:rsidR="000106A3" w:rsidRPr="000106A3">
              <w:rPr>
                <w:vertAlign w:val="subscript"/>
              </w:rPr>
              <w:t>%</w:t>
            </w:r>
            <w:r w:rsidR="00A15326" w:rsidRPr="00300CD3">
              <w:t xml:space="preserve"> </w:t>
            </w:r>
            <w:r w:rsidR="008C30D0" w:rsidRPr="00300CD3">
              <w:t xml:space="preserve">– </w:t>
            </w:r>
            <w:r w:rsidR="00C86BE2" w:rsidRPr="00300CD3">
              <w:t xml:space="preserve">būvmateriāliem </w:t>
            </w:r>
            <w:r w:rsidR="008C30D0" w:rsidRPr="00300CD3">
              <w:t>prognozētā inflācija</w:t>
            </w:r>
            <w:r w:rsidR="00A80A23">
              <w:t xml:space="preserve"> </w:t>
            </w:r>
            <w:r w:rsidR="008C30D0" w:rsidRPr="00300CD3">
              <w:t xml:space="preserve">atbilstoši </w:t>
            </w:r>
            <w:r w:rsidR="00E85B6F" w:rsidRPr="00300CD3">
              <w:t>EM</w:t>
            </w:r>
            <w:r w:rsidR="008C30D0" w:rsidRPr="00300CD3">
              <w:t xml:space="preserve"> </w:t>
            </w:r>
            <w:r w:rsidR="00C86BE2" w:rsidRPr="00300CD3">
              <w:t xml:space="preserve">veiktajiem </w:t>
            </w:r>
            <w:r w:rsidR="008C30D0" w:rsidRPr="00300CD3">
              <w:t>pētījum</w:t>
            </w:r>
            <w:r w:rsidR="00C86BE2" w:rsidRPr="00300CD3">
              <w:t xml:space="preserve">iem </w:t>
            </w:r>
            <w:r w:rsidR="00432F53" w:rsidRPr="00300CD3">
              <w:t>par prognozētajām izmaiņām darbaspēka un būvmateriālu izmaksās Latvijas būvniecības nozarē</w:t>
            </w:r>
            <w:r w:rsidR="00432F53" w:rsidRPr="00300CD3">
              <w:rPr>
                <w:rStyle w:val="FootnoteReference"/>
              </w:rPr>
              <w:footnoteReference w:id="9"/>
            </w:r>
            <w:r w:rsidR="00432F53" w:rsidRPr="00300CD3">
              <w:t>;</w:t>
            </w:r>
          </w:p>
          <w:p w14:paraId="24CA868E" w14:textId="74EF4BC4" w:rsidR="008C30D0" w:rsidRPr="00300CD3" w:rsidRDefault="008C30D0" w:rsidP="006A707E">
            <w:pPr>
              <w:jc w:val="both"/>
            </w:pPr>
            <w:r w:rsidRPr="00300CD3">
              <w:t>0 –  bāzes periods (2022.</w:t>
            </w:r>
            <w:r w:rsidR="00C86BE2" w:rsidRPr="00300CD3">
              <w:t xml:space="preserve"> </w:t>
            </w:r>
            <w:r w:rsidRPr="00300CD3">
              <w:t>gada janvāris);</w:t>
            </w:r>
          </w:p>
          <w:p w14:paraId="6421B667" w14:textId="4E7CECF4" w:rsidR="008C30D0" w:rsidRPr="00300CD3" w:rsidRDefault="008C30D0" w:rsidP="006A707E">
            <w:pPr>
              <w:jc w:val="both"/>
            </w:pPr>
            <w:r w:rsidRPr="00300CD3">
              <w:t>n – korekcijas periods (</w:t>
            </w:r>
            <w:r w:rsidR="00C32A42">
              <w:t xml:space="preserve">sadārdzinājuma </w:t>
            </w:r>
            <w:r w:rsidR="008E036B">
              <w:t xml:space="preserve">novērtēšanas </w:t>
            </w:r>
            <w:r w:rsidR="003A30FB">
              <w:t>periods</w:t>
            </w:r>
            <w:r w:rsidRPr="00300CD3">
              <w:t xml:space="preserve">, sākot no 2022.gada </w:t>
            </w:r>
            <w:r w:rsidR="001F2459" w:rsidRPr="00300CD3">
              <w:t xml:space="preserve">1. </w:t>
            </w:r>
            <w:r w:rsidRPr="00300CD3">
              <w:t>marta</w:t>
            </w:r>
            <w:r w:rsidR="001F2459" w:rsidRPr="00300CD3">
              <w:t>,</w:t>
            </w:r>
            <w:r w:rsidRPr="00300CD3">
              <w:t xml:space="preserve"> par kuru tiek aprēķināts </w:t>
            </w:r>
            <w:r w:rsidR="00C86BE2" w:rsidRPr="00300CD3">
              <w:t xml:space="preserve">būvmateriālu </w:t>
            </w:r>
            <w:r w:rsidRPr="00300CD3">
              <w:t>sadārdzinājums)</w:t>
            </w:r>
            <w:r w:rsidR="00C86BE2" w:rsidRPr="00300CD3">
              <w:t>.</w:t>
            </w:r>
          </w:p>
        </w:tc>
      </w:tr>
    </w:tbl>
    <w:p w14:paraId="786FC271" w14:textId="77777777" w:rsidR="008C30D0" w:rsidRPr="00300CD3" w:rsidRDefault="008C30D0" w:rsidP="008C30D0">
      <w:pPr>
        <w:spacing w:after="0" w:line="240" w:lineRule="auto"/>
        <w:ind w:firstLine="709"/>
        <w:jc w:val="both"/>
        <w:rPr>
          <w:rFonts w:ascii="Times New Roman" w:hAnsi="Times New Roman" w:cs="Times New Roman"/>
          <w:bCs/>
          <w:sz w:val="24"/>
          <w:szCs w:val="24"/>
        </w:rPr>
      </w:pPr>
    </w:p>
    <w:p w14:paraId="022EE3D5" w14:textId="755241B6" w:rsidR="00696143" w:rsidRPr="00ED4B32" w:rsidRDefault="008C30D0" w:rsidP="00ED4B32">
      <w:pPr>
        <w:spacing w:after="80" w:line="240" w:lineRule="auto"/>
        <w:ind w:firstLine="709"/>
        <w:jc w:val="both"/>
        <w:rPr>
          <w:rFonts w:ascii="Times New Roman" w:hAnsi="Times New Roman" w:cs="Times New Roman"/>
          <w:bCs/>
          <w:sz w:val="24"/>
          <w:szCs w:val="24"/>
        </w:rPr>
      </w:pPr>
      <w:r w:rsidRPr="00300CD3">
        <w:rPr>
          <w:rFonts w:ascii="Times New Roman" w:hAnsi="Times New Roman" w:cs="Times New Roman"/>
          <w:bCs/>
          <w:sz w:val="24"/>
          <w:szCs w:val="24"/>
        </w:rPr>
        <w:lastRenderedPageBreak/>
        <w:t>Formula ir informatīva un to ir iespējams pielāgot atbilstoši būvniecības projekta specifikācijai.</w:t>
      </w:r>
    </w:p>
    <w:p w14:paraId="7DAC21BE" w14:textId="0AA6A560" w:rsidR="00696143" w:rsidRPr="00696143" w:rsidRDefault="00696143" w:rsidP="00ED4B32">
      <w:pPr>
        <w:spacing w:before="240" w:after="120" w:line="240" w:lineRule="auto"/>
        <w:jc w:val="both"/>
        <w:rPr>
          <w:rFonts w:ascii="Times New Roman" w:hAnsi="Times New Roman" w:cs="Times New Roman"/>
          <w:b/>
          <w:bCs/>
          <w:sz w:val="24"/>
          <w:szCs w:val="24"/>
        </w:rPr>
      </w:pPr>
      <w:r w:rsidRPr="00696143">
        <w:rPr>
          <w:rFonts w:ascii="Times New Roman" w:hAnsi="Times New Roman" w:cs="Times New Roman"/>
          <w:b/>
          <w:bCs/>
          <w:sz w:val="24"/>
          <w:szCs w:val="24"/>
        </w:rPr>
        <w:t>Citas metodikas izmantošana</w:t>
      </w:r>
      <w:r w:rsidR="004651A9">
        <w:rPr>
          <w:rFonts w:ascii="Times New Roman" w:hAnsi="Times New Roman" w:cs="Times New Roman"/>
          <w:b/>
          <w:bCs/>
          <w:sz w:val="24"/>
          <w:szCs w:val="24"/>
        </w:rPr>
        <w:t xml:space="preserve"> b</w:t>
      </w:r>
      <w:r w:rsidR="004651A9" w:rsidRPr="0094223C">
        <w:rPr>
          <w:rFonts w:ascii="Times New Roman" w:hAnsi="Times New Roman" w:cs="Times New Roman"/>
          <w:b/>
          <w:bCs/>
          <w:sz w:val="24"/>
          <w:szCs w:val="24"/>
        </w:rPr>
        <w:t xml:space="preserve">ūvmateriālu izmaksu </w:t>
      </w:r>
      <w:r w:rsidR="004651A9">
        <w:rPr>
          <w:rFonts w:ascii="Times New Roman" w:hAnsi="Times New Roman" w:cs="Times New Roman"/>
          <w:b/>
          <w:bCs/>
          <w:sz w:val="24"/>
          <w:szCs w:val="24"/>
        </w:rPr>
        <w:t>sadārdzinājuma novērtēšanai</w:t>
      </w:r>
    </w:p>
    <w:p w14:paraId="6AF05C06" w14:textId="45DA8452" w:rsidR="00696143" w:rsidRDefault="00696143" w:rsidP="004651A9">
      <w:pPr>
        <w:spacing w:after="80" w:line="240" w:lineRule="auto"/>
        <w:ind w:firstLine="709"/>
        <w:jc w:val="both"/>
        <w:rPr>
          <w:rFonts w:ascii="Times New Roman" w:hAnsi="Times New Roman" w:cs="Times New Roman"/>
          <w:sz w:val="24"/>
          <w:szCs w:val="24"/>
        </w:rPr>
      </w:pPr>
      <w:r w:rsidRPr="0094223C">
        <w:rPr>
          <w:rFonts w:ascii="Times New Roman" w:hAnsi="Times New Roman" w:cs="Times New Roman"/>
          <w:sz w:val="24"/>
          <w:szCs w:val="24"/>
        </w:rPr>
        <w:t xml:space="preserve">Papildus </w:t>
      </w:r>
      <w:r>
        <w:rPr>
          <w:rFonts w:ascii="Times New Roman" w:hAnsi="Times New Roman" w:cs="Times New Roman"/>
          <w:sz w:val="24"/>
          <w:szCs w:val="24"/>
        </w:rPr>
        <w:t>b</w:t>
      </w:r>
      <w:r w:rsidRPr="001178C1">
        <w:rPr>
          <w:rFonts w:ascii="Times New Roman" w:hAnsi="Times New Roman" w:cs="Times New Roman"/>
          <w:sz w:val="24"/>
          <w:szCs w:val="24"/>
        </w:rPr>
        <w:t>ūvdarbu veicēj</w:t>
      </w:r>
      <w:r>
        <w:rPr>
          <w:rFonts w:ascii="Times New Roman" w:hAnsi="Times New Roman" w:cs="Times New Roman"/>
          <w:sz w:val="24"/>
          <w:szCs w:val="24"/>
        </w:rPr>
        <w:t>s</w:t>
      </w:r>
      <w:r w:rsidRPr="0094223C">
        <w:rPr>
          <w:rFonts w:ascii="Times New Roman" w:hAnsi="Times New Roman" w:cs="Times New Roman"/>
          <w:sz w:val="24"/>
          <w:szCs w:val="24"/>
        </w:rPr>
        <w:t>, piesaistot sertificētu būvekspertu ar tiesībām veikt būvniecības tāmju ekspertīzi</w:t>
      </w:r>
      <w:r w:rsidR="003E6F70">
        <w:rPr>
          <w:rStyle w:val="FootnoteReference"/>
          <w:rFonts w:ascii="Times New Roman" w:hAnsi="Times New Roman" w:cs="Times New Roman"/>
          <w:sz w:val="24"/>
          <w:szCs w:val="24"/>
        </w:rPr>
        <w:footnoteReference w:id="10"/>
      </w:r>
      <w:r w:rsidRPr="0094223C">
        <w:rPr>
          <w:rFonts w:ascii="Times New Roman" w:hAnsi="Times New Roman" w:cs="Times New Roman"/>
          <w:sz w:val="24"/>
          <w:szCs w:val="24"/>
        </w:rPr>
        <w:t xml:space="preserve">, var veikt </w:t>
      </w:r>
      <w:r w:rsidRPr="007F407C">
        <w:rPr>
          <w:rFonts w:ascii="Times New Roman" w:hAnsi="Times New Roman" w:cs="Times New Roman"/>
          <w:sz w:val="24"/>
          <w:szCs w:val="24"/>
        </w:rPr>
        <w:t xml:space="preserve">būvmateriālu </w:t>
      </w:r>
      <w:r w:rsidRPr="0094223C">
        <w:rPr>
          <w:rFonts w:ascii="Times New Roman" w:hAnsi="Times New Roman" w:cs="Times New Roman"/>
          <w:sz w:val="24"/>
          <w:szCs w:val="24"/>
        </w:rPr>
        <w:t>sadārdzinājuma aprēķinu</w:t>
      </w:r>
      <w:r>
        <w:rPr>
          <w:rFonts w:ascii="Times New Roman" w:hAnsi="Times New Roman" w:cs="Times New Roman"/>
          <w:sz w:val="24"/>
          <w:szCs w:val="24"/>
        </w:rPr>
        <w:t xml:space="preserve"> tāmē norādītām </w:t>
      </w:r>
      <w:r w:rsidRPr="0094223C">
        <w:rPr>
          <w:rFonts w:ascii="Times New Roman" w:hAnsi="Times New Roman" w:cs="Times New Roman"/>
          <w:sz w:val="24"/>
          <w:szCs w:val="24"/>
        </w:rPr>
        <w:t>būvmateriālu grupām</w:t>
      </w:r>
      <w:r>
        <w:rPr>
          <w:rFonts w:ascii="Times New Roman" w:hAnsi="Times New Roman" w:cs="Times New Roman"/>
          <w:sz w:val="24"/>
          <w:szCs w:val="24"/>
        </w:rPr>
        <w:t xml:space="preserve">, par kurām ir norādīti </w:t>
      </w:r>
      <w:r w:rsidRPr="0094223C">
        <w:rPr>
          <w:rFonts w:ascii="Times New Roman" w:hAnsi="Times New Roman" w:cs="Times New Roman"/>
          <w:sz w:val="24"/>
          <w:szCs w:val="24"/>
        </w:rPr>
        <w:t>būvmateriāl</w:t>
      </w:r>
      <w:r>
        <w:rPr>
          <w:rFonts w:ascii="Times New Roman" w:hAnsi="Times New Roman" w:cs="Times New Roman"/>
          <w:sz w:val="24"/>
          <w:szCs w:val="24"/>
        </w:rPr>
        <w:t>u</w:t>
      </w:r>
      <w:r w:rsidRPr="0094223C">
        <w:rPr>
          <w:rFonts w:ascii="Times New Roman" w:hAnsi="Times New Roman" w:cs="Times New Roman"/>
          <w:sz w:val="24"/>
          <w:szCs w:val="24"/>
        </w:rPr>
        <w:t xml:space="preserve"> nosaukum</w:t>
      </w:r>
      <w:r>
        <w:rPr>
          <w:rFonts w:ascii="Times New Roman" w:hAnsi="Times New Roman" w:cs="Times New Roman"/>
          <w:sz w:val="24"/>
          <w:szCs w:val="24"/>
        </w:rPr>
        <w:t xml:space="preserve">i </w:t>
      </w:r>
      <w:r w:rsidRPr="0094223C">
        <w:rPr>
          <w:rFonts w:ascii="Times New Roman" w:hAnsi="Times New Roman" w:cs="Times New Roman"/>
          <w:sz w:val="24"/>
          <w:szCs w:val="24"/>
        </w:rPr>
        <w:t xml:space="preserve">un apjomi, </w:t>
      </w:r>
      <w:r>
        <w:rPr>
          <w:rFonts w:ascii="Times New Roman" w:hAnsi="Times New Roman" w:cs="Times New Roman"/>
          <w:sz w:val="24"/>
          <w:szCs w:val="24"/>
        </w:rPr>
        <w:t xml:space="preserve">un par kuriem pieejami </w:t>
      </w:r>
      <w:r w:rsidR="00942C54">
        <w:rPr>
          <w:rFonts w:ascii="Times New Roman" w:hAnsi="Times New Roman" w:cs="Times New Roman"/>
          <w:sz w:val="24"/>
          <w:szCs w:val="24"/>
        </w:rPr>
        <w:t>CSP</w:t>
      </w:r>
      <w:r>
        <w:rPr>
          <w:rFonts w:ascii="Times New Roman" w:hAnsi="Times New Roman" w:cs="Times New Roman"/>
          <w:sz w:val="24"/>
          <w:szCs w:val="24"/>
        </w:rPr>
        <w:t xml:space="preserve"> dati par b</w:t>
      </w:r>
      <w:r w:rsidRPr="0069792D">
        <w:rPr>
          <w:rFonts w:ascii="Times New Roman" w:hAnsi="Times New Roman" w:cs="Times New Roman"/>
          <w:sz w:val="24"/>
          <w:szCs w:val="24"/>
        </w:rPr>
        <w:t>ūvniecības resursu vidējo cenu pārmaiņ</w:t>
      </w:r>
      <w:r>
        <w:rPr>
          <w:rFonts w:ascii="Times New Roman" w:hAnsi="Times New Roman" w:cs="Times New Roman"/>
          <w:sz w:val="24"/>
          <w:szCs w:val="24"/>
        </w:rPr>
        <w:t xml:space="preserve">ām. Savukārt </w:t>
      </w:r>
      <w:r w:rsidRPr="0094223C">
        <w:rPr>
          <w:rFonts w:ascii="Times New Roman" w:hAnsi="Times New Roman" w:cs="Times New Roman"/>
          <w:sz w:val="24"/>
          <w:szCs w:val="24"/>
        </w:rPr>
        <w:t>būvmateriāli vis</w:t>
      </w:r>
      <w:r>
        <w:rPr>
          <w:rFonts w:ascii="Times New Roman" w:hAnsi="Times New Roman" w:cs="Times New Roman"/>
          <w:sz w:val="24"/>
          <w:szCs w:val="24"/>
        </w:rPr>
        <w:t>ā</w:t>
      </w:r>
      <w:r w:rsidRPr="0094223C">
        <w:rPr>
          <w:rFonts w:ascii="Times New Roman" w:hAnsi="Times New Roman" w:cs="Times New Roman"/>
          <w:sz w:val="24"/>
          <w:szCs w:val="24"/>
        </w:rPr>
        <w:t xml:space="preserve">s atlikušajās būvmateriālu grupās, </w:t>
      </w:r>
      <w:r>
        <w:rPr>
          <w:rFonts w:ascii="Times New Roman" w:hAnsi="Times New Roman" w:cs="Times New Roman"/>
          <w:sz w:val="24"/>
          <w:szCs w:val="24"/>
        </w:rPr>
        <w:t xml:space="preserve">par kuriem nav pieejami CSP dati, tiek uzskaitīti kā viena atsevišķa pozīcija, kurai sadārdzinājums tiek aprēķināts, piemērojot CSP </w:t>
      </w:r>
      <w:r w:rsidRPr="0094223C">
        <w:rPr>
          <w:rFonts w:ascii="Times New Roman" w:hAnsi="Times New Roman" w:cs="Times New Roman"/>
          <w:sz w:val="24"/>
          <w:szCs w:val="24"/>
        </w:rPr>
        <w:t>būvmateriālu indeks</w:t>
      </w:r>
      <w:r>
        <w:rPr>
          <w:rFonts w:ascii="Times New Roman" w:hAnsi="Times New Roman" w:cs="Times New Roman"/>
          <w:sz w:val="24"/>
          <w:szCs w:val="24"/>
        </w:rPr>
        <w:t>u</w:t>
      </w:r>
      <w:r w:rsidR="00D33D5A">
        <w:rPr>
          <w:rFonts w:ascii="Times New Roman" w:hAnsi="Times New Roman" w:cs="Times New Roman"/>
          <w:sz w:val="24"/>
          <w:szCs w:val="24"/>
        </w:rPr>
        <w:t>.</w:t>
      </w:r>
    </w:p>
    <w:p w14:paraId="13441C7F" w14:textId="77777777" w:rsidR="00BC361F" w:rsidRPr="004651A9" w:rsidRDefault="00BC361F" w:rsidP="00BC361F">
      <w:pPr>
        <w:spacing w:before="240" w:after="120" w:line="240" w:lineRule="auto"/>
        <w:jc w:val="both"/>
        <w:rPr>
          <w:rFonts w:ascii="Times New Roman" w:hAnsi="Times New Roman" w:cs="Times New Roman"/>
          <w:b/>
          <w:iCs/>
          <w:sz w:val="24"/>
          <w:szCs w:val="24"/>
        </w:rPr>
      </w:pPr>
      <w:r w:rsidRPr="004651A9">
        <w:rPr>
          <w:rFonts w:ascii="Times New Roman" w:hAnsi="Times New Roman" w:cs="Times New Roman"/>
          <w:b/>
          <w:iCs/>
          <w:sz w:val="24"/>
          <w:szCs w:val="24"/>
        </w:rPr>
        <w:t>Pārējo izmaksu sadārdzinājuma novērtēšana</w:t>
      </w:r>
    </w:p>
    <w:p w14:paraId="3705EDAF" w14:textId="51771075" w:rsidR="00BC361F" w:rsidRDefault="00BC361F" w:rsidP="00BC361F">
      <w:pPr>
        <w:spacing w:after="80" w:line="240" w:lineRule="auto"/>
        <w:ind w:firstLine="709"/>
        <w:jc w:val="both"/>
        <w:rPr>
          <w:rFonts w:ascii="Times New Roman" w:hAnsi="Times New Roman" w:cs="Times New Roman"/>
          <w:sz w:val="24"/>
          <w:szCs w:val="24"/>
        </w:rPr>
      </w:pPr>
      <w:r>
        <w:rPr>
          <w:rFonts w:ascii="Times New Roman" w:hAnsi="Times New Roman" w:cs="Times New Roman"/>
          <w:sz w:val="24"/>
          <w:szCs w:val="24"/>
        </w:rPr>
        <w:t>EM izstrādātās v</w:t>
      </w:r>
      <w:r w:rsidRPr="002B67C8">
        <w:rPr>
          <w:rFonts w:ascii="Times New Roman" w:hAnsi="Times New Roman" w:cs="Times New Roman"/>
          <w:sz w:val="24"/>
          <w:szCs w:val="24"/>
        </w:rPr>
        <w:t>adlīnijas paredzētas</w:t>
      </w:r>
      <w:r>
        <w:rPr>
          <w:rFonts w:ascii="Times New Roman" w:hAnsi="Times New Roman" w:cs="Times New Roman"/>
          <w:sz w:val="24"/>
          <w:szCs w:val="24"/>
        </w:rPr>
        <w:t xml:space="preserve"> tikai</w:t>
      </w:r>
      <w:r w:rsidRPr="002B67C8">
        <w:rPr>
          <w:rFonts w:ascii="Times New Roman" w:hAnsi="Times New Roman" w:cs="Times New Roman"/>
          <w:sz w:val="24"/>
          <w:szCs w:val="24"/>
        </w:rPr>
        <w:t xml:space="preserve"> </w:t>
      </w:r>
      <w:r>
        <w:rPr>
          <w:rFonts w:ascii="Times New Roman" w:hAnsi="Times New Roman" w:cs="Times New Roman"/>
          <w:sz w:val="24"/>
          <w:szCs w:val="24"/>
        </w:rPr>
        <w:t>būvmateriālu sadārdzinājuma novērtēšanai</w:t>
      </w:r>
      <w:r w:rsidRPr="00B21192">
        <w:rPr>
          <w:rFonts w:ascii="Times New Roman" w:hAnsi="Times New Roman" w:cs="Times New Roman"/>
          <w:sz w:val="24"/>
          <w:szCs w:val="24"/>
        </w:rPr>
        <w:t>.</w:t>
      </w:r>
      <w:r w:rsidR="00C650A3" w:rsidRPr="00B21192">
        <w:rPr>
          <w:rFonts w:ascii="Times New Roman" w:hAnsi="Times New Roman" w:cs="Times New Roman"/>
          <w:sz w:val="24"/>
          <w:szCs w:val="24"/>
        </w:rPr>
        <w:t xml:space="preserve"> Šajās vadlīnijās nav piedāvāta aprēķina metode darba spēka un iekārtu un mehānismu sadārdzinājuma aprēķināšanai.</w:t>
      </w:r>
      <w:r>
        <w:rPr>
          <w:rFonts w:ascii="Times New Roman" w:hAnsi="Times New Roman" w:cs="Times New Roman"/>
          <w:sz w:val="24"/>
          <w:szCs w:val="24"/>
        </w:rPr>
        <w:t xml:space="preserve"> </w:t>
      </w:r>
      <w:r w:rsidRPr="002B67C8">
        <w:rPr>
          <w:rFonts w:ascii="Times New Roman" w:hAnsi="Times New Roman" w:cs="Times New Roman"/>
          <w:sz w:val="24"/>
          <w:szCs w:val="24"/>
        </w:rPr>
        <w:t>Ja būvdarbu veicējam ir radies straujš</w:t>
      </w:r>
      <w:r>
        <w:rPr>
          <w:rFonts w:ascii="Times New Roman" w:hAnsi="Times New Roman" w:cs="Times New Roman"/>
          <w:sz w:val="24"/>
          <w:szCs w:val="24"/>
        </w:rPr>
        <w:t>, būtisks un neprognozējams</w:t>
      </w:r>
      <w:r w:rsidRPr="002B67C8">
        <w:rPr>
          <w:rFonts w:ascii="Times New Roman" w:hAnsi="Times New Roman" w:cs="Times New Roman"/>
          <w:sz w:val="24"/>
          <w:szCs w:val="24"/>
        </w:rPr>
        <w:t xml:space="preserve"> sadārdzinājums citās komponentēs</w:t>
      </w:r>
      <w:r>
        <w:rPr>
          <w:rFonts w:ascii="Times New Roman" w:hAnsi="Times New Roman" w:cs="Times New Roman"/>
          <w:sz w:val="24"/>
          <w:szCs w:val="24"/>
        </w:rPr>
        <w:t xml:space="preserve">, kā piemēram, strādnieku darba samaksas izmaksās, </w:t>
      </w:r>
      <w:r w:rsidRPr="000576D5">
        <w:rPr>
          <w:rFonts w:ascii="Times New Roman" w:hAnsi="Times New Roman" w:cs="Times New Roman"/>
          <w:sz w:val="24"/>
          <w:szCs w:val="24"/>
        </w:rPr>
        <w:t>mašīnu un mehānismu uzturēšana</w:t>
      </w:r>
      <w:r>
        <w:rPr>
          <w:rFonts w:ascii="Times New Roman" w:hAnsi="Times New Roman" w:cs="Times New Roman"/>
          <w:sz w:val="24"/>
          <w:szCs w:val="24"/>
        </w:rPr>
        <w:t>s</w:t>
      </w:r>
      <w:r w:rsidRPr="000576D5">
        <w:rPr>
          <w:rFonts w:ascii="Times New Roman" w:hAnsi="Times New Roman" w:cs="Times New Roman"/>
          <w:sz w:val="24"/>
          <w:szCs w:val="24"/>
        </w:rPr>
        <w:t xml:space="preserve"> un ekspluatācija</w:t>
      </w:r>
      <w:r>
        <w:rPr>
          <w:rFonts w:ascii="Times New Roman" w:hAnsi="Times New Roman" w:cs="Times New Roman"/>
          <w:sz w:val="24"/>
          <w:szCs w:val="24"/>
        </w:rPr>
        <w:t>s izmaksās, degvielas izmaksās, u.c.</w:t>
      </w:r>
      <w:r w:rsidRPr="002B67C8">
        <w:rPr>
          <w:rFonts w:ascii="Times New Roman" w:hAnsi="Times New Roman" w:cs="Times New Roman"/>
          <w:sz w:val="24"/>
          <w:szCs w:val="24"/>
        </w:rPr>
        <w:t xml:space="preserve">, </w:t>
      </w:r>
      <w:r>
        <w:rPr>
          <w:rFonts w:ascii="Times New Roman" w:hAnsi="Times New Roman" w:cs="Times New Roman"/>
          <w:sz w:val="24"/>
          <w:szCs w:val="24"/>
        </w:rPr>
        <w:t xml:space="preserve">tad šis sadārdzinājums ir pamatojams, būvdarbu veicējam iesniedzot pierādījumus gan sadārdzinājuma faktam, gan tā cēloniskajam sakaram ar Krievijas militāro agresiju Ukrainā un šīs agresijas izraisītām sekām. </w:t>
      </w:r>
      <w:r w:rsidRPr="00024BAF">
        <w:rPr>
          <w:rFonts w:ascii="Times New Roman" w:hAnsi="Times New Roman" w:cs="Times New Roman"/>
          <w:sz w:val="24"/>
          <w:szCs w:val="24"/>
        </w:rPr>
        <w:t>Pasūtītājs un būvdarbu veicējs savstarpēji vienojas par izmaksu sadārdzinājuma aprēķināšan</w:t>
      </w:r>
      <w:r>
        <w:rPr>
          <w:rFonts w:ascii="Times New Roman" w:hAnsi="Times New Roman" w:cs="Times New Roman"/>
          <w:sz w:val="24"/>
          <w:szCs w:val="24"/>
        </w:rPr>
        <w:t>u</w:t>
      </w:r>
      <w:r w:rsidRPr="00024BAF">
        <w:rPr>
          <w:rFonts w:ascii="Times New Roman" w:hAnsi="Times New Roman" w:cs="Times New Roman"/>
          <w:sz w:val="24"/>
          <w:szCs w:val="24"/>
        </w:rPr>
        <w:t xml:space="preserve">. </w:t>
      </w:r>
      <w:r>
        <w:rPr>
          <w:rFonts w:ascii="Times New Roman" w:hAnsi="Times New Roman" w:cs="Times New Roman"/>
          <w:sz w:val="24"/>
          <w:szCs w:val="24"/>
        </w:rPr>
        <w:t xml:space="preserve">Ar būvmateriālu izmaksu nesaistītu izmaksu sadārdzinājuma novērtēšanai var izmantot citu institūciju izstrādāto un aprobēto metodoloģiju, kā piemēram, </w:t>
      </w:r>
      <w:r w:rsidRPr="00A017AF">
        <w:rPr>
          <w:rFonts w:ascii="Times New Roman" w:hAnsi="Times New Roman" w:cs="Times New Roman"/>
          <w:sz w:val="24"/>
          <w:szCs w:val="24"/>
        </w:rPr>
        <w:t xml:space="preserve">VSIA </w:t>
      </w:r>
      <w:r>
        <w:rPr>
          <w:rFonts w:ascii="Times New Roman" w:hAnsi="Times New Roman" w:cs="Times New Roman"/>
          <w:sz w:val="24"/>
          <w:szCs w:val="24"/>
        </w:rPr>
        <w:t>“</w:t>
      </w:r>
      <w:r w:rsidRPr="00A017AF">
        <w:rPr>
          <w:rFonts w:ascii="Times New Roman" w:hAnsi="Times New Roman" w:cs="Times New Roman"/>
          <w:sz w:val="24"/>
          <w:szCs w:val="24"/>
        </w:rPr>
        <w:t>Latvijas Valsts ceļi</w:t>
      </w:r>
      <w:r>
        <w:rPr>
          <w:rFonts w:ascii="Times New Roman" w:hAnsi="Times New Roman" w:cs="Times New Roman"/>
          <w:sz w:val="24"/>
          <w:szCs w:val="24"/>
        </w:rPr>
        <w:t xml:space="preserve">” izstrādāto līgumcenas pārrēķināšanas metodi tipveida līgumiem autoceļu būvdarbiem, u.c. </w:t>
      </w:r>
      <w:r w:rsidRPr="001178C1">
        <w:rPr>
          <w:rFonts w:ascii="Times New Roman" w:hAnsi="Times New Roman" w:cs="Times New Roman"/>
          <w:sz w:val="24"/>
          <w:szCs w:val="24"/>
        </w:rPr>
        <w:t xml:space="preserve">Būvdarbu veicējam ir tiesības sniegt pierādījumus un aprēķinus par pārējo, kas jāskata </w:t>
      </w:r>
      <w:r w:rsidRPr="001178C1">
        <w:rPr>
          <w:rFonts w:ascii="Times New Roman" w:hAnsi="Times New Roman" w:cs="Times New Roman"/>
          <w:i/>
          <w:iCs/>
          <w:sz w:val="24"/>
          <w:szCs w:val="24"/>
        </w:rPr>
        <w:t>case by case</w:t>
      </w:r>
      <w:r w:rsidRPr="001178C1">
        <w:rPr>
          <w:rFonts w:ascii="Times New Roman" w:hAnsi="Times New Roman" w:cs="Times New Roman"/>
          <w:sz w:val="24"/>
          <w:szCs w:val="24"/>
        </w:rPr>
        <w:t>. Pasūtītājam un būvdarbu veicējam solidāri jāuzņemas risks.</w:t>
      </w:r>
    </w:p>
    <w:p w14:paraId="402AF5AB" w14:textId="51584A35" w:rsidR="0066032E" w:rsidRPr="00B75D9F" w:rsidRDefault="0066032E" w:rsidP="00ED4B32">
      <w:pPr>
        <w:spacing w:before="240" w:after="120" w:line="240" w:lineRule="auto"/>
        <w:jc w:val="both"/>
        <w:rPr>
          <w:rFonts w:ascii="Times New Roman" w:hAnsi="Times New Roman" w:cs="Times New Roman"/>
          <w:b/>
          <w:iCs/>
          <w:sz w:val="24"/>
          <w:szCs w:val="24"/>
        </w:rPr>
      </w:pPr>
      <w:r w:rsidRPr="00300CD3">
        <w:rPr>
          <w:rFonts w:ascii="Times New Roman" w:hAnsi="Times New Roman" w:cs="Times New Roman"/>
          <w:b/>
          <w:iCs/>
          <w:sz w:val="24"/>
          <w:szCs w:val="24"/>
        </w:rPr>
        <w:t xml:space="preserve">Atkāpšanās no līguma </w:t>
      </w:r>
      <w:r w:rsidRPr="00B75D9F">
        <w:rPr>
          <w:rFonts w:ascii="Times New Roman" w:hAnsi="Times New Roman" w:cs="Times New Roman"/>
          <w:b/>
          <w:iCs/>
          <w:sz w:val="24"/>
          <w:szCs w:val="24"/>
        </w:rPr>
        <w:t xml:space="preserve">un </w:t>
      </w:r>
      <w:r w:rsidR="008E036B">
        <w:rPr>
          <w:rFonts w:ascii="Times New Roman" w:hAnsi="Times New Roman" w:cs="Times New Roman"/>
          <w:b/>
          <w:iCs/>
          <w:sz w:val="24"/>
          <w:szCs w:val="24"/>
        </w:rPr>
        <w:t xml:space="preserve">sadārdzinājuma novērtēšanas </w:t>
      </w:r>
      <w:r w:rsidRPr="00B75D9F">
        <w:rPr>
          <w:rFonts w:ascii="Times New Roman" w:hAnsi="Times New Roman" w:cs="Times New Roman"/>
          <w:b/>
          <w:iCs/>
          <w:sz w:val="24"/>
          <w:szCs w:val="24"/>
        </w:rPr>
        <w:t>pārtraukšana</w:t>
      </w:r>
    </w:p>
    <w:p w14:paraId="6BF29656" w14:textId="1D7C019F" w:rsidR="000C5615" w:rsidRDefault="0066032E" w:rsidP="004651A9">
      <w:pPr>
        <w:spacing w:after="80" w:line="240" w:lineRule="auto"/>
        <w:ind w:firstLine="720"/>
        <w:jc w:val="both"/>
        <w:rPr>
          <w:rFonts w:ascii="Times New Roman" w:hAnsi="Times New Roman" w:cs="Times New Roman"/>
          <w:sz w:val="24"/>
          <w:szCs w:val="24"/>
        </w:rPr>
      </w:pPr>
      <w:r w:rsidRPr="005568E0">
        <w:rPr>
          <w:rFonts w:ascii="Times New Roman" w:hAnsi="Times New Roman" w:cs="Times New Roman"/>
          <w:sz w:val="24"/>
          <w:szCs w:val="24"/>
        </w:rPr>
        <w:t>Būvmateriālu izmaksu sadārdzinājuma risku saprātīgai sadalei var noteikt zināmas robežas, pie kurām līgums tiek pārtraukts. Ja sadārdzinājuma rezultātā līgumcenas pieaugums pārsniedz pasūtītāja spējas šo sadārdzinājumu kompensēt, tad pusēm ir tiesības vienpusēji atkāpties no līguma bez soda sankcijām.</w:t>
      </w:r>
    </w:p>
    <w:p w14:paraId="3956F5B2" w14:textId="581C8BB3" w:rsidR="00BC361F" w:rsidRDefault="00BC361F" w:rsidP="004651A9">
      <w:pPr>
        <w:spacing w:after="80" w:line="240" w:lineRule="auto"/>
        <w:ind w:firstLine="720"/>
        <w:jc w:val="both"/>
        <w:rPr>
          <w:rFonts w:ascii="Times New Roman" w:hAnsi="Times New Roman" w:cs="Times New Roman"/>
          <w:sz w:val="24"/>
          <w:szCs w:val="24"/>
        </w:rPr>
      </w:pPr>
    </w:p>
    <w:p w14:paraId="5A282A4B" w14:textId="77777777" w:rsidR="00BC361F" w:rsidRDefault="00BC361F" w:rsidP="004651A9">
      <w:pPr>
        <w:spacing w:after="80" w:line="240" w:lineRule="auto"/>
        <w:ind w:firstLine="720"/>
        <w:jc w:val="both"/>
        <w:rPr>
          <w:rFonts w:ascii="Times New Roman" w:hAnsi="Times New Roman" w:cs="Times New Roman"/>
          <w:sz w:val="24"/>
          <w:szCs w:val="24"/>
        </w:rPr>
      </w:pPr>
    </w:p>
    <w:sectPr w:rsidR="00BC361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BFE38" w14:textId="77777777" w:rsidR="00A47DA6" w:rsidRDefault="00A47DA6" w:rsidP="0062727F">
      <w:pPr>
        <w:spacing w:after="0" w:line="240" w:lineRule="auto"/>
      </w:pPr>
      <w:r>
        <w:separator/>
      </w:r>
    </w:p>
  </w:endnote>
  <w:endnote w:type="continuationSeparator" w:id="0">
    <w:p w14:paraId="235EC770" w14:textId="77777777" w:rsidR="00A47DA6" w:rsidRDefault="00A47DA6" w:rsidP="00627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2D7B6" w14:textId="77777777" w:rsidR="00A47DA6" w:rsidRDefault="00A47DA6" w:rsidP="0062727F">
      <w:pPr>
        <w:spacing w:after="0" w:line="240" w:lineRule="auto"/>
      </w:pPr>
      <w:r>
        <w:separator/>
      </w:r>
    </w:p>
  </w:footnote>
  <w:footnote w:type="continuationSeparator" w:id="0">
    <w:p w14:paraId="0D882270" w14:textId="77777777" w:rsidR="00A47DA6" w:rsidRDefault="00A47DA6" w:rsidP="0062727F">
      <w:pPr>
        <w:spacing w:after="0" w:line="240" w:lineRule="auto"/>
      </w:pPr>
      <w:r>
        <w:continuationSeparator/>
      </w:r>
    </w:p>
  </w:footnote>
  <w:footnote w:id="1">
    <w:p w14:paraId="30DCCAE2" w14:textId="54A7CC9F" w:rsidR="008A62FF" w:rsidRPr="00B32404" w:rsidRDefault="008A62FF" w:rsidP="008A62FF">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Pr="00B32404">
        <w:rPr>
          <w:rFonts w:ascii="Times New Roman" w:hAnsi="Times New Roman" w:cs="Times New Roman"/>
        </w:rPr>
        <w:t xml:space="preserve"> </w:t>
      </w:r>
      <w:r w:rsidR="008276FB">
        <w:rPr>
          <w:rFonts w:ascii="Times New Roman" w:hAnsi="Times New Roman" w:cs="Times New Roman"/>
        </w:rPr>
        <w:t xml:space="preserve">Termins </w:t>
      </w:r>
      <w:r w:rsidR="00487464" w:rsidRPr="00B32404">
        <w:rPr>
          <w:rFonts w:ascii="Times New Roman" w:hAnsi="Times New Roman" w:cs="Times New Roman"/>
        </w:rPr>
        <w:t>“</w:t>
      </w:r>
      <w:r w:rsidRPr="00B32404">
        <w:rPr>
          <w:rFonts w:ascii="Times New Roman" w:hAnsi="Times New Roman" w:cs="Times New Roman"/>
        </w:rPr>
        <w:t>būvmateriāli</w:t>
      </w:r>
      <w:r w:rsidR="00487464" w:rsidRPr="00B32404">
        <w:rPr>
          <w:rFonts w:ascii="Times New Roman" w:hAnsi="Times New Roman" w:cs="Times New Roman"/>
        </w:rPr>
        <w:t xml:space="preserve">” </w:t>
      </w:r>
      <w:r w:rsidR="008276FB">
        <w:rPr>
          <w:rFonts w:ascii="Times New Roman" w:hAnsi="Times New Roman" w:cs="Times New Roman"/>
        </w:rPr>
        <w:t xml:space="preserve">vadlīnijās tiek lietots, lai apzīmētu </w:t>
      </w:r>
      <w:r w:rsidRPr="00B32404">
        <w:rPr>
          <w:rFonts w:ascii="Times New Roman" w:hAnsi="Times New Roman" w:cs="Times New Roman"/>
        </w:rPr>
        <w:t>būvniecībā izmantojam</w:t>
      </w:r>
      <w:r w:rsidR="00B32404" w:rsidRPr="00B32404">
        <w:rPr>
          <w:rFonts w:ascii="Times New Roman" w:hAnsi="Times New Roman" w:cs="Times New Roman"/>
        </w:rPr>
        <w:t>os</w:t>
      </w:r>
      <w:r w:rsidRPr="00B32404">
        <w:rPr>
          <w:rFonts w:ascii="Times New Roman" w:hAnsi="Times New Roman" w:cs="Times New Roman"/>
        </w:rPr>
        <w:t xml:space="preserve"> būvmateriāl</w:t>
      </w:r>
      <w:r w:rsidR="00B32404" w:rsidRPr="00B32404">
        <w:rPr>
          <w:rFonts w:ascii="Times New Roman" w:hAnsi="Times New Roman" w:cs="Times New Roman"/>
        </w:rPr>
        <w:t xml:space="preserve">us </w:t>
      </w:r>
      <w:r w:rsidRPr="00B32404">
        <w:rPr>
          <w:rFonts w:ascii="Times New Roman" w:hAnsi="Times New Roman" w:cs="Times New Roman"/>
        </w:rPr>
        <w:t>un būvizstrādājum</w:t>
      </w:r>
      <w:r w:rsidR="00B32404" w:rsidRPr="00B32404">
        <w:rPr>
          <w:rFonts w:ascii="Times New Roman" w:hAnsi="Times New Roman" w:cs="Times New Roman"/>
        </w:rPr>
        <w:t>us</w:t>
      </w:r>
      <w:r w:rsidRPr="00B32404">
        <w:rPr>
          <w:rFonts w:ascii="Times New Roman" w:hAnsi="Times New Roman" w:cs="Times New Roman"/>
        </w:rPr>
        <w:t>.</w:t>
      </w:r>
    </w:p>
  </w:footnote>
  <w:footnote w:id="2">
    <w:p w14:paraId="27F052C8" w14:textId="266EEA64" w:rsidR="00C037A6" w:rsidRPr="00B32404" w:rsidRDefault="00782C0F" w:rsidP="00C037A6">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00421B3E">
        <w:rPr>
          <w:rFonts w:ascii="Times New Roman" w:hAnsi="Times New Roman" w:cs="Times New Roman"/>
        </w:rPr>
        <w:t xml:space="preserve"> EM i</w:t>
      </w:r>
      <w:r w:rsidR="00C037A6" w:rsidRPr="00B32404">
        <w:rPr>
          <w:rFonts w:ascii="Times New Roman" w:hAnsi="Times New Roman" w:cs="Times New Roman"/>
        </w:rPr>
        <w:t xml:space="preserve">nformatīvais ziņojums </w:t>
      </w:r>
      <w:r w:rsidR="00C037A6" w:rsidRPr="00B32404">
        <w:rPr>
          <w:rFonts w:ascii="Times New Roman" w:hAnsi="Times New Roman" w:cs="Times New Roman"/>
          <w:i/>
          <w:iCs/>
        </w:rPr>
        <w:t>“Par situāciju būvniecības nozarē saistībā ar Krievijas agresiju Ukrainā un nepieciešamajiem risinājumiem publisko investīciju projektos” (TAP 22-TA-938)</w:t>
      </w:r>
      <w:r w:rsidR="00C037A6" w:rsidRPr="00B32404">
        <w:rPr>
          <w:rFonts w:ascii="Times New Roman" w:hAnsi="Times New Roman" w:cs="Times New Roman"/>
        </w:rPr>
        <w:t xml:space="preserve"> pieejams </w:t>
      </w:r>
      <w:r w:rsidR="00C037A6" w:rsidRPr="00B32404">
        <w:rPr>
          <w:rFonts w:ascii="Times New Roman" w:hAnsi="Times New Roman" w:cs="Times New Roman"/>
          <w:shd w:val="clear" w:color="auto" w:fill="FFFFFF"/>
        </w:rPr>
        <w:t>tiesību aktu projektu</w:t>
      </w:r>
      <w:r w:rsidR="00C037A6" w:rsidRPr="00B32404">
        <w:rPr>
          <w:rFonts w:ascii="Times New Roman" w:hAnsi="Times New Roman" w:cs="Times New Roman"/>
        </w:rPr>
        <w:t xml:space="preserve"> portālā: https://tapportals.mk.gov.lv/legal_acts/5ede348a-1c08-43af-a118-d1468eb458b1</w:t>
      </w:r>
    </w:p>
  </w:footnote>
  <w:footnote w:id="3">
    <w:p w14:paraId="5F9EE0F1" w14:textId="77777777" w:rsidR="0060140A" w:rsidRPr="00B32404" w:rsidRDefault="0060140A" w:rsidP="0060140A">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Pr>
          <w:rFonts w:ascii="Times New Roman" w:hAnsi="Times New Roman" w:cs="Times New Roman"/>
        </w:rPr>
        <w:t xml:space="preserve"> EM i</w:t>
      </w:r>
      <w:r w:rsidRPr="00B32404">
        <w:rPr>
          <w:rFonts w:ascii="Times New Roman" w:hAnsi="Times New Roman" w:cs="Times New Roman"/>
        </w:rPr>
        <w:t xml:space="preserve">nformatīvais ziņojums </w:t>
      </w:r>
      <w:r w:rsidRPr="00B32404">
        <w:rPr>
          <w:rFonts w:ascii="Times New Roman" w:hAnsi="Times New Roman" w:cs="Times New Roman"/>
          <w:i/>
          <w:iCs/>
        </w:rPr>
        <w:t>“Par situāciju būvniecības nozarē saistībā ar Krievijas agresiju Ukrainā un nepieciešamajiem risinājumiem publisko investīciju projektos” (TAP 22-TA-938)</w:t>
      </w:r>
      <w:r w:rsidRPr="00B32404">
        <w:rPr>
          <w:rFonts w:ascii="Times New Roman" w:hAnsi="Times New Roman" w:cs="Times New Roman"/>
        </w:rPr>
        <w:t xml:space="preserve"> pieejams </w:t>
      </w:r>
      <w:r w:rsidRPr="00B32404">
        <w:rPr>
          <w:rFonts w:ascii="Times New Roman" w:hAnsi="Times New Roman" w:cs="Times New Roman"/>
          <w:shd w:val="clear" w:color="auto" w:fill="FFFFFF"/>
        </w:rPr>
        <w:t>tiesību aktu projektu</w:t>
      </w:r>
      <w:r w:rsidRPr="00B32404">
        <w:rPr>
          <w:rFonts w:ascii="Times New Roman" w:hAnsi="Times New Roman" w:cs="Times New Roman"/>
        </w:rPr>
        <w:t xml:space="preserve"> portālā: https://tapportals.mk.gov.lv/legal_acts/5ede348a-1c08-43af-a118-d1468eb458b1</w:t>
      </w:r>
    </w:p>
  </w:footnote>
  <w:footnote w:id="4">
    <w:p w14:paraId="1E80EF4B" w14:textId="5F7744D7" w:rsidR="00D32FE9" w:rsidRPr="00B32404" w:rsidRDefault="00D32FE9" w:rsidP="008A62FF">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Pr="00B32404">
        <w:rPr>
          <w:rFonts w:ascii="Times New Roman" w:hAnsi="Times New Roman" w:cs="Times New Roman"/>
        </w:rPr>
        <w:t xml:space="preserve"> </w:t>
      </w:r>
      <w:r w:rsidR="00B30BFA" w:rsidRPr="00B32404">
        <w:rPr>
          <w:rFonts w:ascii="Times New Roman" w:hAnsi="Times New Roman" w:cs="Times New Roman"/>
        </w:rPr>
        <w:t xml:space="preserve">EM 2020. gadā veikts pētījums </w:t>
      </w:r>
      <w:r w:rsidR="00B30BFA" w:rsidRPr="00B32404">
        <w:rPr>
          <w:rFonts w:ascii="Times New Roman" w:hAnsi="Times New Roman" w:cs="Times New Roman"/>
          <w:i/>
          <w:iCs/>
        </w:rPr>
        <w:t>“Par prognozētajām izmaiņām darbaspēka un būvmateriālu izmaksām būvniecības nozarē Latvijā 2020. -2024.”</w:t>
      </w:r>
      <w:r w:rsidR="00B30BFA" w:rsidRPr="00B32404">
        <w:rPr>
          <w:rFonts w:ascii="Times New Roman" w:hAnsi="Times New Roman" w:cs="Times New Roman"/>
        </w:rPr>
        <w:t xml:space="preserve"> un 2021. gadā veikts pētījums </w:t>
      </w:r>
      <w:r w:rsidR="00B30BFA" w:rsidRPr="00B32404">
        <w:rPr>
          <w:rFonts w:ascii="Times New Roman" w:hAnsi="Times New Roman" w:cs="Times New Roman"/>
          <w:i/>
          <w:iCs/>
        </w:rPr>
        <w:t>“Prognozētās izmaiņās darbaspēka un būvmateriālu izmaksās būvniecības nozarē Latvijā 2021.-2025.”</w:t>
      </w:r>
      <w:r w:rsidR="00B30BFA" w:rsidRPr="00B32404">
        <w:rPr>
          <w:rFonts w:ascii="Times New Roman" w:hAnsi="Times New Roman" w:cs="Times New Roman"/>
        </w:rPr>
        <w:t xml:space="preserve"> pieejams EM mājaslapā: </w:t>
      </w:r>
      <w:hyperlink r:id="rId1" w:history="1">
        <w:r w:rsidR="00B30BFA" w:rsidRPr="00B32404">
          <w:rPr>
            <w:rStyle w:val="Hyperlink"/>
            <w:rFonts w:ascii="Times New Roman" w:hAnsi="Times New Roman" w:cs="Times New Roman"/>
            <w:color w:val="auto"/>
          </w:rPr>
          <w:t>https://www.em.gov.lv/lv/buvniecibas-nozare-attistiba-strategija-un-petijumi</w:t>
        </w:r>
      </w:hyperlink>
      <w:r w:rsidR="00B30BFA" w:rsidRPr="00B32404">
        <w:rPr>
          <w:rFonts w:ascii="Times New Roman" w:hAnsi="Times New Roman" w:cs="Times New Roman"/>
        </w:rPr>
        <w:t>.</w:t>
      </w:r>
    </w:p>
  </w:footnote>
  <w:footnote w:id="5">
    <w:p w14:paraId="4FF3B427" w14:textId="77777777" w:rsidR="00560176" w:rsidRPr="00B32404" w:rsidRDefault="00560176" w:rsidP="008A62FF">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Pr="00B32404">
        <w:rPr>
          <w:rFonts w:ascii="Times New Roman" w:hAnsi="Times New Roman" w:cs="Times New Roman"/>
        </w:rPr>
        <w:t xml:space="preserve"> EM 2020. gadā veikts pētījums </w:t>
      </w:r>
      <w:r w:rsidRPr="00B32404">
        <w:rPr>
          <w:rFonts w:ascii="Times New Roman" w:hAnsi="Times New Roman" w:cs="Times New Roman"/>
          <w:i/>
          <w:iCs/>
        </w:rPr>
        <w:t>“Par prognozētajām izmaiņām darbaspēka un būvmateriālu izmaksām būvniecības nozarē Latvijā 2020. -2024.”</w:t>
      </w:r>
      <w:r w:rsidRPr="00B32404">
        <w:rPr>
          <w:rFonts w:ascii="Times New Roman" w:hAnsi="Times New Roman" w:cs="Times New Roman"/>
        </w:rPr>
        <w:t xml:space="preserve"> un 2021. gadā veikts pētījums </w:t>
      </w:r>
      <w:r w:rsidRPr="00B32404">
        <w:rPr>
          <w:rFonts w:ascii="Times New Roman" w:hAnsi="Times New Roman" w:cs="Times New Roman"/>
          <w:i/>
          <w:iCs/>
        </w:rPr>
        <w:t>“Prognozētās izmaiņās darbaspēka un būvmateriālu izmaksās būvniecības nozarē Latvijā 2021.-2025.”</w:t>
      </w:r>
      <w:r w:rsidRPr="00B32404">
        <w:rPr>
          <w:rFonts w:ascii="Times New Roman" w:hAnsi="Times New Roman" w:cs="Times New Roman"/>
        </w:rPr>
        <w:t xml:space="preserve"> pieejams EM mājaslapā: </w:t>
      </w:r>
      <w:hyperlink r:id="rId2" w:history="1">
        <w:r w:rsidRPr="00B32404">
          <w:rPr>
            <w:rStyle w:val="Hyperlink"/>
            <w:rFonts w:ascii="Times New Roman" w:hAnsi="Times New Roman" w:cs="Times New Roman"/>
            <w:color w:val="auto"/>
          </w:rPr>
          <w:t>https://www.em.gov.lv/lv/buvniecibas-nozare-attistiba-strategija-un-petijumi</w:t>
        </w:r>
      </w:hyperlink>
      <w:r w:rsidRPr="00B32404">
        <w:rPr>
          <w:rFonts w:ascii="Times New Roman" w:hAnsi="Times New Roman" w:cs="Times New Roman"/>
        </w:rPr>
        <w:t>.</w:t>
      </w:r>
    </w:p>
  </w:footnote>
  <w:footnote w:id="6">
    <w:p w14:paraId="7974D50B" w14:textId="76136251" w:rsidR="008A7AFB" w:rsidRPr="00B32404" w:rsidRDefault="008A7AFB" w:rsidP="008A62FF">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Pr="00B32404">
        <w:rPr>
          <w:rFonts w:ascii="Times New Roman" w:hAnsi="Times New Roman" w:cs="Times New Roman"/>
        </w:rPr>
        <w:t xml:space="preserve"> CSP datubāze: https://data.stat.gov.lv/pxweb/lv/OSP_PUB/START__VEK__RC__RCB/RCB010/</w:t>
      </w:r>
    </w:p>
  </w:footnote>
  <w:footnote w:id="7">
    <w:p w14:paraId="02D226A0" w14:textId="77777777" w:rsidR="0047049C" w:rsidRPr="00B32404" w:rsidRDefault="0047049C" w:rsidP="0047049C">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Pr="00B32404">
        <w:rPr>
          <w:rFonts w:ascii="Times New Roman" w:hAnsi="Times New Roman" w:cs="Times New Roman"/>
        </w:rPr>
        <w:t xml:space="preserve"> CSP datubāze: https://data.stat.gov.lv/pxweb/lv/OSP_PUB/START__VEK__RC__RCB/RCB040c/</w:t>
      </w:r>
    </w:p>
  </w:footnote>
  <w:footnote w:id="8">
    <w:p w14:paraId="6DF786CE" w14:textId="7E8802D1" w:rsidR="0047049C" w:rsidRDefault="0047049C">
      <w:pPr>
        <w:pStyle w:val="FootnoteText"/>
      </w:pPr>
      <w:r>
        <w:rPr>
          <w:rStyle w:val="FootnoteReference"/>
        </w:rPr>
        <w:footnoteRef/>
      </w:r>
      <w:r>
        <w:t xml:space="preserve"> </w:t>
      </w:r>
      <w:r w:rsidRPr="00B32404">
        <w:rPr>
          <w:rFonts w:ascii="Times New Roman" w:hAnsi="Times New Roman" w:cs="Times New Roman"/>
        </w:rPr>
        <w:t>CSP datubāze:</w:t>
      </w:r>
      <w:r>
        <w:rPr>
          <w:rFonts w:ascii="Times New Roman" w:hAnsi="Times New Roman" w:cs="Times New Roman"/>
        </w:rPr>
        <w:t xml:space="preserve"> </w:t>
      </w:r>
      <w:r w:rsidRPr="0047049C">
        <w:rPr>
          <w:rFonts w:ascii="Times New Roman" w:hAnsi="Times New Roman" w:cs="Times New Roman"/>
        </w:rPr>
        <w:t>https://data.stat.gov.lv/pxweb/lv/OSP_PUB/START__VEK__RC__RCB/RCB040m/</w:t>
      </w:r>
    </w:p>
  </w:footnote>
  <w:footnote w:id="9">
    <w:p w14:paraId="686867FE" w14:textId="77777777" w:rsidR="00432F53" w:rsidRPr="00B32404" w:rsidRDefault="00432F53" w:rsidP="008A62FF">
      <w:pPr>
        <w:pStyle w:val="FootnoteText"/>
        <w:jc w:val="both"/>
        <w:rPr>
          <w:rFonts w:ascii="Times New Roman" w:hAnsi="Times New Roman" w:cs="Times New Roman"/>
        </w:rPr>
      </w:pPr>
      <w:r w:rsidRPr="00B32404">
        <w:rPr>
          <w:rStyle w:val="FootnoteReference"/>
          <w:rFonts w:ascii="Times New Roman" w:hAnsi="Times New Roman" w:cs="Times New Roman"/>
        </w:rPr>
        <w:footnoteRef/>
      </w:r>
      <w:r w:rsidRPr="00B32404">
        <w:rPr>
          <w:rFonts w:ascii="Times New Roman" w:hAnsi="Times New Roman" w:cs="Times New Roman"/>
        </w:rPr>
        <w:t xml:space="preserve"> EM 2020. gadā veikts pētījums </w:t>
      </w:r>
      <w:r w:rsidRPr="00B32404">
        <w:rPr>
          <w:rFonts w:ascii="Times New Roman" w:hAnsi="Times New Roman" w:cs="Times New Roman"/>
          <w:i/>
          <w:iCs/>
        </w:rPr>
        <w:t>“Par prognozētajām izmaiņām darbaspēka un būvmateriālu izmaksām būvniecības nozarē Latvijā 2020. -2024.”</w:t>
      </w:r>
      <w:r w:rsidRPr="00B32404">
        <w:rPr>
          <w:rFonts w:ascii="Times New Roman" w:hAnsi="Times New Roman" w:cs="Times New Roman"/>
        </w:rPr>
        <w:t xml:space="preserve"> un 2021. gadā veikts pētījums </w:t>
      </w:r>
      <w:r w:rsidRPr="00B32404">
        <w:rPr>
          <w:rFonts w:ascii="Times New Roman" w:hAnsi="Times New Roman" w:cs="Times New Roman"/>
          <w:i/>
          <w:iCs/>
        </w:rPr>
        <w:t>“Prognozētās izmaiņās darbaspēka un būvmateriālu izmaksās būvniecības nozarē Latvijā 2021.-2025.”</w:t>
      </w:r>
      <w:r w:rsidRPr="00B32404">
        <w:rPr>
          <w:rFonts w:ascii="Times New Roman" w:hAnsi="Times New Roman" w:cs="Times New Roman"/>
        </w:rPr>
        <w:t xml:space="preserve"> pieejams EM mājaslapā: </w:t>
      </w:r>
      <w:hyperlink r:id="rId3" w:history="1">
        <w:r w:rsidRPr="00B32404">
          <w:rPr>
            <w:rStyle w:val="Hyperlink"/>
            <w:rFonts w:ascii="Times New Roman" w:hAnsi="Times New Roman" w:cs="Times New Roman"/>
            <w:color w:val="auto"/>
          </w:rPr>
          <w:t>https://www.em.gov.lv/lv/buvniecibas-nozare-attistiba-strategija-un-petijumi</w:t>
        </w:r>
      </w:hyperlink>
      <w:r w:rsidRPr="00B32404">
        <w:rPr>
          <w:rFonts w:ascii="Times New Roman" w:hAnsi="Times New Roman" w:cs="Times New Roman"/>
        </w:rPr>
        <w:t>.</w:t>
      </w:r>
    </w:p>
  </w:footnote>
  <w:footnote w:id="10">
    <w:p w14:paraId="6B13112F" w14:textId="70055BAE" w:rsidR="003E6F70" w:rsidRPr="007C0A3E" w:rsidRDefault="003E6F70" w:rsidP="007C0A3E">
      <w:pPr>
        <w:pStyle w:val="FootnoteText"/>
        <w:jc w:val="both"/>
        <w:rPr>
          <w:rFonts w:ascii="Times New Roman" w:hAnsi="Times New Roman" w:cs="Times New Roman"/>
        </w:rPr>
      </w:pPr>
      <w:r w:rsidRPr="007C0A3E">
        <w:rPr>
          <w:rStyle w:val="FootnoteReference"/>
          <w:rFonts w:ascii="Times New Roman" w:hAnsi="Times New Roman" w:cs="Times New Roman"/>
        </w:rPr>
        <w:footnoteRef/>
      </w:r>
      <w:r w:rsidRPr="007C0A3E">
        <w:rPr>
          <w:rFonts w:ascii="Times New Roman" w:hAnsi="Times New Roman" w:cs="Times New Roman"/>
        </w:rPr>
        <w:t xml:space="preserve"> Atbilstoši Ministru kabineta 2018.gada 20.marta noteikumiem Nr.169 “Būvspeciālistu kompetences novērtēšanas un patstāvīgās prakses uzraudzības noteikumi”</w:t>
      </w:r>
      <w:r w:rsidR="00277710">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B0151"/>
    <w:multiLevelType w:val="hybridMultilevel"/>
    <w:tmpl w:val="16D2BAE2"/>
    <w:lvl w:ilvl="0" w:tplc="CB7CD404">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 w15:restartNumberingAfterBreak="0">
    <w:nsid w:val="10C515EE"/>
    <w:multiLevelType w:val="hybridMultilevel"/>
    <w:tmpl w:val="386E58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8927FC"/>
    <w:multiLevelType w:val="hybridMultilevel"/>
    <w:tmpl w:val="5DAADC2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7314DF7"/>
    <w:multiLevelType w:val="hybridMultilevel"/>
    <w:tmpl w:val="0AD4CC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9391164"/>
    <w:multiLevelType w:val="hybridMultilevel"/>
    <w:tmpl w:val="207472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3D040C7"/>
    <w:multiLevelType w:val="hybridMultilevel"/>
    <w:tmpl w:val="96F0091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34D6CF4"/>
    <w:multiLevelType w:val="hybridMultilevel"/>
    <w:tmpl w:val="2B34F042"/>
    <w:lvl w:ilvl="0" w:tplc="738664F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AB01DC9"/>
    <w:multiLevelType w:val="hybridMultilevel"/>
    <w:tmpl w:val="BF7EBD4E"/>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2"/>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07B"/>
    <w:rsid w:val="00000C9C"/>
    <w:rsid w:val="00002886"/>
    <w:rsid w:val="00007942"/>
    <w:rsid w:val="000105CC"/>
    <w:rsid w:val="000106A3"/>
    <w:rsid w:val="00023C38"/>
    <w:rsid w:val="00024BAF"/>
    <w:rsid w:val="0002744A"/>
    <w:rsid w:val="00030520"/>
    <w:rsid w:val="000340F3"/>
    <w:rsid w:val="00034B0F"/>
    <w:rsid w:val="00034CAE"/>
    <w:rsid w:val="000415D9"/>
    <w:rsid w:val="00045041"/>
    <w:rsid w:val="00045F13"/>
    <w:rsid w:val="00052F9D"/>
    <w:rsid w:val="000543A2"/>
    <w:rsid w:val="000559E1"/>
    <w:rsid w:val="000576D5"/>
    <w:rsid w:val="00062E12"/>
    <w:rsid w:val="000665ED"/>
    <w:rsid w:val="00074ABB"/>
    <w:rsid w:val="000820F0"/>
    <w:rsid w:val="00084C37"/>
    <w:rsid w:val="000863CC"/>
    <w:rsid w:val="00093860"/>
    <w:rsid w:val="00094A72"/>
    <w:rsid w:val="000A226A"/>
    <w:rsid w:val="000A2B88"/>
    <w:rsid w:val="000C2015"/>
    <w:rsid w:val="000C5615"/>
    <w:rsid w:val="000C5FEF"/>
    <w:rsid w:val="000D65F1"/>
    <w:rsid w:val="000E1357"/>
    <w:rsid w:val="000E2FE2"/>
    <w:rsid w:val="000E3575"/>
    <w:rsid w:val="000F4839"/>
    <w:rsid w:val="000F61A6"/>
    <w:rsid w:val="000F7948"/>
    <w:rsid w:val="0010150D"/>
    <w:rsid w:val="001107DE"/>
    <w:rsid w:val="00114616"/>
    <w:rsid w:val="0011581B"/>
    <w:rsid w:val="001167B6"/>
    <w:rsid w:val="001175DE"/>
    <w:rsid w:val="001178C1"/>
    <w:rsid w:val="00117F9B"/>
    <w:rsid w:val="00130C4F"/>
    <w:rsid w:val="00131597"/>
    <w:rsid w:val="0013385B"/>
    <w:rsid w:val="001436B4"/>
    <w:rsid w:val="00143B1E"/>
    <w:rsid w:val="001456B7"/>
    <w:rsid w:val="00150F1A"/>
    <w:rsid w:val="001524D6"/>
    <w:rsid w:val="00153C50"/>
    <w:rsid w:val="00174919"/>
    <w:rsid w:val="00180F86"/>
    <w:rsid w:val="00184AC8"/>
    <w:rsid w:val="00187885"/>
    <w:rsid w:val="00187F81"/>
    <w:rsid w:val="0019233C"/>
    <w:rsid w:val="001926BE"/>
    <w:rsid w:val="001A0775"/>
    <w:rsid w:val="001A3419"/>
    <w:rsid w:val="001A3581"/>
    <w:rsid w:val="001A4D63"/>
    <w:rsid w:val="001A7E3A"/>
    <w:rsid w:val="001B282D"/>
    <w:rsid w:val="001B7C78"/>
    <w:rsid w:val="001C1EC9"/>
    <w:rsid w:val="001C483B"/>
    <w:rsid w:val="001C7E04"/>
    <w:rsid w:val="001D013F"/>
    <w:rsid w:val="001D548D"/>
    <w:rsid w:val="001D7545"/>
    <w:rsid w:val="001D7E9B"/>
    <w:rsid w:val="001E282C"/>
    <w:rsid w:val="001E5285"/>
    <w:rsid w:val="001E5E10"/>
    <w:rsid w:val="001F1193"/>
    <w:rsid w:val="001F12D5"/>
    <w:rsid w:val="001F20E7"/>
    <w:rsid w:val="001F2459"/>
    <w:rsid w:val="001F6BF6"/>
    <w:rsid w:val="001F7001"/>
    <w:rsid w:val="001F72E0"/>
    <w:rsid w:val="00200453"/>
    <w:rsid w:val="00213AF6"/>
    <w:rsid w:val="00214399"/>
    <w:rsid w:val="002206CC"/>
    <w:rsid w:val="00220FD2"/>
    <w:rsid w:val="002210E9"/>
    <w:rsid w:val="0022120D"/>
    <w:rsid w:val="00222C35"/>
    <w:rsid w:val="00224121"/>
    <w:rsid w:val="00225C05"/>
    <w:rsid w:val="0022645C"/>
    <w:rsid w:val="002310A9"/>
    <w:rsid w:val="00242638"/>
    <w:rsid w:val="00247CCD"/>
    <w:rsid w:val="00250028"/>
    <w:rsid w:val="002512AB"/>
    <w:rsid w:val="00257EE0"/>
    <w:rsid w:val="00261EF3"/>
    <w:rsid w:val="0026370C"/>
    <w:rsid w:val="00264F5C"/>
    <w:rsid w:val="00270371"/>
    <w:rsid w:val="00270FAE"/>
    <w:rsid w:val="00271BB3"/>
    <w:rsid w:val="00275A29"/>
    <w:rsid w:val="00277710"/>
    <w:rsid w:val="00280F95"/>
    <w:rsid w:val="00283AB7"/>
    <w:rsid w:val="00285E5D"/>
    <w:rsid w:val="00290A46"/>
    <w:rsid w:val="002917E8"/>
    <w:rsid w:val="00291A12"/>
    <w:rsid w:val="002A0514"/>
    <w:rsid w:val="002B0C04"/>
    <w:rsid w:val="002B1472"/>
    <w:rsid w:val="002B447F"/>
    <w:rsid w:val="002B67C8"/>
    <w:rsid w:val="002C6021"/>
    <w:rsid w:val="002C630C"/>
    <w:rsid w:val="002D4775"/>
    <w:rsid w:val="002D493D"/>
    <w:rsid w:val="002E2EA2"/>
    <w:rsid w:val="002E5D24"/>
    <w:rsid w:val="002F1FD0"/>
    <w:rsid w:val="002F5D45"/>
    <w:rsid w:val="00300CD3"/>
    <w:rsid w:val="00307C91"/>
    <w:rsid w:val="00310FC1"/>
    <w:rsid w:val="00312CCC"/>
    <w:rsid w:val="003166FA"/>
    <w:rsid w:val="00324CA9"/>
    <w:rsid w:val="00325B0F"/>
    <w:rsid w:val="00336EF2"/>
    <w:rsid w:val="00341089"/>
    <w:rsid w:val="00342038"/>
    <w:rsid w:val="003505A0"/>
    <w:rsid w:val="00350855"/>
    <w:rsid w:val="003608CC"/>
    <w:rsid w:val="00361BD5"/>
    <w:rsid w:val="00364ACF"/>
    <w:rsid w:val="003707CA"/>
    <w:rsid w:val="00373EB7"/>
    <w:rsid w:val="00377183"/>
    <w:rsid w:val="00384C96"/>
    <w:rsid w:val="00384DCA"/>
    <w:rsid w:val="003903E1"/>
    <w:rsid w:val="00391E65"/>
    <w:rsid w:val="00394835"/>
    <w:rsid w:val="00397FB3"/>
    <w:rsid w:val="003A0BBD"/>
    <w:rsid w:val="003A30FB"/>
    <w:rsid w:val="003A3C6E"/>
    <w:rsid w:val="003A5F79"/>
    <w:rsid w:val="003A7B5B"/>
    <w:rsid w:val="003B1771"/>
    <w:rsid w:val="003B3C6E"/>
    <w:rsid w:val="003B41AE"/>
    <w:rsid w:val="003B4996"/>
    <w:rsid w:val="003B5A23"/>
    <w:rsid w:val="003C5E66"/>
    <w:rsid w:val="003E5FD2"/>
    <w:rsid w:val="003E6F70"/>
    <w:rsid w:val="003E7DFE"/>
    <w:rsid w:val="003F0684"/>
    <w:rsid w:val="003F3C0D"/>
    <w:rsid w:val="004001AF"/>
    <w:rsid w:val="00403814"/>
    <w:rsid w:val="004053C9"/>
    <w:rsid w:val="00411D0A"/>
    <w:rsid w:val="0041630B"/>
    <w:rsid w:val="00421B3E"/>
    <w:rsid w:val="00424509"/>
    <w:rsid w:val="00424692"/>
    <w:rsid w:val="004263F6"/>
    <w:rsid w:val="0042654E"/>
    <w:rsid w:val="004269D4"/>
    <w:rsid w:val="00426F72"/>
    <w:rsid w:val="00432F53"/>
    <w:rsid w:val="00435063"/>
    <w:rsid w:val="004425ED"/>
    <w:rsid w:val="00442AFB"/>
    <w:rsid w:val="00445B92"/>
    <w:rsid w:val="00453527"/>
    <w:rsid w:val="00464071"/>
    <w:rsid w:val="004651A9"/>
    <w:rsid w:val="0047049C"/>
    <w:rsid w:val="00471B1F"/>
    <w:rsid w:val="0047239D"/>
    <w:rsid w:val="0047361B"/>
    <w:rsid w:val="00487464"/>
    <w:rsid w:val="004950F7"/>
    <w:rsid w:val="00495789"/>
    <w:rsid w:val="00496CD0"/>
    <w:rsid w:val="004A01E9"/>
    <w:rsid w:val="004A03CB"/>
    <w:rsid w:val="004A129E"/>
    <w:rsid w:val="004A423B"/>
    <w:rsid w:val="004B0A76"/>
    <w:rsid w:val="004B5B86"/>
    <w:rsid w:val="004B7318"/>
    <w:rsid w:val="004C29EA"/>
    <w:rsid w:val="004C32B7"/>
    <w:rsid w:val="004C43A6"/>
    <w:rsid w:val="004D0712"/>
    <w:rsid w:val="004D35B9"/>
    <w:rsid w:val="004E3194"/>
    <w:rsid w:val="004F498F"/>
    <w:rsid w:val="00504993"/>
    <w:rsid w:val="00512997"/>
    <w:rsid w:val="00514D30"/>
    <w:rsid w:val="00523A6C"/>
    <w:rsid w:val="00531D9D"/>
    <w:rsid w:val="005367C0"/>
    <w:rsid w:val="005368AB"/>
    <w:rsid w:val="0054045D"/>
    <w:rsid w:val="005413B8"/>
    <w:rsid w:val="005568E0"/>
    <w:rsid w:val="00560176"/>
    <w:rsid w:val="00571A04"/>
    <w:rsid w:val="005941C2"/>
    <w:rsid w:val="00595F33"/>
    <w:rsid w:val="00596C54"/>
    <w:rsid w:val="00596EE1"/>
    <w:rsid w:val="005A3564"/>
    <w:rsid w:val="005A407B"/>
    <w:rsid w:val="005A4333"/>
    <w:rsid w:val="005B0A84"/>
    <w:rsid w:val="005B3618"/>
    <w:rsid w:val="005B512A"/>
    <w:rsid w:val="005B5F7E"/>
    <w:rsid w:val="005C45C0"/>
    <w:rsid w:val="005C6545"/>
    <w:rsid w:val="005C78AC"/>
    <w:rsid w:val="005D5747"/>
    <w:rsid w:val="005F0B1C"/>
    <w:rsid w:val="005F6E83"/>
    <w:rsid w:val="005F7D47"/>
    <w:rsid w:val="0060140A"/>
    <w:rsid w:val="0060150F"/>
    <w:rsid w:val="00610200"/>
    <w:rsid w:val="006123A2"/>
    <w:rsid w:val="00612EEF"/>
    <w:rsid w:val="006206C7"/>
    <w:rsid w:val="006207D5"/>
    <w:rsid w:val="0062625F"/>
    <w:rsid w:val="0062727F"/>
    <w:rsid w:val="006331EA"/>
    <w:rsid w:val="006503F6"/>
    <w:rsid w:val="006510A6"/>
    <w:rsid w:val="006549FC"/>
    <w:rsid w:val="006564CB"/>
    <w:rsid w:val="0066032E"/>
    <w:rsid w:val="00661F55"/>
    <w:rsid w:val="00667479"/>
    <w:rsid w:val="006774CE"/>
    <w:rsid w:val="00680A12"/>
    <w:rsid w:val="00685E26"/>
    <w:rsid w:val="00687B16"/>
    <w:rsid w:val="006947E5"/>
    <w:rsid w:val="00696143"/>
    <w:rsid w:val="0069792D"/>
    <w:rsid w:val="006A18DE"/>
    <w:rsid w:val="006B103E"/>
    <w:rsid w:val="006B272B"/>
    <w:rsid w:val="006C1CAD"/>
    <w:rsid w:val="006C684E"/>
    <w:rsid w:val="006C689D"/>
    <w:rsid w:val="006D128A"/>
    <w:rsid w:val="006D1FF8"/>
    <w:rsid w:val="006D4231"/>
    <w:rsid w:val="006D586D"/>
    <w:rsid w:val="006E52F7"/>
    <w:rsid w:val="006F1CC3"/>
    <w:rsid w:val="006F2F1C"/>
    <w:rsid w:val="006F5013"/>
    <w:rsid w:val="006F736D"/>
    <w:rsid w:val="007029A9"/>
    <w:rsid w:val="0070455F"/>
    <w:rsid w:val="0071036B"/>
    <w:rsid w:val="00716900"/>
    <w:rsid w:val="0072109F"/>
    <w:rsid w:val="00721CDF"/>
    <w:rsid w:val="00724F7C"/>
    <w:rsid w:val="007260EB"/>
    <w:rsid w:val="0073222E"/>
    <w:rsid w:val="00733122"/>
    <w:rsid w:val="00733431"/>
    <w:rsid w:val="00733506"/>
    <w:rsid w:val="00734AA7"/>
    <w:rsid w:val="00734AC2"/>
    <w:rsid w:val="0074084F"/>
    <w:rsid w:val="00743907"/>
    <w:rsid w:val="00744B7B"/>
    <w:rsid w:val="0076211D"/>
    <w:rsid w:val="0077046E"/>
    <w:rsid w:val="00774FC1"/>
    <w:rsid w:val="00781971"/>
    <w:rsid w:val="00782C0F"/>
    <w:rsid w:val="0078580E"/>
    <w:rsid w:val="0078712E"/>
    <w:rsid w:val="00791F6F"/>
    <w:rsid w:val="00794718"/>
    <w:rsid w:val="007A15C0"/>
    <w:rsid w:val="007A223E"/>
    <w:rsid w:val="007A3097"/>
    <w:rsid w:val="007A476A"/>
    <w:rsid w:val="007A5D3B"/>
    <w:rsid w:val="007B1B39"/>
    <w:rsid w:val="007B5B44"/>
    <w:rsid w:val="007C0A3E"/>
    <w:rsid w:val="007C2CAE"/>
    <w:rsid w:val="007C5DB5"/>
    <w:rsid w:val="007C7CC6"/>
    <w:rsid w:val="007D215F"/>
    <w:rsid w:val="007E0F57"/>
    <w:rsid w:val="007E1FA8"/>
    <w:rsid w:val="007E220A"/>
    <w:rsid w:val="007E6153"/>
    <w:rsid w:val="007F407C"/>
    <w:rsid w:val="00802573"/>
    <w:rsid w:val="00804CEC"/>
    <w:rsid w:val="00813A91"/>
    <w:rsid w:val="00814626"/>
    <w:rsid w:val="00822C5B"/>
    <w:rsid w:val="00823E50"/>
    <w:rsid w:val="008270BC"/>
    <w:rsid w:val="008276FB"/>
    <w:rsid w:val="00830CF8"/>
    <w:rsid w:val="00831F23"/>
    <w:rsid w:val="00833762"/>
    <w:rsid w:val="0084212D"/>
    <w:rsid w:val="00843D1A"/>
    <w:rsid w:val="0084631F"/>
    <w:rsid w:val="0085236C"/>
    <w:rsid w:val="00853D71"/>
    <w:rsid w:val="00857839"/>
    <w:rsid w:val="00860FC0"/>
    <w:rsid w:val="008610C0"/>
    <w:rsid w:val="00862DDD"/>
    <w:rsid w:val="008641C3"/>
    <w:rsid w:val="00872B88"/>
    <w:rsid w:val="008745BC"/>
    <w:rsid w:val="008853F1"/>
    <w:rsid w:val="00886B97"/>
    <w:rsid w:val="00887657"/>
    <w:rsid w:val="008957C0"/>
    <w:rsid w:val="00897CD6"/>
    <w:rsid w:val="008A62FF"/>
    <w:rsid w:val="008A7AFB"/>
    <w:rsid w:val="008B2295"/>
    <w:rsid w:val="008B4AEF"/>
    <w:rsid w:val="008C02F0"/>
    <w:rsid w:val="008C1299"/>
    <w:rsid w:val="008C30D0"/>
    <w:rsid w:val="008C421B"/>
    <w:rsid w:val="008C4D29"/>
    <w:rsid w:val="008D23C2"/>
    <w:rsid w:val="008E036B"/>
    <w:rsid w:val="008E0A0F"/>
    <w:rsid w:val="008E21C9"/>
    <w:rsid w:val="008F3DC9"/>
    <w:rsid w:val="008F3E4C"/>
    <w:rsid w:val="008F5544"/>
    <w:rsid w:val="00900FB2"/>
    <w:rsid w:val="0090717E"/>
    <w:rsid w:val="0091003B"/>
    <w:rsid w:val="00910DF7"/>
    <w:rsid w:val="009111BC"/>
    <w:rsid w:val="009179AA"/>
    <w:rsid w:val="00920131"/>
    <w:rsid w:val="009217A6"/>
    <w:rsid w:val="0092303E"/>
    <w:rsid w:val="00926076"/>
    <w:rsid w:val="00930D4B"/>
    <w:rsid w:val="00931E90"/>
    <w:rsid w:val="009336B5"/>
    <w:rsid w:val="00935F31"/>
    <w:rsid w:val="009417E7"/>
    <w:rsid w:val="009420EF"/>
    <w:rsid w:val="0094223C"/>
    <w:rsid w:val="009423B6"/>
    <w:rsid w:val="00942C54"/>
    <w:rsid w:val="00942D70"/>
    <w:rsid w:val="00954BDD"/>
    <w:rsid w:val="009551DE"/>
    <w:rsid w:val="009667EE"/>
    <w:rsid w:val="00973843"/>
    <w:rsid w:val="0097529B"/>
    <w:rsid w:val="0097594A"/>
    <w:rsid w:val="00980ADD"/>
    <w:rsid w:val="00982692"/>
    <w:rsid w:val="00994648"/>
    <w:rsid w:val="00994EBD"/>
    <w:rsid w:val="009A3FF1"/>
    <w:rsid w:val="009B1547"/>
    <w:rsid w:val="009B7553"/>
    <w:rsid w:val="009B77C0"/>
    <w:rsid w:val="009C0FCC"/>
    <w:rsid w:val="009D00DB"/>
    <w:rsid w:val="009D290C"/>
    <w:rsid w:val="009D7107"/>
    <w:rsid w:val="009D7B7D"/>
    <w:rsid w:val="009D7E94"/>
    <w:rsid w:val="009F5E8F"/>
    <w:rsid w:val="00A004D9"/>
    <w:rsid w:val="00A017AF"/>
    <w:rsid w:val="00A044AA"/>
    <w:rsid w:val="00A04EA7"/>
    <w:rsid w:val="00A06416"/>
    <w:rsid w:val="00A072E8"/>
    <w:rsid w:val="00A15326"/>
    <w:rsid w:val="00A17616"/>
    <w:rsid w:val="00A234D4"/>
    <w:rsid w:val="00A25D51"/>
    <w:rsid w:val="00A37340"/>
    <w:rsid w:val="00A47DA6"/>
    <w:rsid w:val="00A51891"/>
    <w:rsid w:val="00A7338B"/>
    <w:rsid w:val="00A80A23"/>
    <w:rsid w:val="00A816AE"/>
    <w:rsid w:val="00A866D6"/>
    <w:rsid w:val="00A90C62"/>
    <w:rsid w:val="00A95733"/>
    <w:rsid w:val="00A9615E"/>
    <w:rsid w:val="00A971CC"/>
    <w:rsid w:val="00AA46D3"/>
    <w:rsid w:val="00AB0625"/>
    <w:rsid w:val="00AB4487"/>
    <w:rsid w:val="00AC523D"/>
    <w:rsid w:val="00AD6224"/>
    <w:rsid w:val="00AD6A9D"/>
    <w:rsid w:val="00AF2907"/>
    <w:rsid w:val="00AF4E10"/>
    <w:rsid w:val="00AF51AC"/>
    <w:rsid w:val="00B02FE6"/>
    <w:rsid w:val="00B05B7F"/>
    <w:rsid w:val="00B06D0F"/>
    <w:rsid w:val="00B07A86"/>
    <w:rsid w:val="00B138DE"/>
    <w:rsid w:val="00B1420F"/>
    <w:rsid w:val="00B15E51"/>
    <w:rsid w:val="00B17EE5"/>
    <w:rsid w:val="00B17EF5"/>
    <w:rsid w:val="00B20E12"/>
    <w:rsid w:val="00B20E89"/>
    <w:rsid w:val="00B21192"/>
    <w:rsid w:val="00B272DD"/>
    <w:rsid w:val="00B30BFA"/>
    <w:rsid w:val="00B32404"/>
    <w:rsid w:val="00B428FD"/>
    <w:rsid w:val="00B469E2"/>
    <w:rsid w:val="00B4702E"/>
    <w:rsid w:val="00B478EA"/>
    <w:rsid w:val="00B53897"/>
    <w:rsid w:val="00B53C16"/>
    <w:rsid w:val="00B54F9D"/>
    <w:rsid w:val="00B572A7"/>
    <w:rsid w:val="00B60AFE"/>
    <w:rsid w:val="00B63184"/>
    <w:rsid w:val="00B6587E"/>
    <w:rsid w:val="00B67B5A"/>
    <w:rsid w:val="00B71377"/>
    <w:rsid w:val="00B75D9F"/>
    <w:rsid w:val="00B768DA"/>
    <w:rsid w:val="00B8008B"/>
    <w:rsid w:val="00B80F5F"/>
    <w:rsid w:val="00B816BD"/>
    <w:rsid w:val="00B82EC6"/>
    <w:rsid w:val="00B844B9"/>
    <w:rsid w:val="00B85A82"/>
    <w:rsid w:val="00B870FC"/>
    <w:rsid w:val="00B87595"/>
    <w:rsid w:val="00B979E5"/>
    <w:rsid w:val="00BA24F2"/>
    <w:rsid w:val="00BB5192"/>
    <w:rsid w:val="00BB73A0"/>
    <w:rsid w:val="00BC361F"/>
    <w:rsid w:val="00BC43CD"/>
    <w:rsid w:val="00BC6C30"/>
    <w:rsid w:val="00BD0C00"/>
    <w:rsid w:val="00BD0C50"/>
    <w:rsid w:val="00BD21CE"/>
    <w:rsid w:val="00BD4FC0"/>
    <w:rsid w:val="00BD6126"/>
    <w:rsid w:val="00BE2531"/>
    <w:rsid w:val="00BE672F"/>
    <w:rsid w:val="00BF35C5"/>
    <w:rsid w:val="00BF74BB"/>
    <w:rsid w:val="00BF7A3E"/>
    <w:rsid w:val="00C02C6B"/>
    <w:rsid w:val="00C037A6"/>
    <w:rsid w:val="00C03BC1"/>
    <w:rsid w:val="00C1151C"/>
    <w:rsid w:val="00C11A12"/>
    <w:rsid w:val="00C12D3C"/>
    <w:rsid w:val="00C12D86"/>
    <w:rsid w:val="00C15983"/>
    <w:rsid w:val="00C1654B"/>
    <w:rsid w:val="00C168E2"/>
    <w:rsid w:val="00C20260"/>
    <w:rsid w:val="00C203E5"/>
    <w:rsid w:val="00C20992"/>
    <w:rsid w:val="00C24199"/>
    <w:rsid w:val="00C27012"/>
    <w:rsid w:val="00C32A42"/>
    <w:rsid w:val="00C35B7D"/>
    <w:rsid w:val="00C36210"/>
    <w:rsid w:val="00C3671E"/>
    <w:rsid w:val="00C42211"/>
    <w:rsid w:val="00C426FB"/>
    <w:rsid w:val="00C57B3C"/>
    <w:rsid w:val="00C650A3"/>
    <w:rsid w:val="00C653E9"/>
    <w:rsid w:val="00C66C2D"/>
    <w:rsid w:val="00C67C02"/>
    <w:rsid w:val="00C7085E"/>
    <w:rsid w:val="00C723C4"/>
    <w:rsid w:val="00C755B2"/>
    <w:rsid w:val="00C82284"/>
    <w:rsid w:val="00C86BE2"/>
    <w:rsid w:val="00C91A75"/>
    <w:rsid w:val="00C930AE"/>
    <w:rsid w:val="00CA41C7"/>
    <w:rsid w:val="00CA5550"/>
    <w:rsid w:val="00CA58AA"/>
    <w:rsid w:val="00CA7FBB"/>
    <w:rsid w:val="00CB1D14"/>
    <w:rsid w:val="00CB28B3"/>
    <w:rsid w:val="00CB391C"/>
    <w:rsid w:val="00CC35E6"/>
    <w:rsid w:val="00CC7305"/>
    <w:rsid w:val="00CD06E0"/>
    <w:rsid w:val="00CD480B"/>
    <w:rsid w:val="00CE3D39"/>
    <w:rsid w:val="00CF092D"/>
    <w:rsid w:val="00CF30B4"/>
    <w:rsid w:val="00CF49EF"/>
    <w:rsid w:val="00CF5240"/>
    <w:rsid w:val="00CF68EA"/>
    <w:rsid w:val="00D048C6"/>
    <w:rsid w:val="00D05CD5"/>
    <w:rsid w:val="00D0764F"/>
    <w:rsid w:val="00D106BF"/>
    <w:rsid w:val="00D13B4C"/>
    <w:rsid w:val="00D16E8A"/>
    <w:rsid w:val="00D17178"/>
    <w:rsid w:val="00D200E8"/>
    <w:rsid w:val="00D2050C"/>
    <w:rsid w:val="00D25FA3"/>
    <w:rsid w:val="00D26C5C"/>
    <w:rsid w:val="00D3012C"/>
    <w:rsid w:val="00D30C8A"/>
    <w:rsid w:val="00D32FE9"/>
    <w:rsid w:val="00D33D5A"/>
    <w:rsid w:val="00D33F66"/>
    <w:rsid w:val="00D34E2C"/>
    <w:rsid w:val="00D378C6"/>
    <w:rsid w:val="00D40380"/>
    <w:rsid w:val="00D40BA9"/>
    <w:rsid w:val="00D4155F"/>
    <w:rsid w:val="00D4266A"/>
    <w:rsid w:val="00D452D1"/>
    <w:rsid w:val="00D45F9B"/>
    <w:rsid w:val="00D46A78"/>
    <w:rsid w:val="00D503B2"/>
    <w:rsid w:val="00D608EE"/>
    <w:rsid w:val="00D627E4"/>
    <w:rsid w:val="00D708AD"/>
    <w:rsid w:val="00D76CF3"/>
    <w:rsid w:val="00D776FE"/>
    <w:rsid w:val="00D93A46"/>
    <w:rsid w:val="00D94D6B"/>
    <w:rsid w:val="00D97729"/>
    <w:rsid w:val="00DA7B5F"/>
    <w:rsid w:val="00DB501D"/>
    <w:rsid w:val="00DC0430"/>
    <w:rsid w:val="00DC1DA0"/>
    <w:rsid w:val="00DC358B"/>
    <w:rsid w:val="00DC7F5B"/>
    <w:rsid w:val="00DD106E"/>
    <w:rsid w:val="00DD404D"/>
    <w:rsid w:val="00DD40AA"/>
    <w:rsid w:val="00DD6134"/>
    <w:rsid w:val="00DE1BFB"/>
    <w:rsid w:val="00DE4EB1"/>
    <w:rsid w:val="00DF10D2"/>
    <w:rsid w:val="00DF7B63"/>
    <w:rsid w:val="00E02473"/>
    <w:rsid w:val="00E064DC"/>
    <w:rsid w:val="00E11334"/>
    <w:rsid w:val="00E115AD"/>
    <w:rsid w:val="00E21659"/>
    <w:rsid w:val="00E2250C"/>
    <w:rsid w:val="00E30796"/>
    <w:rsid w:val="00E33581"/>
    <w:rsid w:val="00E34A18"/>
    <w:rsid w:val="00E36233"/>
    <w:rsid w:val="00E46FCD"/>
    <w:rsid w:val="00E52791"/>
    <w:rsid w:val="00E637FD"/>
    <w:rsid w:val="00E64C27"/>
    <w:rsid w:val="00E66759"/>
    <w:rsid w:val="00E7412D"/>
    <w:rsid w:val="00E819E6"/>
    <w:rsid w:val="00E85B6F"/>
    <w:rsid w:val="00E9395C"/>
    <w:rsid w:val="00E94568"/>
    <w:rsid w:val="00E9791E"/>
    <w:rsid w:val="00EA0A6A"/>
    <w:rsid w:val="00EA16D3"/>
    <w:rsid w:val="00EA3C56"/>
    <w:rsid w:val="00EA4126"/>
    <w:rsid w:val="00EA64B2"/>
    <w:rsid w:val="00EB6A43"/>
    <w:rsid w:val="00EB721D"/>
    <w:rsid w:val="00EC798D"/>
    <w:rsid w:val="00ED03AD"/>
    <w:rsid w:val="00ED0E05"/>
    <w:rsid w:val="00ED10A2"/>
    <w:rsid w:val="00ED3D15"/>
    <w:rsid w:val="00ED4B32"/>
    <w:rsid w:val="00ED58C3"/>
    <w:rsid w:val="00ED6DB0"/>
    <w:rsid w:val="00EE7E47"/>
    <w:rsid w:val="00EF7F4B"/>
    <w:rsid w:val="00F01DBD"/>
    <w:rsid w:val="00F04BD8"/>
    <w:rsid w:val="00F12589"/>
    <w:rsid w:val="00F2017D"/>
    <w:rsid w:val="00F205FF"/>
    <w:rsid w:val="00F22FE2"/>
    <w:rsid w:val="00F374D8"/>
    <w:rsid w:val="00F430CD"/>
    <w:rsid w:val="00F43ADE"/>
    <w:rsid w:val="00F46828"/>
    <w:rsid w:val="00F47122"/>
    <w:rsid w:val="00F533F6"/>
    <w:rsid w:val="00F56ED5"/>
    <w:rsid w:val="00F607D1"/>
    <w:rsid w:val="00F61D6C"/>
    <w:rsid w:val="00F64238"/>
    <w:rsid w:val="00F642BA"/>
    <w:rsid w:val="00F66065"/>
    <w:rsid w:val="00F7040E"/>
    <w:rsid w:val="00F716D1"/>
    <w:rsid w:val="00F76D51"/>
    <w:rsid w:val="00F81C0D"/>
    <w:rsid w:val="00F851BC"/>
    <w:rsid w:val="00F87694"/>
    <w:rsid w:val="00F87AA8"/>
    <w:rsid w:val="00F903B4"/>
    <w:rsid w:val="00F96DC0"/>
    <w:rsid w:val="00FA78A7"/>
    <w:rsid w:val="00FB6EE2"/>
    <w:rsid w:val="00FC4692"/>
    <w:rsid w:val="00FC70FF"/>
    <w:rsid w:val="00FD776C"/>
    <w:rsid w:val="00FE215C"/>
    <w:rsid w:val="00FE3635"/>
    <w:rsid w:val="00FE727D"/>
    <w:rsid w:val="00FF2DDB"/>
    <w:rsid w:val="00FF4682"/>
    <w:rsid w:val="00FF62B2"/>
    <w:rsid w:val="00FF6E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4BC23"/>
  <w15:chartTrackingRefBased/>
  <w15:docId w15:val="{3C23400A-66B7-43CA-8747-60D70E39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225C05"/>
    <w:pPr>
      <w:spacing w:after="0" w:line="240" w:lineRule="auto"/>
    </w:pPr>
    <w:rPr>
      <w:rFonts w:ascii="Times New Roman" w:eastAsia="Times New Roman" w:hAnsi="Times New Roman" w:cs="Times New Roman"/>
      <w:szCs w:val="18"/>
    </w:rPr>
  </w:style>
  <w:style w:type="character" w:customStyle="1" w:styleId="BalloonTextChar">
    <w:name w:val="Balloon Text Char"/>
    <w:basedOn w:val="DefaultParagraphFont"/>
    <w:link w:val="BalloonText"/>
    <w:uiPriority w:val="99"/>
    <w:rsid w:val="00225C05"/>
    <w:rPr>
      <w:rFonts w:ascii="Times New Roman" w:eastAsia="Times New Roman" w:hAnsi="Times New Roman" w:cs="Times New Roman"/>
      <w:szCs w:val="18"/>
    </w:rPr>
  </w:style>
  <w:style w:type="paragraph" w:styleId="FootnoteText">
    <w:name w:val="footnote text"/>
    <w:basedOn w:val="Normal"/>
    <w:link w:val="FootnoteTextChar"/>
    <w:unhideWhenUsed/>
    <w:rsid w:val="0062727F"/>
    <w:pPr>
      <w:spacing w:after="0" w:line="240" w:lineRule="auto"/>
    </w:pPr>
    <w:rPr>
      <w:sz w:val="20"/>
      <w:szCs w:val="20"/>
    </w:rPr>
  </w:style>
  <w:style w:type="character" w:customStyle="1" w:styleId="FootnoteTextChar">
    <w:name w:val="Footnote Text Char"/>
    <w:basedOn w:val="DefaultParagraphFont"/>
    <w:link w:val="FootnoteText"/>
    <w:rsid w:val="0062727F"/>
    <w:rPr>
      <w:sz w:val="20"/>
      <w:szCs w:val="20"/>
    </w:rPr>
  </w:style>
  <w:style w:type="character" w:styleId="FootnoteReference">
    <w:name w:val="footnote reference"/>
    <w:basedOn w:val="DefaultParagraphFont"/>
    <w:unhideWhenUsed/>
    <w:rsid w:val="0062727F"/>
    <w:rPr>
      <w:vertAlign w:val="superscript"/>
    </w:rPr>
  </w:style>
  <w:style w:type="character" w:styleId="Hyperlink">
    <w:name w:val="Hyperlink"/>
    <w:basedOn w:val="DefaultParagraphFont"/>
    <w:unhideWhenUsed/>
    <w:rsid w:val="0062727F"/>
    <w:rPr>
      <w:color w:val="0563C1" w:themeColor="hyperlink"/>
      <w:u w:val="single"/>
    </w:rPr>
  </w:style>
  <w:style w:type="character" w:styleId="UnresolvedMention">
    <w:name w:val="Unresolved Mention"/>
    <w:basedOn w:val="DefaultParagraphFont"/>
    <w:uiPriority w:val="99"/>
    <w:semiHidden/>
    <w:unhideWhenUsed/>
    <w:rsid w:val="0062727F"/>
    <w:rPr>
      <w:color w:val="605E5C"/>
      <w:shd w:val="clear" w:color="auto" w:fill="E1DFDD"/>
    </w:rPr>
  </w:style>
  <w:style w:type="table" w:styleId="TableGrid">
    <w:name w:val="Table Grid"/>
    <w:basedOn w:val="TableNormal"/>
    <w:rsid w:val="0062727F"/>
    <w:pPr>
      <w:spacing w:after="0" w:line="240" w:lineRule="auto"/>
    </w:pPr>
    <w:rPr>
      <w:rFonts w:ascii="Times New Roman" w:eastAsia="Times New Roman" w:hAnsi="Times New Roman" w:cs="Times New Roman"/>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C421B"/>
    <w:rPr>
      <w:sz w:val="16"/>
      <w:szCs w:val="16"/>
    </w:rPr>
  </w:style>
  <w:style w:type="paragraph" w:styleId="CommentText">
    <w:name w:val="annotation text"/>
    <w:basedOn w:val="Normal"/>
    <w:link w:val="CommentTextChar"/>
    <w:unhideWhenUsed/>
    <w:rsid w:val="008C421B"/>
    <w:pPr>
      <w:spacing w:line="240" w:lineRule="auto"/>
    </w:pPr>
    <w:rPr>
      <w:sz w:val="20"/>
      <w:szCs w:val="20"/>
    </w:rPr>
  </w:style>
  <w:style w:type="character" w:customStyle="1" w:styleId="CommentTextChar">
    <w:name w:val="Comment Text Char"/>
    <w:basedOn w:val="DefaultParagraphFont"/>
    <w:link w:val="CommentText"/>
    <w:rsid w:val="008C421B"/>
    <w:rPr>
      <w:sz w:val="20"/>
      <w:szCs w:val="20"/>
    </w:rPr>
  </w:style>
  <w:style w:type="paragraph" w:styleId="CommentSubject">
    <w:name w:val="annotation subject"/>
    <w:basedOn w:val="CommentText"/>
    <w:next w:val="CommentText"/>
    <w:link w:val="CommentSubjectChar"/>
    <w:uiPriority w:val="99"/>
    <w:semiHidden/>
    <w:unhideWhenUsed/>
    <w:rsid w:val="008C421B"/>
    <w:rPr>
      <w:b/>
      <w:bCs/>
    </w:rPr>
  </w:style>
  <w:style w:type="character" w:customStyle="1" w:styleId="CommentSubjectChar">
    <w:name w:val="Comment Subject Char"/>
    <w:basedOn w:val="CommentTextChar"/>
    <w:link w:val="CommentSubject"/>
    <w:uiPriority w:val="99"/>
    <w:semiHidden/>
    <w:rsid w:val="008C421B"/>
    <w:rPr>
      <w:b/>
      <w:bCs/>
      <w:sz w:val="20"/>
      <w:szCs w:val="20"/>
    </w:rPr>
  </w:style>
  <w:style w:type="paragraph" w:styleId="ListParagraph">
    <w:name w:val="List Paragraph"/>
    <w:basedOn w:val="Normal"/>
    <w:uiPriority w:val="34"/>
    <w:qFormat/>
    <w:rsid w:val="00B979E5"/>
    <w:pPr>
      <w:ind w:left="720"/>
      <w:contextualSpacing/>
    </w:pPr>
  </w:style>
  <w:style w:type="character" w:styleId="PlaceholderText">
    <w:name w:val="Placeholder Text"/>
    <w:basedOn w:val="DefaultParagraphFont"/>
    <w:uiPriority w:val="99"/>
    <w:semiHidden/>
    <w:rsid w:val="008D23C2"/>
    <w:rPr>
      <w:color w:val="808080"/>
    </w:rPr>
  </w:style>
  <w:style w:type="character" w:styleId="FollowedHyperlink">
    <w:name w:val="FollowedHyperlink"/>
    <w:basedOn w:val="DefaultParagraphFont"/>
    <w:uiPriority w:val="99"/>
    <w:semiHidden/>
    <w:unhideWhenUsed/>
    <w:rsid w:val="001C7E04"/>
    <w:rPr>
      <w:color w:val="954F72" w:themeColor="followedHyperlink"/>
      <w:u w:val="single"/>
    </w:rPr>
  </w:style>
  <w:style w:type="paragraph" w:styleId="Caption">
    <w:name w:val="caption"/>
    <w:basedOn w:val="Normal"/>
    <w:next w:val="Normal"/>
    <w:uiPriority w:val="35"/>
    <w:unhideWhenUsed/>
    <w:qFormat/>
    <w:rsid w:val="00D97729"/>
    <w:pPr>
      <w:spacing w:after="200" w:line="240" w:lineRule="auto"/>
      <w:ind w:firstLine="720"/>
      <w:jc w:val="both"/>
    </w:pPr>
    <w:rPr>
      <w:i/>
      <w:iCs/>
      <w:color w:val="44546A" w:themeColor="text2"/>
      <w:sz w:val="18"/>
      <w:szCs w:val="18"/>
    </w:rPr>
  </w:style>
  <w:style w:type="table" w:styleId="GridTable1Light">
    <w:name w:val="Grid Table 1 Light"/>
    <w:basedOn w:val="TableNormal"/>
    <w:uiPriority w:val="46"/>
    <w:rsid w:val="00D9772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v213">
    <w:name w:val="tv213"/>
    <w:basedOn w:val="Normal"/>
    <w:rsid w:val="000A226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2D47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gov.lv/lv/buvniecibas-nozare-attistiba-strategija-un-petij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m.gov.lv/lv/buvniecibas-nozare-attistiba-strategija-un-petijumi" TargetMode="External"/><Relationship Id="rId2" Type="http://schemas.openxmlformats.org/officeDocument/2006/relationships/hyperlink" Target="https://www.em.gov.lv/lv/buvniecibas-nozare-attistiba-strategija-un-petijumi" TargetMode="External"/><Relationship Id="rId1" Type="http://schemas.openxmlformats.org/officeDocument/2006/relationships/hyperlink" Target="https://www.em.gov.lv/lv/buvniecibas-nozare-attistiba-strategija-un-petij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A783E-1009-4423-924E-284BF7F67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10956</Words>
  <Characters>6245</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Gusts Sproģis</dc:creator>
  <cp:keywords/>
  <dc:description/>
  <cp:lastModifiedBy>Inese Biukšāne</cp:lastModifiedBy>
  <cp:revision>20</cp:revision>
  <dcterms:created xsi:type="dcterms:W3CDTF">2022-06-30T10:28:00Z</dcterms:created>
  <dcterms:modified xsi:type="dcterms:W3CDTF">2022-07-04T14:16:00Z</dcterms:modified>
</cp:coreProperties>
</file>