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5E43" w14:textId="45A45FF8" w:rsidR="00C24199" w:rsidRPr="0094223C" w:rsidRDefault="00A072E8" w:rsidP="00200453">
      <w:pPr>
        <w:jc w:val="center"/>
        <w:rPr>
          <w:rFonts w:ascii="Times New Roman" w:hAnsi="Times New Roman" w:cs="Times New Roman"/>
          <w:b/>
          <w:sz w:val="24"/>
          <w:szCs w:val="24"/>
        </w:rPr>
      </w:pPr>
      <w:r w:rsidRPr="0094223C">
        <w:rPr>
          <w:rFonts w:ascii="Times New Roman" w:hAnsi="Times New Roman" w:cs="Times New Roman"/>
          <w:b/>
          <w:sz w:val="24"/>
          <w:szCs w:val="24"/>
        </w:rPr>
        <w:t xml:space="preserve">Vadlīnijas </w:t>
      </w:r>
      <w:r w:rsidR="00424509" w:rsidRPr="0094223C">
        <w:rPr>
          <w:rFonts w:ascii="Times New Roman" w:hAnsi="Times New Roman" w:cs="Times New Roman"/>
          <w:b/>
          <w:sz w:val="24"/>
          <w:szCs w:val="24"/>
        </w:rPr>
        <w:t>būvmateriālu izmaksu</w:t>
      </w:r>
      <w:r w:rsidRPr="0094223C">
        <w:rPr>
          <w:rFonts w:ascii="Times New Roman" w:hAnsi="Times New Roman" w:cs="Times New Roman"/>
          <w:b/>
          <w:sz w:val="24"/>
          <w:szCs w:val="24"/>
        </w:rPr>
        <w:t xml:space="preserve"> </w:t>
      </w:r>
      <w:r w:rsidR="007260EB">
        <w:rPr>
          <w:rFonts w:ascii="Times New Roman" w:hAnsi="Times New Roman" w:cs="Times New Roman"/>
          <w:b/>
          <w:sz w:val="24"/>
          <w:szCs w:val="24"/>
        </w:rPr>
        <w:t>sadārdzinājuma novērtēšanai</w:t>
      </w:r>
      <w:r w:rsidR="00E2250C">
        <w:rPr>
          <w:rFonts w:ascii="Times New Roman" w:hAnsi="Times New Roman" w:cs="Times New Roman"/>
          <w:b/>
          <w:sz w:val="24"/>
          <w:szCs w:val="24"/>
        </w:rPr>
        <w:t xml:space="preserve"> </w:t>
      </w:r>
      <w:r w:rsidR="00E2250C" w:rsidRPr="00E2250C">
        <w:rPr>
          <w:rFonts w:ascii="Times New Roman" w:hAnsi="Times New Roman" w:cs="Times New Roman"/>
          <w:b/>
          <w:sz w:val="24"/>
          <w:szCs w:val="24"/>
        </w:rPr>
        <w:t xml:space="preserve">sakarā ar Krievijas </w:t>
      </w:r>
      <w:r w:rsidR="006D4231">
        <w:rPr>
          <w:rFonts w:ascii="Times New Roman" w:hAnsi="Times New Roman" w:cs="Times New Roman"/>
          <w:b/>
          <w:sz w:val="24"/>
          <w:szCs w:val="24"/>
        </w:rPr>
        <w:t xml:space="preserve">militāro agresiju </w:t>
      </w:r>
      <w:r w:rsidR="00E2250C" w:rsidRPr="00E2250C">
        <w:rPr>
          <w:rFonts w:ascii="Times New Roman" w:hAnsi="Times New Roman" w:cs="Times New Roman"/>
          <w:b/>
          <w:sz w:val="24"/>
          <w:szCs w:val="24"/>
        </w:rPr>
        <w:t xml:space="preserve"> Ukrainā</w:t>
      </w:r>
      <w:r w:rsidR="007260EB">
        <w:rPr>
          <w:rFonts w:ascii="Times New Roman" w:hAnsi="Times New Roman" w:cs="Times New Roman"/>
          <w:b/>
          <w:sz w:val="24"/>
          <w:szCs w:val="24"/>
        </w:rPr>
        <w:t xml:space="preserve"> </w:t>
      </w:r>
      <w:r w:rsidR="00C24199" w:rsidRPr="0094223C">
        <w:rPr>
          <w:rFonts w:ascii="Times New Roman" w:hAnsi="Times New Roman" w:cs="Times New Roman"/>
          <w:b/>
          <w:sz w:val="24"/>
          <w:szCs w:val="24"/>
        </w:rPr>
        <w:t>grozījumu veikšanai spēkā esošajos publiskajos būvdarbu līgumos</w:t>
      </w:r>
      <w:r w:rsidR="00FC70FF" w:rsidRPr="0094223C">
        <w:rPr>
          <w:rFonts w:ascii="Times New Roman" w:hAnsi="Times New Roman" w:cs="Times New Roman"/>
          <w:b/>
          <w:sz w:val="24"/>
          <w:szCs w:val="24"/>
        </w:rPr>
        <w:t xml:space="preserve"> attiecībā uz ēku būvniecību</w:t>
      </w:r>
    </w:p>
    <w:p w14:paraId="54A02DAA" w14:textId="6BD278E5" w:rsidR="00A072E8" w:rsidRPr="0094223C" w:rsidRDefault="00424509" w:rsidP="00ED4B32">
      <w:pPr>
        <w:spacing w:before="240" w:after="120" w:line="240" w:lineRule="auto"/>
        <w:rPr>
          <w:rFonts w:ascii="Times New Roman" w:hAnsi="Times New Roman" w:cs="Times New Roman"/>
          <w:b/>
          <w:bCs/>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 izmaksu</w:t>
      </w:r>
      <w:r>
        <w:rPr>
          <w:rFonts w:ascii="Times New Roman" w:hAnsi="Times New Roman" w:cs="Times New Roman"/>
          <w:b/>
          <w:bCs/>
          <w:sz w:val="24"/>
          <w:szCs w:val="24"/>
        </w:rPr>
        <w:t xml:space="preserve"> s</w:t>
      </w:r>
      <w:r w:rsidR="003903E1">
        <w:rPr>
          <w:rFonts w:ascii="Times New Roman" w:hAnsi="Times New Roman" w:cs="Times New Roman"/>
          <w:b/>
          <w:bCs/>
          <w:sz w:val="24"/>
          <w:szCs w:val="24"/>
        </w:rPr>
        <w:t>adārdzinājuma novērtēšanas</w:t>
      </w:r>
      <w:r w:rsidR="003903E1" w:rsidRPr="0094223C">
        <w:rPr>
          <w:rFonts w:ascii="Times New Roman" w:hAnsi="Times New Roman" w:cs="Times New Roman"/>
          <w:b/>
          <w:bCs/>
          <w:sz w:val="24"/>
          <w:szCs w:val="24"/>
        </w:rPr>
        <w:t xml:space="preserve"> </w:t>
      </w:r>
      <w:r w:rsidR="00A072E8" w:rsidRPr="0094223C">
        <w:rPr>
          <w:rFonts w:ascii="Times New Roman" w:hAnsi="Times New Roman" w:cs="Times New Roman"/>
          <w:b/>
          <w:bCs/>
          <w:sz w:val="24"/>
          <w:szCs w:val="24"/>
        </w:rPr>
        <w:t>mērķis</w:t>
      </w:r>
    </w:p>
    <w:p w14:paraId="319DE486" w14:textId="5BA04D20" w:rsidR="004651A9" w:rsidRDefault="00D0764F"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 xml:space="preserve">Vadlīniju mērķis ir noteikt vienotu metodiku būvmateriālu </w:t>
      </w:r>
      <w:r w:rsidR="004C43A6" w:rsidRPr="0094223C">
        <w:rPr>
          <w:rFonts w:ascii="Times New Roman" w:hAnsi="Times New Roman" w:cs="Times New Roman"/>
          <w:sz w:val="24"/>
          <w:szCs w:val="24"/>
        </w:rPr>
        <w:t xml:space="preserve">izmaksu </w:t>
      </w:r>
      <w:r w:rsidR="003903E1">
        <w:rPr>
          <w:rFonts w:ascii="Times New Roman" w:hAnsi="Times New Roman" w:cs="Times New Roman"/>
          <w:sz w:val="24"/>
          <w:szCs w:val="24"/>
        </w:rPr>
        <w:t xml:space="preserve">sadārdzinājuma novērtēšanai un </w:t>
      </w:r>
      <w:r w:rsidR="002B447F">
        <w:rPr>
          <w:rFonts w:ascii="Times New Roman" w:hAnsi="Times New Roman" w:cs="Times New Roman"/>
          <w:sz w:val="24"/>
          <w:szCs w:val="24"/>
        </w:rPr>
        <w:t xml:space="preserve">sadārdzinājuma </w:t>
      </w:r>
      <w:r w:rsidR="003903E1">
        <w:rPr>
          <w:rFonts w:ascii="Times New Roman" w:hAnsi="Times New Roman" w:cs="Times New Roman"/>
          <w:sz w:val="24"/>
          <w:szCs w:val="24"/>
        </w:rPr>
        <w:t xml:space="preserve">solidārai </w:t>
      </w:r>
      <w:r w:rsidR="002B447F">
        <w:rPr>
          <w:rFonts w:ascii="Times New Roman" w:hAnsi="Times New Roman" w:cs="Times New Roman"/>
          <w:sz w:val="24"/>
          <w:szCs w:val="24"/>
        </w:rPr>
        <w:t>kompensēšanai</w:t>
      </w:r>
      <w:r w:rsidR="00FF62B2">
        <w:rPr>
          <w:rFonts w:ascii="Times New Roman" w:hAnsi="Times New Roman" w:cs="Times New Roman"/>
          <w:sz w:val="24"/>
          <w:szCs w:val="24"/>
        </w:rPr>
        <w:t xml:space="preserve">, </w:t>
      </w:r>
      <w:r w:rsidR="00DE4EB1" w:rsidRPr="006D4231">
        <w:rPr>
          <w:rFonts w:ascii="Times New Roman" w:hAnsi="Times New Roman" w:cs="Times New Roman"/>
          <w:sz w:val="24"/>
          <w:szCs w:val="24"/>
        </w:rPr>
        <w:t>vienojoties ar pasūtītāju un ņemot vērā pasūtītāja finansiālās iespējas</w:t>
      </w:r>
      <w:r w:rsidR="00B53897">
        <w:rPr>
          <w:rFonts w:ascii="Times New Roman" w:hAnsi="Times New Roman" w:cs="Times New Roman"/>
          <w:sz w:val="24"/>
          <w:szCs w:val="24"/>
        </w:rPr>
        <w:t>,</w:t>
      </w:r>
      <w:r w:rsidR="00DE4EB1" w:rsidRPr="006D4231">
        <w:t xml:space="preserve"> </w:t>
      </w:r>
      <w:r w:rsidR="00FF62B2">
        <w:rPr>
          <w:rFonts w:ascii="Times New Roman" w:hAnsi="Times New Roman" w:cs="Times New Roman"/>
          <w:sz w:val="24"/>
          <w:szCs w:val="24"/>
        </w:rPr>
        <w:t>veicot grozījumus publiskajos būvdarbu līgumos,</w:t>
      </w:r>
      <w:r w:rsidR="00DE4EB1">
        <w:rPr>
          <w:rFonts w:ascii="Times New Roman" w:hAnsi="Times New Roman" w:cs="Times New Roman"/>
          <w:sz w:val="24"/>
          <w:szCs w:val="24"/>
        </w:rPr>
        <w:t xml:space="preserve"> </w:t>
      </w:r>
      <w:r w:rsidR="00FF62B2">
        <w:rPr>
          <w:rFonts w:ascii="Times New Roman" w:hAnsi="Times New Roman" w:cs="Times New Roman"/>
          <w:sz w:val="24"/>
          <w:szCs w:val="24"/>
        </w:rPr>
        <w:t xml:space="preserve">lai nodrošinātu efektīvu iepriekš noslēgto līgumu vadību un līgumsaistību izpildi. </w:t>
      </w:r>
    </w:p>
    <w:p w14:paraId="023D68EC" w14:textId="120260E9" w:rsidR="004651A9" w:rsidRDefault="00BE2531"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Vadlīnijas attiecas uz tād</w:t>
      </w:r>
      <w:r w:rsidR="001926BE">
        <w:rPr>
          <w:rFonts w:ascii="Times New Roman" w:hAnsi="Times New Roman" w:cs="Times New Roman"/>
          <w:sz w:val="24"/>
          <w:szCs w:val="24"/>
        </w:rPr>
        <w:t>u</w:t>
      </w:r>
      <w:r>
        <w:rPr>
          <w:rFonts w:ascii="Times New Roman" w:hAnsi="Times New Roman" w:cs="Times New Roman"/>
          <w:sz w:val="24"/>
          <w:szCs w:val="24"/>
        </w:rPr>
        <w:t xml:space="preserve"> būvmateriālu sadārdzinājuma kompensēšanu, kas ir radies</w:t>
      </w:r>
      <w:r w:rsidRPr="0094223C">
        <w:rPr>
          <w:rFonts w:ascii="Times New Roman" w:hAnsi="Times New Roman" w:cs="Times New Roman"/>
          <w:sz w:val="24"/>
          <w:szCs w:val="24"/>
        </w:rPr>
        <w:t xml:space="preserve"> </w:t>
      </w:r>
      <w:r>
        <w:rPr>
          <w:rFonts w:ascii="Times New Roman" w:hAnsi="Times New Roman" w:cs="Times New Roman"/>
          <w:sz w:val="24"/>
          <w:szCs w:val="24"/>
        </w:rPr>
        <w:t xml:space="preserve">tiešā cēloniskajā sakarā ar </w:t>
      </w:r>
      <w:r w:rsidRPr="0094223C">
        <w:rPr>
          <w:rFonts w:ascii="Times New Roman" w:hAnsi="Times New Roman" w:cs="Times New Roman"/>
          <w:sz w:val="24"/>
          <w:szCs w:val="24"/>
        </w:rPr>
        <w:t>Krievijas uzsākt</w:t>
      </w:r>
      <w:r>
        <w:rPr>
          <w:rFonts w:ascii="Times New Roman" w:hAnsi="Times New Roman" w:cs="Times New Roman"/>
          <w:sz w:val="24"/>
          <w:szCs w:val="24"/>
        </w:rPr>
        <w:t>o</w:t>
      </w:r>
      <w:r w:rsidRPr="0094223C">
        <w:rPr>
          <w:rFonts w:ascii="Times New Roman" w:hAnsi="Times New Roman" w:cs="Times New Roman"/>
          <w:sz w:val="24"/>
          <w:szCs w:val="24"/>
        </w:rPr>
        <w:t xml:space="preserve"> kar</w:t>
      </w:r>
      <w:r>
        <w:rPr>
          <w:rFonts w:ascii="Times New Roman" w:hAnsi="Times New Roman" w:cs="Times New Roman"/>
          <w:sz w:val="24"/>
          <w:szCs w:val="24"/>
        </w:rPr>
        <w:t>u</w:t>
      </w:r>
      <w:r w:rsidRPr="0094223C">
        <w:rPr>
          <w:rFonts w:ascii="Times New Roman" w:hAnsi="Times New Roman" w:cs="Times New Roman"/>
          <w:sz w:val="24"/>
          <w:szCs w:val="24"/>
        </w:rPr>
        <w:t xml:space="preserve"> Ukrainā</w:t>
      </w:r>
      <w:r>
        <w:rPr>
          <w:rFonts w:ascii="Times New Roman" w:hAnsi="Times New Roman" w:cs="Times New Roman"/>
          <w:sz w:val="24"/>
          <w:szCs w:val="24"/>
        </w:rPr>
        <w:t>.</w:t>
      </w:r>
    </w:p>
    <w:p w14:paraId="3D4DFB1B" w14:textId="4F5A8E10" w:rsidR="00FF62B2" w:rsidRDefault="00CB391C"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007942">
        <w:rPr>
          <w:rFonts w:ascii="Times New Roman" w:hAnsi="Times New Roman" w:cs="Times New Roman"/>
          <w:sz w:val="24"/>
          <w:szCs w:val="24"/>
        </w:rPr>
        <w:t xml:space="preserve">asūtītājiem šobrīd nav pietiekama izpratne par </w:t>
      </w:r>
      <w:r w:rsidR="001926BE">
        <w:rPr>
          <w:rFonts w:ascii="Times New Roman" w:hAnsi="Times New Roman" w:cs="Times New Roman"/>
          <w:sz w:val="24"/>
          <w:szCs w:val="24"/>
        </w:rPr>
        <w:t xml:space="preserve">būvmateriālu </w:t>
      </w:r>
      <w:r w:rsidR="00007942">
        <w:rPr>
          <w:rFonts w:ascii="Times New Roman" w:hAnsi="Times New Roman" w:cs="Times New Roman"/>
          <w:sz w:val="24"/>
          <w:szCs w:val="24"/>
        </w:rPr>
        <w:t>sadārdzinājuma kompensēšanas pieļaujamību, sadārdzinājuma aprēķināšanas metodiku, kā arī sadārdzinājuma kompensēšanas kārtību un noteikumiem</w:t>
      </w:r>
      <w:r w:rsidR="00EA3C56">
        <w:rPr>
          <w:rFonts w:ascii="Times New Roman" w:hAnsi="Times New Roman" w:cs="Times New Roman"/>
          <w:sz w:val="24"/>
          <w:szCs w:val="24"/>
        </w:rPr>
        <w:t xml:space="preserve">. Vadlīnijas piedāvā vienotu metodiku publiskā būvdarbu līguma cenas vienas komponentes sadārdzinājuma novērtēšanai, kā arī norāda uz faktoriem, kas būtu vērā ņemami, vienojoties par </w:t>
      </w:r>
      <w:r w:rsidR="001926BE">
        <w:rPr>
          <w:rFonts w:ascii="Times New Roman" w:hAnsi="Times New Roman" w:cs="Times New Roman"/>
          <w:sz w:val="24"/>
          <w:szCs w:val="24"/>
        </w:rPr>
        <w:t>būvmateriālu</w:t>
      </w:r>
      <w:r w:rsidR="00EA3C56">
        <w:rPr>
          <w:rFonts w:ascii="Times New Roman" w:hAnsi="Times New Roman" w:cs="Times New Roman"/>
          <w:sz w:val="24"/>
          <w:szCs w:val="24"/>
        </w:rPr>
        <w:t xml:space="preserve"> sadārdzinājuma kompensēšanu. </w:t>
      </w:r>
    </w:p>
    <w:p w14:paraId="5933533D" w14:textId="44B97C0F" w:rsidR="00453527" w:rsidRPr="00453527" w:rsidRDefault="00424509" w:rsidP="00ED4B32">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 izmaksu</w:t>
      </w:r>
      <w:r>
        <w:rPr>
          <w:rFonts w:ascii="Times New Roman" w:hAnsi="Times New Roman" w:cs="Times New Roman"/>
          <w:b/>
          <w:bCs/>
          <w:sz w:val="24"/>
          <w:szCs w:val="24"/>
        </w:rPr>
        <w:t xml:space="preserve"> sadārdzinājuma </w:t>
      </w:r>
      <w:r w:rsidR="000105CC">
        <w:rPr>
          <w:rFonts w:ascii="Times New Roman" w:hAnsi="Times New Roman" w:cs="Times New Roman"/>
          <w:b/>
          <w:iCs/>
          <w:sz w:val="24"/>
          <w:szCs w:val="24"/>
        </w:rPr>
        <w:t>novērtēšanas metodikas</w:t>
      </w:r>
      <w:r w:rsidR="000105CC" w:rsidRPr="00453527">
        <w:rPr>
          <w:rFonts w:ascii="Times New Roman" w:hAnsi="Times New Roman" w:cs="Times New Roman"/>
          <w:b/>
          <w:iCs/>
          <w:sz w:val="24"/>
          <w:szCs w:val="24"/>
        </w:rPr>
        <w:t xml:space="preserve"> </w:t>
      </w:r>
      <w:r w:rsidR="00453527" w:rsidRPr="00453527">
        <w:rPr>
          <w:rFonts w:ascii="Times New Roman" w:hAnsi="Times New Roman" w:cs="Times New Roman"/>
          <w:b/>
          <w:iCs/>
          <w:sz w:val="24"/>
          <w:szCs w:val="24"/>
        </w:rPr>
        <w:t>piemērošana</w:t>
      </w:r>
    </w:p>
    <w:p w14:paraId="18D21930" w14:textId="1D9E86F5" w:rsidR="009179AA" w:rsidRDefault="00A866D6" w:rsidP="005B5F7E">
      <w:pPr>
        <w:spacing w:after="0" w:line="240" w:lineRule="auto"/>
        <w:ind w:firstLine="709"/>
        <w:jc w:val="both"/>
        <w:rPr>
          <w:rFonts w:ascii="Times New Roman" w:hAnsi="Times New Roman" w:cs="Times New Roman"/>
          <w:sz w:val="24"/>
          <w:szCs w:val="24"/>
        </w:rPr>
      </w:pPr>
      <w:r w:rsidRPr="00910DF7">
        <w:rPr>
          <w:rFonts w:ascii="Times New Roman" w:hAnsi="Times New Roman" w:cs="Times New Roman"/>
          <w:sz w:val="24"/>
          <w:szCs w:val="24"/>
        </w:rPr>
        <w:t xml:space="preserve">Būvmateriālu izmaksu </w:t>
      </w:r>
      <w:r w:rsidR="009179AA">
        <w:rPr>
          <w:rFonts w:ascii="Times New Roman" w:hAnsi="Times New Roman" w:cs="Times New Roman"/>
          <w:sz w:val="24"/>
          <w:szCs w:val="24"/>
        </w:rPr>
        <w:t>sadārdzinājumu novērtē</w:t>
      </w:r>
      <w:r w:rsidRPr="00910DF7">
        <w:rPr>
          <w:rFonts w:ascii="Times New Roman" w:hAnsi="Times New Roman" w:cs="Times New Roman"/>
          <w:sz w:val="24"/>
          <w:szCs w:val="24"/>
        </w:rPr>
        <w:t xml:space="preserve"> grozījumu veikšanai spēkā esošajos publiskajos </w:t>
      </w:r>
      <w:r w:rsidRPr="00A004D9">
        <w:rPr>
          <w:rFonts w:ascii="Times New Roman" w:hAnsi="Times New Roman" w:cs="Times New Roman"/>
          <w:sz w:val="24"/>
          <w:szCs w:val="24"/>
        </w:rPr>
        <w:t>būvdarbu līgumos attiecībā uz ēku būvniecību</w:t>
      </w:r>
      <w:r w:rsidR="009179AA">
        <w:rPr>
          <w:rFonts w:ascii="Times New Roman" w:hAnsi="Times New Roman" w:cs="Times New Roman"/>
          <w:sz w:val="24"/>
          <w:szCs w:val="24"/>
        </w:rPr>
        <w:t>:</w:t>
      </w:r>
    </w:p>
    <w:p w14:paraId="61FFF1AF" w14:textId="77777777" w:rsidR="009179AA" w:rsidRDefault="009179AA" w:rsidP="009179AA">
      <w:pPr>
        <w:pStyle w:val="ListParagraph"/>
        <w:numPr>
          <w:ilvl w:val="0"/>
          <w:numId w:val="6"/>
        </w:numPr>
        <w:spacing w:after="0" w:line="240" w:lineRule="auto"/>
        <w:jc w:val="both"/>
        <w:rPr>
          <w:rFonts w:ascii="Times New Roman" w:hAnsi="Times New Roman" w:cs="Times New Roman"/>
          <w:sz w:val="24"/>
          <w:szCs w:val="24"/>
        </w:rPr>
      </w:pPr>
      <w:r w:rsidRPr="001C1EC9">
        <w:rPr>
          <w:rFonts w:ascii="Times New Roman" w:hAnsi="Times New Roman" w:cs="Times New Roman"/>
          <w:sz w:val="24"/>
          <w:szCs w:val="24"/>
        </w:rPr>
        <w:t>kas ir noslēgti pirms 2022.gada 24.februāra</w:t>
      </w:r>
      <w:r>
        <w:rPr>
          <w:rFonts w:ascii="Times New Roman" w:hAnsi="Times New Roman" w:cs="Times New Roman"/>
          <w:sz w:val="24"/>
          <w:szCs w:val="24"/>
        </w:rPr>
        <w:t>, vai</w:t>
      </w:r>
    </w:p>
    <w:p w14:paraId="595296E9" w14:textId="77777777" w:rsidR="009179AA" w:rsidRDefault="009179AA" w:rsidP="004651A9">
      <w:pPr>
        <w:pStyle w:val="ListParagraph"/>
        <w:numPr>
          <w:ilvl w:val="0"/>
          <w:numId w:val="6"/>
        </w:numPr>
        <w:spacing w:after="80" w:line="240" w:lineRule="auto"/>
        <w:ind w:left="1066" w:hanging="357"/>
        <w:jc w:val="both"/>
        <w:rPr>
          <w:rFonts w:ascii="Times New Roman" w:hAnsi="Times New Roman" w:cs="Times New Roman"/>
          <w:sz w:val="24"/>
          <w:szCs w:val="24"/>
        </w:rPr>
      </w:pPr>
      <w:r w:rsidRPr="001C1EC9">
        <w:rPr>
          <w:rFonts w:ascii="Times New Roman" w:hAnsi="Times New Roman" w:cs="Times New Roman"/>
          <w:sz w:val="24"/>
          <w:szCs w:val="24"/>
        </w:rPr>
        <w:t>kas ir noslēgti pēc 2022.gada 24.februāra, ja pretendenta piedāvājums ir iesniegts pirms augstāk minētā datuma.</w:t>
      </w:r>
    </w:p>
    <w:p w14:paraId="21C7F791" w14:textId="77777777" w:rsidR="004651A9" w:rsidRDefault="009179AA"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Publisko būvdarbu līguma grozīšanas pieļaujamība un </w:t>
      </w:r>
      <w:r w:rsidR="00CD06E0">
        <w:rPr>
          <w:rFonts w:ascii="Times New Roman" w:hAnsi="Times New Roman" w:cs="Times New Roman"/>
          <w:sz w:val="24"/>
          <w:szCs w:val="24"/>
        </w:rPr>
        <w:t xml:space="preserve">grozījumu </w:t>
      </w:r>
      <w:r>
        <w:rPr>
          <w:rFonts w:ascii="Times New Roman" w:hAnsi="Times New Roman" w:cs="Times New Roman"/>
          <w:sz w:val="24"/>
          <w:szCs w:val="24"/>
        </w:rPr>
        <w:t xml:space="preserve">nepieciešamība ir balstīta apsvērumā, ka pretendents, aprēķinot </w:t>
      </w:r>
      <w:r w:rsidR="00CD06E0">
        <w:rPr>
          <w:rFonts w:ascii="Times New Roman" w:hAnsi="Times New Roman" w:cs="Times New Roman"/>
          <w:sz w:val="24"/>
          <w:szCs w:val="24"/>
        </w:rPr>
        <w:t xml:space="preserve">finanšu piedāvājumā ietverto </w:t>
      </w:r>
      <w:r>
        <w:rPr>
          <w:rFonts w:ascii="Times New Roman" w:hAnsi="Times New Roman" w:cs="Times New Roman"/>
          <w:sz w:val="24"/>
          <w:szCs w:val="24"/>
        </w:rPr>
        <w:t xml:space="preserve">līguma cenu, nevarēja </w:t>
      </w:r>
      <w:r w:rsidR="00CD06E0">
        <w:rPr>
          <w:rFonts w:ascii="Times New Roman" w:hAnsi="Times New Roman" w:cs="Times New Roman"/>
          <w:sz w:val="24"/>
          <w:szCs w:val="24"/>
        </w:rPr>
        <w:t>paredzēt Krievijas militārās agresijas sākumu un militārās agresijas ietekmi uz būvniecības nozares darbības apstākļiem, un līdz ar to, šī ietekme nav ierēķināta nolīgtajā cenā.</w:t>
      </w:r>
    </w:p>
    <w:p w14:paraId="65974D20" w14:textId="0988D575" w:rsidR="004651A9" w:rsidRDefault="00024BAF" w:rsidP="004651A9">
      <w:pPr>
        <w:spacing w:after="80" w:line="240" w:lineRule="auto"/>
        <w:ind w:firstLine="709"/>
        <w:jc w:val="both"/>
        <w:rPr>
          <w:rFonts w:ascii="Times New Roman" w:hAnsi="Times New Roman" w:cs="Times New Roman"/>
          <w:sz w:val="24"/>
          <w:szCs w:val="24"/>
        </w:rPr>
      </w:pPr>
      <w:r w:rsidRPr="00CD06E0">
        <w:rPr>
          <w:rFonts w:ascii="Times New Roman" w:hAnsi="Times New Roman" w:cs="Times New Roman"/>
          <w:sz w:val="24"/>
          <w:szCs w:val="24"/>
        </w:rPr>
        <w:t xml:space="preserve">Būvmateriālu </w:t>
      </w:r>
      <w:r w:rsidR="00EA3C56">
        <w:rPr>
          <w:rFonts w:ascii="Times New Roman" w:hAnsi="Times New Roman" w:cs="Times New Roman"/>
          <w:sz w:val="24"/>
          <w:szCs w:val="24"/>
        </w:rPr>
        <w:t>sadārdzinājumu</w:t>
      </w:r>
      <w:r w:rsidRPr="00CD06E0">
        <w:rPr>
          <w:rFonts w:ascii="Times New Roman" w:hAnsi="Times New Roman" w:cs="Times New Roman"/>
          <w:sz w:val="24"/>
          <w:szCs w:val="24"/>
        </w:rPr>
        <w:t xml:space="preserve"> piemēro </w:t>
      </w:r>
      <w:r w:rsidR="00CD06E0">
        <w:rPr>
          <w:rFonts w:ascii="Times New Roman" w:hAnsi="Times New Roman" w:cs="Times New Roman"/>
          <w:sz w:val="24"/>
          <w:szCs w:val="24"/>
        </w:rPr>
        <w:t xml:space="preserve">būvdarbiem, kas ir veikti, </w:t>
      </w:r>
      <w:r w:rsidRPr="00CD06E0">
        <w:rPr>
          <w:rFonts w:ascii="Times New Roman" w:hAnsi="Times New Roman" w:cs="Times New Roman"/>
          <w:sz w:val="24"/>
          <w:szCs w:val="24"/>
        </w:rPr>
        <w:t xml:space="preserve">sākot ar 2022. gada </w:t>
      </w:r>
      <w:r w:rsidR="00A004D9" w:rsidRPr="00CD06E0">
        <w:rPr>
          <w:rFonts w:ascii="Times New Roman" w:hAnsi="Times New Roman" w:cs="Times New Roman"/>
          <w:sz w:val="24"/>
          <w:szCs w:val="24"/>
        </w:rPr>
        <w:t xml:space="preserve">1. </w:t>
      </w:r>
      <w:r w:rsidRPr="00CD06E0">
        <w:rPr>
          <w:rFonts w:ascii="Times New Roman" w:hAnsi="Times New Roman" w:cs="Times New Roman"/>
          <w:sz w:val="24"/>
          <w:szCs w:val="24"/>
        </w:rPr>
        <w:t>martu</w:t>
      </w:r>
      <w:r w:rsidR="00184AC8">
        <w:rPr>
          <w:rFonts w:ascii="Times New Roman" w:hAnsi="Times New Roman" w:cs="Times New Roman"/>
          <w:sz w:val="24"/>
          <w:szCs w:val="24"/>
        </w:rPr>
        <w:t xml:space="preserve">. </w:t>
      </w:r>
      <w:r w:rsidR="00222C35">
        <w:rPr>
          <w:rFonts w:ascii="Times New Roman" w:hAnsi="Times New Roman" w:cs="Times New Roman"/>
          <w:sz w:val="24"/>
          <w:szCs w:val="24"/>
        </w:rPr>
        <w:t xml:space="preserve">Būvdarbu izpildi apliecina pieņemšanas-nodošanas akts. </w:t>
      </w:r>
      <w:r w:rsidR="00942C54">
        <w:rPr>
          <w:rFonts w:ascii="Times New Roman" w:hAnsi="Times New Roman" w:cs="Times New Roman"/>
          <w:sz w:val="24"/>
          <w:szCs w:val="24"/>
        </w:rPr>
        <w:t>Būvmateriālu sadārdzinājuma novērtēšanai par bāzes periodu</w:t>
      </w:r>
      <w:r w:rsidR="002310A9">
        <w:rPr>
          <w:rFonts w:ascii="Times New Roman" w:hAnsi="Times New Roman" w:cs="Times New Roman"/>
          <w:sz w:val="24"/>
          <w:szCs w:val="24"/>
        </w:rPr>
        <w:t>, jeb periodu kurā būvmateriālu cenas nebija ietekmētas Krievijas agresijas Ukrainā rezultātā,</w:t>
      </w:r>
      <w:r w:rsidR="00942C54">
        <w:rPr>
          <w:rFonts w:ascii="Times New Roman" w:hAnsi="Times New Roman" w:cs="Times New Roman"/>
          <w:sz w:val="24"/>
          <w:szCs w:val="24"/>
        </w:rPr>
        <w:t xml:space="preserve"> nosaka 2022. gada janvāri, tādējādi izslēdzot </w:t>
      </w:r>
      <w:r w:rsidR="00942C54" w:rsidRPr="0094223C">
        <w:rPr>
          <w:rFonts w:ascii="Times New Roman" w:hAnsi="Times New Roman" w:cs="Times New Roman"/>
          <w:sz w:val="24"/>
          <w:szCs w:val="24"/>
        </w:rPr>
        <w:t xml:space="preserve">Covid-19 </w:t>
      </w:r>
      <w:r w:rsidR="00942C54">
        <w:rPr>
          <w:rFonts w:ascii="Times New Roman" w:hAnsi="Times New Roman" w:cs="Times New Roman"/>
          <w:sz w:val="24"/>
          <w:szCs w:val="24"/>
        </w:rPr>
        <w:t xml:space="preserve">pandēmijas </w:t>
      </w:r>
      <w:r w:rsidR="00942C54" w:rsidRPr="0094223C">
        <w:rPr>
          <w:rFonts w:ascii="Times New Roman" w:hAnsi="Times New Roman" w:cs="Times New Roman"/>
          <w:sz w:val="24"/>
          <w:szCs w:val="24"/>
        </w:rPr>
        <w:t>vai kādu citu faktoru ietekm</w:t>
      </w:r>
      <w:r w:rsidR="00942C54">
        <w:rPr>
          <w:rFonts w:ascii="Times New Roman" w:hAnsi="Times New Roman" w:cs="Times New Roman"/>
          <w:sz w:val="24"/>
          <w:szCs w:val="24"/>
        </w:rPr>
        <w:t>i.</w:t>
      </w:r>
      <w:r w:rsidR="00325B0F">
        <w:rPr>
          <w:rFonts w:ascii="Times New Roman" w:hAnsi="Times New Roman" w:cs="Times New Roman"/>
          <w:sz w:val="24"/>
          <w:szCs w:val="24"/>
        </w:rPr>
        <w:t xml:space="preserve"> </w:t>
      </w:r>
      <w:r w:rsidR="001167B6">
        <w:rPr>
          <w:rFonts w:ascii="Times New Roman" w:hAnsi="Times New Roman" w:cs="Times New Roman"/>
          <w:sz w:val="24"/>
          <w:szCs w:val="24"/>
        </w:rPr>
        <w:t xml:space="preserve">Vienojoties par </w:t>
      </w:r>
      <w:r w:rsidR="0071036B">
        <w:rPr>
          <w:rFonts w:ascii="Times New Roman" w:hAnsi="Times New Roman" w:cs="Times New Roman"/>
          <w:sz w:val="24"/>
          <w:szCs w:val="24"/>
        </w:rPr>
        <w:t>sadārdzinājumu būvdarbiem, p</w:t>
      </w:r>
      <w:r w:rsidR="00325B0F">
        <w:rPr>
          <w:rFonts w:ascii="Times New Roman" w:hAnsi="Times New Roman" w:cs="Times New Roman"/>
          <w:sz w:val="24"/>
          <w:szCs w:val="24"/>
        </w:rPr>
        <w:t>asūtītajam</w:t>
      </w:r>
      <w:r w:rsidR="0071036B">
        <w:rPr>
          <w:rFonts w:ascii="Times New Roman" w:hAnsi="Times New Roman" w:cs="Times New Roman"/>
          <w:sz w:val="24"/>
          <w:szCs w:val="24"/>
        </w:rPr>
        <w:t>, ja tam ir pamatotas bažas ka būvmateriālu cenu neietekmēja Krievijas agresija Ukrainā,</w:t>
      </w:r>
      <w:r w:rsidR="00325B0F">
        <w:rPr>
          <w:rFonts w:ascii="Times New Roman" w:hAnsi="Times New Roman" w:cs="Times New Roman"/>
          <w:sz w:val="24"/>
          <w:szCs w:val="24"/>
        </w:rPr>
        <w:t xml:space="preserve"> ir tiesības pieprasīt pierādījumus,</w:t>
      </w:r>
      <w:r w:rsidR="0071036B">
        <w:rPr>
          <w:rFonts w:ascii="Times New Roman" w:hAnsi="Times New Roman" w:cs="Times New Roman"/>
          <w:sz w:val="24"/>
          <w:szCs w:val="24"/>
        </w:rPr>
        <w:t xml:space="preserve"> ka vienošanās par attiecīgo būvmateriālu cenu ir notikusi pēc 24.februāra</w:t>
      </w:r>
      <w:r w:rsidR="00325B0F">
        <w:rPr>
          <w:rFonts w:ascii="Times New Roman" w:hAnsi="Times New Roman" w:cs="Times New Roman"/>
          <w:sz w:val="24"/>
          <w:szCs w:val="24"/>
        </w:rPr>
        <w:t>.</w:t>
      </w:r>
      <w:r w:rsidR="0071036B" w:rsidRPr="0071036B">
        <w:rPr>
          <w:rFonts w:ascii="Times New Roman" w:hAnsi="Times New Roman" w:cs="Times New Roman"/>
          <w:sz w:val="24"/>
          <w:szCs w:val="24"/>
        </w:rPr>
        <w:t xml:space="preserve"> </w:t>
      </w:r>
      <w:r w:rsidR="0071036B">
        <w:rPr>
          <w:rFonts w:ascii="Times New Roman" w:hAnsi="Times New Roman" w:cs="Times New Roman"/>
          <w:sz w:val="24"/>
          <w:szCs w:val="24"/>
        </w:rPr>
        <w:t xml:space="preserve">Attiecībā uz būvdarbiem, kas veikti pēc 2022.gada 1.aprīļa nav lietderīgi katrā gadījumā pārliecināties, ka būvmateriāli šo darbu veikšanai ir </w:t>
      </w:r>
      <w:r w:rsidR="006D4231">
        <w:rPr>
          <w:rFonts w:ascii="Times New Roman" w:hAnsi="Times New Roman" w:cs="Times New Roman"/>
          <w:sz w:val="24"/>
          <w:szCs w:val="24"/>
        </w:rPr>
        <w:t xml:space="preserve">piegādāti objektā </w:t>
      </w:r>
      <w:r w:rsidR="0071036B">
        <w:rPr>
          <w:rFonts w:ascii="Times New Roman" w:hAnsi="Times New Roman" w:cs="Times New Roman"/>
          <w:sz w:val="24"/>
          <w:szCs w:val="24"/>
        </w:rPr>
        <w:t>pirms Krievijas militārās agresijas uzsākšanas.</w:t>
      </w:r>
    </w:p>
    <w:p w14:paraId="0F3597A6" w14:textId="17A4D168" w:rsidR="00F533F6" w:rsidRDefault="00F04BD8" w:rsidP="0060140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Aprēķinot būvmateriālu sadārdzinājumu, nav nepieciešams katru reizi pierādīt sadārdzinājuma cēlonisko sakaru ar Krievijas militāro agresiju Ukrainā un agresijas radīto ietekmi. </w:t>
      </w:r>
      <w:r w:rsidR="001C1EC9" w:rsidRPr="00184AC8">
        <w:rPr>
          <w:rFonts w:ascii="Times New Roman" w:hAnsi="Times New Roman" w:cs="Times New Roman"/>
          <w:sz w:val="24"/>
          <w:szCs w:val="24"/>
        </w:rPr>
        <w:t xml:space="preserve">Kopš Krievijas militārās agresijas Ukrainā sākuma 2022.gada 24.februārī ir novērots globāls būvmateriālu cenu pieaugums, viena no lielākām ietekmēm ir novērota Baltijas valstīs, ņemot vērā vēsturiski izveidojušās piegāžu ķēdes no Ukrainas, Baltkrievijas un Krievijas Federācijas, kā arī ievērojot </w:t>
      </w:r>
      <w:r w:rsidR="001926BE">
        <w:rPr>
          <w:rFonts w:ascii="Times New Roman" w:hAnsi="Times New Roman" w:cs="Times New Roman"/>
          <w:sz w:val="24"/>
          <w:szCs w:val="24"/>
        </w:rPr>
        <w:t xml:space="preserve">būvmateriālu </w:t>
      </w:r>
      <w:r w:rsidR="001C1EC9" w:rsidRPr="00184AC8">
        <w:rPr>
          <w:rFonts w:ascii="Times New Roman" w:hAnsi="Times New Roman" w:cs="Times New Roman"/>
          <w:sz w:val="24"/>
          <w:szCs w:val="24"/>
        </w:rPr>
        <w:t xml:space="preserve">ražošanas procesa energoietilpību un energoresursu cenu straujo lēcienu. Ņemot vērā, </w:t>
      </w:r>
      <w:r w:rsidR="001C1EC9" w:rsidRPr="00184AC8">
        <w:rPr>
          <w:rFonts w:ascii="Times New Roman" w:hAnsi="Times New Roman" w:cs="Times New Roman"/>
          <w:sz w:val="24"/>
          <w:szCs w:val="24"/>
        </w:rPr>
        <w:lastRenderedPageBreak/>
        <w:t xml:space="preserve">ka </w:t>
      </w:r>
      <w:r w:rsidR="001926BE">
        <w:rPr>
          <w:rFonts w:ascii="Times New Roman" w:hAnsi="Times New Roman" w:cs="Times New Roman"/>
          <w:sz w:val="24"/>
          <w:szCs w:val="24"/>
        </w:rPr>
        <w:t>būvmateriālu</w:t>
      </w:r>
      <w:r w:rsidR="001C1EC9" w:rsidRPr="00184AC8">
        <w:rPr>
          <w:rFonts w:ascii="Times New Roman" w:hAnsi="Times New Roman" w:cs="Times New Roman"/>
          <w:sz w:val="24"/>
          <w:szCs w:val="24"/>
        </w:rPr>
        <w:t xml:space="preserve"> cenu straujā pieauguma cēloniskais sakars ar Krievijas agresiju ir vispārzināms fakts, kas cita starpā ir atzīmēts </w:t>
      </w:r>
      <w:r w:rsidR="00411D0A">
        <w:rPr>
          <w:rFonts w:ascii="Times New Roman" w:hAnsi="Times New Roman" w:cs="Times New Roman"/>
          <w:sz w:val="24"/>
          <w:szCs w:val="24"/>
        </w:rPr>
        <w:t>EM</w:t>
      </w:r>
      <w:r w:rsidR="001C1EC9" w:rsidRPr="00184AC8">
        <w:rPr>
          <w:rFonts w:ascii="Times New Roman" w:hAnsi="Times New Roman" w:cs="Times New Roman"/>
          <w:sz w:val="24"/>
          <w:szCs w:val="24"/>
        </w:rPr>
        <w:t xml:space="preserve"> informatīvajā ziņojumā </w:t>
      </w:r>
      <w:r w:rsidR="001C1EC9" w:rsidRPr="003A3C6E">
        <w:rPr>
          <w:rFonts w:ascii="Times New Roman" w:hAnsi="Times New Roman" w:cs="Times New Roman"/>
          <w:i/>
          <w:iCs/>
          <w:sz w:val="24"/>
          <w:szCs w:val="24"/>
        </w:rPr>
        <w:t>“Par situāciju būvniecības nozarē saistībā ar Krievijas agresiju Ukrainā un nepieciešamajiem risinājumiem publisko investīciju projektos”</w:t>
      </w:r>
      <w:r w:rsidR="001C1EC9" w:rsidRPr="00184AC8">
        <w:rPr>
          <w:rFonts w:ascii="Times New Roman" w:hAnsi="Times New Roman" w:cs="Times New Roman"/>
          <w:sz w:val="24"/>
          <w:szCs w:val="24"/>
        </w:rPr>
        <w:t xml:space="preserve"> </w:t>
      </w:r>
      <w:r w:rsidR="0060140A" w:rsidRPr="00E02473">
        <w:rPr>
          <w:rFonts w:ascii="Times New Roman" w:hAnsi="Times New Roman" w:cs="Times New Roman"/>
          <w:sz w:val="24"/>
          <w:szCs w:val="24"/>
        </w:rPr>
        <w:t xml:space="preserve">(TAP 22-TA-938, apstiprināts Ministru kabineta 2022.gada 5.aprīļa sēdē, protokols Nr.19,  43.§, darba kārtības </w:t>
      </w:r>
      <w:r w:rsidR="0060140A" w:rsidRPr="00F533F6">
        <w:rPr>
          <w:rFonts w:ascii="Times New Roman" w:hAnsi="Times New Roman" w:cs="Times New Roman"/>
          <w:sz w:val="24"/>
          <w:szCs w:val="24"/>
        </w:rPr>
        <w:t>jautājums 4.4)</w:t>
      </w:r>
      <w:r w:rsidR="0060140A" w:rsidRPr="00F533F6">
        <w:rPr>
          <w:rStyle w:val="FootnoteReference"/>
          <w:rFonts w:ascii="Times New Roman" w:hAnsi="Times New Roman" w:cs="Times New Roman"/>
          <w:sz w:val="24"/>
          <w:szCs w:val="24"/>
        </w:rPr>
        <w:footnoteReference w:id="1"/>
      </w:r>
      <w:r w:rsidR="001C1EC9" w:rsidRPr="00F533F6">
        <w:rPr>
          <w:rFonts w:ascii="Times New Roman" w:hAnsi="Times New Roman" w:cs="Times New Roman"/>
          <w:sz w:val="24"/>
          <w:szCs w:val="24"/>
        </w:rPr>
        <w:t>, veicot līguma grozījumus par līguma cenas pārskatīšanu par periodu no 2022.gada 1.marta</w:t>
      </w:r>
      <w:r w:rsidR="00270FAE" w:rsidRPr="00F533F6">
        <w:rPr>
          <w:rFonts w:ascii="Times New Roman" w:hAnsi="Times New Roman" w:cs="Times New Roman"/>
          <w:sz w:val="24"/>
          <w:szCs w:val="24"/>
        </w:rPr>
        <w:t xml:space="preserve">, </w:t>
      </w:r>
      <w:r w:rsidR="00F533F6" w:rsidRPr="00F533F6">
        <w:rPr>
          <w:rFonts w:ascii="Times New Roman" w:hAnsi="Times New Roman" w:cs="Times New Roman"/>
          <w:sz w:val="24"/>
          <w:szCs w:val="24"/>
        </w:rPr>
        <w:t>atsevišķi pie katriem grozījumiem nav jāpierāda būvmateriālu sadārdzinājuma cēloniskais sakars.</w:t>
      </w:r>
    </w:p>
    <w:p w14:paraId="417360CF" w14:textId="7CE8C786" w:rsidR="001C1EC9" w:rsidRPr="007F407C" w:rsidRDefault="001C1EC9" w:rsidP="004651A9">
      <w:pPr>
        <w:spacing w:after="80" w:line="240" w:lineRule="auto"/>
        <w:ind w:firstLine="709"/>
        <w:jc w:val="both"/>
        <w:rPr>
          <w:rFonts w:ascii="Times New Roman" w:hAnsi="Times New Roman" w:cs="Times New Roman"/>
          <w:sz w:val="24"/>
          <w:szCs w:val="24"/>
        </w:rPr>
      </w:pPr>
      <w:r w:rsidRPr="007F407C">
        <w:rPr>
          <w:rFonts w:ascii="Times New Roman" w:hAnsi="Times New Roman" w:cs="Times New Roman"/>
          <w:sz w:val="24"/>
          <w:szCs w:val="24"/>
        </w:rPr>
        <w:t xml:space="preserve">Sadārdzinājums attiecas uz praktiski visām būvmateriālu grupām, </w:t>
      </w:r>
      <w:r>
        <w:rPr>
          <w:rFonts w:ascii="Times New Roman" w:hAnsi="Times New Roman" w:cs="Times New Roman"/>
          <w:sz w:val="24"/>
          <w:szCs w:val="24"/>
        </w:rPr>
        <w:t>sadārdzinājuma pamatā ir šādi faktori</w:t>
      </w:r>
      <w:r w:rsidRPr="007F407C">
        <w:rPr>
          <w:rFonts w:ascii="Times New Roman" w:hAnsi="Times New Roman" w:cs="Times New Roman"/>
          <w:sz w:val="24"/>
          <w:szCs w:val="24"/>
        </w:rPr>
        <w:t>:</w:t>
      </w:r>
    </w:p>
    <w:p w14:paraId="0255B5C0" w14:textId="77777777" w:rsidR="001C1EC9" w:rsidRPr="007F407C" w:rsidRDefault="001C1EC9" w:rsidP="001C1EC9">
      <w:pPr>
        <w:pStyle w:val="ListParagraph"/>
        <w:numPr>
          <w:ilvl w:val="0"/>
          <w:numId w:val="4"/>
        </w:numPr>
        <w:spacing w:after="0" w:line="240" w:lineRule="auto"/>
        <w:jc w:val="both"/>
        <w:rPr>
          <w:rFonts w:ascii="Times New Roman" w:hAnsi="Times New Roman" w:cs="Times New Roman"/>
          <w:sz w:val="24"/>
          <w:szCs w:val="24"/>
        </w:rPr>
      </w:pPr>
      <w:r w:rsidRPr="007F407C">
        <w:rPr>
          <w:rFonts w:ascii="Times New Roman" w:hAnsi="Times New Roman" w:cs="Times New Roman"/>
          <w:sz w:val="24"/>
          <w:szCs w:val="24"/>
        </w:rPr>
        <w:t>izejvielu sadārdzinājums (koks, metāls, cements);</w:t>
      </w:r>
    </w:p>
    <w:p w14:paraId="2D2A4458" w14:textId="77777777" w:rsidR="001C1EC9" w:rsidRDefault="001C1EC9" w:rsidP="001C1EC9">
      <w:pPr>
        <w:pStyle w:val="ListParagraph"/>
        <w:numPr>
          <w:ilvl w:val="0"/>
          <w:numId w:val="4"/>
        </w:numPr>
        <w:spacing w:after="0" w:line="240" w:lineRule="auto"/>
        <w:jc w:val="both"/>
        <w:rPr>
          <w:rFonts w:ascii="Times New Roman" w:hAnsi="Times New Roman" w:cs="Times New Roman"/>
          <w:sz w:val="24"/>
          <w:szCs w:val="24"/>
        </w:rPr>
      </w:pPr>
      <w:r w:rsidRPr="007F407C">
        <w:rPr>
          <w:rFonts w:ascii="Times New Roman" w:hAnsi="Times New Roman" w:cs="Times New Roman"/>
          <w:sz w:val="24"/>
          <w:szCs w:val="24"/>
        </w:rPr>
        <w:t xml:space="preserve">loģistikas traucējumi, vēsturiski izveidojušos loģistikas </w:t>
      </w:r>
      <w:r>
        <w:rPr>
          <w:rFonts w:ascii="Times New Roman" w:hAnsi="Times New Roman" w:cs="Times New Roman"/>
          <w:sz w:val="24"/>
          <w:szCs w:val="24"/>
        </w:rPr>
        <w:t>maršrutu pārtraukšana</w:t>
      </w:r>
      <w:r w:rsidRPr="007F407C">
        <w:rPr>
          <w:rFonts w:ascii="Times New Roman" w:hAnsi="Times New Roman" w:cs="Times New Roman"/>
          <w:sz w:val="24"/>
          <w:szCs w:val="24"/>
        </w:rPr>
        <w:t>, jaunu piegāžu maršrutu dibināšana, jaunu sadarbības partneru meklēšana un sadarbības attīstīšana;</w:t>
      </w:r>
    </w:p>
    <w:p w14:paraId="498CA349" w14:textId="77777777" w:rsidR="001C1EC9" w:rsidRPr="002B67C8" w:rsidRDefault="001C1EC9" w:rsidP="004651A9">
      <w:pPr>
        <w:pStyle w:val="ListParagraph"/>
        <w:numPr>
          <w:ilvl w:val="0"/>
          <w:numId w:val="4"/>
        </w:numPr>
        <w:spacing w:after="80" w:line="240" w:lineRule="auto"/>
        <w:ind w:left="714" w:hanging="357"/>
        <w:jc w:val="both"/>
        <w:rPr>
          <w:rFonts w:ascii="Times New Roman" w:hAnsi="Times New Roman" w:cs="Times New Roman"/>
          <w:sz w:val="24"/>
          <w:szCs w:val="24"/>
        </w:rPr>
      </w:pPr>
      <w:r w:rsidRPr="00C426FB">
        <w:rPr>
          <w:rFonts w:ascii="Times New Roman" w:hAnsi="Times New Roman" w:cs="Times New Roman"/>
          <w:sz w:val="24"/>
          <w:szCs w:val="24"/>
        </w:rPr>
        <w:t>energoresursu cenu straujš kāpums un ražošanas izmaksu palielināšanās, ko izraisīja atteikšanās no Krievijas energoresursiem</w:t>
      </w:r>
      <w:r>
        <w:rPr>
          <w:rFonts w:ascii="Times New Roman" w:hAnsi="Times New Roman" w:cs="Times New Roman"/>
          <w:sz w:val="24"/>
          <w:szCs w:val="24"/>
        </w:rPr>
        <w:t>.</w:t>
      </w:r>
    </w:p>
    <w:p w14:paraId="517C125E" w14:textId="77777777" w:rsidR="00A044AA" w:rsidRDefault="001C1EC9" w:rsidP="00A044A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Nav pamata neattiecināt sadārdzinājumu uz kādu no </w:t>
      </w:r>
      <w:r w:rsidR="001926BE">
        <w:rPr>
          <w:rFonts w:ascii="Times New Roman" w:hAnsi="Times New Roman" w:cs="Times New Roman"/>
          <w:sz w:val="24"/>
          <w:szCs w:val="24"/>
        </w:rPr>
        <w:t>būvmateriālu</w:t>
      </w:r>
      <w:r>
        <w:rPr>
          <w:rFonts w:ascii="Times New Roman" w:hAnsi="Times New Roman" w:cs="Times New Roman"/>
          <w:sz w:val="24"/>
          <w:szCs w:val="24"/>
        </w:rPr>
        <w:t xml:space="preserve"> grupām. </w:t>
      </w:r>
      <w:r w:rsidR="00F04BD8">
        <w:rPr>
          <w:rFonts w:ascii="Times New Roman" w:hAnsi="Times New Roman" w:cs="Times New Roman"/>
          <w:sz w:val="24"/>
          <w:szCs w:val="24"/>
        </w:rPr>
        <w:t xml:space="preserve">Turklāt </w:t>
      </w:r>
      <w:r w:rsidR="00411D0A">
        <w:rPr>
          <w:rFonts w:ascii="Times New Roman" w:hAnsi="Times New Roman" w:cs="Times New Roman"/>
          <w:sz w:val="24"/>
          <w:szCs w:val="24"/>
        </w:rPr>
        <w:t>EM</w:t>
      </w:r>
      <w:r w:rsidR="00F04BD8">
        <w:rPr>
          <w:rFonts w:ascii="Times New Roman" w:hAnsi="Times New Roman" w:cs="Times New Roman"/>
          <w:sz w:val="24"/>
          <w:szCs w:val="24"/>
        </w:rPr>
        <w:t xml:space="preserve"> piedāvā sadārdzinājuma novērtēšanai izmantot Centrālās statistikas pārvaldes </w:t>
      </w:r>
      <w:r w:rsidR="00B17EF5">
        <w:rPr>
          <w:rFonts w:ascii="Times New Roman" w:hAnsi="Times New Roman" w:cs="Times New Roman"/>
          <w:sz w:val="24"/>
          <w:szCs w:val="24"/>
        </w:rPr>
        <w:t xml:space="preserve">(turpmāk – CSP) </w:t>
      </w:r>
      <w:r w:rsidR="00445B92">
        <w:rPr>
          <w:rFonts w:ascii="Times New Roman" w:hAnsi="Times New Roman" w:cs="Times New Roman"/>
          <w:sz w:val="24"/>
          <w:szCs w:val="24"/>
        </w:rPr>
        <w:t>apkopotos datus par būvmateriālu</w:t>
      </w:r>
      <w:r w:rsidR="00F430CD">
        <w:rPr>
          <w:rFonts w:ascii="Times New Roman" w:hAnsi="Times New Roman" w:cs="Times New Roman"/>
          <w:sz w:val="24"/>
          <w:szCs w:val="24"/>
        </w:rPr>
        <w:t xml:space="preserve"> indeksu, kura aprēķināšanai izmanto fiksēto sadārdzinājumu visās būvmateriālu grupās.</w:t>
      </w:r>
    </w:p>
    <w:p w14:paraId="77A684E9" w14:textId="5A4C07E4" w:rsidR="004651A9" w:rsidRDefault="00EA3C56" w:rsidP="00A044A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Būvmateriālu sadārdzinājumu aprēķināšanai izmanto būvdarbu veicēja (pretendenta) publiskā būvdarbu iepirkuma ietvaros iesniegtajā tāmē iekļauto konkrētās tāmes pozīcijas cenu veidojošās </w:t>
      </w:r>
      <w:r w:rsidR="001926BE">
        <w:rPr>
          <w:rFonts w:ascii="Times New Roman" w:hAnsi="Times New Roman" w:cs="Times New Roman"/>
          <w:sz w:val="24"/>
          <w:szCs w:val="24"/>
        </w:rPr>
        <w:t>būvmateriālu</w:t>
      </w:r>
      <w:r>
        <w:rPr>
          <w:rFonts w:ascii="Times New Roman" w:hAnsi="Times New Roman" w:cs="Times New Roman"/>
          <w:sz w:val="24"/>
          <w:szCs w:val="24"/>
        </w:rPr>
        <w:t xml:space="preserve"> daļas vērtību, ņemot vērā konkrētā </w:t>
      </w:r>
      <w:r w:rsidR="001B282D">
        <w:rPr>
          <w:rFonts w:ascii="Times New Roman" w:hAnsi="Times New Roman" w:cs="Times New Roman"/>
          <w:sz w:val="24"/>
          <w:szCs w:val="24"/>
        </w:rPr>
        <w:t xml:space="preserve">pārskata perioda </w:t>
      </w:r>
      <w:r>
        <w:rPr>
          <w:rFonts w:ascii="Times New Roman" w:hAnsi="Times New Roman" w:cs="Times New Roman"/>
          <w:sz w:val="24"/>
          <w:szCs w:val="24"/>
        </w:rPr>
        <w:t xml:space="preserve">faktisko izpildi. Jānorāda, ka publiskajos būvdarbu iepirkumos pretendentam ir pienākums iesniegt tāmi, kas ir sagatavota atbilstoši Ministru kabineta 2017. gada 3.maija noteikumu Nr. 239 </w:t>
      </w:r>
      <w:r w:rsidRPr="00CB1D14">
        <w:rPr>
          <w:rFonts w:ascii="Times New Roman" w:hAnsi="Times New Roman" w:cs="Times New Roman"/>
          <w:i/>
          <w:iCs/>
          <w:sz w:val="24"/>
          <w:szCs w:val="24"/>
        </w:rPr>
        <w:t xml:space="preserve">“Noteikumi par Latvijas būvnormatīvu LBN 501-17 </w:t>
      </w:r>
      <w:r w:rsidR="00D106BF" w:rsidRPr="00CB1D14">
        <w:rPr>
          <w:rFonts w:ascii="Times New Roman" w:hAnsi="Times New Roman" w:cs="Times New Roman"/>
          <w:i/>
          <w:iCs/>
          <w:sz w:val="24"/>
          <w:szCs w:val="24"/>
        </w:rPr>
        <w:t>“</w:t>
      </w:r>
      <w:proofErr w:type="spellStart"/>
      <w:r w:rsidRPr="00CB1D14">
        <w:rPr>
          <w:rFonts w:ascii="Times New Roman" w:hAnsi="Times New Roman" w:cs="Times New Roman"/>
          <w:i/>
          <w:iCs/>
          <w:sz w:val="24"/>
          <w:szCs w:val="24"/>
        </w:rPr>
        <w:t>Būvizmaksu</w:t>
      </w:r>
      <w:proofErr w:type="spellEnd"/>
      <w:r w:rsidRPr="00CB1D14">
        <w:rPr>
          <w:rFonts w:ascii="Times New Roman" w:hAnsi="Times New Roman" w:cs="Times New Roman"/>
          <w:i/>
          <w:iCs/>
          <w:sz w:val="24"/>
          <w:szCs w:val="24"/>
        </w:rPr>
        <w:t xml:space="preserve"> noteikšanas kārtība</w:t>
      </w:r>
      <w:r w:rsidR="00D106BF" w:rsidRPr="00CB1D14">
        <w:rPr>
          <w:rFonts w:ascii="Times New Roman" w:hAnsi="Times New Roman" w:cs="Times New Roman"/>
          <w:i/>
          <w:iCs/>
          <w:sz w:val="24"/>
          <w:szCs w:val="24"/>
        </w:rPr>
        <w:t>”</w:t>
      </w:r>
      <w:r>
        <w:rPr>
          <w:rFonts w:ascii="Times New Roman" w:hAnsi="Times New Roman" w:cs="Times New Roman"/>
          <w:sz w:val="24"/>
          <w:szCs w:val="24"/>
        </w:rPr>
        <w:t xml:space="preserve"> regulējumam</w:t>
      </w:r>
      <w:r w:rsidR="001167B6">
        <w:rPr>
          <w:rFonts w:ascii="Times New Roman" w:hAnsi="Times New Roman" w:cs="Times New Roman"/>
          <w:sz w:val="24"/>
          <w:szCs w:val="24"/>
        </w:rPr>
        <w:t>.</w:t>
      </w:r>
      <w:r>
        <w:rPr>
          <w:rFonts w:ascii="Times New Roman" w:hAnsi="Times New Roman" w:cs="Times New Roman"/>
          <w:sz w:val="24"/>
          <w:szCs w:val="24"/>
        </w:rPr>
        <w:t xml:space="preserve"> </w:t>
      </w:r>
      <w:r w:rsidR="001C1EC9">
        <w:rPr>
          <w:rFonts w:ascii="Times New Roman" w:hAnsi="Times New Roman" w:cs="Times New Roman"/>
          <w:sz w:val="24"/>
          <w:szCs w:val="24"/>
        </w:rPr>
        <w:t xml:space="preserve">Tātad, sadārdzinājuma aprēķināšanai izmanto tāmē konkrētajā pozīcijā norādīto </w:t>
      </w:r>
      <w:r w:rsidR="001926BE">
        <w:rPr>
          <w:rFonts w:ascii="Times New Roman" w:hAnsi="Times New Roman" w:cs="Times New Roman"/>
          <w:sz w:val="24"/>
          <w:szCs w:val="24"/>
        </w:rPr>
        <w:t>būvmateriālu</w:t>
      </w:r>
      <w:r w:rsidR="001C1EC9">
        <w:rPr>
          <w:rFonts w:ascii="Times New Roman" w:hAnsi="Times New Roman" w:cs="Times New Roman"/>
          <w:sz w:val="24"/>
          <w:szCs w:val="24"/>
        </w:rPr>
        <w:t xml:space="preserve"> vērtību proporcionāli attiecīgā </w:t>
      </w:r>
      <w:r w:rsidR="00E34A18">
        <w:rPr>
          <w:rFonts w:ascii="Times New Roman" w:hAnsi="Times New Roman" w:cs="Times New Roman"/>
          <w:sz w:val="24"/>
          <w:szCs w:val="24"/>
        </w:rPr>
        <w:t xml:space="preserve">pārskata perioda </w:t>
      </w:r>
      <w:r w:rsidR="001C1EC9">
        <w:rPr>
          <w:rFonts w:ascii="Times New Roman" w:hAnsi="Times New Roman" w:cs="Times New Roman"/>
          <w:sz w:val="24"/>
          <w:szCs w:val="24"/>
        </w:rPr>
        <w:t xml:space="preserve">faktiskai izpildei. </w:t>
      </w:r>
      <w:r w:rsidR="00CB1D14">
        <w:rPr>
          <w:rFonts w:ascii="Times New Roman" w:hAnsi="Times New Roman" w:cs="Times New Roman"/>
          <w:bCs/>
          <w:sz w:val="24"/>
          <w:szCs w:val="24"/>
        </w:rPr>
        <w:t>Proporcionāli – tāmes pozīcija, proporcionāli fiksēta izpilde.</w:t>
      </w:r>
    </w:p>
    <w:p w14:paraId="425A2BA7" w14:textId="6FAFE3C4" w:rsidR="00184AC8" w:rsidRDefault="0047239D" w:rsidP="00ED4B32">
      <w:pPr>
        <w:spacing w:after="80" w:line="240" w:lineRule="auto"/>
        <w:ind w:firstLine="709"/>
        <w:jc w:val="both"/>
        <w:rPr>
          <w:rFonts w:ascii="Times New Roman" w:hAnsi="Times New Roman" w:cs="Times New Roman"/>
          <w:sz w:val="24"/>
          <w:szCs w:val="24"/>
        </w:rPr>
      </w:pPr>
      <w:r w:rsidRPr="00024BAF">
        <w:rPr>
          <w:rFonts w:ascii="Times New Roman" w:hAnsi="Times New Roman" w:cs="Times New Roman"/>
          <w:sz w:val="24"/>
          <w:szCs w:val="24"/>
        </w:rPr>
        <w:t xml:space="preserve">Pasūtītājam jāpieņem lēmums par uzsāktas būvniecības ieceres turpmāko īstenošanu, </w:t>
      </w:r>
      <w:r w:rsidRPr="001178C1">
        <w:rPr>
          <w:rFonts w:ascii="Times New Roman" w:hAnsi="Times New Roman" w:cs="Times New Roman"/>
          <w:sz w:val="24"/>
          <w:szCs w:val="24"/>
        </w:rPr>
        <w:t xml:space="preserve">novērtējot būvniecības ieceres īstenošanas procesu un ar īstenošanu saistītos apstākļus. </w:t>
      </w:r>
    </w:p>
    <w:p w14:paraId="55B07B47" w14:textId="1AD4C932" w:rsidR="00184AC8" w:rsidRPr="00BE2531" w:rsidRDefault="00BC361F" w:rsidP="00ED4B32">
      <w:pPr>
        <w:spacing w:before="240" w:after="120" w:line="240" w:lineRule="auto"/>
        <w:jc w:val="both"/>
        <w:rPr>
          <w:rFonts w:ascii="Times New Roman" w:hAnsi="Times New Roman" w:cs="Times New Roman"/>
          <w:b/>
          <w:bCs/>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w:t>
      </w:r>
      <w:r w:rsidRPr="00BE2531">
        <w:rPr>
          <w:rFonts w:ascii="Times New Roman" w:hAnsi="Times New Roman" w:cs="Times New Roman"/>
          <w:b/>
          <w:bCs/>
          <w:sz w:val="24"/>
          <w:szCs w:val="24"/>
        </w:rPr>
        <w:t xml:space="preserve"> </w:t>
      </w:r>
      <w:r>
        <w:rPr>
          <w:rFonts w:ascii="Times New Roman" w:hAnsi="Times New Roman" w:cs="Times New Roman"/>
          <w:b/>
          <w:bCs/>
          <w:sz w:val="24"/>
          <w:szCs w:val="24"/>
        </w:rPr>
        <w:t>izmaksu k</w:t>
      </w:r>
      <w:r w:rsidR="00184AC8" w:rsidRPr="00BE2531">
        <w:rPr>
          <w:rFonts w:ascii="Times New Roman" w:hAnsi="Times New Roman" w:cs="Times New Roman"/>
          <w:b/>
          <w:bCs/>
          <w:sz w:val="24"/>
          <w:szCs w:val="24"/>
        </w:rPr>
        <w:t>ompensējams sadārdzinājums</w:t>
      </w:r>
    </w:p>
    <w:p w14:paraId="2E8C5EFD" w14:textId="134B1933" w:rsidR="00F01DBD" w:rsidRDefault="001107DE" w:rsidP="004651A9">
      <w:pPr>
        <w:spacing w:after="80" w:line="240" w:lineRule="auto"/>
        <w:ind w:firstLine="709"/>
        <w:jc w:val="both"/>
        <w:rPr>
          <w:rFonts w:ascii="Times New Roman" w:hAnsi="Times New Roman" w:cs="Times New Roman"/>
          <w:sz w:val="24"/>
          <w:szCs w:val="24"/>
        </w:rPr>
      </w:pPr>
      <w:r w:rsidRPr="00A004D9">
        <w:rPr>
          <w:rFonts w:ascii="Times New Roman" w:hAnsi="Times New Roman" w:cs="Times New Roman"/>
          <w:sz w:val="24"/>
          <w:szCs w:val="24"/>
        </w:rPr>
        <w:t xml:space="preserve">Vadlīnijas attiecas </w:t>
      </w:r>
      <w:r w:rsidR="00310FC1">
        <w:rPr>
          <w:rFonts w:ascii="Times New Roman" w:hAnsi="Times New Roman" w:cs="Times New Roman"/>
          <w:sz w:val="24"/>
          <w:szCs w:val="24"/>
        </w:rPr>
        <w:t xml:space="preserve">tikai </w:t>
      </w:r>
      <w:r w:rsidRPr="00802573">
        <w:rPr>
          <w:rFonts w:ascii="Times New Roman" w:hAnsi="Times New Roman" w:cs="Times New Roman"/>
          <w:sz w:val="24"/>
          <w:szCs w:val="24"/>
        </w:rPr>
        <w:t xml:space="preserve">uz būvmateriālu sadārdzinājumu, ko </w:t>
      </w:r>
      <w:r w:rsidRPr="005B5F7E">
        <w:rPr>
          <w:rFonts w:ascii="Times New Roman" w:hAnsi="Times New Roman" w:cs="Times New Roman"/>
          <w:sz w:val="24"/>
          <w:szCs w:val="24"/>
        </w:rPr>
        <w:t>izraisīja Krievijas uzsāktā karadarbība Ukrainā</w:t>
      </w:r>
      <w:r w:rsidR="001E282C" w:rsidRPr="005B5F7E">
        <w:rPr>
          <w:rFonts w:ascii="Times New Roman" w:hAnsi="Times New Roman" w:cs="Times New Roman"/>
          <w:sz w:val="24"/>
          <w:szCs w:val="24"/>
        </w:rPr>
        <w:t>.</w:t>
      </w:r>
      <w:r w:rsidR="00802573" w:rsidRPr="005B5F7E">
        <w:rPr>
          <w:rFonts w:ascii="Times New Roman" w:hAnsi="Times New Roman" w:cs="Times New Roman"/>
          <w:sz w:val="24"/>
          <w:szCs w:val="24"/>
        </w:rPr>
        <w:t xml:space="preserve"> </w:t>
      </w:r>
      <w:r w:rsidRPr="005B5F7E">
        <w:rPr>
          <w:rFonts w:ascii="Times New Roman" w:hAnsi="Times New Roman" w:cs="Times New Roman"/>
          <w:sz w:val="24"/>
          <w:szCs w:val="24"/>
        </w:rPr>
        <w:t xml:space="preserve">Būvmateriālu izmaksu </w:t>
      </w:r>
      <w:r w:rsidR="00F01DBD">
        <w:rPr>
          <w:rFonts w:ascii="Times New Roman" w:hAnsi="Times New Roman" w:cs="Times New Roman"/>
          <w:sz w:val="24"/>
          <w:szCs w:val="24"/>
        </w:rPr>
        <w:t>sadārdzinājuma</w:t>
      </w:r>
      <w:r w:rsidRPr="005B5F7E">
        <w:rPr>
          <w:rFonts w:ascii="Times New Roman" w:hAnsi="Times New Roman" w:cs="Times New Roman"/>
          <w:sz w:val="24"/>
          <w:szCs w:val="24"/>
        </w:rPr>
        <w:t xml:space="preserve"> aprēķinā </w:t>
      </w:r>
      <w:r w:rsidR="00DD404D" w:rsidRPr="005B5F7E">
        <w:rPr>
          <w:rFonts w:ascii="Times New Roman" w:hAnsi="Times New Roman" w:cs="Times New Roman"/>
          <w:sz w:val="24"/>
          <w:szCs w:val="24"/>
        </w:rPr>
        <w:t>iekļaujama</w:t>
      </w:r>
      <w:r w:rsidR="001D7545" w:rsidRPr="005B5F7E">
        <w:rPr>
          <w:rFonts w:ascii="Times New Roman" w:hAnsi="Times New Roman" w:cs="Times New Roman"/>
          <w:sz w:val="24"/>
          <w:szCs w:val="24"/>
        </w:rPr>
        <w:t xml:space="preserve"> </w:t>
      </w:r>
      <w:r w:rsidR="002B1472" w:rsidRPr="005B5F7E">
        <w:rPr>
          <w:rFonts w:ascii="Times New Roman" w:hAnsi="Times New Roman" w:cs="Times New Roman"/>
          <w:sz w:val="24"/>
          <w:szCs w:val="24"/>
        </w:rPr>
        <w:t xml:space="preserve">iepriekš prognozēta </w:t>
      </w:r>
      <w:r w:rsidR="001D7545" w:rsidRPr="005B5F7E">
        <w:rPr>
          <w:rFonts w:ascii="Times New Roman" w:hAnsi="Times New Roman" w:cs="Times New Roman"/>
          <w:sz w:val="24"/>
          <w:szCs w:val="24"/>
        </w:rPr>
        <w:t xml:space="preserve">inflācija, </w:t>
      </w:r>
      <w:r w:rsidRPr="005B5F7E">
        <w:rPr>
          <w:rFonts w:ascii="Times New Roman" w:hAnsi="Times New Roman" w:cs="Times New Roman"/>
          <w:sz w:val="24"/>
          <w:szCs w:val="24"/>
        </w:rPr>
        <w:t xml:space="preserve">kas netiek </w:t>
      </w:r>
      <w:r w:rsidR="001D7545" w:rsidRPr="005B5F7E">
        <w:rPr>
          <w:rFonts w:ascii="Times New Roman" w:hAnsi="Times New Roman" w:cs="Times New Roman"/>
          <w:sz w:val="24"/>
          <w:szCs w:val="24"/>
        </w:rPr>
        <w:t>uzskatīta par neparedzamu sadārdzinājumu</w:t>
      </w:r>
      <w:r w:rsidR="00802573" w:rsidRPr="005B5F7E">
        <w:rPr>
          <w:rFonts w:ascii="Times New Roman" w:hAnsi="Times New Roman" w:cs="Times New Roman"/>
          <w:sz w:val="24"/>
          <w:szCs w:val="24"/>
        </w:rPr>
        <w:t xml:space="preserve">, </w:t>
      </w:r>
      <w:r w:rsidR="009D7E94">
        <w:rPr>
          <w:rFonts w:ascii="Times New Roman" w:hAnsi="Times New Roman" w:cs="Times New Roman"/>
          <w:sz w:val="24"/>
          <w:szCs w:val="24"/>
        </w:rPr>
        <w:t xml:space="preserve">kā rezultātā </w:t>
      </w:r>
      <w:r w:rsidR="005B5F7E" w:rsidRPr="005B5F7E">
        <w:rPr>
          <w:rFonts w:ascii="Times New Roman" w:hAnsi="Times New Roman" w:cs="Times New Roman"/>
          <w:sz w:val="24"/>
          <w:szCs w:val="24"/>
        </w:rPr>
        <w:t>pasūtītājam nebūtu jāsedz prognozētās inflācijas radītais sadārdzinājums.</w:t>
      </w:r>
      <w:r w:rsidR="0073222E">
        <w:rPr>
          <w:rFonts w:ascii="Times New Roman" w:hAnsi="Times New Roman" w:cs="Times New Roman"/>
          <w:sz w:val="24"/>
          <w:szCs w:val="24"/>
        </w:rPr>
        <w:t xml:space="preserve"> </w:t>
      </w:r>
      <w:r w:rsidR="004263F6">
        <w:rPr>
          <w:rFonts w:ascii="Times New Roman" w:hAnsi="Times New Roman" w:cs="Times New Roman"/>
          <w:sz w:val="24"/>
          <w:szCs w:val="24"/>
        </w:rPr>
        <w:t>P</w:t>
      </w:r>
      <w:r w:rsidR="0073222E">
        <w:rPr>
          <w:rFonts w:ascii="Times New Roman" w:hAnsi="Times New Roman" w:cs="Times New Roman"/>
          <w:sz w:val="24"/>
          <w:szCs w:val="24"/>
        </w:rPr>
        <w:t xml:space="preserve">asūtītājam nav pamata kompensēt sadārdzinājumu, kas atbilst </w:t>
      </w:r>
      <w:r w:rsidR="00954BDD">
        <w:rPr>
          <w:rFonts w:ascii="Times New Roman" w:hAnsi="Times New Roman" w:cs="Times New Roman"/>
          <w:sz w:val="24"/>
          <w:szCs w:val="24"/>
        </w:rPr>
        <w:t xml:space="preserve">prognozētajam </w:t>
      </w:r>
      <w:r w:rsidR="0073222E">
        <w:rPr>
          <w:rFonts w:ascii="Times New Roman" w:hAnsi="Times New Roman" w:cs="Times New Roman"/>
          <w:sz w:val="24"/>
          <w:szCs w:val="24"/>
        </w:rPr>
        <w:t xml:space="preserve">inflācijas līmenim. </w:t>
      </w:r>
      <w:r w:rsidR="00C12D3C">
        <w:rPr>
          <w:rFonts w:ascii="Times New Roman" w:hAnsi="Times New Roman" w:cs="Times New Roman"/>
          <w:sz w:val="24"/>
          <w:szCs w:val="24"/>
        </w:rPr>
        <w:t xml:space="preserve">Turklāt </w:t>
      </w:r>
      <w:r w:rsidR="00411D0A">
        <w:rPr>
          <w:rFonts w:ascii="Times New Roman" w:hAnsi="Times New Roman" w:cs="Times New Roman"/>
          <w:sz w:val="24"/>
          <w:szCs w:val="24"/>
        </w:rPr>
        <w:t>EM</w:t>
      </w:r>
      <w:r w:rsidR="00C12D3C">
        <w:rPr>
          <w:rFonts w:ascii="Times New Roman" w:hAnsi="Times New Roman" w:cs="Times New Roman"/>
          <w:sz w:val="24"/>
          <w:szCs w:val="24"/>
        </w:rPr>
        <w:t xml:space="preserve"> katru gadu publicē mājas lapā informāciju par prognozētām izmaiņām darbaspēka un būvmateriālu izmaksās būvniecības nozarē Latvijā turpmākajiem 5 gadiem. </w:t>
      </w:r>
      <w:r w:rsidR="005368AB">
        <w:rPr>
          <w:rFonts w:ascii="Times New Roman" w:hAnsi="Times New Roman" w:cs="Times New Roman"/>
          <w:sz w:val="24"/>
          <w:szCs w:val="24"/>
        </w:rPr>
        <w:t>I</w:t>
      </w:r>
      <w:r w:rsidR="00C12D3C">
        <w:rPr>
          <w:rFonts w:ascii="Times New Roman" w:hAnsi="Times New Roman" w:cs="Times New Roman"/>
          <w:sz w:val="24"/>
          <w:szCs w:val="24"/>
        </w:rPr>
        <w:t xml:space="preserve">nflācijas līmeņa noteikšanai ir </w:t>
      </w:r>
      <w:r w:rsidR="00D32FE9">
        <w:rPr>
          <w:rFonts w:ascii="Times New Roman" w:hAnsi="Times New Roman" w:cs="Times New Roman"/>
          <w:sz w:val="24"/>
          <w:szCs w:val="24"/>
        </w:rPr>
        <w:lastRenderedPageBreak/>
        <w:t>ieteicams</w:t>
      </w:r>
      <w:r w:rsidR="00C12D3C">
        <w:rPr>
          <w:rFonts w:ascii="Times New Roman" w:hAnsi="Times New Roman" w:cs="Times New Roman"/>
          <w:sz w:val="24"/>
          <w:szCs w:val="24"/>
        </w:rPr>
        <w:t xml:space="preserve"> izmantot publiskā būvdarbu līguma noslēgšanas brīdī </w:t>
      </w:r>
      <w:r w:rsidR="00411D0A">
        <w:rPr>
          <w:rFonts w:ascii="Times New Roman" w:hAnsi="Times New Roman" w:cs="Times New Roman"/>
          <w:sz w:val="24"/>
          <w:szCs w:val="24"/>
        </w:rPr>
        <w:t xml:space="preserve">EM </w:t>
      </w:r>
      <w:r w:rsidR="00C12D3C">
        <w:rPr>
          <w:rFonts w:ascii="Times New Roman" w:hAnsi="Times New Roman" w:cs="Times New Roman"/>
          <w:sz w:val="24"/>
          <w:szCs w:val="24"/>
        </w:rPr>
        <w:t xml:space="preserve">publicēto </w:t>
      </w:r>
      <w:r w:rsidR="00D32FE9">
        <w:rPr>
          <w:rFonts w:ascii="Times New Roman" w:hAnsi="Times New Roman" w:cs="Times New Roman"/>
          <w:sz w:val="24"/>
          <w:szCs w:val="24"/>
        </w:rPr>
        <w:t>informāciju par plānotām izmaiņām būvdarbu cenās</w:t>
      </w:r>
      <w:r w:rsidR="00D32FE9">
        <w:rPr>
          <w:rStyle w:val="FootnoteReference"/>
          <w:rFonts w:ascii="Times New Roman" w:hAnsi="Times New Roman" w:cs="Times New Roman"/>
          <w:sz w:val="24"/>
          <w:szCs w:val="24"/>
        </w:rPr>
        <w:footnoteReference w:id="2"/>
      </w:r>
      <w:r w:rsidR="00D32FE9">
        <w:rPr>
          <w:rFonts w:ascii="Times New Roman" w:hAnsi="Times New Roman" w:cs="Times New Roman"/>
          <w:sz w:val="24"/>
          <w:szCs w:val="24"/>
        </w:rPr>
        <w:t>.</w:t>
      </w:r>
      <w:r w:rsidR="00696143" w:rsidRPr="00696143">
        <w:rPr>
          <w:rFonts w:ascii="Times New Roman" w:hAnsi="Times New Roman" w:cs="Times New Roman"/>
          <w:sz w:val="24"/>
          <w:szCs w:val="24"/>
        </w:rPr>
        <w:t xml:space="preserve"> </w:t>
      </w:r>
    </w:p>
    <w:p w14:paraId="17B5350D" w14:textId="5F0D85C3" w:rsidR="0094223C" w:rsidRPr="00D608EE" w:rsidRDefault="00C67C02" w:rsidP="00ED4B32">
      <w:pPr>
        <w:spacing w:before="240" w:after="120" w:line="240" w:lineRule="auto"/>
        <w:jc w:val="both"/>
        <w:rPr>
          <w:rFonts w:ascii="Times New Roman" w:hAnsi="Times New Roman" w:cs="Times New Roman"/>
          <w:b/>
          <w:i/>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w:t>
      </w:r>
      <w:r w:rsidRPr="00BE2531">
        <w:rPr>
          <w:rFonts w:ascii="Times New Roman" w:hAnsi="Times New Roman" w:cs="Times New Roman"/>
          <w:b/>
          <w:bCs/>
          <w:sz w:val="24"/>
          <w:szCs w:val="24"/>
        </w:rPr>
        <w:t xml:space="preserve"> </w:t>
      </w:r>
      <w:r>
        <w:rPr>
          <w:rFonts w:ascii="Times New Roman" w:hAnsi="Times New Roman" w:cs="Times New Roman"/>
          <w:b/>
          <w:bCs/>
          <w:sz w:val="24"/>
          <w:szCs w:val="24"/>
        </w:rPr>
        <w:t>izmaksu s</w:t>
      </w:r>
      <w:r w:rsidR="007260EB" w:rsidRPr="007260EB">
        <w:rPr>
          <w:rFonts w:ascii="Times New Roman" w:hAnsi="Times New Roman" w:cs="Times New Roman"/>
          <w:b/>
          <w:bCs/>
          <w:sz w:val="24"/>
          <w:szCs w:val="24"/>
        </w:rPr>
        <w:t>adārdzinājuma novērtēšanas periods</w:t>
      </w:r>
    </w:p>
    <w:p w14:paraId="29417167" w14:textId="57E64EAE" w:rsidR="004651A9" w:rsidRDefault="00285E5D" w:rsidP="004651A9">
      <w:pPr>
        <w:spacing w:after="80" w:line="240" w:lineRule="auto"/>
        <w:ind w:firstLine="709"/>
        <w:jc w:val="both"/>
        <w:rPr>
          <w:rFonts w:ascii="Times New Roman" w:hAnsi="Times New Roman" w:cs="Times New Roman"/>
          <w:sz w:val="24"/>
          <w:szCs w:val="24"/>
        </w:rPr>
      </w:pPr>
      <w:r w:rsidRPr="00C67C02">
        <w:rPr>
          <w:rFonts w:ascii="Times New Roman" w:hAnsi="Times New Roman" w:cs="Times New Roman"/>
          <w:sz w:val="24"/>
          <w:szCs w:val="24"/>
        </w:rPr>
        <w:t xml:space="preserve">Sadārdzinājuma novērtēšanas </w:t>
      </w:r>
      <w:r w:rsidR="00B20E89" w:rsidRPr="00C67C02">
        <w:rPr>
          <w:rFonts w:ascii="Times New Roman" w:hAnsi="Times New Roman" w:cs="Times New Roman"/>
          <w:sz w:val="24"/>
          <w:szCs w:val="24"/>
        </w:rPr>
        <w:t>periods ir mēnesis</w:t>
      </w:r>
      <w:r w:rsidR="006F736D" w:rsidRPr="00C67C02">
        <w:rPr>
          <w:rFonts w:ascii="Times New Roman" w:hAnsi="Times New Roman" w:cs="Times New Roman"/>
          <w:sz w:val="24"/>
          <w:szCs w:val="24"/>
        </w:rPr>
        <w:t xml:space="preserve">, </w:t>
      </w:r>
      <w:r w:rsidR="00B20E89" w:rsidRPr="00C67C02">
        <w:rPr>
          <w:rFonts w:ascii="Times New Roman" w:hAnsi="Times New Roman" w:cs="Times New Roman"/>
          <w:sz w:val="24"/>
          <w:szCs w:val="24"/>
        </w:rPr>
        <w:t xml:space="preserve">ceturksnis </w:t>
      </w:r>
      <w:r w:rsidR="006F736D" w:rsidRPr="00C67C02">
        <w:rPr>
          <w:rFonts w:ascii="Times New Roman" w:hAnsi="Times New Roman" w:cs="Times New Roman"/>
          <w:sz w:val="24"/>
          <w:szCs w:val="24"/>
        </w:rPr>
        <w:t xml:space="preserve">vai kāds cits periods </w:t>
      </w:r>
      <w:r w:rsidR="00B20E89" w:rsidRPr="00C67C02">
        <w:rPr>
          <w:rFonts w:ascii="Times New Roman" w:hAnsi="Times New Roman" w:cs="Times New Roman"/>
          <w:sz w:val="24"/>
          <w:szCs w:val="24"/>
        </w:rPr>
        <w:t>atkarībā no būvprojekta specifikācijas</w:t>
      </w:r>
      <w:r w:rsidR="00D46A78" w:rsidRPr="00C67C02">
        <w:rPr>
          <w:rFonts w:ascii="Times New Roman" w:hAnsi="Times New Roman" w:cs="Times New Roman"/>
          <w:sz w:val="24"/>
          <w:szCs w:val="24"/>
        </w:rPr>
        <w:t>, ko izmanto kā korekcijas periodu būvmateriālu izmaksu sadārdzinājuma novērtēšanai</w:t>
      </w:r>
      <w:r w:rsidR="00B20E89" w:rsidRPr="00C67C02">
        <w:rPr>
          <w:rFonts w:ascii="Times New Roman" w:hAnsi="Times New Roman" w:cs="Times New Roman"/>
          <w:sz w:val="24"/>
          <w:szCs w:val="24"/>
        </w:rPr>
        <w:t xml:space="preserve">. </w:t>
      </w:r>
      <w:r w:rsidR="00B63184" w:rsidRPr="00C67C02">
        <w:rPr>
          <w:rFonts w:ascii="Times New Roman" w:hAnsi="Times New Roman" w:cs="Times New Roman"/>
          <w:sz w:val="24"/>
          <w:szCs w:val="24"/>
        </w:rPr>
        <w:t>Būvdarbu veicējs</w:t>
      </w:r>
      <w:r w:rsidR="00A7338B" w:rsidRPr="00C67C02">
        <w:rPr>
          <w:rFonts w:ascii="Times New Roman" w:hAnsi="Times New Roman" w:cs="Times New Roman"/>
          <w:sz w:val="24"/>
          <w:szCs w:val="24"/>
        </w:rPr>
        <w:t xml:space="preserve"> </w:t>
      </w:r>
      <w:r w:rsidR="00BC43CD" w:rsidRPr="00C67C02">
        <w:rPr>
          <w:rFonts w:ascii="Times New Roman" w:hAnsi="Times New Roman" w:cs="Times New Roman"/>
          <w:sz w:val="24"/>
          <w:szCs w:val="24"/>
        </w:rPr>
        <w:t>sākot ar 2022.</w:t>
      </w:r>
      <w:r w:rsidR="00B63184">
        <w:rPr>
          <w:rFonts w:ascii="Times New Roman" w:hAnsi="Times New Roman" w:cs="Times New Roman"/>
          <w:sz w:val="24"/>
          <w:szCs w:val="24"/>
        </w:rPr>
        <w:t xml:space="preserve"> </w:t>
      </w:r>
      <w:r w:rsidR="00BC43CD" w:rsidRPr="00BC43CD">
        <w:rPr>
          <w:rFonts w:ascii="Times New Roman" w:hAnsi="Times New Roman" w:cs="Times New Roman"/>
          <w:sz w:val="24"/>
          <w:szCs w:val="24"/>
        </w:rPr>
        <w:t xml:space="preserve">gada </w:t>
      </w:r>
      <w:r w:rsidR="00D33F66">
        <w:rPr>
          <w:rFonts w:ascii="Times New Roman" w:hAnsi="Times New Roman" w:cs="Times New Roman"/>
          <w:sz w:val="24"/>
          <w:szCs w:val="24"/>
        </w:rPr>
        <w:t xml:space="preserve">1. </w:t>
      </w:r>
      <w:r w:rsidR="00BC43CD" w:rsidRPr="00BC43CD">
        <w:rPr>
          <w:rFonts w:ascii="Times New Roman" w:hAnsi="Times New Roman" w:cs="Times New Roman"/>
          <w:sz w:val="24"/>
          <w:szCs w:val="24"/>
        </w:rPr>
        <w:t xml:space="preserve">martu </w:t>
      </w:r>
      <w:r w:rsidR="00B63184">
        <w:rPr>
          <w:rFonts w:ascii="Times New Roman" w:hAnsi="Times New Roman" w:cs="Times New Roman"/>
          <w:sz w:val="24"/>
          <w:szCs w:val="24"/>
        </w:rPr>
        <w:t xml:space="preserve">par </w:t>
      </w:r>
      <w:r w:rsidR="00D2050C">
        <w:rPr>
          <w:rFonts w:ascii="Times New Roman" w:hAnsi="Times New Roman" w:cs="Times New Roman"/>
          <w:sz w:val="24"/>
          <w:szCs w:val="24"/>
        </w:rPr>
        <w:t>attiecīgo periodu</w:t>
      </w:r>
      <w:r w:rsidR="0076211D">
        <w:rPr>
          <w:rFonts w:ascii="Times New Roman" w:hAnsi="Times New Roman" w:cs="Times New Roman"/>
          <w:sz w:val="24"/>
          <w:szCs w:val="24"/>
        </w:rPr>
        <w:t xml:space="preserve"> (mēnesi, ceturksni vai kādu citu periodu)</w:t>
      </w:r>
      <w:r w:rsidR="00B63184">
        <w:rPr>
          <w:rFonts w:ascii="Times New Roman" w:hAnsi="Times New Roman" w:cs="Times New Roman"/>
          <w:sz w:val="24"/>
          <w:szCs w:val="24"/>
        </w:rPr>
        <w:t xml:space="preserve"> aprēķina </w:t>
      </w:r>
      <w:r w:rsidR="00BC43CD" w:rsidRPr="00BC43CD">
        <w:rPr>
          <w:rFonts w:ascii="Times New Roman" w:hAnsi="Times New Roman" w:cs="Times New Roman"/>
          <w:sz w:val="24"/>
          <w:szCs w:val="24"/>
        </w:rPr>
        <w:t xml:space="preserve">faktiski paveikto </w:t>
      </w:r>
      <w:r w:rsidR="00B63184" w:rsidRPr="00C36210">
        <w:rPr>
          <w:rFonts w:ascii="Times New Roman" w:hAnsi="Times New Roman" w:cs="Times New Roman"/>
          <w:sz w:val="24"/>
          <w:szCs w:val="24"/>
        </w:rPr>
        <w:t>būv</w:t>
      </w:r>
      <w:r w:rsidR="00BC43CD" w:rsidRPr="00B20E89">
        <w:rPr>
          <w:rFonts w:ascii="Times New Roman" w:hAnsi="Times New Roman" w:cs="Times New Roman"/>
          <w:sz w:val="24"/>
          <w:szCs w:val="24"/>
        </w:rPr>
        <w:t>darbu apjomu</w:t>
      </w:r>
      <w:r w:rsidR="003608CC" w:rsidRPr="00B20E89">
        <w:rPr>
          <w:rFonts w:ascii="Times New Roman" w:hAnsi="Times New Roman" w:cs="Times New Roman"/>
          <w:sz w:val="24"/>
          <w:szCs w:val="24"/>
        </w:rPr>
        <w:t xml:space="preserve"> un </w:t>
      </w:r>
      <w:r w:rsidR="00B63184" w:rsidRPr="00B20E89">
        <w:rPr>
          <w:rFonts w:ascii="Times New Roman" w:hAnsi="Times New Roman" w:cs="Times New Roman"/>
          <w:sz w:val="24"/>
          <w:szCs w:val="24"/>
        </w:rPr>
        <w:t xml:space="preserve">vadoties no </w:t>
      </w:r>
      <w:r w:rsidR="00BC43CD" w:rsidRPr="00B20E89">
        <w:rPr>
          <w:rFonts w:ascii="Times New Roman" w:hAnsi="Times New Roman" w:cs="Times New Roman"/>
          <w:sz w:val="24"/>
          <w:szCs w:val="24"/>
        </w:rPr>
        <w:t xml:space="preserve">tāmes </w:t>
      </w:r>
      <w:r w:rsidR="003608CC" w:rsidRPr="00B20E89">
        <w:rPr>
          <w:rFonts w:ascii="Times New Roman" w:hAnsi="Times New Roman" w:cs="Times New Roman"/>
          <w:sz w:val="24"/>
          <w:szCs w:val="24"/>
        </w:rPr>
        <w:t>nosaka</w:t>
      </w:r>
      <w:r w:rsidR="00BC43CD" w:rsidRPr="00B20E89">
        <w:rPr>
          <w:rFonts w:ascii="Times New Roman" w:hAnsi="Times New Roman" w:cs="Times New Roman"/>
          <w:sz w:val="24"/>
          <w:szCs w:val="24"/>
        </w:rPr>
        <w:t xml:space="preserve"> būvmateriālu izmaksas paveiktajiem būvdarbie</w:t>
      </w:r>
      <w:r w:rsidR="00261EF3" w:rsidRPr="00B20E89">
        <w:rPr>
          <w:rFonts w:ascii="Times New Roman" w:hAnsi="Times New Roman" w:cs="Times New Roman"/>
          <w:sz w:val="24"/>
          <w:szCs w:val="24"/>
        </w:rPr>
        <w:t>m</w:t>
      </w:r>
      <w:r w:rsidR="00B20E89">
        <w:rPr>
          <w:rFonts w:ascii="Times New Roman" w:hAnsi="Times New Roman" w:cs="Times New Roman"/>
          <w:sz w:val="24"/>
          <w:szCs w:val="24"/>
        </w:rPr>
        <w:t>.</w:t>
      </w:r>
    </w:p>
    <w:p w14:paraId="55F15EFC" w14:textId="77777777" w:rsidR="004651A9" w:rsidRDefault="00994EBD"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Sadārdzinājuma novērtēšanu</w:t>
      </w:r>
      <w:r w:rsidR="003608CC" w:rsidRPr="008E0A0F">
        <w:rPr>
          <w:rFonts w:ascii="Times New Roman" w:hAnsi="Times New Roman" w:cs="Times New Roman"/>
          <w:sz w:val="24"/>
          <w:szCs w:val="24"/>
        </w:rPr>
        <w:t xml:space="preserve"> veic, par bāzes mēnesi nosakot 2022. gada janvāri – mēnesi pirms Krievijas uzsāktās karadarbības Ukrainā, un par korekcijas periodu izvēloties </w:t>
      </w:r>
      <w:r w:rsidR="003A30FB" w:rsidRPr="008E0A0F">
        <w:rPr>
          <w:rFonts w:ascii="Times New Roman" w:hAnsi="Times New Roman" w:cs="Times New Roman"/>
          <w:sz w:val="24"/>
          <w:szCs w:val="24"/>
        </w:rPr>
        <w:t xml:space="preserve">attiecīgu periodu, </w:t>
      </w:r>
      <w:r w:rsidR="0077046E" w:rsidRPr="008E0A0F">
        <w:rPr>
          <w:rFonts w:ascii="Times New Roman" w:hAnsi="Times New Roman" w:cs="Times New Roman"/>
          <w:sz w:val="24"/>
          <w:szCs w:val="24"/>
        </w:rPr>
        <w:t xml:space="preserve">sākot no </w:t>
      </w:r>
      <w:r w:rsidR="003A30FB" w:rsidRPr="008E0A0F">
        <w:rPr>
          <w:rFonts w:ascii="Times New Roman" w:hAnsi="Times New Roman" w:cs="Times New Roman"/>
          <w:sz w:val="24"/>
          <w:szCs w:val="24"/>
        </w:rPr>
        <w:t xml:space="preserve">2022. gada </w:t>
      </w:r>
      <w:r w:rsidR="0077046E" w:rsidRPr="008E0A0F">
        <w:rPr>
          <w:rFonts w:ascii="Times New Roman" w:hAnsi="Times New Roman" w:cs="Times New Roman"/>
          <w:sz w:val="24"/>
          <w:szCs w:val="24"/>
        </w:rPr>
        <w:t>1. marta</w:t>
      </w:r>
      <w:r w:rsidR="003608CC" w:rsidRPr="008E0A0F">
        <w:rPr>
          <w:rFonts w:ascii="Times New Roman" w:hAnsi="Times New Roman" w:cs="Times New Roman"/>
          <w:sz w:val="24"/>
          <w:szCs w:val="24"/>
        </w:rPr>
        <w:t>, par kuru aprēķināms būvmateriālu sadārdzinājums.</w:t>
      </w:r>
    </w:p>
    <w:p w14:paraId="5CFFF2F3" w14:textId="02A46013" w:rsidR="00AB0625" w:rsidRDefault="00F851BC" w:rsidP="004651A9">
      <w:pPr>
        <w:spacing w:after="80" w:line="240" w:lineRule="auto"/>
        <w:ind w:firstLine="709"/>
        <w:jc w:val="both"/>
        <w:rPr>
          <w:rFonts w:ascii="Times New Roman" w:hAnsi="Times New Roman" w:cs="Times New Roman"/>
          <w:sz w:val="24"/>
          <w:szCs w:val="24"/>
        </w:rPr>
      </w:pPr>
      <w:r w:rsidRPr="0077046E">
        <w:rPr>
          <w:rFonts w:ascii="Times New Roman" w:hAnsi="Times New Roman" w:cs="Times New Roman"/>
          <w:sz w:val="24"/>
          <w:szCs w:val="24"/>
        </w:rPr>
        <w:t>Būvdarbu veicējs</w:t>
      </w:r>
      <w:r w:rsidR="00AB0625" w:rsidRPr="0077046E">
        <w:rPr>
          <w:rFonts w:ascii="Times New Roman" w:hAnsi="Times New Roman" w:cs="Times New Roman"/>
          <w:sz w:val="24"/>
          <w:szCs w:val="24"/>
        </w:rPr>
        <w:t xml:space="preserve"> </w:t>
      </w:r>
      <w:r w:rsidR="006C684E" w:rsidRPr="0077046E">
        <w:rPr>
          <w:rFonts w:ascii="Times New Roman" w:hAnsi="Times New Roman" w:cs="Times New Roman"/>
          <w:sz w:val="24"/>
          <w:szCs w:val="24"/>
        </w:rPr>
        <w:t xml:space="preserve">pasūtītājam </w:t>
      </w:r>
      <w:r w:rsidR="00AB0625" w:rsidRPr="0077046E">
        <w:rPr>
          <w:rFonts w:ascii="Times New Roman" w:hAnsi="Times New Roman" w:cs="Times New Roman"/>
          <w:sz w:val="24"/>
          <w:szCs w:val="24"/>
        </w:rPr>
        <w:t>iesnie</w:t>
      </w:r>
      <w:r w:rsidR="00AB0625" w:rsidRPr="0094223C">
        <w:rPr>
          <w:rFonts w:ascii="Times New Roman" w:hAnsi="Times New Roman" w:cs="Times New Roman"/>
          <w:sz w:val="24"/>
          <w:szCs w:val="24"/>
        </w:rPr>
        <w:t>dz fiksētu faktiski paveikto būvdarbu apjomu uz 2022.</w:t>
      </w:r>
      <w:r w:rsidR="001F72E0">
        <w:rPr>
          <w:rFonts w:ascii="Times New Roman" w:hAnsi="Times New Roman" w:cs="Times New Roman"/>
          <w:sz w:val="24"/>
          <w:szCs w:val="24"/>
        </w:rPr>
        <w:t xml:space="preserve"> </w:t>
      </w:r>
      <w:r w:rsidR="00AB0625" w:rsidRPr="0094223C">
        <w:rPr>
          <w:rFonts w:ascii="Times New Roman" w:hAnsi="Times New Roman" w:cs="Times New Roman"/>
          <w:sz w:val="24"/>
          <w:szCs w:val="24"/>
        </w:rPr>
        <w:t>gada 28.</w:t>
      </w:r>
      <w:r w:rsidR="001F72E0">
        <w:rPr>
          <w:rFonts w:ascii="Times New Roman" w:hAnsi="Times New Roman" w:cs="Times New Roman"/>
          <w:sz w:val="24"/>
          <w:szCs w:val="24"/>
        </w:rPr>
        <w:t xml:space="preserve"> </w:t>
      </w:r>
      <w:r w:rsidR="00AB0625" w:rsidRPr="0094223C">
        <w:rPr>
          <w:rFonts w:ascii="Times New Roman" w:hAnsi="Times New Roman" w:cs="Times New Roman"/>
          <w:sz w:val="24"/>
          <w:szCs w:val="24"/>
        </w:rPr>
        <w:t>februāri</w:t>
      </w:r>
      <w:r w:rsidR="00F66065">
        <w:rPr>
          <w:rFonts w:ascii="Times New Roman" w:hAnsi="Times New Roman" w:cs="Times New Roman"/>
          <w:sz w:val="24"/>
          <w:szCs w:val="24"/>
        </w:rPr>
        <w:t xml:space="preserve">, norādot būvdarbu izmaksas, kas netiks </w:t>
      </w:r>
      <w:r w:rsidR="001A7E3A">
        <w:rPr>
          <w:rFonts w:ascii="Times New Roman" w:hAnsi="Times New Roman" w:cs="Times New Roman"/>
          <w:sz w:val="24"/>
          <w:szCs w:val="24"/>
        </w:rPr>
        <w:t>attiecinātas uz sadārdzinājum</w:t>
      </w:r>
      <w:r w:rsidR="00E9791E">
        <w:rPr>
          <w:rFonts w:ascii="Times New Roman" w:hAnsi="Times New Roman" w:cs="Times New Roman"/>
          <w:sz w:val="24"/>
          <w:szCs w:val="24"/>
        </w:rPr>
        <w:t>a</w:t>
      </w:r>
      <w:r w:rsidR="001A7E3A">
        <w:rPr>
          <w:rFonts w:ascii="Times New Roman" w:hAnsi="Times New Roman" w:cs="Times New Roman"/>
          <w:sz w:val="24"/>
          <w:szCs w:val="24"/>
        </w:rPr>
        <w:t xml:space="preserve"> aprēķināšanu un </w:t>
      </w:r>
      <w:r w:rsidR="00696143">
        <w:rPr>
          <w:rFonts w:ascii="Times New Roman" w:hAnsi="Times New Roman" w:cs="Times New Roman"/>
          <w:sz w:val="24"/>
          <w:szCs w:val="24"/>
        </w:rPr>
        <w:t>kompensēšanu</w:t>
      </w:r>
      <w:r w:rsidR="001A7E3A">
        <w:rPr>
          <w:rFonts w:ascii="Times New Roman" w:hAnsi="Times New Roman" w:cs="Times New Roman"/>
          <w:sz w:val="24"/>
          <w:szCs w:val="24"/>
        </w:rPr>
        <w:t xml:space="preserve">. </w:t>
      </w:r>
      <w:r w:rsidR="00AB0625" w:rsidRPr="0094223C">
        <w:rPr>
          <w:rFonts w:ascii="Times New Roman" w:hAnsi="Times New Roman" w:cs="Times New Roman"/>
          <w:sz w:val="24"/>
          <w:szCs w:val="24"/>
        </w:rPr>
        <w:t>Faktiski paveikto</w:t>
      </w:r>
      <w:r w:rsidR="009417E7">
        <w:rPr>
          <w:rFonts w:ascii="Times New Roman" w:hAnsi="Times New Roman" w:cs="Times New Roman"/>
          <w:sz w:val="24"/>
          <w:szCs w:val="24"/>
        </w:rPr>
        <w:t xml:space="preserve"> būvdarbu</w:t>
      </w:r>
      <w:r w:rsidR="00AB0625" w:rsidRPr="0094223C">
        <w:rPr>
          <w:rFonts w:ascii="Times New Roman" w:hAnsi="Times New Roman" w:cs="Times New Roman"/>
          <w:sz w:val="24"/>
          <w:szCs w:val="24"/>
        </w:rPr>
        <w:t xml:space="preserve"> apjomu </w:t>
      </w:r>
      <w:r w:rsidR="001A7E3A">
        <w:rPr>
          <w:rFonts w:ascii="Times New Roman" w:hAnsi="Times New Roman" w:cs="Times New Roman"/>
          <w:sz w:val="24"/>
          <w:szCs w:val="24"/>
        </w:rPr>
        <w:t>nosaka,</w:t>
      </w:r>
      <w:r w:rsidR="00AB0625" w:rsidRPr="0094223C">
        <w:rPr>
          <w:rFonts w:ascii="Times New Roman" w:hAnsi="Times New Roman" w:cs="Times New Roman"/>
          <w:sz w:val="24"/>
          <w:szCs w:val="24"/>
        </w:rPr>
        <w:t xml:space="preserve"> vadoties pēc ierakstiem būvdarbu žurnālā par paveiktajiem darbiem un ievestajiem būvmateriāliem. </w:t>
      </w:r>
      <w:r w:rsidR="00BD0C00">
        <w:rPr>
          <w:rFonts w:ascii="Times New Roman" w:hAnsi="Times New Roman" w:cs="Times New Roman"/>
          <w:sz w:val="24"/>
          <w:szCs w:val="24"/>
        </w:rPr>
        <w:t>F</w:t>
      </w:r>
      <w:r w:rsidR="00AB0625" w:rsidRPr="0094223C">
        <w:rPr>
          <w:rFonts w:ascii="Times New Roman" w:hAnsi="Times New Roman" w:cs="Times New Roman"/>
          <w:sz w:val="24"/>
          <w:szCs w:val="24"/>
        </w:rPr>
        <w:t>aktiski paveikto būvdarbu apjomu apstiprina būvuzraugs</w:t>
      </w:r>
      <w:r w:rsidR="0076211D">
        <w:rPr>
          <w:rFonts w:ascii="Times New Roman" w:hAnsi="Times New Roman" w:cs="Times New Roman"/>
          <w:sz w:val="24"/>
          <w:szCs w:val="24"/>
        </w:rPr>
        <w:t>, saskaņojot ar pasūtītāju,</w:t>
      </w:r>
      <w:r w:rsidR="00AB0625" w:rsidRPr="0094223C">
        <w:rPr>
          <w:rFonts w:ascii="Times New Roman" w:hAnsi="Times New Roman" w:cs="Times New Roman"/>
          <w:sz w:val="24"/>
          <w:szCs w:val="24"/>
        </w:rPr>
        <w:t xml:space="preserve"> vai </w:t>
      </w:r>
      <w:r w:rsidR="00DE1BFB">
        <w:rPr>
          <w:rFonts w:ascii="Times New Roman" w:hAnsi="Times New Roman" w:cs="Times New Roman"/>
          <w:sz w:val="24"/>
          <w:szCs w:val="24"/>
        </w:rPr>
        <w:t xml:space="preserve">arī, </w:t>
      </w:r>
      <w:r w:rsidR="00BD0C00" w:rsidRPr="0094223C">
        <w:rPr>
          <w:rFonts w:ascii="Times New Roman" w:hAnsi="Times New Roman" w:cs="Times New Roman"/>
          <w:sz w:val="24"/>
          <w:szCs w:val="24"/>
        </w:rPr>
        <w:t xml:space="preserve">ja netiek veikta būvuzraudzība </w:t>
      </w:r>
      <w:r w:rsidR="00BD0C00" w:rsidRPr="00D33F66">
        <w:rPr>
          <w:rFonts w:ascii="Times New Roman" w:hAnsi="Times New Roman" w:cs="Times New Roman"/>
          <w:sz w:val="24"/>
          <w:szCs w:val="24"/>
        </w:rPr>
        <w:t>–</w:t>
      </w:r>
      <w:r w:rsidR="00BD0C00" w:rsidRPr="00D608EE">
        <w:rPr>
          <w:rFonts w:ascii="Times New Roman" w:hAnsi="Times New Roman" w:cs="Times New Roman"/>
          <w:sz w:val="24"/>
          <w:szCs w:val="24"/>
        </w:rPr>
        <w:t xml:space="preserve"> </w:t>
      </w:r>
      <w:r w:rsidR="00AB0625" w:rsidRPr="0094223C">
        <w:rPr>
          <w:rFonts w:ascii="Times New Roman" w:hAnsi="Times New Roman" w:cs="Times New Roman"/>
          <w:sz w:val="24"/>
          <w:szCs w:val="24"/>
        </w:rPr>
        <w:t>pasūtītājs</w:t>
      </w:r>
      <w:r w:rsidR="00BD0C00">
        <w:rPr>
          <w:rFonts w:ascii="Times New Roman" w:hAnsi="Times New Roman" w:cs="Times New Roman"/>
          <w:sz w:val="24"/>
          <w:szCs w:val="24"/>
        </w:rPr>
        <w:t>.</w:t>
      </w:r>
    </w:p>
    <w:p w14:paraId="6CCAD729" w14:textId="37606EBA" w:rsidR="008C30D0" w:rsidRPr="0094223C" w:rsidRDefault="008C30D0" w:rsidP="00ED4B32">
      <w:pPr>
        <w:spacing w:before="240" w:after="120" w:line="240" w:lineRule="auto"/>
        <w:jc w:val="both"/>
        <w:rPr>
          <w:rFonts w:ascii="Times New Roman" w:hAnsi="Times New Roman" w:cs="Times New Roman"/>
          <w:b/>
          <w:bCs/>
          <w:sz w:val="24"/>
          <w:szCs w:val="24"/>
        </w:rPr>
      </w:pPr>
      <w:r w:rsidRPr="0094223C">
        <w:rPr>
          <w:rFonts w:ascii="Times New Roman" w:hAnsi="Times New Roman" w:cs="Times New Roman"/>
          <w:b/>
          <w:bCs/>
          <w:sz w:val="24"/>
          <w:szCs w:val="24"/>
        </w:rPr>
        <w:t xml:space="preserve">Būvmateriālu izmaksu </w:t>
      </w:r>
      <w:r w:rsidR="00994EBD">
        <w:rPr>
          <w:rFonts w:ascii="Times New Roman" w:hAnsi="Times New Roman" w:cs="Times New Roman"/>
          <w:b/>
          <w:bCs/>
          <w:sz w:val="24"/>
          <w:szCs w:val="24"/>
        </w:rPr>
        <w:t xml:space="preserve">sadārdzinājuma novērtēšanai </w:t>
      </w:r>
      <w:r w:rsidRPr="0094223C">
        <w:rPr>
          <w:rFonts w:ascii="Times New Roman" w:hAnsi="Times New Roman" w:cs="Times New Roman"/>
          <w:b/>
          <w:bCs/>
          <w:sz w:val="24"/>
          <w:szCs w:val="24"/>
        </w:rPr>
        <w:t>izmantojamie dati</w:t>
      </w:r>
    </w:p>
    <w:p w14:paraId="4B13C184" w14:textId="23DBFDFA" w:rsidR="00560176" w:rsidRDefault="00560176" w:rsidP="004651A9">
      <w:pPr>
        <w:spacing w:after="80" w:line="240" w:lineRule="auto"/>
        <w:ind w:firstLine="720"/>
        <w:jc w:val="both"/>
        <w:rPr>
          <w:rFonts w:ascii="Times New Roman" w:hAnsi="Times New Roman" w:cs="Times New Roman"/>
          <w:sz w:val="24"/>
          <w:szCs w:val="24"/>
        </w:rPr>
      </w:pPr>
      <w:r w:rsidRPr="0094223C">
        <w:rPr>
          <w:rFonts w:ascii="Times New Roman" w:hAnsi="Times New Roman" w:cs="Times New Roman"/>
          <w:sz w:val="24"/>
          <w:szCs w:val="24"/>
        </w:rPr>
        <w:t xml:space="preserve">Vadlīnijas būvmateriālu izmaksu </w:t>
      </w:r>
      <w:r>
        <w:rPr>
          <w:rFonts w:ascii="Times New Roman" w:hAnsi="Times New Roman" w:cs="Times New Roman"/>
          <w:sz w:val="24"/>
          <w:szCs w:val="24"/>
        </w:rPr>
        <w:t>sadārdzinājuma novērtēšanai</w:t>
      </w:r>
      <w:r w:rsidRPr="0094223C">
        <w:rPr>
          <w:rFonts w:ascii="Times New Roman" w:hAnsi="Times New Roman" w:cs="Times New Roman"/>
          <w:sz w:val="24"/>
          <w:szCs w:val="24"/>
        </w:rPr>
        <w:t xml:space="preserve"> ir izstrādātas balstoties uz</w:t>
      </w:r>
      <w:r>
        <w:rPr>
          <w:rFonts w:ascii="Times New Roman" w:hAnsi="Times New Roman" w:cs="Times New Roman"/>
          <w:sz w:val="24"/>
          <w:szCs w:val="24"/>
        </w:rPr>
        <w:t xml:space="preserve"> </w:t>
      </w:r>
      <w:r w:rsidRPr="0094223C">
        <w:rPr>
          <w:rFonts w:ascii="Times New Roman" w:hAnsi="Times New Roman" w:cs="Times New Roman"/>
          <w:sz w:val="24"/>
          <w:szCs w:val="24"/>
        </w:rPr>
        <w:t xml:space="preserve">CSP apkopotajiem datiem par </w:t>
      </w:r>
      <w:r>
        <w:rPr>
          <w:rFonts w:ascii="Times New Roman" w:hAnsi="Times New Roman" w:cs="Times New Roman"/>
          <w:sz w:val="24"/>
          <w:szCs w:val="24"/>
        </w:rPr>
        <w:t xml:space="preserve">būvmateriālu indeksu un </w:t>
      </w:r>
      <w:r w:rsidR="00411D0A">
        <w:rPr>
          <w:rFonts w:ascii="Times New Roman" w:hAnsi="Times New Roman" w:cs="Times New Roman"/>
          <w:sz w:val="24"/>
          <w:szCs w:val="24"/>
        </w:rPr>
        <w:t>EM</w:t>
      </w:r>
      <w:r w:rsidR="00D200E8">
        <w:rPr>
          <w:rFonts w:ascii="Times New Roman" w:hAnsi="Times New Roman" w:cs="Times New Roman"/>
          <w:sz w:val="24"/>
          <w:szCs w:val="24"/>
        </w:rPr>
        <w:t xml:space="preserve"> </w:t>
      </w:r>
      <w:r w:rsidRPr="0094223C">
        <w:rPr>
          <w:rFonts w:ascii="Times New Roman" w:hAnsi="Times New Roman" w:cs="Times New Roman"/>
          <w:sz w:val="24"/>
          <w:szCs w:val="24"/>
        </w:rPr>
        <w:t>pētījuma par prognozētajām izmaiņām darbaspēka un būvmateriālu izmaksās Latvijas būvniecības nozarē ietvaros atspoguļotajām būvmateriālu izmaksu prognozēm</w:t>
      </w:r>
      <w:r w:rsidRPr="0094223C">
        <w:rPr>
          <w:rStyle w:val="FootnoteReference"/>
          <w:rFonts w:ascii="Times New Roman" w:hAnsi="Times New Roman" w:cs="Times New Roman"/>
          <w:sz w:val="24"/>
          <w:szCs w:val="24"/>
        </w:rPr>
        <w:footnoteReference w:id="3"/>
      </w:r>
      <w:r w:rsidRPr="0094223C">
        <w:rPr>
          <w:rFonts w:ascii="Times New Roman" w:hAnsi="Times New Roman" w:cs="Times New Roman"/>
          <w:sz w:val="24"/>
          <w:szCs w:val="24"/>
        </w:rPr>
        <w:t>.</w:t>
      </w:r>
    </w:p>
    <w:p w14:paraId="29F24A14" w14:textId="0984A2F0" w:rsidR="00A06416" w:rsidRDefault="00A06416" w:rsidP="00B80F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Būvmateriālu izmaksu sadārdzinājuma novērtēšanai var izmantot šādus publiski pieejamus </w:t>
      </w:r>
      <w:r w:rsidR="00FE215C">
        <w:rPr>
          <w:rFonts w:ascii="Times New Roman" w:hAnsi="Times New Roman" w:cs="Times New Roman"/>
          <w:sz w:val="24"/>
          <w:szCs w:val="24"/>
        </w:rPr>
        <w:t xml:space="preserve">CSP </w:t>
      </w:r>
      <w:r>
        <w:rPr>
          <w:rFonts w:ascii="Times New Roman" w:hAnsi="Times New Roman" w:cs="Times New Roman"/>
          <w:sz w:val="24"/>
          <w:szCs w:val="24"/>
        </w:rPr>
        <w:t>datus:</w:t>
      </w:r>
    </w:p>
    <w:p w14:paraId="76982DA8" w14:textId="1715800B" w:rsidR="00A06416" w:rsidRDefault="008A7AFB" w:rsidP="00A0641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būvmateriālu indekss </w:t>
      </w:r>
      <w:r w:rsidR="00DA7B5F">
        <w:rPr>
          <w:rFonts w:ascii="Times New Roman" w:hAnsi="Times New Roman" w:cs="Times New Roman"/>
          <w:sz w:val="24"/>
          <w:szCs w:val="24"/>
        </w:rPr>
        <w:t xml:space="preserve">būvniecībā </w:t>
      </w:r>
      <w:r>
        <w:rPr>
          <w:rFonts w:ascii="Times New Roman" w:hAnsi="Times New Roman" w:cs="Times New Roman"/>
          <w:sz w:val="24"/>
          <w:szCs w:val="24"/>
        </w:rPr>
        <w:t>pa gadiem</w:t>
      </w:r>
      <w:r w:rsidR="00DC0430">
        <w:rPr>
          <w:rFonts w:ascii="Times New Roman" w:hAnsi="Times New Roman" w:cs="Times New Roman"/>
          <w:sz w:val="24"/>
          <w:szCs w:val="24"/>
        </w:rPr>
        <w:t xml:space="preserve"> (2015=100)</w:t>
      </w:r>
      <w:r>
        <w:rPr>
          <w:rStyle w:val="FootnoteReference"/>
          <w:rFonts w:ascii="Times New Roman" w:hAnsi="Times New Roman" w:cs="Times New Roman"/>
          <w:sz w:val="24"/>
          <w:szCs w:val="24"/>
        </w:rPr>
        <w:footnoteReference w:id="4"/>
      </w:r>
      <w:r w:rsidR="00733431">
        <w:rPr>
          <w:rFonts w:ascii="Times New Roman" w:hAnsi="Times New Roman" w:cs="Times New Roman"/>
          <w:sz w:val="24"/>
          <w:szCs w:val="24"/>
        </w:rPr>
        <w:t>;</w:t>
      </w:r>
    </w:p>
    <w:p w14:paraId="61BBF5D0" w14:textId="1F947BBC" w:rsidR="0047049C" w:rsidRPr="00B53C16" w:rsidRDefault="0047049C" w:rsidP="0047049C">
      <w:pPr>
        <w:pStyle w:val="ListParagraph"/>
        <w:numPr>
          <w:ilvl w:val="0"/>
          <w:numId w:val="7"/>
        </w:numPr>
        <w:spacing w:after="80" w:line="240" w:lineRule="auto"/>
        <w:ind w:left="1434" w:hanging="357"/>
        <w:jc w:val="both"/>
        <w:rPr>
          <w:rFonts w:ascii="Times New Roman" w:hAnsi="Times New Roman" w:cs="Times New Roman"/>
          <w:sz w:val="24"/>
          <w:szCs w:val="24"/>
        </w:rPr>
      </w:pPr>
      <w:r w:rsidRPr="00B53C16">
        <w:rPr>
          <w:rFonts w:ascii="Times New Roman" w:hAnsi="Times New Roman" w:cs="Times New Roman"/>
          <w:sz w:val="24"/>
          <w:szCs w:val="24"/>
        </w:rPr>
        <w:t xml:space="preserve">būvmateriālu indekss </w:t>
      </w:r>
      <w:r>
        <w:rPr>
          <w:rFonts w:ascii="Times New Roman" w:hAnsi="Times New Roman" w:cs="Times New Roman"/>
          <w:sz w:val="24"/>
          <w:szCs w:val="24"/>
        </w:rPr>
        <w:t>dalījumā pa objektu grupām (</w:t>
      </w:r>
      <w:r w:rsidRPr="00B53C16">
        <w:rPr>
          <w:rFonts w:ascii="Times New Roman" w:hAnsi="Times New Roman" w:cs="Times New Roman"/>
          <w:sz w:val="24"/>
          <w:szCs w:val="24"/>
        </w:rPr>
        <w:t>dzīvojam</w:t>
      </w:r>
      <w:r>
        <w:rPr>
          <w:rFonts w:ascii="Times New Roman" w:hAnsi="Times New Roman" w:cs="Times New Roman"/>
          <w:sz w:val="24"/>
          <w:szCs w:val="24"/>
        </w:rPr>
        <w:t xml:space="preserve">ās ēkas, nedzīvojamās ēkas, u.c.) </w:t>
      </w:r>
      <w:r w:rsidRPr="00B53C16">
        <w:rPr>
          <w:rFonts w:ascii="Times New Roman" w:hAnsi="Times New Roman" w:cs="Times New Roman"/>
          <w:sz w:val="24"/>
          <w:szCs w:val="24"/>
        </w:rPr>
        <w:t>pa ceturkšņiem</w:t>
      </w:r>
      <w:r>
        <w:rPr>
          <w:rFonts w:ascii="Times New Roman" w:hAnsi="Times New Roman" w:cs="Times New Roman"/>
          <w:sz w:val="24"/>
          <w:szCs w:val="24"/>
        </w:rPr>
        <w:t xml:space="preserve"> (2015=100)</w:t>
      </w:r>
      <w:r w:rsidRPr="00B53C16">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
    <w:p w14:paraId="3C5B32C1" w14:textId="38E583D8" w:rsidR="0047049C" w:rsidRDefault="0047049C" w:rsidP="0047049C">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sz w:val="24"/>
          <w:szCs w:val="24"/>
        </w:rPr>
        <w:t xml:space="preserve">būvmateriālu indekss </w:t>
      </w:r>
      <w:r>
        <w:rPr>
          <w:rFonts w:ascii="Times New Roman" w:hAnsi="Times New Roman" w:cs="Times New Roman"/>
          <w:sz w:val="24"/>
          <w:szCs w:val="24"/>
        </w:rPr>
        <w:t>dalījumā pa objektu grupām (</w:t>
      </w:r>
      <w:r w:rsidRPr="00B53C16">
        <w:rPr>
          <w:rFonts w:ascii="Times New Roman" w:hAnsi="Times New Roman" w:cs="Times New Roman"/>
          <w:sz w:val="24"/>
          <w:szCs w:val="24"/>
        </w:rPr>
        <w:t>dzīvojam</w:t>
      </w:r>
      <w:r>
        <w:rPr>
          <w:rFonts w:ascii="Times New Roman" w:hAnsi="Times New Roman" w:cs="Times New Roman"/>
          <w:sz w:val="24"/>
          <w:szCs w:val="24"/>
        </w:rPr>
        <w:t xml:space="preserve">ās ēkas, nedzīvojamās ēkas, u.c.) </w:t>
      </w:r>
      <w:r w:rsidRPr="00B53C16">
        <w:rPr>
          <w:rFonts w:ascii="Times New Roman" w:hAnsi="Times New Roman" w:cs="Times New Roman"/>
          <w:sz w:val="24"/>
          <w:szCs w:val="24"/>
        </w:rPr>
        <w:t xml:space="preserve">pa </w:t>
      </w:r>
      <w:r>
        <w:rPr>
          <w:rFonts w:ascii="Times New Roman" w:hAnsi="Times New Roman" w:cs="Times New Roman"/>
          <w:sz w:val="24"/>
          <w:szCs w:val="24"/>
        </w:rPr>
        <w:t>mēnešiem (2015=100)</w:t>
      </w:r>
      <w:r>
        <w:rPr>
          <w:rStyle w:val="FootnoteReference"/>
          <w:rFonts w:ascii="Times New Roman" w:hAnsi="Times New Roman" w:cs="Times New Roman"/>
          <w:sz w:val="24"/>
          <w:szCs w:val="24"/>
        </w:rPr>
        <w:footnoteReference w:id="6"/>
      </w:r>
      <w:r w:rsidR="00A234D4">
        <w:rPr>
          <w:rFonts w:ascii="Times New Roman" w:hAnsi="Times New Roman" w:cs="Times New Roman"/>
          <w:sz w:val="24"/>
          <w:szCs w:val="24"/>
        </w:rPr>
        <w:t>;</w:t>
      </w:r>
    </w:p>
    <w:p w14:paraId="4883455F" w14:textId="3F288887" w:rsidR="00C1151C" w:rsidRPr="00C1151C" w:rsidRDefault="00C1151C" w:rsidP="00C1151C">
      <w:pPr>
        <w:pStyle w:val="ListParagraph"/>
        <w:numPr>
          <w:ilvl w:val="0"/>
          <w:numId w:val="7"/>
        </w:numPr>
        <w:spacing w:after="0" w:line="240" w:lineRule="auto"/>
        <w:jc w:val="both"/>
        <w:rPr>
          <w:rFonts w:ascii="Times New Roman" w:hAnsi="Times New Roman" w:cs="Times New Roman"/>
          <w:sz w:val="24"/>
          <w:szCs w:val="24"/>
        </w:rPr>
      </w:pPr>
      <w:r w:rsidRPr="00C1151C">
        <w:rPr>
          <w:rFonts w:ascii="Times New Roman" w:hAnsi="Times New Roman" w:cs="Times New Roman"/>
          <w:sz w:val="24"/>
          <w:szCs w:val="24"/>
        </w:rPr>
        <w:t xml:space="preserve">būvniecības izmaksu indekss </w:t>
      </w:r>
      <w:r w:rsidR="00E83E50">
        <w:rPr>
          <w:rFonts w:ascii="Times New Roman" w:hAnsi="Times New Roman" w:cs="Times New Roman"/>
          <w:sz w:val="24"/>
          <w:szCs w:val="24"/>
        </w:rPr>
        <w:t>pa resursu veidiem un b</w:t>
      </w:r>
      <w:r w:rsidRPr="00C1151C">
        <w:rPr>
          <w:rFonts w:ascii="Times New Roman" w:hAnsi="Times New Roman" w:cs="Times New Roman"/>
          <w:sz w:val="24"/>
          <w:szCs w:val="24"/>
        </w:rPr>
        <w:t>ūvmateriālu grupām</w:t>
      </w:r>
      <w:r>
        <w:rPr>
          <w:rFonts w:ascii="Times New Roman" w:hAnsi="Times New Roman" w:cs="Times New Roman"/>
          <w:sz w:val="24"/>
          <w:szCs w:val="24"/>
        </w:rPr>
        <w:t xml:space="preserve"> </w:t>
      </w:r>
      <w:r w:rsidRPr="00B53C16">
        <w:rPr>
          <w:rFonts w:ascii="Times New Roman" w:hAnsi="Times New Roman" w:cs="Times New Roman"/>
          <w:sz w:val="24"/>
          <w:szCs w:val="24"/>
        </w:rPr>
        <w:t xml:space="preserve">pa </w:t>
      </w:r>
      <w:r>
        <w:rPr>
          <w:rFonts w:ascii="Times New Roman" w:hAnsi="Times New Roman" w:cs="Times New Roman"/>
          <w:sz w:val="24"/>
          <w:szCs w:val="24"/>
        </w:rPr>
        <w:t>mēnešiem</w:t>
      </w:r>
      <w:r w:rsidR="00BA6367">
        <w:rPr>
          <w:rFonts w:ascii="Times New Roman" w:hAnsi="Times New Roman" w:cs="Times New Roman"/>
          <w:sz w:val="24"/>
          <w:szCs w:val="24"/>
        </w:rPr>
        <w:t xml:space="preserve"> (2021=100)</w:t>
      </w:r>
      <w:r w:rsidR="00044F44">
        <w:rPr>
          <w:rStyle w:val="FootnoteReference"/>
          <w:rFonts w:ascii="Times New Roman" w:hAnsi="Times New Roman" w:cs="Times New Roman"/>
          <w:sz w:val="24"/>
          <w:szCs w:val="24"/>
        </w:rPr>
        <w:footnoteReference w:id="7"/>
      </w:r>
      <w:r w:rsidR="00CF2152">
        <w:rPr>
          <w:rFonts w:ascii="Times New Roman" w:hAnsi="Times New Roman" w:cs="Times New Roman"/>
          <w:i/>
          <w:iCs/>
          <w:sz w:val="24"/>
          <w:szCs w:val="24"/>
        </w:rPr>
        <w:t>.</w:t>
      </w:r>
    </w:p>
    <w:p w14:paraId="738E94C3" w14:textId="22489AF4" w:rsidR="004651A9" w:rsidRDefault="00B80F5F" w:rsidP="004651A9">
      <w:pPr>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Informācija par </w:t>
      </w:r>
      <w:r w:rsidR="0017107C">
        <w:rPr>
          <w:rFonts w:ascii="Times New Roman" w:hAnsi="Times New Roman" w:cs="Times New Roman"/>
          <w:sz w:val="24"/>
          <w:szCs w:val="24"/>
        </w:rPr>
        <w:t xml:space="preserve">Būvniecības (t.sk., </w:t>
      </w:r>
      <w:r>
        <w:rPr>
          <w:rFonts w:ascii="Times New Roman" w:hAnsi="Times New Roman" w:cs="Times New Roman"/>
          <w:sz w:val="24"/>
          <w:szCs w:val="24"/>
        </w:rPr>
        <w:t>būvmateriālu</w:t>
      </w:r>
      <w:r w:rsidR="0017107C">
        <w:rPr>
          <w:rFonts w:ascii="Times New Roman" w:hAnsi="Times New Roman" w:cs="Times New Roman"/>
          <w:sz w:val="24"/>
          <w:szCs w:val="24"/>
        </w:rPr>
        <w:t>)</w:t>
      </w:r>
      <w:r>
        <w:rPr>
          <w:rFonts w:ascii="Times New Roman" w:hAnsi="Times New Roman" w:cs="Times New Roman"/>
          <w:sz w:val="24"/>
          <w:szCs w:val="24"/>
        </w:rPr>
        <w:t xml:space="preserve"> indeksa </w:t>
      </w:r>
      <w:r w:rsidRPr="0094223C">
        <w:rPr>
          <w:rFonts w:ascii="Times New Roman" w:hAnsi="Times New Roman" w:cs="Times New Roman"/>
          <w:sz w:val="24"/>
          <w:szCs w:val="24"/>
        </w:rPr>
        <w:t>publicēšanas datumiem ir pieejam</w:t>
      </w:r>
      <w:r w:rsidR="00C27012">
        <w:rPr>
          <w:rFonts w:ascii="Times New Roman" w:hAnsi="Times New Roman" w:cs="Times New Roman"/>
          <w:sz w:val="24"/>
          <w:szCs w:val="24"/>
        </w:rPr>
        <w:t xml:space="preserve">a </w:t>
      </w:r>
      <w:r w:rsidRPr="0094223C">
        <w:rPr>
          <w:rFonts w:ascii="Times New Roman" w:hAnsi="Times New Roman" w:cs="Times New Roman"/>
          <w:sz w:val="24"/>
          <w:szCs w:val="24"/>
        </w:rPr>
        <w:t>CS</w:t>
      </w:r>
      <w:r w:rsidR="00E46FCD">
        <w:rPr>
          <w:rFonts w:ascii="Times New Roman" w:hAnsi="Times New Roman" w:cs="Times New Roman"/>
          <w:sz w:val="24"/>
          <w:szCs w:val="24"/>
        </w:rPr>
        <w:t>P</w:t>
      </w:r>
      <w:r w:rsidRPr="0094223C">
        <w:rPr>
          <w:rFonts w:ascii="Times New Roman" w:hAnsi="Times New Roman" w:cs="Times New Roman"/>
          <w:sz w:val="24"/>
          <w:szCs w:val="24"/>
        </w:rPr>
        <w:t xml:space="preserve"> </w:t>
      </w:r>
      <w:r w:rsidR="00C27012">
        <w:rPr>
          <w:rFonts w:ascii="Times New Roman" w:hAnsi="Times New Roman" w:cs="Times New Roman"/>
          <w:sz w:val="24"/>
          <w:szCs w:val="24"/>
        </w:rPr>
        <w:t>mājaslapā</w:t>
      </w:r>
      <w:r w:rsidR="00860FC0">
        <w:rPr>
          <w:rFonts w:ascii="Times New Roman" w:hAnsi="Times New Roman" w:cs="Times New Roman"/>
          <w:sz w:val="24"/>
          <w:szCs w:val="24"/>
        </w:rPr>
        <w:t xml:space="preserve"> pie d</w:t>
      </w:r>
      <w:r w:rsidR="00860FC0" w:rsidRPr="00860FC0">
        <w:rPr>
          <w:rFonts w:ascii="Times New Roman" w:hAnsi="Times New Roman" w:cs="Times New Roman"/>
          <w:sz w:val="24"/>
          <w:szCs w:val="24"/>
        </w:rPr>
        <w:t>atu publicēšanas kalendār</w:t>
      </w:r>
      <w:r w:rsidR="00860FC0">
        <w:rPr>
          <w:rFonts w:ascii="Times New Roman" w:hAnsi="Times New Roman" w:cs="Times New Roman"/>
          <w:sz w:val="24"/>
          <w:szCs w:val="24"/>
        </w:rPr>
        <w:t>a</w:t>
      </w:r>
      <w:r w:rsidRPr="0094223C">
        <w:rPr>
          <w:rFonts w:ascii="Times New Roman" w:hAnsi="Times New Roman" w:cs="Times New Roman"/>
          <w:sz w:val="24"/>
          <w:szCs w:val="24"/>
        </w:rPr>
        <w:t>.</w:t>
      </w:r>
    </w:p>
    <w:p w14:paraId="6F34388C" w14:textId="5BF2FD81" w:rsidR="008E036B" w:rsidRDefault="002210E9" w:rsidP="004651A9">
      <w:pPr>
        <w:spacing w:after="80" w:line="240" w:lineRule="auto"/>
        <w:ind w:firstLine="720"/>
        <w:jc w:val="both"/>
        <w:rPr>
          <w:rFonts w:ascii="Times New Roman" w:hAnsi="Times New Roman" w:cs="Times New Roman"/>
          <w:sz w:val="24"/>
          <w:szCs w:val="24"/>
        </w:rPr>
      </w:pPr>
      <w:r w:rsidRPr="00291A12">
        <w:rPr>
          <w:rFonts w:ascii="Times New Roman" w:hAnsi="Times New Roman" w:cs="Times New Roman"/>
          <w:sz w:val="24"/>
          <w:szCs w:val="24"/>
        </w:rPr>
        <w:lastRenderedPageBreak/>
        <w:t>B</w:t>
      </w:r>
      <w:r w:rsidR="00310FC1" w:rsidRPr="00291A12">
        <w:rPr>
          <w:rFonts w:ascii="Times New Roman" w:hAnsi="Times New Roman" w:cs="Times New Roman"/>
          <w:sz w:val="24"/>
          <w:szCs w:val="24"/>
        </w:rPr>
        <w:t>ūvmateriāliem prognozēt</w:t>
      </w:r>
      <w:r w:rsidRPr="00291A12">
        <w:rPr>
          <w:rFonts w:ascii="Times New Roman" w:hAnsi="Times New Roman" w:cs="Times New Roman"/>
          <w:sz w:val="24"/>
          <w:szCs w:val="24"/>
        </w:rPr>
        <w:t>ā</w:t>
      </w:r>
      <w:r w:rsidR="00310FC1" w:rsidRPr="00291A12">
        <w:rPr>
          <w:rFonts w:ascii="Times New Roman" w:hAnsi="Times New Roman" w:cs="Times New Roman"/>
          <w:sz w:val="24"/>
          <w:szCs w:val="24"/>
        </w:rPr>
        <w:t xml:space="preserve"> inflācij</w:t>
      </w:r>
      <w:r w:rsidRPr="00291A12">
        <w:rPr>
          <w:rFonts w:ascii="Times New Roman" w:hAnsi="Times New Roman" w:cs="Times New Roman"/>
          <w:sz w:val="24"/>
          <w:szCs w:val="24"/>
        </w:rPr>
        <w:t>a</w:t>
      </w:r>
      <w:r w:rsidR="0072109F" w:rsidRPr="00291A12">
        <w:rPr>
          <w:rFonts w:ascii="Times New Roman" w:hAnsi="Times New Roman" w:cs="Times New Roman"/>
          <w:sz w:val="24"/>
          <w:szCs w:val="24"/>
        </w:rPr>
        <w:t xml:space="preserve"> </w:t>
      </w:r>
      <w:r w:rsidRPr="00291A12">
        <w:rPr>
          <w:rFonts w:ascii="Times New Roman" w:hAnsi="Times New Roman" w:cs="Times New Roman"/>
          <w:sz w:val="24"/>
          <w:szCs w:val="24"/>
        </w:rPr>
        <w:t>jānosaka atkarībā no būvniecības piedāvājuma iesniegšanas brīža</w:t>
      </w:r>
      <w:r w:rsidR="0084631F" w:rsidRPr="00291A12">
        <w:rPr>
          <w:rFonts w:ascii="Times New Roman" w:hAnsi="Times New Roman" w:cs="Times New Roman"/>
          <w:sz w:val="24"/>
          <w:szCs w:val="24"/>
        </w:rPr>
        <w:t xml:space="preserve"> un </w:t>
      </w:r>
      <w:r w:rsidR="00F87AA8">
        <w:rPr>
          <w:rFonts w:ascii="Times New Roman" w:hAnsi="Times New Roman" w:cs="Times New Roman"/>
          <w:sz w:val="24"/>
          <w:szCs w:val="24"/>
        </w:rPr>
        <w:t xml:space="preserve">pēc EM veiktajos pētījumos apkopotās </w:t>
      </w:r>
      <w:r w:rsidR="0084631F" w:rsidRPr="00291A12">
        <w:rPr>
          <w:rFonts w:ascii="Times New Roman" w:hAnsi="Times New Roman" w:cs="Times New Roman"/>
          <w:sz w:val="24"/>
          <w:szCs w:val="24"/>
        </w:rPr>
        <w:t>informācijas</w:t>
      </w:r>
      <w:r w:rsidR="008E036B">
        <w:rPr>
          <w:rFonts w:ascii="Times New Roman" w:hAnsi="Times New Roman" w:cs="Times New Roman"/>
          <w:sz w:val="24"/>
          <w:szCs w:val="24"/>
        </w:rPr>
        <w:t xml:space="preserve"> (skat. 1.tabulu)</w:t>
      </w:r>
      <w:r w:rsidR="00EA64B2" w:rsidRPr="00291A12">
        <w:rPr>
          <w:rFonts w:ascii="Times New Roman" w:hAnsi="Times New Roman" w:cs="Times New Roman"/>
          <w:sz w:val="24"/>
          <w:szCs w:val="24"/>
        </w:rPr>
        <w:t>.</w:t>
      </w:r>
      <w:r w:rsidR="0072109F" w:rsidRPr="00291A12">
        <w:rPr>
          <w:rFonts w:ascii="Times New Roman" w:hAnsi="Times New Roman" w:cs="Times New Roman"/>
          <w:sz w:val="24"/>
          <w:szCs w:val="24"/>
        </w:rPr>
        <w:t xml:space="preserve"> </w:t>
      </w:r>
    </w:p>
    <w:p w14:paraId="6B3C6708" w14:textId="37C9411E" w:rsidR="008E036B" w:rsidRPr="008E036B" w:rsidRDefault="008E036B" w:rsidP="008E036B">
      <w:pPr>
        <w:pStyle w:val="ListParagraph"/>
        <w:numPr>
          <w:ilvl w:val="0"/>
          <w:numId w:val="8"/>
        </w:numPr>
        <w:tabs>
          <w:tab w:val="left" w:pos="284"/>
        </w:tabs>
        <w:spacing w:before="240" w:after="120" w:line="240" w:lineRule="auto"/>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 xml:space="preserve">tabula. </w:t>
      </w:r>
      <w:r w:rsidRPr="008E036B">
        <w:rPr>
          <w:rFonts w:ascii="Times New Roman" w:hAnsi="Times New Roman" w:cs="Times New Roman"/>
          <w:sz w:val="24"/>
          <w:szCs w:val="24"/>
        </w:rPr>
        <w:t>Būvmateriāliem prognozētā inflācija pēc kombinētās metodes EM veiktajos pētījumos (%)</w:t>
      </w:r>
    </w:p>
    <w:tbl>
      <w:tblPr>
        <w:tblStyle w:val="TableGrid"/>
        <w:tblW w:w="0" w:type="auto"/>
        <w:jc w:val="center"/>
        <w:tblLook w:val="04A0" w:firstRow="1" w:lastRow="0" w:firstColumn="1" w:lastColumn="0" w:noHBand="0" w:noVBand="1"/>
      </w:tblPr>
      <w:tblGrid>
        <w:gridCol w:w="2705"/>
        <w:gridCol w:w="931"/>
        <w:gridCol w:w="932"/>
        <w:gridCol w:w="932"/>
        <w:gridCol w:w="932"/>
        <w:gridCol w:w="932"/>
        <w:gridCol w:w="932"/>
      </w:tblGrid>
      <w:tr w:rsidR="008E036B" w14:paraId="0D50C3B2" w14:textId="77777777" w:rsidTr="00F046A5">
        <w:trPr>
          <w:jc w:val="center"/>
        </w:trPr>
        <w:tc>
          <w:tcPr>
            <w:tcW w:w="3058" w:type="dxa"/>
            <w:shd w:val="clear" w:color="auto" w:fill="D9E2F3" w:themeFill="accent1" w:themeFillTint="33"/>
          </w:tcPr>
          <w:p w14:paraId="07497B32" w14:textId="77777777" w:rsidR="008E036B" w:rsidRPr="004651A9" w:rsidRDefault="008E036B" w:rsidP="00F046A5">
            <w:pPr>
              <w:pStyle w:val="ListParagraph"/>
              <w:ind w:left="0"/>
              <w:jc w:val="center"/>
            </w:pPr>
            <w:r w:rsidRPr="004651A9">
              <w:t>Pētījums</w:t>
            </w:r>
          </w:p>
        </w:tc>
        <w:tc>
          <w:tcPr>
            <w:tcW w:w="969" w:type="dxa"/>
            <w:shd w:val="clear" w:color="auto" w:fill="D9E2F3" w:themeFill="accent1" w:themeFillTint="33"/>
            <w:vAlign w:val="center"/>
          </w:tcPr>
          <w:p w14:paraId="2907E630" w14:textId="77777777" w:rsidR="008E036B" w:rsidRPr="004651A9" w:rsidRDefault="008E036B" w:rsidP="00F046A5">
            <w:pPr>
              <w:pStyle w:val="ListParagraph"/>
              <w:ind w:left="0"/>
              <w:jc w:val="center"/>
            </w:pPr>
            <w:r w:rsidRPr="004651A9">
              <w:t>2020.</w:t>
            </w:r>
          </w:p>
        </w:tc>
        <w:tc>
          <w:tcPr>
            <w:tcW w:w="969" w:type="dxa"/>
            <w:shd w:val="clear" w:color="auto" w:fill="D9E2F3" w:themeFill="accent1" w:themeFillTint="33"/>
            <w:vAlign w:val="center"/>
          </w:tcPr>
          <w:p w14:paraId="2F167BAE" w14:textId="77777777" w:rsidR="008E036B" w:rsidRPr="004651A9" w:rsidRDefault="008E036B" w:rsidP="00F046A5">
            <w:pPr>
              <w:pStyle w:val="ListParagraph"/>
              <w:ind w:left="0"/>
              <w:jc w:val="center"/>
            </w:pPr>
            <w:r w:rsidRPr="004651A9">
              <w:t>2021.</w:t>
            </w:r>
          </w:p>
        </w:tc>
        <w:tc>
          <w:tcPr>
            <w:tcW w:w="969" w:type="dxa"/>
            <w:shd w:val="clear" w:color="auto" w:fill="D9E2F3" w:themeFill="accent1" w:themeFillTint="33"/>
            <w:vAlign w:val="center"/>
          </w:tcPr>
          <w:p w14:paraId="0C939D8D" w14:textId="77777777" w:rsidR="008E036B" w:rsidRPr="004651A9" w:rsidRDefault="008E036B" w:rsidP="00F046A5">
            <w:pPr>
              <w:pStyle w:val="ListParagraph"/>
              <w:ind w:left="0"/>
              <w:jc w:val="center"/>
            </w:pPr>
            <w:r w:rsidRPr="004651A9">
              <w:t>2022.</w:t>
            </w:r>
          </w:p>
        </w:tc>
        <w:tc>
          <w:tcPr>
            <w:tcW w:w="969" w:type="dxa"/>
            <w:shd w:val="clear" w:color="auto" w:fill="D9E2F3" w:themeFill="accent1" w:themeFillTint="33"/>
            <w:vAlign w:val="center"/>
          </w:tcPr>
          <w:p w14:paraId="160FEDD0" w14:textId="77777777" w:rsidR="008E036B" w:rsidRPr="004651A9" w:rsidRDefault="008E036B" w:rsidP="00F046A5">
            <w:pPr>
              <w:pStyle w:val="ListParagraph"/>
              <w:ind w:left="0"/>
              <w:jc w:val="center"/>
            </w:pPr>
            <w:r w:rsidRPr="004651A9">
              <w:t>2023.</w:t>
            </w:r>
          </w:p>
        </w:tc>
        <w:tc>
          <w:tcPr>
            <w:tcW w:w="969" w:type="dxa"/>
            <w:shd w:val="clear" w:color="auto" w:fill="D9E2F3" w:themeFill="accent1" w:themeFillTint="33"/>
            <w:vAlign w:val="center"/>
          </w:tcPr>
          <w:p w14:paraId="7C22F1E4" w14:textId="77777777" w:rsidR="008E036B" w:rsidRPr="004651A9" w:rsidRDefault="008E036B" w:rsidP="00F046A5">
            <w:pPr>
              <w:pStyle w:val="ListParagraph"/>
              <w:ind w:left="0"/>
              <w:jc w:val="center"/>
            </w:pPr>
            <w:r w:rsidRPr="004651A9">
              <w:t>2024.</w:t>
            </w:r>
          </w:p>
        </w:tc>
        <w:tc>
          <w:tcPr>
            <w:tcW w:w="970" w:type="dxa"/>
            <w:shd w:val="clear" w:color="auto" w:fill="D9E2F3" w:themeFill="accent1" w:themeFillTint="33"/>
          </w:tcPr>
          <w:p w14:paraId="63A6B3E8" w14:textId="77777777" w:rsidR="008E036B" w:rsidRPr="004651A9" w:rsidRDefault="008E036B" w:rsidP="00F046A5">
            <w:pPr>
              <w:pStyle w:val="ListParagraph"/>
              <w:ind w:left="0"/>
              <w:jc w:val="center"/>
            </w:pPr>
            <w:r w:rsidRPr="004651A9">
              <w:t>2025.</w:t>
            </w:r>
          </w:p>
        </w:tc>
      </w:tr>
      <w:tr w:rsidR="008E036B" w14:paraId="1E504558" w14:textId="77777777" w:rsidTr="00F046A5">
        <w:trPr>
          <w:jc w:val="center"/>
        </w:trPr>
        <w:tc>
          <w:tcPr>
            <w:tcW w:w="3058" w:type="dxa"/>
          </w:tcPr>
          <w:p w14:paraId="6E70332B" w14:textId="77777777" w:rsidR="008E036B" w:rsidRDefault="008E036B" w:rsidP="00F046A5">
            <w:pPr>
              <w:pStyle w:val="ListParagraph"/>
              <w:ind w:left="0"/>
            </w:pPr>
            <w:r>
              <w:t>2020. gada pētījums</w:t>
            </w:r>
          </w:p>
        </w:tc>
        <w:tc>
          <w:tcPr>
            <w:tcW w:w="969" w:type="dxa"/>
            <w:vAlign w:val="center"/>
          </w:tcPr>
          <w:p w14:paraId="6167D89A" w14:textId="77777777" w:rsidR="008E036B" w:rsidRDefault="008E036B" w:rsidP="00F046A5">
            <w:pPr>
              <w:pStyle w:val="ListParagraph"/>
              <w:ind w:left="0"/>
              <w:jc w:val="center"/>
            </w:pPr>
            <w:r w:rsidRPr="0094223C">
              <w:t>2,09</w:t>
            </w:r>
          </w:p>
        </w:tc>
        <w:tc>
          <w:tcPr>
            <w:tcW w:w="969" w:type="dxa"/>
            <w:vAlign w:val="center"/>
          </w:tcPr>
          <w:p w14:paraId="67ED8002" w14:textId="77777777" w:rsidR="008E036B" w:rsidRDefault="008E036B" w:rsidP="00F046A5">
            <w:pPr>
              <w:pStyle w:val="ListParagraph"/>
              <w:ind w:left="0"/>
              <w:jc w:val="center"/>
            </w:pPr>
            <w:r w:rsidRPr="0094223C">
              <w:t>2,87</w:t>
            </w:r>
          </w:p>
        </w:tc>
        <w:tc>
          <w:tcPr>
            <w:tcW w:w="969" w:type="dxa"/>
            <w:vAlign w:val="center"/>
          </w:tcPr>
          <w:p w14:paraId="1D54B46E" w14:textId="77777777" w:rsidR="008E036B" w:rsidRDefault="008E036B" w:rsidP="00F046A5">
            <w:pPr>
              <w:pStyle w:val="ListParagraph"/>
              <w:ind w:left="0"/>
              <w:jc w:val="center"/>
            </w:pPr>
            <w:r w:rsidRPr="0094223C">
              <w:t>3,22</w:t>
            </w:r>
          </w:p>
        </w:tc>
        <w:tc>
          <w:tcPr>
            <w:tcW w:w="969" w:type="dxa"/>
            <w:vAlign w:val="center"/>
          </w:tcPr>
          <w:p w14:paraId="559AA26C" w14:textId="77777777" w:rsidR="008E036B" w:rsidRDefault="008E036B" w:rsidP="00F046A5">
            <w:pPr>
              <w:pStyle w:val="ListParagraph"/>
              <w:ind w:left="0"/>
              <w:jc w:val="center"/>
            </w:pPr>
            <w:r w:rsidRPr="0094223C">
              <w:t>3,55</w:t>
            </w:r>
          </w:p>
        </w:tc>
        <w:tc>
          <w:tcPr>
            <w:tcW w:w="969" w:type="dxa"/>
            <w:vAlign w:val="center"/>
          </w:tcPr>
          <w:p w14:paraId="2855E77F" w14:textId="77777777" w:rsidR="008E036B" w:rsidRDefault="008E036B" w:rsidP="00F046A5">
            <w:pPr>
              <w:pStyle w:val="ListParagraph"/>
              <w:ind w:left="0"/>
              <w:jc w:val="center"/>
            </w:pPr>
            <w:r w:rsidRPr="0094223C">
              <w:t>3,88</w:t>
            </w:r>
          </w:p>
        </w:tc>
        <w:tc>
          <w:tcPr>
            <w:tcW w:w="970" w:type="dxa"/>
          </w:tcPr>
          <w:p w14:paraId="029EB9F3" w14:textId="77777777" w:rsidR="008E036B" w:rsidRDefault="008E036B" w:rsidP="00F046A5">
            <w:pPr>
              <w:pStyle w:val="ListParagraph"/>
              <w:ind w:left="0"/>
              <w:jc w:val="center"/>
            </w:pPr>
            <w:r>
              <w:t>x</w:t>
            </w:r>
          </w:p>
        </w:tc>
      </w:tr>
      <w:tr w:rsidR="008E036B" w14:paraId="796B4947" w14:textId="77777777" w:rsidTr="00F046A5">
        <w:trPr>
          <w:jc w:val="center"/>
        </w:trPr>
        <w:tc>
          <w:tcPr>
            <w:tcW w:w="3058" w:type="dxa"/>
          </w:tcPr>
          <w:p w14:paraId="0880FEF1" w14:textId="77777777" w:rsidR="008E036B" w:rsidRDefault="008E036B" w:rsidP="00F046A5">
            <w:pPr>
              <w:pStyle w:val="ListParagraph"/>
              <w:ind w:left="0"/>
            </w:pPr>
            <w:r>
              <w:t>2021. gada pētījums</w:t>
            </w:r>
          </w:p>
        </w:tc>
        <w:tc>
          <w:tcPr>
            <w:tcW w:w="969" w:type="dxa"/>
          </w:tcPr>
          <w:p w14:paraId="57C10FFB" w14:textId="77777777" w:rsidR="008E036B" w:rsidRDefault="008E036B" w:rsidP="00F046A5">
            <w:pPr>
              <w:pStyle w:val="ListParagraph"/>
              <w:ind w:left="0"/>
              <w:jc w:val="center"/>
            </w:pPr>
            <w:r>
              <w:t>x</w:t>
            </w:r>
          </w:p>
        </w:tc>
        <w:tc>
          <w:tcPr>
            <w:tcW w:w="969" w:type="dxa"/>
          </w:tcPr>
          <w:p w14:paraId="248F0560" w14:textId="77777777" w:rsidR="008E036B" w:rsidRDefault="008E036B" w:rsidP="00F046A5">
            <w:pPr>
              <w:pStyle w:val="ListParagraph"/>
              <w:ind w:left="0"/>
              <w:jc w:val="center"/>
            </w:pPr>
            <w:r>
              <w:t>7,00</w:t>
            </w:r>
          </w:p>
        </w:tc>
        <w:tc>
          <w:tcPr>
            <w:tcW w:w="969" w:type="dxa"/>
          </w:tcPr>
          <w:p w14:paraId="1DCDEAA6" w14:textId="77777777" w:rsidR="008E036B" w:rsidRDefault="008E036B" w:rsidP="00F046A5">
            <w:pPr>
              <w:pStyle w:val="ListParagraph"/>
              <w:ind w:left="0"/>
              <w:jc w:val="center"/>
            </w:pPr>
            <w:r>
              <w:t>4,50</w:t>
            </w:r>
          </w:p>
        </w:tc>
        <w:tc>
          <w:tcPr>
            <w:tcW w:w="969" w:type="dxa"/>
          </w:tcPr>
          <w:p w14:paraId="7FAFB3AC" w14:textId="77777777" w:rsidR="008E036B" w:rsidRDefault="008E036B" w:rsidP="00F046A5">
            <w:pPr>
              <w:pStyle w:val="ListParagraph"/>
              <w:ind w:left="0"/>
              <w:jc w:val="center"/>
            </w:pPr>
            <w:r>
              <w:t>3,60</w:t>
            </w:r>
          </w:p>
        </w:tc>
        <w:tc>
          <w:tcPr>
            <w:tcW w:w="969" w:type="dxa"/>
          </w:tcPr>
          <w:p w14:paraId="128CD7BB" w14:textId="77777777" w:rsidR="008E036B" w:rsidRDefault="008E036B" w:rsidP="00F046A5">
            <w:pPr>
              <w:pStyle w:val="ListParagraph"/>
              <w:ind w:left="0"/>
              <w:jc w:val="center"/>
            </w:pPr>
            <w:r>
              <w:t>2,90</w:t>
            </w:r>
          </w:p>
        </w:tc>
        <w:tc>
          <w:tcPr>
            <w:tcW w:w="970" w:type="dxa"/>
          </w:tcPr>
          <w:p w14:paraId="403CD95B" w14:textId="77777777" w:rsidR="008E036B" w:rsidRDefault="008E036B" w:rsidP="00F046A5">
            <w:pPr>
              <w:pStyle w:val="ListParagraph"/>
              <w:ind w:left="0"/>
              <w:jc w:val="center"/>
            </w:pPr>
            <w:r>
              <w:t>2,70</w:t>
            </w:r>
          </w:p>
        </w:tc>
      </w:tr>
    </w:tbl>
    <w:p w14:paraId="23E7251A" w14:textId="77777777" w:rsidR="008E036B" w:rsidRPr="00794718" w:rsidRDefault="008E036B" w:rsidP="008E036B">
      <w:pPr>
        <w:pStyle w:val="ListParagraph"/>
        <w:spacing w:before="120" w:after="0" w:line="240" w:lineRule="auto"/>
        <w:ind w:left="0"/>
        <w:jc w:val="both"/>
        <w:rPr>
          <w:rFonts w:ascii="Times New Roman" w:hAnsi="Times New Roman" w:cs="Times New Roman"/>
          <w:sz w:val="20"/>
          <w:szCs w:val="20"/>
        </w:rPr>
      </w:pPr>
      <w:r w:rsidRPr="001A3419">
        <w:rPr>
          <w:rFonts w:ascii="Times New Roman" w:hAnsi="Times New Roman" w:cs="Times New Roman"/>
          <w:sz w:val="20"/>
          <w:szCs w:val="20"/>
        </w:rPr>
        <w:t xml:space="preserve">Datu avots: </w:t>
      </w:r>
      <w:r>
        <w:rPr>
          <w:rFonts w:ascii="Times New Roman" w:hAnsi="Times New Roman" w:cs="Times New Roman"/>
          <w:sz w:val="20"/>
          <w:szCs w:val="20"/>
        </w:rPr>
        <w:t xml:space="preserve">izveidots pēc EM 2020. gadā veikta pētījuma </w:t>
      </w:r>
      <w:r w:rsidRPr="004A423B">
        <w:rPr>
          <w:rFonts w:ascii="Times New Roman" w:hAnsi="Times New Roman" w:cs="Times New Roman"/>
          <w:i/>
          <w:iCs/>
          <w:sz w:val="20"/>
          <w:szCs w:val="20"/>
        </w:rPr>
        <w:t xml:space="preserve">“Par prognozētajām izmaiņām darbaspēka un </w:t>
      </w:r>
      <w:r w:rsidRPr="000C5FEF">
        <w:rPr>
          <w:rFonts w:ascii="Times New Roman" w:hAnsi="Times New Roman" w:cs="Times New Roman"/>
          <w:i/>
          <w:iCs/>
          <w:sz w:val="20"/>
          <w:szCs w:val="20"/>
        </w:rPr>
        <w:t>būvmateriālu izmaksām būvniecības nozarē Latvijā 2020. -2024.”</w:t>
      </w:r>
      <w:r w:rsidRPr="000C5FEF">
        <w:rPr>
          <w:rFonts w:ascii="Times New Roman" w:hAnsi="Times New Roman" w:cs="Times New Roman"/>
          <w:sz w:val="20"/>
          <w:szCs w:val="20"/>
        </w:rPr>
        <w:t xml:space="preserve"> </w:t>
      </w:r>
      <w:r>
        <w:rPr>
          <w:rFonts w:ascii="Times New Roman" w:hAnsi="Times New Roman" w:cs="Times New Roman"/>
          <w:sz w:val="20"/>
          <w:szCs w:val="20"/>
        </w:rPr>
        <w:t xml:space="preserve">21. tabulas </w:t>
      </w:r>
      <w:r w:rsidRPr="000C5FEF">
        <w:rPr>
          <w:rFonts w:ascii="Times New Roman" w:hAnsi="Times New Roman" w:cs="Times New Roman"/>
          <w:sz w:val="20"/>
          <w:szCs w:val="20"/>
        </w:rPr>
        <w:t xml:space="preserve">un 2021. gadā veikta pētījuma </w:t>
      </w:r>
      <w:r w:rsidRPr="000C5FEF">
        <w:rPr>
          <w:rFonts w:ascii="Times New Roman" w:hAnsi="Times New Roman" w:cs="Times New Roman"/>
          <w:i/>
          <w:iCs/>
          <w:sz w:val="20"/>
          <w:szCs w:val="20"/>
        </w:rPr>
        <w:t>“Prognozētās izmaiņās darbaspēka un būvmateriālu izmaksās būvniecības nozarē Latvijā 2021.-2025.”</w:t>
      </w:r>
      <w:r w:rsidRPr="000C5FEF">
        <w:rPr>
          <w:rFonts w:ascii="Times New Roman" w:hAnsi="Times New Roman" w:cs="Times New Roman"/>
          <w:sz w:val="20"/>
          <w:szCs w:val="20"/>
        </w:rPr>
        <w:t xml:space="preserve"> </w:t>
      </w:r>
      <w:r>
        <w:rPr>
          <w:rFonts w:ascii="Times New Roman" w:hAnsi="Times New Roman" w:cs="Times New Roman"/>
          <w:sz w:val="20"/>
          <w:szCs w:val="20"/>
        </w:rPr>
        <w:t xml:space="preserve">10. attēla </w:t>
      </w:r>
      <w:r w:rsidRPr="000C5FEF">
        <w:rPr>
          <w:rFonts w:ascii="Times New Roman" w:hAnsi="Times New Roman" w:cs="Times New Roman"/>
          <w:sz w:val="20"/>
          <w:szCs w:val="20"/>
        </w:rPr>
        <w:t xml:space="preserve">datiem, kas pieejami EM mājaslapā: </w:t>
      </w:r>
      <w:hyperlink r:id="rId8" w:history="1">
        <w:r w:rsidRPr="000C5FEF">
          <w:rPr>
            <w:rStyle w:val="Hyperlink"/>
            <w:rFonts w:ascii="Times New Roman" w:hAnsi="Times New Roman" w:cs="Times New Roman"/>
            <w:color w:val="auto"/>
            <w:sz w:val="20"/>
            <w:szCs w:val="20"/>
          </w:rPr>
          <w:t>https://www.em.gov.lv/lv/buvniecibas-nozare-attistiba-strategija-un-petijumi</w:t>
        </w:r>
      </w:hyperlink>
      <w:r w:rsidRPr="000C5FEF">
        <w:rPr>
          <w:rFonts w:ascii="Times New Roman" w:hAnsi="Times New Roman" w:cs="Times New Roman"/>
          <w:sz w:val="20"/>
          <w:szCs w:val="20"/>
        </w:rPr>
        <w:t>.</w:t>
      </w:r>
    </w:p>
    <w:p w14:paraId="4A801024" w14:textId="77777777" w:rsidR="008E036B" w:rsidRDefault="008E036B" w:rsidP="00F87694">
      <w:pPr>
        <w:spacing w:after="0" w:line="240" w:lineRule="auto"/>
        <w:ind w:firstLine="720"/>
        <w:jc w:val="both"/>
        <w:rPr>
          <w:rFonts w:ascii="Times New Roman" w:hAnsi="Times New Roman" w:cs="Times New Roman"/>
          <w:sz w:val="24"/>
          <w:szCs w:val="24"/>
        </w:rPr>
      </w:pPr>
    </w:p>
    <w:p w14:paraId="18EB72DD" w14:textId="563603A2" w:rsidR="00EA64B2" w:rsidRDefault="00BB73A0" w:rsidP="004651A9">
      <w:pPr>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t>Piemēram, b</w:t>
      </w:r>
      <w:r w:rsidR="00EA64B2" w:rsidRPr="00291A12">
        <w:rPr>
          <w:rFonts w:ascii="Times New Roman" w:hAnsi="Times New Roman" w:cs="Times New Roman"/>
          <w:sz w:val="24"/>
          <w:szCs w:val="24"/>
        </w:rPr>
        <w:t xml:space="preserve">ūvniecības cenu piedāvājums, kas iesniegts līdz 2021. gada 6. septembrim, </w:t>
      </w:r>
      <w:r w:rsidR="00C168E2" w:rsidRPr="00291A12">
        <w:rPr>
          <w:rFonts w:ascii="Times New Roman" w:hAnsi="Times New Roman" w:cs="Times New Roman"/>
          <w:sz w:val="24"/>
          <w:szCs w:val="24"/>
        </w:rPr>
        <w:t xml:space="preserve">2022. gadam </w:t>
      </w:r>
      <w:r w:rsidR="00EA64B2" w:rsidRPr="00291A12">
        <w:rPr>
          <w:rFonts w:ascii="Times New Roman" w:hAnsi="Times New Roman" w:cs="Times New Roman"/>
          <w:sz w:val="24"/>
          <w:szCs w:val="24"/>
        </w:rPr>
        <w:t xml:space="preserve">piemērojama prognozētā inflācija </w:t>
      </w:r>
      <w:r w:rsidR="00F87AA8">
        <w:rPr>
          <w:rFonts w:ascii="Times New Roman" w:hAnsi="Times New Roman" w:cs="Times New Roman"/>
          <w:sz w:val="24"/>
          <w:szCs w:val="24"/>
        </w:rPr>
        <w:t xml:space="preserve">pēc kombinētās metodes </w:t>
      </w:r>
      <w:r w:rsidR="00EA64B2" w:rsidRPr="00291A12">
        <w:rPr>
          <w:rFonts w:ascii="Times New Roman" w:hAnsi="Times New Roman" w:cs="Times New Roman"/>
          <w:sz w:val="24"/>
          <w:szCs w:val="24"/>
        </w:rPr>
        <w:t xml:space="preserve">atbilstoši </w:t>
      </w:r>
      <w:r w:rsidR="00411D0A">
        <w:rPr>
          <w:rFonts w:ascii="Times New Roman" w:hAnsi="Times New Roman" w:cs="Times New Roman"/>
          <w:sz w:val="24"/>
          <w:szCs w:val="24"/>
        </w:rPr>
        <w:t>EM</w:t>
      </w:r>
      <w:r w:rsidR="00EA64B2" w:rsidRPr="00291A12">
        <w:rPr>
          <w:rFonts w:ascii="Times New Roman" w:hAnsi="Times New Roman" w:cs="Times New Roman"/>
          <w:sz w:val="24"/>
          <w:szCs w:val="24"/>
        </w:rPr>
        <w:t xml:space="preserve"> 2020. gadā veiktajam pētījumam</w:t>
      </w:r>
      <w:r w:rsidR="0072109F" w:rsidRPr="00291A12">
        <w:rPr>
          <w:rFonts w:ascii="Times New Roman" w:hAnsi="Times New Roman" w:cs="Times New Roman"/>
          <w:sz w:val="24"/>
          <w:szCs w:val="24"/>
        </w:rPr>
        <w:t xml:space="preserve"> </w:t>
      </w:r>
      <w:r w:rsidR="00EA64B2" w:rsidRPr="00291A12">
        <w:rPr>
          <w:rFonts w:ascii="Times New Roman" w:hAnsi="Times New Roman" w:cs="Times New Roman"/>
          <w:sz w:val="24"/>
          <w:szCs w:val="24"/>
        </w:rPr>
        <w:t xml:space="preserve">– 3,22%. Savukārt būvniecības cenu piedāvājums, kas iesniegts pēc 2021. gada 6. septembra, </w:t>
      </w:r>
      <w:r w:rsidR="00291A12" w:rsidRPr="00291A12">
        <w:rPr>
          <w:rFonts w:ascii="Times New Roman" w:hAnsi="Times New Roman" w:cs="Times New Roman"/>
          <w:sz w:val="24"/>
          <w:szCs w:val="24"/>
        </w:rPr>
        <w:t xml:space="preserve">2022. gadam </w:t>
      </w:r>
      <w:r w:rsidR="00EA64B2" w:rsidRPr="00291A12">
        <w:rPr>
          <w:rFonts w:ascii="Times New Roman" w:hAnsi="Times New Roman" w:cs="Times New Roman"/>
          <w:sz w:val="24"/>
          <w:szCs w:val="24"/>
        </w:rPr>
        <w:t xml:space="preserve">piemērojama prognozētā inflācija </w:t>
      </w:r>
      <w:r w:rsidR="00F87AA8">
        <w:rPr>
          <w:rFonts w:ascii="Times New Roman" w:hAnsi="Times New Roman" w:cs="Times New Roman"/>
          <w:sz w:val="24"/>
          <w:szCs w:val="24"/>
        </w:rPr>
        <w:t xml:space="preserve">pēc kombinētās metodes </w:t>
      </w:r>
      <w:r w:rsidR="00EA64B2" w:rsidRPr="00291A12">
        <w:rPr>
          <w:rFonts w:ascii="Times New Roman" w:hAnsi="Times New Roman" w:cs="Times New Roman"/>
          <w:sz w:val="24"/>
          <w:szCs w:val="24"/>
        </w:rPr>
        <w:t>atbilstoši EM 2021. gadā veikta</w:t>
      </w:r>
      <w:r w:rsidR="00291A12" w:rsidRPr="00291A12">
        <w:rPr>
          <w:rFonts w:ascii="Times New Roman" w:hAnsi="Times New Roman" w:cs="Times New Roman"/>
          <w:sz w:val="24"/>
          <w:szCs w:val="24"/>
        </w:rPr>
        <w:t>ja</w:t>
      </w:r>
      <w:r w:rsidR="00EA64B2" w:rsidRPr="00291A12">
        <w:rPr>
          <w:rFonts w:ascii="Times New Roman" w:hAnsi="Times New Roman" w:cs="Times New Roman"/>
          <w:sz w:val="24"/>
          <w:szCs w:val="24"/>
        </w:rPr>
        <w:t>m pētījumam</w:t>
      </w:r>
      <w:r w:rsidR="00291A12" w:rsidRPr="00291A12">
        <w:rPr>
          <w:rFonts w:ascii="Times New Roman" w:hAnsi="Times New Roman" w:cs="Times New Roman"/>
          <w:sz w:val="24"/>
          <w:szCs w:val="24"/>
        </w:rPr>
        <w:t xml:space="preserve"> </w:t>
      </w:r>
      <w:r w:rsidR="00EA64B2" w:rsidRPr="00291A12">
        <w:rPr>
          <w:rFonts w:ascii="Times New Roman" w:hAnsi="Times New Roman" w:cs="Times New Roman"/>
          <w:sz w:val="24"/>
          <w:szCs w:val="24"/>
        </w:rPr>
        <w:t xml:space="preserve">– </w:t>
      </w:r>
      <w:r w:rsidR="00FE727D">
        <w:rPr>
          <w:rFonts w:ascii="Times New Roman" w:hAnsi="Times New Roman" w:cs="Times New Roman"/>
          <w:sz w:val="24"/>
          <w:szCs w:val="24"/>
        </w:rPr>
        <w:t>4,50</w:t>
      </w:r>
      <w:r w:rsidR="00EA64B2" w:rsidRPr="00291A12">
        <w:rPr>
          <w:rFonts w:ascii="Times New Roman" w:hAnsi="Times New Roman" w:cs="Times New Roman"/>
          <w:sz w:val="24"/>
          <w:szCs w:val="24"/>
        </w:rPr>
        <w:t>%</w:t>
      </w:r>
      <w:r w:rsidR="0092303E">
        <w:rPr>
          <w:rFonts w:ascii="Times New Roman" w:hAnsi="Times New Roman" w:cs="Times New Roman"/>
          <w:sz w:val="24"/>
          <w:szCs w:val="24"/>
        </w:rPr>
        <w:t>.</w:t>
      </w:r>
    </w:p>
    <w:p w14:paraId="59703FA5" w14:textId="5863F740" w:rsidR="008C30D0" w:rsidRPr="0094223C" w:rsidRDefault="00C723C4" w:rsidP="00ED4B32">
      <w:pPr>
        <w:spacing w:before="240" w:after="120" w:line="240" w:lineRule="auto"/>
        <w:rPr>
          <w:rFonts w:ascii="Times New Roman" w:hAnsi="Times New Roman" w:cs="Times New Roman"/>
          <w:b/>
          <w:bCs/>
          <w:sz w:val="24"/>
          <w:szCs w:val="24"/>
        </w:rPr>
      </w:pPr>
      <w:r w:rsidRPr="0094223C">
        <w:rPr>
          <w:rFonts w:ascii="Times New Roman" w:hAnsi="Times New Roman" w:cs="Times New Roman"/>
          <w:b/>
          <w:bCs/>
          <w:sz w:val="24"/>
          <w:szCs w:val="24"/>
        </w:rPr>
        <w:t xml:space="preserve">Būvmateriālu izmaksu </w:t>
      </w:r>
      <w:r>
        <w:rPr>
          <w:rFonts w:ascii="Times New Roman" w:hAnsi="Times New Roman" w:cs="Times New Roman"/>
          <w:b/>
          <w:bCs/>
          <w:sz w:val="24"/>
          <w:szCs w:val="24"/>
        </w:rPr>
        <w:t xml:space="preserve">sadārdzinājuma </w:t>
      </w:r>
      <w:r w:rsidR="00B272DD">
        <w:rPr>
          <w:rFonts w:ascii="Times New Roman" w:hAnsi="Times New Roman" w:cs="Times New Roman"/>
          <w:b/>
          <w:bCs/>
          <w:sz w:val="24"/>
          <w:szCs w:val="24"/>
        </w:rPr>
        <w:t>aprēķināšanas</w:t>
      </w:r>
      <w:r>
        <w:rPr>
          <w:rFonts w:ascii="Times New Roman" w:hAnsi="Times New Roman" w:cs="Times New Roman"/>
          <w:b/>
          <w:bCs/>
          <w:sz w:val="24"/>
          <w:szCs w:val="24"/>
        </w:rPr>
        <w:t xml:space="preserve"> </w:t>
      </w:r>
      <w:r w:rsidR="008C30D0" w:rsidRPr="0094223C">
        <w:rPr>
          <w:rFonts w:ascii="Times New Roman" w:hAnsi="Times New Roman" w:cs="Times New Roman"/>
          <w:b/>
          <w:bCs/>
          <w:sz w:val="24"/>
          <w:szCs w:val="24"/>
        </w:rPr>
        <w:t>formula</w:t>
      </w:r>
    </w:p>
    <w:p w14:paraId="424678F4" w14:textId="22D664FB" w:rsidR="008C30D0" w:rsidRPr="00B82EC6" w:rsidRDefault="008C30D0" w:rsidP="004651A9">
      <w:pPr>
        <w:spacing w:after="80" w:line="240" w:lineRule="auto"/>
        <w:ind w:firstLine="720"/>
        <w:jc w:val="both"/>
        <w:rPr>
          <w:rFonts w:ascii="Times New Roman" w:hAnsi="Times New Roman" w:cs="Times New Roman"/>
          <w:sz w:val="24"/>
          <w:szCs w:val="24"/>
        </w:rPr>
      </w:pPr>
      <w:r w:rsidRPr="00B82EC6">
        <w:rPr>
          <w:rFonts w:ascii="Times New Roman" w:hAnsi="Times New Roman" w:cs="Times New Roman"/>
          <w:sz w:val="24"/>
          <w:szCs w:val="24"/>
        </w:rPr>
        <w:t xml:space="preserve">Būvmateriālu izmaksu </w:t>
      </w:r>
      <w:r w:rsidR="00B82EC6" w:rsidRPr="00B82EC6">
        <w:rPr>
          <w:rFonts w:ascii="Times New Roman" w:hAnsi="Times New Roman" w:cs="Times New Roman"/>
          <w:sz w:val="24"/>
          <w:szCs w:val="24"/>
        </w:rPr>
        <w:t xml:space="preserve">sadārdzinājuma </w:t>
      </w:r>
      <w:r w:rsidR="00E36233">
        <w:rPr>
          <w:rFonts w:ascii="Times New Roman" w:hAnsi="Times New Roman" w:cs="Times New Roman"/>
          <w:sz w:val="24"/>
          <w:szCs w:val="24"/>
        </w:rPr>
        <w:t>aprēķināšanai</w:t>
      </w:r>
      <w:r w:rsidR="00B82EC6" w:rsidRPr="00B82EC6">
        <w:rPr>
          <w:rFonts w:ascii="Times New Roman" w:hAnsi="Times New Roman" w:cs="Times New Roman"/>
          <w:sz w:val="24"/>
          <w:szCs w:val="24"/>
        </w:rPr>
        <w:t xml:space="preserve"> </w:t>
      </w:r>
      <w:r w:rsidRPr="00B82EC6">
        <w:rPr>
          <w:rFonts w:ascii="Times New Roman" w:hAnsi="Times New Roman" w:cs="Times New Roman"/>
          <w:sz w:val="24"/>
          <w:szCs w:val="24"/>
        </w:rPr>
        <w:t>var izmantot zemāk redzamo 1.formulu.</w:t>
      </w:r>
    </w:p>
    <w:p w14:paraId="249B0494" w14:textId="77777777" w:rsidR="008C30D0" w:rsidRPr="00300CD3" w:rsidRDefault="008C30D0" w:rsidP="008C30D0">
      <w:pPr>
        <w:spacing w:after="0" w:line="240" w:lineRule="auto"/>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1"/>
        <w:gridCol w:w="1315"/>
      </w:tblGrid>
      <w:tr w:rsidR="00300CD3" w:rsidRPr="00300CD3" w14:paraId="52DE25AE" w14:textId="77777777" w:rsidTr="006A707E">
        <w:tc>
          <w:tcPr>
            <w:tcW w:w="6991" w:type="dxa"/>
          </w:tcPr>
          <w:p w14:paraId="6A0B76BB" w14:textId="04835FB7" w:rsidR="008C30D0" w:rsidRPr="00247CCD" w:rsidRDefault="007C5F81" w:rsidP="006A707E">
            <w:pPr>
              <w:tabs>
                <w:tab w:val="left" w:pos="2775"/>
              </w:tabs>
              <w:rPr>
                <w:rFonts w:eastAsiaTheme="minorEastAsia"/>
                <w:bCs/>
              </w:rPr>
            </w:pPr>
            <m:oMathPara>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m:t>
                </m:r>
                <m:f>
                  <m:fPr>
                    <m:ctrlPr>
                      <w:rPr>
                        <w:rFonts w:ascii="Cambria Math" w:eastAsiaTheme="minorEastAsia" w:hAnsi="Cambria Math"/>
                        <w:iCs/>
                      </w:rPr>
                    </m:ctrlPr>
                  </m:fPr>
                  <m:num>
                    <m:sSub>
                      <m:sSubPr>
                        <m:ctrlPr>
                          <w:rPr>
                            <w:rFonts w:ascii="Cambria Math" w:eastAsiaTheme="minorEastAsia" w:hAnsi="Cambria Math"/>
                            <w:bCs/>
                            <w:iCs/>
                          </w:rPr>
                        </m:ctrlPr>
                      </m:sSubPr>
                      <m:e>
                        <m:r>
                          <m:rPr>
                            <m:sty m:val="p"/>
                          </m:rPr>
                          <w:rPr>
                            <w:rFonts w:ascii="Cambria Math" w:eastAsiaTheme="minorEastAsia" w:hAnsi="Cambria Math"/>
                          </w:rPr>
                          <m:t>Izm</m:t>
                        </m:r>
                      </m:e>
                      <m:sub>
                        <m:r>
                          <m:rPr>
                            <m:sty m:val="p"/>
                          </m:rPr>
                          <w:rPr>
                            <w:rFonts w:ascii="Cambria Math" w:eastAsiaTheme="minorEastAsia" w:hAnsi="Cambria Math"/>
                          </w:rPr>
                          <m:t>B</m:t>
                        </m:r>
                      </m:sub>
                    </m:sSub>
                    <m:r>
                      <m:rPr>
                        <m:sty m:val="p"/>
                      </m:rPr>
                      <w:rPr>
                        <w:rFonts w:ascii="Cambria Math" w:eastAsiaTheme="minorEastAsia" w:hAnsi="Cambria Math"/>
                      </w:rPr>
                      <m:t>∙</m:t>
                    </m:r>
                    <m:d>
                      <m:dPr>
                        <m:ctrlPr>
                          <w:rPr>
                            <w:rFonts w:ascii="Cambria Math" w:eastAsiaTheme="minorEastAsia" w:hAnsi="Cambria Math"/>
                            <w:iCs/>
                          </w:rPr>
                        </m:ctrlPr>
                      </m:dPr>
                      <m:e>
                        <m:d>
                          <m:dPr>
                            <m:ctrlPr>
                              <w:rPr>
                                <w:rFonts w:ascii="Cambria Math" w:eastAsiaTheme="minorEastAsia" w:hAnsi="Cambria Math"/>
                                <w:i/>
                                <w:iCs/>
                              </w:rPr>
                            </m:ctrlPr>
                          </m:dPr>
                          <m:e>
                            <m:f>
                              <m:fPr>
                                <m:ctrlPr>
                                  <w:rPr>
                                    <w:rFonts w:ascii="Cambria Math" w:eastAsiaTheme="minorEastAsia" w:hAnsi="Cambria Math"/>
                                    <w:i/>
                                    <w:iCs/>
                                  </w:rPr>
                                </m:ctrlPr>
                              </m:fPr>
                              <m:num>
                                <m:d>
                                  <m:dPr>
                                    <m:ctrlPr>
                                      <w:rPr>
                                        <w:rFonts w:ascii="Cambria Math" w:eastAsiaTheme="minorEastAsia" w:hAnsi="Cambria Math"/>
                                        <w:i/>
                                        <w:iCs/>
                                      </w:rPr>
                                    </m:ctrlPr>
                                  </m:dPr>
                                  <m:e>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n</m:t>
                                            </m:r>
                                          </m:sub>
                                        </m:sSub>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0</m:t>
                                            </m:r>
                                          </m:sub>
                                        </m:sSub>
                                      </m:sub>
                                    </m:sSub>
                                  </m:e>
                                </m:d>
                              </m:num>
                              <m:den>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0</m:t>
                                        </m:r>
                                      </m:sub>
                                    </m:sSub>
                                  </m:sub>
                                </m:sSub>
                              </m:den>
                            </m:f>
                            <m:r>
                              <w:rPr>
                                <w:rFonts w:ascii="Cambria Math" w:eastAsiaTheme="minorEastAsia" w:hAnsi="Cambria Math"/>
                              </w:rPr>
                              <m:t>∙100</m:t>
                            </m:r>
                          </m:e>
                        </m:d>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Inflācija</m:t>
                            </m:r>
                          </m:e>
                          <m:sub>
                            <m:r>
                              <m:rPr>
                                <m:sty m:val="p"/>
                              </m:rPr>
                              <w:rPr>
                                <w:rFonts w:ascii="Cambria Math" w:eastAsiaTheme="minorEastAsia" w:hAnsi="Cambria Math"/>
                              </w:rPr>
                              <m:t>%</m:t>
                            </m:r>
                          </m:sub>
                        </m:sSub>
                      </m:e>
                    </m:d>
                  </m:num>
                  <m:den>
                    <m:r>
                      <m:rPr>
                        <m:sty m:val="p"/>
                      </m:rPr>
                      <w:rPr>
                        <w:rFonts w:ascii="Cambria Math" w:eastAsiaTheme="minorEastAsia" w:hAnsi="Cambria Math"/>
                      </w:rPr>
                      <m:t>100</m:t>
                    </m:r>
                  </m:den>
                </m:f>
              </m:oMath>
            </m:oMathPara>
          </w:p>
        </w:tc>
        <w:tc>
          <w:tcPr>
            <w:tcW w:w="1315" w:type="dxa"/>
          </w:tcPr>
          <w:p w14:paraId="54D6E363" w14:textId="77777777" w:rsidR="008C30D0" w:rsidRPr="00300CD3" w:rsidRDefault="008C30D0" w:rsidP="006A707E">
            <w:pPr>
              <w:jc w:val="right"/>
            </w:pPr>
            <w:r w:rsidRPr="00300CD3">
              <w:t>1.formula</w:t>
            </w:r>
          </w:p>
        </w:tc>
      </w:tr>
      <w:tr w:rsidR="00300CD3" w:rsidRPr="00300CD3" w14:paraId="7C5F8B4B" w14:textId="77777777" w:rsidTr="006A707E">
        <w:tc>
          <w:tcPr>
            <w:tcW w:w="8306" w:type="dxa"/>
            <w:gridSpan w:val="2"/>
          </w:tcPr>
          <w:p w14:paraId="059C0B81" w14:textId="78860D16" w:rsidR="00D048C6" w:rsidRDefault="00D048C6" w:rsidP="00F43ADE">
            <w:pPr>
              <w:jc w:val="both"/>
            </w:pPr>
            <w:r>
              <w:t>kur:</w:t>
            </w:r>
          </w:p>
          <w:p w14:paraId="1C388FD0" w14:textId="5ABDE645" w:rsidR="00F43ADE" w:rsidRPr="00300CD3" w:rsidRDefault="00F43ADE" w:rsidP="00F43ADE">
            <w:pPr>
              <w:jc w:val="both"/>
            </w:pPr>
            <w:r w:rsidRPr="00300CD3">
              <w:t>K</w:t>
            </w:r>
            <w:r w:rsidR="009D7107">
              <w:rPr>
                <w:vertAlign w:val="subscript"/>
              </w:rPr>
              <w:t>B</w:t>
            </w:r>
            <w:r w:rsidRPr="00300CD3">
              <w:t xml:space="preserve"> – būvmateriālu izmaksu korekcijas summa;</w:t>
            </w:r>
          </w:p>
          <w:p w14:paraId="6C78E641" w14:textId="37E07E02" w:rsidR="008C30D0" w:rsidRDefault="009D7107" w:rsidP="006A707E">
            <w:pPr>
              <w:jc w:val="both"/>
            </w:pPr>
            <w:proofErr w:type="spellStart"/>
            <w:r>
              <w:t>I</w:t>
            </w:r>
            <w:r w:rsidR="00ED3D15">
              <w:t>zm</w:t>
            </w:r>
            <w:r>
              <w:rPr>
                <w:vertAlign w:val="subscript"/>
              </w:rPr>
              <w:t>B</w:t>
            </w:r>
            <w:proofErr w:type="spellEnd"/>
            <w:r w:rsidR="008C30D0" w:rsidRPr="00300CD3">
              <w:t xml:space="preserve"> –</w:t>
            </w:r>
            <w:r w:rsidR="009423B6" w:rsidRPr="00300CD3">
              <w:t xml:space="preserve"> </w:t>
            </w:r>
            <w:r w:rsidR="008C30D0" w:rsidRPr="00300CD3">
              <w:t xml:space="preserve">aprēķina </w:t>
            </w:r>
            <w:r w:rsidR="008F3E4C">
              <w:t>periodā</w:t>
            </w:r>
            <w:r w:rsidR="008F3E4C" w:rsidRPr="00300CD3">
              <w:t xml:space="preserve"> </w:t>
            </w:r>
            <w:r w:rsidR="00512997" w:rsidRPr="00300CD3">
              <w:t xml:space="preserve">tāmē </w:t>
            </w:r>
            <w:r w:rsidR="008C30D0" w:rsidRPr="00300CD3">
              <w:t>paveikto darbu noteiktās būvmateriālu izmaksas;</w:t>
            </w:r>
          </w:p>
          <w:p w14:paraId="75263A94" w14:textId="5C80CFB4" w:rsidR="008C30D0" w:rsidRPr="00300CD3" w:rsidRDefault="009D7B7D" w:rsidP="006A707E">
            <w:pPr>
              <w:jc w:val="both"/>
            </w:pPr>
            <w:r>
              <w:t>I</w:t>
            </w:r>
            <w:r w:rsidR="00E637FD">
              <w:rPr>
                <w:vertAlign w:val="subscript"/>
              </w:rPr>
              <w:t>B</w:t>
            </w:r>
            <w:r>
              <w:rPr>
                <w:vertAlign w:val="subscript"/>
              </w:rPr>
              <w:t xml:space="preserve"> </w:t>
            </w:r>
            <w:r w:rsidRPr="00300CD3">
              <w:t xml:space="preserve">– </w:t>
            </w:r>
            <w:r w:rsidR="00B01290">
              <w:t>k</w:t>
            </w:r>
            <w:r w:rsidR="00B01290" w:rsidRPr="00C1151C">
              <w:t>opējais būvniecības izmaksu indekss būvmateriāliem sadalījumā pa būvmateriālu grupām</w:t>
            </w:r>
            <w:r w:rsidR="00B01290" w:rsidRPr="00242638">
              <w:t xml:space="preserve"> </w:t>
            </w:r>
            <w:r w:rsidRPr="00242638">
              <w:t xml:space="preserve">un/vai </w:t>
            </w:r>
            <w:r w:rsidR="008C30D0" w:rsidRPr="00242638">
              <w:t>būvmateriālu izmaksu indekss</w:t>
            </w:r>
            <w:r w:rsidR="00214399">
              <w:t xml:space="preserve"> </w:t>
            </w:r>
            <w:r w:rsidR="008C30D0" w:rsidRPr="00242638">
              <w:t>atbilstoši CSP datiem;</w:t>
            </w:r>
          </w:p>
          <w:p w14:paraId="56A2406B" w14:textId="67A7A63C" w:rsidR="008C30D0" w:rsidRPr="00300CD3" w:rsidRDefault="00DD6134" w:rsidP="006A707E">
            <w:pPr>
              <w:jc w:val="both"/>
            </w:pPr>
            <w:r w:rsidRPr="00300CD3">
              <w:t>Inflācija</w:t>
            </w:r>
            <w:r w:rsidR="000106A3" w:rsidRPr="000106A3">
              <w:rPr>
                <w:vertAlign w:val="subscript"/>
              </w:rPr>
              <w:t>%</w:t>
            </w:r>
            <w:r w:rsidR="00A15326" w:rsidRPr="00300CD3">
              <w:t xml:space="preserve"> </w:t>
            </w:r>
            <w:r w:rsidR="008C30D0" w:rsidRPr="00300CD3">
              <w:t xml:space="preserve">– </w:t>
            </w:r>
            <w:r w:rsidR="00C86BE2" w:rsidRPr="00300CD3">
              <w:t xml:space="preserve">būvmateriāliem </w:t>
            </w:r>
            <w:r w:rsidR="008C30D0" w:rsidRPr="00300CD3">
              <w:t>prognozētā inflācija</w:t>
            </w:r>
            <w:r w:rsidR="00A80A23">
              <w:t xml:space="preserve"> </w:t>
            </w:r>
            <w:r w:rsidR="008C30D0" w:rsidRPr="00300CD3">
              <w:t xml:space="preserve">atbilstoši </w:t>
            </w:r>
            <w:r w:rsidR="00E85B6F" w:rsidRPr="00300CD3">
              <w:t>EM</w:t>
            </w:r>
            <w:r w:rsidR="008C30D0" w:rsidRPr="00300CD3">
              <w:t xml:space="preserve"> </w:t>
            </w:r>
            <w:r w:rsidR="00C86BE2" w:rsidRPr="00300CD3">
              <w:t xml:space="preserve">veiktajiem </w:t>
            </w:r>
            <w:r w:rsidR="008C30D0" w:rsidRPr="00300CD3">
              <w:t>pētījum</w:t>
            </w:r>
            <w:r w:rsidR="00C86BE2" w:rsidRPr="00300CD3">
              <w:t xml:space="preserve">iem </w:t>
            </w:r>
            <w:r w:rsidR="00432F53" w:rsidRPr="00300CD3">
              <w:t>par prognozētajām izmaiņām darbaspēka un būvmateriālu izmaksās Latvijas būvniecības nozarē</w:t>
            </w:r>
            <w:r w:rsidR="00432F53" w:rsidRPr="00300CD3">
              <w:rPr>
                <w:rStyle w:val="FootnoteReference"/>
              </w:rPr>
              <w:footnoteReference w:id="8"/>
            </w:r>
            <w:r w:rsidR="00432F53" w:rsidRPr="00300CD3">
              <w:t>;</w:t>
            </w:r>
          </w:p>
          <w:p w14:paraId="24CA868E" w14:textId="74EF4BC4" w:rsidR="008C30D0" w:rsidRPr="00300CD3" w:rsidRDefault="008C30D0" w:rsidP="006A707E">
            <w:pPr>
              <w:jc w:val="both"/>
            </w:pPr>
            <w:r w:rsidRPr="00300CD3">
              <w:t>0 –  bāzes periods (2022.</w:t>
            </w:r>
            <w:r w:rsidR="00C86BE2" w:rsidRPr="00300CD3">
              <w:t xml:space="preserve"> </w:t>
            </w:r>
            <w:r w:rsidRPr="00300CD3">
              <w:t>gada janvāris);</w:t>
            </w:r>
          </w:p>
          <w:p w14:paraId="6421B667" w14:textId="4E7CECF4" w:rsidR="008C30D0" w:rsidRPr="00300CD3" w:rsidRDefault="008C30D0" w:rsidP="006A707E">
            <w:pPr>
              <w:jc w:val="both"/>
            </w:pPr>
            <w:r w:rsidRPr="00300CD3">
              <w:t>n – korekcijas periods (</w:t>
            </w:r>
            <w:r w:rsidR="00C32A42">
              <w:t xml:space="preserve">sadārdzinājuma </w:t>
            </w:r>
            <w:r w:rsidR="008E036B">
              <w:t xml:space="preserve">novērtēšanas </w:t>
            </w:r>
            <w:r w:rsidR="003A30FB">
              <w:t>periods</w:t>
            </w:r>
            <w:r w:rsidRPr="00300CD3">
              <w:t xml:space="preserve">, sākot no 2022.gada </w:t>
            </w:r>
            <w:r w:rsidR="001F2459" w:rsidRPr="00300CD3">
              <w:t xml:space="preserve">1. </w:t>
            </w:r>
            <w:r w:rsidRPr="00300CD3">
              <w:t>marta</w:t>
            </w:r>
            <w:r w:rsidR="001F2459" w:rsidRPr="00300CD3">
              <w:t>,</w:t>
            </w:r>
            <w:r w:rsidRPr="00300CD3">
              <w:t xml:space="preserve"> par kuru tiek aprēķināts </w:t>
            </w:r>
            <w:r w:rsidR="00C86BE2" w:rsidRPr="00300CD3">
              <w:t xml:space="preserve">būvmateriālu </w:t>
            </w:r>
            <w:r w:rsidRPr="00300CD3">
              <w:t>sadārdzinājums)</w:t>
            </w:r>
            <w:r w:rsidR="00C86BE2" w:rsidRPr="00300CD3">
              <w:t>.</w:t>
            </w:r>
          </w:p>
        </w:tc>
      </w:tr>
    </w:tbl>
    <w:p w14:paraId="786FC271" w14:textId="77777777" w:rsidR="008C30D0" w:rsidRPr="00300CD3" w:rsidRDefault="008C30D0" w:rsidP="008C30D0">
      <w:pPr>
        <w:spacing w:after="0" w:line="240" w:lineRule="auto"/>
        <w:ind w:firstLine="709"/>
        <w:jc w:val="both"/>
        <w:rPr>
          <w:rFonts w:ascii="Times New Roman" w:hAnsi="Times New Roman" w:cs="Times New Roman"/>
          <w:bCs/>
          <w:sz w:val="24"/>
          <w:szCs w:val="24"/>
        </w:rPr>
      </w:pPr>
    </w:p>
    <w:p w14:paraId="022EE3D5" w14:textId="755241B6" w:rsidR="00696143" w:rsidRPr="00ED4B32" w:rsidRDefault="008C30D0" w:rsidP="00ED4B32">
      <w:pPr>
        <w:spacing w:after="80" w:line="240" w:lineRule="auto"/>
        <w:ind w:firstLine="709"/>
        <w:jc w:val="both"/>
        <w:rPr>
          <w:rFonts w:ascii="Times New Roman" w:hAnsi="Times New Roman" w:cs="Times New Roman"/>
          <w:bCs/>
          <w:sz w:val="24"/>
          <w:szCs w:val="24"/>
        </w:rPr>
      </w:pPr>
      <w:r w:rsidRPr="00300CD3">
        <w:rPr>
          <w:rFonts w:ascii="Times New Roman" w:hAnsi="Times New Roman" w:cs="Times New Roman"/>
          <w:bCs/>
          <w:sz w:val="24"/>
          <w:szCs w:val="24"/>
        </w:rPr>
        <w:t>Formula ir informatīva un to ir iespējams pielāgot atbilstoši būvniecības projekta specifikācijai.</w:t>
      </w:r>
    </w:p>
    <w:p w14:paraId="7DAC21BE" w14:textId="0AA6A560" w:rsidR="00696143" w:rsidRPr="00696143" w:rsidRDefault="00696143" w:rsidP="00ED4B32">
      <w:pPr>
        <w:spacing w:before="240" w:after="120" w:line="240" w:lineRule="auto"/>
        <w:jc w:val="both"/>
        <w:rPr>
          <w:rFonts w:ascii="Times New Roman" w:hAnsi="Times New Roman" w:cs="Times New Roman"/>
          <w:b/>
          <w:bCs/>
          <w:sz w:val="24"/>
          <w:szCs w:val="24"/>
        </w:rPr>
      </w:pPr>
      <w:r w:rsidRPr="00696143">
        <w:rPr>
          <w:rFonts w:ascii="Times New Roman" w:hAnsi="Times New Roman" w:cs="Times New Roman"/>
          <w:b/>
          <w:bCs/>
          <w:sz w:val="24"/>
          <w:szCs w:val="24"/>
        </w:rPr>
        <w:lastRenderedPageBreak/>
        <w:t>Citas metodikas izmantošana</w:t>
      </w:r>
      <w:r w:rsidR="004651A9">
        <w:rPr>
          <w:rFonts w:ascii="Times New Roman" w:hAnsi="Times New Roman" w:cs="Times New Roman"/>
          <w:b/>
          <w:bCs/>
          <w:sz w:val="24"/>
          <w:szCs w:val="24"/>
        </w:rPr>
        <w:t xml:space="preserve"> b</w:t>
      </w:r>
      <w:r w:rsidR="004651A9" w:rsidRPr="0094223C">
        <w:rPr>
          <w:rFonts w:ascii="Times New Roman" w:hAnsi="Times New Roman" w:cs="Times New Roman"/>
          <w:b/>
          <w:bCs/>
          <w:sz w:val="24"/>
          <w:szCs w:val="24"/>
        </w:rPr>
        <w:t xml:space="preserve">ūvmateriālu izmaksu </w:t>
      </w:r>
      <w:r w:rsidR="004651A9">
        <w:rPr>
          <w:rFonts w:ascii="Times New Roman" w:hAnsi="Times New Roman" w:cs="Times New Roman"/>
          <w:b/>
          <w:bCs/>
          <w:sz w:val="24"/>
          <w:szCs w:val="24"/>
        </w:rPr>
        <w:t>sadārdzinājuma novērtēšanai</w:t>
      </w:r>
    </w:p>
    <w:p w14:paraId="6AF05C06" w14:textId="6DD4DE07" w:rsidR="00696143" w:rsidRDefault="00696143"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 xml:space="preserve">Papildus </w:t>
      </w:r>
      <w:r>
        <w:rPr>
          <w:rFonts w:ascii="Times New Roman" w:hAnsi="Times New Roman" w:cs="Times New Roman"/>
          <w:sz w:val="24"/>
          <w:szCs w:val="24"/>
        </w:rPr>
        <w:t>b</w:t>
      </w:r>
      <w:r w:rsidRPr="001178C1">
        <w:rPr>
          <w:rFonts w:ascii="Times New Roman" w:hAnsi="Times New Roman" w:cs="Times New Roman"/>
          <w:sz w:val="24"/>
          <w:szCs w:val="24"/>
        </w:rPr>
        <w:t>ūvdarbu veicēj</w:t>
      </w:r>
      <w:r>
        <w:rPr>
          <w:rFonts w:ascii="Times New Roman" w:hAnsi="Times New Roman" w:cs="Times New Roman"/>
          <w:sz w:val="24"/>
          <w:szCs w:val="24"/>
        </w:rPr>
        <w:t>s</w:t>
      </w:r>
      <w:r w:rsidRPr="0094223C">
        <w:rPr>
          <w:rFonts w:ascii="Times New Roman" w:hAnsi="Times New Roman" w:cs="Times New Roman"/>
          <w:sz w:val="24"/>
          <w:szCs w:val="24"/>
        </w:rPr>
        <w:t xml:space="preserve">, piesaistot sertificētu </w:t>
      </w:r>
      <w:proofErr w:type="spellStart"/>
      <w:r w:rsidRPr="0094223C">
        <w:rPr>
          <w:rFonts w:ascii="Times New Roman" w:hAnsi="Times New Roman" w:cs="Times New Roman"/>
          <w:sz w:val="24"/>
          <w:szCs w:val="24"/>
        </w:rPr>
        <w:t>būvekspertu</w:t>
      </w:r>
      <w:proofErr w:type="spellEnd"/>
      <w:r w:rsidRPr="0094223C">
        <w:rPr>
          <w:rFonts w:ascii="Times New Roman" w:hAnsi="Times New Roman" w:cs="Times New Roman"/>
          <w:sz w:val="24"/>
          <w:szCs w:val="24"/>
        </w:rPr>
        <w:t xml:space="preserve"> ar tiesībām veikt būvniecības tāmju ekspertīzi</w:t>
      </w:r>
      <w:r w:rsidR="003E6F70">
        <w:rPr>
          <w:rStyle w:val="FootnoteReference"/>
          <w:rFonts w:ascii="Times New Roman" w:hAnsi="Times New Roman" w:cs="Times New Roman"/>
          <w:sz w:val="24"/>
          <w:szCs w:val="24"/>
        </w:rPr>
        <w:footnoteReference w:id="9"/>
      </w:r>
      <w:r w:rsidRPr="0094223C">
        <w:rPr>
          <w:rFonts w:ascii="Times New Roman" w:hAnsi="Times New Roman" w:cs="Times New Roman"/>
          <w:sz w:val="24"/>
          <w:szCs w:val="24"/>
        </w:rPr>
        <w:t xml:space="preserve">, var veikt </w:t>
      </w:r>
      <w:r w:rsidRPr="007F407C">
        <w:rPr>
          <w:rFonts w:ascii="Times New Roman" w:hAnsi="Times New Roman" w:cs="Times New Roman"/>
          <w:sz w:val="24"/>
          <w:szCs w:val="24"/>
        </w:rPr>
        <w:t xml:space="preserve">būvmateriālu </w:t>
      </w:r>
      <w:r w:rsidRPr="0094223C">
        <w:rPr>
          <w:rFonts w:ascii="Times New Roman" w:hAnsi="Times New Roman" w:cs="Times New Roman"/>
          <w:sz w:val="24"/>
          <w:szCs w:val="24"/>
        </w:rPr>
        <w:t>sadārdzinājuma aprēķinu</w:t>
      </w:r>
      <w:r>
        <w:rPr>
          <w:rFonts w:ascii="Times New Roman" w:hAnsi="Times New Roman" w:cs="Times New Roman"/>
          <w:sz w:val="24"/>
          <w:szCs w:val="24"/>
        </w:rPr>
        <w:t xml:space="preserve"> tāmē norādītām </w:t>
      </w:r>
      <w:r w:rsidRPr="0094223C">
        <w:rPr>
          <w:rFonts w:ascii="Times New Roman" w:hAnsi="Times New Roman" w:cs="Times New Roman"/>
          <w:sz w:val="24"/>
          <w:szCs w:val="24"/>
        </w:rPr>
        <w:t>būvmateriālu grupām</w:t>
      </w:r>
      <w:r>
        <w:rPr>
          <w:rFonts w:ascii="Times New Roman" w:hAnsi="Times New Roman" w:cs="Times New Roman"/>
          <w:sz w:val="24"/>
          <w:szCs w:val="24"/>
        </w:rPr>
        <w:t xml:space="preserve">, par kurām ir norādīti </w:t>
      </w:r>
      <w:r w:rsidRPr="0094223C">
        <w:rPr>
          <w:rFonts w:ascii="Times New Roman" w:hAnsi="Times New Roman" w:cs="Times New Roman"/>
          <w:sz w:val="24"/>
          <w:szCs w:val="24"/>
        </w:rPr>
        <w:t>būvmateriāl</w:t>
      </w:r>
      <w:r>
        <w:rPr>
          <w:rFonts w:ascii="Times New Roman" w:hAnsi="Times New Roman" w:cs="Times New Roman"/>
          <w:sz w:val="24"/>
          <w:szCs w:val="24"/>
        </w:rPr>
        <w:t>u</w:t>
      </w:r>
      <w:r w:rsidRPr="0094223C">
        <w:rPr>
          <w:rFonts w:ascii="Times New Roman" w:hAnsi="Times New Roman" w:cs="Times New Roman"/>
          <w:sz w:val="24"/>
          <w:szCs w:val="24"/>
        </w:rPr>
        <w:t xml:space="preserve"> nosaukum</w:t>
      </w:r>
      <w:r>
        <w:rPr>
          <w:rFonts w:ascii="Times New Roman" w:hAnsi="Times New Roman" w:cs="Times New Roman"/>
          <w:sz w:val="24"/>
          <w:szCs w:val="24"/>
        </w:rPr>
        <w:t xml:space="preserve">i </w:t>
      </w:r>
      <w:r w:rsidRPr="0094223C">
        <w:rPr>
          <w:rFonts w:ascii="Times New Roman" w:hAnsi="Times New Roman" w:cs="Times New Roman"/>
          <w:sz w:val="24"/>
          <w:szCs w:val="24"/>
        </w:rPr>
        <w:t xml:space="preserve">un apjomi, </w:t>
      </w:r>
      <w:r>
        <w:rPr>
          <w:rFonts w:ascii="Times New Roman" w:hAnsi="Times New Roman" w:cs="Times New Roman"/>
          <w:sz w:val="24"/>
          <w:szCs w:val="24"/>
        </w:rPr>
        <w:t xml:space="preserve">un par kuriem pieejami </w:t>
      </w:r>
      <w:r w:rsidR="00942C54">
        <w:rPr>
          <w:rFonts w:ascii="Times New Roman" w:hAnsi="Times New Roman" w:cs="Times New Roman"/>
          <w:sz w:val="24"/>
          <w:szCs w:val="24"/>
        </w:rPr>
        <w:t>CSP</w:t>
      </w:r>
      <w:r>
        <w:rPr>
          <w:rFonts w:ascii="Times New Roman" w:hAnsi="Times New Roman" w:cs="Times New Roman"/>
          <w:sz w:val="24"/>
          <w:szCs w:val="24"/>
        </w:rPr>
        <w:t xml:space="preserve"> dati par </w:t>
      </w:r>
      <w:r w:rsidR="005D6013">
        <w:rPr>
          <w:rFonts w:ascii="Times New Roman" w:hAnsi="Times New Roman" w:cs="Times New Roman"/>
          <w:sz w:val="24"/>
          <w:szCs w:val="24"/>
        </w:rPr>
        <w:t>k</w:t>
      </w:r>
      <w:r w:rsidR="005D6013" w:rsidRPr="00C1151C">
        <w:rPr>
          <w:rFonts w:ascii="Times New Roman" w:hAnsi="Times New Roman" w:cs="Times New Roman"/>
          <w:sz w:val="24"/>
          <w:szCs w:val="24"/>
        </w:rPr>
        <w:t>opēj</w:t>
      </w:r>
      <w:r w:rsidR="005D6013">
        <w:rPr>
          <w:rFonts w:ascii="Times New Roman" w:hAnsi="Times New Roman" w:cs="Times New Roman"/>
          <w:sz w:val="24"/>
          <w:szCs w:val="24"/>
        </w:rPr>
        <w:t>o</w:t>
      </w:r>
      <w:r w:rsidR="005D6013" w:rsidRPr="00C1151C">
        <w:rPr>
          <w:rFonts w:ascii="Times New Roman" w:hAnsi="Times New Roman" w:cs="Times New Roman"/>
          <w:sz w:val="24"/>
          <w:szCs w:val="24"/>
        </w:rPr>
        <w:t xml:space="preserve"> būvniecības izmaksu indeks</w:t>
      </w:r>
      <w:r w:rsidR="005D6013">
        <w:rPr>
          <w:rFonts w:ascii="Times New Roman" w:hAnsi="Times New Roman" w:cs="Times New Roman"/>
          <w:sz w:val="24"/>
          <w:szCs w:val="24"/>
        </w:rPr>
        <w:t>u</w:t>
      </w:r>
      <w:r w:rsidR="005D6013" w:rsidRPr="00C1151C">
        <w:rPr>
          <w:rFonts w:ascii="Times New Roman" w:hAnsi="Times New Roman" w:cs="Times New Roman"/>
          <w:sz w:val="24"/>
          <w:szCs w:val="24"/>
        </w:rPr>
        <w:t xml:space="preserve"> būvmateriāliem sadalījumā pa būvmateriālu grupām</w:t>
      </w:r>
      <w:r>
        <w:rPr>
          <w:rFonts w:ascii="Times New Roman" w:hAnsi="Times New Roman" w:cs="Times New Roman"/>
          <w:sz w:val="24"/>
          <w:szCs w:val="24"/>
        </w:rPr>
        <w:t xml:space="preserve">. Savukārt </w:t>
      </w:r>
      <w:r w:rsidRPr="0094223C">
        <w:rPr>
          <w:rFonts w:ascii="Times New Roman" w:hAnsi="Times New Roman" w:cs="Times New Roman"/>
          <w:sz w:val="24"/>
          <w:szCs w:val="24"/>
        </w:rPr>
        <w:t>būvmateriāli vis</w:t>
      </w:r>
      <w:r>
        <w:rPr>
          <w:rFonts w:ascii="Times New Roman" w:hAnsi="Times New Roman" w:cs="Times New Roman"/>
          <w:sz w:val="24"/>
          <w:szCs w:val="24"/>
        </w:rPr>
        <w:t>ā</w:t>
      </w:r>
      <w:r w:rsidRPr="0094223C">
        <w:rPr>
          <w:rFonts w:ascii="Times New Roman" w:hAnsi="Times New Roman" w:cs="Times New Roman"/>
          <w:sz w:val="24"/>
          <w:szCs w:val="24"/>
        </w:rPr>
        <w:t xml:space="preserve">s atlikušajās būvmateriālu grupās, </w:t>
      </w:r>
      <w:r>
        <w:rPr>
          <w:rFonts w:ascii="Times New Roman" w:hAnsi="Times New Roman" w:cs="Times New Roman"/>
          <w:sz w:val="24"/>
          <w:szCs w:val="24"/>
        </w:rPr>
        <w:t xml:space="preserve">par kuriem nav pieejami CSP dati, tiek uzskaitīti kā viena atsevišķa pozīcija, kurai sadārdzinājums tiek aprēķināts, piemērojot CSP </w:t>
      </w:r>
      <w:r w:rsidRPr="0094223C">
        <w:rPr>
          <w:rFonts w:ascii="Times New Roman" w:hAnsi="Times New Roman" w:cs="Times New Roman"/>
          <w:sz w:val="24"/>
          <w:szCs w:val="24"/>
        </w:rPr>
        <w:t>būvmateriālu indeks</w:t>
      </w:r>
      <w:r>
        <w:rPr>
          <w:rFonts w:ascii="Times New Roman" w:hAnsi="Times New Roman" w:cs="Times New Roman"/>
          <w:sz w:val="24"/>
          <w:szCs w:val="24"/>
        </w:rPr>
        <w:t>u</w:t>
      </w:r>
      <w:r w:rsidR="00D33D5A">
        <w:rPr>
          <w:rFonts w:ascii="Times New Roman" w:hAnsi="Times New Roman" w:cs="Times New Roman"/>
          <w:sz w:val="24"/>
          <w:szCs w:val="24"/>
        </w:rPr>
        <w:t>.</w:t>
      </w:r>
    </w:p>
    <w:p w14:paraId="13441C7F" w14:textId="77777777" w:rsidR="00BC361F" w:rsidRPr="004651A9" w:rsidRDefault="00BC361F" w:rsidP="00BC361F">
      <w:pPr>
        <w:spacing w:before="240" w:after="120" w:line="240" w:lineRule="auto"/>
        <w:jc w:val="both"/>
        <w:rPr>
          <w:rFonts w:ascii="Times New Roman" w:hAnsi="Times New Roman" w:cs="Times New Roman"/>
          <w:b/>
          <w:iCs/>
          <w:sz w:val="24"/>
          <w:szCs w:val="24"/>
        </w:rPr>
      </w:pPr>
      <w:r w:rsidRPr="004651A9">
        <w:rPr>
          <w:rFonts w:ascii="Times New Roman" w:hAnsi="Times New Roman" w:cs="Times New Roman"/>
          <w:b/>
          <w:iCs/>
          <w:sz w:val="24"/>
          <w:szCs w:val="24"/>
        </w:rPr>
        <w:t>Pārējo izmaksu sadārdzinājuma novērtēšana</w:t>
      </w:r>
    </w:p>
    <w:p w14:paraId="3705EDAF" w14:textId="51771075" w:rsidR="00BC361F" w:rsidRDefault="00BC361F" w:rsidP="00BC361F">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izstrādātās v</w:t>
      </w:r>
      <w:r w:rsidRPr="002B67C8">
        <w:rPr>
          <w:rFonts w:ascii="Times New Roman" w:hAnsi="Times New Roman" w:cs="Times New Roman"/>
          <w:sz w:val="24"/>
          <w:szCs w:val="24"/>
        </w:rPr>
        <w:t>adlīnijas paredzētas</w:t>
      </w:r>
      <w:r>
        <w:rPr>
          <w:rFonts w:ascii="Times New Roman" w:hAnsi="Times New Roman" w:cs="Times New Roman"/>
          <w:sz w:val="24"/>
          <w:szCs w:val="24"/>
        </w:rPr>
        <w:t xml:space="preserve"> tikai</w:t>
      </w:r>
      <w:r w:rsidRPr="002B67C8">
        <w:rPr>
          <w:rFonts w:ascii="Times New Roman" w:hAnsi="Times New Roman" w:cs="Times New Roman"/>
          <w:sz w:val="24"/>
          <w:szCs w:val="24"/>
        </w:rPr>
        <w:t xml:space="preserve"> </w:t>
      </w:r>
      <w:r>
        <w:rPr>
          <w:rFonts w:ascii="Times New Roman" w:hAnsi="Times New Roman" w:cs="Times New Roman"/>
          <w:sz w:val="24"/>
          <w:szCs w:val="24"/>
        </w:rPr>
        <w:t>būvmateriālu sadārdzinājuma novērtēšanai</w:t>
      </w:r>
      <w:r w:rsidRPr="00B21192">
        <w:rPr>
          <w:rFonts w:ascii="Times New Roman" w:hAnsi="Times New Roman" w:cs="Times New Roman"/>
          <w:sz w:val="24"/>
          <w:szCs w:val="24"/>
        </w:rPr>
        <w:t>.</w:t>
      </w:r>
      <w:r w:rsidR="00C650A3" w:rsidRPr="00B21192">
        <w:rPr>
          <w:rFonts w:ascii="Times New Roman" w:hAnsi="Times New Roman" w:cs="Times New Roman"/>
          <w:sz w:val="24"/>
          <w:szCs w:val="24"/>
        </w:rPr>
        <w:t xml:space="preserve"> Šajās vadlīnijās nav piedāvāta aprēķina metode darba spēka un iekārtu un mehānismu sadārdzinājuma aprēķināšanai.</w:t>
      </w:r>
      <w:r>
        <w:rPr>
          <w:rFonts w:ascii="Times New Roman" w:hAnsi="Times New Roman" w:cs="Times New Roman"/>
          <w:sz w:val="24"/>
          <w:szCs w:val="24"/>
        </w:rPr>
        <w:t xml:space="preserve"> </w:t>
      </w:r>
      <w:r w:rsidRPr="002B67C8">
        <w:rPr>
          <w:rFonts w:ascii="Times New Roman" w:hAnsi="Times New Roman" w:cs="Times New Roman"/>
          <w:sz w:val="24"/>
          <w:szCs w:val="24"/>
        </w:rPr>
        <w:t>Ja būvdarbu veicējam ir radies straujš</w:t>
      </w:r>
      <w:r>
        <w:rPr>
          <w:rFonts w:ascii="Times New Roman" w:hAnsi="Times New Roman" w:cs="Times New Roman"/>
          <w:sz w:val="24"/>
          <w:szCs w:val="24"/>
        </w:rPr>
        <w:t>, būtisks un neprognozējams</w:t>
      </w:r>
      <w:r w:rsidRPr="002B67C8">
        <w:rPr>
          <w:rFonts w:ascii="Times New Roman" w:hAnsi="Times New Roman" w:cs="Times New Roman"/>
          <w:sz w:val="24"/>
          <w:szCs w:val="24"/>
        </w:rPr>
        <w:t xml:space="preserve"> sadārdzinājums citās komponentēs</w:t>
      </w:r>
      <w:r>
        <w:rPr>
          <w:rFonts w:ascii="Times New Roman" w:hAnsi="Times New Roman" w:cs="Times New Roman"/>
          <w:sz w:val="24"/>
          <w:szCs w:val="24"/>
        </w:rPr>
        <w:t xml:space="preserve">, kā piemēram, strādnieku darba samaksas izmaksās, </w:t>
      </w:r>
      <w:r w:rsidRPr="000576D5">
        <w:rPr>
          <w:rFonts w:ascii="Times New Roman" w:hAnsi="Times New Roman" w:cs="Times New Roman"/>
          <w:sz w:val="24"/>
          <w:szCs w:val="24"/>
        </w:rPr>
        <w:t>mašīnu un mehānismu uzturēšana</w:t>
      </w:r>
      <w:r>
        <w:rPr>
          <w:rFonts w:ascii="Times New Roman" w:hAnsi="Times New Roman" w:cs="Times New Roman"/>
          <w:sz w:val="24"/>
          <w:szCs w:val="24"/>
        </w:rPr>
        <w:t>s</w:t>
      </w:r>
      <w:r w:rsidRPr="000576D5">
        <w:rPr>
          <w:rFonts w:ascii="Times New Roman" w:hAnsi="Times New Roman" w:cs="Times New Roman"/>
          <w:sz w:val="24"/>
          <w:szCs w:val="24"/>
        </w:rPr>
        <w:t xml:space="preserve"> un ekspluatācija</w:t>
      </w:r>
      <w:r>
        <w:rPr>
          <w:rFonts w:ascii="Times New Roman" w:hAnsi="Times New Roman" w:cs="Times New Roman"/>
          <w:sz w:val="24"/>
          <w:szCs w:val="24"/>
        </w:rPr>
        <w:t>s izmaksās, degvielas izmaksās, u.c.</w:t>
      </w:r>
      <w:r w:rsidRPr="002B67C8">
        <w:rPr>
          <w:rFonts w:ascii="Times New Roman" w:hAnsi="Times New Roman" w:cs="Times New Roman"/>
          <w:sz w:val="24"/>
          <w:szCs w:val="24"/>
        </w:rPr>
        <w:t xml:space="preserve">, </w:t>
      </w:r>
      <w:r>
        <w:rPr>
          <w:rFonts w:ascii="Times New Roman" w:hAnsi="Times New Roman" w:cs="Times New Roman"/>
          <w:sz w:val="24"/>
          <w:szCs w:val="24"/>
        </w:rPr>
        <w:t xml:space="preserve">tad šis sadārdzinājums ir pamatojams, būvdarbu veicējam iesniedzot pierādījumus gan sadārdzinājuma faktam, gan tā cēloniskajam sakaram ar Krievijas militāro agresiju Ukrainā un šīs agresijas izraisītām sekām. </w:t>
      </w:r>
      <w:r w:rsidRPr="00024BAF">
        <w:rPr>
          <w:rFonts w:ascii="Times New Roman" w:hAnsi="Times New Roman" w:cs="Times New Roman"/>
          <w:sz w:val="24"/>
          <w:szCs w:val="24"/>
        </w:rPr>
        <w:t>Pasūtītājs un būvdarbu veicējs savstarpēji vienojas par izmaksu sadārdzinājuma aprēķināšan</w:t>
      </w:r>
      <w:r>
        <w:rPr>
          <w:rFonts w:ascii="Times New Roman" w:hAnsi="Times New Roman" w:cs="Times New Roman"/>
          <w:sz w:val="24"/>
          <w:szCs w:val="24"/>
        </w:rPr>
        <w:t>u</w:t>
      </w:r>
      <w:r w:rsidRPr="00024BAF">
        <w:rPr>
          <w:rFonts w:ascii="Times New Roman" w:hAnsi="Times New Roman" w:cs="Times New Roman"/>
          <w:sz w:val="24"/>
          <w:szCs w:val="24"/>
        </w:rPr>
        <w:t xml:space="preserve">. </w:t>
      </w:r>
      <w:r>
        <w:rPr>
          <w:rFonts w:ascii="Times New Roman" w:hAnsi="Times New Roman" w:cs="Times New Roman"/>
          <w:sz w:val="24"/>
          <w:szCs w:val="24"/>
        </w:rPr>
        <w:t xml:space="preserve">Ar būvmateriālu izmaksu nesaistītu izmaksu sadārdzinājuma novērtēšanai var izmantot citu institūciju izstrādāto un aprobēto metodoloģiju, kā piemēram, </w:t>
      </w:r>
      <w:r w:rsidRPr="00A017AF">
        <w:rPr>
          <w:rFonts w:ascii="Times New Roman" w:hAnsi="Times New Roman" w:cs="Times New Roman"/>
          <w:sz w:val="24"/>
          <w:szCs w:val="24"/>
        </w:rPr>
        <w:t xml:space="preserve">VSIA </w:t>
      </w:r>
      <w:r>
        <w:rPr>
          <w:rFonts w:ascii="Times New Roman" w:hAnsi="Times New Roman" w:cs="Times New Roman"/>
          <w:sz w:val="24"/>
          <w:szCs w:val="24"/>
        </w:rPr>
        <w:t>“</w:t>
      </w:r>
      <w:r w:rsidRPr="00A017AF">
        <w:rPr>
          <w:rFonts w:ascii="Times New Roman" w:hAnsi="Times New Roman" w:cs="Times New Roman"/>
          <w:sz w:val="24"/>
          <w:szCs w:val="24"/>
        </w:rPr>
        <w:t>Latvijas Valsts ceļi</w:t>
      </w:r>
      <w:r>
        <w:rPr>
          <w:rFonts w:ascii="Times New Roman" w:hAnsi="Times New Roman" w:cs="Times New Roman"/>
          <w:sz w:val="24"/>
          <w:szCs w:val="24"/>
        </w:rPr>
        <w:t xml:space="preserve">” izstrādāto līgumcenas pārrēķināšanas metodi tipveida līgumiem autoceļu būvdarbiem, u.c. </w:t>
      </w:r>
      <w:r w:rsidRPr="001178C1">
        <w:rPr>
          <w:rFonts w:ascii="Times New Roman" w:hAnsi="Times New Roman" w:cs="Times New Roman"/>
          <w:sz w:val="24"/>
          <w:szCs w:val="24"/>
        </w:rPr>
        <w:t xml:space="preserve">Būvdarbu veicējam ir tiesības sniegt pierādījumus un aprēķinus par pārējo, kas jāskata </w:t>
      </w:r>
      <w:proofErr w:type="spellStart"/>
      <w:r w:rsidRPr="001178C1">
        <w:rPr>
          <w:rFonts w:ascii="Times New Roman" w:hAnsi="Times New Roman" w:cs="Times New Roman"/>
          <w:i/>
          <w:iCs/>
          <w:sz w:val="24"/>
          <w:szCs w:val="24"/>
        </w:rPr>
        <w:t>case</w:t>
      </w:r>
      <w:proofErr w:type="spellEnd"/>
      <w:r w:rsidRPr="001178C1">
        <w:rPr>
          <w:rFonts w:ascii="Times New Roman" w:hAnsi="Times New Roman" w:cs="Times New Roman"/>
          <w:i/>
          <w:iCs/>
          <w:sz w:val="24"/>
          <w:szCs w:val="24"/>
        </w:rPr>
        <w:t xml:space="preserve"> </w:t>
      </w:r>
      <w:proofErr w:type="spellStart"/>
      <w:r w:rsidRPr="001178C1">
        <w:rPr>
          <w:rFonts w:ascii="Times New Roman" w:hAnsi="Times New Roman" w:cs="Times New Roman"/>
          <w:i/>
          <w:iCs/>
          <w:sz w:val="24"/>
          <w:szCs w:val="24"/>
        </w:rPr>
        <w:t>by</w:t>
      </w:r>
      <w:proofErr w:type="spellEnd"/>
      <w:r w:rsidRPr="001178C1">
        <w:rPr>
          <w:rFonts w:ascii="Times New Roman" w:hAnsi="Times New Roman" w:cs="Times New Roman"/>
          <w:i/>
          <w:iCs/>
          <w:sz w:val="24"/>
          <w:szCs w:val="24"/>
        </w:rPr>
        <w:t xml:space="preserve"> </w:t>
      </w:r>
      <w:proofErr w:type="spellStart"/>
      <w:r w:rsidRPr="001178C1">
        <w:rPr>
          <w:rFonts w:ascii="Times New Roman" w:hAnsi="Times New Roman" w:cs="Times New Roman"/>
          <w:i/>
          <w:iCs/>
          <w:sz w:val="24"/>
          <w:szCs w:val="24"/>
        </w:rPr>
        <w:t>case</w:t>
      </w:r>
      <w:proofErr w:type="spellEnd"/>
      <w:r w:rsidRPr="001178C1">
        <w:rPr>
          <w:rFonts w:ascii="Times New Roman" w:hAnsi="Times New Roman" w:cs="Times New Roman"/>
          <w:sz w:val="24"/>
          <w:szCs w:val="24"/>
        </w:rPr>
        <w:t>. Pasūtītājam un būvdarbu veicējam solidāri jāuzņemas risks.</w:t>
      </w:r>
    </w:p>
    <w:p w14:paraId="402AF5AB" w14:textId="51584A35" w:rsidR="0066032E" w:rsidRPr="00B75D9F" w:rsidRDefault="0066032E" w:rsidP="00ED4B32">
      <w:pPr>
        <w:spacing w:before="240" w:after="120" w:line="240" w:lineRule="auto"/>
        <w:jc w:val="both"/>
        <w:rPr>
          <w:rFonts w:ascii="Times New Roman" w:hAnsi="Times New Roman" w:cs="Times New Roman"/>
          <w:b/>
          <w:iCs/>
          <w:sz w:val="24"/>
          <w:szCs w:val="24"/>
        </w:rPr>
      </w:pPr>
      <w:r w:rsidRPr="00300CD3">
        <w:rPr>
          <w:rFonts w:ascii="Times New Roman" w:hAnsi="Times New Roman" w:cs="Times New Roman"/>
          <w:b/>
          <w:iCs/>
          <w:sz w:val="24"/>
          <w:szCs w:val="24"/>
        </w:rPr>
        <w:t xml:space="preserve">Atkāpšanās no līguma </w:t>
      </w:r>
      <w:r w:rsidRPr="00B75D9F">
        <w:rPr>
          <w:rFonts w:ascii="Times New Roman" w:hAnsi="Times New Roman" w:cs="Times New Roman"/>
          <w:b/>
          <w:iCs/>
          <w:sz w:val="24"/>
          <w:szCs w:val="24"/>
        </w:rPr>
        <w:t xml:space="preserve">un </w:t>
      </w:r>
      <w:r w:rsidR="008E036B">
        <w:rPr>
          <w:rFonts w:ascii="Times New Roman" w:hAnsi="Times New Roman" w:cs="Times New Roman"/>
          <w:b/>
          <w:iCs/>
          <w:sz w:val="24"/>
          <w:szCs w:val="24"/>
        </w:rPr>
        <w:t xml:space="preserve">sadārdzinājuma novērtēšanas </w:t>
      </w:r>
      <w:r w:rsidRPr="00B75D9F">
        <w:rPr>
          <w:rFonts w:ascii="Times New Roman" w:hAnsi="Times New Roman" w:cs="Times New Roman"/>
          <w:b/>
          <w:iCs/>
          <w:sz w:val="24"/>
          <w:szCs w:val="24"/>
        </w:rPr>
        <w:t>pārtraukšana</w:t>
      </w:r>
    </w:p>
    <w:p w14:paraId="5A282A4B" w14:textId="165701D4" w:rsidR="00BC361F" w:rsidRDefault="0066032E" w:rsidP="005079B3">
      <w:pPr>
        <w:spacing w:after="80" w:line="240" w:lineRule="auto"/>
        <w:ind w:firstLine="720"/>
        <w:jc w:val="both"/>
        <w:rPr>
          <w:rFonts w:ascii="Times New Roman" w:hAnsi="Times New Roman" w:cs="Times New Roman"/>
          <w:sz w:val="24"/>
          <w:szCs w:val="24"/>
        </w:rPr>
      </w:pPr>
      <w:r w:rsidRPr="005568E0">
        <w:rPr>
          <w:rFonts w:ascii="Times New Roman" w:hAnsi="Times New Roman" w:cs="Times New Roman"/>
          <w:sz w:val="24"/>
          <w:szCs w:val="24"/>
        </w:rPr>
        <w:t>Būvmateriālu izmaksu sadārdzinājuma risku saprātīgai sadalei var noteikt zināmas robežas, pie kurām līgums tiek pārtraukts. Ja sadārdzinājuma rezultātā līgumcenas pieaugums pārsniedz pasūtītāja spējas šo sadārdzinājumu kompensēt, tad pusēm ir tiesības vienpusēji atkāpties no līguma bez soda sankcijām.</w:t>
      </w:r>
    </w:p>
    <w:sectPr w:rsidR="00BC361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9E4E" w14:textId="77777777" w:rsidR="007C5F81" w:rsidRDefault="007C5F81" w:rsidP="0062727F">
      <w:pPr>
        <w:spacing w:after="0" w:line="240" w:lineRule="auto"/>
      </w:pPr>
      <w:r>
        <w:separator/>
      </w:r>
    </w:p>
  </w:endnote>
  <w:endnote w:type="continuationSeparator" w:id="0">
    <w:p w14:paraId="59D8DE14" w14:textId="77777777" w:rsidR="007C5F81" w:rsidRDefault="007C5F81" w:rsidP="0062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7519E" w14:textId="77777777" w:rsidR="007C5F81" w:rsidRDefault="007C5F81" w:rsidP="0062727F">
      <w:pPr>
        <w:spacing w:after="0" w:line="240" w:lineRule="auto"/>
      </w:pPr>
      <w:r>
        <w:separator/>
      </w:r>
    </w:p>
  </w:footnote>
  <w:footnote w:type="continuationSeparator" w:id="0">
    <w:p w14:paraId="724BB3A3" w14:textId="77777777" w:rsidR="007C5F81" w:rsidRDefault="007C5F81" w:rsidP="0062727F">
      <w:pPr>
        <w:spacing w:after="0" w:line="240" w:lineRule="auto"/>
      </w:pPr>
      <w:r>
        <w:continuationSeparator/>
      </w:r>
    </w:p>
  </w:footnote>
  <w:footnote w:id="1">
    <w:p w14:paraId="5F9EE0F1" w14:textId="77777777" w:rsidR="0060140A" w:rsidRPr="00B32404" w:rsidRDefault="0060140A" w:rsidP="0060140A">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Pr>
          <w:rFonts w:ascii="Times New Roman" w:hAnsi="Times New Roman" w:cs="Times New Roman"/>
        </w:rPr>
        <w:t xml:space="preserve"> EM i</w:t>
      </w:r>
      <w:r w:rsidRPr="00B32404">
        <w:rPr>
          <w:rFonts w:ascii="Times New Roman" w:hAnsi="Times New Roman" w:cs="Times New Roman"/>
        </w:rPr>
        <w:t xml:space="preserve">nformatīvais ziņojums </w:t>
      </w:r>
      <w:r w:rsidRPr="00B32404">
        <w:rPr>
          <w:rFonts w:ascii="Times New Roman" w:hAnsi="Times New Roman" w:cs="Times New Roman"/>
          <w:i/>
          <w:iCs/>
        </w:rPr>
        <w:t>“Par situāciju būvniecības nozarē saistībā ar Krievijas agresiju Ukrainā un nepieciešamajiem risinājumiem publisko investīciju projektos” (TAP 22-TA-938)</w:t>
      </w:r>
      <w:r w:rsidRPr="00B32404">
        <w:rPr>
          <w:rFonts w:ascii="Times New Roman" w:hAnsi="Times New Roman" w:cs="Times New Roman"/>
        </w:rPr>
        <w:t xml:space="preserve"> pieejams </w:t>
      </w:r>
      <w:r w:rsidRPr="00B32404">
        <w:rPr>
          <w:rFonts w:ascii="Times New Roman" w:hAnsi="Times New Roman" w:cs="Times New Roman"/>
          <w:shd w:val="clear" w:color="auto" w:fill="FFFFFF"/>
        </w:rPr>
        <w:t>tiesību aktu projektu</w:t>
      </w:r>
      <w:r w:rsidRPr="00B32404">
        <w:rPr>
          <w:rFonts w:ascii="Times New Roman" w:hAnsi="Times New Roman" w:cs="Times New Roman"/>
        </w:rPr>
        <w:t xml:space="preserve"> portālā: https://tapportals.mk.gov.lv/legal_acts/5ede348a-1c08-43af-a118-d1468eb458b1</w:t>
      </w:r>
    </w:p>
  </w:footnote>
  <w:footnote w:id="2">
    <w:p w14:paraId="1E80EF4B" w14:textId="5F7744D7" w:rsidR="00D32FE9" w:rsidRPr="00044F44" w:rsidRDefault="00D32FE9" w:rsidP="008A62FF">
      <w:pPr>
        <w:pStyle w:val="FootnoteText"/>
        <w:jc w:val="both"/>
        <w:rPr>
          <w:rFonts w:ascii="Times New Roman" w:hAnsi="Times New Roman" w:cs="Times New Roman"/>
        </w:rPr>
      </w:pPr>
      <w:r w:rsidRPr="00044F44">
        <w:rPr>
          <w:rStyle w:val="FootnoteReference"/>
          <w:rFonts w:ascii="Times New Roman" w:hAnsi="Times New Roman" w:cs="Times New Roman"/>
        </w:rPr>
        <w:footnoteRef/>
      </w:r>
      <w:r w:rsidRPr="00044F44">
        <w:rPr>
          <w:rFonts w:ascii="Times New Roman" w:hAnsi="Times New Roman" w:cs="Times New Roman"/>
        </w:rPr>
        <w:t xml:space="preserve"> </w:t>
      </w:r>
      <w:r w:rsidR="00B30BFA" w:rsidRPr="00044F44">
        <w:rPr>
          <w:rFonts w:ascii="Times New Roman" w:hAnsi="Times New Roman" w:cs="Times New Roman"/>
        </w:rPr>
        <w:t xml:space="preserve">EM 2020. gadā veikts pētījums </w:t>
      </w:r>
      <w:r w:rsidR="00B30BFA" w:rsidRPr="00044F44">
        <w:rPr>
          <w:rFonts w:ascii="Times New Roman" w:hAnsi="Times New Roman" w:cs="Times New Roman"/>
          <w:i/>
          <w:iCs/>
        </w:rPr>
        <w:t>“Par prognozētajām izmaiņām darbaspēka un būvmateriālu izmaksām būvniecības nozarē Latvijā 2020. -2024.”</w:t>
      </w:r>
      <w:r w:rsidR="00B30BFA" w:rsidRPr="00044F44">
        <w:rPr>
          <w:rFonts w:ascii="Times New Roman" w:hAnsi="Times New Roman" w:cs="Times New Roman"/>
        </w:rPr>
        <w:t xml:space="preserve"> un 2021. gadā veikts pētījums </w:t>
      </w:r>
      <w:r w:rsidR="00B30BFA" w:rsidRPr="00044F44">
        <w:rPr>
          <w:rFonts w:ascii="Times New Roman" w:hAnsi="Times New Roman" w:cs="Times New Roman"/>
          <w:i/>
          <w:iCs/>
        </w:rPr>
        <w:t>“Prognozētās izmaiņās darbaspēka un būvmateriālu izmaksās būvniecības nozarē Latvijā 2021.-2025.”</w:t>
      </w:r>
      <w:r w:rsidR="00B30BFA" w:rsidRPr="00044F44">
        <w:rPr>
          <w:rFonts w:ascii="Times New Roman" w:hAnsi="Times New Roman" w:cs="Times New Roman"/>
        </w:rPr>
        <w:t xml:space="preserve"> pieejams EM mājaslapā: </w:t>
      </w:r>
      <w:hyperlink r:id="rId1" w:history="1">
        <w:r w:rsidR="00B30BFA" w:rsidRPr="00044F44">
          <w:rPr>
            <w:rStyle w:val="Hyperlink"/>
            <w:rFonts w:ascii="Times New Roman" w:hAnsi="Times New Roman" w:cs="Times New Roman"/>
            <w:color w:val="auto"/>
          </w:rPr>
          <w:t>https://www.em.gov.lv/lv/buvniecibas-nozare-attistiba-strategija-un-petijumi</w:t>
        </w:r>
      </w:hyperlink>
      <w:r w:rsidR="00B30BFA" w:rsidRPr="00044F44">
        <w:rPr>
          <w:rFonts w:ascii="Times New Roman" w:hAnsi="Times New Roman" w:cs="Times New Roman"/>
        </w:rPr>
        <w:t>.</w:t>
      </w:r>
    </w:p>
  </w:footnote>
  <w:footnote w:id="3">
    <w:p w14:paraId="4FF3B427" w14:textId="77777777" w:rsidR="00560176" w:rsidRPr="00044F44" w:rsidRDefault="00560176" w:rsidP="008A62FF">
      <w:pPr>
        <w:pStyle w:val="FootnoteText"/>
        <w:jc w:val="both"/>
        <w:rPr>
          <w:rFonts w:ascii="Times New Roman" w:hAnsi="Times New Roman" w:cs="Times New Roman"/>
        </w:rPr>
      </w:pPr>
      <w:r w:rsidRPr="00044F44">
        <w:rPr>
          <w:rStyle w:val="FootnoteReference"/>
          <w:rFonts w:ascii="Times New Roman" w:hAnsi="Times New Roman" w:cs="Times New Roman"/>
        </w:rPr>
        <w:footnoteRef/>
      </w:r>
      <w:r w:rsidRPr="00044F44">
        <w:rPr>
          <w:rFonts w:ascii="Times New Roman" w:hAnsi="Times New Roman" w:cs="Times New Roman"/>
        </w:rPr>
        <w:t xml:space="preserve"> EM 2020. gadā veikts pētījums </w:t>
      </w:r>
      <w:r w:rsidRPr="00044F44">
        <w:rPr>
          <w:rFonts w:ascii="Times New Roman" w:hAnsi="Times New Roman" w:cs="Times New Roman"/>
          <w:i/>
          <w:iCs/>
        </w:rPr>
        <w:t>“Par prognozētajām izmaiņām darbaspēka un būvmateriālu izmaksām būvniecības nozarē Latvijā 2020. -2024.”</w:t>
      </w:r>
      <w:r w:rsidRPr="00044F44">
        <w:rPr>
          <w:rFonts w:ascii="Times New Roman" w:hAnsi="Times New Roman" w:cs="Times New Roman"/>
        </w:rPr>
        <w:t xml:space="preserve"> un 2021. gadā veikts pētījums </w:t>
      </w:r>
      <w:r w:rsidRPr="00044F44">
        <w:rPr>
          <w:rFonts w:ascii="Times New Roman" w:hAnsi="Times New Roman" w:cs="Times New Roman"/>
          <w:i/>
          <w:iCs/>
        </w:rPr>
        <w:t>“Prognozētās izmaiņās darbaspēka un būvmateriālu izmaksās būvniecības nozarē Latvijā 2021.-2025.”</w:t>
      </w:r>
      <w:r w:rsidRPr="00044F44">
        <w:rPr>
          <w:rFonts w:ascii="Times New Roman" w:hAnsi="Times New Roman" w:cs="Times New Roman"/>
        </w:rPr>
        <w:t xml:space="preserve"> pieejams EM mājaslapā: </w:t>
      </w:r>
      <w:hyperlink r:id="rId2" w:history="1">
        <w:r w:rsidRPr="00044F44">
          <w:rPr>
            <w:rStyle w:val="Hyperlink"/>
            <w:rFonts w:ascii="Times New Roman" w:hAnsi="Times New Roman" w:cs="Times New Roman"/>
            <w:color w:val="auto"/>
          </w:rPr>
          <w:t>https://www.em.gov.lv/lv/buvniecibas-nozare-attistiba-strategija-un-petijumi</w:t>
        </w:r>
      </w:hyperlink>
      <w:r w:rsidRPr="00044F44">
        <w:rPr>
          <w:rFonts w:ascii="Times New Roman" w:hAnsi="Times New Roman" w:cs="Times New Roman"/>
        </w:rPr>
        <w:t>.</w:t>
      </w:r>
    </w:p>
  </w:footnote>
  <w:footnote w:id="4">
    <w:p w14:paraId="7974D50B" w14:textId="76136251" w:rsidR="008A7AFB" w:rsidRPr="00044F44" w:rsidRDefault="008A7AFB" w:rsidP="008A62FF">
      <w:pPr>
        <w:pStyle w:val="FootnoteText"/>
        <w:jc w:val="both"/>
        <w:rPr>
          <w:rFonts w:ascii="Times New Roman" w:hAnsi="Times New Roman" w:cs="Times New Roman"/>
        </w:rPr>
      </w:pPr>
      <w:r w:rsidRPr="00044F44">
        <w:rPr>
          <w:rStyle w:val="FootnoteReference"/>
          <w:rFonts w:ascii="Times New Roman" w:hAnsi="Times New Roman" w:cs="Times New Roman"/>
        </w:rPr>
        <w:footnoteRef/>
      </w:r>
      <w:r w:rsidRPr="00044F44">
        <w:rPr>
          <w:rFonts w:ascii="Times New Roman" w:hAnsi="Times New Roman" w:cs="Times New Roman"/>
        </w:rPr>
        <w:t xml:space="preserve"> CSP datubāze: https://data.stat.gov.lv/pxweb/lv/OSP_PUB/START__VEK__RC__RCB/RCB010/</w:t>
      </w:r>
    </w:p>
  </w:footnote>
  <w:footnote w:id="5">
    <w:p w14:paraId="02D226A0" w14:textId="77777777" w:rsidR="0047049C" w:rsidRPr="00044F44" w:rsidRDefault="0047049C" w:rsidP="0047049C">
      <w:pPr>
        <w:pStyle w:val="FootnoteText"/>
        <w:jc w:val="both"/>
        <w:rPr>
          <w:rFonts w:ascii="Times New Roman" w:hAnsi="Times New Roman" w:cs="Times New Roman"/>
        </w:rPr>
      </w:pPr>
      <w:r w:rsidRPr="00044F44">
        <w:rPr>
          <w:rStyle w:val="FootnoteReference"/>
          <w:rFonts w:ascii="Times New Roman" w:hAnsi="Times New Roman" w:cs="Times New Roman"/>
        </w:rPr>
        <w:footnoteRef/>
      </w:r>
      <w:r w:rsidRPr="00044F44">
        <w:rPr>
          <w:rFonts w:ascii="Times New Roman" w:hAnsi="Times New Roman" w:cs="Times New Roman"/>
        </w:rPr>
        <w:t xml:space="preserve"> CSP datubāze: https://data.stat.gov.lv/pxweb/lv/OSP_PUB/START__VEK__RC__RCB/RCB040c/</w:t>
      </w:r>
    </w:p>
  </w:footnote>
  <w:footnote w:id="6">
    <w:p w14:paraId="6DF786CE" w14:textId="7E8802D1" w:rsidR="0047049C" w:rsidRPr="00044F44" w:rsidRDefault="0047049C">
      <w:pPr>
        <w:pStyle w:val="FootnoteText"/>
        <w:rPr>
          <w:rFonts w:ascii="Times New Roman" w:hAnsi="Times New Roman" w:cs="Times New Roman"/>
        </w:rPr>
      </w:pPr>
      <w:r w:rsidRPr="00044F44">
        <w:rPr>
          <w:rStyle w:val="FootnoteReference"/>
          <w:rFonts w:ascii="Times New Roman" w:hAnsi="Times New Roman" w:cs="Times New Roman"/>
        </w:rPr>
        <w:footnoteRef/>
      </w:r>
      <w:r w:rsidRPr="00044F44">
        <w:rPr>
          <w:rFonts w:ascii="Times New Roman" w:hAnsi="Times New Roman" w:cs="Times New Roman"/>
        </w:rPr>
        <w:t xml:space="preserve"> CSP datubāze: https://data.stat.gov.lv/pxweb/lv/OSP_PUB/START__VEK__RC__RCB/RCB040m/</w:t>
      </w:r>
    </w:p>
  </w:footnote>
  <w:footnote w:id="7">
    <w:p w14:paraId="056CC6B3" w14:textId="497EB824" w:rsidR="00044F44" w:rsidRDefault="00044F44">
      <w:pPr>
        <w:pStyle w:val="FootnoteText"/>
      </w:pPr>
      <w:r w:rsidRPr="00044F44">
        <w:rPr>
          <w:rStyle w:val="FootnoteReference"/>
          <w:rFonts w:ascii="Times New Roman" w:hAnsi="Times New Roman" w:cs="Times New Roman"/>
        </w:rPr>
        <w:footnoteRef/>
      </w:r>
      <w:r w:rsidRPr="00044F44">
        <w:rPr>
          <w:rFonts w:ascii="Times New Roman" w:hAnsi="Times New Roman" w:cs="Times New Roman"/>
        </w:rPr>
        <w:t xml:space="preserve"> CSP datubāze:  https://data.stat.gov.lv/pxweb/lv/OSP_PUB/START__VEK__RC__RCB/RCB011m/</w:t>
      </w:r>
    </w:p>
  </w:footnote>
  <w:footnote w:id="8">
    <w:p w14:paraId="686867FE" w14:textId="77777777" w:rsidR="00432F53" w:rsidRPr="00B32404" w:rsidRDefault="00432F53"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EM 2020. gadā veikts pētījums </w:t>
      </w:r>
      <w:r w:rsidRPr="00B32404">
        <w:rPr>
          <w:rFonts w:ascii="Times New Roman" w:hAnsi="Times New Roman" w:cs="Times New Roman"/>
          <w:i/>
          <w:iCs/>
        </w:rPr>
        <w:t>“Par prognozētajām izmaiņām darbaspēka un būvmateriālu izmaksām būvniecības nozarē Latvijā 2020. -2024.”</w:t>
      </w:r>
      <w:r w:rsidRPr="00B32404">
        <w:rPr>
          <w:rFonts w:ascii="Times New Roman" w:hAnsi="Times New Roman" w:cs="Times New Roman"/>
        </w:rPr>
        <w:t xml:space="preserve"> un 2021. gadā veikts pētījums </w:t>
      </w:r>
      <w:r w:rsidRPr="00B32404">
        <w:rPr>
          <w:rFonts w:ascii="Times New Roman" w:hAnsi="Times New Roman" w:cs="Times New Roman"/>
          <w:i/>
          <w:iCs/>
        </w:rPr>
        <w:t>“Prognozētās izmaiņās darbaspēka un būvmateriālu izmaksās būvniecības nozarē Latvijā 2021.-2025.”</w:t>
      </w:r>
      <w:r w:rsidRPr="00B32404">
        <w:rPr>
          <w:rFonts w:ascii="Times New Roman" w:hAnsi="Times New Roman" w:cs="Times New Roman"/>
        </w:rPr>
        <w:t xml:space="preserve"> pieejams EM mājaslapā: </w:t>
      </w:r>
      <w:hyperlink r:id="rId3" w:history="1">
        <w:r w:rsidRPr="00B32404">
          <w:rPr>
            <w:rStyle w:val="Hyperlink"/>
            <w:rFonts w:ascii="Times New Roman" w:hAnsi="Times New Roman" w:cs="Times New Roman"/>
            <w:color w:val="auto"/>
          </w:rPr>
          <w:t>https://www.em.gov.lv/lv/buvniecibas-nozare-attistiba-strategija-un-petijumi</w:t>
        </w:r>
      </w:hyperlink>
      <w:r w:rsidRPr="00B32404">
        <w:rPr>
          <w:rFonts w:ascii="Times New Roman" w:hAnsi="Times New Roman" w:cs="Times New Roman"/>
        </w:rPr>
        <w:t>.</w:t>
      </w:r>
    </w:p>
  </w:footnote>
  <w:footnote w:id="9">
    <w:p w14:paraId="6B13112F" w14:textId="70055BAE" w:rsidR="003E6F70" w:rsidRPr="007C0A3E" w:rsidRDefault="003E6F70" w:rsidP="007C0A3E">
      <w:pPr>
        <w:pStyle w:val="FootnoteText"/>
        <w:jc w:val="both"/>
        <w:rPr>
          <w:rFonts w:ascii="Times New Roman" w:hAnsi="Times New Roman" w:cs="Times New Roman"/>
        </w:rPr>
      </w:pPr>
      <w:r w:rsidRPr="007C0A3E">
        <w:rPr>
          <w:rStyle w:val="FootnoteReference"/>
          <w:rFonts w:ascii="Times New Roman" w:hAnsi="Times New Roman" w:cs="Times New Roman"/>
        </w:rPr>
        <w:footnoteRef/>
      </w:r>
      <w:r w:rsidRPr="007C0A3E">
        <w:rPr>
          <w:rFonts w:ascii="Times New Roman" w:hAnsi="Times New Roman" w:cs="Times New Roman"/>
        </w:rPr>
        <w:t xml:space="preserve"> Atbilstoši Ministru kabineta 2018.gada 20.marta noteikumiem Nr.169 “</w:t>
      </w:r>
      <w:proofErr w:type="spellStart"/>
      <w:r w:rsidRPr="007C0A3E">
        <w:rPr>
          <w:rFonts w:ascii="Times New Roman" w:hAnsi="Times New Roman" w:cs="Times New Roman"/>
        </w:rPr>
        <w:t>Būvspeciālistu</w:t>
      </w:r>
      <w:proofErr w:type="spellEnd"/>
      <w:r w:rsidRPr="007C0A3E">
        <w:rPr>
          <w:rFonts w:ascii="Times New Roman" w:hAnsi="Times New Roman" w:cs="Times New Roman"/>
        </w:rPr>
        <w:t xml:space="preserve"> kompetences novērtēšanas un patstāvīgās prakses uzraudzības noteikumi”</w:t>
      </w:r>
      <w:r w:rsidR="00277710">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0151"/>
    <w:multiLevelType w:val="hybridMultilevel"/>
    <w:tmpl w:val="16D2BAE2"/>
    <w:lvl w:ilvl="0" w:tplc="CB7CD404">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0C515EE"/>
    <w:multiLevelType w:val="hybridMultilevel"/>
    <w:tmpl w:val="386E58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8927FC"/>
    <w:multiLevelType w:val="hybridMultilevel"/>
    <w:tmpl w:val="5DAADC2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7314DF7"/>
    <w:multiLevelType w:val="hybridMultilevel"/>
    <w:tmpl w:val="0AD4CC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391164"/>
    <w:multiLevelType w:val="hybridMultilevel"/>
    <w:tmpl w:val="207472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D040C7"/>
    <w:multiLevelType w:val="hybridMultilevel"/>
    <w:tmpl w:val="96F0091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34D6CF4"/>
    <w:multiLevelType w:val="hybridMultilevel"/>
    <w:tmpl w:val="2B34F042"/>
    <w:lvl w:ilvl="0" w:tplc="738664F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AB01DC9"/>
    <w:multiLevelType w:val="hybridMultilevel"/>
    <w:tmpl w:val="BF7EBD4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7B"/>
    <w:rsid w:val="00000C9C"/>
    <w:rsid w:val="00002886"/>
    <w:rsid w:val="00007942"/>
    <w:rsid w:val="000105CC"/>
    <w:rsid w:val="000106A3"/>
    <w:rsid w:val="00023C38"/>
    <w:rsid w:val="00024BAF"/>
    <w:rsid w:val="0002744A"/>
    <w:rsid w:val="00030520"/>
    <w:rsid w:val="000340F3"/>
    <w:rsid w:val="00034B0F"/>
    <w:rsid w:val="00034CAE"/>
    <w:rsid w:val="000415D9"/>
    <w:rsid w:val="00044F44"/>
    <w:rsid w:val="00045041"/>
    <w:rsid w:val="00045F13"/>
    <w:rsid w:val="00052F9D"/>
    <w:rsid w:val="000543A2"/>
    <w:rsid w:val="000559E1"/>
    <w:rsid w:val="000576D5"/>
    <w:rsid w:val="00062E12"/>
    <w:rsid w:val="000665ED"/>
    <w:rsid w:val="00074ABB"/>
    <w:rsid w:val="000820F0"/>
    <w:rsid w:val="00084C37"/>
    <w:rsid w:val="000863CC"/>
    <w:rsid w:val="00093860"/>
    <w:rsid w:val="00094A72"/>
    <w:rsid w:val="000A226A"/>
    <w:rsid w:val="000A2B88"/>
    <w:rsid w:val="000C2015"/>
    <w:rsid w:val="000C5615"/>
    <w:rsid w:val="000C5FEF"/>
    <w:rsid w:val="000D65F1"/>
    <w:rsid w:val="000E1357"/>
    <w:rsid w:val="000E2FE2"/>
    <w:rsid w:val="000E3575"/>
    <w:rsid w:val="000F4839"/>
    <w:rsid w:val="000F61A6"/>
    <w:rsid w:val="000F7948"/>
    <w:rsid w:val="0010150D"/>
    <w:rsid w:val="001107DE"/>
    <w:rsid w:val="00114616"/>
    <w:rsid w:val="0011581B"/>
    <w:rsid w:val="001167B6"/>
    <w:rsid w:val="001175DE"/>
    <w:rsid w:val="001178C1"/>
    <w:rsid w:val="00117F9B"/>
    <w:rsid w:val="00130C4F"/>
    <w:rsid w:val="00131597"/>
    <w:rsid w:val="0013385B"/>
    <w:rsid w:val="001436B4"/>
    <w:rsid w:val="00143B1E"/>
    <w:rsid w:val="001456B7"/>
    <w:rsid w:val="00150F1A"/>
    <w:rsid w:val="001524D6"/>
    <w:rsid w:val="00153C50"/>
    <w:rsid w:val="0017107C"/>
    <w:rsid w:val="00174919"/>
    <w:rsid w:val="00180F86"/>
    <w:rsid w:val="00184AC8"/>
    <w:rsid w:val="00187885"/>
    <w:rsid w:val="00187F81"/>
    <w:rsid w:val="0019233C"/>
    <w:rsid w:val="001926BE"/>
    <w:rsid w:val="001A0775"/>
    <w:rsid w:val="001A3419"/>
    <w:rsid w:val="001A3581"/>
    <w:rsid w:val="001A4D63"/>
    <w:rsid w:val="001A7E3A"/>
    <w:rsid w:val="001B282D"/>
    <w:rsid w:val="001B7C78"/>
    <w:rsid w:val="001C1EC9"/>
    <w:rsid w:val="001C483B"/>
    <w:rsid w:val="001C7E04"/>
    <w:rsid w:val="001D013F"/>
    <w:rsid w:val="001D548D"/>
    <w:rsid w:val="001D7545"/>
    <w:rsid w:val="001D7E9B"/>
    <w:rsid w:val="001E282C"/>
    <w:rsid w:val="001E5285"/>
    <w:rsid w:val="001E5E10"/>
    <w:rsid w:val="001F1193"/>
    <w:rsid w:val="001F12D5"/>
    <w:rsid w:val="001F20E7"/>
    <w:rsid w:val="001F2459"/>
    <w:rsid w:val="001F6BF6"/>
    <w:rsid w:val="001F7001"/>
    <w:rsid w:val="001F72E0"/>
    <w:rsid w:val="00200453"/>
    <w:rsid w:val="00213AF6"/>
    <w:rsid w:val="00214399"/>
    <w:rsid w:val="002206CC"/>
    <w:rsid w:val="00220FD2"/>
    <w:rsid w:val="002210E9"/>
    <w:rsid w:val="0022120D"/>
    <w:rsid w:val="00222C35"/>
    <w:rsid w:val="00224121"/>
    <w:rsid w:val="00225C05"/>
    <w:rsid w:val="0022645C"/>
    <w:rsid w:val="002310A9"/>
    <w:rsid w:val="00242638"/>
    <w:rsid w:val="00247CCD"/>
    <w:rsid w:val="00250028"/>
    <w:rsid w:val="002512AB"/>
    <w:rsid w:val="00257EE0"/>
    <w:rsid w:val="00261EF3"/>
    <w:rsid w:val="0026370C"/>
    <w:rsid w:val="00264F5C"/>
    <w:rsid w:val="00270371"/>
    <w:rsid w:val="00270FAE"/>
    <w:rsid w:val="00271BB3"/>
    <w:rsid w:val="00275A29"/>
    <w:rsid w:val="00277710"/>
    <w:rsid w:val="00280F95"/>
    <w:rsid w:val="00283AB7"/>
    <w:rsid w:val="002858A7"/>
    <w:rsid w:val="00285E5D"/>
    <w:rsid w:val="00290A46"/>
    <w:rsid w:val="002917E8"/>
    <w:rsid w:val="00291A12"/>
    <w:rsid w:val="002A0514"/>
    <w:rsid w:val="002B0C04"/>
    <w:rsid w:val="002B1472"/>
    <w:rsid w:val="002B447F"/>
    <w:rsid w:val="002B67C8"/>
    <w:rsid w:val="002C6021"/>
    <w:rsid w:val="002C630C"/>
    <w:rsid w:val="002D4775"/>
    <w:rsid w:val="002D493D"/>
    <w:rsid w:val="002E2EA2"/>
    <w:rsid w:val="002E5D24"/>
    <w:rsid w:val="002F1FD0"/>
    <w:rsid w:val="002F5D45"/>
    <w:rsid w:val="00300CD3"/>
    <w:rsid w:val="00307C91"/>
    <w:rsid w:val="00310FC1"/>
    <w:rsid w:val="00312CCC"/>
    <w:rsid w:val="003166FA"/>
    <w:rsid w:val="00324CA9"/>
    <w:rsid w:val="00325B0F"/>
    <w:rsid w:val="00336EF2"/>
    <w:rsid w:val="00341089"/>
    <w:rsid w:val="00342038"/>
    <w:rsid w:val="003505A0"/>
    <w:rsid w:val="00350855"/>
    <w:rsid w:val="003608CC"/>
    <w:rsid w:val="00361BD5"/>
    <w:rsid w:val="00364ACF"/>
    <w:rsid w:val="003707CA"/>
    <w:rsid w:val="00373EB7"/>
    <w:rsid w:val="00377183"/>
    <w:rsid w:val="00384C96"/>
    <w:rsid w:val="00384DCA"/>
    <w:rsid w:val="003903E1"/>
    <w:rsid w:val="00391E65"/>
    <w:rsid w:val="00394835"/>
    <w:rsid w:val="00397FB3"/>
    <w:rsid w:val="003A0BBD"/>
    <w:rsid w:val="003A30FB"/>
    <w:rsid w:val="003A3C6E"/>
    <w:rsid w:val="003A5F79"/>
    <w:rsid w:val="003A7B5B"/>
    <w:rsid w:val="003B1771"/>
    <w:rsid w:val="003B3C6E"/>
    <w:rsid w:val="003B41AE"/>
    <w:rsid w:val="003B4996"/>
    <w:rsid w:val="003B5A23"/>
    <w:rsid w:val="003C5E66"/>
    <w:rsid w:val="003E5FD2"/>
    <w:rsid w:val="003E6F70"/>
    <w:rsid w:val="003E7DFE"/>
    <w:rsid w:val="003F0684"/>
    <w:rsid w:val="003F3C0D"/>
    <w:rsid w:val="004001AF"/>
    <w:rsid w:val="00403814"/>
    <w:rsid w:val="004053C9"/>
    <w:rsid w:val="00411D0A"/>
    <w:rsid w:val="0041630B"/>
    <w:rsid w:val="00421B3E"/>
    <w:rsid w:val="00424509"/>
    <w:rsid w:val="00424692"/>
    <w:rsid w:val="004263F6"/>
    <w:rsid w:val="0042654E"/>
    <w:rsid w:val="004269D4"/>
    <w:rsid w:val="00426F72"/>
    <w:rsid w:val="00432F53"/>
    <w:rsid w:val="00435063"/>
    <w:rsid w:val="004425ED"/>
    <w:rsid w:val="00442AFB"/>
    <w:rsid w:val="00445B92"/>
    <w:rsid w:val="00453527"/>
    <w:rsid w:val="00464071"/>
    <w:rsid w:val="004651A9"/>
    <w:rsid w:val="0047049C"/>
    <w:rsid w:val="00471B1F"/>
    <w:rsid w:val="0047239D"/>
    <w:rsid w:val="0047361B"/>
    <w:rsid w:val="00487464"/>
    <w:rsid w:val="004950F7"/>
    <w:rsid w:val="00495789"/>
    <w:rsid w:val="00496CD0"/>
    <w:rsid w:val="004A01E9"/>
    <w:rsid w:val="004A03CB"/>
    <w:rsid w:val="004A129E"/>
    <w:rsid w:val="004A1AAA"/>
    <w:rsid w:val="004A423B"/>
    <w:rsid w:val="004B0A76"/>
    <w:rsid w:val="004B5B86"/>
    <w:rsid w:val="004B7318"/>
    <w:rsid w:val="004C29EA"/>
    <w:rsid w:val="004C32B7"/>
    <w:rsid w:val="004C43A6"/>
    <w:rsid w:val="004D0712"/>
    <w:rsid w:val="004D35B9"/>
    <w:rsid w:val="004E3194"/>
    <w:rsid w:val="004F498F"/>
    <w:rsid w:val="00504993"/>
    <w:rsid w:val="005079B3"/>
    <w:rsid w:val="00512997"/>
    <w:rsid w:val="00514D30"/>
    <w:rsid w:val="00523A6C"/>
    <w:rsid w:val="00531D9D"/>
    <w:rsid w:val="005367C0"/>
    <w:rsid w:val="005368AB"/>
    <w:rsid w:val="0054045D"/>
    <w:rsid w:val="005413B8"/>
    <w:rsid w:val="005568E0"/>
    <w:rsid w:val="00560176"/>
    <w:rsid w:val="00571A04"/>
    <w:rsid w:val="005941C2"/>
    <w:rsid w:val="00595F33"/>
    <w:rsid w:val="00596C54"/>
    <w:rsid w:val="00596EE1"/>
    <w:rsid w:val="005A3564"/>
    <w:rsid w:val="005A407B"/>
    <w:rsid w:val="005A4333"/>
    <w:rsid w:val="005B0A84"/>
    <w:rsid w:val="005B3618"/>
    <w:rsid w:val="005B512A"/>
    <w:rsid w:val="005B5F7E"/>
    <w:rsid w:val="005C1E7E"/>
    <w:rsid w:val="005C45C0"/>
    <w:rsid w:val="005C6545"/>
    <w:rsid w:val="005C78AC"/>
    <w:rsid w:val="005D5747"/>
    <w:rsid w:val="005D6013"/>
    <w:rsid w:val="005F0B1C"/>
    <w:rsid w:val="005F6E83"/>
    <w:rsid w:val="005F7D47"/>
    <w:rsid w:val="0060140A"/>
    <w:rsid w:val="0060150F"/>
    <w:rsid w:val="00610200"/>
    <w:rsid w:val="006123A2"/>
    <w:rsid w:val="00612EEF"/>
    <w:rsid w:val="006206C7"/>
    <w:rsid w:val="006207D5"/>
    <w:rsid w:val="0062625F"/>
    <w:rsid w:val="0062727F"/>
    <w:rsid w:val="006331EA"/>
    <w:rsid w:val="006503F6"/>
    <w:rsid w:val="006510A6"/>
    <w:rsid w:val="006549FC"/>
    <w:rsid w:val="006564CB"/>
    <w:rsid w:val="0066032E"/>
    <w:rsid w:val="00661F55"/>
    <w:rsid w:val="00667479"/>
    <w:rsid w:val="006774CE"/>
    <w:rsid w:val="00680A12"/>
    <w:rsid w:val="00685E26"/>
    <w:rsid w:val="00687B16"/>
    <w:rsid w:val="006947E5"/>
    <w:rsid w:val="00696143"/>
    <w:rsid w:val="0069792D"/>
    <w:rsid w:val="006A18DE"/>
    <w:rsid w:val="006B103E"/>
    <w:rsid w:val="006B272B"/>
    <w:rsid w:val="006C1CAD"/>
    <w:rsid w:val="006C684E"/>
    <w:rsid w:val="006C689D"/>
    <w:rsid w:val="006D128A"/>
    <w:rsid w:val="006D1FF8"/>
    <w:rsid w:val="006D4231"/>
    <w:rsid w:val="006D586D"/>
    <w:rsid w:val="006E52F7"/>
    <w:rsid w:val="006F1CC3"/>
    <w:rsid w:val="006F2F1C"/>
    <w:rsid w:val="006F5013"/>
    <w:rsid w:val="006F736D"/>
    <w:rsid w:val="007029A9"/>
    <w:rsid w:val="0070455F"/>
    <w:rsid w:val="0071036B"/>
    <w:rsid w:val="00716900"/>
    <w:rsid w:val="0072109F"/>
    <w:rsid w:val="00721CDF"/>
    <w:rsid w:val="00724F7C"/>
    <w:rsid w:val="007260EB"/>
    <w:rsid w:val="0073222E"/>
    <w:rsid w:val="00733122"/>
    <w:rsid w:val="00733431"/>
    <w:rsid w:val="00733506"/>
    <w:rsid w:val="00734AA7"/>
    <w:rsid w:val="00734AC2"/>
    <w:rsid w:val="0074084F"/>
    <w:rsid w:val="00743907"/>
    <w:rsid w:val="00744B7B"/>
    <w:rsid w:val="0076211D"/>
    <w:rsid w:val="0077046E"/>
    <w:rsid w:val="00774FC1"/>
    <w:rsid w:val="00781971"/>
    <w:rsid w:val="00782C0F"/>
    <w:rsid w:val="0078580E"/>
    <w:rsid w:val="0078712E"/>
    <w:rsid w:val="00791F6F"/>
    <w:rsid w:val="00794718"/>
    <w:rsid w:val="007A15C0"/>
    <w:rsid w:val="007A223E"/>
    <w:rsid w:val="007A3097"/>
    <w:rsid w:val="007A476A"/>
    <w:rsid w:val="007A5D3B"/>
    <w:rsid w:val="007B1B39"/>
    <w:rsid w:val="007B5B44"/>
    <w:rsid w:val="007C0A3E"/>
    <w:rsid w:val="007C2CAE"/>
    <w:rsid w:val="007C5DB5"/>
    <w:rsid w:val="007C5F81"/>
    <w:rsid w:val="007C7CC6"/>
    <w:rsid w:val="007D215F"/>
    <w:rsid w:val="007E0F57"/>
    <w:rsid w:val="007E1FA8"/>
    <w:rsid w:val="007E220A"/>
    <w:rsid w:val="007E6153"/>
    <w:rsid w:val="007F407C"/>
    <w:rsid w:val="00802573"/>
    <w:rsid w:val="00804CEC"/>
    <w:rsid w:val="00813A91"/>
    <w:rsid w:val="00814626"/>
    <w:rsid w:val="00822C5B"/>
    <w:rsid w:val="00823E50"/>
    <w:rsid w:val="008270BC"/>
    <w:rsid w:val="008276FB"/>
    <w:rsid w:val="00830CF8"/>
    <w:rsid w:val="00831F23"/>
    <w:rsid w:val="00833762"/>
    <w:rsid w:val="0084212D"/>
    <w:rsid w:val="00843D1A"/>
    <w:rsid w:val="0084631F"/>
    <w:rsid w:val="0085236C"/>
    <w:rsid w:val="00853D71"/>
    <w:rsid w:val="00857839"/>
    <w:rsid w:val="00860FC0"/>
    <w:rsid w:val="008610C0"/>
    <w:rsid w:val="00862DDD"/>
    <w:rsid w:val="008641C3"/>
    <w:rsid w:val="00872B88"/>
    <w:rsid w:val="008745BC"/>
    <w:rsid w:val="008853F1"/>
    <w:rsid w:val="00886B97"/>
    <w:rsid w:val="00887657"/>
    <w:rsid w:val="008957C0"/>
    <w:rsid w:val="00897CD6"/>
    <w:rsid w:val="008A62FF"/>
    <w:rsid w:val="008A7AFB"/>
    <w:rsid w:val="008B2295"/>
    <w:rsid w:val="008B4AEF"/>
    <w:rsid w:val="008C02F0"/>
    <w:rsid w:val="008C1299"/>
    <w:rsid w:val="008C30D0"/>
    <w:rsid w:val="008C421B"/>
    <w:rsid w:val="008C4D29"/>
    <w:rsid w:val="008D23C2"/>
    <w:rsid w:val="008E036B"/>
    <w:rsid w:val="008E0A0F"/>
    <w:rsid w:val="008E21C9"/>
    <w:rsid w:val="008F3DC9"/>
    <w:rsid w:val="008F3E4C"/>
    <w:rsid w:val="008F5544"/>
    <w:rsid w:val="00900FB2"/>
    <w:rsid w:val="0090717E"/>
    <w:rsid w:val="0091003B"/>
    <w:rsid w:val="00910DF7"/>
    <w:rsid w:val="009111BC"/>
    <w:rsid w:val="009179AA"/>
    <w:rsid w:val="00920131"/>
    <w:rsid w:val="009217A6"/>
    <w:rsid w:val="0092303E"/>
    <w:rsid w:val="00926076"/>
    <w:rsid w:val="00930D4B"/>
    <w:rsid w:val="00931E90"/>
    <w:rsid w:val="009336B5"/>
    <w:rsid w:val="00935F31"/>
    <w:rsid w:val="009417E7"/>
    <w:rsid w:val="009420EF"/>
    <w:rsid w:val="0094223C"/>
    <w:rsid w:val="009423B6"/>
    <w:rsid w:val="00942C54"/>
    <w:rsid w:val="00942D70"/>
    <w:rsid w:val="009432E1"/>
    <w:rsid w:val="00954BDD"/>
    <w:rsid w:val="009551DE"/>
    <w:rsid w:val="009667EE"/>
    <w:rsid w:val="00973843"/>
    <w:rsid w:val="0097529B"/>
    <w:rsid w:val="0097594A"/>
    <w:rsid w:val="00980ADD"/>
    <w:rsid w:val="00982692"/>
    <w:rsid w:val="00994648"/>
    <w:rsid w:val="00994EBD"/>
    <w:rsid w:val="009A3FF1"/>
    <w:rsid w:val="009B1547"/>
    <w:rsid w:val="009B7553"/>
    <w:rsid w:val="009B77C0"/>
    <w:rsid w:val="009C0FCC"/>
    <w:rsid w:val="009D00DB"/>
    <w:rsid w:val="009D290C"/>
    <w:rsid w:val="009D7107"/>
    <w:rsid w:val="009D7B7D"/>
    <w:rsid w:val="009D7E94"/>
    <w:rsid w:val="009F5E8F"/>
    <w:rsid w:val="00A004D9"/>
    <w:rsid w:val="00A017AF"/>
    <w:rsid w:val="00A044AA"/>
    <w:rsid w:val="00A04EA7"/>
    <w:rsid w:val="00A06416"/>
    <w:rsid w:val="00A072E8"/>
    <w:rsid w:val="00A15326"/>
    <w:rsid w:val="00A17616"/>
    <w:rsid w:val="00A234D4"/>
    <w:rsid w:val="00A25D51"/>
    <w:rsid w:val="00A37340"/>
    <w:rsid w:val="00A47DA6"/>
    <w:rsid w:val="00A51891"/>
    <w:rsid w:val="00A7338B"/>
    <w:rsid w:val="00A771E5"/>
    <w:rsid w:val="00A80A23"/>
    <w:rsid w:val="00A816AE"/>
    <w:rsid w:val="00A866D6"/>
    <w:rsid w:val="00A90C62"/>
    <w:rsid w:val="00A95733"/>
    <w:rsid w:val="00A9615E"/>
    <w:rsid w:val="00A971CC"/>
    <w:rsid w:val="00AA46D3"/>
    <w:rsid w:val="00AB0625"/>
    <w:rsid w:val="00AB4487"/>
    <w:rsid w:val="00AC523D"/>
    <w:rsid w:val="00AD6224"/>
    <w:rsid w:val="00AD6A9D"/>
    <w:rsid w:val="00AF2907"/>
    <w:rsid w:val="00AF4E10"/>
    <w:rsid w:val="00AF51AC"/>
    <w:rsid w:val="00B01290"/>
    <w:rsid w:val="00B02FE6"/>
    <w:rsid w:val="00B05B7F"/>
    <w:rsid w:val="00B06D0F"/>
    <w:rsid w:val="00B07A86"/>
    <w:rsid w:val="00B138DE"/>
    <w:rsid w:val="00B1420F"/>
    <w:rsid w:val="00B15E51"/>
    <w:rsid w:val="00B17EE5"/>
    <w:rsid w:val="00B17EF5"/>
    <w:rsid w:val="00B20E12"/>
    <w:rsid w:val="00B20E89"/>
    <w:rsid w:val="00B21192"/>
    <w:rsid w:val="00B272DD"/>
    <w:rsid w:val="00B30BFA"/>
    <w:rsid w:val="00B32404"/>
    <w:rsid w:val="00B428FD"/>
    <w:rsid w:val="00B469E2"/>
    <w:rsid w:val="00B4702E"/>
    <w:rsid w:val="00B478EA"/>
    <w:rsid w:val="00B53897"/>
    <w:rsid w:val="00B53C16"/>
    <w:rsid w:val="00B54F9D"/>
    <w:rsid w:val="00B572A7"/>
    <w:rsid w:val="00B60AFE"/>
    <w:rsid w:val="00B63184"/>
    <w:rsid w:val="00B6587E"/>
    <w:rsid w:val="00B67B5A"/>
    <w:rsid w:val="00B71377"/>
    <w:rsid w:val="00B75D9F"/>
    <w:rsid w:val="00B768DA"/>
    <w:rsid w:val="00B8008B"/>
    <w:rsid w:val="00B80F5F"/>
    <w:rsid w:val="00B816BD"/>
    <w:rsid w:val="00B82EC6"/>
    <w:rsid w:val="00B844B9"/>
    <w:rsid w:val="00B85A82"/>
    <w:rsid w:val="00B870FC"/>
    <w:rsid w:val="00B87595"/>
    <w:rsid w:val="00B979E5"/>
    <w:rsid w:val="00BA24F2"/>
    <w:rsid w:val="00BA6367"/>
    <w:rsid w:val="00BB5192"/>
    <w:rsid w:val="00BB73A0"/>
    <w:rsid w:val="00BC361F"/>
    <w:rsid w:val="00BC43CD"/>
    <w:rsid w:val="00BC6C30"/>
    <w:rsid w:val="00BD0C00"/>
    <w:rsid w:val="00BD0C50"/>
    <w:rsid w:val="00BD21CE"/>
    <w:rsid w:val="00BD4FC0"/>
    <w:rsid w:val="00BD6126"/>
    <w:rsid w:val="00BE2531"/>
    <w:rsid w:val="00BE672F"/>
    <w:rsid w:val="00BF35C5"/>
    <w:rsid w:val="00BF74BB"/>
    <w:rsid w:val="00BF7A3E"/>
    <w:rsid w:val="00C02C6B"/>
    <w:rsid w:val="00C037A6"/>
    <w:rsid w:val="00C03BC1"/>
    <w:rsid w:val="00C1151C"/>
    <w:rsid w:val="00C11A12"/>
    <w:rsid w:val="00C12D3C"/>
    <w:rsid w:val="00C12D86"/>
    <w:rsid w:val="00C15983"/>
    <w:rsid w:val="00C1654B"/>
    <w:rsid w:val="00C168E2"/>
    <w:rsid w:val="00C20260"/>
    <w:rsid w:val="00C203E5"/>
    <w:rsid w:val="00C20992"/>
    <w:rsid w:val="00C24199"/>
    <w:rsid w:val="00C27012"/>
    <w:rsid w:val="00C32A42"/>
    <w:rsid w:val="00C35B7D"/>
    <w:rsid w:val="00C36210"/>
    <w:rsid w:val="00C3671E"/>
    <w:rsid w:val="00C42211"/>
    <w:rsid w:val="00C426FB"/>
    <w:rsid w:val="00C57B3C"/>
    <w:rsid w:val="00C650A3"/>
    <w:rsid w:val="00C653E9"/>
    <w:rsid w:val="00C66C2D"/>
    <w:rsid w:val="00C67C02"/>
    <w:rsid w:val="00C7085E"/>
    <w:rsid w:val="00C723C4"/>
    <w:rsid w:val="00C755B2"/>
    <w:rsid w:val="00C82284"/>
    <w:rsid w:val="00C86BE2"/>
    <w:rsid w:val="00C91A75"/>
    <w:rsid w:val="00C930AE"/>
    <w:rsid w:val="00CA41C7"/>
    <w:rsid w:val="00CA5550"/>
    <w:rsid w:val="00CA58AA"/>
    <w:rsid w:val="00CA7FBB"/>
    <w:rsid w:val="00CB1D14"/>
    <w:rsid w:val="00CB28B3"/>
    <w:rsid w:val="00CB391C"/>
    <w:rsid w:val="00CC35E6"/>
    <w:rsid w:val="00CC7305"/>
    <w:rsid w:val="00CD06E0"/>
    <w:rsid w:val="00CD480B"/>
    <w:rsid w:val="00CE3D39"/>
    <w:rsid w:val="00CF092D"/>
    <w:rsid w:val="00CF2152"/>
    <w:rsid w:val="00CF30B4"/>
    <w:rsid w:val="00CF49EF"/>
    <w:rsid w:val="00CF5240"/>
    <w:rsid w:val="00CF68EA"/>
    <w:rsid w:val="00D048C6"/>
    <w:rsid w:val="00D05CD5"/>
    <w:rsid w:val="00D0764F"/>
    <w:rsid w:val="00D106BF"/>
    <w:rsid w:val="00D13B4C"/>
    <w:rsid w:val="00D16E8A"/>
    <w:rsid w:val="00D17178"/>
    <w:rsid w:val="00D200E8"/>
    <w:rsid w:val="00D2050C"/>
    <w:rsid w:val="00D25FA3"/>
    <w:rsid w:val="00D26C5C"/>
    <w:rsid w:val="00D3012C"/>
    <w:rsid w:val="00D30C8A"/>
    <w:rsid w:val="00D32FE9"/>
    <w:rsid w:val="00D33D5A"/>
    <w:rsid w:val="00D33F66"/>
    <w:rsid w:val="00D34E2C"/>
    <w:rsid w:val="00D378C6"/>
    <w:rsid w:val="00D40380"/>
    <w:rsid w:val="00D40BA9"/>
    <w:rsid w:val="00D4155F"/>
    <w:rsid w:val="00D4266A"/>
    <w:rsid w:val="00D452D1"/>
    <w:rsid w:val="00D45F9B"/>
    <w:rsid w:val="00D46A78"/>
    <w:rsid w:val="00D503B2"/>
    <w:rsid w:val="00D608EE"/>
    <w:rsid w:val="00D627E4"/>
    <w:rsid w:val="00D708AD"/>
    <w:rsid w:val="00D76CF3"/>
    <w:rsid w:val="00D776FE"/>
    <w:rsid w:val="00D93A46"/>
    <w:rsid w:val="00D94D6B"/>
    <w:rsid w:val="00D97729"/>
    <w:rsid w:val="00DA7B5F"/>
    <w:rsid w:val="00DB501D"/>
    <w:rsid w:val="00DC0430"/>
    <w:rsid w:val="00DC1DA0"/>
    <w:rsid w:val="00DC358B"/>
    <w:rsid w:val="00DC7F5B"/>
    <w:rsid w:val="00DD106E"/>
    <w:rsid w:val="00DD404D"/>
    <w:rsid w:val="00DD40AA"/>
    <w:rsid w:val="00DD6134"/>
    <w:rsid w:val="00DE1BFB"/>
    <w:rsid w:val="00DE4EB1"/>
    <w:rsid w:val="00DF10D2"/>
    <w:rsid w:val="00DF7B63"/>
    <w:rsid w:val="00E02473"/>
    <w:rsid w:val="00E064DC"/>
    <w:rsid w:val="00E11334"/>
    <w:rsid w:val="00E115AD"/>
    <w:rsid w:val="00E21659"/>
    <w:rsid w:val="00E2250C"/>
    <w:rsid w:val="00E30796"/>
    <w:rsid w:val="00E33581"/>
    <w:rsid w:val="00E34A18"/>
    <w:rsid w:val="00E36233"/>
    <w:rsid w:val="00E46FCD"/>
    <w:rsid w:val="00E52791"/>
    <w:rsid w:val="00E637FD"/>
    <w:rsid w:val="00E64C27"/>
    <w:rsid w:val="00E66759"/>
    <w:rsid w:val="00E7412D"/>
    <w:rsid w:val="00E819E6"/>
    <w:rsid w:val="00E83E50"/>
    <w:rsid w:val="00E85B6F"/>
    <w:rsid w:val="00E9395C"/>
    <w:rsid w:val="00E94568"/>
    <w:rsid w:val="00E9791E"/>
    <w:rsid w:val="00EA0A6A"/>
    <w:rsid w:val="00EA16D3"/>
    <w:rsid w:val="00EA3C56"/>
    <w:rsid w:val="00EA4126"/>
    <w:rsid w:val="00EA64B2"/>
    <w:rsid w:val="00EB61DB"/>
    <w:rsid w:val="00EB6A43"/>
    <w:rsid w:val="00EB721D"/>
    <w:rsid w:val="00EC798D"/>
    <w:rsid w:val="00ED03AD"/>
    <w:rsid w:val="00ED0E05"/>
    <w:rsid w:val="00ED10A2"/>
    <w:rsid w:val="00ED3D15"/>
    <w:rsid w:val="00ED4B32"/>
    <w:rsid w:val="00ED58C3"/>
    <w:rsid w:val="00ED6DB0"/>
    <w:rsid w:val="00EE7E47"/>
    <w:rsid w:val="00EF7F4B"/>
    <w:rsid w:val="00F01DBD"/>
    <w:rsid w:val="00F04BD8"/>
    <w:rsid w:val="00F12589"/>
    <w:rsid w:val="00F2017D"/>
    <w:rsid w:val="00F205FF"/>
    <w:rsid w:val="00F22FE2"/>
    <w:rsid w:val="00F374D8"/>
    <w:rsid w:val="00F430CD"/>
    <w:rsid w:val="00F43ADE"/>
    <w:rsid w:val="00F46828"/>
    <w:rsid w:val="00F47122"/>
    <w:rsid w:val="00F533F6"/>
    <w:rsid w:val="00F56ED5"/>
    <w:rsid w:val="00F607D1"/>
    <w:rsid w:val="00F61D6C"/>
    <w:rsid w:val="00F64238"/>
    <w:rsid w:val="00F642BA"/>
    <w:rsid w:val="00F66065"/>
    <w:rsid w:val="00F7040E"/>
    <w:rsid w:val="00F716D1"/>
    <w:rsid w:val="00F76D51"/>
    <w:rsid w:val="00F81C0D"/>
    <w:rsid w:val="00F851BC"/>
    <w:rsid w:val="00F87694"/>
    <w:rsid w:val="00F87AA8"/>
    <w:rsid w:val="00F903B4"/>
    <w:rsid w:val="00F96DC0"/>
    <w:rsid w:val="00FA78A7"/>
    <w:rsid w:val="00FB6EE2"/>
    <w:rsid w:val="00FC4692"/>
    <w:rsid w:val="00FC70FF"/>
    <w:rsid w:val="00FD776C"/>
    <w:rsid w:val="00FE215C"/>
    <w:rsid w:val="00FE3635"/>
    <w:rsid w:val="00FE727D"/>
    <w:rsid w:val="00FF2DDB"/>
    <w:rsid w:val="00FF4682"/>
    <w:rsid w:val="00FF62B2"/>
    <w:rsid w:val="00FF6E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BC23"/>
  <w15:chartTrackingRefBased/>
  <w15:docId w15:val="{3C23400A-66B7-43CA-8747-60D70E39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25C05"/>
    <w:pPr>
      <w:spacing w:after="0" w:line="240" w:lineRule="auto"/>
    </w:pPr>
    <w:rPr>
      <w:rFonts w:ascii="Times New Roman" w:eastAsia="Times New Roman" w:hAnsi="Times New Roman" w:cs="Times New Roman"/>
      <w:szCs w:val="18"/>
    </w:rPr>
  </w:style>
  <w:style w:type="character" w:customStyle="1" w:styleId="BalloonTextChar">
    <w:name w:val="Balloon Text Char"/>
    <w:basedOn w:val="DefaultParagraphFont"/>
    <w:link w:val="BalloonText"/>
    <w:uiPriority w:val="99"/>
    <w:rsid w:val="00225C05"/>
    <w:rPr>
      <w:rFonts w:ascii="Times New Roman" w:eastAsia="Times New Roman" w:hAnsi="Times New Roman" w:cs="Times New Roman"/>
      <w:szCs w:val="18"/>
    </w:rPr>
  </w:style>
  <w:style w:type="paragraph" w:styleId="FootnoteText">
    <w:name w:val="footnote text"/>
    <w:basedOn w:val="Normal"/>
    <w:link w:val="FootnoteTextChar"/>
    <w:unhideWhenUsed/>
    <w:rsid w:val="0062727F"/>
    <w:pPr>
      <w:spacing w:after="0" w:line="240" w:lineRule="auto"/>
    </w:pPr>
    <w:rPr>
      <w:sz w:val="20"/>
      <w:szCs w:val="20"/>
    </w:rPr>
  </w:style>
  <w:style w:type="character" w:customStyle="1" w:styleId="FootnoteTextChar">
    <w:name w:val="Footnote Text Char"/>
    <w:basedOn w:val="DefaultParagraphFont"/>
    <w:link w:val="FootnoteText"/>
    <w:rsid w:val="0062727F"/>
    <w:rPr>
      <w:sz w:val="20"/>
      <w:szCs w:val="20"/>
    </w:rPr>
  </w:style>
  <w:style w:type="character" w:styleId="FootnoteReference">
    <w:name w:val="footnote reference"/>
    <w:basedOn w:val="DefaultParagraphFont"/>
    <w:unhideWhenUsed/>
    <w:rsid w:val="0062727F"/>
    <w:rPr>
      <w:vertAlign w:val="superscript"/>
    </w:rPr>
  </w:style>
  <w:style w:type="character" w:styleId="Hyperlink">
    <w:name w:val="Hyperlink"/>
    <w:basedOn w:val="DefaultParagraphFont"/>
    <w:unhideWhenUsed/>
    <w:rsid w:val="0062727F"/>
    <w:rPr>
      <w:color w:val="0563C1" w:themeColor="hyperlink"/>
      <w:u w:val="single"/>
    </w:rPr>
  </w:style>
  <w:style w:type="character" w:styleId="UnresolvedMention">
    <w:name w:val="Unresolved Mention"/>
    <w:basedOn w:val="DefaultParagraphFont"/>
    <w:uiPriority w:val="99"/>
    <w:semiHidden/>
    <w:unhideWhenUsed/>
    <w:rsid w:val="0062727F"/>
    <w:rPr>
      <w:color w:val="605E5C"/>
      <w:shd w:val="clear" w:color="auto" w:fill="E1DFDD"/>
    </w:rPr>
  </w:style>
  <w:style w:type="table" w:styleId="TableGrid">
    <w:name w:val="Table Grid"/>
    <w:basedOn w:val="TableNormal"/>
    <w:rsid w:val="0062727F"/>
    <w:pPr>
      <w:spacing w:after="0" w:line="240" w:lineRule="auto"/>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C421B"/>
    <w:rPr>
      <w:sz w:val="16"/>
      <w:szCs w:val="16"/>
    </w:rPr>
  </w:style>
  <w:style w:type="paragraph" w:styleId="CommentText">
    <w:name w:val="annotation text"/>
    <w:basedOn w:val="Normal"/>
    <w:link w:val="CommentTextChar"/>
    <w:unhideWhenUsed/>
    <w:rsid w:val="008C421B"/>
    <w:pPr>
      <w:spacing w:line="240" w:lineRule="auto"/>
    </w:pPr>
    <w:rPr>
      <w:sz w:val="20"/>
      <w:szCs w:val="20"/>
    </w:rPr>
  </w:style>
  <w:style w:type="character" w:customStyle="1" w:styleId="CommentTextChar">
    <w:name w:val="Comment Text Char"/>
    <w:basedOn w:val="DefaultParagraphFont"/>
    <w:link w:val="CommentText"/>
    <w:rsid w:val="008C421B"/>
    <w:rPr>
      <w:sz w:val="20"/>
      <w:szCs w:val="20"/>
    </w:rPr>
  </w:style>
  <w:style w:type="paragraph" w:styleId="CommentSubject">
    <w:name w:val="annotation subject"/>
    <w:basedOn w:val="CommentText"/>
    <w:next w:val="CommentText"/>
    <w:link w:val="CommentSubjectChar"/>
    <w:uiPriority w:val="99"/>
    <w:semiHidden/>
    <w:unhideWhenUsed/>
    <w:rsid w:val="008C421B"/>
    <w:rPr>
      <w:b/>
      <w:bCs/>
    </w:rPr>
  </w:style>
  <w:style w:type="character" w:customStyle="1" w:styleId="CommentSubjectChar">
    <w:name w:val="Comment Subject Char"/>
    <w:basedOn w:val="CommentTextChar"/>
    <w:link w:val="CommentSubject"/>
    <w:uiPriority w:val="99"/>
    <w:semiHidden/>
    <w:rsid w:val="008C421B"/>
    <w:rPr>
      <w:b/>
      <w:bCs/>
      <w:sz w:val="20"/>
      <w:szCs w:val="20"/>
    </w:rPr>
  </w:style>
  <w:style w:type="paragraph" w:styleId="ListParagraph">
    <w:name w:val="List Paragraph"/>
    <w:basedOn w:val="Normal"/>
    <w:uiPriority w:val="34"/>
    <w:qFormat/>
    <w:rsid w:val="00B979E5"/>
    <w:pPr>
      <w:ind w:left="720"/>
      <w:contextualSpacing/>
    </w:pPr>
  </w:style>
  <w:style w:type="character" w:styleId="PlaceholderText">
    <w:name w:val="Placeholder Text"/>
    <w:basedOn w:val="DefaultParagraphFont"/>
    <w:uiPriority w:val="99"/>
    <w:semiHidden/>
    <w:rsid w:val="008D23C2"/>
    <w:rPr>
      <w:color w:val="808080"/>
    </w:rPr>
  </w:style>
  <w:style w:type="character" w:styleId="FollowedHyperlink">
    <w:name w:val="FollowedHyperlink"/>
    <w:basedOn w:val="DefaultParagraphFont"/>
    <w:uiPriority w:val="99"/>
    <w:semiHidden/>
    <w:unhideWhenUsed/>
    <w:rsid w:val="001C7E04"/>
    <w:rPr>
      <w:color w:val="954F72" w:themeColor="followedHyperlink"/>
      <w:u w:val="single"/>
    </w:rPr>
  </w:style>
  <w:style w:type="paragraph" w:styleId="Caption">
    <w:name w:val="caption"/>
    <w:basedOn w:val="Normal"/>
    <w:next w:val="Normal"/>
    <w:uiPriority w:val="35"/>
    <w:unhideWhenUsed/>
    <w:qFormat/>
    <w:rsid w:val="00D97729"/>
    <w:pPr>
      <w:spacing w:after="200" w:line="240" w:lineRule="auto"/>
      <w:ind w:firstLine="720"/>
      <w:jc w:val="both"/>
    </w:pPr>
    <w:rPr>
      <w:i/>
      <w:iCs/>
      <w:color w:val="44546A" w:themeColor="text2"/>
      <w:sz w:val="18"/>
      <w:szCs w:val="18"/>
    </w:rPr>
  </w:style>
  <w:style w:type="table" w:styleId="GridTable1Light">
    <w:name w:val="Grid Table 1 Light"/>
    <w:basedOn w:val="TableNormal"/>
    <w:uiPriority w:val="46"/>
    <w:rsid w:val="00D9772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v213">
    <w:name w:val="tv213"/>
    <w:basedOn w:val="Normal"/>
    <w:rsid w:val="000A22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2D4775"/>
    <w:pPr>
      <w:spacing w:after="0" w:line="240" w:lineRule="auto"/>
    </w:pPr>
  </w:style>
  <w:style w:type="paragraph" w:styleId="Header">
    <w:name w:val="header"/>
    <w:basedOn w:val="Normal"/>
    <w:link w:val="HeaderChar"/>
    <w:uiPriority w:val="99"/>
    <w:unhideWhenUsed/>
    <w:rsid w:val="004A1A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1AAA"/>
  </w:style>
  <w:style w:type="paragraph" w:styleId="Footer">
    <w:name w:val="footer"/>
    <w:basedOn w:val="Normal"/>
    <w:link w:val="FooterChar"/>
    <w:uiPriority w:val="99"/>
    <w:unhideWhenUsed/>
    <w:rsid w:val="004A1A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1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buvniecibas-nozare-attistiba-strategija-un-petij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m.gov.lv/lv/buvniecibas-nozare-attistiba-strategija-un-petijumi" TargetMode="External"/><Relationship Id="rId2" Type="http://schemas.openxmlformats.org/officeDocument/2006/relationships/hyperlink" Target="https://www.em.gov.lv/lv/buvniecibas-nozare-attistiba-strategija-un-petijumi" TargetMode="External"/><Relationship Id="rId1" Type="http://schemas.openxmlformats.org/officeDocument/2006/relationships/hyperlink" Target="https://www.em.gov.lv/lv/buvniecibas-nozare-attistiba-strategija-un-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783E-1009-4423-924E-284BF7F6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8405</Words>
  <Characters>4792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Gusts Sproģis</dc:creator>
  <cp:keywords/>
  <dc:description/>
  <cp:lastModifiedBy>Inese Biukšāne</cp:lastModifiedBy>
  <cp:revision>37</cp:revision>
  <dcterms:created xsi:type="dcterms:W3CDTF">2022-06-30T10:28:00Z</dcterms:created>
  <dcterms:modified xsi:type="dcterms:W3CDTF">2022-07-13T13:34:00Z</dcterms:modified>
</cp:coreProperties>
</file>