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0243" w14:textId="77777777" w:rsidR="00C62B53" w:rsidRPr="00055E36" w:rsidRDefault="00C62B53" w:rsidP="00C62B53">
      <w:pPr>
        <w:spacing w:before="120" w:after="0" w:line="240" w:lineRule="auto"/>
        <w:jc w:val="right"/>
        <w:rPr>
          <w:rFonts w:ascii="Times New Roman" w:eastAsia="Times New Roman" w:hAnsi="Times New Roman"/>
          <w:sz w:val="24"/>
          <w:szCs w:val="24"/>
          <w:lang w:val="lv-LV"/>
        </w:rPr>
      </w:pPr>
      <w:r w:rsidRPr="00055E36">
        <w:rPr>
          <w:rFonts w:ascii="Times New Roman" w:eastAsia="Times New Roman" w:hAnsi="Times New Roman"/>
          <w:sz w:val="24"/>
          <w:szCs w:val="24"/>
          <w:lang w:val="lv-LV"/>
        </w:rPr>
        <w:t>1. pielikums</w:t>
      </w:r>
    </w:p>
    <w:p w14:paraId="13558B86" w14:textId="77777777" w:rsidR="00C62B53" w:rsidRPr="00055E36" w:rsidRDefault="00C62B53" w:rsidP="00C62B53">
      <w:pPr>
        <w:spacing w:after="0" w:line="240" w:lineRule="auto"/>
        <w:jc w:val="right"/>
        <w:rPr>
          <w:rFonts w:ascii="Times New Roman" w:eastAsia="Times New Roman" w:hAnsi="Times New Roman"/>
          <w:sz w:val="24"/>
          <w:szCs w:val="24"/>
          <w:lang w:val="lv-LV"/>
        </w:rPr>
      </w:pPr>
      <w:r w:rsidRPr="00055E36">
        <w:rPr>
          <w:rFonts w:ascii="Times New Roman" w:eastAsia="Times New Roman" w:hAnsi="Times New Roman"/>
          <w:sz w:val="24"/>
          <w:szCs w:val="24"/>
          <w:lang w:val="lv-LV"/>
        </w:rPr>
        <w:t>Ekonomikas ministrijas</w:t>
      </w:r>
    </w:p>
    <w:p w14:paraId="53D65C96" w14:textId="77777777" w:rsidR="00C62B53" w:rsidRPr="00055E36" w:rsidRDefault="00C62B53" w:rsidP="00C62B53">
      <w:pPr>
        <w:spacing w:after="0" w:line="240" w:lineRule="auto"/>
        <w:jc w:val="right"/>
        <w:rPr>
          <w:rFonts w:ascii="Times New Roman" w:eastAsia="Times New Roman" w:hAnsi="Times New Roman"/>
          <w:sz w:val="24"/>
          <w:szCs w:val="24"/>
          <w:lang w:val="lv-LV"/>
        </w:rPr>
      </w:pPr>
      <w:r w:rsidRPr="0095416A">
        <w:rPr>
          <w:rFonts w:ascii="Times New Roman" w:eastAsia="Times New Roman" w:hAnsi="Times New Roman"/>
          <w:noProof/>
          <w:sz w:val="24"/>
          <w:szCs w:val="24"/>
          <w:lang w:val="lv-LV"/>
        </w:rPr>
        <w:t>Datums skatāms laika zīmogā</w:t>
      </w:r>
      <w:r w:rsidRPr="0095416A">
        <w:rPr>
          <w:rFonts w:ascii="Times New Roman" w:eastAsia="Times New Roman" w:hAnsi="Times New Roman"/>
          <w:sz w:val="24"/>
          <w:szCs w:val="24"/>
          <w:lang w:val="lv-LV"/>
        </w:rPr>
        <w:t>.</w:t>
      </w:r>
    </w:p>
    <w:p w14:paraId="61AAB637" w14:textId="77777777" w:rsidR="00C62B53" w:rsidRPr="00055E36" w:rsidRDefault="00C62B53" w:rsidP="00C62B53">
      <w:pPr>
        <w:spacing w:after="0" w:line="240" w:lineRule="auto"/>
        <w:jc w:val="right"/>
        <w:rPr>
          <w:rFonts w:ascii="Times New Roman" w:eastAsia="Times New Roman" w:hAnsi="Times New Roman"/>
          <w:sz w:val="24"/>
          <w:szCs w:val="24"/>
          <w:lang w:val="lv-LV"/>
        </w:rPr>
      </w:pPr>
      <w:r w:rsidRPr="00055E36">
        <w:rPr>
          <w:rFonts w:ascii="Times New Roman" w:eastAsia="Times New Roman" w:hAnsi="Times New Roman"/>
          <w:sz w:val="24"/>
          <w:szCs w:val="24"/>
          <w:lang w:val="lv-LV"/>
        </w:rPr>
        <w:t xml:space="preserve">Iekšējiem noteikumiem Nr. </w:t>
      </w:r>
      <w:r w:rsidRPr="0095416A">
        <w:rPr>
          <w:rFonts w:ascii="Times New Roman" w:eastAsia="Times New Roman" w:hAnsi="Times New Roman"/>
          <w:noProof/>
          <w:sz w:val="24"/>
          <w:szCs w:val="24"/>
          <w:lang w:val="lv-LV"/>
        </w:rPr>
        <w:t>1-5.2/2022/29</w:t>
      </w:r>
    </w:p>
    <w:p w14:paraId="6D1D4002" w14:textId="77777777" w:rsidR="00C62B53" w:rsidRPr="00055E36" w:rsidRDefault="00C62B53" w:rsidP="00C62B53">
      <w:pPr>
        <w:spacing w:after="0" w:line="240" w:lineRule="auto"/>
        <w:rPr>
          <w:rFonts w:ascii="Times New Roman" w:eastAsia="Times New Roman" w:hAnsi="Times New Roman"/>
          <w:sz w:val="24"/>
          <w:szCs w:val="24"/>
          <w:lang w:val="lv-LV"/>
        </w:rPr>
      </w:pPr>
    </w:p>
    <w:p w14:paraId="162D7960" w14:textId="77777777" w:rsidR="00C62B53" w:rsidRPr="0095416A" w:rsidRDefault="00C62B53" w:rsidP="00C62B53">
      <w:pPr>
        <w:spacing w:after="0" w:line="240" w:lineRule="auto"/>
        <w:jc w:val="center"/>
        <w:rPr>
          <w:rFonts w:ascii="Times New Roman" w:hAnsi="Times New Roman"/>
          <w:b/>
          <w:bCs/>
          <w:sz w:val="28"/>
          <w:szCs w:val="28"/>
          <w:lang w:val="lv-LV"/>
        </w:rPr>
      </w:pPr>
      <w:r w:rsidRPr="0095416A">
        <w:rPr>
          <w:rFonts w:ascii="Times New Roman" w:hAnsi="Times New Roman"/>
          <w:b/>
          <w:bCs/>
          <w:sz w:val="28"/>
          <w:szCs w:val="28"/>
          <w:lang w:val="lv-LV"/>
        </w:rPr>
        <w:t>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pētniecības projektu kritēriju piemērošanas metodika</w:t>
      </w:r>
    </w:p>
    <w:p w14:paraId="69961A09" w14:textId="77777777" w:rsidR="00C62B53" w:rsidRPr="0095416A" w:rsidRDefault="00C62B53" w:rsidP="00C62B53">
      <w:pPr>
        <w:spacing w:after="0" w:line="240" w:lineRule="auto"/>
        <w:rPr>
          <w:rFonts w:ascii="Times New Roman" w:hAnsi="Times New Roman"/>
          <w:b/>
          <w:bCs/>
          <w:sz w:val="28"/>
          <w:szCs w:val="28"/>
          <w:lang w:val="lv-LV"/>
        </w:rPr>
      </w:pPr>
    </w:p>
    <w:p w14:paraId="3E71B405" w14:textId="77777777" w:rsidR="00C62B53" w:rsidRPr="0095416A" w:rsidRDefault="00C62B53" w:rsidP="00C62B53">
      <w:pPr>
        <w:spacing w:after="0" w:line="240" w:lineRule="auto"/>
        <w:jc w:val="center"/>
        <w:rPr>
          <w:rFonts w:ascii="Times New Roman" w:hAnsi="Times New Roman"/>
          <w:b/>
          <w:bCs/>
          <w:sz w:val="28"/>
          <w:szCs w:val="28"/>
          <w:lang w:val="lv-LV"/>
        </w:rPr>
      </w:pPr>
      <w:r w:rsidRPr="0095416A">
        <w:rPr>
          <w:rFonts w:ascii="Times New Roman" w:hAnsi="Times New Roman"/>
          <w:b/>
          <w:bCs/>
          <w:sz w:val="28"/>
          <w:szCs w:val="28"/>
          <w:lang w:val="lv-LV"/>
        </w:rPr>
        <w:t>Vispārīgie nosacījumi pētniecības projekta vērtēšanas kritēriju piemērošanai</w:t>
      </w:r>
    </w:p>
    <w:p w14:paraId="2B13FB1C"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Metodika “Pētniecības projektu kritēriju piemērošanas metodika 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(turpmāk – Investīcijas) īstenošanai” (turpmāk – metodika) nosaka vienotu pētniecības projektu vērtēšanas principus.</w:t>
      </w:r>
    </w:p>
    <w:p w14:paraId="38952C1A"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Metodikas mērķis ir izstrādāt vienotu pieeju pētniecības projektu vērtēšanai Investīcijas ietvaros.</w:t>
      </w:r>
    </w:p>
    <w:p w14:paraId="4DC9AD7F"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Metodikas izstrāde balstās uz Ministru kabineta 2022. gada 5. jūlija noteikumiem Nr. 418 “Latvijas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īstenošanas noteikumi kompetences centru ietvaros” (turpmāk – MK noteikumi).</w:t>
      </w:r>
    </w:p>
    <w:p w14:paraId="4D11C8FD"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Metodika stājas spēkā pēc Ekonomikas ministrijas valsts sekretāra rīkojuma parakstīšanas dienas.</w:t>
      </w:r>
    </w:p>
    <w:p w14:paraId="3E58624F"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Grozījumi </w:t>
      </w:r>
      <w:r w:rsidRPr="0097649E">
        <w:rPr>
          <w:rFonts w:ascii="Times New Roman" w:hAnsi="Times New Roman"/>
          <w:sz w:val="28"/>
          <w:szCs w:val="28"/>
          <w:lang w:val="lv-LV"/>
        </w:rPr>
        <w:t xml:space="preserve">metodikā stājas spēkā Ekonomikas ministrijas valsts sekretāra rīkojuma parakstīšanas dienā, ja tajā nav </w:t>
      </w:r>
      <w:r w:rsidRPr="0095416A">
        <w:rPr>
          <w:rFonts w:ascii="Times New Roman" w:hAnsi="Times New Roman"/>
          <w:sz w:val="28"/>
          <w:szCs w:val="28"/>
          <w:lang w:val="lv-LV"/>
        </w:rPr>
        <w:t>noteikts cits termiņš.</w:t>
      </w:r>
    </w:p>
    <w:p w14:paraId="5FC046B7" w14:textId="77777777" w:rsidR="00C62B53" w:rsidRPr="0095416A" w:rsidRDefault="00C62B53" w:rsidP="00C62B53">
      <w:pPr>
        <w:pStyle w:val="ListParagraph"/>
        <w:spacing w:after="0" w:line="240" w:lineRule="auto"/>
        <w:jc w:val="center"/>
        <w:rPr>
          <w:rFonts w:ascii="Times New Roman" w:hAnsi="Times New Roman"/>
          <w:b/>
          <w:bCs/>
          <w:sz w:val="28"/>
          <w:szCs w:val="28"/>
          <w:lang w:val="lv-LV"/>
        </w:rPr>
      </w:pPr>
    </w:p>
    <w:p w14:paraId="6E65C866" w14:textId="77777777" w:rsidR="00C62B53" w:rsidRPr="0095416A" w:rsidRDefault="00C62B53" w:rsidP="00C62B53">
      <w:pPr>
        <w:pStyle w:val="ListParagraph"/>
        <w:spacing w:after="0" w:line="240" w:lineRule="auto"/>
        <w:jc w:val="center"/>
        <w:rPr>
          <w:rFonts w:ascii="Times New Roman" w:hAnsi="Times New Roman"/>
          <w:b/>
          <w:bCs/>
          <w:sz w:val="28"/>
          <w:szCs w:val="28"/>
          <w:lang w:val="lv-LV"/>
        </w:rPr>
      </w:pPr>
      <w:r w:rsidRPr="0095416A">
        <w:rPr>
          <w:rFonts w:ascii="Times New Roman" w:hAnsi="Times New Roman"/>
          <w:b/>
          <w:bCs/>
          <w:sz w:val="28"/>
          <w:szCs w:val="28"/>
          <w:lang w:val="lv-LV"/>
        </w:rPr>
        <w:t>Pētniecības projektu vērtēšanas kritēriji</w:t>
      </w:r>
    </w:p>
    <w:p w14:paraId="51C5DCCD" w14:textId="77777777" w:rsidR="00C62B53" w:rsidRPr="0097649E"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7649E">
        <w:rPr>
          <w:rFonts w:ascii="Times New Roman" w:hAnsi="Times New Roman"/>
          <w:sz w:val="28"/>
          <w:szCs w:val="28"/>
          <w:lang w:val="lv-LV"/>
        </w:rPr>
        <w:t xml:space="preserve">Kompetences centram, izstrādājot </w:t>
      </w:r>
      <w:r w:rsidRPr="0097649E">
        <w:rPr>
          <w:rFonts w:ascii="Times New Roman" w:hAnsi="Times New Roman"/>
          <w:sz w:val="28"/>
          <w:szCs w:val="28"/>
          <w:shd w:val="clear" w:color="auto" w:fill="FFFFFF"/>
          <w:lang w:val="lv-LV"/>
        </w:rPr>
        <w:t>pētniecības projektu atlases kritērijus, nepieciešams balstīties uz MK noteikumu 2. pielikumu “</w:t>
      </w:r>
      <w:r w:rsidRPr="0097649E">
        <w:rPr>
          <w:rFonts w:ascii="Times New Roman" w:hAnsi="Times New Roman"/>
          <w:sz w:val="28"/>
          <w:szCs w:val="28"/>
          <w:lang w:val="lv-LV"/>
        </w:rPr>
        <w:t>Kompetences centra attīstības stratēģija” minēto informāciju sadaļā “Atbalstāmo projektu atlases principi un kritēriji”.</w:t>
      </w:r>
    </w:p>
    <w:p w14:paraId="2EB4861B"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Katrs kompetences centrs var izstrādāt pētniecības projektu atlases kritērijus atbilstoši viedās specializācijas jomas specifikai, iekļaujot </w:t>
      </w:r>
      <w:r>
        <w:rPr>
          <w:rFonts w:ascii="Times New Roman" w:hAnsi="Times New Roman"/>
          <w:sz w:val="28"/>
          <w:szCs w:val="28"/>
          <w:lang w:val="lv-LV"/>
        </w:rPr>
        <w:t>šīs metodikas</w:t>
      </w:r>
      <w:r w:rsidRPr="0095416A">
        <w:rPr>
          <w:rFonts w:ascii="Times New Roman" w:hAnsi="Times New Roman"/>
          <w:sz w:val="28"/>
          <w:szCs w:val="28"/>
          <w:lang w:val="lv-LV"/>
        </w:rPr>
        <w:t xml:space="preserve"> 11. un 12. punktā minētos kritērijus.</w:t>
      </w:r>
    </w:p>
    <w:p w14:paraId="5E898748"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Katru pētniecības projekta atlases kritēriju iespējams vērtēt </w:t>
      </w:r>
      <w:r>
        <w:rPr>
          <w:rFonts w:ascii="Times New Roman" w:hAnsi="Times New Roman"/>
          <w:sz w:val="28"/>
          <w:szCs w:val="28"/>
          <w:lang w:val="lv-LV"/>
        </w:rPr>
        <w:t>divos</w:t>
      </w:r>
      <w:r w:rsidRPr="0095416A">
        <w:rPr>
          <w:rFonts w:ascii="Times New Roman" w:hAnsi="Times New Roman"/>
          <w:sz w:val="28"/>
          <w:szCs w:val="28"/>
          <w:lang w:val="lv-LV"/>
        </w:rPr>
        <w:t xml:space="preserve"> veidos:</w:t>
      </w:r>
    </w:p>
    <w:p w14:paraId="5D17CE50"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punktu vērtībā;</w:t>
      </w:r>
    </w:p>
    <w:p w14:paraId="7552C83F"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ja kritērijs nav izslēdzošais, tad iespējams vērtēt tā atbilstību ar “jā” vai “nē”.  </w:t>
      </w:r>
    </w:p>
    <w:p w14:paraId="03D91C64"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lastRenderedPageBreak/>
        <w:t>Katram izslēdzošajam kritērijam ir jāparedz minimālais punktu skaits, lai to varētu apstiprināt.</w:t>
      </w:r>
    </w:p>
    <w:p w14:paraId="3B22D36A"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Ja minimālais punktu skaits netiek sasniegts, tad pētniecības projektu noraida, sniedzot rakstisku paskaidrojumu par konkrētu kritēriju neizpildi.</w:t>
      </w:r>
    </w:p>
    <w:p w14:paraId="42154DFE"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Kritēriju vērtēšanā ir jāiekļauj šādus kritērijus:</w:t>
      </w:r>
    </w:p>
    <w:p w14:paraId="465DE3DD"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vai pētniecības projektam ir starptautisks raksturs atbilstoši MK noteikumu 59. pantam;</w:t>
      </w:r>
    </w:p>
    <w:p w14:paraId="1AFB5FEB"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horizontālā principa "Ilgtspējīga attīstība" nodrošināšana, papildu punktus piešķirot pētniecības projektiem par </w:t>
      </w:r>
      <w:proofErr w:type="spellStart"/>
      <w:r w:rsidRPr="0095416A">
        <w:rPr>
          <w:rFonts w:ascii="Times New Roman" w:hAnsi="Times New Roman"/>
          <w:sz w:val="28"/>
          <w:szCs w:val="28"/>
          <w:lang w:val="lv-LV"/>
        </w:rPr>
        <w:t>eko</w:t>
      </w:r>
      <w:proofErr w:type="spellEnd"/>
      <w:r w:rsidRPr="0095416A">
        <w:rPr>
          <w:rFonts w:ascii="Times New Roman" w:hAnsi="Times New Roman"/>
          <w:sz w:val="28"/>
          <w:szCs w:val="28"/>
          <w:lang w:val="lv-LV"/>
        </w:rPr>
        <w:t>-inovatīvu tehnoloģiju attīstību un ieviešanu;</w:t>
      </w:r>
    </w:p>
    <w:p w14:paraId="389B6A8D"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par pētniecības projekta atbilstību viedās specializācijas jomām vai uzņēmējdarbības atklājuma procesā</w:t>
      </w:r>
      <w:r>
        <w:rPr>
          <w:rStyle w:val="FootnoteReference"/>
          <w:rFonts w:ascii="Times New Roman" w:hAnsi="Times New Roman"/>
          <w:sz w:val="28"/>
          <w:szCs w:val="28"/>
          <w:lang w:val="lv-LV"/>
        </w:rPr>
        <w:footnoteReference w:id="1"/>
      </w:r>
      <w:r w:rsidRPr="0095416A">
        <w:rPr>
          <w:rFonts w:ascii="Times New Roman" w:hAnsi="Times New Roman"/>
          <w:sz w:val="28"/>
          <w:szCs w:val="28"/>
          <w:lang w:val="lv-LV"/>
        </w:rPr>
        <w:t xml:space="preserve"> noteiktajai specializācijas jomai vai </w:t>
      </w:r>
      <w:proofErr w:type="spellStart"/>
      <w:r w:rsidRPr="0095416A">
        <w:rPr>
          <w:rFonts w:ascii="Times New Roman" w:hAnsi="Times New Roman"/>
          <w:sz w:val="28"/>
          <w:szCs w:val="28"/>
          <w:lang w:val="lv-LV"/>
        </w:rPr>
        <w:t>apakšjomai</w:t>
      </w:r>
      <w:proofErr w:type="spellEnd"/>
      <w:r w:rsidRPr="0095416A">
        <w:rPr>
          <w:rFonts w:ascii="Times New Roman" w:hAnsi="Times New Roman"/>
          <w:sz w:val="28"/>
          <w:szCs w:val="28"/>
          <w:lang w:val="lv-LV"/>
        </w:rPr>
        <w:t>;</w:t>
      </w:r>
    </w:p>
    <w:p w14:paraId="3D537532"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par pētniecības projekta atbilstību 4.‒8. tehnoloģiskās gatavības līmenim.</w:t>
      </w:r>
    </w:p>
    <w:p w14:paraId="45C3CE10"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Papildus </w:t>
      </w:r>
      <w:r>
        <w:rPr>
          <w:rFonts w:ascii="Times New Roman" w:hAnsi="Times New Roman"/>
          <w:sz w:val="28"/>
          <w:szCs w:val="28"/>
          <w:lang w:val="lv-LV"/>
        </w:rPr>
        <w:t>šīs metodikas</w:t>
      </w:r>
      <w:r w:rsidRPr="0095416A">
        <w:rPr>
          <w:rFonts w:ascii="Times New Roman" w:hAnsi="Times New Roman"/>
          <w:sz w:val="28"/>
          <w:szCs w:val="28"/>
          <w:lang w:val="lv-LV"/>
        </w:rPr>
        <w:t xml:space="preserve"> 11. punktā minētajiem kritērijiem kompetences centrs nosaka kā nepapildināmos kritērijus:</w:t>
      </w:r>
    </w:p>
    <w:p w14:paraId="03C51FEC"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kvalitātes kritērijus;</w:t>
      </w:r>
    </w:p>
    <w:p w14:paraId="3C66479F"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ietekmes kritērijus;</w:t>
      </w:r>
    </w:p>
    <w:p w14:paraId="3AD68304"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izpildes kritērijus;</w:t>
      </w:r>
    </w:p>
    <w:p w14:paraId="526D0BA4"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atbilstību kompetences centra pētniecības virzienam;</w:t>
      </w:r>
    </w:p>
    <w:p w14:paraId="3C646E97"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principa "nenodarīt būtisku kaitējumu"</w:t>
      </w:r>
      <w:r>
        <w:rPr>
          <w:rStyle w:val="FootnoteReference"/>
          <w:rFonts w:ascii="Times New Roman" w:hAnsi="Times New Roman"/>
          <w:sz w:val="28"/>
          <w:szCs w:val="28"/>
          <w:lang w:val="lv-LV"/>
        </w:rPr>
        <w:footnoteReference w:id="2"/>
      </w:r>
      <w:r w:rsidRPr="0095416A">
        <w:rPr>
          <w:rFonts w:ascii="Times New Roman" w:hAnsi="Times New Roman"/>
          <w:sz w:val="28"/>
          <w:szCs w:val="28"/>
          <w:lang w:val="lv-LV"/>
        </w:rPr>
        <w:t>;</w:t>
      </w:r>
    </w:p>
    <w:p w14:paraId="73F372CA"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Šīs metodikas</w:t>
      </w:r>
      <w:r w:rsidRPr="0095416A">
        <w:rPr>
          <w:rFonts w:ascii="Times New Roman" w:hAnsi="Times New Roman"/>
          <w:sz w:val="28"/>
          <w:szCs w:val="28"/>
          <w:lang w:val="lv-LV"/>
        </w:rPr>
        <w:t xml:space="preserve"> 12. punktā minētos kritērijus vērtē punktu vērtībā, skaidrojot katra punkta kritērijus un piešķiršanas iespējas.</w:t>
      </w:r>
    </w:p>
    <w:p w14:paraId="5D87AAB7"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Š</w:t>
      </w:r>
      <w:r>
        <w:rPr>
          <w:rFonts w:ascii="Times New Roman" w:hAnsi="Times New Roman"/>
          <w:sz w:val="28"/>
          <w:szCs w:val="28"/>
          <w:lang w:val="lv-LV"/>
        </w:rPr>
        <w:t>īs metodikas</w:t>
      </w:r>
      <w:r w:rsidRPr="0095416A">
        <w:rPr>
          <w:rFonts w:ascii="Times New Roman" w:hAnsi="Times New Roman"/>
          <w:sz w:val="28"/>
          <w:szCs w:val="28"/>
          <w:lang w:val="lv-LV"/>
        </w:rPr>
        <w:t xml:space="preserve"> 12. punktā minētajiem kritērijiem jānosaka minimālais punktu skaits, ko nesasniedzot pētniecības projekts tiek noraidīts.</w:t>
      </w:r>
    </w:p>
    <w:p w14:paraId="38AD07B9" w14:textId="77777777" w:rsidR="00C62B53" w:rsidRPr="0095416A"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Ja vairākiem pētniecības projektiem ir vienāds punktu skaits, bet pieejamais finansējums nav pietiekošs visu pētniecības projektu apstiprināšanai, tad papildus tiek pielietoti sekojoši principi:</w:t>
      </w:r>
    </w:p>
    <w:p w14:paraId="610E047E"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priekšroka tiek dota pētniecības projektiem, kuros ir paredzēta starpnozaru un/vai starptautiska sadarbība;</w:t>
      </w:r>
    </w:p>
    <w:p w14:paraId="71CF5021"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priekšroka tiek dota pētniecības projektiem par </w:t>
      </w:r>
      <w:proofErr w:type="spellStart"/>
      <w:r w:rsidRPr="0095416A">
        <w:rPr>
          <w:rFonts w:ascii="Times New Roman" w:hAnsi="Times New Roman"/>
          <w:sz w:val="28"/>
          <w:szCs w:val="28"/>
          <w:lang w:val="lv-LV"/>
        </w:rPr>
        <w:t>eko</w:t>
      </w:r>
      <w:proofErr w:type="spellEnd"/>
      <w:r w:rsidRPr="0095416A">
        <w:rPr>
          <w:rFonts w:ascii="Times New Roman" w:hAnsi="Times New Roman"/>
          <w:sz w:val="28"/>
          <w:szCs w:val="28"/>
          <w:lang w:val="lv-LV"/>
        </w:rPr>
        <w:t>-inovatīvu tehnoloģiju attīstību un ieviešanu;</w:t>
      </w:r>
    </w:p>
    <w:p w14:paraId="3941F395"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priekšroka tiek dota pētniecības projektiem, kam ir piešķirts izcilības zīmogs Eiropas Savienības pētniecības un inovāciju programmā "Apvārsnis Eiropa;</w:t>
      </w:r>
    </w:p>
    <w:p w14:paraId="322A5CB1"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tiek vērtēts iesaistīto sadarbības partneru kompetences palielinājums:</w:t>
      </w:r>
    </w:p>
    <w:p w14:paraId="1E32C9AB" w14:textId="77777777" w:rsidR="00C62B53" w:rsidRPr="0095416A" w:rsidRDefault="00C62B53" w:rsidP="00C62B53">
      <w:pPr>
        <w:pStyle w:val="ListParagraph"/>
        <w:widowControl/>
        <w:numPr>
          <w:ilvl w:val="2"/>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kompetences palielinājumu demonstrē lielāks tādu izmaksu īpatsvars, kas ir saistītas ar zināšanu apstrādes, ieguves vai </w:t>
      </w:r>
      <w:r w:rsidRPr="0095416A">
        <w:rPr>
          <w:rFonts w:ascii="Times New Roman" w:hAnsi="Times New Roman"/>
          <w:sz w:val="28"/>
          <w:szCs w:val="28"/>
          <w:lang w:val="lv-LV"/>
        </w:rPr>
        <w:lastRenderedPageBreak/>
        <w:t>veidošanas aktivitātēm pašā uzņēmumā vai ar pētniecības projektu saistītā pētniecības organizācijā;</w:t>
      </w:r>
    </w:p>
    <w:p w14:paraId="1D6F7705"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tiek vērtēts tuvums rezultātam – inovācijai:</w:t>
      </w:r>
    </w:p>
    <w:p w14:paraId="5835C2BF" w14:textId="77777777" w:rsidR="00C62B53" w:rsidRPr="0095416A" w:rsidRDefault="00C62B53" w:rsidP="00C62B53">
      <w:pPr>
        <w:pStyle w:val="ListParagraph"/>
        <w:widowControl/>
        <w:numPr>
          <w:ilvl w:val="2"/>
          <w:numId w:val="1"/>
        </w:numPr>
        <w:spacing w:after="0" w:line="240" w:lineRule="auto"/>
        <w:jc w:val="both"/>
        <w:rPr>
          <w:rFonts w:ascii="Times New Roman" w:hAnsi="Times New Roman"/>
          <w:sz w:val="28"/>
          <w:szCs w:val="28"/>
          <w:lang w:val="lv-LV"/>
        </w:rPr>
      </w:pPr>
      <w:r w:rsidRPr="0095416A">
        <w:rPr>
          <w:rFonts w:ascii="Times New Roman" w:eastAsia="Times New Roman" w:hAnsi="Times New Roman"/>
          <w:color w:val="000000"/>
          <w:sz w:val="28"/>
          <w:szCs w:val="28"/>
          <w:lang w:val="lv-LV"/>
        </w:rPr>
        <w:t>prioritāri atbalsta pētniecības projektu ar augstāku TRL līmeni, vai pēc augstāka eksperimentālās izstrādes izmaksu īpatsvara pret kopējo projekta budžetu;</w:t>
      </w:r>
    </w:p>
    <w:p w14:paraId="217D019D" w14:textId="77777777" w:rsidR="00C62B53" w:rsidRPr="0095416A"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tiek vērtēta spēja sasniegt pozitīvu rezultātu:</w:t>
      </w:r>
    </w:p>
    <w:p w14:paraId="53B3B0E9" w14:textId="77777777" w:rsidR="00C62B53" w:rsidRPr="0095416A" w:rsidRDefault="00C62B53" w:rsidP="00C62B53">
      <w:pPr>
        <w:pStyle w:val="ListParagraph"/>
        <w:widowControl/>
        <w:numPr>
          <w:ilvl w:val="2"/>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pētniecības projektā ir demonstrēta pieeja un uzņēmuma kapacitāte, kas ticami noved pie jaunas tehnoloģijas vai produkta. Jaunu produktu skaits un to potenciālā ietekme uz nozares uzņēmumu Latvijā attiecībā pret pieprasīto finansējumu;</w:t>
      </w:r>
    </w:p>
    <w:p w14:paraId="2F96C26C" w14:textId="77777777" w:rsidR="00C62B53" w:rsidRPr="0095416A" w:rsidRDefault="00C62B53" w:rsidP="00C62B53">
      <w:pPr>
        <w:pStyle w:val="ListParagraph"/>
        <w:widowControl/>
        <w:numPr>
          <w:ilvl w:val="2"/>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iespējami un ticami intelektuālā īpašuma objekti;</w:t>
      </w:r>
    </w:p>
    <w:p w14:paraId="45AD72AA" w14:textId="77777777" w:rsidR="00C62B53" w:rsidRPr="0095416A" w:rsidRDefault="00C62B53" w:rsidP="00C62B53">
      <w:pPr>
        <w:pStyle w:val="ListParagraph"/>
        <w:widowControl/>
        <w:numPr>
          <w:ilvl w:val="2"/>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pētniecības projekta ietvaros radītajam produktam ir pozitīvs eksportspējas potenciāls un/vai ievērojama ietekme uz Latvijas tautsaimniecību (tās transformāciju);</w:t>
      </w:r>
    </w:p>
    <w:p w14:paraId="2A14BDE6" w14:textId="77777777" w:rsidR="00C62B53"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95416A">
        <w:rPr>
          <w:rFonts w:ascii="Times New Roman" w:hAnsi="Times New Roman"/>
          <w:sz w:val="28"/>
          <w:szCs w:val="28"/>
          <w:lang w:val="lv-LV"/>
        </w:rPr>
        <w:t xml:space="preserve">Ja pētniecības projektiem pēc </w:t>
      </w:r>
      <w:r>
        <w:rPr>
          <w:rFonts w:ascii="Times New Roman" w:hAnsi="Times New Roman"/>
          <w:sz w:val="28"/>
          <w:szCs w:val="28"/>
          <w:lang w:val="lv-LV"/>
        </w:rPr>
        <w:t>šīs metodikas</w:t>
      </w:r>
      <w:r w:rsidRPr="0095416A">
        <w:rPr>
          <w:rFonts w:ascii="Times New Roman" w:hAnsi="Times New Roman"/>
          <w:sz w:val="28"/>
          <w:szCs w:val="28"/>
          <w:lang w:val="lv-LV"/>
        </w:rPr>
        <w:t xml:space="preserve"> 15. punkta vērtēšanas ir vienāds punktu skaits, tad visi vienādo punktu skaita pētniecības projektu pieteicēji netiek apstiprināti un var atkārtoti iesniegt precizētos pētniecības projekta pieteikumus.</w:t>
      </w:r>
    </w:p>
    <w:p w14:paraId="78C5E7BC" w14:textId="77777777" w:rsidR="00C62B53" w:rsidRDefault="00C62B53" w:rsidP="00C62B53">
      <w:pPr>
        <w:widowControl/>
        <w:spacing w:after="0" w:line="240" w:lineRule="auto"/>
        <w:rPr>
          <w:rFonts w:ascii="Times New Roman" w:hAnsi="Times New Roman"/>
          <w:sz w:val="28"/>
          <w:szCs w:val="28"/>
          <w:lang w:val="lv-LV"/>
        </w:rPr>
      </w:pPr>
      <w:r>
        <w:rPr>
          <w:rFonts w:ascii="Times New Roman" w:hAnsi="Times New Roman"/>
          <w:sz w:val="28"/>
          <w:szCs w:val="28"/>
          <w:lang w:val="lv-LV"/>
        </w:rPr>
        <w:br w:type="page"/>
      </w:r>
    </w:p>
    <w:p w14:paraId="5B580690" w14:textId="77777777" w:rsidR="00891D92" w:rsidRPr="00C62B53" w:rsidRDefault="00891D92">
      <w:pPr>
        <w:rPr>
          <w:lang w:val="lv-LV"/>
        </w:rPr>
      </w:pPr>
    </w:p>
    <w:sectPr w:rsidR="00891D92" w:rsidRPr="00C62B53" w:rsidSect="00C62B53">
      <w:pgSz w:w="11906" w:h="16838"/>
      <w:pgMar w:top="993" w:right="991"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73F6" w14:textId="77777777" w:rsidR="007E466D" w:rsidRDefault="007E466D" w:rsidP="00C62B53">
      <w:pPr>
        <w:spacing w:after="0" w:line="240" w:lineRule="auto"/>
      </w:pPr>
      <w:r>
        <w:separator/>
      </w:r>
    </w:p>
  </w:endnote>
  <w:endnote w:type="continuationSeparator" w:id="0">
    <w:p w14:paraId="22C49441" w14:textId="77777777" w:rsidR="007E466D" w:rsidRDefault="007E466D" w:rsidP="00C6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5165" w14:textId="77777777" w:rsidR="007E466D" w:rsidRDefault="007E466D" w:rsidP="00C62B53">
      <w:pPr>
        <w:spacing w:after="0" w:line="240" w:lineRule="auto"/>
      </w:pPr>
      <w:r>
        <w:separator/>
      </w:r>
    </w:p>
  </w:footnote>
  <w:footnote w:type="continuationSeparator" w:id="0">
    <w:p w14:paraId="021A657A" w14:textId="77777777" w:rsidR="007E466D" w:rsidRDefault="007E466D" w:rsidP="00C62B53">
      <w:pPr>
        <w:spacing w:after="0" w:line="240" w:lineRule="auto"/>
      </w:pPr>
      <w:r>
        <w:continuationSeparator/>
      </w:r>
    </w:p>
  </w:footnote>
  <w:footnote w:id="1">
    <w:p w14:paraId="44B9437C" w14:textId="77777777" w:rsidR="00C62B53" w:rsidRPr="0097649E" w:rsidRDefault="00C62B53" w:rsidP="00C62B53">
      <w:pPr>
        <w:pStyle w:val="FootnoteText"/>
        <w:rPr>
          <w:rFonts w:ascii="Times New Roman" w:hAnsi="Times New Roman"/>
          <w:i/>
          <w:iCs/>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bookmarkStart w:id="0" w:name="_Hlk109820680"/>
      <w:r w:rsidRPr="0097649E">
        <w:rPr>
          <w:rFonts w:ascii="Times New Roman" w:hAnsi="Times New Roman"/>
          <w:i/>
          <w:iCs/>
          <w:lang w:val="lv-LV"/>
        </w:rPr>
        <w:t xml:space="preserve">Uzņēmējdarbības atklājuma princips ir augšupēja (turpmāk - </w:t>
      </w:r>
      <w:proofErr w:type="spellStart"/>
      <w:r w:rsidRPr="0097649E">
        <w:rPr>
          <w:rFonts w:ascii="Times New Roman" w:hAnsi="Times New Roman"/>
          <w:i/>
          <w:iCs/>
          <w:lang w:val="lv-LV"/>
        </w:rPr>
        <w:t>bottom-up</w:t>
      </w:r>
      <w:proofErr w:type="spellEnd"/>
      <w:r w:rsidRPr="0097649E">
        <w:rPr>
          <w:rFonts w:ascii="Times New Roman" w:hAnsi="Times New Roman"/>
          <w:i/>
          <w:iCs/>
          <w:lang w:val="lv-LV"/>
        </w:rPr>
        <w:t>) plānošanas pieeja, kas balstās uz tirgus dalībnieku (uzņēmumu, augstākās izglītības iestāžu, pētniecības institūtu, pētnieku, neatkarīgu novatoru u.c.) iesaisti attīstības iespēju identificēšanā.</w:t>
      </w:r>
      <w:bookmarkEnd w:id="0"/>
    </w:p>
  </w:footnote>
  <w:footnote w:id="2">
    <w:p w14:paraId="125EBCE6" w14:textId="77777777" w:rsidR="00C62B53" w:rsidRPr="00EB7215" w:rsidRDefault="00C62B53" w:rsidP="00C62B53">
      <w:pPr>
        <w:pStyle w:val="FootnoteText"/>
        <w:jc w:val="both"/>
        <w:rPr>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r w:rsidRPr="0097649E">
        <w:rPr>
          <w:rFonts w:ascii="Times New Roman" w:hAnsi="Times New Roman"/>
          <w:i/>
          <w:iCs/>
          <w:lang w:val="lv-LV"/>
        </w:rPr>
        <w:t>Lai pētniecības projektu atlases padome nodrošinātu principa "nenodarīt būtisku kaitējumu" ievērošanu pētniecības projektu apstiprināšanā, lai iekļautā darbība ir nebūtiska vai tai ir neesoša paredzamā ietekme uz visiem vides mērķiem, vērtējot gan tiešās, gan primārās netiešās sekas visā aprites ciklā saskaņā ar Eiropas Parlamenta un Padomes 2021. gada 12. februāra Regulas (ES) Nr. 2021/241, ar ko izveido Atveseļošanas un noturības mehānismu, 2. panta 6. punktu, kompetences centram ir jāizstrādā kritēriji principa vērtēšanai.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A0F"/>
    <w:multiLevelType w:val="hybridMultilevel"/>
    <w:tmpl w:val="3356B9D2"/>
    <w:lvl w:ilvl="0" w:tplc="8DA6B828">
      <w:start w:val="1"/>
      <w:numFmt w:val="decimal"/>
      <w:lvlText w:val="%1."/>
      <w:lvlJc w:val="left"/>
      <w:pPr>
        <w:ind w:left="720" w:hanging="360"/>
      </w:pPr>
      <w:rPr>
        <w:rFonts w:hint="default"/>
      </w:rPr>
    </w:lvl>
    <w:lvl w:ilvl="1" w:tplc="598CBE86">
      <w:start w:val="1"/>
      <w:numFmt w:val="lowerLetter"/>
      <w:lvlText w:val="%2."/>
      <w:lvlJc w:val="left"/>
      <w:pPr>
        <w:ind w:left="1440" w:hanging="360"/>
      </w:pPr>
    </w:lvl>
    <w:lvl w:ilvl="2" w:tplc="C70826D2">
      <w:start w:val="1"/>
      <w:numFmt w:val="lowerRoman"/>
      <w:lvlText w:val="%3."/>
      <w:lvlJc w:val="right"/>
      <w:pPr>
        <w:ind w:left="2160" w:hanging="180"/>
      </w:pPr>
    </w:lvl>
    <w:lvl w:ilvl="3" w:tplc="B5262454" w:tentative="1">
      <w:start w:val="1"/>
      <w:numFmt w:val="decimal"/>
      <w:lvlText w:val="%4."/>
      <w:lvlJc w:val="left"/>
      <w:pPr>
        <w:ind w:left="2880" w:hanging="360"/>
      </w:pPr>
    </w:lvl>
    <w:lvl w:ilvl="4" w:tplc="0F1038A6" w:tentative="1">
      <w:start w:val="1"/>
      <w:numFmt w:val="lowerLetter"/>
      <w:lvlText w:val="%5."/>
      <w:lvlJc w:val="left"/>
      <w:pPr>
        <w:ind w:left="3600" w:hanging="360"/>
      </w:pPr>
    </w:lvl>
    <w:lvl w:ilvl="5" w:tplc="95489220" w:tentative="1">
      <w:start w:val="1"/>
      <w:numFmt w:val="lowerRoman"/>
      <w:lvlText w:val="%6."/>
      <w:lvlJc w:val="right"/>
      <w:pPr>
        <w:ind w:left="4320" w:hanging="180"/>
      </w:pPr>
    </w:lvl>
    <w:lvl w:ilvl="6" w:tplc="63A654CC" w:tentative="1">
      <w:start w:val="1"/>
      <w:numFmt w:val="decimal"/>
      <w:lvlText w:val="%7."/>
      <w:lvlJc w:val="left"/>
      <w:pPr>
        <w:ind w:left="5040" w:hanging="360"/>
      </w:pPr>
    </w:lvl>
    <w:lvl w:ilvl="7" w:tplc="9B44110A" w:tentative="1">
      <w:start w:val="1"/>
      <w:numFmt w:val="lowerLetter"/>
      <w:lvlText w:val="%8."/>
      <w:lvlJc w:val="left"/>
      <w:pPr>
        <w:ind w:left="5760" w:hanging="360"/>
      </w:pPr>
    </w:lvl>
    <w:lvl w:ilvl="8" w:tplc="FCBAF66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3"/>
    <w:rsid w:val="007E466D"/>
    <w:rsid w:val="00891D92"/>
    <w:rsid w:val="00C62B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DD1A"/>
  <w15:chartTrackingRefBased/>
  <w15:docId w15:val="{A18B7279-63E4-43AE-9AAE-6FA1C2B9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53"/>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2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B53"/>
    <w:rPr>
      <w:rFonts w:ascii="Calibri" w:eastAsia="Calibri" w:hAnsi="Calibri"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semiHidden/>
    <w:unhideWhenUsed/>
    <w:rsid w:val="00C62B53"/>
    <w:rPr>
      <w:vertAlign w:val="superscript"/>
    </w:rPr>
  </w:style>
  <w:style w:type="paragraph" w:styleId="ListParagraph">
    <w:name w:val="List Paragraph"/>
    <w:aliases w:val="2,H&amp;P List Paragraph"/>
    <w:basedOn w:val="Normal"/>
    <w:link w:val="ListParagraphChar"/>
    <w:uiPriority w:val="34"/>
    <w:qFormat/>
    <w:rsid w:val="00C62B53"/>
    <w:pPr>
      <w:ind w:left="720"/>
      <w:contextualSpacing/>
    </w:pPr>
  </w:style>
  <w:style w:type="character" w:customStyle="1" w:styleId="ListParagraphChar">
    <w:name w:val="List Paragraph Char"/>
    <w:aliases w:val="2 Char,H&amp;P List Paragraph Char"/>
    <w:link w:val="ListParagraph"/>
    <w:uiPriority w:val="34"/>
    <w:locked/>
    <w:rsid w:val="00C62B5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3597</Words>
  <Characters>2051</Characters>
  <Application>Microsoft Office Word</Application>
  <DocSecurity>0</DocSecurity>
  <Lines>17</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Zimele</dc:creator>
  <cp:keywords/>
  <dc:description/>
  <cp:lastModifiedBy>Anita Zimele</cp:lastModifiedBy>
  <cp:revision>1</cp:revision>
  <dcterms:created xsi:type="dcterms:W3CDTF">2022-08-18T14:59:00Z</dcterms:created>
  <dcterms:modified xsi:type="dcterms:W3CDTF">2022-08-18T15:01:00Z</dcterms:modified>
</cp:coreProperties>
</file>