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9F750" w14:textId="2B764B2A" w:rsidR="0095557B" w:rsidRPr="0008472F" w:rsidRDefault="0095557B" w:rsidP="007907D4"/>
    <w:p w14:paraId="0AC19E1E" w14:textId="77777777" w:rsidR="0095557B" w:rsidRPr="0008472F" w:rsidRDefault="0095557B" w:rsidP="007907D4"/>
    <w:p w14:paraId="40DBA783" w14:textId="77777777" w:rsidR="0095557B" w:rsidRPr="0008472F" w:rsidRDefault="0095557B" w:rsidP="007907D4"/>
    <w:p w14:paraId="45B6126C" w14:textId="77777777" w:rsidR="0095557B" w:rsidRPr="0008472F" w:rsidRDefault="0095557B" w:rsidP="007907D4"/>
    <w:p w14:paraId="74ED9E29" w14:textId="753612B9" w:rsidR="0095557B" w:rsidRDefault="0095557B" w:rsidP="007907D4"/>
    <w:p w14:paraId="36792BA8" w14:textId="618CADF6" w:rsidR="000C2F57" w:rsidRDefault="000C2F57" w:rsidP="007907D4"/>
    <w:p w14:paraId="6CFA9FB7" w14:textId="77777777" w:rsidR="000C2F57" w:rsidRPr="0008472F" w:rsidRDefault="000C2F57" w:rsidP="007907D4"/>
    <w:p w14:paraId="5AD97E6F" w14:textId="65CE1827" w:rsidR="0095557B" w:rsidRDefault="0095557B" w:rsidP="007907D4"/>
    <w:p w14:paraId="4C5DEC3D" w14:textId="77777777" w:rsidR="000C2F57" w:rsidRPr="0008472F" w:rsidRDefault="000C2F57" w:rsidP="007907D4"/>
    <w:p w14:paraId="11DF5C9B" w14:textId="65FEA613" w:rsidR="007907D4" w:rsidRPr="0008472F" w:rsidRDefault="000C2F57" w:rsidP="0095557B">
      <w:pPr>
        <w:jc w:val="center"/>
        <w:rPr>
          <w:b/>
          <w:i/>
          <w:sz w:val="40"/>
          <w:szCs w:val="40"/>
        </w:rPr>
      </w:pPr>
      <w:r>
        <w:rPr>
          <w:b/>
          <w:sz w:val="40"/>
        </w:rPr>
        <w:t>Par tirgus uzraudzību 2021. gadā</w:t>
      </w:r>
    </w:p>
    <w:p w14:paraId="40F06027" w14:textId="77777777" w:rsidR="0095557B" w:rsidRPr="0008472F" w:rsidRDefault="0095557B" w:rsidP="0095557B">
      <w:pPr>
        <w:jc w:val="center"/>
        <w:rPr>
          <w:b/>
          <w:i/>
        </w:rPr>
      </w:pPr>
    </w:p>
    <w:p w14:paraId="208B08B9" w14:textId="0180B91B" w:rsidR="008D20A7" w:rsidRDefault="008D20A7">
      <w:pPr>
        <w:spacing w:after="0"/>
        <w:jc w:val="left"/>
        <w:rPr>
          <w:i/>
        </w:rPr>
      </w:pPr>
      <w:r>
        <w:rPr>
          <w:i/>
        </w:rPr>
        <w:br w:type="page"/>
      </w:r>
    </w:p>
    <w:p w14:paraId="250BF6EF" w14:textId="77777777" w:rsidR="002E5045" w:rsidRPr="0008472F" w:rsidRDefault="002E5045">
      <w:pPr>
        <w:pStyle w:val="TOCHeading"/>
      </w:pPr>
      <w:r w:rsidRPr="0008472F">
        <w:lastRenderedPageBreak/>
        <w:t>Saturs</w:t>
      </w:r>
    </w:p>
    <w:p w14:paraId="5C8EE521" w14:textId="508F6EEA" w:rsidR="00297787" w:rsidRPr="009E5A65" w:rsidRDefault="004529A8">
      <w:pPr>
        <w:pStyle w:val="TOC1"/>
        <w:rPr>
          <w:rFonts w:asciiTheme="minorHAnsi" w:eastAsiaTheme="minorEastAsia" w:hAnsiTheme="minorHAnsi" w:cstheme="minorBidi"/>
          <w:caps w:val="0"/>
          <w:noProof/>
          <w:sz w:val="22"/>
          <w:szCs w:val="22"/>
          <w:lang w:bidi="ar-SA"/>
        </w:rPr>
      </w:pPr>
      <w:r>
        <w:fldChar w:fldCharType="begin"/>
      </w:r>
      <w:r w:rsidR="000B69FF">
        <w:instrText xml:space="preserve"> TOC \o "1-3" \h \z \u </w:instrText>
      </w:r>
      <w:r>
        <w:fldChar w:fldCharType="separate"/>
      </w:r>
      <w:hyperlink w:anchor="_Toc8821855" w:history="1">
        <w:r w:rsidR="00297787" w:rsidRPr="009E5A65">
          <w:rPr>
            <w:rStyle w:val="Hyperlink"/>
            <w:noProof/>
          </w:rPr>
          <w:t>1.</w:t>
        </w:r>
        <w:r w:rsidR="00297787" w:rsidRPr="009E5A65">
          <w:rPr>
            <w:rFonts w:asciiTheme="minorHAnsi" w:eastAsiaTheme="minorEastAsia" w:hAnsiTheme="minorHAnsi" w:cstheme="minorBidi"/>
            <w:caps w:val="0"/>
            <w:noProof/>
            <w:sz w:val="22"/>
            <w:szCs w:val="22"/>
            <w:lang w:bidi="ar-SA"/>
          </w:rPr>
          <w:tab/>
        </w:r>
        <w:r w:rsidR="00297787" w:rsidRPr="009E5A65">
          <w:rPr>
            <w:rStyle w:val="Hyperlink"/>
            <w:noProof/>
          </w:rPr>
          <w:t>Vispārīgā tirgus uzraudzības organizācija un infrastruktūra</w:t>
        </w:r>
        <w:r w:rsidR="00297787" w:rsidRPr="009E5A65">
          <w:rPr>
            <w:noProof/>
            <w:webHidden/>
          </w:rPr>
          <w:tab/>
        </w:r>
        <w:r w:rsidR="00297787" w:rsidRPr="009E5A65">
          <w:rPr>
            <w:noProof/>
            <w:webHidden/>
          </w:rPr>
          <w:fldChar w:fldCharType="begin"/>
        </w:r>
        <w:r w:rsidR="00297787" w:rsidRPr="009E5A65">
          <w:rPr>
            <w:noProof/>
            <w:webHidden/>
          </w:rPr>
          <w:instrText xml:space="preserve"> PAGEREF _Toc8821855 \h </w:instrText>
        </w:r>
        <w:r w:rsidR="00297787" w:rsidRPr="009E5A65">
          <w:rPr>
            <w:noProof/>
            <w:webHidden/>
          </w:rPr>
        </w:r>
        <w:r w:rsidR="00297787" w:rsidRPr="009E5A65">
          <w:rPr>
            <w:noProof/>
            <w:webHidden/>
          </w:rPr>
          <w:fldChar w:fldCharType="separate"/>
        </w:r>
        <w:r w:rsidR="00DA4D7B">
          <w:rPr>
            <w:noProof/>
            <w:webHidden/>
          </w:rPr>
          <w:t>4</w:t>
        </w:r>
        <w:r w:rsidR="00297787" w:rsidRPr="009E5A65">
          <w:rPr>
            <w:noProof/>
            <w:webHidden/>
          </w:rPr>
          <w:fldChar w:fldCharType="end"/>
        </w:r>
      </w:hyperlink>
    </w:p>
    <w:p w14:paraId="70F91C38" w14:textId="5C604F82" w:rsidR="00297787" w:rsidRPr="009E5A65" w:rsidRDefault="00000000">
      <w:pPr>
        <w:pStyle w:val="TOC2"/>
        <w:tabs>
          <w:tab w:val="left" w:pos="1077"/>
        </w:tabs>
        <w:rPr>
          <w:rFonts w:asciiTheme="minorHAnsi" w:eastAsiaTheme="minorEastAsia" w:hAnsiTheme="minorHAnsi" w:cstheme="minorBidi"/>
          <w:noProof/>
          <w:sz w:val="22"/>
          <w:szCs w:val="22"/>
          <w:lang w:bidi="ar-SA"/>
        </w:rPr>
      </w:pPr>
      <w:hyperlink w:anchor="_Toc8821856" w:history="1">
        <w:r w:rsidR="00297787" w:rsidRPr="009E5A65">
          <w:rPr>
            <w:rStyle w:val="Hyperlink"/>
            <w:noProof/>
          </w:rPr>
          <w:t>1.1.</w:t>
        </w:r>
        <w:r w:rsidR="00297787" w:rsidRPr="009E5A65">
          <w:rPr>
            <w:rFonts w:asciiTheme="minorHAnsi" w:eastAsiaTheme="minorEastAsia" w:hAnsiTheme="minorHAnsi" w:cstheme="minorBidi"/>
            <w:noProof/>
            <w:sz w:val="22"/>
            <w:szCs w:val="22"/>
            <w:lang w:bidi="ar-SA"/>
          </w:rPr>
          <w:tab/>
        </w:r>
        <w:r w:rsidR="00297787" w:rsidRPr="009E5A65">
          <w:rPr>
            <w:rStyle w:val="Hyperlink"/>
            <w:noProof/>
          </w:rPr>
          <w:t>Valsts tirgus uzraudzības iestāžu identifikācija un pienākumi</w:t>
        </w:r>
        <w:r w:rsidR="00297787" w:rsidRPr="009E5A65">
          <w:rPr>
            <w:noProof/>
            <w:webHidden/>
          </w:rPr>
          <w:tab/>
        </w:r>
        <w:r w:rsidR="00297787" w:rsidRPr="009E5A65">
          <w:rPr>
            <w:noProof/>
            <w:webHidden/>
          </w:rPr>
          <w:fldChar w:fldCharType="begin"/>
        </w:r>
        <w:r w:rsidR="00297787" w:rsidRPr="009E5A65">
          <w:rPr>
            <w:noProof/>
            <w:webHidden/>
          </w:rPr>
          <w:instrText xml:space="preserve"> PAGEREF _Toc8821856 \h </w:instrText>
        </w:r>
        <w:r w:rsidR="00297787" w:rsidRPr="009E5A65">
          <w:rPr>
            <w:noProof/>
            <w:webHidden/>
          </w:rPr>
        </w:r>
        <w:r w:rsidR="00297787" w:rsidRPr="009E5A65">
          <w:rPr>
            <w:noProof/>
            <w:webHidden/>
          </w:rPr>
          <w:fldChar w:fldCharType="separate"/>
        </w:r>
        <w:r w:rsidR="00DA4D7B">
          <w:rPr>
            <w:noProof/>
            <w:webHidden/>
          </w:rPr>
          <w:t>4</w:t>
        </w:r>
        <w:r w:rsidR="00297787" w:rsidRPr="009E5A65">
          <w:rPr>
            <w:noProof/>
            <w:webHidden/>
          </w:rPr>
          <w:fldChar w:fldCharType="end"/>
        </w:r>
      </w:hyperlink>
    </w:p>
    <w:p w14:paraId="1FBC8C81" w14:textId="7E975800" w:rsidR="00297787" w:rsidRPr="009E5A65" w:rsidRDefault="00000000">
      <w:pPr>
        <w:pStyle w:val="TOC2"/>
        <w:tabs>
          <w:tab w:val="left" w:pos="1077"/>
        </w:tabs>
        <w:rPr>
          <w:rFonts w:asciiTheme="minorHAnsi" w:eastAsiaTheme="minorEastAsia" w:hAnsiTheme="minorHAnsi" w:cstheme="minorBidi"/>
          <w:noProof/>
          <w:sz w:val="22"/>
          <w:szCs w:val="22"/>
          <w:lang w:bidi="ar-SA"/>
        </w:rPr>
      </w:pPr>
      <w:hyperlink w:anchor="_Toc8821857" w:history="1">
        <w:r w:rsidR="00297787" w:rsidRPr="009E5A65">
          <w:rPr>
            <w:rStyle w:val="Hyperlink"/>
            <w:noProof/>
          </w:rPr>
          <w:t>1.2.</w:t>
        </w:r>
        <w:r w:rsidR="00297787" w:rsidRPr="009E5A65">
          <w:rPr>
            <w:rFonts w:asciiTheme="minorHAnsi" w:eastAsiaTheme="minorEastAsia" w:hAnsiTheme="minorHAnsi" w:cstheme="minorBidi"/>
            <w:noProof/>
            <w:sz w:val="22"/>
            <w:szCs w:val="22"/>
            <w:lang w:bidi="ar-SA"/>
          </w:rPr>
          <w:tab/>
        </w:r>
        <w:r w:rsidR="00297787" w:rsidRPr="009E5A65">
          <w:rPr>
            <w:rStyle w:val="Hyperlink"/>
            <w:noProof/>
          </w:rPr>
          <w:t>Koordinācijas un sadarbības mehānismi starp valstu tirgus uzraudzības iestādēm</w:t>
        </w:r>
        <w:r w:rsidR="00297787" w:rsidRPr="009E5A65">
          <w:rPr>
            <w:noProof/>
            <w:webHidden/>
          </w:rPr>
          <w:tab/>
        </w:r>
        <w:r w:rsidR="00297787" w:rsidRPr="009E5A65">
          <w:rPr>
            <w:noProof/>
            <w:webHidden/>
          </w:rPr>
          <w:fldChar w:fldCharType="begin"/>
        </w:r>
        <w:r w:rsidR="00297787" w:rsidRPr="009E5A65">
          <w:rPr>
            <w:noProof/>
            <w:webHidden/>
          </w:rPr>
          <w:instrText xml:space="preserve"> PAGEREF _Toc8821857 \h </w:instrText>
        </w:r>
        <w:r w:rsidR="00297787" w:rsidRPr="009E5A65">
          <w:rPr>
            <w:noProof/>
            <w:webHidden/>
          </w:rPr>
        </w:r>
        <w:r w:rsidR="00297787" w:rsidRPr="009E5A65">
          <w:rPr>
            <w:noProof/>
            <w:webHidden/>
          </w:rPr>
          <w:fldChar w:fldCharType="separate"/>
        </w:r>
        <w:r w:rsidR="00DA4D7B">
          <w:rPr>
            <w:noProof/>
            <w:webHidden/>
          </w:rPr>
          <w:t>4</w:t>
        </w:r>
        <w:r w:rsidR="00297787" w:rsidRPr="009E5A65">
          <w:rPr>
            <w:noProof/>
            <w:webHidden/>
          </w:rPr>
          <w:fldChar w:fldCharType="end"/>
        </w:r>
      </w:hyperlink>
    </w:p>
    <w:p w14:paraId="1F66E398" w14:textId="1212D130" w:rsidR="00297787" w:rsidRPr="009E5A65" w:rsidRDefault="00000000">
      <w:pPr>
        <w:pStyle w:val="TOC2"/>
        <w:tabs>
          <w:tab w:val="left" w:pos="1077"/>
        </w:tabs>
        <w:rPr>
          <w:rFonts w:asciiTheme="minorHAnsi" w:eastAsiaTheme="minorEastAsia" w:hAnsiTheme="minorHAnsi" w:cstheme="minorBidi"/>
          <w:noProof/>
          <w:sz w:val="22"/>
          <w:szCs w:val="22"/>
          <w:lang w:bidi="ar-SA"/>
        </w:rPr>
      </w:pPr>
      <w:hyperlink w:anchor="_Toc8821858" w:history="1">
        <w:r w:rsidR="00297787" w:rsidRPr="009E5A65">
          <w:rPr>
            <w:rStyle w:val="Hyperlink"/>
            <w:noProof/>
          </w:rPr>
          <w:t>1.3.</w:t>
        </w:r>
        <w:r w:rsidR="00297787" w:rsidRPr="009E5A65">
          <w:rPr>
            <w:rFonts w:asciiTheme="minorHAnsi" w:eastAsiaTheme="minorEastAsia" w:hAnsiTheme="minorHAnsi" w:cstheme="minorBidi"/>
            <w:noProof/>
            <w:sz w:val="22"/>
            <w:szCs w:val="22"/>
            <w:lang w:bidi="ar-SA"/>
          </w:rPr>
          <w:tab/>
        </w:r>
        <w:r w:rsidR="00297787" w:rsidRPr="009E5A65">
          <w:rPr>
            <w:rStyle w:val="Hyperlink"/>
            <w:noProof/>
          </w:rPr>
          <w:t>Sadarbība starp valsts tirgus uzraudzības iestādēm un muitu</w:t>
        </w:r>
        <w:r w:rsidR="00297787" w:rsidRPr="009E5A65">
          <w:rPr>
            <w:noProof/>
            <w:webHidden/>
          </w:rPr>
          <w:tab/>
        </w:r>
        <w:r w:rsidR="00297787" w:rsidRPr="009E5A65">
          <w:rPr>
            <w:noProof/>
            <w:webHidden/>
          </w:rPr>
          <w:fldChar w:fldCharType="begin"/>
        </w:r>
        <w:r w:rsidR="00297787" w:rsidRPr="009E5A65">
          <w:rPr>
            <w:noProof/>
            <w:webHidden/>
          </w:rPr>
          <w:instrText xml:space="preserve"> PAGEREF _Toc8821858 \h </w:instrText>
        </w:r>
        <w:r w:rsidR="00297787" w:rsidRPr="009E5A65">
          <w:rPr>
            <w:noProof/>
            <w:webHidden/>
          </w:rPr>
        </w:r>
        <w:r w:rsidR="00297787" w:rsidRPr="009E5A65">
          <w:rPr>
            <w:noProof/>
            <w:webHidden/>
          </w:rPr>
          <w:fldChar w:fldCharType="separate"/>
        </w:r>
        <w:r w:rsidR="00DA4D7B">
          <w:rPr>
            <w:noProof/>
            <w:webHidden/>
          </w:rPr>
          <w:t>5</w:t>
        </w:r>
        <w:r w:rsidR="00297787" w:rsidRPr="009E5A65">
          <w:rPr>
            <w:noProof/>
            <w:webHidden/>
          </w:rPr>
          <w:fldChar w:fldCharType="end"/>
        </w:r>
      </w:hyperlink>
    </w:p>
    <w:p w14:paraId="4935F092" w14:textId="05EAC0F3" w:rsidR="00297787" w:rsidRPr="009E5A65" w:rsidRDefault="00000000">
      <w:pPr>
        <w:pStyle w:val="TOC2"/>
        <w:tabs>
          <w:tab w:val="left" w:pos="1077"/>
        </w:tabs>
        <w:rPr>
          <w:rFonts w:asciiTheme="minorHAnsi" w:eastAsiaTheme="minorEastAsia" w:hAnsiTheme="minorHAnsi" w:cstheme="minorBidi"/>
          <w:noProof/>
          <w:sz w:val="22"/>
          <w:szCs w:val="22"/>
          <w:lang w:bidi="ar-SA"/>
        </w:rPr>
      </w:pPr>
      <w:hyperlink w:anchor="_Toc8821859" w:history="1">
        <w:r w:rsidR="00297787" w:rsidRPr="009E5A65">
          <w:rPr>
            <w:rStyle w:val="Hyperlink"/>
            <w:noProof/>
          </w:rPr>
          <w:t>1.4.</w:t>
        </w:r>
        <w:r w:rsidR="00297787" w:rsidRPr="009E5A65">
          <w:rPr>
            <w:rFonts w:asciiTheme="minorHAnsi" w:eastAsiaTheme="minorEastAsia" w:hAnsiTheme="minorHAnsi" w:cstheme="minorBidi"/>
            <w:noProof/>
            <w:sz w:val="22"/>
            <w:szCs w:val="22"/>
            <w:lang w:bidi="ar-SA"/>
          </w:rPr>
          <w:tab/>
        </w:r>
        <w:r w:rsidR="00297787" w:rsidRPr="009E5A65">
          <w:rPr>
            <w:rStyle w:val="Hyperlink"/>
            <w:noProof/>
          </w:rPr>
          <w:t xml:space="preserve">Ātrās ziņošanas sistēma </w:t>
        </w:r>
        <w:r w:rsidR="00297787" w:rsidRPr="009E5A65">
          <w:rPr>
            <w:rStyle w:val="Hyperlink"/>
            <w:i/>
            <w:noProof/>
          </w:rPr>
          <w:t>RAPEX</w:t>
        </w:r>
        <w:r w:rsidR="00297787" w:rsidRPr="009E5A65">
          <w:rPr>
            <w:noProof/>
            <w:webHidden/>
          </w:rPr>
          <w:tab/>
        </w:r>
        <w:r w:rsidR="00297787" w:rsidRPr="009E5A65">
          <w:rPr>
            <w:noProof/>
            <w:webHidden/>
          </w:rPr>
          <w:fldChar w:fldCharType="begin"/>
        </w:r>
        <w:r w:rsidR="00297787" w:rsidRPr="009E5A65">
          <w:rPr>
            <w:noProof/>
            <w:webHidden/>
          </w:rPr>
          <w:instrText xml:space="preserve"> PAGEREF _Toc8821859 \h </w:instrText>
        </w:r>
        <w:r w:rsidR="00297787" w:rsidRPr="009E5A65">
          <w:rPr>
            <w:noProof/>
            <w:webHidden/>
          </w:rPr>
        </w:r>
        <w:r w:rsidR="00297787" w:rsidRPr="009E5A65">
          <w:rPr>
            <w:noProof/>
            <w:webHidden/>
          </w:rPr>
          <w:fldChar w:fldCharType="separate"/>
        </w:r>
        <w:r w:rsidR="00DA4D7B">
          <w:rPr>
            <w:noProof/>
            <w:webHidden/>
          </w:rPr>
          <w:t>6</w:t>
        </w:r>
        <w:r w:rsidR="00297787" w:rsidRPr="009E5A65">
          <w:rPr>
            <w:noProof/>
            <w:webHidden/>
          </w:rPr>
          <w:fldChar w:fldCharType="end"/>
        </w:r>
      </w:hyperlink>
    </w:p>
    <w:p w14:paraId="355AED47" w14:textId="78DB7339" w:rsidR="00297787" w:rsidRPr="009E5A65" w:rsidRDefault="00000000">
      <w:pPr>
        <w:pStyle w:val="TOC2"/>
        <w:tabs>
          <w:tab w:val="left" w:pos="1077"/>
        </w:tabs>
        <w:rPr>
          <w:rFonts w:asciiTheme="minorHAnsi" w:eastAsiaTheme="minorEastAsia" w:hAnsiTheme="minorHAnsi" w:cstheme="minorBidi"/>
          <w:noProof/>
          <w:sz w:val="22"/>
          <w:szCs w:val="22"/>
          <w:lang w:bidi="ar-SA"/>
        </w:rPr>
      </w:pPr>
      <w:hyperlink w:anchor="_Toc8821860" w:history="1">
        <w:r w:rsidR="00297787" w:rsidRPr="009E5A65">
          <w:rPr>
            <w:rStyle w:val="Hyperlink"/>
            <w:noProof/>
          </w:rPr>
          <w:t>1.5.</w:t>
        </w:r>
        <w:r w:rsidR="00297787" w:rsidRPr="009E5A65">
          <w:rPr>
            <w:rFonts w:asciiTheme="minorHAnsi" w:eastAsiaTheme="minorEastAsia" w:hAnsiTheme="minorHAnsi" w:cstheme="minorBidi"/>
            <w:noProof/>
            <w:sz w:val="22"/>
            <w:szCs w:val="22"/>
            <w:lang w:bidi="ar-SA"/>
          </w:rPr>
          <w:tab/>
        </w:r>
        <w:r w:rsidR="00297787" w:rsidRPr="009E5A65">
          <w:rPr>
            <w:rStyle w:val="Hyperlink"/>
            <w:i/>
            <w:noProof/>
          </w:rPr>
          <w:t>ICSMS</w:t>
        </w:r>
        <w:r w:rsidR="00297787" w:rsidRPr="009E5A65">
          <w:rPr>
            <w:rStyle w:val="Hyperlink"/>
            <w:noProof/>
          </w:rPr>
          <w:t xml:space="preserve"> informācijas sistēma</w:t>
        </w:r>
        <w:r w:rsidR="00297787" w:rsidRPr="009E5A65">
          <w:rPr>
            <w:noProof/>
            <w:webHidden/>
          </w:rPr>
          <w:tab/>
        </w:r>
        <w:r w:rsidR="00297787" w:rsidRPr="009E5A65">
          <w:rPr>
            <w:noProof/>
            <w:webHidden/>
          </w:rPr>
          <w:fldChar w:fldCharType="begin"/>
        </w:r>
        <w:r w:rsidR="00297787" w:rsidRPr="009E5A65">
          <w:rPr>
            <w:noProof/>
            <w:webHidden/>
          </w:rPr>
          <w:instrText xml:space="preserve"> PAGEREF _Toc8821860 \h </w:instrText>
        </w:r>
        <w:r w:rsidR="00297787" w:rsidRPr="009E5A65">
          <w:rPr>
            <w:noProof/>
            <w:webHidden/>
          </w:rPr>
        </w:r>
        <w:r w:rsidR="00297787" w:rsidRPr="009E5A65">
          <w:rPr>
            <w:noProof/>
            <w:webHidden/>
          </w:rPr>
          <w:fldChar w:fldCharType="separate"/>
        </w:r>
        <w:r w:rsidR="00DA4D7B">
          <w:rPr>
            <w:noProof/>
            <w:webHidden/>
          </w:rPr>
          <w:t>7</w:t>
        </w:r>
        <w:r w:rsidR="00297787" w:rsidRPr="009E5A65">
          <w:rPr>
            <w:noProof/>
            <w:webHidden/>
          </w:rPr>
          <w:fldChar w:fldCharType="end"/>
        </w:r>
      </w:hyperlink>
    </w:p>
    <w:p w14:paraId="7C4D8745" w14:textId="3CA5C30F" w:rsidR="00297787" w:rsidRPr="009E5A65" w:rsidRDefault="00000000">
      <w:pPr>
        <w:pStyle w:val="TOC2"/>
        <w:tabs>
          <w:tab w:val="left" w:pos="1077"/>
        </w:tabs>
        <w:rPr>
          <w:rFonts w:asciiTheme="minorHAnsi" w:eastAsiaTheme="minorEastAsia" w:hAnsiTheme="minorHAnsi" w:cstheme="minorBidi"/>
          <w:noProof/>
          <w:sz w:val="22"/>
          <w:szCs w:val="22"/>
          <w:lang w:bidi="ar-SA"/>
        </w:rPr>
      </w:pPr>
      <w:hyperlink w:anchor="_Toc8821861" w:history="1">
        <w:r w:rsidR="00297787" w:rsidRPr="009E5A65">
          <w:rPr>
            <w:rStyle w:val="Hyperlink"/>
            <w:noProof/>
          </w:rPr>
          <w:t>1.6.</w:t>
        </w:r>
        <w:r w:rsidR="00297787" w:rsidRPr="009E5A65">
          <w:rPr>
            <w:rFonts w:asciiTheme="minorHAnsi" w:eastAsiaTheme="minorEastAsia" w:hAnsiTheme="minorHAnsi" w:cstheme="minorBidi"/>
            <w:noProof/>
            <w:sz w:val="22"/>
            <w:szCs w:val="22"/>
            <w:lang w:bidi="ar-SA"/>
          </w:rPr>
          <w:tab/>
        </w:r>
        <w:r w:rsidR="00297787" w:rsidRPr="009E5A65">
          <w:rPr>
            <w:rStyle w:val="Hyperlink"/>
            <w:noProof/>
          </w:rPr>
          <w:t>Tirgus uzraudzības pasākumu apraksts un attiecīgās procedūras</w:t>
        </w:r>
        <w:r w:rsidR="00297787" w:rsidRPr="009E5A65">
          <w:rPr>
            <w:noProof/>
            <w:webHidden/>
          </w:rPr>
          <w:tab/>
        </w:r>
        <w:r w:rsidR="00297787" w:rsidRPr="009E5A65">
          <w:rPr>
            <w:noProof/>
            <w:webHidden/>
          </w:rPr>
          <w:fldChar w:fldCharType="begin"/>
        </w:r>
        <w:r w:rsidR="00297787" w:rsidRPr="009E5A65">
          <w:rPr>
            <w:noProof/>
            <w:webHidden/>
          </w:rPr>
          <w:instrText xml:space="preserve"> PAGEREF _Toc8821861 \h </w:instrText>
        </w:r>
        <w:r w:rsidR="00297787" w:rsidRPr="009E5A65">
          <w:rPr>
            <w:noProof/>
            <w:webHidden/>
          </w:rPr>
        </w:r>
        <w:r w:rsidR="00297787" w:rsidRPr="009E5A65">
          <w:rPr>
            <w:noProof/>
            <w:webHidden/>
          </w:rPr>
          <w:fldChar w:fldCharType="separate"/>
        </w:r>
        <w:r w:rsidR="00DA4D7B">
          <w:rPr>
            <w:noProof/>
            <w:webHidden/>
          </w:rPr>
          <w:t>7</w:t>
        </w:r>
        <w:r w:rsidR="00297787" w:rsidRPr="009E5A65">
          <w:rPr>
            <w:noProof/>
            <w:webHidden/>
          </w:rPr>
          <w:fldChar w:fldCharType="end"/>
        </w:r>
      </w:hyperlink>
    </w:p>
    <w:p w14:paraId="454B5109" w14:textId="5B4AE7A0" w:rsidR="00297787" w:rsidRPr="009E5A65" w:rsidRDefault="00000000">
      <w:pPr>
        <w:pStyle w:val="TOC2"/>
        <w:tabs>
          <w:tab w:val="left" w:pos="1077"/>
        </w:tabs>
        <w:rPr>
          <w:rFonts w:asciiTheme="minorHAnsi" w:eastAsiaTheme="minorEastAsia" w:hAnsiTheme="minorHAnsi" w:cstheme="minorBidi"/>
          <w:noProof/>
          <w:sz w:val="22"/>
          <w:szCs w:val="22"/>
          <w:lang w:bidi="ar-SA"/>
        </w:rPr>
      </w:pPr>
      <w:hyperlink w:anchor="_Toc8821862" w:history="1">
        <w:r w:rsidR="00297787" w:rsidRPr="009E5A65">
          <w:rPr>
            <w:rStyle w:val="Hyperlink"/>
            <w:noProof/>
          </w:rPr>
          <w:t>1.7.</w:t>
        </w:r>
        <w:r w:rsidR="00297787" w:rsidRPr="009E5A65">
          <w:rPr>
            <w:rFonts w:asciiTheme="minorHAnsi" w:eastAsiaTheme="minorEastAsia" w:hAnsiTheme="minorHAnsi" w:cstheme="minorBidi"/>
            <w:noProof/>
            <w:sz w:val="22"/>
            <w:szCs w:val="22"/>
            <w:lang w:bidi="ar-SA"/>
          </w:rPr>
          <w:tab/>
        </w:r>
        <w:r w:rsidR="00297787" w:rsidRPr="009E5A65">
          <w:rPr>
            <w:rStyle w:val="Hyperlink"/>
            <w:noProof/>
          </w:rPr>
          <w:t>Vispārīga sadarbība ar citām dalībvalstīm un trešām valstīm</w:t>
        </w:r>
        <w:r w:rsidR="00297787" w:rsidRPr="009E5A65">
          <w:rPr>
            <w:noProof/>
            <w:webHidden/>
          </w:rPr>
          <w:tab/>
        </w:r>
        <w:r w:rsidR="00297787" w:rsidRPr="009E5A65">
          <w:rPr>
            <w:noProof/>
            <w:webHidden/>
          </w:rPr>
          <w:fldChar w:fldCharType="begin"/>
        </w:r>
        <w:r w:rsidR="00297787" w:rsidRPr="009E5A65">
          <w:rPr>
            <w:noProof/>
            <w:webHidden/>
          </w:rPr>
          <w:instrText xml:space="preserve"> PAGEREF _Toc8821862 \h </w:instrText>
        </w:r>
        <w:r w:rsidR="00297787" w:rsidRPr="009E5A65">
          <w:rPr>
            <w:noProof/>
            <w:webHidden/>
          </w:rPr>
        </w:r>
        <w:r w:rsidR="00297787" w:rsidRPr="009E5A65">
          <w:rPr>
            <w:noProof/>
            <w:webHidden/>
          </w:rPr>
          <w:fldChar w:fldCharType="separate"/>
        </w:r>
        <w:r w:rsidR="00DA4D7B">
          <w:rPr>
            <w:noProof/>
            <w:webHidden/>
          </w:rPr>
          <w:t>8</w:t>
        </w:r>
        <w:r w:rsidR="00297787" w:rsidRPr="009E5A65">
          <w:rPr>
            <w:noProof/>
            <w:webHidden/>
          </w:rPr>
          <w:fldChar w:fldCharType="end"/>
        </w:r>
      </w:hyperlink>
    </w:p>
    <w:p w14:paraId="7570A08E" w14:textId="2A8639E0" w:rsidR="00297787" w:rsidRPr="009E5A65" w:rsidRDefault="00000000">
      <w:pPr>
        <w:pStyle w:val="TOC2"/>
        <w:tabs>
          <w:tab w:val="left" w:pos="1077"/>
        </w:tabs>
        <w:rPr>
          <w:rFonts w:asciiTheme="minorHAnsi" w:eastAsiaTheme="minorEastAsia" w:hAnsiTheme="minorHAnsi" w:cstheme="minorBidi"/>
          <w:noProof/>
          <w:sz w:val="22"/>
          <w:szCs w:val="22"/>
          <w:lang w:bidi="ar-SA"/>
        </w:rPr>
      </w:pPr>
      <w:hyperlink w:anchor="_Toc8821863" w:history="1">
        <w:r w:rsidR="00297787" w:rsidRPr="009E5A65">
          <w:rPr>
            <w:rStyle w:val="Hyperlink"/>
            <w:noProof/>
          </w:rPr>
          <w:t>1.8.</w:t>
        </w:r>
        <w:r w:rsidR="00297787" w:rsidRPr="009E5A65">
          <w:rPr>
            <w:rFonts w:asciiTheme="minorHAnsi" w:eastAsiaTheme="minorEastAsia" w:hAnsiTheme="minorHAnsi" w:cstheme="minorBidi"/>
            <w:noProof/>
            <w:sz w:val="22"/>
            <w:szCs w:val="22"/>
            <w:lang w:bidi="ar-SA"/>
          </w:rPr>
          <w:tab/>
        </w:r>
        <w:r w:rsidR="00297787" w:rsidRPr="009E5A65">
          <w:rPr>
            <w:rStyle w:val="Hyperlink"/>
            <w:noProof/>
          </w:rPr>
          <w:t>Tirgus uzraudzības darbību novērtēšana un ziņošana</w:t>
        </w:r>
        <w:r w:rsidR="00297787" w:rsidRPr="009E5A65">
          <w:rPr>
            <w:noProof/>
            <w:webHidden/>
          </w:rPr>
          <w:tab/>
        </w:r>
        <w:r w:rsidR="00297787" w:rsidRPr="009E5A65">
          <w:rPr>
            <w:noProof/>
            <w:webHidden/>
          </w:rPr>
          <w:fldChar w:fldCharType="begin"/>
        </w:r>
        <w:r w:rsidR="00297787" w:rsidRPr="009E5A65">
          <w:rPr>
            <w:noProof/>
            <w:webHidden/>
          </w:rPr>
          <w:instrText xml:space="preserve"> PAGEREF _Toc8821863 \h </w:instrText>
        </w:r>
        <w:r w:rsidR="00297787" w:rsidRPr="009E5A65">
          <w:rPr>
            <w:noProof/>
            <w:webHidden/>
          </w:rPr>
        </w:r>
        <w:r w:rsidR="00297787" w:rsidRPr="009E5A65">
          <w:rPr>
            <w:noProof/>
            <w:webHidden/>
          </w:rPr>
          <w:fldChar w:fldCharType="separate"/>
        </w:r>
        <w:r w:rsidR="00DA4D7B">
          <w:rPr>
            <w:noProof/>
            <w:webHidden/>
          </w:rPr>
          <w:t>9</w:t>
        </w:r>
        <w:r w:rsidR="00297787" w:rsidRPr="009E5A65">
          <w:rPr>
            <w:noProof/>
            <w:webHidden/>
          </w:rPr>
          <w:fldChar w:fldCharType="end"/>
        </w:r>
      </w:hyperlink>
    </w:p>
    <w:p w14:paraId="7CCC6310" w14:textId="72A67344" w:rsidR="00297787" w:rsidRPr="009E5A65" w:rsidRDefault="00000000">
      <w:pPr>
        <w:pStyle w:val="TOC2"/>
        <w:tabs>
          <w:tab w:val="left" w:pos="1077"/>
        </w:tabs>
        <w:rPr>
          <w:rFonts w:asciiTheme="minorHAnsi" w:eastAsiaTheme="minorEastAsia" w:hAnsiTheme="minorHAnsi" w:cstheme="minorBidi"/>
          <w:noProof/>
          <w:sz w:val="22"/>
          <w:szCs w:val="22"/>
          <w:lang w:bidi="ar-SA"/>
        </w:rPr>
      </w:pPr>
      <w:hyperlink w:anchor="_Toc8821864" w:history="1">
        <w:r w:rsidR="00297787" w:rsidRPr="009E5A65">
          <w:rPr>
            <w:rStyle w:val="Hyperlink"/>
            <w:noProof/>
          </w:rPr>
          <w:t>1.9.</w:t>
        </w:r>
        <w:r w:rsidR="00297787" w:rsidRPr="009E5A65">
          <w:rPr>
            <w:rFonts w:asciiTheme="minorHAnsi" w:eastAsiaTheme="minorEastAsia" w:hAnsiTheme="minorHAnsi" w:cstheme="minorBidi"/>
            <w:noProof/>
            <w:sz w:val="22"/>
            <w:szCs w:val="22"/>
            <w:lang w:bidi="ar-SA"/>
          </w:rPr>
          <w:tab/>
        </w:r>
        <w:r w:rsidR="00297787" w:rsidRPr="009E5A65">
          <w:rPr>
            <w:rStyle w:val="Hyperlink"/>
            <w:noProof/>
          </w:rPr>
          <w:t>Horizontāli pasākumi, kas plānoti attiecīgajam periodam</w:t>
        </w:r>
        <w:r w:rsidR="00297787" w:rsidRPr="009E5A65">
          <w:rPr>
            <w:noProof/>
            <w:webHidden/>
          </w:rPr>
          <w:tab/>
        </w:r>
        <w:r w:rsidR="00297787" w:rsidRPr="009E5A65">
          <w:rPr>
            <w:noProof/>
            <w:webHidden/>
          </w:rPr>
          <w:fldChar w:fldCharType="begin"/>
        </w:r>
        <w:r w:rsidR="00297787" w:rsidRPr="009E5A65">
          <w:rPr>
            <w:noProof/>
            <w:webHidden/>
          </w:rPr>
          <w:instrText xml:space="preserve"> PAGEREF _Toc8821864 \h </w:instrText>
        </w:r>
        <w:r w:rsidR="00297787" w:rsidRPr="009E5A65">
          <w:rPr>
            <w:noProof/>
            <w:webHidden/>
          </w:rPr>
        </w:r>
        <w:r w:rsidR="00297787" w:rsidRPr="009E5A65">
          <w:rPr>
            <w:noProof/>
            <w:webHidden/>
          </w:rPr>
          <w:fldChar w:fldCharType="separate"/>
        </w:r>
        <w:r w:rsidR="00DA4D7B">
          <w:rPr>
            <w:noProof/>
            <w:webHidden/>
          </w:rPr>
          <w:t>10</w:t>
        </w:r>
        <w:r w:rsidR="00297787" w:rsidRPr="009E5A65">
          <w:rPr>
            <w:noProof/>
            <w:webHidden/>
          </w:rPr>
          <w:fldChar w:fldCharType="end"/>
        </w:r>
      </w:hyperlink>
    </w:p>
    <w:p w14:paraId="48016A34" w14:textId="738F5F14" w:rsidR="00297787" w:rsidRPr="009E5A65" w:rsidRDefault="00000000">
      <w:pPr>
        <w:pStyle w:val="TOC1"/>
        <w:rPr>
          <w:rFonts w:asciiTheme="minorHAnsi" w:eastAsiaTheme="minorEastAsia" w:hAnsiTheme="minorHAnsi" w:cstheme="minorBidi"/>
          <w:caps w:val="0"/>
          <w:noProof/>
          <w:sz w:val="22"/>
          <w:szCs w:val="22"/>
          <w:lang w:bidi="ar-SA"/>
        </w:rPr>
      </w:pPr>
      <w:hyperlink w:anchor="_Toc8821865" w:history="1">
        <w:r w:rsidR="00297787" w:rsidRPr="009E5A65">
          <w:rPr>
            <w:rStyle w:val="Hyperlink"/>
            <w:noProof/>
          </w:rPr>
          <w:t>2.</w:t>
        </w:r>
        <w:r w:rsidR="00297787" w:rsidRPr="009E5A65">
          <w:rPr>
            <w:rFonts w:asciiTheme="minorHAnsi" w:eastAsiaTheme="minorEastAsia" w:hAnsiTheme="minorHAnsi" w:cstheme="minorBidi"/>
            <w:caps w:val="0"/>
            <w:noProof/>
            <w:sz w:val="22"/>
            <w:szCs w:val="22"/>
            <w:lang w:bidi="ar-SA"/>
          </w:rPr>
          <w:tab/>
        </w:r>
        <w:r w:rsidR="00297787" w:rsidRPr="009E5A65">
          <w:rPr>
            <w:rStyle w:val="Hyperlink"/>
            <w:noProof/>
          </w:rPr>
          <w:t>Tirgus uzraudzība konkrētās nozarēs</w:t>
        </w:r>
        <w:r w:rsidR="00297787" w:rsidRPr="009E5A65">
          <w:rPr>
            <w:noProof/>
            <w:webHidden/>
          </w:rPr>
          <w:tab/>
        </w:r>
        <w:r w:rsidR="00297787" w:rsidRPr="009E5A65">
          <w:rPr>
            <w:noProof/>
            <w:webHidden/>
          </w:rPr>
          <w:fldChar w:fldCharType="begin"/>
        </w:r>
        <w:r w:rsidR="00297787" w:rsidRPr="009E5A65">
          <w:rPr>
            <w:noProof/>
            <w:webHidden/>
          </w:rPr>
          <w:instrText xml:space="preserve"> PAGEREF _Toc8821865 \h </w:instrText>
        </w:r>
        <w:r w:rsidR="00297787" w:rsidRPr="009E5A65">
          <w:rPr>
            <w:noProof/>
            <w:webHidden/>
          </w:rPr>
        </w:r>
        <w:r w:rsidR="00297787" w:rsidRPr="009E5A65">
          <w:rPr>
            <w:noProof/>
            <w:webHidden/>
          </w:rPr>
          <w:fldChar w:fldCharType="separate"/>
        </w:r>
        <w:r w:rsidR="00DA4D7B">
          <w:rPr>
            <w:noProof/>
            <w:webHidden/>
          </w:rPr>
          <w:t>11</w:t>
        </w:r>
        <w:r w:rsidR="00297787" w:rsidRPr="009E5A65">
          <w:rPr>
            <w:noProof/>
            <w:webHidden/>
          </w:rPr>
          <w:fldChar w:fldCharType="end"/>
        </w:r>
      </w:hyperlink>
    </w:p>
    <w:p w14:paraId="79541D6F" w14:textId="5C0FD2C2" w:rsidR="00297787" w:rsidRPr="009E5A65" w:rsidRDefault="00000000">
      <w:pPr>
        <w:pStyle w:val="TOC2"/>
        <w:tabs>
          <w:tab w:val="left" w:pos="1077"/>
        </w:tabs>
        <w:rPr>
          <w:rFonts w:asciiTheme="minorHAnsi" w:eastAsiaTheme="minorEastAsia" w:hAnsiTheme="minorHAnsi" w:cstheme="minorBidi"/>
          <w:noProof/>
          <w:sz w:val="22"/>
          <w:szCs w:val="22"/>
          <w:lang w:bidi="ar-SA"/>
        </w:rPr>
      </w:pPr>
      <w:hyperlink w:anchor="_Toc8821866" w:history="1">
        <w:r w:rsidR="00297787" w:rsidRPr="009E5A65">
          <w:rPr>
            <w:rStyle w:val="Hyperlink"/>
            <w:noProof/>
          </w:rPr>
          <w:t>2.1.</w:t>
        </w:r>
        <w:r w:rsidR="00297787" w:rsidRPr="009E5A65">
          <w:rPr>
            <w:rFonts w:asciiTheme="minorHAnsi" w:eastAsiaTheme="minorEastAsia" w:hAnsiTheme="minorHAnsi" w:cstheme="minorBidi"/>
            <w:noProof/>
            <w:sz w:val="22"/>
            <w:szCs w:val="22"/>
            <w:lang w:bidi="ar-SA"/>
          </w:rPr>
          <w:tab/>
        </w:r>
        <w:r w:rsidR="00297787" w:rsidRPr="009E5A65">
          <w:rPr>
            <w:rStyle w:val="Hyperlink"/>
            <w:noProof/>
          </w:rPr>
          <w:t>Medicīnas ierīces.</w:t>
        </w:r>
        <w:r w:rsidR="00297787" w:rsidRPr="009E5A65">
          <w:rPr>
            <w:noProof/>
            <w:webHidden/>
          </w:rPr>
          <w:tab/>
        </w:r>
        <w:r w:rsidR="00297787" w:rsidRPr="009E5A65">
          <w:rPr>
            <w:noProof/>
            <w:webHidden/>
          </w:rPr>
          <w:fldChar w:fldCharType="begin"/>
        </w:r>
        <w:r w:rsidR="00297787" w:rsidRPr="009E5A65">
          <w:rPr>
            <w:noProof/>
            <w:webHidden/>
          </w:rPr>
          <w:instrText xml:space="preserve"> PAGEREF _Toc8821866 \h </w:instrText>
        </w:r>
        <w:r w:rsidR="00297787" w:rsidRPr="009E5A65">
          <w:rPr>
            <w:noProof/>
            <w:webHidden/>
          </w:rPr>
        </w:r>
        <w:r w:rsidR="00297787" w:rsidRPr="009E5A65">
          <w:rPr>
            <w:noProof/>
            <w:webHidden/>
          </w:rPr>
          <w:fldChar w:fldCharType="separate"/>
        </w:r>
        <w:r w:rsidR="00DA4D7B">
          <w:rPr>
            <w:noProof/>
            <w:webHidden/>
          </w:rPr>
          <w:t>11</w:t>
        </w:r>
        <w:r w:rsidR="00297787" w:rsidRPr="009E5A65">
          <w:rPr>
            <w:noProof/>
            <w:webHidden/>
          </w:rPr>
          <w:fldChar w:fldCharType="end"/>
        </w:r>
      </w:hyperlink>
    </w:p>
    <w:p w14:paraId="2AFA35A5" w14:textId="7B81B4B7" w:rsidR="00297787" w:rsidRPr="009E5A65" w:rsidRDefault="00000000">
      <w:pPr>
        <w:pStyle w:val="TOC3"/>
        <w:tabs>
          <w:tab w:val="left" w:pos="1916"/>
        </w:tabs>
        <w:rPr>
          <w:rFonts w:asciiTheme="minorHAnsi" w:eastAsiaTheme="minorEastAsia" w:hAnsiTheme="minorHAnsi" w:cstheme="minorBidi"/>
          <w:noProof/>
          <w:sz w:val="22"/>
          <w:szCs w:val="22"/>
          <w:lang w:bidi="ar-SA"/>
        </w:rPr>
      </w:pPr>
      <w:hyperlink w:anchor="_Toc8821867" w:history="1">
        <w:r w:rsidR="00297787" w:rsidRPr="009E5A65">
          <w:rPr>
            <w:rStyle w:val="Hyperlink"/>
            <w:noProof/>
          </w:rPr>
          <w:t>2.1.1.</w:t>
        </w:r>
        <w:r w:rsidR="00297787" w:rsidRPr="009E5A65">
          <w:rPr>
            <w:rFonts w:asciiTheme="minorHAnsi" w:eastAsiaTheme="minorEastAsia" w:hAnsiTheme="minorHAnsi" w:cstheme="minorBidi"/>
            <w:noProof/>
            <w:sz w:val="22"/>
            <w:szCs w:val="22"/>
            <w:lang w:bidi="ar-SA"/>
          </w:rPr>
          <w:tab/>
        </w:r>
        <w:r w:rsidR="00297787" w:rsidRPr="009E5A65">
          <w:rPr>
            <w:rStyle w:val="Hyperlink"/>
            <w:noProof/>
          </w:rPr>
          <w:t>Atbildīgās iestādes nosaukums un kontaktinformācija</w:t>
        </w:r>
        <w:r w:rsidR="00297787" w:rsidRPr="009E5A65">
          <w:rPr>
            <w:noProof/>
            <w:webHidden/>
          </w:rPr>
          <w:tab/>
        </w:r>
        <w:r w:rsidR="00297787" w:rsidRPr="009E5A65">
          <w:rPr>
            <w:noProof/>
            <w:webHidden/>
          </w:rPr>
          <w:fldChar w:fldCharType="begin"/>
        </w:r>
        <w:r w:rsidR="00297787" w:rsidRPr="009E5A65">
          <w:rPr>
            <w:noProof/>
            <w:webHidden/>
          </w:rPr>
          <w:instrText xml:space="preserve"> PAGEREF _Toc8821867 \h </w:instrText>
        </w:r>
        <w:r w:rsidR="00297787" w:rsidRPr="009E5A65">
          <w:rPr>
            <w:noProof/>
            <w:webHidden/>
          </w:rPr>
        </w:r>
        <w:r w:rsidR="00297787" w:rsidRPr="009E5A65">
          <w:rPr>
            <w:noProof/>
            <w:webHidden/>
          </w:rPr>
          <w:fldChar w:fldCharType="separate"/>
        </w:r>
        <w:r w:rsidR="00DA4D7B">
          <w:rPr>
            <w:noProof/>
            <w:webHidden/>
          </w:rPr>
          <w:t>11</w:t>
        </w:r>
        <w:r w:rsidR="00297787" w:rsidRPr="009E5A65">
          <w:rPr>
            <w:noProof/>
            <w:webHidden/>
          </w:rPr>
          <w:fldChar w:fldCharType="end"/>
        </w:r>
      </w:hyperlink>
    </w:p>
    <w:p w14:paraId="5BE8BA67" w14:textId="4E01E8F3" w:rsidR="00297787" w:rsidRPr="009E5A65" w:rsidRDefault="00000000">
      <w:pPr>
        <w:pStyle w:val="TOC3"/>
        <w:tabs>
          <w:tab w:val="left" w:pos="1916"/>
        </w:tabs>
        <w:rPr>
          <w:rFonts w:asciiTheme="minorHAnsi" w:eastAsiaTheme="minorEastAsia" w:hAnsiTheme="minorHAnsi" w:cstheme="minorBidi"/>
          <w:noProof/>
          <w:sz w:val="22"/>
          <w:szCs w:val="22"/>
          <w:lang w:bidi="ar-SA"/>
        </w:rPr>
      </w:pPr>
      <w:hyperlink w:anchor="_Toc8821868" w:history="1">
        <w:r w:rsidR="00297787" w:rsidRPr="009E5A65">
          <w:rPr>
            <w:rStyle w:val="Hyperlink"/>
            <w:noProof/>
          </w:rPr>
          <w:t>2.1.2.</w:t>
        </w:r>
        <w:r w:rsidR="00297787" w:rsidRPr="009E5A65">
          <w:rPr>
            <w:rFonts w:asciiTheme="minorHAnsi" w:eastAsiaTheme="minorEastAsia" w:hAnsiTheme="minorHAnsi" w:cstheme="minorBidi"/>
            <w:noProof/>
            <w:sz w:val="22"/>
            <w:szCs w:val="22"/>
            <w:lang w:bidi="ar-SA"/>
          </w:rPr>
          <w:tab/>
        </w:r>
        <w:r w:rsidR="00297787" w:rsidRPr="009E5A65">
          <w:rPr>
            <w:rStyle w:val="Hyperlink"/>
            <w:noProof/>
          </w:rPr>
          <w:t>Tirgus uzraudzības procedūras un stratēģija</w:t>
        </w:r>
        <w:r w:rsidR="00297787" w:rsidRPr="009E5A65">
          <w:rPr>
            <w:noProof/>
            <w:webHidden/>
          </w:rPr>
          <w:tab/>
        </w:r>
        <w:r w:rsidR="00297787" w:rsidRPr="009E5A65">
          <w:rPr>
            <w:noProof/>
            <w:webHidden/>
          </w:rPr>
          <w:fldChar w:fldCharType="begin"/>
        </w:r>
        <w:r w:rsidR="00297787" w:rsidRPr="009E5A65">
          <w:rPr>
            <w:noProof/>
            <w:webHidden/>
          </w:rPr>
          <w:instrText xml:space="preserve"> PAGEREF _Toc8821868 \h </w:instrText>
        </w:r>
        <w:r w:rsidR="00297787" w:rsidRPr="009E5A65">
          <w:rPr>
            <w:noProof/>
            <w:webHidden/>
          </w:rPr>
        </w:r>
        <w:r w:rsidR="00297787" w:rsidRPr="009E5A65">
          <w:rPr>
            <w:noProof/>
            <w:webHidden/>
          </w:rPr>
          <w:fldChar w:fldCharType="separate"/>
        </w:r>
        <w:r w:rsidR="00DA4D7B">
          <w:rPr>
            <w:noProof/>
            <w:webHidden/>
          </w:rPr>
          <w:t>11</w:t>
        </w:r>
        <w:r w:rsidR="00297787" w:rsidRPr="009E5A65">
          <w:rPr>
            <w:noProof/>
            <w:webHidden/>
          </w:rPr>
          <w:fldChar w:fldCharType="end"/>
        </w:r>
      </w:hyperlink>
    </w:p>
    <w:p w14:paraId="0A43FBDB" w14:textId="71CCEE11" w:rsidR="00297787" w:rsidRPr="009E5A65" w:rsidRDefault="00000000">
      <w:pPr>
        <w:pStyle w:val="TOC3"/>
        <w:tabs>
          <w:tab w:val="left" w:pos="1916"/>
        </w:tabs>
        <w:rPr>
          <w:rFonts w:asciiTheme="minorHAnsi" w:eastAsiaTheme="minorEastAsia" w:hAnsiTheme="minorHAnsi" w:cstheme="minorBidi"/>
          <w:noProof/>
          <w:sz w:val="22"/>
          <w:szCs w:val="22"/>
          <w:lang w:bidi="ar-SA"/>
        </w:rPr>
      </w:pPr>
      <w:hyperlink w:anchor="_Toc8821869" w:history="1">
        <w:r w:rsidR="00297787" w:rsidRPr="009E5A65">
          <w:rPr>
            <w:rStyle w:val="Hyperlink"/>
            <w:noProof/>
          </w:rPr>
          <w:t>2.1.3.</w:t>
        </w:r>
        <w:r w:rsidR="00297787" w:rsidRPr="009E5A65">
          <w:rPr>
            <w:rFonts w:asciiTheme="minorHAnsi" w:eastAsiaTheme="minorEastAsia" w:hAnsiTheme="minorHAnsi" w:cstheme="minorBidi"/>
            <w:noProof/>
            <w:sz w:val="22"/>
            <w:szCs w:val="22"/>
            <w:lang w:bidi="ar-SA"/>
          </w:rPr>
          <w:tab/>
        </w:r>
        <w:r w:rsidR="00297787" w:rsidRPr="009E5A65">
          <w:rPr>
            <w:rStyle w:val="Hyperlink"/>
            <w:noProof/>
          </w:rPr>
          <w:t>Ziņojums par darbībām, kas veiktas saskaņā ar iepriekšējo plānošanas periodu</w:t>
        </w:r>
        <w:r w:rsidR="00297787" w:rsidRPr="009E5A65">
          <w:rPr>
            <w:noProof/>
            <w:webHidden/>
          </w:rPr>
          <w:tab/>
        </w:r>
        <w:r w:rsidR="00297787" w:rsidRPr="009E5A65">
          <w:rPr>
            <w:noProof/>
            <w:webHidden/>
          </w:rPr>
          <w:fldChar w:fldCharType="begin"/>
        </w:r>
        <w:r w:rsidR="00297787" w:rsidRPr="009E5A65">
          <w:rPr>
            <w:noProof/>
            <w:webHidden/>
          </w:rPr>
          <w:instrText xml:space="preserve"> PAGEREF _Toc8821869 \h </w:instrText>
        </w:r>
        <w:r w:rsidR="00297787" w:rsidRPr="009E5A65">
          <w:rPr>
            <w:noProof/>
            <w:webHidden/>
          </w:rPr>
        </w:r>
        <w:r w:rsidR="00297787" w:rsidRPr="009E5A65">
          <w:rPr>
            <w:noProof/>
            <w:webHidden/>
          </w:rPr>
          <w:fldChar w:fldCharType="separate"/>
        </w:r>
        <w:r w:rsidR="00DA4D7B">
          <w:rPr>
            <w:noProof/>
            <w:webHidden/>
          </w:rPr>
          <w:t>12</w:t>
        </w:r>
        <w:r w:rsidR="00297787" w:rsidRPr="009E5A65">
          <w:rPr>
            <w:noProof/>
            <w:webHidden/>
          </w:rPr>
          <w:fldChar w:fldCharType="end"/>
        </w:r>
      </w:hyperlink>
    </w:p>
    <w:p w14:paraId="6D21AC64" w14:textId="24A9D48B" w:rsidR="00297787" w:rsidRPr="009E5A65" w:rsidRDefault="00000000">
      <w:pPr>
        <w:pStyle w:val="TOC2"/>
        <w:tabs>
          <w:tab w:val="left" w:pos="1077"/>
        </w:tabs>
        <w:rPr>
          <w:rFonts w:asciiTheme="minorHAnsi" w:eastAsiaTheme="minorEastAsia" w:hAnsiTheme="minorHAnsi" w:cstheme="minorBidi"/>
          <w:noProof/>
          <w:sz w:val="22"/>
          <w:szCs w:val="22"/>
          <w:lang w:bidi="ar-SA"/>
        </w:rPr>
      </w:pPr>
      <w:hyperlink w:anchor="_Toc8821870" w:history="1">
        <w:r w:rsidR="00297787" w:rsidRPr="009E5A65">
          <w:rPr>
            <w:rStyle w:val="Hyperlink"/>
            <w:noProof/>
          </w:rPr>
          <w:t>2.2.</w:t>
        </w:r>
        <w:r w:rsidR="00297787" w:rsidRPr="009E5A65">
          <w:rPr>
            <w:rFonts w:asciiTheme="minorHAnsi" w:eastAsiaTheme="minorEastAsia" w:hAnsiTheme="minorHAnsi" w:cstheme="minorBidi"/>
            <w:noProof/>
            <w:sz w:val="22"/>
            <w:szCs w:val="22"/>
            <w:lang w:bidi="ar-SA"/>
          </w:rPr>
          <w:tab/>
        </w:r>
        <w:r w:rsidR="00297787" w:rsidRPr="009E5A65">
          <w:rPr>
            <w:rStyle w:val="Hyperlink"/>
            <w:noProof/>
          </w:rPr>
          <w:t>Kosmētikas līdzekļi</w:t>
        </w:r>
        <w:r w:rsidR="00297787" w:rsidRPr="009E5A65">
          <w:rPr>
            <w:noProof/>
            <w:webHidden/>
          </w:rPr>
          <w:tab/>
        </w:r>
        <w:r w:rsidR="00297787" w:rsidRPr="009E5A65">
          <w:rPr>
            <w:noProof/>
            <w:webHidden/>
          </w:rPr>
          <w:fldChar w:fldCharType="begin"/>
        </w:r>
        <w:r w:rsidR="00297787" w:rsidRPr="009E5A65">
          <w:rPr>
            <w:noProof/>
            <w:webHidden/>
          </w:rPr>
          <w:instrText xml:space="preserve"> PAGEREF _Toc8821870 \h </w:instrText>
        </w:r>
        <w:r w:rsidR="00297787" w:rsidRPr="009E5A65">
          <w:rPr>
            <w:noProof/>
            <w:webHidden/>
          </w:rPr>
        </w:r>
        <w:r w:rsidR="00297787" w:rsidRPr="009E5A65">
          <w:rPr>
            <w:noProof/>
            <w:webHidden/>
          </w:rPr>
          <w:fldChar w:fldCharType="separate"/>
        </w:r>
        <w:r w:rsidR="00DA4D7B">
          <w:rPr>
            <w:noProof/>
            <w:webHidden/>
          </w:rPr>
          <w:t>12</w:t>
        </w:r>
        <w:r w:rsidR="00297787" w:rsidRPr="009E5A65">
          <w:rPr>
            <w:noProof/>
            <w:webHidden/>
          </w:rPr>
          <w:fldChar w:fldCharType="end"/>
        </w:r>
      </w:hyperlink>
    </w:p>
    <w:p w14:paraId="3FDF5C22" w14:textId="414F583E" w:rsidR="00297787" w:rsidRPr="009E5A65" w:rsidRDefault="00000000">
      <w:pPr>
        <w:pStyle w:val="TOC3"/>
        <w:tabs>
          <w:tab w:val="left" w:pos="1916"/>
        </w:tabs>
        <w:rPr>
          <w:rFonts w:asciiTheme="minorHAnsi" w:eastAsiaTheme="minorEastAsia" w:hAnsiTheme="minorHAnsi" w:cstheme="minorBidi"/>
          <w:noProof/>
          <w:sz w:val="22"/>
          <w:szCs w:val="22"/>
          <w:lang w:bidi="ar-SA"/>
        </w:rPr>
      </w:pPr>
      <w:hyperlink w:anchor="_Toc8821871" w:history="1">
        <w:r w:rsidR="00297787" w:rsidRPr="009E5A65">
          <w:rPr>
            <w:rStyle w:val="Hyperlink"/>
            <w:noProof/>
          </w:rPr>
          <w:t>2.2.1.</w:t>
        </w:r>
        <w:r w:rsidR="00297787" w:rsidRPr="009E5A65">
          <w:rPr>
            <w:rFonts w:asciiTheme="minorHAnsi" w:eastAsiaTheme="minorEastAsia" w:hAnsiTheme="minorHAnsi" w:cstheme="minorBidi"/>
            <w:noProof/>
            <w:sz w:val="22"/>
            <w:szCs w:val="22"/>
            <w:lang w:bidi="ar-SA"/>
          </w:rPr>
          <w:tab/>
        </w:r>
        <w:r w:rsidR="00297787" w:rsidRPr="009E5A65">
          <w:rPr>
            <w:rStyle w:val="Hyperlink"/>
            <w:noProof/>
          </w:rPr>
          <w:t>Atbildīgās iestādes nosaukums un kontaktinformācija</w:t>
        </w:r>
        <w:r w:rsidR="00297787" w:rsidRPr="009E5A65">
          <w:rPr>
            <w:noProof/>
            <w:webHidden/>
          </w:rPr>
          <w:tab/>
        </w:r>
        <w:r w:rsidR="00297787" w:rsidRPr="009E5A65">
          <w:rPr>
            <w:noProof/>
            <w:webHidden/>
          </w:rPr>
          <w:fldChar w:fldCharType="begin"/>
        </w:r>
        <w:r w:rsidR="00297787" w:rsidRPr="009E5A65">
          <w:rPr>
            <w:noProof/>
            <w:webHidden/>
          </w:rPr>
          <w:instrText xml:space="preserve"> PAGEREF _Toc8821871 \h </w:instrText>
        </w:r>
        <w:r w:rsidR="00297787" w:rsidRPr="009E5A65">
          <w:rPr>
            <w:noProof/>
            <w:webHidden/>
          </w:rPr>
        </w:r>
        <w:r w:rsidR="00297787" w:rsidRPr="009E5A65">
          <w:rPr>
            <w:noProof/>
            <w:webHidden/>
          </w:rPr>
          <w:fldChar w:fldCharType="separate"/>
        </w:r>
        <w:r w:rsidR="00DA4D7B">
          <w:rPr>
            <w:noProof/>
            <w:webHidden/>
          </w:rPr>
          <w:t>12</w:t>
        </w:r>
        <w:r w:rsidR="00297787" w:rsidRPr="009E5A65">
          <w:rPr>
            <w:noProof/>
            <w:webHidden/>
          </w:rPr>
          <w:fldChar w:fldCharType="end"/>
        </w:r>
      </w:hyperlink>
    </w:p>
    <w:p w14:paraId="76DE5C17" w14:textId="3452C1F5" w:rsidR="00297787" w:rsidRPr="009E5A65" w:rsidRDefault="00000000">
      <w:pPr>
        <w:pStyle w:val="TOC3"/>
        <w:tabs>
          <w:tab w:val="left" w:pos="1916"/>
        </w:tabs>
        <w:rPr>
          <w:rFonts w:asciiTheme="minorHAnsi" w:eastAsiaTheme="minorEastAsia" w:hAnsiTheme="minorHAnsi" w:cstheme="minorBidi"/>
          <w:noProof/>
          <w:sz w:val="22"/>
          <w:szCs w:val="22"/>
          <w:lang w:bidi="ar-SA"/>
        </w:rPr>
      </w:pPr>
      <w:hyperlink w:anchor="_Toc8821872" w:history="1">
        <w:r w:rsidR="00297787" w:rsidRPr="009E5A65">
          <w:rPr>
            <w:rStyle w:val="Hyperlink"/>
            <w:noProof/>
          </w:rPr>
          <w:t>2.2.2.</w:t>
        </w:r>
        <w:r w:rsidR="00297787" w:rsidRPr="009E5A65">
          <w:rPr>
            <w:rFonts w:asciiTheme="minorHAnsi" w:eastAsiaTheme="minorEastAsia" w:hAnsiTheme="minorHAnsi" w:cstheme="minorBidi"/>
            <w:noProof/>
            <w:sz w:val="22"/>
            <w:szCs w:val="22"/>
            <w:lang w:bidi="ar-SA"/>
          </w:rPr>
          <w:tab/>
        </w:r>
        <w:r w:rsidR="00297787" w:rsidRPr="009E5A65">
          <w:rPr>
            <w:rStyle w:val="Hyperlink"/>
            <w:noProof/>
          </w:rPr>
          <w:t>Tirgus uzraudzības procedūras un stratēģija</w:t>
        </w:r>
        <w:r w:rsidR="00297787" w:rsidRPr="009E5A65">
          <w:rPr>
            <w:noProof/>
            <w:webHidden/>
          </w:rPr>
          <w:tab/>
        </w:r>
        <w:r w:rsidR="00297787" w:rsidRPr="009E5A65">
          <w:rPr>
            <w:noProof/>
            <w:webHidden/>
          </w:rPr>
          <w:fldChar w:fldCharType="begin"/>
        </w:r>
        <w:r w:rsidR="00297787" w:rsidRPr="009E5A65">
          <w:rPr>
            <w:noProof/>
            <w:webHidden/>
          </w:rPr>
          <w:instrText xml:space="preserve"> PAGEREF _Toc8821872 \h </w:instrText>
        </w:r>
        <w:r w:rsidR="00297787" w:rsidRPr="009E5A65">
          <w:rPr>
            <w:noProof/>
            <w:webHidden/>
          </w:rPr>
        </w:r>
        <w:r w:rsidR="00297787" w:rsidRPr="009E5A65">
          <w:rPr>
            <w:noProof/>
            <w:webHidden/>
          </w:rPr>
          <w:fldChar w:fldCharType="separate"/>
        </w:r>
        <w:r w:rsidR="00DA4D7B">
          <w:rPr>
            <w:noProof/>
            <w:webHidden/>
          </w:rPr>
          <w:t>13</w:t>
        </w:r>
        <w:r w:rsidR="00297787" w:rsidRPr="009E5A65">
          <w:rPr>
            <w:noProof/>
            <w:webHidden/>
          </w:rPr>
          <w:fldChar w:fldCharType="end"/>
        </w:r>
      </w:hyperlink>
    </w:p>
    <w:p w14:paraId="4B7FD318" w14:textId="04744E8D" w:rsidR="00297787" w:rsidRPr="009E5A65" w:rsidRDefault="00000000">
      <w:pPr>
        <w:pStyle w:val="TOC3"/>
        <w:tabs>
          <w:tab w:val="left" w:pos="1916"/>
        </w:tabs>
        <w:rPr>
          <w:rFonts w:asciiTheme="minorHAnsi" w:eastAsiaTheme="minorEastAsia" w:hAnsiTheme="minorHAnsi" w:cstheme="minorBidi"/>
          <w:noProof/>
          <w:sz w:val="22"/>
          <w:szCs w:val="22"/>
          <w:lang w:bidi="ar-SA"/>
        </w:rPr>
      </w:pPr>
      <w:hyperlink w:anchor="_Toc8821873" w:history="1">
        <w:r w:rsidR="00297787" w:rsidRPr="009E5A65">
          <w:rPr>
            <w:rStyle w:val="Hyperlink"/>
            <w:noProof/>
          </w:rPr>
          <w:t>2.2.3.</w:t>
        </w:r>
        <w:r w:rsidR="00297787" w:rsidRPr="009E5A65">
          <w:rPr>
            <w:rFonts w:asciiTheme="minorHAnsi" w:eastAsiaTheme="minorEastAsia" w:hAnsiTheme="minorHAnsi" w:cstheme="minorBidi"/>
            <w:noProof/>
            <w:sz w:val="22"/>
            <w:szCs w:val="22"/>
            <w:lang w:bidi="ar-SA"/>
          </w:rPr>
          <w:tab/>
        </w:r>
        <w:r w:rsidR="00297787" w:rsidRPr="009E5A65">
          <w:rPr>
            <w:rStyle w:val="Hyperlink"/>
            <w:noProof/>
          </w:rPr>
          <w:t>Ziņojums par darbībām, kas veiktas saskaņā ar iepriekšējo plānošanas periodu</w:t>
        </w:r>
        <w:r w:rsidR="00297787" w:rsidRPr="009E5A65">
          <w:rPr>
            <w:noProof/>
            <w:webHidden/>
          </w:rPr>
          <w:tab/>
        </w:r>
        <w:r w:rsidR="00297787" w:rsidRPr="009E5A65">
          <w:rPr>
            <w:noProof/>
            <w:webHidden/>
          </w:rPr>
          <w:fldChar w:fldCharType="begin"/>
        </w:r>
        <w:r w:rsidR="00297787" w:rsidRPr="009E5A65">
          <w:rPr>
            <w:noProof/>
            <w:webHidden/>
          </w:rPr>
          <w:instrText xml:space="preserve"> PAGEREF _Toc8821873 \h </w:instrText>
        </w:r>
        <w:r w:rsidR="00297787" w:rsidRPr="009E5A65">
          <w:rPr>
            <w:noProof/>
            <w:webHidden/>
          </w:rPr>
        </w:r>
        <w:r w:rsidR="00297787" w:rsidRPr="009E5A65">
          <w:rPr>
            <w:noProof/>
            <w:webHidden/>
          </w:rPr>
          <w:fldChar w:fldCharType="separate"/>
        </w:r>
        <w:r w:rsidR="00DA4D7B">
          <w:rPr>
            <w:noProof/>
            <w:webHidden/>
          </w:rPr>
          <w:t>13</w:t>
        </w:r>
        <w:r w:rsidR="00297787" w:rsidRPr="009E5A65">
          <w:rPr>
            <w:noProof/>
            <w:webHidden/>
          </w:rPr>
          <w:fldChar w:fldCharType="end"/>
        </w:r>
      </w:hyperlink>
    </w:p>
    <w:p w14:paraId="01D21990" w14:textId="021A5DD9" w:rsidR="00297787" w:rsidRPr="009E5A65" w:rsidRDefault="00000000">
      <w:pPr>
        <w:pStyle w:val="TOC2"/>
        <w:tabs>
          <w:tab w:val="left" w:pos="1077"/>
        </w:tabs>
        <w:rPr>
          <w:rFonts w:asciiTheme="minorHAnsi" w:eastAsiaTheme="minorEastAsia" w:hAnsiTheme="minorHAnsi" w:cstheme="minorBidi"/>
          <w:noProof/>
          <w:sz w:val="22"/>
          <w:szCs w:val="22"/>
          <w:lang w:bidi="ar-SA"/>
        </w:rPr>
      </w:pPr>
      <w:hyperlink w:anchor="_Toc8821874" w:history="1">
        <w:r w:rsidR="00297787" w:rsidRPr="009E5A65">
          <w:rPr>
            <w:rStyle w:val="Hyperlink"/>
            <w:noProof/>
          </w:rPr>
          <w:t>2.3.</w:t>
        </w:r>
        <w:r w:rsidR="00297787" w:rsidRPr="009E5A65">
          <w:rPr>
            <w:rFonts w:asciiTheme="minorHAnsi" w:eastAsiaTheme="minorEastAsia" w:hAnsiTheme="minorHAnsi" w:cstheme="minorBidi"/>
            <w:noProof/>
            <w:sz w:val="22"/>
            <w:szCs w:val="22"/>
            <w:lang w:bidi="ar-SA"/>
          </w:rPr>
          <w:tab/>
        </w:r>
        <w:r w:rsidR="00297787" w:rsidRPr="009E5A65">
          <w:rPr>
            <w:rStyle w:val="Hyperlink"/>
            <w:noProof/>
          </w:rPr>
          <w:t>Nozares, kas ir noteiktas pielikuma 3.punktā – Rotaļlietas, kā arī pielikuma 4., 5., 6., 7., 8., 9., 10., 11., 12., 13., 16., 17., 18., 19., 20., 21., 22., 23., 24., 25., 26., 27., 28., 30., 31., 32., 33. punktā</w:t>
        </w:r>
        <w:r w:rsidR="00297787" w:rsidRPr="009E5A65">
          <w:rPr>
            <w:noProof/>
            <w:webHidden/>
          </w:rPr>
          <w:tab/>
        </w:r>
        <w:r w:rsidR="00297787" w:rsidRPr="009E5A65">
          <w:rPr>
            <w:noProof/>
            <w:webHidden/>
          </w:rPr>
          <w:fldChar w:fldCharType="begin"/>
        </w:r>
        <w:r w:rsidR="00297787" w:rsidRPr="009E5A65">
          <w:rPr>
            <w:noProof/>
            <w:webHidden/>
          </w:rPr>
          <w:instrText xml:space="preserve"> PAGEREF _Toc8821874 \h </w:instrText>
        </w:r>
        <w:r w:rsidR="00297787" w:rsidRPr="009E5A65">
          <w:rPr>
            <w:noProof/>
            <w:webHidden/>
          </w:rPr>
        </w:r>
        <w:r w:rsidR="00297787" w:rsidRPr="009E5A65">
          <w:rPr>
            <w:noProof/>
            <w:webHidden/>
          </w:rPr>
          <w:fldChar w:fldCharType="separate"/>
        </w:r>
        <w:r w:rsidR="00DA4D7B">
          <w:rPr>
            <w:noProof/>
            <w:webHidden/>
          </w:rPr>
          <w:t>13</w:t>
        </w:r>
        <w:r w:rsidR="00297787" w:rsidRPr="009E5A65">
          <w:rPr>
            <w:noProof/>
            <w:webHidden/>
          </w:rPr>
          <w:fldChar w:fldCharType="end"/>
        </w:r>
      </w:hyperlink>
    </w:p>
    <w:p w14:paraId="742B549E" w14:textId="19322126" w:rsidR="00297787" w:rsidRDefault="00000000">
      <w:pPr>
        <w:pStyle w:val="TOC3"/>
        <w:tabs>
          <w:tab w:val="left" w:pos="1916"/>
        </w:tabs>
        <w:rPr>
          <w:rFonts w:asciiTheme="minorHAnsi" w:eastAsiaTheme="minorEastAsia" w:hAnsiTheme="minorHAnsi" w:cstheme="minorBidi"/>
          <w:noProof/>
          <w:sz w:val="22"/>
          <w:szCs w:val="22"/>
          <w:lang w:bidi="ar-SA"/>
        </w:rPr>
      </w:pPr>
      <w:hyperlink w:anchor="_Toc8821875" w:history="1">
        <w:r w:rsidR="00297787" w:rsidRPr="00E25D11">
          <w:rPr>
            <w:rStyle w:val="Hyperlink"/>
            <w:i/>
            <w:noProof/>
          </w:rPr>
          <w:t>2.3.1.</w:t>
        </w:r>
        <w:r w:rsidR="00297787">
          <w:rPr>
            <w:rFonts w:asciiTheme="minorHAnsi" w:eastAsiaTheme="minorEastAsia" w:hAnsiTheme="minorHAnsi" w:cstheme="minorBidi"/>
            <w:noProof/>
            <w:sz w:val="22"/>
            <w:szCs w:val="22"/>
            <w:lang w:bidi="ar-SA"/>
          </w:rPr>
          <w:tab/>
        </w:r>
        <w:r w:rsidR="00297787" w:rsidRPr="00E25D11">
          <w:rPr>
            <w:rStyle w:val="Hyperlink"/>
            <w:i/>
            <w:noProof/>
          </w:rPr>
          <w:t>Atbildīgās iestādes nosaukums un kontaktinformācija</w:t>
        </w:r>
        <w:r w:rsidR="00297787">
          <w:rPr>
            <w:noProof/>
            <w:webHidden/>
          </w:rPr>
          <w:tab/>
        </w:r>
        <w:r w:rsidR="00297787">
          <w:rPr>
            <w:noProof/>
            <w:webHidden/>
          </w:rPr>
          <w:fldChar w:fldCharType="begin"/>
        </w:r>
        <w:r w:rsidR="00297787">
          <w:rPr>
            <w:noProof/>
            <w:webHidden/>
          </w:rPr>
          <w:instrText xml:space="preserve"> PAGEREF _Toc8821875 \h </w:instrText>
        </w:r>
        <w:r w:rsidR="00297787">
          <w:rPr>
            <w:noProof/>
            <w:webHidden/>
          </w:rPr>
        </w:r>
        <w:r w:rsidR="00297787">
          <w:rPr>
            <w:noProof/>
            <w:webHidden/>
          </w:rPr>
          <w:fldChar w:fldCharType="separate"/>
        </w:r>
        <w:r w:rsidR="00DA4D7B">
          <w:rPr>
            <w:noProof/>
            <w:webHidden/>
          </w:rPr>
          <w:t>13</w:t>
        </w:r>
        <w:r w:rsidR="00297787">
          <w:rPr>
            <w:noProof/>
            <w:webHidden/>
          </w:rPr>
          <w:fldChar w:fldCharType="end"/>
        </w:r>
      </w:hyperlink>
    </w:p>
    <w:p w14:paraId="3D5A3127" w14:textId="2C4BC8C6" w:rsidR="00297787" w:rsidRPr="009E5A65" w:rsidRDefault="00000000">
      <w:pPr>
        <w:pStyle w:val="TOC3"/>
        <w:tabs>
          <w:tab w:val="left" w:pos="1916"/>
        </w:tabs>
        <w:rPr>
          <w:rFonts w:asciiTheme="minorHAnsi" w:eastAsiaTheme="minorEastAsia" w:hAnsiTheme="minorHAnsi" w:cstheme="minorBidi"/>
          <w:noProof/>
          <w:sz w:val="22"/>
          <w:szCs w:val="22"/>
          <w:lang w:bidi="ar-SA"/>
        </w:rPr>
      </w:pPr>
      <w:hyperlink w:anchor="_Toc8821876" w:history="1">
        <w:r w:rsidR="00297787" w:rsidRPr="009E5A65">
          <w:rPr>
            <w:rStyle w:val="Hyperlink"/>
            <w:noProof/>
          </w:rPr>
          <w:t>2.3.2.</w:t>
        </w:r>
        <w:r w:rsidR="00297787" w:rsidRPr="009E5A65">
          <w:rPr>
            <w:rFonts w:asciiTheme="minorHAnsi" w:eastAsiaTheme="minorEastAsia" w:hAnsiTheme="minorHAnsi" w:cstheme="minorBidi"/>
            <w:noProof/>
            <w:sz w:val="22"/>
            <w:szCs w:val="22"/>
            <w:lang w:bidi="ar-SA"/>
          </w:rPr>
          <w:tab/>
        </w:r>
        <w:r w:rsidR="00297787" w:rsidRPr="009E5A65">
          <w:rPr>
            <w:rStyle w:val="Hyperlink"/>
            <w:noProof/>
          </w:rPr>
          <w:t>Tirgus uzraudzības procedūras un stratēģija</w:t>
        </w:r>
        <w:r w:rsidR="00297787" w:rsidRPr="009E5A65">
          <w:rPr>
            <w:noProof/>
            <w:webHidden/>
          </w:rPr>
          <w:tab/>
        </w:r>
        <w:r w:rsidR="00297787" w:rsidRPr="009E5A65">
          <w:rPr>
            <w:noProof/>
            <w:webHidden/>
          </w:rPr>
          <w:fldChar w:fldCharType="begin"/>
        </w:r>
        <w:r w:rsidR="00297787" w:rsidRPr="009E5A65">
          <w:rPr>
            <w:noProof/>
            <w:webHidden/>
          </w:rPr>
          <w:instrText xml:space="preserve"> PAGEREF _Toc8821876 \h </w:instrText>
        </w:r>
        <w:r w:rsidR="00297787" w:rsidRPr="009E5A65">
          <w:rPr>
            <w:noProof/>
            <w:webHidden/>
          </w:rPr>
        </w:r>
        <w:r w:rsidR="00297787" w:rsidRPr="009E5A65">
          <w:rPr>
            <w:noProof/>
            <w:webHidden/>
          </w:rPr>
          <w:fldChar w:fldCharType="separate"/>
        </w:r>
        <w:r w:rsidR="00DA4D7B">
          <w:rPr>
            <w:noProof/>
            <w:webHidden/>
          </w:rPr>
          <w:t>16</w:t>
        </w:r>
        <w:r w:rsidR="00297787" w:rsidRPr="009E5A65">
          <w:rPr>
            <w:noProof/>
            <w:webHidden/>
          </w:rPr>
          <w:fldChar w:fldCharType="end"/>
        </w:r>
      </w:hyperlink>
    </w:p>
    <w:p w14:paraId="481C8A65" w14:textId="616FFFFA" w:rsidR="00297787" w:rsidRDefault="00000000">
      <w:pPr>
        <w:pStyle w:val="TOC3"/>
        <w:tabs>
          <w:tab w:val="left" w:pos="1916"/>
        </w:tabs>
        <w:rPr>
          <w:rFonts w:asciiTheme="minorHAnsi" w:eastAsiaTheme="minorEastAsia" w:hAnsiTheme="minorHAnsi" w:cstheme="minorBidi"/>
          <w:noProof/>
          <w:sz w:val="22"/>
          <w:szCs w:val="22"/>
          <w:lang w:bidi="ar-SA"/>
        </w:rPr>
      </w:pPr>
      <w:hyperlink w:anchor="_Toc8821877" w:history="1">
        <w:r w:rsidR="00297787" w:rsidRPr="00E25D11">
          <w:rPr>
            <w:rStyle w:val="Hyperlink"/>
            <w:noProof/>
          </w:rPr>
          <w:t>2.3.3.</w:t>
        </w:r>
        <w:r w:rsidR="00297787">
          <w:rPr>
            <w:rFonts w:asciiTheme="minorHAnsi" w:eastAsiaTheme="minorEastAsia" w:hAnsiTheme="minorHAnsi" w:cstheme="minorBidi"/>
            <w:noProof/>
            <w:sz w:val="22"/>
            <w:szCs w:val="22"/>
            <w:lang w:bidi="ar-SA"/>
          </w:rPr>
          <w:tab/>
        </w:r>
        <w:r w:rsidR="00297787" w:rsidRPr="00E25D11">
          <w:rPr>
            <w:rStyle w:val="Hyperlink"/>
            <w:noProof/>
          </w:rPr>
          <w:t>Ziņojums par darbībām, kas veiktas saskaņā ar iepriekšējo plānošanas periodu</w:t>
        </w:r>
        <w:r w:rsidR="00297787">
          <w:rPr>
            <w:noProof/>
            <w:webHidden/>
          </w:rPr>
          <w:tab/>
        </w:r>
        <w:r w:rsidR="00297787">
          <w:rPr>
            <w:noProof/>
            <w:webHidden/>
          </w:rPr>
          <w:fldChar w:fldCharType="begin"/>
        </w:r>
        <w:r w:rsidR="00297787">
          <w:rPr>
            <w:noProof/>
            <w:webHidden/>
          </w:rPr>
          <w:instrText xml:space="preserve"> PAGEREF _Toc8821877 \h </w:instrText>
        </w:r>
        <w:r w:rsidR="00297787">
          <w:rPr>
            <w:noProof/>
            <w:webHidden/>
          </w:rPr>
        </w:r>
        <w:r w:rsidR="00297787">
          <w:rPr>
            <w:noProof/>
            <w:webHidden/>
          </w:rPr>
          <w:fldChar w:fldCharType="separate"/>
        </w:r>
        <w:r w:rsidR="00DA4D7B">
          <w:rPr>
            <w:noProof/>
            <w:webHidden/>
          </w:rPr>
          <w:t>17</w:t>
        </w:r>
        <w:r w:rsidR="00297787">
          <w:rPr>
            <w:noProof/>
            <w:webHidden/>
          </w:rPr>
          <w:fldChar w:fldCharType="end"/>
        </w:r>
      </w:hyperlink>
    </w:p>
    <w:p w14:paraId="09F62DBF" w14:textId="7C6095A2" w:rsidR="00297787" w:rsidRDefault="00000000">
      <w:pPr>
        <w:pStyle w:val="TOC2"/>
        <w:tabs>
          <w:tab w:val="left" w:pos="1916"/>
        </w:tabs>
        <w:rPr>
          <w:rFonts w:asciiTheme="minorHAnsi" w:eastAsiaTheme="minorEastAsia" w:hAnsiTheme="minorHAnsi" w:cstheme="minorBidi"/>
          <w:noProof/>
          <w:sz w:val="22"/>
          <w:szCs w:val="22"/>
          <w:lang w:bidi="ar-SA"/>
        </w:rPr>
      </w:pPr>
      <w:hyperlink w:anchor="_Toc8821878" w:history="1">
        <w:r w:rsidR="00297787" w:rsidRPr="00E25D11">
          <w:rPr>
            <w:rStyle w:val="Hyperlink"/>
            <w:noProof/>
          </w:rPr>
          <w:t>2.14.</w:t>
        </w:r>
        <w:r w:rsidR="00297787">
          <w:rPr>
            <w:rFonts w:asciiTheme="minorHAnsi" w:eastAsiaTheme="minorEastAsia" w:hAnsiTheme="minorHAnsi" w:cstheme="minorBidi"/>
            <w:noProof/>
            <w:sz w:val="22"/>
            <w:szCs w:val="22"/>
            <w:lang w:bidi="ar-SA"/>
          </w:rPr>
          <w:tab/>
        </w:r>
        <w:r w:rsidR="00297787" w:rsidRPr="00E25D11">
          <w:rPr>
            <w:rStyle w:val="Hyperlink"/>
            <w:noProof/>
          </w:rPr>
          <w:t>Pirotehnika</w:t>
        </w:r>
        <w:r w:rsidR="00297787">
          <w:rPr>
            <w:noProof/>
            <w:webHidden/>
          </w:rPr>
          <w:tab/>
        </w:r>
        <w:r w:rsidR="00297787">
          <w:rPr>
            <w:noProof/>
            <w:webHidden/>
          </w:rPr>
          <w:fldChar w:fldCharType="begin"/>
        </w:r>
        <w:r w:rsidR="00297787">
          <w:rPr>
            <w:noProof/>
            <w:webHidden/>
          </w:rPr>
          <w:instrText xml:space="preserve"> PAGEREF _Toc8821878 \h </w:instrText>
        </w:r>
        <w:r w:rsidR="00297787">
          <w:rPr>
            <w:noProof/>
            <w:webHidden/>
          </w:rPr>
        </w:r>
        <w:r w:rsidR="00297787">
          <w:rPr>
            <w:noProof/>
            <w:webHidden/>
          </w:rPr>
          <w:fldChar w:fldCharType="separate"/>
        </w:r>
        <w:r w:rsidR="00DA4D7B">
          <w:rPr>
            <w:noProof/>
            <w:webHidden/>
          </w:rPr>
          <w:t>18</w:t>
        </w:r>
        <w:r w:rsidR="00297787">
          <w:rPr>
            <w:noProof/>
            <w:webHidden/>
          </w:rPr>
          <w:fldChar w:fldCharType="end"/>
        </w:r>
      </w:hyperlink>
    </w:p>
    <w:p w14:paraId="44459ED3" w14:textId="492B410A" w:rsidR="00297787" w:rsidRDefault="00000000">
      <w:pPr>
        <w:pStyle w:val="TOC2"/>
        <w:tabs>
          <w:tab w:val="left" w:pos="1916"/>
        </w:tabs>
        <w:rPr>
          <w:rFonts w:asciiTheme="minorHAnsi" w:eastAsiaTheme="minorEastAsia" w:hAnsiTheme="minorHAnsi" w:cstheme="minorBidi"/>
          <w:noProof/>
          <w:sz w:val="22"/>
          <w:szCs w:val="22"/>
          <w:lang w:bidi="ar-SA"/>
        </w:rPr>
      </w:pPr>
      <w:hyperlink w:anchor="_Toc8821879" w:history="1">
        <w:r w:rsidR="00297787" w:rsidRPr="00E25D11">
          <w:rPr>
            <w:rStyle w:val="Hyperlink"/>
            <w:noProof/>
          </w:rPr>
          <w:t>2.15.</w:t>
        </w:r>
        <w:r w:rsidR="00297787">
          <w:rPr>
            <w:rFonts w:asciiTheme="minorHAnsi" w:eastAsiaTheme="minorEastAsia" w:hAnsiTheme="minorHAnsi" w:cstheme="minorBidi"/>
            <w:noProof/>
            <w:sz w:val="22"/>
            <w:szCs w:val="22"/>
            <w:lang w:bidi="ar-SA"/>
          </w:rPr>
          <w:tab/>
        </w:r>
        <w:r w:rsidR="00297787" w:rsidRPr="00E25D11">
          <w:rPr>
            <w:rStyle w:val="Hyperlink"/>
            <w:noProof/>
          </w:rPr>
          <w:t>Civilām vajadzībām paredzētas sprāgstvielas.</w:t>
        </w:r>
        <w:r w:rsidR="00297787">
          <w:rPr>
            <w:noProof/>
            <w:webHidden/>
          </w:rPr>
          <w:tab/>
        </w:r>
        <w:r w:rsidR="00297787">
          <w:rPr>
            <w:noProof/>
            <w:webHidden/>
          </w:rPr>
          <w:fldChar w:fldCharType="begin"/>
        </w:r>
        <w:r w:rsidR="00297787">
          <w:rPr>
            <w:noProof/>
            <w:webHidden/>
          </w:rPr>
          <w:instrText xml:space="preserve"> PAGEREF _Toc8821879 \h </w:instrText>
        </w:r>
        <w:r w:rsidR="00297787">
          <w:rPr>
            <w:noProof/>
            <w:webHidden/>
          </w:rPr>
        </w:r>
        <w:r w:rsidR="00297787">
          <w:rPr>
            <w:noProof/>
            <w:webHidden/>
          </w:rPr>
          <w:fldChar w:fldCharType="separate"/>
        </w:r>
        <w:r w:rsidR="00DA4D7B">
          <w:rPr>
            <w:noProof/>
            <w:webHidden/>
          </w:rPr>
          <w:t>19</w:t>
        </w:r>
        <w:r w:rsidR="00297787">
          <w:rPr>
            <w:noProof/>
            <w:webHidden/>
          </w:rPr>
          <w:fldChar w:fldCharType="end"/>
        </w:r>
      </w:hyperlink>
    </w:p>
    <w:p w14:paraId="3DEAE576" w14:textId="393D0E59" w:rsidR="00297787" w:rsidRDefault="00000000">
      <w:pPr>
        <w:pStyle w:val="TOC3"/>
        <w:tabs>
          <w:tab w:val="left" w:pos="2880"/>
        </w:tabs>
        <w:rPr>
          <w:rFonts w:asciiTheme="minorHAnsi" w:eastAsiaTheme="minorEastAsia" w:hAnsiTheme="minorHAnsi" w:cstheme="minorBidi"/>
          <w:noProof/>
          <w:sz w:val="22"/>
          <w:szCs w:val="22"/>
          <w:lang w:bidi="ar-SA"/>
        </w:rPr>
      </w:pPr>
      <w:hyperlink w:anchor="_Toc8821880" w:history="1">
        <w:r w:rsidR="00297787" w:rsidRPr="00E25D11">
          <w:rPr>
            <w:rStyle w:val="Hyperlink"/>
            <w:noProof/>
          </w:rPr>
          <w:t>2.15.1.</w:t>
        </w:r>
        <w:r w:rsidR="00297787">
          <w:rPr>
            <w:rFonts w:asciiTheme="minorHAnsi" w:eastAsiaTheme="minorEastAsia" w:hAnsiTheme="minorHAnsi" w:cstheme="minorBidi"/>
            <w:noProof/>
            <w:sz w:val="22"/>
            <w:szCs w:val="22"/>
            <w:lang w:bidi="ar-SA"/>
          </w:rPr>
          <w:tab/>
        </w:r>
        <w:r w:rsidR="00297787" w:rsidRPr="00E25D11">
          <w:rPr>
            <w:rStyle w:val="Hyperlink"/>
            <w:noProof/>
          </w:rPr>
          <w:t>Atbildīgās iestādes nosaukums un kontaktinformācija</w:t>
        </w:r>
        <w:r w:rsidR="00297787">
          <w:rPr>
            <w:noProof/>
            <w:webHidden/>
          </w:rPr>
          <w:tab/>
        </w:r>
        <w:r w:rsidR="00297787">
          <w:rPr>
            <w:noProof/>
            <w:webHidden/>
          </w:rPr>
          <w:fldChar w:fldCharType="begin"/>
        </w:r>
        <w:r w:rsidR="00297787">
          <w:rPr>
            <w:noProof/>
            <w:webHidden/>
          </w:rPr>
          <w:instrText xml:space="preserve"> PAGEREF _Toc8821880 \h </w:instrText>
        </w:r>
        <w:r w:rsidR="00297787">
          <w:rPr>
            <w:noProof/>
            <w:webHidden/>
          </w:rPr>
        </w:r>
        <w:r w:rsidR="00297787">
          <w:rPr>
            <w:noProof/>
            <w:webHidden/>
          </w:rPr>
          <w:fldChar w:fldCharType="separate"/>
        </w:r>
        <w:r w:rsidR="00DA4D7B">
          <w:rPr>
            <w:noProof/>
            <w:webHidden/>
          </w:rPr>
          <w:t>19</w:t>
        </w:r>
        <w:r w:rsidR="00297787">
          <w:rPr>
            <w:noProof/>
            <w:webHidden/>
          </w:rPr>
          <w:fldChar w:fldCharType="end"/>
        </w:r>
      </w:hyperlink>
    </w:p>
    <w:p w14:paraId="7771AD6A" w14:textId="40ADF649" w:rsidR="00297787" w:rsidRDefault="00000000">
      <w:pPr>
        <w:pStyle w:val="TOC3"/>
        <w:tabs>
          <w:tab w:val="left" w:pos="2880"/>
        </w:tabs>
        <w:rPr>
          <w:rFonts w:asciiTheme="minorHAnsi" w:eastAsiaTheme="minorEastAsia" w:hAnsiTheme="minorHAnsi" w:cstheme="minorBidi"/>
          <w:noProof/>
          <w:sz w:val="22"/>
          <w:szCs w:val="22"/>
          <w:lang w:bidi="ar-SA"/>
        </w:rPr>
      </w:pPr>
      <w:hyperlink w:anchor="_Toc8821881" w:history="1">
        <w:r w:rsidR="00297787" w:rsidRPr="00E25D11">
          <w:rPr>
            <w:rStyle w:val="Hyperlink"/>
            <w:noProof/>
          </w:rPr>
          <w:t>2.15.2.</w:t>
        </w:r>
        <w:r w:rsidR="00297787">
          <w:rPr>
            <w:rFonts w:asciiTheme="minorHAnsi" w:eastAsiaTheme="minorEastAsia" w:hAnsiTheme="minorHAnsi" w:cstheme="minorBidi"/>
            <w:noProof/>
            <w:sz w:val="22"/>
            <w:szCs w:val="22"/>
            <w:lang w:bidi="ar-SA"/>
          </w:rPr>
          <w:tab/>
        </w:r>
        <w:r w:rsidR="00297787" w:rsidRPr="00E25D11">
          <w:rPr>
            <w:rStyle w:val="Hyperlink"/>
            <w:noProof/>
          </w:rPr>
          <w:t>Tirgus uzraudzības procedūras un stratēģija</w:t>
        </w:r>
        <w:r w:rsidR="00297787">
          <w:rPr>
            <w:noProof/>
            <w:webHidden/>
          </w:rPr>
          <w:tab/>
        </w:r>
        <w:r w:rsidR="00297787">
          <w:rPr>
            <w:noProof/>
            <w:webHidden/>
          </w:rPr>
          <w:fldChar w:fldCharType="begin"/>
        </w:r>
        <w:r w:rsidR="00297787">
          <w:rPr>
            <w:noProof/>
            <w:webHidden/>
          </w:rPr>
          <w:instrText xml:space="preserve"> PAGEREF _Toc8821881 \h </w:instrText>
        </w:r>
        <w:r w:rsidR="00297787">
          <w:rPr>
            <w:noProof/>
            <w:webHidden/>
          </w:rPr>
        </w:r>
        <w:r w:rsidR="00297787">
          <w:rPr>
            <w:noProof/>
            <w:webHidden/>
          </w:rPr>
          <w:fldChar w:fldCharType="separate"/>
        </w:r>
        <w:r w:rsidR="00DA4D7B">
          <w:rPr>
            <w:noProof/>
            <w:webHidden/>
          </w:rPr>
          <w:t>19</w:t>
        </w:r>
        <w:r w:rsidR="00297787">
          <w:rPr>
            <w:noProof/>
            <w:webHidden/>
          </w:rPr>
          <w:fldChar w:fldCharType="end"/>
        </w:r>
      </w:hyperlink>
    </w:p>
    <w:p w14:paraId="5F16BBA2" w14:textId="0460D419" w:rsidR="00297787" w:rsidRDefault="00000000">
      <w:pPr>
        <w:pStyle w:val="TOC3"/>
        <w:tabs>
          <w:tab w:val="left" w:pos="2880"/>
        </w:tabs>
        <w:rPr>
          <w:rFonts w:asciiTheme="minorHAnsi" w:eastAsiaTheme="minorEastAsia" w:hAnsiTheme="minorHAnsi" w:cstheme="minorBidi"/>
          <w:noProof/>
          <w:sz w:val="22"/>
          <w:szCs w:val="22"/>
          <w:lang w:bidi="ar-SA"/>
        </w:rPr>
      </w:pPr>
      <w:hyperlink w:anchor="_Toc8821882" w:history="1">
        <w:r w:rsidR="00297787" w:rsidRPr="00E25D11">
          <w:rPr>
            <w:rStyle w:val="Hyperlink"/>
            <w:noProof/>
          </w:rPr>
          <w:t>2.15.3.</w:t>
        </w:r>
        <w:r w:rsidR="00297787">
          <w:rPr>
            <w:rFonts w:asciiTheme="minorHAnsi" w:eastAsiaTheme="minorEastAsia" w:hAnsiTheme="minorHAnsi" w:cstheme="minorBidi"/>
            <w:noProof/>
            <w:sz w:val="22"/>
            <w:szCs w:val="22"/>
            <w:lang w:bidi="ar-SA"/>
          </w:rPr>
          <w:tab/>
        </w:r>
        <w:r w:rsidR="00297787" w:rsidRPr="00E25D11">
          <w:rPr>
            <w:rStyle w:val="Hyperlink"/>
            <w:noProof/>
          </w:rPr>
          <w:t>Ziņojums par darbībām, kas veiktas saskaņā ar iepriekšējo plānošanas periodu</w:t>
        </w:r>
        <w:r w:rsidR="00297787">
          <w:rPr>
            <w:noProof/>
            <w:webHidden/>
          </w:rPr>
          <w:tab/>
        </w:r>
        <w:r w:rsidR="00297787">
          <w:rPr>
            <w:noProof/>
            <w:webHidden/>
          </w:rPr>
          <w:fldChar w:fldCharType="begin"/>
        </w:r>
        <w:r w:rsidR="00297787">
          <w:rPr>
            <w:noProof/>
            <w:webHidden/>
          </w:rPr>
          <w:instrText xml:space="preserve"> PAGEREF _Toc8821882 \h </w:instrText>
        </w:r>
        <w:r w:rsidR="00297787">
          <w:rPr>
            <w:noProof/>
            <w:webHidden/>
          </w:rPr>
        </w:r>
        <w:r w:rsidR="00297787">
          <w:rPr>
            <w:noProof/>
            <w:webHidden/>
          </w:rPr>
          <w:fldChar w:fldCharType="separate"/>
        </w:r>
        <w:r w:rsidR="00DA4D7B">
          <w:rPr>
            <w:noProof/>
            <w:webHidden/>
          </w:rPr>
          <w:t>20</w:t>
        </w:r>
        <w:r w:rsidR="00297787">
          <w:rPr>
            <w:noProof/>
            <w:webHidden/>
          </w:rPr>
          <w:fldChar w:fldCharType="end"/>
        </w:r>
      </w:hyperlink>
    </w:p>
    <w:p w14:paraId="06292712" w14:textId="311F6521" w:rsidR="00297787" w:rsidRDefault="00000000">
      <w:pPr>
        <w:pStyle w:val="TOC2"/>
        <w:tabs>
          <w:tab w:val="left" w:pos="1916"/>
        </w:tabs>
        <w:rPr>
          <w:rFonts w:asciiTheme="minorHAnsi" w:eastAsiaTheme="minorEastAsia" w:hAnsiTheme="minorHAnsi" w:cstheme="minorBidi"/>
          <w:noProof/>
          <w:sz w:val="22"/>
          <w:szCs w:val="22"/>
          <w:lang w:bidi="ar-SA"/>
        </w:rPr>
      </w:pPr>
      <w:hyperlink w:anchor="_Toc8821883" w:history="1">
        <w:r w:rsidR="00297787" w:rsidRPr="00E25D11">
          <w:rPr>
            <w:rStyle w:val="Hyperlink"/>
            <w:noProof/>
          </w:rPr>
          <w:t>2.22.</w:t>
        </w:r>
        <w:r w:rsidR="00297787">
          <w:rPr>
            <w:rFonts w:asciiTheme="minorHAnsi" w:eastAsiaTheme="minorEastAsia" w:hAnsiTheme="minorHAnsi" w:cstheme="minorBidi"/>
            <w:noProof/>
            <w:sz w:val="22"/>
            <w:szCs w:val="22"/>
            <w:lang w:bidi="ar-SA"/>
          </w:rPr>
          <w:tab/>
        </w:r>
        <w:r w:rsidR="00297787" w:rsidRPr="00E25D11">
          <w:rPr>
            <w:rStyle w:val="Hyperlink"/>
            <w:noProof/>
          </w:rPr>
          <w:t xml:space="preserve">/ A: Ķīmiskās vielas saskaņā ar </w:t>
        </w:r>
        <w:r w:rsidR="00297787" w:rsidRPr="00E25D11">
          <w:rPr>
            <w:rStyle w:val="Hyperlink"/>
            <w:i/>
            <w:noProof/>
          </w:rPr>
          <w:t>REACH</w:t>
        </w:r>
        <w:r w:rsidR="00297787" w:rsidRPr="00E25D11">
          <w:rPr>
            <w:rStyle w:val="Hyperlink"/>
            <w:noProof/>
          </w:rPr>
          <w:t xml:space="preserve"> un Klasificēšanas un marķēšanas regulām (skat. arī 2.3. punktā minēto par PTAC attiecībā uz šo nozari)</w:t>
        </w:r>
        <w:r w:rsidR="00297787">
          <w:rPr>
            <w:noProof/>
            <w:webHidden/>
          </w:rPr>
          <w:tab/>
        </w:r>
        <w:r w:rsidR="00297787">
          <w:rPr>
            <w:noProof/>
            <w:webHidden/>
          </w:rPr>
          <w:fldChar w:fldCharType="begin"/>
        </w:r>
        <w:r w:rsidR="00297787">
          <w:rPr>
            <w:noProof/>
            <w:webHidden/>
          </w:rPr>
          <w:instrText xml:space="preserve"> PAGEREF _Toc8821883 \h </w:instrText>
        </w:r>
        <w:r w:rsidR="00297787">
          <w:rPr>
            <w:noProof/>
            <w:webHidden/>
          </w:rPr>
        </w:r>
        <w:r w:rsidR="00297787">
          <w:rPr>
            <w:noProof/>
            <w:webHidden/>
          </w:rPr>
          <w:fldChar w:fldCharType="separate"/>
        </w:r>
        <w:r w:rsidR="00DA4D7B">
          <w:rPr>
            <w:noProof/>
            <w:webHidden/>
          </w:rPr>
          <w:t>21</w:t>
        </w:r>
        <w:r w:rsidR="00297787">
          <w:rPr>
            <w:noProof/>
            <w:webHidden/>
          </w:rPr>
          <w:fldChar w:fldCharType="end"/>
        </w:r>
      </w:hyperlink>
    </w:p>
    <w:p w14:paraId="73CCA29F" w14:textId="65A9D849" w:rsidR="00297787" w:rsidRDefault="00000000">
      <w:pPr>
        <w:pStyle w:val="TOC3"/>
        <w:tabs>
          <w:tab w:val="left" w:pos="2880"/>
        </w:tabs>
        <w:rPr>
          <w:rFonts w:asciiTheme="minorHAnsi" w:eastAsiaTheme="minorEastAsia" w:hAnsiTheme="minorHAnsi" w:cstheme="minorBidi"/>
          <w:noProof/>
          <w:sz w:val="22"/>
          <w:szCs w:val="22"/>
          <w:lang w:bidi="ar-SA"/>
        </w:rPr>
      </w:pPr>
      <w:hyperlink w:anchor="_Toc8821884" w:history="1">
        <w:r w:rsidR="00297787" w:rsidRPr="00E25D11">
          <w:rPr>
            <w:rStyle w:val="Hyperlink"/>
            <w:noProof/>
          </w:rPr>
          <w:t>2.22.1.</w:t>
        </w:r>
        <w:r w:rsidR="00297787">
          <w:rPr>
            <w:rFonts w:asciiTheme="minorHAnsi" w:eastAsiaTheme="minorEastAsia" w:hAnsiTheme="minorHAnsi" w:cstheme="minorBidi"/>
            <w:noProof/>
            <w:sz w:val="22"/>
            <w:szCs w:val="22"/>
            <w:lang w:bidi="ar-SA"/>
          </w:rPr>
          <w:tab/>
        </w:r>
        <w:r w:rsidR="00297787" w:rsidRPr="00E25D11">
          <w:rPr>
            <w:rStyle w:val="Hyperlink"/>
            <w:noProof/>
          </w:rPr>
          <w:t>Atbildīgās iestādes nosaukums un kontaktinformācija</w:t>
        </w:r>
        <w:r w:rsidR="00297787">
          <w:rPr>
            <w:noProof/>
            <w:webHidden/>
          </w:rPr>
          <w:tab/>
        </w:r>
        <w:r w:rsidR="00297787">
          <w:rPr>
            <w:noProof/>
            <w:webHidden/>
          </w:rPr>
          <w:fldChar w:fldCharType="begin"/>
        </w:r>
        <w:r w:rsidR="00297787">
          <w:rPr>
            <w:noProof/>
            <w:webHidden/>
          </w:rPr>
          <w:instrText xml:space="preserve"> PAGEREF _Toc8821884 \h </w:instrText>
        </w:r>
        <w:r w:rsidR="00297787">
          <w:rPr>
            <w:noProof/>
            <w:webHidden/>
          </w:rPr>
        </w:r>
        <w:r w:rsidR="00297787">
          <w:rPr>
            <w:noProof/>
            <w:webHidden/>
          </w:rPr>
          <w:fldChar w:fldCharType="separate"/>
        </w:r>
        <w:r w:rsidR="00DA4D7B">
          <w:rPr>
            <w:noProof/>
            <w:webHidden/>
          </w:rPr>
          <w:t>21</w:t>
        </w:r>
        <w:r w:rsidR="00297787">
          <w:rPr>
            <w:noProof/>
            <w:webHidden/>
          </w:rPr>
          <w:fldChar w:fldCharType="end"/>
        </w:r>
      </w:hyperlink>
    </w:p>
    <w:p w14:paraId="0C8799BD" w14:textId="4C626C5B" w:rsidR="00297787" w:rsidRDefault="00000000">
      <w:pPr>
        <w:pStyle w:val="TOC3"/>
        <w:tabs>
          <w:tab w:val="left" w:pos="2880"/>
        </w:tabs>
        <w:rPr>
          <w:rFonts w:asciiTheme="minorHAnsi" w:eastAsiaTheme="minorEastAsia" w:hAnsiTheme="minorHAnsi" w:cstheme="minorBidi"/>
          <w:noProof/>
          <w:sz w:val="22"/>
          <w:szCs w:val="22"/>
          <w:lang w:bidi="ar-SA"/>
        </w:rPr>
      </w:pPr>
      <w:hyperlink w:anchor="_Toc8821885" w:history="1">
        <w:r w:rsidR="00297787" w:rsidRPr="00E25D11">
          <w:rPr>
            <w:rStyle w:val="Hyperlink"/>
            <w:noProof/>
          </w:rPr>
          <w:t>2.22.2.</w:t>
        </w:r>
        <w:r w:rsidR="00297787">
          <w:rPr>
            <w:rFonts w:asciiTheme="minorHAnsi" w:eastAsiaTheme="minorEastAsia" w:hAnsiTheme="minorHAnsi" w:cstheme="minorBidi"/>
            <w:noProof/>
            <w:sz w:val="22"/>
            <w:szCs w:val="22"/>
            <w:lang w:bidi="ar-SA"/>
          </w:rPr>
          <w:tab/>
        </w:r>
        <w:r w:rsidR="00297787" w:rsidRPr="00E25D11">
          <w:rPr>
            <w:rStyle w:val="Hyperlink"/>
            <w:noProof/>
          </w:rPr>
          <w:t>Tirgus uzraudzības procedūras un stratēģija</w:t>
        </w:r>
        <w:r w:rsidR="00297787">
          <w:rPr>
            <w:noProof/>
            <w:webHidden/>
          </w:rPr>
          <w:tab/>
        </w:r>
        <w:r w:rsidR="00297787">
          <w:rPr>
            <w:noProof/>
            <w:webHidden/>
          </w:rPr>
          <w:fldChar w:fldCharType="begin"/>
        </w:r>
        <w:r w:rsidR="00297787">
          <w:rPr>
            <w:noProof/>
            <w:webHidden/>
          </w:rPr>
          <w:instrText xml:space="preserve"> PAGEREF _Toc8821885 \h </w:instrText>
        </w:r>
        <w:r w:rsidR="00297787">
          <w:rPr>
            <w:noProof/>
            <w:webHidden/>
          </w:rPr>
        </w:r>
        <w:r w:rsidR="00297787">
          <w:rPr>
            <w:noProof/>
            <w:webHidden/>
          </w:rPr>
          <w:fldChar w:fldCharType="separate"/>
        </w:r>
        <w:r w:rsidR="00DA4D7B">
          <w:rPr>
            <w:noProof/>
            <w:webHidden/>
          </w:rPr>
          <w:t>21</w:t>
        </w:r>
        <w:r w:rsidR="00297787">
          <w:rPr>
            <w:noProof/>
            <w:webHidden/>
          </w:rPr>
          <w:fldChar w:fldCharType="end"/>
        </w:r>
      </w:hyperlink>
    </w:p>
    <w:p w14:paraId="49219165" w14:textId="77D4B497" w:rsidR="00297787" w:rsidRDefault="00000000">
      <w:pPr>
        <w:pStyle w:val="TOC3"/>
        <w:tabs>
          <w:tab w:val="left" w:pos="2880"/>
        </w:tabs>
        <w:rPr>
          <w:rFonts w:asciiTheme="minorHAnsi" w:eastAsiaTheme="minorEastAsia" w:hAnsiTheme="minorHAnsi" w:cstheme="minorBidi"/>
          <w:noProof/>
          <w:sz w:val="22"/>
          <w:szCs w:val="22"/>
          <w:lang w:bidi="ar-SA"/>
        </w:rPr>
      </w:pPr>
      <w:hyperlink w:anchor="_Toc8821886" w:history="1">
        <w:r w:rsidR="00297787" w:rsidRPr="00E25D11">
          <w:rPr>
            <w:rStyle w:val="Hyperlink"/>
            <w:noProof/>
          </w:rPr>
          <w:t>2.22.3.</w:t>
        </w:r>
        <w:r w:rsidR="00297787">
          <w:rPr>
            <w:rFonts w:asciiTheme="minorHAnsi" w:eastAsiaTheme="minorEastAsia" w:hAnsiTheme="minorHAnsi" w:cstheme="minorBidi"/>
            <w:noProof/>
            <w:sz w:val="22"/>
            <w:szCs w:val="22"/>
            <w:lang w:bidi="ar-SA"/>
          </w:rPr>
          <w:tab/>
        </w:r>
        <w:r w:rsidR="00297787" w:rsidRPr="00E25D11">
          <w:rPr>
            <w:rStyle w:val="Hyperlink"/>
            <w:noProof/>
          </w:rPr>
          <w:t>Ziņojums par darbībām, kas veiktas saskaņā ar iepriekšējo plānošanas periodu</w:t>
        </w:r>
        <w:r w:rsidR="00297787">
          <w:rPr>
            <w:noProof/>
            <w:webHidden/>
          </w:rPr>
          <w:tab/>
        </w:r>
        <w:r w:rsidR="00297787">
          <w:rPr>
            <w:noProof/>
            <w:webHidden/>
          </w:rPr>
          <w:fldChar w:fldCharType="begin"/>
        </w:r>
        <w:r w:rsidR="00297787">
          <w:rPr>
            <w:noProof/>
            <w:webHidden/>
          </w:rPr>
          <w:instrText xml:space="preserve"> PAGEREF _Toc8821886 \h </w:instrText>
        </w:r>
        <w:r w:rsidR="00297787">
          <w:rPr>
            <w:noProof/>
            <w:webHidden/>
          </w:rPr>
        </w:r>
        <w:r w:rsidR="00297787">
          <w:rPr>
            <w:noProof/>
            <w:webHidden/>
          </w:rPr>
          <w:fldChar w:fldCharType="separate"/>
        </w:r>
        <w:r w:rsidR="00DA4D7B">
          <w:rPr>
            <w:noProof/>
            <w:webHidden/>
          </w:rPr>
          <w:t>21</w:t>
        </w:r>
        <w:r w:rsidR="00297787">
          <w:rPr>
            <w:noProof/>
            <w:webHidden/>
          </w:rPr>
          <w:fldChar w:fldCharType="end"/>
        </w:r>
      </w:hyperlink>
    </w:p>
    <w:p w14:paraId="27D3B033" w14:textId="77851DD4" w:rsidR="00297787" w:rsidRDefault="00000000">
      <w:pPr>
        <w:pStyle w:val="TOC2"/>
        <w:tabs>
          <w:tab w:val="left" w:pos="1916"/>
        </w:tabs>
        <w:rPr>
          <w:rFonts w:asciiTheme="minorHAnsi" w:eastAsiaTheme="minorEastAsia" w:hAnsiTheme="minorHAnsi" w:cstheme="minorBidi"/>
          <w:noProof/>
          <w:sz w:val="22"/>
          <w:szCs w:val="22"/>
          <w:lang w:bidi="ar-SA"/>
        </w:rPr>
      </w:pPr>
      <w:hyperlink w:anchor="_Toc8821887" w:history="1">
        <w:r w:rsidR="00297787" w:rsidRPr="00E25D11">
          <w:rPr>
            <w:rStyle w:val="Hyperlink"/>
            <w:noProof/>
          </w:rPr>
          <w:t>2.22.</w:t>
        </w:r>
        <w:r w:rsidR="00297787">
          <w:rPr>
            <w:rFonts w:asciiTheme="minorHAnsi" w:eastAsiaTheme="minorEastAsia" w:hAnsiTheme="minorHAnsi" w:cstheme="minorBidi"/>
            <w:noProof/>
            <w:sz w:val="22"/>
            <w:szCs w:val="22"/>
            <w:lang w:bidi="ar-SA"/>
          </w:rPr>
          <w:tab/>
        </w:r>
        <w:r w:rsidR="00297787" w:rsidRPr="00E25D11">
          <w:rPr>
            <w:rStyle w:val="Hyperlink"/>
            <w:noProof/>
          </w:rPr>
          <w:t>/ B:  Citas ķīmiskas vielas (mazgāšanas līdzekļi, krāsas, noturīgi organiskie piesārņotāji, fluorētās siltumnīcefekta gāzes, ozona slāni noārdošas vielas utt.) (skat. arī 2.3. punktā minēto par PTAC attiecībā uz šo nozari)</w:t>
        </w:r>
        <w:r w:rsidR="00297787">
          <w:rPr>
            <w:noProof/>
            <w:webHidden/>
          </w:rPr>
          <w:tab/>
        </w:r>
        <w:r w:rsidR="00297787">
          <w:rPr>
            <w:noProof/>
            <w:webHidden/>
          </w:rPr>
          <w:fldChar w:fldCharType="begin"/>
        </w:r>
        <w:r w:rsidR="00297787">
          <w:rPr>
            <w:noProof/>
            <w:webHidden/>
          </w:rPr>
          <w:instrText xml:space="preserve"> PAGEREF _Toc8821887 \h </w:instrText>
        </w:r>
        <w:r w:rsidR="00297787">
          <w:rPr>
            <w:noProof/>
            <w:webHidden/>
          </w:rPr>
        </w:r>
        <w:r w:rsidR="00297787">
          <w:rPr>
            <w:noProof/>
            <w:webHidden/>
          </w:rPr>
          <w:fldChar w:fldCharType="separate"/>
        </w:r>
        <w:r w:rsidR="00DA4D7B">
          <w:rPr>
            <w:noProof/>
            <w:webHidden/>
          </w:rPr>
          <w:t>22</w:t>
        </w:r>
        <w:r w:rsidR="00297787">
          <w:rPr>
            <w:noProof/>
            <w:webHidden/>
          </w:rPr>
          <w:fldChar w:fldCharType="end"/>
        </w:r>
      </w:hyperlink>
    </w:p>
    <w:p w14:paraId="7F1B6C91" w14:textId="420847AB" w:rsidR="00297787" w:rsidRDefault="00000000">
      <w:pPr>
        <w:pStyle w:val="TOC3"/>
        <w:tabs>
          <w:tab w:val="left" w:pos="2880"/>
        </w:tabs>
        <w:rPr>
          <w:rFonts w:asciiTheme="minorHAnsi" w:eastAsiaTheme="minorEastAsia" w:hAnsiTheme="minorHAnsi" w:cstheme="minorBidi"/>
          <w:noProof/>
          <w:sz w:val="22"/>
          <w:szCs w:val="22"/>
          <w:lang w:bidi="ar-SA"/>
        </w:rPr>
      </w:pPr>
      <w:hyperlink w:anchor="_Toc8821888" w:history="1">
        <w:r w:rsidR="00297787" w:rsidRPr="00E25D11">
          <w:rPr>
            <w:rStyle w:val="Hyperlink"/>
            <w:noProof/>
          </w:rPr>
          <w:t>2.22.1.</w:t>
        </w:r>
        <w:r w:rsidR="00297787">
          <w:rPr>
            <w:rFonts w:asciiTheme="minorHAnsi" w:eastAsiaTheme="minorEastAsia" w:hAnsiTheme="minorHAnsi" w:cstheme="minorBidi"/>
            <w:noProof/>
            <w:sz w:val="22"/>
            <w:szCs w:val="22"/>
            <w:lang w:bidi="ar-SA"/>
          </w:rPr>
          <w:tab/>
        </w:r>
        <w:r w:rsidR="00297787" w:rsidRPr="00E25D11">
          <w:rPr>
            <w:rStyle w:val="Hyperlink"/>
            <w:noProof/>
          </w:rPr>
          <w:t>Atbildīgās iestādes nosaukums un kontaktinformācija</w:t>
        </w:r>
        <w:r w:rsidR="00297787">
          <w:rPr>
            <w:noProof/>
            <w:webHidden/>
          </w:rPr>
          <w:tab/>
        </w:r>
        <w:r w:rsidR="00297787">
          <w:rPr>
            <w:noProof/>
            <w:webHidden/>
          </w:rPr>
          <w:fldChar w:fldCharType="begin"/>
        </w:r>
        <w:r w:rsidR="00297787">
          <w:rPr>
            <w:noProof/>
            <w:webHidden/>
          </w:rPr>
          <w:instrText xml:space="preserve"> PAGEREF _Toc8821888 \h </w:instrText>
        </w:r>
        <w:r w:rsidR="00297787">
          <w:rPr>
            <w:noProof/>
            <w:webHidden/>
          </w:rPr>
        </w:r>
        <w:r w:rsidR="00297787">
          <w:rPr>
            <w:noProof/>
            <w:webHidden/>
          </w:rPr>
          <w:fldChar w:fldCharType="separate"/>
        </w:r>
        <w:r w:rsidR="00DA4D7B">
          <w:rPr>
            <w:noProof/>
            <w:webHidden/>
          </w:rPr>
          <w:t>22</w:t>
        </w:r>
        <w:r w:rsidR="00297787">
          <w:rPr>
            <w:noProof/>
            <w:webHidden/>
          </w:rPr>
          <w:fldChar w:fldCharType="end"/>
        </w:r>
      </w:hyperlink>
    </w:p>
    <w:p w14:paraId="5A20E0EC" w14:textId="751A4803" w:rsidR="00297787" w:rsidRDefault="00000000">
      <w:pPr>
        <w:pStyle w:val="TOC3"/>
        <w:tabs>
          <w:tab w:val="left" w:pos="2880"/>
        </w:tabs>
        <w:rPr>
          <w:rFonts w:asciiTheme="minorHAnsi" w:eastAsiaTheme="minorEastAsia" w:hAnsiTheme="minorHAnsi" w:cstheme="minorBidi"/>
          <w:noProof/>
          <w:sz w:val="22"/>
          <w:szCs w:val="22"/>
          <w:lang w:bidi="ar-SA"/>
        </w:rPr>
      </w:pPr>
      <w:hyperlink w:anchor="_Toc8821889" w:history="1">
        <w:r w:rsidR="00297787" w:rsidRPr="00E25D11">
          <w:rPr>
            <w:rStyle w:val="Hyperlink"/>
            <w:noProof/>
          </w:rPr>
          <w:t>2.22.2.</w:t>
        </w:r>
        <w:r w:rsidR="00297787">
          <w:rPr>
            <w:rFonts w:asciiTheme="minorHAnsi" w:eastAsiaTheme="minorEastAsia" w:hAnsiTheme="minorHAnsi" w:cstheme="minorBidi"/>
            <w:noProof/>
            <w:sz w:val="22"/>
            <w:szCs w:val="22"/>
            <w:lang w:bidi="ar-SA"/>
          </w:rPr>
          <w:tab/>
        </w:r>
        <w:r w:rsidR="00297787" w:rsidRPr="00E25D11">
          <w:rPr>
            <w:rStyle w:val="Hyperlink"/>
            <w:noProof/>
          </w:rPr>
          <w:t>Tirgus uzraudzības procedūras un stratēģija</w:t>
        </w:r>
        <w:r w:rsidR="00297787">
          <w:rPr>
            <w:noProof/>
            <w:webHidden/>
          </w:rPr>
          <w:tab/>
        </w:r>
        <w:r w:rsidR="00297787">
          <w:rPr>
            <w:noProof/>
            <w:webHidden/>
          </w:rPr>
          <w:fldChar w:fldCharType="begin"/>
        </w:r>
        <w:r w:rsidR="00297787">
          <w:rPr>
            <w:noProof/>
            <w:webHidden/>
          </w:rPr>
          <w:instrText xml:space="preserve"> PAGEREF _Toc8821889 \h </w:instrText>
        </w:r>
        <w:r w:rsidR="00297787">
          <w:rPr>
            <w:noProof/>
            <w:webHidden/>
          </w:rPr>
        </w:r>
        <w:r w:rsidR="00297787">
          <w:rPr>
            <w:noProof/>
            <w:webHidden/>
          </w:rPr>
          <w:fldChar w:fldCharType="separate"/>
        </w:r>
        <w:r w:rsidR="00DA4D7B">
          <w:rPr>
            <w:noProof/>
            <w:webHidden/>
          </w:rPr>
          <w:t>22</w:t>
        </w:r>
        <w:r w:rsidR="00297787">
          <w:rPr>
            <w:noProof/>
            <w:webHidden/>
          </w:rPr>
          <w:fldChar w:fldCharType="end"/>
        </w:r>
      </w:hyperlink>
    </w:p>
    <w:p w14:paraId="3A61AD74" w14:textId="2F1C8AE9" w:rsidR="00297787" w:rsidRDefault="00000000">
      <w:pPr>
        <w:pStyle w:val="TOC3"/>
        <w:tabs>
          <w:tab w:val="left" w:pos="2880"/>
        </w:tabs>
        <w:rPr>
          <w:rFonts w:asciiTheme="minorHAnsi" w:eastAsiaTheme="minorEastAsia" w:hAnsiTheme="minorHAnsi" w:cstheme="minorBidi"/>
          <w:noProof/>
          <w:sz w:val="22"/>
          <w:szCs w:val="22"/>
          <w:lang w:bidi="ar-SA"/>
        </w:rPr>
      </w:pPr>
      <w:hyperlink w:anchor="_Toc8821890" w:history="1">
        <w:r w:rsidR="00297787" w:rsidRPr="00E25D11">
          <w:rPr>
            <w:rStyle w:val="Hyperlink"/>
            <w:noProof/>
          </w:rPr>
          <w:t>2.22.3.</w:t>
        </w:r>
        <w:r w:rsidR="00297787">
          <w:rPr>
            <w:rFonts w:asciiTheme="minorHAnsi" w:eastAsiaTheme="minorEastAsia" w:hAnsiTheme="minorHAnsi" w:cstheme="minorBidi"/>
            <w:noProof/>
            <w:sz w:val="22"/>
            <w:szCs w:val="22"/>
            <w:lang w:bidi="ar-SA"/>
          </w:rPr>
          <w:tab/>
        </w:r>
        <w:r w:rsidR="00297787" w:rsidRPr="00E25D11">
          <w:rPr>
            <w:rStyle w:val="Hyperlink"/>
            <w:noProof/>
          </w:rPr>
          <w:t>Ziņojums par darbībām, kas veiktas saskaņā ar iepriekšējo plānošanas periodu</w:t>
        </w:r>
        <w:r w:rsidR="00297787">
          <w:rPr>
            <w:noProof/>
            <w:webHidden/>
          </w:rPr>
          <w:tab/>
        </w:r>
        <w:r w:rsidR="00297787">
          <w:rPr>
            <w:noProof/>
            <w:webHidden/>
          </w:rPr>
          <w:fldChar w:fldCharType="begin"/>
        </w:r>
        <w:r w:rsidR="00297787">
          <w:rPr>
            <w:noProof/>
            <w:webHidden/>
          </w:rPr>
          <w:instrText xml:space="preserve"> PAGEREF _Toc8821890 \h </w:instrText>
        </w:r>
        <w:r w:rsidR="00297787">
          <w:rPr>
            <w:noProof/>
            <w:webHidden/>
          </w:rPr>
        </w:r>
        <w:r w:rsidR="00297787">
          <w:rPr>
            <w:noProof/>
            <w:webHidden/>
          </w:rPr>
          <w:fldChar w:fldCharType="separate"/>
        </w:r>
        <w:r w:rsidR="00DA4D7B">
          <w:rPr>
            <w:noProof/>
            <w:webHidden/>
          </w:rPr>
          <w:t>22</w:t>
        </w:r>
        <w:r w:rsidR="00297787">
          <w:rPr>
            <w:noProof/>
            <w:webHidden/>
          </w:rPr>
          <w:fldChar w:fldCharType="end"/>
        </w:r>
      </w:hyperlink>
    </w:p>
    <w:p w14:paraId="50480E4F" w14:textId="390C70A5" w:rsidR="00297787" w:rsidRDefault="00000000">
      <w:pPr>
        <w:pStyle w:val="TOC2"/>
        <w:tabs>
          <w:tab w:val="left" w:pos="1916"/>
        </w:tabs>
        <w:rPr>
          <w:rFonts w:asciiTheme="minorHAnsi" w:eastAsiaTheme="minorEastAsia" w:hAnsiTheme="minorHAnsi" w:cstheme="minorBidi"/>
          <w:noProof/>
          <w:sz w:val="22"/>
          <w:szCs w:val="22"/>
          <w:lang w:bidi="ar-SA"/>
        </w:rPr>
      </w:pPr>
      <w:hyperlink w:anchor="_Toc8821891" w:history="1">
        <w:r w:rsidR="00297787" w:rsidRPr="00E25D11">
          <w:rPr>
            <w:rStyle w:val="Hyperlink"/>
            <w:noProof/>
          </w:rPr>
          <w:t>2.22.</w:t>
        </w:r>
        <w:r w:rsidR="00297787">
          <w:rPr>
            <w:rFonts w:asciiTheme="minorHAnsi" w:eastAsiaTheme="minorEastAsia" w:hAnsiTheme="minorHAnsi" w:cstheme="minorBidi"/>
            <w:noProof/>
            <w:sz w:val="22"/>
            <w:szCs w:val="22"/>
            <w:lang w:bidi="ar-SA"/>
          </w:rPr>
          <w:tab/>
        </w:r>
        <w:r w:rsidR="00297787" w:rsidRPr="00E25D11">
          <w:rPr>
            <w:rStyle w:val="Hyperlink"/>
            <w:bCs/>
            <w:noProof/>
          </w:rPr>
          <w:t xml:space="preserve">/ A un B: Ķīmiskās vielas saskaņā ar </w:t>
        </w:r>
        <w:r w:rsidR="00297787" w:rsidRPr="00E25D11">
          <w:rPr>
            <w:rStyle w:val="Hyperlink"/>
            <w:bCs/>
            <w:i/>
            <w:noProof/>
          </w:rPr>
          <w:t>REACH</w:t>
        </w:r>
        <w:r w:rsidR="00297787" w:rsidRPr="00E25D11">
          <w:rPr>
            <w:rStyle w:val="Hyperlink"/>
            <w:bCs/>
            <w:noProof/>
          </w:rPr>
          <w:t xml:space="preserve"> un Klasificēšanas un marķēšanas regulām, kā arī citas ķīmiskas vielas (krāsas, noturīgi organiskie piesārņotāji, fluorētās siltumnīcefekta gāzes, ozona slāni noārdošas vielas utt.)</w:t>
        </w:r>
        <w:r w:rsidR="00297787">
          <w:rPr>
            <w:noProof/>
            <w:webHidden/>
          </w:rPr>
          <w:tab/>
        </w:r>
        <w:r w:rsidR="00297787">
          <w:rPr>
            <w:noProof/>
            <w:webHidden/>
          </w:rPr>
          <w:fldChar w:fldCharType="begin"/>
        </w:r>
        <w:r w:rsidR="00297787">
          <w:rPr>
            <w:noProof/>
            <w:webHidden/>
          </w:rPr>
          <w:instrText xml:space="preserve"> PAGEREF _Toc8821891 \h </w:instrText>
        </w:r>
        <w:r w:rsidR="00297787">
          <w:rPr>
            <w:noProof/>
            <w:webHidden/>
          </w:rPr>
        </w:r>
        <w:r w:rsidR="00297787">
          <w:rPr>
            <w:noProof/>
            <w:webHidden/>
          </w:rPr>
          <w:fldChar w:fldCharType="separate"/>
        </w:r>
        <w:r w:rsidR="00DA4D7B">
          <w:rPr>
            <w:noProof/>
            <w:webHidden/>
          </w:rPr>
          <w:t>23</w:t>
        </w:r>
        <w:r w:rsidR="00297787">
          <w:rPr>
            <w:noProof/>
            <w:webHidden/>
          </w:rPr>
          <w:fldChar w:fldCharType="end"/>
        </w:r>
      </w:hyperlink>
    </w:p>
    <w:p w14:paraId="7759DE5D" w14:textId="271C044E" w:rsidR="00297787" w:rsidRDefault="00000000">
      <w:pPr>
        <w:pStyle w:val="TOC2"/>
        <w:tabs>
          <w:tab w:val="left" w:pos="1916"/>
        </w:tabs>
        <w:rPr>
          <w:rFonts w:asciiTheme="minorHAnsi" w:eastAsiaTheme="minorEastAsia" w:hAnsiTheme="minorHAnsi" w:cstheme="minorBidi"/>
          <w:noProof/>
          <w:sz w:val="22"/>
          <w:szCs w:val="22"/>
          <w:lang w:bidi="ar-SA"/>
        </w:rPr>
      </w:pPr>
      <w:hyperlink w:anchor="_Toc8821892" w:history="1">
        <w:r w:rsidR="00297787" w:rsidRPr="00E25D11">
          <w:rPr>
            <w:rStyle w:val="Hyperlink"/>
            <w:noProof/>
          </w:rPr>
          <w:t>2.26.</w:t>
        </w:r>
        <w:r w:rsidR="00297787">
          <w:rPr>
            <w:rFonts w:asciiTheme="minorHAnsi" w:eastAsiaTheme="minorEastAsia" w:hAnsiTheme="minorHAnsi" w:cstheme="minorBidi"/>
            <w:noProof/>
            <w:sz w:val="22"/>
            <w:szCs w:val="22"/>
            <w:lang w:bidi="ar-SA"/>
          </w:rPr>
          <w:tab/>
        </w:r>
        <w:r w:rsidR="00297787" w:rsidRPr="00E25D11">
          <w:rPr>
            <w:rStyle w:val="Hyperlink"/>
            <w:bCs/>
            <w:noProof/>
          </w:rPr>
          <w:t>Kuģu aprīkojums (skat. arī 2.3. punktā minēto par PTAC attiecībā uz šo nozari)</w:t>
        </w:r>
        <w:r w:rsidR="00297787">
          <w:rPr>
            <w:noProof/>
            <w:webHidden/>
          </w:rPr>
          <w:tab/>
        </w:r>
        <w:r w:rsidR="00297787">
          <w:rPr>
            <w:noProof/>
            <w:webHidden/>
          </w:rPr>
          <w:fldChar w:fldCharType="begin"/>
        </w:r>
        <w:r w:rsidR="00297787">
          <w:rPr>
            <w:noProof/>
            <w:webHidden/>
          </w:rPr>
          <w:instrText xml:space="preserve"> PAGEREF _Toc8821892 \h </w:instrText>
        </w:r>
        <w:r w:rsidR="00297787">
          <w:rPr>
            <w:noProof/>
            <w:webHidden/>
          </w:rPr>
        </w:r>
        <w:r w:rsidR="00297787">
          <w:rPr>
            <w:noProof/>
            <w:webHidden/>
          </w:rPr>
          <w:fldChar w:fldCharType="separate"/>
        </w:r>
        <w:r w:rsidR="00DA4D7B">
          <w:rPr>
            <w:noProof/>
            <w:webHidden/>
          </w:rPr>
          <w:t>24</w:t>
        </w:r>
        <w:r w:rsidR="00297787">
          <w:rPr>
            <w:noProof/>
            <w:webHidden/>
          </w:rPr>
          <w:fldChar w:fldCharType="end"/>
        </w:r>
      </w:hyperlink>
    </w:p>
    <w:p w14:paraId="4DB484AE" w14:textId="0662F955" w:rsidR="00297787" w:rsidRDefault="00000000">
      <w:pPr>
        <w:pStyle w:val="TOC2"/>
        <w:tabs>
          <w:tab w:val="left" w:pos="1916"/>
        </w:tabs>
        <w:rPr>
          <w:rFonts w:asciiTheme="minorHAnsi" w:eastAsiaTheme="minorEastAsia" w:hAnsiTheme="minorHAnsi" w:cstheme="minorBidi"/>
          <w:noProof/>
          <w:sz w:val="22"/>
          <w:szCs w:val="22"/>
          <w:lang w:bidi="ar-SA"/>
        </w:rPr>
      </w:pPr>
      <w:hyperlink w:anchor="_Toc8821893" w:history="1">
        <w:r w:rsidR="00297787" w:rsidRPr="00E25D11">
          <w:rPr>
            <w:rStyle w:val="Hyperlink"/>
            <w:noProof/>
          </w:rPr>
          <w:t>2.27.</w:t>
        </w:r>
        <w:r w:rsidR="00297787">
          <w:rPr>
            <w:rFonts w:asciiTheme="minorHAnsi" w:eastAsiaTheme="minorEastAsia" w:hAnsiTheme="minorHAnsi" w:cstheme="minorBidi"/>
            <w:noProof/>
            <w:sz w:val="22"/>
            <w:szCs w:val="22"/>
            <w:lang w:bidi="ar-SA"/>
          </w:rPr>
          <w:tab/>
        </w:r>
        <w:r w:rsidR="00297787" w:rsidRPr="00E25D11">
          <w:rPr>
            <w:rStyle w:val="Hyperlink"/>
            <w:noProof/>
          </w:rPr>
          <w:t>Mehāniskie transportlīdzekļi un traktori (skat. arī 2.3. punktā minēto par PTAC attiecībā uz šo nozari)</w:t>
        </w:r>
        <w:r w:rsidR="00297787">
          <w:rPr>
            <w:noProof/>
            <w:webHidden/>
          </w:rPr>
          <w:tab/>
        </w:r>
        <w:r w:rsidR="00297787">
          <w:rPr>
            <w:noProof/>
            <w:webHidden/>
          </w:rPr>
          <w:fldChar w:fldCharType="begin"/>
        </w:r>
        <w:r w:rsidR="00297787">
          <w:rPr>
            <w:noProof/>
            <w:webHidden/>
          </w:rPr>
          <w:instrText xml:space="preserve"> PAGEREF _Toc8821893 \h </w:instrText>
        </w:r>
        <w:r w:rsidR="00297787">
          <w:rPr>
            <w:noProof/>
            <w:webHidden/>
          </w:rPr>
        </w:r>
        <w:r w:rsidR="00297787">
          <w:rPr>
            <w:noProof/>
            <w:webHidden/>
          </w:rPr>
          <w:fldChar w:fldCharType="separate"/>
        </w:r>
        <w:r w:rsidR="00DA4D7B">
          <w:rPr>
            <w:noProof/>
            <w:webHidden/>
          </w:rPr>
          <w:t>25</w:t>
        </w:r>
        <w:r w:rsidR="00297787">
          <w:rPr>
            <w:noProof/>
            <w:webHidden/>
          </w:rPr>
          <w:fldChar w:fldCharType="end"/>
        </w:r>
      </w:hyperlink>
    </w:p>
    <w:p w14:paraId="2152DA75" w14:textId="0AF94FC9" w:rsidR="00297787" w:rsidRDefault="00000000">
      <w:pPr>
        <w:pStyle w:val="TOC3"/>
        <w:tabs>
          <w:tab w:val="left" w:pos="2880"/>
        </w:tabs>
        <w:rPr>
          <w:rFonts w:asciiTheme="minorHAnsi" w:eastAsiaTheme="minorEastAsia" w:hAnsiTheme="minorHAnsi" w:cstheme="minorBidi"/>
          <w:noProof/>
          <w:sz w:val="22"/>
          <w:szCs w:val="22"/>
          <w:lang w:bidi="ar-SA"/>
        </w:rPr>
      </w:pPr>
      <w:hyperlink w:anchor="_Toc8821894" w:history="1">
        <w:r w:rsidR="00297787" w:rsidRPr="00E25D11">
          <w:rPr>
            <w:rStyle w:val="Hyperlink"/>
            <w:noProof/>
          </w:rPr>
          <w:t>2.27.1.</w:t>
        </w:r>
        <w:r w:rsidR="00297787">
          <w:rPr>
            <w:rFonts w:asciiTheme="minorHAnsi" w:eastAsiaTheme="minorEastAsia" w:hAnsiTheme="minorHAnsi" w:cstheme="minorBidi"/>
            <w:noProof/>
            <w:sz w:val="22"/>
            <w:szCs w:val="22"/>
            <w:lang w:bidi="ar-SA"/>
          </w:rPr>
          <w:tab/>
        </w:r>
        <w:r w:rsidR="00297787" w:rsidRPr="00E25D11">
          <w:rPr>
            <w:rStyle w:val="Hyperlink"/>
            <w:noProof/>
          </w:rPr>
          <w:t>Atbildīgās iestādes nosaukums un kontaktinformācija</w:t>
        </w:r>
        <w:r w:rsidR="00297787">
          <w:rPr>
            <w:noProof/>
            <w:webHidden/>
          </w:rPr>
          <w:tab/>
        </w:r>
        <w:r w:rsidR="00297787">
          <w:rPr>
            <w:noProof/>
            <w:webHidden/>
          </w:rPr>
          <w:fldChar w:fldCharType="begin"/>
        </w:r>
        <w:r w:rsidR="00297787">
          <w:rPr>
            <w:noProof/>
            <w:webHidden/>
          </w:rPr>
          <w:instrText xml:space="preserve"> PAGEREF _Toc8821894 \h </w:instrText>
        </w:r>
        <w:r w:rsidR="00297787">
          <w:rPr>
            <w:noProof/>
            <w:webHidden/>
          </w:rPr>
        </w:r>
        <w:r w:rsidR="00297787">
          <w:rPr>
            <w:noProof/>
            <w:webHidden/>
          </w:rPr>
          <w:fldChar w:fldCharType="separate"/>
        </w:r>
        <w:r w:rsidR="00DA4D7B">
          <w:rPr>
            <w:noProof/>
            <w:webHidden/>
          </w:rPr>
          <w:t>25</w:t>
        </w:r>
        <w:r w:rsidR="00297787">
          <w:rPr>
            <w:noProof/>
            <w:webHidden/>
          </w:rPr>
          <w:fldChar w:fldCharType="end"/>
        </w:r>
      </w:hyperlink>
    </w:p>
    <w:p w14:paraId="02938CC7" w14:textId="18E0C78B" w:rsidR="00297787" w:rsidRDefault="00000000">
      <w:pPr>
        <w:pStyle w:val="TOC3"/>
        <w:tabs>
          <w:tab w:val="left" w:pos="2880"/>
        </w:tabs>
        <w:rPr>
          <w:rFonts w:asciiTheme="minorHAnsi" w:eastAsiaTheme="minorEastAsia" w:hAnsiTheme="minorHAnsi" w:cstheme="minorBidi"/>
          <w:noProof/>
          <w:sz w:val="22"/>
          <w:szCs w:val="22"/>
          <w:lang w:bidi="ar-SA"/>
        </w:rPr>
      </w:pPr>
      <w:hyperlink w:anchor="_Toc8821895" w:history="1">
        <w:r w:rsidR="00297787" w:rsidRPr="00E25D11">
          <w:rPr>
            <w:rStyle w:val="Hyperlink"/>
            <w:noProof/>
          </w:rPr>
          <w:t>2.27.2.</w:t>
        </w:r>
        <w:r w:rsidR="00297787">
          <w:rPr>
            <w:rFonts w:asciiTheme="minorHAnsi" w:eastAsiaTheme="minorEastAsia" w:hAnsiTheme="minorHAnsi" w:cstheme="minorBidi"/>
            <w:noProof/>
            <w:sz w:val="22"/>
            <w:szCs w:val="22"/>
            <w:lang w:bidi="ar-SA"/>
          </w:rPr>
          <w:tab/>
        </w:r>
        <w:r w:rsidR="00297787" w:rsidRPr="00E25D11">
          <w:rPr>
            <w:rStyle w:val="Hyperlink"/>
            <w:noProof/>
          </w:rPr>
          <w:t>Tirgus uzraudzības procedūras un stratēģija</w:t>
        </w:r>
        <w:r w:rsidR="00297787">
          <w:rPr>
            <w:noProof/>
            <w:webHidden/>
          </w:rPr>
          <w:tab/>
        </w:r>
        <w:r w:rsidR="00297787">
          <w:rPr>
            <w:noProof/>
            <w:webHidden/>
          </w:rPr>
          <w:fldChar w:fldCharType="begin"/>
        </w:r>
        <w:r w:rsidR="00297787">
          <w:rPr>
            <w:noProof/>
            <w:webHidden/>
          </w:rPr>
          <w:instrText xml:space="preserve"> PAGEREF _Toc8821895 \h </w:instrText>
        </w:r>
        <w:r w:rsidR="00297787">
          <w:rPr>
            <w:noProof/>
            <w:webHidden/>
          </w:rPr>
        </w:r>
        <w:r w:rsidR="00297787">
          <w:rPr>
            <w:noProof/>
            <w:webHidden/>
          </w:rPr>
          <w:fldChar w:fldCharType="separate"/>
        </w:r>
        <w:r w:rsidR="00DA4D7B">
          <w:rPr>
            <w:noProof/>
            <w:webHidden/>
          </w:rPr>
          <w:t>25</w:t>
        </w:r>
        <w:r w:rsidR="00297787">
          <w:rPr>
            <w:noProof/>
            <w:webHidden/>
          </w:rPr>
          <w:fldChar w:fldCharType="end"/>
        </w:r>
      </w:hyperlink>
    </w:p>
    <w:p w14:paraId="718C72B3" w14:textId="6F782352" w:rsidR="00297787" w:rsidRDefault="00000000">
      <w:pPr>
        <w:pStyle w:val="TOC3"/>
        <w:tabs>
          <w:tab w:val="left" w:pos="2880"/>
        </w:tabs>
        <w:rPr>
          <w:rFonts w:asciiTheme="minorHAnsi" w:eastAsiaTheme="minorEastAsia" w:hAnsiTheme="minorHAnsi" w:cstheme="minorBidi"/>
          <w:noProof/>
          <w:sz w:val="22"/>
          <w:szCs w:val="22"/>
          <w:lang w:bidi="ar-SA"/>
        </w:rPr>
      </w:pPr>
      <w:hyperlink w:anchor="_Toc8821896" w:history="1">
        <w:r w:rsidR="00297787" w:rsidRPr="00E25D11">
          <w:rPr>
            <w:rStyle w:val="Hyperlink"/>
            <w:noProof/>
          </w:rPr>
          <w:t>2.27.3.</w:t>
        </w:r>
        <w:r w:rsidR="00297787">
          <w:rPr>
            <w:rFonts w:asciiTheme="minorHAnsi" w:eastAsiaTheme="minorEastAsia" w:hAnsiTheme="minorHAnsi" w:cstheme="minorBidi"/>
            <w:noProof/>
            <w:sz w:val="22"/>
            <w:szCs w:val="22"/>
            <w:lang w:bidi="ar-SA"/>
          </w:rPr>
          <w:tab/>
        </w:r>
        <w:r w:rsidR="00297787" w:rsidRPr="00E25D11">
          <w:rPr>
            <w:rStyle w:val="Hyperlink"/>
            <w:noProof/>
          </w:rPr>
          <w:t>Ziņojums par darbībām, kas veiktas saskaņā ar iepriekšējo plānošanas periodu</w:t>
        </w:r>
        <w:r w:rsidR="00297787">
          <w:rPr>
            <w:noProof/>
            <w:webHidden/>
          </w:rPr>
          <w:tab/>
        </w:r>
        <w:r w:rsidR="00297787">
          <w:rPr>
            <w:noProof/>
            <w:webHidden/>
          </w:rPr>
          <w:fldChar w:fldCharType="begin"/>
        </w:r>
        <w:r w:rsidR="00297787">
          <w:rPr>
            <w:noProof/>
            <w:webHidden/>
          </w:rPr>
          <w:instrText xml:space="preserve"> PAGEREF _Toc8821896 \h </w:instrText>
        </w:r>
        <w:r w:rsidR="00297787">
          <w:rPr>
            <w:noProof/>
            <w:webHidden/>
          </w:rPr>
        </w:r>
        <w:r w:rsidR="00297787">
          <w:rPr>
            <w:noProof/>
            <w:webHidden/>
          </w:rPr>
          <w:fldChar w:fldCharType="separate"/>
        </w:r>
        <w:r w:rsidR="00DA4D7B">
          <w:rPr>
            <w:noProof/>
            <w:webHidden/>
          </w:rPr>
          <w:t>25</w:t>
        </w:r>
        <w:r w:rsidR="00297787">
          <w:rPr>
            <w:noProof/>
            <w:webHidden/>
          </w:rPr>
          <w:fldChar w:fldCharType="end"/>
        </w:r>
      </w:hyperlink>
    </w:p>
    <w:p w14:paraId="34193704" w14:textId="03790DE8" w:rsidR="00297787" w:rsidRDefault="00000000">
      <w:pPr>
        <w:pStyle w:val="TOC2"/>
        <w:tabs>
          <w:tab w:val="left" w:pos="1916"/>
        </w:tabs>
        <w:rPr>
          <w:rFonts w:asciiTheme="minorHAnsi" w:eastAsiaTheme="minorEastAsia" w:hAnsiTheme="minorHAnsi" w:cstheme="minorBidi"/>
          <w:noProof/>
          <w:sz w:val="22"/>
          <w:szCs w:val="22"/>
          <w:lang w:bidi="ar-SA"/>
        </w:rPr>
      </w:pPr>
      <w:hyperlink w:anchor="_Toc8821897" w:history="1">
        <w:r w:rsidR="00297787" w:rsidRPr="00E25D11">
          <w:rPr>
            <w:rStyle w:val="Hyperlink"/>
            <w:noProof/>
          </w:rPr>
          <w:t>2.29.</w:t>
        </w:r>
        <w:r w:rsidR="00297787">
          <w:rPr>
            <w:rFonts w:asciiTheme="minorHAnsi" w:eastAsiaTheme="minorEastAsia" w:hAnsiTheme="minorHAnsi" w:cstheme="minorBidi"/>
            <w:noProof/>
            <w:sz w:val="22"/>
            <w:szCs w:val="22"/>
            <w:lang w:bidi="ar-SA"/>
          </w:rPr>
          <w:tab/>
        </w:r>
        <w:r w:rsidR="00297787" w:rsidRPr="00E25D11">
          <w:rPr>
            <w:rStyle w:val="Hyperlink"/>
            <w:noProof/>
          </w:rPr>
          <w:t>Mēslošanas līdzekļi</w:t>
        </w:r>
        <w:r w:rsidR="00297787">
          <w:rPr>
            <w:noProof/>
            <w:webHidden/>
          </w:rPr>
          <w:tab/>
        </w:r>
        <w:r w:rsidR="00297787">
          <w:rPr>
            <w:noProof/>
            <w:webHidden/>
          </w:rPr>
          <w:fldChar w:fldCharType="begin"/>
        </w:r>
        <w:r w:rsidR="00297787">
          <w:rPr>
            <w:noProof/>
            <w:webHidden/>
          </w:rPr>
          <w:instrText xml:space="preserve"> PAGEREF _Toc8821897 \h </w:instrText>
        </w:r>
        <w:r w:rsidR="00297787">
          <w:rPr>
            <w:noProof/>
            <w:webHidden/>
          </w:rPr>
        </w:r>
        <w:r w:rsidR="00297787">
          <w:rPr>
            <w:noProof/>
            <w:webHidden/>
          </w:rPr>
          <w:fldChar w:fldCharType="separate"/>
        </w:r>
        <w:r w:rsidR="00DA4D7B">
          <w:rPr>
            <w:noProof/>
            <w:webHidden/>
          </w:rPr>
          <w:t>26</w:t>
        </w:r>
        <w:r w:rsidR="00297787">
          <w:rPr>
            <w:noProof/>
            <w:webHidden/>
          </w:rPr>
          <w:fldChar w:fldCharType="end"/>
        </w:r>
      </w:hyperlink>
    </w:p>
    <w:p w14:paraId="466053EB" w14:textId="0B36FAB9" w:rsidR="00297787" w:rsidRDefault="00000000">
      <w:pPr>
        <w:pStyle w:val="TOC3"/>
        <w:tabs>
          <w:tab w:val="left" w:pos="2880"/>
        </w:tabs>
        <w:rPr>
          <w:rFonts w:asciiTheme="minorHAnsi" w:eastAsiaTheme="minorEastAsia" w:hAnsiTheme="minorHAnsi" w:cstheme="minorBidi"/>
          <w:noProof/>
          <w:sz w:val="22"/>
          <w:szCs w:val="22"/>
          <w:lang w:bidi="ar-SA"/>
        </w:rPr>
      </w:pPr>
      <w:hyperlink w:anchor="_Toc8821898" w:history="1">
        <w:r w:rsidR="00297787" w:rsidRPr="00E25D11">
          <w:rPr>
            <w:rStyle w:val="Hyperlink"/>
            <w:noProof/>
          </w:rPr>
          <w:t>2.29.1.</w:t>
        </w:r>
        <w:r w:rsidR="00297787">
          <w:rPr>
            <w:rFonts w:asciiTheme="minorHAnsi" w:eastAsiaTheme="minorEastAsia" w:hAnsiTheme="minorHAnsi" w:cstheme="minorBidi"/>
            <w:noProof/>
            <w:sz w:val="22"/>
            <w:szCs w:val="22"/>
            <w:lang w:bidi="ar-SA"/>
          </w:rPr>
          <w:tab/>
        </w:r>
        <w:r w:rsidR="00297787" w:rsidRPr="00E25D11">
          <w:rPr>
            <w:rStyle w:val="Hyperlink"/>
            <w:noProof/>
          </w:rPr>
          <w:t>Atbildīgās iestādes nosaukums un kontaktinformācija</w:t>
        </w:r>
        <w:r w:rsidR="00297787">
          <w:rPr>
            <w:noProof/>
            <w:webHidden/>
          </w:rPr>
          <w:tab/>
        </w:r>
        <w:r w:rsidR="00297787">
          <w:rPr>
            <w:noProof/>
            <w:webHidden/>
          </w:rPr>
          <w:fldChar w:fldCharType="begin"/>
        </w:r>
        <w:r w:rsidR="00297787">
          <w:rPr>
            <w:noProof/>
            <w:webHidden/>
          </w:rPr>
          <w:instrText xml:space="preserve"> PAGEREF _Toc8821898 \h </w:instrText>
        </w:r>
        <w:r w:rsidR="00297787">
          <w:rPr>
            <w:noProof/>
            <w:webHidden/>
          </w:rPr>
        </w:r>
        <w:r w:rsidR="00297787">
          <w:rPr>
            <w:noProof/>
            <w:webHidden/>
          </w:rPr>
          <w:fldChar w:fldCharType="separate"/>
        </w:r>
        <w:r w:rsidR="00DA4D7B">
          <w:rPr>
            <w:noProof/>
            <w:webHidden/>
          </w:rPr>
          <w:t>26</w:t>
        </w:r>
        <w:r w:rsidR="00297787">
          <w:rPr>
            <w:noProof/>
            <w:webHidden/>
          </w:rPr>
          <w:fldChar w:fldCharType="end"/>
        </w:r>
      </w:hyperlink>
    </w:p>
    <w:p w14:paraId="78803270" w14:textId="21CDCBF9" w:rsidR="00297787" w:rsidRDefault="00000000">
      <w:pPr>
        <w:pStyle w:val="TOC3"/>
        <w:tabs>
          <w:tab w:val="left" w:pos="2880"/>
        </w:tabs>
        <w:rPr>
          <w:rFonts w:asciiTheme="minorHAnsi" w:eastAsiaTheme="minorEastAsia" w:hAnsiTheme="minorHAnsi" w:cstheme="minorBidi"/>
          <w:noProof/>
          <w:sz w:val="22"/>
          <w:szCs w:val="22"/>
          <w:lang w:bidi="ar-SA"/>
        </w:rPr>
      </w:pPr>
      <w:hyperlink w:anchor="_Toc8821899" w:history="1">
        <w:r w:rsidR="00297787" w:rsidRPr="00E25D11">
          <w:rPr>
            <w:rStyle w:val="Hyperlink"/>
            <w:noProof/>
          </w:rPr>
          <w:t>2.29.2.</w:t>
        </w:r>
        <w:r w:rsidR="00297787">
          <w:rPr>
            <w:rFonts w:asciiTheme="minorHAnsi" w:eastAsiaTheme="minorEastAsia" w:hAnsiTheme="minorHAnsi" w:cstheme="minorBidi"/>
            <w:noProof/>
            <w:sz w:val="22"/>
            <w:szCs w:val="22"/>
            <w:lang w:bidi="ar-SA"/>
          </w:rPr>
          <w:tab/>
        </w:r>
        <w:r w:rsidR="00297787" w:rsidRPr="00E25D11">
          <w:rPr>
            <w:rStyle w:val="Hyperlink"/>
            <w:noProof/>
          </w:rPr>
          <w:t>Tirgus uzraudzības procedūras un stratēģija</w:t>
        </w:r>
        <w:r w:rsidR="00297787">
          <w:rPr>
            <w:noProof/>
            <w:webHidden/>
          </w:rPr>
          <w:tab/>
        </w:r>
        <w:r w:rsidR="00297787">
          <w:rPr>
            <w:noProof/>
            <w:webHidden/>
          </w:rPr>
          <w:fldChar w:fldCharType="begin"/>
        </w:r>
        <w:r w:rsidR="00297787">
          <w:rPr>
            <w:noProof/>
            <w:webHidden/>
          </w:rPr>
          <w:instrText xml:space="preserve"> PAGEREF _Toc8821899 \h </w:instrText>
        </w:r>
        <w:r w:rsidR="00297787">
          <w:rPr>
            <w:noProof/>
            <w:webHidden/>
          </w:rPr>
        </w:r>
        <w:r w:rsidR="00297787">
          <w:rPr>
            <w:noProof/>
            <w:webHidden/>
          </w:rPr>
          <w:fldChar w:fldCharType="separate"/>
        </w:r>
        <w:r w:rsidR="00DA4D7B">
          <w:rPr>
            <w:noProof/>
            <w:webHidden/>
          </w:rPr>
          <w:t>26</w:t>
        </w:r>
        <w:r w:rsidR="00297787">
          <w:rPr>
            <w:noProof/>
            <w:webHidden/>
          </w:rPr>
          <w:fldChar w:fldCharType="end"/>
        </w:r>
      </w:hyperlink>
    </w:p>
    <w:p w14:paraId="691BEB3F" w14:textId="054A9D45" w:rsidR="00297787" w:rsidRDefault="00000000">
      <w:pPr>
        <w:pStyle w:val="TOC3"/>
        <w:tabs>
          <w:tab w:val="left" w:pos="2880"/>
        </w:tabs>
        <w:rPr>
          <w:rFonts w:asciiTheme="minorHAnsi" w:eastAsiaTheme="minorEastAsia" w:hAnsiTheme="minorHAnsi" w:cstheme="minorBidi"/>
          <w:noProof/>
          <w:sz w:val="22"/>
          <w:szCs w:val="22"/>
          <w:lang w:bidi="ar-SA"/>
        </w:rPr>
      </w:pPr>
      <w:hyperlink w:anchor="_Toc8821900" w:history="1">
        <w:r w:rsidR="00297787" w:rsidRPr="00E25D11">
          <w:rPr>
            <w:rStyle w:val="Hyperlink"/>
            <w:noProof/>
          </w:rPr>
          <w:t>2.29.3.</w:t>
        </w:r>
        <w:r w:rsidR="00297787">
          <w:rPr>
            <w:rFonts w:asciiTheme="minorHAnsi" w:eastAsiaTheme="minorEastAsia" w:hAnsiTheme="minorHAnsi" w:cstheme="minorBidi"/>
            <w:noProof/>
            <w:sz w:val="22"/>
            <w:szCs w:val="22"/>
            <w:lang w:bidi="ar-SA"/>
          </w:rPr>
          <w:tab/>
        </w:r>
        <w:r w:rsidR="00297787" w:rsidRPr="00E25D11">
          <w:rPr>
            <w:rStyle w:val="Hyperlink"/>
            <w:noProof/>
          </w:rPr>
          <w:t>Ziņojums par darbībām, kas veiktas saskaņā ar iepriekšējo plānošanas periodu</w:t>
        </w:r>
        <w:r w:rsidR="00297787">
          <w:rPr>
            <w:noProof/>
            <w:webHidden/>
          </w:rPr>
          <w:tab/>
        </w:r>
        <w:r w:rsidR="00297787">
          <w:rPr>
            <w:noProof/>
            <w:webHidden/>
          </w:rPr>
          <w:fldChar w:fldCharType="begin"/>
        </w:r>
        <w:r w:rsidR="00297787">
          <w:rPr>
            <w:noProof/>
            <w:webHidden/>
          </w:rPr>
          <w:instrText xml:space="preserve"> PAGEREF _Toc8821900 \h </w:instrText>
        </w:r>
        <w:r w:rsidR="00297787">
          <w:rPr>
            <w:noProof/>
            <w:webHidden/>
          </w:rPr>
        </w:r>
        <w:r w:rsidR="00297787">
          <w:rPr>
            <w:noProof/>
            <w:webHidden/>
          </w:rPr>
          <w:fldChar w:fldCharType="separate"/>
        </w:r>
        <w:r w:rsidR="00DA4D7B">
          <w:rPr>
            <w:noProof/>
            <w:webHidden/>
          </w:rPr>
          <w:t>27</w:t>
        </w:r>
        <w:r w:rsidR="00297787">
          <w:rPr>
            <w:noProof/>
            <w:webHidden/>
          </w:rPr>
          <w:fldChar w:fldCharType="end"/>
        </w:r>
      </w:hyperlink>
    </w:p>
    <w:p w14:paraId="3B2944EA" w14:textId="26A6BFB5" w:rsidR="00297787" w:rsidRDefault="00000000">
      <w:pPr>
        <w:pStyle w:val="TOC2"/>
        <w:tabs>
          <w:tab w:val="left" w:pos="1916"/>
        </w:tabs>
        <w:rPr>
          <w:rFonts w:asciiTheme="minorHAnsi" w:eastAsiaTheme="minorEastAsia" w:hAnsiTheme="minorHAnsi" w:cstheme="minorBidi"/>
          <w:noProof/>
          <w:sz w:val="22"/>
          <w:szCs w:val="22"/>
          <w:lang w:bidi="ar-SA"/>
        </w:rPr>
      </w:pPr>
      <w:hyperlink w:anchor="_Toc8821902" w:history="1">
        <w:r w:rsidR="00297787" w:rsidRPr="00E25D11">
          <w:rPr>
            <w:rStyle w:val="Hyperlink"/>
            <w:noProof/>
          </w:rPr>
          <w:t>2.31.</w:t>
        </w:r>
        <w:r w:rsidR="00297787">
          <w:rPr>
            <w:rFonts w:asciiTheme="minorHAnsi" w:eastAsiaTheme="minorEastAsia" w:hAnsiTheme="minorHAnsi" w:cstheme="minorBidi"/>
            <w:noProof/>
            <w:sz w:val="22"/>
            <w:szCs w:val="22"/>
            <w:lang w:bidi="ar-SA"/>
          </w:rPr>
          <w:tab/>
        </w:r>
        <w:r w:rsidR="00297787" w:rsidRPr="00E25D11">
          <w:rPr>
            <w:rStyle w:val="Hyperlink"/>
            <w:noProof/>
          </w:rPr>
          <w:t>Biocīdi (skat. arī 2.3. punktā minēto par PTAC attiecībā uz šo nozari)</w:t>
        </w:r>
        <w:r w:rsidR="00297787">
          <w:rPr>
            <w:noProof/>
            <w:webHidden/>
          </w:rPr>
          <w:tab/>
        </w:r>
        <w:r w:rsidR="00297787">
          <w:rPr>
            <w:noProof/>
            <w:webHidden/>
          </w:rPr>
          <w:fldChar w:fldCharType="begin"/>
        </w:r>
        <w:r w:rsidR="00297787">
          <w:rPr>
            <w:noProof/>
            <w:webHidden/>
          </w:rPr>
          <w:instrText xml:space="preserve"> PAGEREF _Toc8821902 \h </w:instrText>
        </w:r>
        <w:r w:rsidR="00297787">
          <w:rPr>
            <w:noProof/>
            <w:webHidden/>
          </w:rPr>
        </w:r>
        <w:r w:rsidR="00297787">
          <w:rPr>
            <w:noProof/>
            <w:webHidden/>
          </w:rPr>
          <w:fldChar w:fldCharType="separate"/>
        </w:r>
        <w:r w:rsidR="00DA4D7B">
          <w:rPr>
            <w:noProof/>
            <w:webHidden/>
          </w:rPr>
          <w:t>29</w:t>
        </w:r>
        <w:r w:rsidR="00297787">
          <w:rPr>
            <w:noProof/>
            <w:webHidden/>
          </w:rPr>
          <w:fldChar w:fldCharType="end"/>
        </w:r>
      </w:hyperlink>
    </w:p>
    <w:p w14:paraId="39458F43" w14:textId="000B6ACB" w:rsidR="00297787" w:rsidRDefault="00000000">
      <w:pPr>
        <w:pStyle w:val="TOC3"/>
        <w:tabs>
          <w:tab w:val="left" w:pos="2880"/>
        </w:tabs>
        <w:rPr>
          <w:rFonts w:asciiTheme="minorHAnsi" w:eastAsiaTheme="minorEastAsia" w:hAnsiTheme="minorHAnsi" w:cstheme="minorBidi"/>
          <w:noProof/>
          <w:sz w:val="22"/>
          <w:szCs w:val="22"/>
          <w:lang w:bidi="ar-SA"/>
        </w:rPr>
      </w:pPr>
      <w:hyperlink w:anchor="_Toc8821903" w:history="1">
        <w:r w:rsidR="00297787" w:rsidRPr="00E25D11">
          <w:rPr>
            <w:rStyle w:val="Hyperlink"/>
            <w:noProof/>
          </w:rPr>
          <w:t>2.31.1.</w:t>
        </w:r>
        <w:r w:rsidR="00297787">
          <w:rPr>
            <w:rFonts w:asciiTheme="minorHAnsi" w:eastAsiaTheme="minorEastAsia" w:hAnsiTheme="minorHAnsi" w:cstheme="minorBidi"/>
            <w:noProof/>
            <w:sz w:val="22"/>
            <w:szCs w:val="22"/>
            <w:lang w:bidi="ar-SA"/>
          </w:rPr>
          <w:tab/>
        </w:r>
        <w:r w:rsidR="00297787" w:rsidRPr="00E25D11">
          <w:rPr>
            <w:rStyle w:val="Hyperlink"/>
            <w:noProof/>
          </w:rPr>
          <w:t>Atbildīgās iestādes nosaukums un kontaktinformācija</w:t>
        </w:r>
        <w:r w:rsidR="00297787">
          <w:rPr>
            <w:noProof/>
            <w:webHidden/>
          </w:rPr>
          <w:tab/>
        </w:r>
        <w:r w:rsidR="00297787">
          <w:rPr>
            <w:noProof/>
            <w:webHidden/>
          </w:rPr>
          <w:fldChar w:fldCharType="begin"/>
        </w:r>
        <w:r w:rsidR="00297787">
          <w:rPr>
            <w:noProof/>
            <w:webHidden/>
          </w:rPr>
          <w:instrText xml:space="preserve"> PAGEREF _Toc8821903 \h </w:instrText>
        </w:r>
        <w:r w:rsidR="00297787">
          <w:rPr>
            <w:noProof/>
            <w:webHidden/>
          </w:rPr>
        </w:r>
        <w:r w:rsidR="00297787">
          <w:rPr>
            <w:noProof/>
            <w:webHidden/>
          </w:rPr>
          <w:fldChar w:fldCharType="separate"/>
        </w:r>
        <w:r w:rsidR="00DA4D7B">
          <w:rPr>
            <w:noProof/>
            <w:webHidden/>
          </w:rPr>
          <w:t>29</w:t>
        </w:r>
        <w:r w:rsidR="00297787">
          <w:rPr>
            <w:noProof/>
            <w:webHidden/>
          </w:rPr>
          <w:fldChar w:fldCharType="end"/>
        </w:r>
      </w:hyperlink>
    </w:p>
    <w:p w14:paraId="3C95D767" w14:textId="7D015930" w:rsidR="00297787" w:rsidRDefault="00000000">
      <w:pPr>
        <w:pStyle w:val="TOC3"/>
        <w:tabs>
          <w:tab w:val="left" w:pos="2880"/>
        </w:tabs>
        <w:rPr>
          <w:rFonts w:asciiTheme="minorHAnsi" w:eastAsiaTheme="minorEastAsia" w:hAnsiTheme="minorHAnsi" w:cstheme="minorBidi"/>
          <w:noProof/>
          <w:sz w:val="22"/>
          <w:szCs w:val="22"/>
          <w:lang w:bidi="ar-SA"/>
        </w:rPr>
      </w:pPr>
      <w:hyperlink w:anchor="_Toc8821904" w:history="1">
        <w:r w:rsidR="00297787" w:rsidRPr="00E25D11">
          <w:rPr>
            <w:rStyle w:val="Hyperlink"/>
            <w:noProof/>
          </w:rPr>
          <w:t>2.31.2.</w:t>
        </w:r>
        <w:r w:rsidR="00297787">
          <w:rPr>
            <w:rFonts w:asciiTheme="minorHAnsi" w:eastAsiaTheme="minorEastAsia" w:hAnsiTheme="minorHAnsi" w:cstheme="minorBidi"/>
            <w:noProof/>
            <w:sz w:val="22"/>
            <w:szCs w:val="22"/>
            <w:lang w:bidi="ar-SA"/>
          </w:rPr>
          <w:tab/>
        </w:r>
        <w:r w:rsidR="00297787" w:rsidRPr="00E25D11">
          <w:rPr>
            <w:rStyle w:val="Hyperlink"/>
            <w:noProof/>
          </w:rPr>
          <w:t>Tirgus uzraudzības procedūras un stratēģija</w:t>
        </w:r>
        <w:r w:rsidR="00297787">
          <w:rPr>
            <w:noProof/>
            <w:webHidden/>
          </w:rPr>
          <w:tab/>
        </w:r>
        <w:r w:rsidR="00297787">
          <w:rPr>
            <w:noProof/>
            <w:webHidden/>
          </w:rPr>
          <w:fldChar w:fldCharType="begin"/>
        </w:r>
        <w:r w:rsidR="00297787">
          <w:rPr>
            <w:noProof/>
            <w:webHidden/>
          </w:rPr>
          <w:instrText xml:space="preserve"> PAGEREF _Toc8821904 \h </w:instrText>
        </w:r>
        <w:r w:rsidR="00297787">
          <w:rPr>
            <w:noProof/>
            <w:webHidden/>
          </w:rPr>
        </w:r>
        <w:r w:rsidR="00297787">
          <w:rPr>
            <w:noProof/>
            <w:webHidden/>
          </w:rPr>
          <w:fldChar w:fldCharType="separate"/>
        </w:r>
        <w:r w:rsidR="00DA4D7B">
          <w:rPr>
            <w:noProof/>
            <w:webHidden/>
          </w:rPr>
          <w:t>29</w:t>
        </w:r>
        <w:r w:rsidR="00297787">
          <w:rPr>
            <w:noProof/>
            <w:webHidden/>
          </w:rPr>
          <w:fldChar w:fldCharType="end"/>
        </w:r>
      </w:hyperlink>
    </w:p>
    <w:p w14:paraId="2205501C" w14:textId="6A48E7E7" w:rsidR="00297787" w:rsidRDefault="00000000" w:rsidP="006E10DA">
      <w:pPr>
        <w:pStyle w:val="TOC3"/>
        <w:tabs>
          <w:tab w:val="left" w:pos="2880"/>
        </w:tabs>
        <w:rPr>
          <w:rFonts w:asciiTheme="minorHAnsi" w:eastAsiaTheme="minorEastAsia" w:hAnsiTheme="minorHAnsi" w:cstheme="minorBidi"/>
          <w:noProof/>
          <w:sz w:val="22"/>
          <w:szCs w:val="22"/>
          <w:lang w:bidi="ar-SA"/>
        </w:rPr>
      </w:pPr>
      <w:hyperlink w:anchor="_Toc8821905" w:history="1">
        <w:r w:rsidR="00297787" w:rsidRPr="00E25D11">
          <w:rPr>
            <w:rStyle w:val="Hyperlink"/>
            <w:noProof/>
          </w:rPr>
          <w:t>2.31.3.</w:t>
        </w:r>
        <w:r w:rsidR="00297787">
          <w:rPr>
            <w:rFonts w:asciiTheme="minorHAnsi" w:eastAsiaTheme="minorEastAsia" w:hAnsiTheme="minorHAnsi" w:cstheme="minorBidi"/>
            <w:noProof/>
            <w:sz w:val="22"/>
            <w:szCs w:val="22"/>
            <w:lang w:bidi="ar-SA"/>
          </w:rPr>
          <w:tab/>
        </w:r>
        <w:r w:rsidR="00297787" w:rsidRPr="00E25D11">
          <w:rPr>
            <w:rStyle w:val="Hyperlink"/>
            <w:noProof/>
          </w:rPr>
          <w:t>Ziņojums par darbībām, kas veiktas saskaņā ar iepriekšējo plānošanas periodu</w:t>
        </w:r>
        <w:r w:rsidR="00297787">
          <w:rPr>
            <w:noProof/>
            <w:webHidden/>
          </w:rPr>
          <w:tab/>
        </w:r>
        <w:r w:rsidR="00297787">
          <w:rPr>
            <w:noProof/>
            <w:webHidden/>
          </w:rPr>
          <w:fldChar w:fldCharType="begin"/>
        </w:r>
        <w:r w:rsidR="00297787">
          <w:rPr>
            <w:noProof/>
            <w:webHidden/>
          </w:rPr>
          <w:instrText xml:space="preserve"> PAGEREF _Toc8821905 \h </w:instrText>
        </w:r>
        <w:r w:rsidR="00297787">
          <w:rPr>
            <w:noProof/>
            <w:webHidden/>
          </w:rPr>
        </w:r>
        <w:r w:rsidR="00297787">
          <w:rPr>
            <w:noProof/>
            <w:webHidden/>
          </w:rPr>
          <w:fldChar w:fldCharType="separate"/>
        </w:r>
        <w:r w:rsidR="00DA4D7B">
          <w:rPr>
            <w:noProof/>
            <w:webHidden/>
          </w:rPr>
          <w:t>30</w:t>
        </w:r>
        <w:r w:rsidR="00297787">
          <w:rPr>
            <w:noProof/>
            <w:webHidden/>
          </w:rPr>
          <w:fldChar w:fldCharType="end"/>
        </w:r>
      </w:hyperlink>
    </w:p>
    <w:p w14:paraId="40DF035C" w14:textId="2B0D03D5" w:rsidR="00297787" w:rsidRDefault="00000000">
      <w:pPr>
        <w:pStyle w:val="TOC2"/>
        <w:tabs>
          <w:tab w:val="left" w:pos="1916"/>
        </w:tabs>
        <w:rPr>
          <w:rFonts w:asciiTheme="minorHAnsi" w:eastAsiaTheme="minorEastAsia" w:hAnsiTheme="minorHAnsi" w:cstheme="minorBidi"/>
          <w:noProof/>
          <w:sz w:val="22"/>
          <w:szCs w:val="22"/>
          <w:lang w:bidi="ar-SA"/>
        </w:rPr>
      </w:pPr>
      <w:hyperlink w:anchor="_Toc8821908" w:history="1">
        <w:r w:rsidR="00297787" w:rsidRPr="00E25D11">
          <w:rPr>
            <w:rStyle w:val="Hyperlink"/>
            <w:noProof/>
          </w:rPr>
          <w:t>2.34.</w:t>
        </w:r>
        <w:r w:rsidR="00297787">
          <w:rPr>
            <w:rFonts w:asciiTheme="minorHAnsi" w:eastAsiaTheme="minorEastAsia" w:hAnsiTheme="minorHAnsi" w:cstheme="minorBidi"/>
            <w:noProof/>
            <w:sz w:val="22"/>
            <w:szCs w:val="22"/>
            <w:lang w:bidi="ar-SA"/>
          </w:rPr>
          <w:tab/>
        </w:r>
        <w:r w:rsidR="00297787" w:rsidRPr="00E25D11">
          <w:rPr>
            <w:rStyle w:val="Hyperlink"/>
            <w:noProof/>
          </w:rPr>
          <w:t>Tabakas izstrādājumi, elektroniskās smēķēšanas ierīces un to uzpildes šķidrumi</w:t>
        </w:r>
        <w:r w:rsidR="00297787">
          <w:rPr>
            <w:noProof/>
            <w:webHidden/>
          </w:rPr>
          <w:tab/>
        </w:r>
        <w:r w:rsidR="00297787">
          <w:rPr>
            <w:noProof/>
            <w:webHidden/>
          </w:rPr>
          <w:fldChar w:fldCharType="begin"/>
        </w:r>
        <w:r w:rsidR="00297787">
          <w:rPr>
            <w:noProof/>
            <w:webHidden/>
          </w:rPr>
          <w:instrText xml:space="preserve"> PAGEREF _Toc8821908 \h </w:instrText>
        </w:r>
        <w:r w:rsidR="00297787">
          <w:rPr>
            <w:noProof/>
            <w:webHidden/>
          </w:rPr>
        </w:r>
        <w:r w:rsidR="00297787">
          <w:rPr>
            <w:noProof/>
            <w:webHidden/>
          </w:rPr>
          <w:fldChar w:fldCharType="separate"/>
        </w:r>
        <w:r w:rsidR="00DA4D7B">
          <w:rPr>
            <w:noProof/>
            <w:webHidden/>
          </w:rPr>
          <w:t>30</w:t>
        </w:r>
        <w:r w:rsidR="00297787">
          <w:rPr>
            <w:noProof/>
            <w:webHidden/>
          </w:rPr>
          <w:fldChar w:fldCharType="end"/>
        </w:r>
      </w:hyperlink>
    </w:p>
    <w:p w14:paraId="4690BB4F" w14:textId="31541D50" w:rsidR="00297787" w:rsidRDefault="00000000">
      <w:pPr>
        <w:pStyle w:val="TOC3"/>
        <w:tabs>
          <w:tab w:val="left" w:pos="2880"/>
        </w:tabs>
        <w:rPr>
          <w:rFonts w:asciiTheme="minorHAnsi" w:eastAsiaTheme="minorEastAsia" w:hAnsiTheme="minorHAnsi" w:cstheme="minorBidi"/>
          <w:noProof/>
          <w:sz w:val="22"/>
          <w:szCs w:val="22"/>
          <w:lang w:bidi="ar-SA"/>
        </w:rPr>
      </w:pPr>
      <w:hyperlink w:anchor="_Toc8821909" w:history="1">
        <w:r w:rsidR="00297787" w:rsidRPr="00E25D11">
          <w:rPr>
            <w:rStyle w:val="Hyperlink"/>
            <w:noProof/>
          </w:rPr>
          <w:t>2.34.1.</w:t>
        </w:r>
        <w:r w:rsidR="00297787">
          <w:rPr>
            <w:rFonts w:asciiTheme="minorHAnsi" w:eastAsiaTheme="minorEastAsia" w:hAnsiTheme="minorHAnsi" w:cstheme="minorBidi"/>
            <w:noProof/>
            <w:sz w:val="22"/>
            <w:szCs w:val="22"/>
            <w:lang w:bidi="ar-SA"/>
          </w:rPr>
          <w:tab/>
        </w:r>
        <w:r w:rsidR="00297787" w:rsidRPr="00E25D11">
          <w:rPr>
            <w:rStyle w:val="Hyperlink"/>
            <w:noProof/>
          </w:rPr>
          <w:t>Atbildīgās iestādes nosaukums un kontaktinformācija</w:t>
        </w:r>
        <w:r w:rsidR="00297787">
          <w:rPr>
            <w:noProof/>
            <w:webHidden/>
          </w:rPr>
          <w:tab/>
        </w:r>
        <w:r w:rsidR="00297787">
          <w:rPr>
            <w:noProof/>
            <w:webHidden/>
          </w:rPr>
          <w:fldChar w:fldCharType="begin"/>
        </w:r>
        <w:r w:rsidR="00297787">
          <w:rPr>
            <w:noProof/>
            <w:webHidden/>
          </w:rPr>
          <w:instrText xml:space="preserve"> PAGEREF _Toc8821909 \h </w:instrText>
        </w:r>
        <w:r w:rsidR="00297787">
          <w:rPr>
            <w:noProof/>
            <w:webHidden/>
          </w:rPr>
        </w:r>
        <w:r w:rsidR="00297787">
          <w:rPr>
            <w:noProof/>
            <w:webHidden/>
          </w:rPr>
          <w:fldChar w:fldCharType="separate"/>
        </w:r>
        <w:r w:rsidR="00DA4D7B">
          <w:rPr>
            <w:noProof/>
            <w:webHidden/>
          </w:rPr>
          <w:t>30</w:t>
        </w:r>
        <w:r w:rsidR="00297787">
          <w:rPr>
            <w:noProof/>
            <w:webHidden/>
          </w:rPr>
          <w:fldChar w:fldCharType="end"/>
        </w:r>
      </w:hyperlink>
    </w:p>
    <w:p w14:paraId="396EAC34" w14:textId="4FDCBA0E" w:rsidR="00297787" w:rsidRDefault="00000000">
      <w:pPr>
        <w:pStyle w:val="TOC3"/>
        <w:tabs>
          <w:tab w:val="left" w:pos="2880"/>
        </w:tabs>
        <w:rPr>
          <w:rFonts w:asciiTheme="minorHAnsi" w:eastAsiaTheme="minorEastAsia" w:hAnsiTheme="minorHAnsi" w:cstheme="minorBidi"/>
          <w:noProof/>
          <w:sz w:val="22"/>
          <w:szCs w:val="22"/>
          <w:lang w:bidi="ar-SA"/>
        </w:rPr>
      </w:pPr>
      <w:hyperlink w:anchor="_Toc8821910" w:history="1">
        <w:r w:rsidR="00297787" w:rsidRPr="00E25D11">
          <w:rPr>
            <w:rStyle w:val="Hyperlink"/>
            <w:noProof/>
          </w:rPr>
          <w:t>2.34.2.</w:t>
        </w:r>
        <w:r w:rsidR="00297787">
          <w:rPr>
            <w:rFonts w:asciiTheme="minorHAnsi" w:eastAsiaTheme="minorEastAsia" w:hAnsiTheme="minorHAnsi" w:cstheme="minorBidi"/>
            <w:noProof/>
            <w:sz w:val="22"/>
            <w:szCs w:val="22"/>
            <w:lang w:bidi="ar-SA"/>
          </w:rPr>
          <w:tab/>
        </w:r>
        <w:r w:rsidR="00297787" w:rsidRPr="00E25D11">
          <w:rPr>
            <w:rStyle w:val="Hyperlink"/>
            <w:noProof/>
          </w:rPr>
          <w:t>Tirgus uzraudzības procedūras un stratēģija</w:t>
        </w:r>
        <w:r w:rsidR="00297787">
          <w:rPr>
            <w:noProof/>
            <w:webHidden/>
          </w:rPr>
          <w:tab/>
        </w:r>
        <w:r w:rsidR="00297787">
          <w:rPr>
            <w:noProof/>
            <w:webHidden/>
          </w:rPr>
          <w:fldChar w:fldCharType="begin"/>
        </w:r>
        <w:r w:rsidR="00297787">
          <w:rPr>
            <w:noProof/>
            <w:webHidden/>
          </w:rPr>
          <w:instrText xml:space="preserve"> PAGEREF _Toc8821910 \h </w:instrText>
        </w:r>
        <w:r w:rsidR="00297787">
          <w:rPr>
            <w:noProof/>
            <w:webHidden/>
          </w:rPr>
        </w:r>
        <w:r w:rsidR="00297787">
          <w:rPr>
            <w:noProof/>
            <w:webHidden/>
          </w:rPr>
          <w:fldChar w:fldCharType="separate"/>
        </w:r>
        <w:r w:rsidR="00DA4D7B">
          <w:rPr>
            <w:noProof/>
            <w:webHidden/>
          </w:rPr>
          <w:t>30</w:t>
        </w:r>
        <w:r w:rsidR="00297787">
          <w:rPr>
            <w:noProof/>
            <w:webHidden/>
          </w:rPr>
          <w:fldChar w:fldCharType="end"/>
        </w:r>
      </w:hyperlink>
    </w:p>
    <w:p w14:paraId="65D10CF2" w14:textId="07EEACD3" w:rsidR="00297787" w:rsidRDefault="00000000">
      <w:pPr>
        <w:pStyle w:val="TOC3"/>
        <w:tabs>
          <w:tab w:val="left" w:pos="2880"/>
        </w:tabs>
        <w:rPr>
          <w:rFonts w:asciiTheme="minorHAnsi" w:eastAsiaTheme="minorEastAsia" w:hAnsiTheme="minorHAnsi" w:cstheme="minorBidi"/>
          <w:noProof/>
          <w:sz w:val="22"/>
          <w:szCs w:val="22"/>
          <w:lang w:bidi="ar-SA"/>
        </w:rPr>
      </w:pPr>
      <w:hyperlink w:anchor="_Toc8821911" w:history="1">
        <w:r w:rsidR="00297787" w:rsidRPr="00E25D11">
          <w:rPr>
            <w:rStyle w:val="Hyperlink"/>
            <w:noProof/>
          </w:rPr>
          <w:t>2.34.3.</w:t>
        </w:r>
        <w:r w:rsidR="00297787">
          <w:rPr>
            <w:rFonts w:asciiTheme="minorHAnsi" w:eastAsiaTheme="minorEastAsia" w:hAnsiTheme="minorHAnsi" w:cstheme="minorBidi"/>
            <w:noProof/>
            <w:sz w:val="22"/>
            <w:szCs w:val="22"/>
            <w:lang w:bidi="ar-SA"/>
          </w:rPr>
          <w:tab/>
        </w:r>
        <w:r w:rsidR="00297787" w:rsidRPr="00E25D11">
          <w:rPr>
            <w:rStyle w:val="Hyperlink"/>
            <w:noProof/>
          </w:rPr>
          <w:t>Ziņojums par darbībām, kas veiktas saskaņā ar iepriekšējo plānošanas periodu</w:t>
        </w:r>
        <w:r w:rsidR="00297787">
          <w:rPr>
            <w:noProof/>
            <w:webHidden/>
          </w:rPr>
          <w:tab/>
        </w:r>
        <w:r w:rsidR="00297787">
          <w:rPr>
            <w:noProof/>
            <w:webHidden/>
          </w:rPr>
          <w:fldChar w:fldCharType="begin"/>
        </w:r>
        <w:r w:rsidR="00297787">
          <w:rPr>
            <w:noProof/>
            <w:webHidden/>
          </w:rPr>
          <w:instrText xml:space="preserve"> PAGEREF _Toc8821911 \h </w:instrText>
        </w:r>
        <w:r w:rsidR="00297787">
          <w:rPr>
            <w:noProof/>
            <w:webHidden/>
          </w:rPr>
        </w:r>
        <w:r w:rsidR="00297787">
          <w:rPr>
            <w:noProof/>
            <w:webHidden/>
          </w:rPr>
          <w:fldChar w:fldCharType="separate"/>
        </w:r>
        <w:r w:rsidR="00DA4D7B">
          <w:rPr>
            <w:noProof/>
            <w:webHidden/>
          </w:rPr>
          <w:t>31</w:t>
        </w:r>
        <w:r w:rsidR="00297787">
          <w:rPr>
            <w:noProof/>
            <w:webHidden/>
          </w:rPr>
          <w:fldChar w:fldCharType="end"/>
        </w:r>
      </w:hyperlink>
    </w:p>
    <w:p w14:paraId="1FEA99C0" w14:textId="79B20FFC" w:rsidR="00297787" w:rsidRDefault="00000000">
      <w:pPr>
        <w:pStyle w:val="TOC2"/>
        <w:tabs>
          <w:tab w:val="left" w:pos="1916"/>
        </w:tabs>
        <w:rPr>
          <w:rFonts w:asciiTheme="minorHAnsi" w:eastAsiaTheme="minorEastAsia" w:hAnsiTheme="minorHAnsi" w:cstheme="minorBidi"/>
          <w:noProof/>
          <w:sz w:val="22"/>
          <w:szCs w:val="22"/>
          <w:lang w:bidi="ar-SA"/>
        </w:rPr>
      </w:pPr>
      <w:hyperlink w:anchor="_Toc8821912" w:history="1">
        <w:r w:rsidR="00297787" w:rsidRPr="00E25D11">
          <w:rPr>
            <w:rStyle w:val="Hyperlink"/>
            <w:noProof/>
          </w:rPr>
          <w:t>2.35.</w:t>
        </w:r>
        <w:r w:rsidR="00297787">
          <w:rPr>
            <w:rFonts w:asciiTheme="minorHAnsi" w:eastAsiaTheme="minorEastAsia" w:hAnsiTheme="minorHAnsi" w:cstheme="minorBidi"/>
            <w:noProof/>
            <w:sz w:val="22"/>
            <w:szCs w:val="22"/>
            <w:lang w:bidi="ar-SA"/>
          </w:rPr>
          <w:tab/>
        </w:r>
        <w:r w:rsidR="00297787" w:rsidRPr="00E25D11">
          <w:rPr>
            <w:rStyle w:val="Hyperlink"/>
            <w:noProof/>
          </w:rPr>
          <w:t>Dārgmetālu un dārgakmeņu izstrādājumi</w:t>
        </w:r>
        <w:r w:rsidR="00297787">
          <w:rPr>
            <w:noProof/>
            <w:webHidden/>
          </w:rPr>
          <w:tab/>
        </w:r>
        <w:r w:rsidR="00297787">
          <w:rPr>
            <w:noProof/>
            <w:webHidden/>
          </w:rPr>
          <w:fldChar w:fldCharType="begin"/>
        </w:r>
        <w:r w:rsidR="00297787">
          <w:rPr>
            <w:noProof/>
            <w:webHidden/>
          </w:rPr>
          <w:instrText xml:space="preserve"> PAGEREF _Toc8821912 \h </w:instrText>
        </w:r>
        <w:r w:rsidR="00297787">
          <w:rPr>
            <w:noProof/>
            <w:webHidden/>
          </w:rPr>
        </w:r>
        <w:r w:rsidR="00297787">
          <w:rPr>
            <w:noProof/>
            <w:webHidden/>
          </w:rPr>
          <w:fldChar w:fldCharType="separate"/>
        </w:r>
        <w:r w:rsidR="00DA4D7B">
          <w:rPr>
            <w:noProof/>
            <w:webHidden/>
          </w:rPr>
          <w:t>31</w:t>
        </w:r>
        <w:r w:rsidR="00297787">
          <w:rPr>
            <w:noProof/>
            <w:webHidden/>
          </w:rPr>
          <w:fldChar w:fldCharType="end"/>
        </w:r>
      </w:hyperlink>
    </w:p>
    <w:p w14:paraId="06191B91" w14:textId="2DA3621A" w:rsidR="00297787" w:rsidRDefault="00000000">
      <w:pPr>
        <w:pStyle w:val="TOC3"/>
        <w:tabs>
          <w:tab w:val="left" w:pos="2880"/>
        </w:tabs>
        <w:rPr>
          <w:rFonts w:asciiTheme="minorHAnsi" w:eastAsiaTheme="minorEastAsia" w:hAnsiTheme="minorHAnsi" w:cstheme="minorBidi"/>
          <w:noProof/>
          <w:sz w:val="22"/>
          <w:szCs w:val="22"/>
          <w:lang w:bidi="ar-SA"/>
        </w:rPr>
      </w:pPr>
      <w:hyperlink w:anchor="_Toc8821913" w:history="1">
        <w:r w:rsidR="00297787" w:rsidRPr="00E25D11">
          <w:rPr>
            <w:rStyle w:val="Hyperlink"/>
            <w:noProof/>
          </w:rPr>
          <w:t>2.35.1.</w:t>
        </w:r>
        <w:r w:rsidR="00297787">
          <w:rPr>
            <w:rFonts w:asciiTheme="minorHAnsi" w:eastAsiaTheme="minorEastAsia" w:hAnsiTheme="minorHAnsi" w:cstheme="minorBidi"/>
            <w:noProof/>
            <w:sz w:val="22"/>
            <w:szCs w:val="22"/>
            <w:lang w:bidi="ar-SA"/>
          </w:rPr>
          <w:tab/>
        </w:r>
        <w:r w:rsidR="00297787" w:rsidRPr="00E25D11">
          <w:rPr>
            <w:rStyle w:val="Hyperlink"/>
            <w:noProof/>
          </w:rPr>
          <w:t>Atbildīgās iestādes nosaukums un kontaktinformācija</w:t>
        </w:r>
        <w:r w:rsidR="00297787">
          <w:rPr>
            <w:noProof/>
            <w:webHidden/>
          </w:rPr>
          <w:tab/>
        </w:r>
        <w:r w:rsidR="00297787">
          <w:rPr>
            <w:noProof/>
            <w:webHidden/>
          </w:rPr>
          <w:fldChar w:fldCharType="begin"/>
        </w:r>
        <w:r w:rsidR="00297787">
          <w:rPr>
            <w:noProof/>
            <w:webHidden/>
          </w:rPr>
          <w:instrText xml:space="preserve"> PAGEREF _Toc8821913 \h </w:instrText>
        </w:r>
        <w:r w:rsidR="00297787">
          <w:rPr>
            <w:noProof/>
            <w:webHidden/>
          </w:rPr>
        </w:r>
        <w:r w:rsidR="00297787">
          <w:rPr>
            <w:noProof/>
            <w:webHidden/>
          </w:rPr>
          <w:fldChar w:fldCharType="separate"/>
        </w:r>
        <w:r w:rsidR="00DA4D7B">
          <w:rPr>
            <w:noProof/>
            <w:webHidden/>
          </w:rPr>
          <w:t>31</w:t>
        </w:r>
        <w:r w:rsidR="00297787">
          <w:rPr>
            <w:noProof/>
            <w:webHidden/>
          </w:rPr>
          <w:fldChar w:fldCharType="end"/>
        </w:r>
      </w:hyperlink>
    </w:p>
    <w:p w14:paraId="0C4341BA" w14:textId="74FB51AA" w:rsidR="00297787" w:rsidRDefault="00000000">
      <w:pPr>
        <w:pStyle w:val="TOC3"/>
        <w:tabs>
          <w:tab w:val="left" w:pos="2880"/>
        </w:tabs>
        <w:rPr>
          <w:rFonts w:asciiTheme="minorHAnsi" w:eastAsiaTheme="minorEastAsia" w:hAnsiTheme="minorHAnsi" w:cstheme="minorBidi"/>
          <w:noProof/>
          <w:sz w:val="22"/>
          <w:szCs w:val="22"/>
          <w:lang w:bidi="ar-SA"/>
        </w:rPr>
      </w:pPr>
      <w:hyperlink w:anchor="_Toc8821914" w:history="1">
        <w:r w:rsidR="00297787" w:rsidRPr="00E25D11">
          <w:rPr>
            <w:rStyle w:val="Hyperlink"/>
            <w:noProof/>
          </w:rPr>
          <w:t>2.35.2.</w:t>
        </w:r>
        <w:r w:rsidR="00297787">
          <w:rPr>
            <w:rFonts w:asciiTheme="minorHAnsi" w:eastAsiaTheme="minorEastAsia" w:hAnsiTheme="minorHAnsi" w:cstheme="minorBidi"/>
            <w:noProof/>
            <w:sz w:val="22"/>
            <w:szCs w:val="22"/>
            <w:lang w:bidi="ar-SA"/>
          </w:rPr>
          <w:tab/>
        </w:r>
        <w:r w:rsidR="00297787" w:rsidRPr="00E25D11">
          <w:rPr>
            <w:rStyle w:val="Hyperlink"/>
            <w:noProof/>
          </w:rPr>
          <w:t>Tirgus uzraudzības procedūras un stratēģija</w:t>
        </w:r>
        <w:r w:rsidR="00297787">
          <w:rPr>
            <w:noProof/>
            <w:webHidden/>
          </w:rPr>
          <w:tab/>
        </w:r>
        <w:r w:rsidR="00297787">
          <w:rPr>
            <w:noProof/>
            <w:webHidden/>
          </w:rPr>
          <w:fldChar w:fldCharType="begin"/>
        </w:r>
        <w:r w:rsidR="00297787">
          <w:rPr>
            <w:noProof/>
            <w:webHidden/>
          </w:rPr>
          <w:instrText xml:space="preserve"> PAGEREF _Toc8821914 \h </w:instrText>
        </w:r>
        <w:r w:rsidR="00297787">
          <w:rPr>
            <w:noProof/>
            <w:webHidden/>
          </w:rPr>
        </w:r>
        <w:r w:rsidR="00297787">
          <w:rPr>
            <w:noProof/>
            <w:webHidden/>
          </w:rPr>
          <w:fldChar w:fldCharType="separate"/>
        </w:r>
        <w:r w:rsidR="00DA4D7B">
          <w:rPr>
            <w:noProof/>
            <w:webHidden/>
          </w:rPr>
          <w:t>31</w:t>
        </w:r>
        <w:r w:rsidR="00297787">
          <w:rPr>
            <w:noProof/>
            <w:webHidden/>
          </w:rPr>
          <w:fldChar w:fldCharType="end"/>
        </w:r>
      </w:hyperlink>
    </w:p>
    <w:p w14:paraId="0B3D2AF4" w14:textId="0A43E1FB" w:rsidR="00297787" w:rsidRDefault="00000000">
      <w:pPr>
        <w:pStyle w:val="TOC3"/>
        <w:tabs>
          <w:tab w:val="left" w:pos="2880"/>
        </w:tabs>
        <w:rPr>
          <w:rFonts w:asciiTheme="minorHAnsi" w:eastAsiaTheme="minorEastAsia" w:hAnsiTheme="minorHAnsi" w:cstheme="minorBidi"/>
          <w:noProof/>
          <w:sz w:val="22"/>
          <w:szCs w:val="22"/>
          <w:lang w:bidi="ar-SA"/>
        </w:rPr>
      </w:pPr>
      <w:hyperlink w:anchor="_Toc8821915" w:history="1">
        <w:r w:rsidR="00297787" w:rsidRPr="00E25D11">
          <w:rPr>
            <w:rStyle w:val="Hyperlink"/>
            <w:noProof/>
          </w:rPr>
          <w:t>2.35.3.</w:t>
        </w:r>
        <w:r w:rsidR="00297787">
          <w:rPr>
            <w:rFonts w:asciiTheme="minorHAnsi" w:eastAsiaTheme="minorEastAsia" w:hAnsiTheme="minorHAnsi" w:cstheme="minorBidi"/>
            <w:noProof/>
            <w:sz w:val="22"/>
            <w:szCs w:val="22"/>
            <w:lang w:bidi="ar-SA"/>
          </w:rPr>
          <w:tab/>
        </w:r>
        <w:r w:rsidR="00297787" w:rsidRPr="00E25D11">
          <w:rPr>
            <w:rStyle w:val="Hyperlink"/>
            <w:noProof/>
          </w:rPr>
          <w:t>Ziņojums par darbībām, kas veiktas saskaņā ar iepriekšējo plānošanas periodu</w:t>
        </w:r>
        <w:r w:rsidR="00297787">
          <w:rPr>
            <w:noProof/>
            <w:webHidden/>
          </w:rPr>
          <w:tab/>
        </w:r>
        <w:r w:rsidR="00297787">
          <w:rPr>
            <w:noProof/>
            <w:webHidden/>
          </w:rPr>
          <w:fldChar w:fldCharType="begin"/>
        </w:r>
        <w:r w:rsidR="00297787">
          <w:rPr>
            <w:noProof/>
            <w:webHidden/>
          </w:rPr>
          <w:instrText xml:space="preserve"> PAGEREF _Toc8821915 \h </w:instrText>
        </w:r>
        <w:r w:rsidR="00297787">
          <w:rPr>
            <w:noProof/>
            <w:webHidden/>
          </w:rPr>
        </w:r>
        <w:r w:rsidR="00297787">
          <w:rPr>
            <w:noProof/>
            <w:webHidden/>
          </w:rPr>
          <w:fldChar w:fldCharType="separate"/>
        </w:r>
        <w:r w:rsidR="00DA4D7B">
          <w:rPr>
            <w:noProof/>
            <w:webHidden/>
          </w:rPr>
          <w:t>32</w:t>
        </w:r>
        <w:r w:rsidR="00297787">
          <w:rPr>
            <w:noProof/>
            <w:webHidden/>
          </w:rPr>
          <w:fldChar w:fldCharType="end"/>
        </w:r>
      </w:hyperlink>
    </w:p>
    <w:p w14:paraId="44A596D3" w14:textId="77A35279" w:rsidR="00297787" w:rsidRDefault="00000000">
      <w:pPr>
        <w:pStyle w:val="TOC2"/>
        <w:tabs>
          <w:tab w:val="left" w:pos="1916"/>
        </w:tabs>
        <w:rPr>
          <w:rFonts w:asciiTheme="minorHAnsi" w:eastAsiaTheme="minorEastAsia" w:hAnsiTheme="minorHAnsi" w:cstheme="minorBidi"/>
          <w:noProof/>
          <w:sz w:val="22"/>
          <w:szCs w:val="22"/>
          <w:lang w:bidi="ar-SA"/>
        </w:rPr>
      </w:pPr>
      <w:hyperlink w:anchor="_Toc8821916" w:history="1">
        <w:r w:rsidR="00297787" w:rsidRPr="00E25D11">
          <w:rPr>
            <w:rStyle w:val="Hyperlink"/>
            <w:noProof/>
          </w:rPr>
          <w:t>2.36.</w:t>
        </w:r>
        <w:r w:rsidR="00297787">
          <w:rPr>
            <w:rFonts w:asciiTheme="minorHAnsi" w:eastAsiaTheme="minorEastAsia" w:hAnsiTheme="minorHAnsi" w:cstheme="minorBidi"/>
            <w:noProof/>
            <w:sz w:val="22"/>
            <w:szCs w:val="22"/>
            <w:lang w:bidi="ar-SA"/>
          </w:rPr>
          <w:tab/>
        </w:r>
        <w:r w:rsidR="00297787" w:rsidRPr="00E25D11">
          <w:rPr>
            <w:rStyle w:val="Hyperlink"/>
            <w:noProof/>
          </w:rPr>
          <w:t>Degviela</w:t>
        </w:r>
        <w:r w:rsidR="00297787">
          <w:rPr>
            <w:noProof/>
            <w:webHidden/>
          </w:rPr>
          <w:tab/>
        </w:r>
        <w:r w:rsidR="00297787">
          <w:rPr>
            <w:noProof/>
            <w:webHidden/>
          </w:rPr>
          <w:fldChar w:fldCharType="begin"/>
        </w:r>
        <w:r w:rsidR="00297787">
          <w:rPr>
            <w:noProof/>
            <w:webHidden/>
          </w:rPr>
          <w:instrText xml:space="preserve"> PAGEREF _Toc8821916 \h </w:instrText>
        </w:r>
        <w:r w:rsidR="00297787">
          <w:rPr>
            <w:noProof/>
            <w:webHidden/>
          </w:rPr>
        </w:r>
        <w:r w:rsidR="00297787">
          <w:rPr>
            <w:noProof/>
            <w:webHidden/>
          </w:rPr>
          <w:fldChar w:fldCharType="separate"/>
        </w:r>
        <w:r w:rsidR="00DA4D7B">
          <w:rPr>
            <w:noProof/>
            <w:webHidden/>
          </w:rPr>
          <w:t>32</w:t>
        </w:r>
        <w:r w:rsidR="00297787">
          <w:rPr>
            <w:noProof/>
            <w:webHidden/>
          </w:rPr>
          <w:fldChar w:fldCharType="end"/>
        </w:r>
      </w:hyperlink>
    </w:p>
    <w:p w14:paraId="5AEF98AD" w14:textId="65BE9CB6" w:rsidR="002E5045" w:rsidRPr="0008472F" w:rsidRDefault="004529A8" w:rsidP="000B69FF">
      <w:pPr>
        <w:pStyle w:val="TOC1"/>
      </w:pPr>
      <w:r>
        <w:fldChar w:fldCharType="end"/>
      </w:r>
    </w:p>
    <w:p w14:paraId="34C112C5" w14:textId="77777777" w:rsidR="002E5045" w:rsidRPr="0008472F" w:rsidRDefault="002E5045" w:rsidP="0095557B">
      <w:pPr>
        <w:jc w:val="center"/>
      </w:pPr>
    </w:p>
    <w:p w14:paraId="6DF9D4F3" w14:textId="09F58BF9" w:rsidR="00125479" w:rsidRPr="0008472F" w:rsidRDefault="002E5045" w:rsidP="006239BD">
      <w:pPr>
        <w:shd w:val="clear" w:color="auto" w:fill="BFBFBF"/>
        <w:spacing w:after="0"/>
        <w:rPr>
          <w:rFonts w:ascii="Arial" w:hAnsi="Arial"/>
          <w:b/>
          <w:snapToGrid w:val="0"/>
          <w:color w:val="0000FF"/>
        </w:rPr>
      </w:pPr>
      <w:r w:rsidRPr="0008472F">
        <w:lastRenderedPageBreak/>
        <w:br w:type="page"/>
      </w:r>
    </w:p>
    <w:p w14:paraId="246B4FC3" w14:textId="77777777" w:rsidR="0095557B" w:rsidRPr="0008472F" w:rsidRDefault="0095557B" w:rsidP="0095557B">
      <w:pPr>
        <w:jc w:val="center"/>
      </w:pPr>
    </w:p>
    <w:p w14:paraId="43DFAB74" w14:textId="77777777" w:rsidR="000C034F" w:rsidRPr="0008472F" w:rsidRDefault="00371FB2" w:rsidP="00E44993">
      <w:pPr>
        <w:pStyle w:val="Heading1"/>
        <w:numPr>
          <w:ilvl w:val="0"/>
          <w:numId w:val="19"/>
        </w:numPr>
      </w:pPr>
      <w:bookmarkStart w:id="0" w:name="_Toc392679016"/>
      <w:bookmarkStart w:id="1" w:name="_Toc8821855"/>
      <w:r w:rsidRPr="0008472F">
        <w:t>Vispārīgā tirgus uzraudzības organizācija un infrastruktūra</w:t>
      </w:r>
      <w:bookmarkEnd w:id="0"/>
      <w:bookmarkEnd w:id="1"/>
    </w:p>
    <w:p w14:paraId="740572C2" w14:textId="77777777" w:rsidR="000E5A7C" w:rsidRPr="0008472F" w:rsidRDefault="003C5B83" w:rsidP="000C034F">
      <w:pPr>
        <w:pStyle w:val="Heading2"/>
      </w:pPr>
      <w:bookmarkStart w:id="2" w:name="_Toc386550854"/>
      <w:bookmarkStart w:id="3" w:name="_Toc392679017"/>
      <w:bookmarkStart w:id="4" w:name="_Toc8821856"/>
      <w:bookmarkEnd w:id="2"/>
      <w:r w:rsidRPr="0008472F">
        <w:t>Valsts tirgus uzraudzības iestāžu identifikācija un pienākumi</w:t>
      </w:r>
      <w:bookmarkEnd w:id="3"/>
      <w:bookmarkEnd w:id="4"/>
    </w:p>
    <w:p w14:paraId="58FBB24F" w14:textId="7DAB0163" w:rsidR="00EB7493" w:rsidRDefault="00EB7493" w:rsidP="00EB7493">
      <w:pPr>
        <w:spacing w:before="100" w:beforeAutospacing="1" w:after="100" w:afterAutospacing="1"/>
        <w:rPr>
          <w:bCs/>
          <w:szCs w:val="24"/>
        </w:rPr>
      </w:pPr>
      <w:r>
        <w:rPr>
          <w:bCs/>
          <w:szCs w:val="24"/>
        </w:rPr>
        <w:t xml:space="preserve">Latvijā ar tirgus uzraudzību nodarbojas </w:t>
      </w:r>
      <w:r w:rsidR="00407264">
        <w:rPr>
          <w:bCs/>
          <w:szCs w:val="24"/>
        </w:rPr>
        <w:t>asto</w:t>
      </w:r>
      <w:r>
        <w:rPr>
          <w:bCs/>
          <w:szCs w:val="24"/>
        </w:rPr>
        <w:t xml:space="preserve">ņas dažādas iestādes, kas atrodas piecu dažādu ministriju padotībā. Noteiktas funkcijas tirgus uzraudzībā nodrošina arī muitas dienesti, kas kontrolē preču plūsmu uz Eiropas Savienības ārējās robežas. </w:t>
      </w:r>
    </w:p>
    <w:p w14:paraId="3606B588" w14:textId="6FD4FD06" w:rsidR="00EB7493" w:rsidRDefault="00EB7493" w:rsidP="00EB7493">
      <w:pPr>
        <w:spacing w:before="100" w:beforeAutospacing="1" w:after="100" w:afterAutospacing="1"/>
        <w:rPr>
          <w:szCs w:val="24"/>
        </w:rPr>
      </w:pPr>
      <w:r>
        <w:rPr>
          <w:b/>
          <w:bCs/>
          <w:szCs w:val="24"/>
        </w:rPr>
        <w:t>Tirgus uzraudzības funkcijas Latvijā veic šādas iestādes:</w:t>
      </w:r>
    </w:p>
    <w:p w14:paraId="3A6EFE0B" w14:textId="77777777" w:rsidR="00EB7493" w:rsidRDefault="00000000" w:rsidP="00E44993">
      <w:pPr>
        <w:numPr>
          <w:ilvl w:val="0"/>
          <w:numId w:val="24"/>
        </w:numPr>
        <w:tabs>
          <w:tab w:val="num" w:pos="284"/>
        </w:tabs>
        <w:spacing w:before="100" w:beforeAutospacing="1" w:after="100" w:afterAutospacing="1"/>
        <w:jc w:val="left"/>
        <w:rPr>
          <w:szCs w:val="24"/>
        </w:rPr>
      </w:pPr>
      <w:hyperlink r:id="rId8" w:tgtFrame="_blank" w:history="1">
        <w:r w:rsidR="00EB7493">
          <w:rPr>
            <w:rStyle w:val="Hyperlink"/>
            <w:szCs w:val="24"/>
          </w:rPr>
          <w:t>Patērētāju tiesību aizsardzības centrs (PTAC)</w:t>
        </w:r>
      </w:hyperlink>
      <w:r w:rsidR="00EB7493">
        <w:rPr>
          <w:szCs w:val="24"/>
        </w:rPr>
        <w:t xml:space="preserve">; </w:t>
      </w:r>
    </w:p>
    <w:p w14:paraId="4F14CB74" w14:textId="77777777" w:rsidR="00EB7493" w:rsidRDefault="00000000" w:rsidP="00E44993">
      <w:pPr>
        <w:numPr>
          <w:ilvl w:val="0"/>
          <w:numId w:val="24"/>
        </w:numPr>
        <w:tabs>
          <w:tab w:val="num" w:pos="284"/>
        </w:tabs>
        <w:spacing w:before="100" w:beforeAutospacing="1" w:after="100" w:afterAutospacing="1"/>
        <w:jc w:val="left"/>
        <w:rPr>
          <w:szCs w:val="24"/>
        </w:rPr>
      </w:pPr>
      <w:hyperlink r:id="rId9" w:tgtFrame="_blank" w:history="1">
        <w:r w:rsidR="00EB7493">
          <w:rPr>
            <w:rStyle w:val="Hyperlink"/>
            <w:szCs w:val="24"/>
          </w:rPr>
          <w:t>Veselības inspekcija (VI)</w:t>
        </w:r>
      </w:hyperlink>
      <w:r w:rsidR="00EB7493">
        <w:rPr>
          <w:szCs w:val="24"/>
        </w:rPr>
        <w:t xml:space="preserve">; </w:t>
      </w:r>
    </w:p>
    <w:p w14:paraId="6BCE0AB6" w14:textId="77777777" w:rsidR="00EB7493" w:rsidRDefault="00000000" w:rsidP="00E44993">
      <w:pPr>
        <w:numPr>
          <w:ilvl w:val="0"/>
          <w:numId w:val="24"/>
        </w:numPr>
        <w:tabs>
          <w:tab w:val="num" w:pos="284"/>
        </w:tabs>
        <w:spacing w:before="100" w:beforeAutospacing="1" w:after="100" w:afterAutospacing="1"/>
        <w:rPr>
          <w:szCs w:val="24"/>
        </w:rPr>
      </w:pPr>
      <w:hyperlink r:id="rId10" w:history="1">
        <w:r w:rsidR="00EB7493">
          <w:rPr>
            <w:rStyle w:val="Hyperlink"/>
            <w:szCs w:val="24"/>
          </w:rPr>
          <w:t>Latvijas proves birojs (LPB)</w:t>
        </w:r>
      </w:hyperlink>
      <w:r w:rsidR="00EB7493">
        <w:rPr>
          <w:szCs w:val="24"/>
        </w:rPr>
        <w:t>;</w:t>
      </w:r>
    </w:p>
    <w:p w14:paraId="2AE1C7FD" w14:textId="77777777" w:rsidR="00EB7493" w:rsidRDefault="00000000" w:rsidP="00E44993">
      <w:pPr>
        <w:numPr>
          <w:ilvl w:val="0"/>
          <w:numId w:val="24"/>
        </w:numPr>
        <w:tabs>
          <w:tab w:val="num" w:pos="284"/>
        </w:tabs>
        <w:spacing w:before="100" w:beforeAutospacing="1" w:after="100" w:afterAutospacing="1"/>
        <w:rPr>
          <w:szCs w:val="24"/>
        </w:rPr>
      </w:pPr>
      <w:hyperlink r:id="rId11" w:tgtFrame="_blank" w:history="1">
        <w:r w:rsidR="00EB7493">
          <w:rPr>
            <w:rStyle w:val="Hyperlink"/>
            <w:szCs w:val="24"/>
          </w:rPr>
          <w:t>Valsts vides dienests (VVD)</w:t>
        </w:r>
      </w:hyperlink>
      <w:r w:rsidR="00EB7493">
        <w:rPr>
          <w:szCs w:val="24"/>
        </w:rPr>
        <w:t xml:space="preserve">; </w:t>
      </w:r>
    </w:p>
    <w:p w14:paraId="32C20516" w14:textId="77777777" w:rsidR="00EB7493" w:rsidRDefault="00000000" w:rsidP="00E44993">
      <w:pPr>
        <w:numPr>
          <w:ilvl w:val="0"/>
          <w:numId w:val="24"/>
        </w:numPr>
        <w:tabs>
          <w:tab w:val="num" w:pos="284"/>
        </w:tabs>
        <w:spacing w:after="0"/>
        <w:ind w:left="714" w:hanging="357"/>
        <w:jc w:val="left"/>
        <w:rPr>
          <w:szCs w:val="24"/>
        </w:rPr>
      </w:pPr>
      <w:hyperlink r:id="rId12" w:history="1">
        <w:r w:rsidR="00EB7493">
          <w:rPr>
            <w:rStyle w:val="Hyperlink"/>
            <w:color w:val="000000"/>
            <w:szCs w:val="24"/>
          </w:rPr>
          <w:t>Valsts tehniskās uzraudzības aģentūra (VTUA)</w:t>
        </w:r>
      </w:hyperlink>
      <w:r w:rsidR="00EB7493">
        <w:t>;</w:t>
      </w:r>
    </w:p>
    <w:p w14:paraId="5849DE1B" w14:textId="77777777" w:rsidR="00EB7493" w:rsidRDefault="00000000" w:rsidP="00E44993">
      <w:pPr>
        <w:numPr>
          <w:ilvl w:val="0"/>
          <w:numId w:val="25"/>
        </w:numPr>
        <w:tabs>
          <w:tab w:val="num" w:pos="284"/>
        </w:tabs>
        <w:spacing w:after="0"/>
        <w:ind w:left="714" w:hanging="357"/>
        <w:jc w:val="left"/>
        <w:rPr>
          <w:szCs w:val="24"/>
        </w:rPr>
      </w:pPr>
      <w:hyperlink r:id="rId13" w:history="1">
        <w:r w:rsidR="00EB7493">
          <w:rPr>
            <w:rStyle w:val="Hyperlink"/>
          </w:rPr>
          <w:t>Valsts augu aizsardzības dienests (VAAD)</w:t>
        </w:r>
      </w:hyperlink>
      <w:r w:rsidR="00EB7493">
        <w:rPr>
          <w:szCs w:val="24"/>
          <w:u w:val="single"/>
        </w:rPr>
        <w:t>;</w:t>
      </w:r>
    </w:p>
    <w:p w14:paraId="6C0C2905" w14:textId="77777777" w:rsidR="009E4833" w:rsidRPr="009E4833" w:rsidRDefault="00000000" w:rsidP="00E44993">
      <w:pPr>
        <w:numPr>
          <w:ilvl w:val="0"/>
          <w:numId w:val="25"/>
        </w:numPr>
        <w:tabs>
          <w:tab w:val="num" w:pos="284"/>
        </w:tabs>
        <w:spacing w:before="100" w:beforeAutospacing="1" w:after="100" w:afterAutospacing="1"/>
        <w:jc w:val="left"/>
        <w:rPr>
          <w:szCs w:val="24"/>
        </w:rPr>
      </w:pPr>
      <w:hyperlink r:id="rId14" w:history="1">
        <w:r w:rsidR="00EB7493">
          <w:rPr>
            <w:rStyle w:val="Hyperlink"/>
          </w:rPr>
          <w:t>Valsts policija</w:t>
        </w:r>
      </w:hyperlink>
      <w:r w:rsidR="00EB7493">
        <w:rPr>
          <w:u w:val="single"/>
        </w:rPr>
        <w:t xml:space="preserve"> (VP)</w:t>
      </w:r>
    </w:p>
    <w:p w14:paraId="24DA85BB" w14:textId="6C5A482C" w:rsidR="00EB7493" w:rsidRDefault="009E4833" w:rsidP="00E44993">
      <w:pPr>
        <w:numPr>
          <w:ilvl w:val="0"/>
          <w:numId w:val="25"/>
        </w:numPr>
        <w:tabs>
          <w:tab w:val="num" w:pos="284"/>
        </w:tabs>
        <w:spacing w:before="100" w:beforeAutospacing="1" w:after="100" w:afterAutospacing="1"/>
        <w:jc w:val="left"/>
        <w:rPr>
          <w:szCs w:val="24"/>
        </w:rPr>
      </w:pPr>
      <w:r>
        <w:rPr>
          <w:u w:val="single"/>
        </w:rPr>
        <w:t>Būvniecības valsts kontroles birojs (BVKB)</w:t>
      </w:r>
      <w:r w:rsidR="00EB7493">
        <w:rPr>
          <w:szCs w:val="24"/>
        </w:rPr>
        <w:t>.</w:t>
      </w:r>
    </w:p>
    <w:p w14:paraId="6E491B31" w14:textId="1D640DB5" w:rsidR="00EB7493" w:rsidRDefault="00EB7493" w:rsidP="00EB7493">
      <w:r>
        <w:rPr>
          <w:szCs w:val="24"/>
        </w:rPr>
        <w:t>Sīkāk par katras iestādes kompetenci, kontaktinformāciju, veiktajām darbībām konkrētajā nozarē u.c. ir norādīts 2.iedaļas apakšpunktos</w:t>
      </w:r>
      <w:r>
        <w:t>.</w:t>
      </w:r>
    </w:p>
    <w:p w14:paraId="0B504623" w14:textId="2F056CF6" w:rsidR="00D90773" w:rsidRPr="0008472F" w:rsidRDefault="00EB7493" w:rsidP="005A20FD">
      <w:r w:rsidRPr="000B69FF">
        <w:rPr>
          <w:i/>
          <w:color w:val="0000FF"/>
        </w:rPr>
        <w:t xml:space="preserve"> </w:t>
      </w:r>
      <w:r w:rsidR="00A973CC" w:rsidRPr="000B69FF">
        <w:rPr>
          <w:i/>
          <w:color w:val="0000FF"/>
        </w:rPr>
        <w:t xml:space="preserve"> </w:t>
      </w:r>
    </w:p>
    <w:p w14:paraId="219F5541" w14:textId="44268447" w:rsidR="00D90773" w:rsidRPr="0008472F" w:rsidRDefault="00D90773" w:rsidP="0005105C">
      <w:pPr>
        <w:pStyle w:val="Heading2"/>
      </w:pPr>
      <w:bookmarkStart w:id="5" w:name="_Toc392679018"/>
      <w:bookmarkStart w:id="6" w:name="_Toc8821857"/>
      <w:r w:rsidRPr="0008472F">
        <w:t>Koordinācijas un sadarbības mehānismi starp valstu tirgus uzraudzības iestādēm</w:t>
      </w:r>
      <w:bookmarkEnd w:id="5"/>
      <w:bookmarkEnd w:id="6"/>
    </w:p>
    <w:p w14:paraId="00D00B46" w14:textId="28FE432F" w:rsidR="00155E6D" w:rsidRDefault="00155E6D" w:rsidP="00155E6D">
      <w:pPr>
        <w:spacing w:before="100" w:beforeAutospacing="1" w:after="100" w:afterAutospacing="1"/>
        <w:rPr>
          <w:szCs w:val="24"/>
        </w:rPr>
      </w:pPr>
      <w:r>
        <w:rPr>
          <w:bCs/>
          <w:szCs w:val="24"/>
        </w:rPr>
        <w:t xml:space="preserve">Lai koordinētu darbu starp </w:t>
      </w:r>
      <w:r w:rsidR="00EB7493">
        <w:rPr>
          <w:bCs/>
          <w:szCs w:val="24"/>
        </w:rPr>
        <w:t>tirgus uzraudzības</w:t>
      </w:r>
      <w:r>
        <w:rPr>
          <w:bCs/>
          <w:szCs w:val="24"/>
        </w:rPr>
        <w:t xml:space="preserve"> iestādēm, 2000. gadā tika izveidota Tirgus uzraudzības padome. </w:t>
      </w:r>
      <w:r>
        <w:rPr>
          <w:szCs w:val="24"/>
        </w:rPr>
        <w:t xml:space="preserve">Tirgus uzraudzības padome atbilstoši tās </w:t>
      </w:r>
      <w:hyperlink r:id="rId15" w:history="1">
        <w:r>
          <w:rPr>
            <w:rStyle w:val="Hyperlink"/>
            <w:color w:val="003366"/>
            <w:szCs w:val="24"/>
          </w:rPr>
          <w:t>nolikumam</w:t>
        </w:r>
      </w:hyperlink>
      <w:r>
        <w:rPr>
          <w:szCs w:val="24"/>
        </w:rPr>
        <w:t xml:space="preserve"> ir konsultatīva institūcija, kuras mērķis ir nodrošināt informācijas un viedokļu apmaiņu starp tirgus uzraudzības iestādēm. Tirgus uzraudzības padomes galvenais uzdevums ir veicināt vienotu pieeju tirgus uzraudzībai, tirgus uzraudzības iestāžu sadarbību sakarā ar nedrošām precēm un pakalpojumiem, kā arī kompetences sadali starp dažādām tirgus uzraudzības iestādēm, lai nodrošinātu visu preču uzraudzību un novērstu funkciju dublēšanos. Padome tiekas divas reizes gadā, un tai uzticētā funkcija - informācijas apmaiņa starp tirgus uzraudzības iestādēm - ir ļoti nozīmīga vienotas pieejas veidošanai tirgus uzraudzībā, lai veidotu efektīvu un ES prasībām atbilstošu tirgus uzraudzības sistēmu.</w:t>
      </w:r>
      <w:r w:rsidR="008A706D">
        <w:rPr>
          <w:szCs w:val="24"/>
        </w:rPr>
        <w:t xml:space="preserve"> Tirgus uzraudzības p</w:t>
      </w:r>
      <w:r w:rsidR="008A706D" w:rsidRPr="008A706D">
        <w:rPr>
          <w:szCs w:val="24"/>
        </w:rPr>
        <w:t>adome lēmumus pieņem, atklāti balsojot, ar klātesošo padomes locekļu vienkāršu balsu vairākumu. Ja balsu skaits sadalās vienādi, izšķirošā balss ir padomes priekšsēdētāja</w:t>
      </w:r>
      <w:r w:rsidR="008A706D">
        <w:rPr>
          <w:szCs w:val="24"/>
        </w:rPr>
        <w:t>m, kas ir Ekonomikas ministrijas pārstāvis</w:t>
      </w:r>
      <w:r w:rsidR="008A706D" w:rsidRPr="008A706D">
        <w:rPr>
          <w:szCs w:val="24"/>
        </w:rPr>
        <w:t>.</w:t>
      </w:r>
    </w:p>
    <w:p w14:paraId="3D643984" w14:textId="3427B558" w:rsidR="00077E4A" w:rsidRDefault="00077E4A" w:rsidP="00155E6D">
      <w:pPr>
        <w:spacing w:before="100" w:beforeAutospacing="1" w:after="100" w:afterAutospacing="1"/>
        <w:rPr>
          <w:szCs w:val="24"/>
          <w:lang w:bidi="ar-SA"/>
        </w:rPr>
      </w:pPr>
      <w:r>
        <w:rPr>
          <w:szCs w:val="24"/>
        </w:rPr>
        <w:t>Ekonomikas ministrija, būdama tirgus uzraudzību koordinējošā institūcija Latvijā, kā v</w:t>
      </w:r>
      <w:r w:rsidRPr="00077E4A">
        <w:rPr>
          <w:szCs w:val="24"/>
        </w:rPr>
        <w:t>ien</w:t>
      </w:r>
      <w:r>
        <w:rPr>
          <w:szCs w:val="24"/>
        </w:rPr>
        <w:t>u</w:t>
      </w:r>
      <w:r w:rsidRPr="00077E4A">
        <w:rPr>
          <w:szCs w:val="24"/>
        </w:rPr>
        <w:t xml:space="preserve"> no </w:t>
      </w:r>
      <w:r>
        <w:rPr>
          <w:szCs w:val="24"/>
        </w:rPr>
        <w:t>u</w:t>
      </w:r>
      <w:r w:rsidRPr="00077E4A">
        <w:rPr>
          <w:szCs w:val="24"/>
        </w:rPr>
        <w:t xml:space="preserve">zņēmējdarbības vides pilnveidošanas pasākumu plāna prioritātēm ir </w:t>
      </w:r>
      <w:r>
        <w:rPr>
          <w:szCs w:val="24"/>
        </w:rPr>
        <w:t xml:space="preserve">izvirzījusi </w:t>
      </w:r>
      <w:r w:rsidRPr="00077E4A">
        <w:rPr>
          <w:szCs w:val="24"/>
        </w:rPr>
        <w:t>tirgus uzraudzības iestāžu darbības pārkārtošan</w:t>
      </w:r>
      <w:r>
        <w:rPr>
          <w:szCs w:val="24"/>
        </w:rPr>
        <w:t>u</w:t>
      </w:r>
      <w:r w:rsidRPr="00077E4A">
        <w:rPr>
          <w:szCs w:val="24"/>
        </w:rPr>
        <w:t xml:space="preserve"> ar mērķi panākt, lai par minēto iestāžu galveno pienākumu kļūtu nevis komersantu sodīšana, bet prasību godprātīga izpilde, pamatojoties uz iestāžu informatīvo un konsultatīvo atbalstu, kā arī labas prakses piemērošanu.</w:t>
      </w:r>
      <w:r w:rsidR="003B4180">
        <w:rPr>
          <w:szCs w:val="24"/>
        </w:rPr>
        <w:t xml:space="preserve"> </w:t>
      </w:r>
      <w:r w:rsidR="00AF39AF">
        <w:rPr>
          <w:szCs w:val="24"/>
        </w:rPr>
        <w:t xml:space="preserve">Šādā nolūkā Ekonomikas ministrija tika aizsākusi iniciatīvu “Konsultē vispirms” ar mērķi uzlabot sadarbību uzņēmēju un uzraudzības iestāžu starpā, veicinot tiesību aktos noteikto prasību izpildi. Lai to nostiprinātu, </w:t>
      </w:r>
      <w:r w:rsidR="003B4180" w:rsidRPr="00B44684">
        <w:rPr>
          <w:bCs/>
        </w:rPr>
        <w:t xml:space="preserve">2017. gada 15. jūnijā </w:t>
      </w:r>
      <w:r w:rsidR="00AF39AF">
        <w:rPr>
          <w:bCs/>
        </w:rPr>
        <w:t xml:space="preserve">valdības, valsts pārvaldes uzraudzības iestāžu un uzņēmējus pārstāvošo organizāciju starpā tika </w:t>
      </w:r>
      <w:r w:rsidR="003B4180" w:rsidRPr="00B44684">
        <w:rPr>
          <w:bCs/>
        </w:rPr>
        <w:t>parakstī</w:t>
      </w:r>
      <w:r w:rsidR="00AF39AF">
        <w:rPr>
          <w:bCs/>
        </w:rPr>
        <w:t>ts</w:t>
      </w:r>
      <w:r w:rsidR="003B4180" w:rsidRPr="00B44684">
        <w:rPr>
          <w:bCs/>
        </w:rPr>
        <w:t xml:space="preserve"> sadarbības memorand</w:t>
      </w:r>
      <w:r w:rsidR="00AF39AF">
        <w:rPr>
          <w:bCs/>
        </w:rPr>
        <w:t>s</w:t>
      </w:r>
      <w:r w:rsidR="003B4180" w:rsidRPr="00B44684">
        <w:rPr>
          <w:bCs/>
        </w:rPr>
        <w:t xml:space="preserve"> par “Konsultē vispirms” principa iedzīvināšanu</w:t>
      </w:r>
      <w:r w:rsidR="00AF39AF">
        <w:rPr>
          <w:bCs/>
        </w:rPr>
        <w:t>.</w:t>
      </w:r>
    </w:p>
    <w:p w14:paraId="484D1F32" w14:textId="0F08F2B9" w:rsidR="00155E6D" w:rsidRDefault="00155E6D" w:rsidP="00155E6D">
      <w:pPr>
        <w:rPr>
          <w:szCs w:val="24"/>
        </w:rPr>
      </w:pPr>
      <w:r>
        <w:rPr>
          <w:szCs w:val="24"/>
        </w:rPr>
        <w:lastRenderedPageBreak/>
        <w:t xml:space="preserve">Saskaņā ar </w:t>
      </w:r>
      <w:hyperlink r:id="rId16" w:history="1">
        <w:r>
          <w:rPr>
            <w:rStyle w:val="Hyperlink"/>
            <w:color w:val="003366"/>
            <w:szCs w:val="24"/>
          </w:rPr>
          <w:t>Tirgus uzraudzības padomes nolikumu</w:t>
        </w:r>
      </w:hyperlink>
      <w:r>
        <w:rPr>
          <w:szCs w:val="24"/>
        </w:rPr>
        <w:t xml:space="preserve"> Tirgus uzraudzības padome iesniedz apkopošanai Ekonomikas ministrijā tirgus uzraudzības programmas un to pārskatus atbilstoši Regulas 765/2008 18. panta prasībām, kas minētās tirgus uzraudzības programmas un to pārskatus iesniedz Eiropas Komisijai un pārējām dalībvalstīm.</w:t>
      </w:r>
    </w:p>
    <w:p w14:paraId="7AE663A7" w14:textId="524D87C3" w:rsidR="009B6F51" w:rsidRDefault="00280A5A" w:rsidP="009B6F51">
      <w:pPr>
        <w:spacing w:after="0"/>
        <w:rPr>
          <w:szCs w:val="24"/>
        </w:rPr>
      </w:pPr>
      <w:r>
        <w:rPr>
          <w:szCs w:val="24"/>
        </w:rPr>
        <w:t>P</w:t>
      </w:r>
      <w:r w:rsidR="003F5025">
        <w:rPr>
          <w:szCs w:val="24"/>
        </w:rPr>
        <w:t>apildus dalībai Tirgus uzraudzības padomē</w:t>
      </w:r>
      <w:r w:rsidR="009E4833" w:rsidRPr="009E4833">
        <w:rPr>
          <w:szCs w:val="24"/>
        </w:rPr>
        <w:t>, ķīmisko maisījumu un biocīdu uzraudzībā</w:t>
      </w:r>
      <w:r>
        <w:rPr>
          <w:szCs w:val="24"/>
        </w:rPr>
        <w:t xml:space="preserve"> iesaistītās tirgus uzraudzības iestādes</w:t>
      </w:r>
      <w:r w:rsidR="009E4833" w:rsidRPr="009E4833">
        <w:rPr>
          <w:szCs w:val="24"/>
        </w:rPr>
        <w:t xml:space="preserve"> piedalās </w:t>
      </w:r>
      <w:r>
        <w:rPr>
          <w:szCs w:val="24"/>
        </w:rPr>
        <w:t xml:space="preserve">arī </w:t>
      </w:r>
      <w:r w:rsidR="009E4833" w:rsidRPr="009E4833">
        <w:rPr>
          <w:szCs w:val="24"/>
        </w:rPr>
        <w:t xml:space="preserve">Vides aizsardzības un reģionālās attīstības ministrijas darba grupā “Par ķīmisko vielu, maisījumu un biocīdu regulējuma jomas starpinstitucionālo sadarbību”, kas nepieciešama sekmīgai šīs jomas prasību uzraudzībai un kontrolei. </w:t>
      </w:r>
      <w:r w:rsidR="009B6F51">
        <w:rPr>
          <w:szCs w:val="24"/>
        </w:rPr>
        <w:t>2020. gadā saistībā ar Covid-19 izplatības mazināšanas dēļ izsludināto ārkārtas situāciju notika viena klātienes sanāksme.</w:t>
      </w:r>
    </w:p>
    <w:p w14:paraId="2575096D" w14:textId="77777777" w:rsidR="009B6F51" w:rsidRDefault="009B6F51" w:rsidP="009B6F51">
      <w:pPr>
        <w:spacing w:after="0"/>
        <w:rPr>
          <w:szCs w:val="24"/>
        </w:rPr>
      </w:pPr>
    </w:p>
    <w:p w14:paraId="27862DFE" w14:textId="7389E8AA" w:rsidR="009E4833" w:rsidRPr="009E4833" w:rsidRDefault="009B6F51" w:rsidP="009B6F51">
      <w:pPr>
        <w:rPr>
          <w:szCs w:val="24"/>
        </w:rPr>
      </w:pPr>
      <w:r>
        <w:rPr>
          <w:szCs w:val="24"/>
        </w:rPr>
        <w:t>Veselības inspekcija nodrošina Eiropas Ķimikāliju aģentūras (turpmāk – ECHA) Ieviešanas informācijas apmaiņas forumā (turpmāk – Forums) Latvijas deleģēto pārstāvi, kas Forumā saņemto jomas uzraudzībai svarīgo informāciju par Foruma projektiem nodod citām iestādēm minētajā starpinstitucionālās sadarbības darba grupā</w:t>
      </w:r>
      <w:r w:rsidR="009E4833" w:rsidRPr="009E4833">
        <w:rPr>
          <w:szCs w:val="24"/>
        </w:rPr>
        <w:t xml:space="preserve">. </w:t>
      </w:r>
    </w:p>
    <w:p w14:paraId="655461D8" w14:textId="4D44BB68" w:rsidR="009E4833" w:rsidRDefault="009B6F51" w:rsidP="009E4833">
      <w:pPr>
        <w:rPr>
          <w:szCs w:val="24"/>
        </w:rPr>
      </w:pPr>
      <w:r>
        <w:rPr>
          <w:szCs w:val="24"/>
        </w:rPr>
        <w:t xml:space="preserve">Veselības inspekcija sadarbojas ar </w:t>
      </w:r>
      <w:r>
        <w:t>Patērētāju tiesību aizsardzības centru</w:t>
      </w:r>
      <w:r>
        <w:rPr>
          <w:szCs w:val="24"/>
        </w:rPr>
        <w:t xml:space="preserve"> </w:t>
      </w:r>
      <w:r>
        <w:t>ECHA F</w:t>
      </w:r>
      <w:r>
        <w:rPr>
          <w:szCs w:val="24"/>
        </w:rPr>
        <w:t xml:space="preserve">oruma organizētajos uzraudzības projektos </w:t>
      </w:r>
      <w:r>
        <w:rPr>
          <w:i/>
          <w:szCs w:val="24"/>
        </w:rPr>
        <w:t>“REACH-EN-FORCE</w:t>
      </w:r>
      <w:r>
        <w:rPr>
          <w:szCs w:val="24"/>
        </w:rPr>
        <w:t>”, kā arī uzraudzības darba uzlabošanai apmainās ar informāciju par tām preču grupām (elektroniskās cigaretes, kosmētikas līdzekļi), kuru uzraudzība deleģēta abām iestādēm, atbilstoši kompetencei</w:t>
      </w:r>
      <w:r w:rsidR="009E4833">
        <w:rPr>
          <w:i/>
          <w:szCs w:val="24"/>
        </w:rPr>
        <w:t>.</w:t>
      </w:r>
    </w:p>
    <w:p w14:paraId="3C372A4A" w14:textId="7BCE57AE" w:rsidR="008F449F" w:rsidRPr="0008472F" w:rsidRDefault="008F449F" w:rsidP="000E5A7C"/>
    <w:p w14:paraId="2B5E1DF8" w14:textId="77777777" w:rsidR="0088671C" w:rsidRPr="0008472F" w:rsidRDefault="0088671C" w:rsidP="00740B26">
      <w:pPr>
        <w:pStyle w:val="Heading2"/>
      </w:pPr>
      <w:bookmarkStart w:id="7" w:name="_Toc392679019"/>
      <w:bookmarkStart w:id="8" w:name="_Toc8821858"/>
      <w:r w:rsidRPr="0008472F">
        <w:t>Sadarbība starp valsts tirgus uzraudzības iestādēm un muitu</w:t>
      </w:r>
      <w:bookmarkEnd w:id="7"/>
      <w:bookmarkEnd w:id="8"/>
    </w:p>
    <w:p w14:paraId="54B078B4" w14:textId="77777777" w:rsidR="000D4B98" w:rsidRDefault="000D4B98" w:rsidP="000D4B98">
      <w:pPr>
        <w:spacing w:after="0"/>
        <w:ind w:firstLine="720"/>
      </w:pPr>
      <w:r w:rsidRPr="00FA5135">
        <w:t>P</w:t>
      </w:r>
      <w:r>
        <w:t>atērētāju tiesību aizsardzības centr</w:t>
      </w:r>
      <w:r w:rsidR="002145BB">
        <w:t>a</w:t>
      </w:r>
      <w:r>
        <w:t xml:space="preserve"> (turpmāk – P</w:t>
      </w:r>
      <w:r w:rsidRPr="00FA5135">
        <w:t>TAC</w:t>
      </w:r>
      <w:r>
        <w:t>)</w:t>
      </w:r>
      <w:r w:rsidRPr="00FA5135">
        <w:t xml:space="preserve"> sadarbība ar Valsts ieņēmumu dienesta Muitas pārvaldi notiek uz starpresoru vienošanās pamata. </w:t>
      </w:r>
      <w:r>
        <w:t xml:space="preserve">Sadarbība notiek saskaņā ar principiem, kas noteikti Regulā 765/2008. </w:t>
      </w:r>
    </w:p>
    <w:p w14:paraId="1113616B" w14:textId="1C21E2C6" w:rsidR="000D4B98" w:rsidRDefault="000D4B98" w:rsidP="000D4B98">
      <w:pPr>
        <w:spacing w:after="0"/>
        <w:ind w:firstLine="720"/>
      </w:pPr>
      <w:r w:rsidRPr="00FA5135">
        <w:t>Katru gadu PTAC sagatavo informāciju</w:t>
      </w:r>
      <w:r>
        <w:t xml:space="preserve"> Valsts ieņēmumu dienesta Muitas pārvaldei</w:t>
      </w:r>
      <w:r w:rsidRPr="00FA5135">
        <w:t xml:space="preserve"> </w:t>
      </w:r>
      <w:r>
        <w:t xml:space="preserve">(turpmāk – Muitas pārvalde) </w:t>
      </w:r>
      <w:r w:rsidRPr="00FA5135">
        <w:t>par konkrētā gada izvirzīt</w:t>
      </w:r>
      <w:r w:rsidR="00B276EF">
        <w:t>a</w:t>
      </w:r>
      <w:r w:rsidRPr="00FA5135">
        <w:t>jām prioritātēm, t.sk. norādot konkrētas preču grupas, kravas apjomus un citus specifisk</w:t>
      </w:r>
      <w:r>
        <w:t>u</w:t>
      </w:r>
      <w:r w:rsidRPr="00FA5135">
        <w:t xml:space="preserve">s kritērijus, pēc kuriem notiek importēto </w:t>
      </w:r>
      <w:r>
        <w:t>preču</w:t>
      </w:r>
      <w:r w:rsidRPr="00FA5135">
        <w:t xml:space="preserve"> kontrole. Papildus </w:t>
      </w:r>
      <w:r>
        <w:t>tiek sagatavotas arī pārbaudes lapas Muitas pārvaldes darbiniekiem par piemērojamajām prasībām (piemērojamie standarti, preču marķējums), pēc kurām Muitas pārvaldes inspektori veic dokumentāro pārbaudi ienākošajām precēm. Neatbilstību gadījumā (neizpildās kāds no pārbaudes lapā definētajiem kritērijiem) PTAC saņem Muitas pārvaldes pieprasījumu sniegt atzinumu par preču atbilstību normatīvo aktu prasībām.</w:t>
      </w:r>
    </w:p>
    <w:p w14:paraId="4E3B1D85" w14:textId="178FFE35" w:rsidR="000D4B98" w:rsidRDefault="000D4B98" w:rsidP="003F5025">
      <w:pPr>
        <w:spacing w:after="0"/>
        <w:ind w:firstLine="720"/>
      </w:pPr>
      <w:r w:rsidRPr="00FA5135">
        <w:t>Nepieciešamības gadījumā VID Muitas pārvaldes darbiniekiem tiek organizēt</w:t>
      </w:r>
      <w:r>
        <w:t>as apmācības</w:t>
      </w:r>
      <w:r w:rsidRPr="00FA5135">
        <w:t xml:space="preserve">, skaidrojot </w:t>
      </w:r>
      <w:r>
        <w:t xml:space="preserve">precēm </w:t>
      </w:r>
      <w:r w:rsidRPr="00FA5135">
        <w:t xml:space="preserve">piemērojamās prasības u.c. saistošo informāciju par konkrētām preču grupām. </w:t>
      </w:r>
      <w:r>
        <w:t>Muitas pārvalde reizi mēnesī sagatavo informāciju par Latvijā importētajām precēm un to iesniedz PTAC.</w:t>
      </w:r>
    </w:p>
    <w:p w14:paraId="4CE86131" w14:textId="18295092" w:rsidR="002145BB" w:rsidRDefault="000D4B98" w:rsidP="002145BB">
      <w:pPr>
        <w:pStyle w:val="Text2"/>
        <w:tabs>
          <w:tab w:val="clear" w:pos="2302"/>
          <w:tab w:val="left" w:pos="720"/>
        </w:tabs>
        <w:spacing w:after="0"/>
        <w:ind w:left="0"/>
      </w:pPr>
      <w:r>
        <w:tab/>
      </w:r>
      <w:r w:rsidRPr="00920EC8">
        <w:t xml:space="preserve">PTAC sadarbība ar citām valsts tirgus uzraudzības iestādēm, īstenojot normatīvajos aktos noteiktās funkcijas, notiek uz noslēgto līgumu pamata (piemēram, Valsts tehniskās uzraudzības aģentūra), noteikto kopprojektu (piemēram, ECHA Forum projekts) vai plānoto uzraudzības aktivitāšu (Latvijas </w:t>
      </w:r>
      <w:r w:rsidR="00AC60E5">
        <w:t>J</w:t>
      </w:r>
      <w:r w:rsidRPr="00920EC8">
        <w:t>ūras administrācija, VAS Elektroniskie sakari) ietvaros, kā arī reaktīvā veidā reaģējot uz citu iestāžu sniegto informāciju.</w:t>
      </w:r>
    </w:p>
    <w:p w14:paraId="0789BA3C" w14:textId="731E32D1" w:rsidR="004E2121" w:rsidRDefault="00981FDF" w:rsidP="004E2121">
      <w:pPr>
        <w:ind w:firstLine="709"/>
      </w:pPr>
      <w:r>
        <w:t xml:space="preserve">Veselības inspekcijai, pamatojoties uz noslēgto starpresoru vienošanos ar Valsts ieņēmumu dienestu, ir piekļuve Valsts ieņēmumu dienesta datubāzes „Datu noliktavu sistēma” datiem par ķīmisko vielu un maisījumu, kosmētikas līdzekļu, tabakas izstrādājumu, elektronisko cigarešu un to uzpildes šķidrumu, kā arī medicīnas ierīču importu Latvijas teritorijā. Līdz ar to ir atvieglota informācijas saņemšana par uzraudzībā </w:t>
      </w:r>
      <w:r>
        <w:lastRenderedPageBreak/>
        <w:t>esošo preču grupu importētājiem un sekmēta tirgus uzraudzības efektivitāte,  to veicot pie komersantiem ar augstāku atbildības līmeni preču izplatīšanas ķēdē</w:t>
      </w:r>
      <w:r w:rsidR="004E2121">
        <w:t>.</w:t>
      </w:r>
      <w:r w:rsidR="004E2121" w:rsidRPr="00A500C2">
        <w:t xml:space="preserve"> </w:t>
      </w:r>
    </w:p>
    <w:p w14:paraId="49BA44D9" w14:textId="73534403" w:rsidR="004E2121" w:rsidRDefault="00981FDF" w:rsidP="004E2121">
      <w:pPr>
        <w:pStyle w:val="Text1"/>
        <w:ind w:left="0" w:firstLine="709"/>
      </w:pPr>
      <w:r>
        <w:t>Veselības inspekcijai ir pastāvīga sadarbība ar Valsts ieņēmumu dienesta Muitas pārvaldi medicīnas ierīču tirgus uzraudzības jomā. Inspekcijas amatpersonas izvērtē kravā esošās medicīnas ierīces dokumentācijas atbilstību. Saņemtā dokumentācija tiek salīdzināta ar Eiropas Savienības datubāzes EUDAMED pieejamo informāciju, un, ja tiek konstatēti trūkumi dokumentācijā, lai pārliecinātos par medicīnas ierīces atbilstību Eiropas Savienības normatīvajiem aktiem, Muitas pārvaldei tiek pieprasīta kravas fiziskā kontrole, pēc kuras tiek sniegts atzinums par medicīnas ierīces atbilstību</w:t>
      </w:r>
      <w:r w:rsidR="004E2121">
        <w:t>.</w:t>
      </w:r>
    </w:p>
    <w:p w14:paraId="7D00CE62" w14:textId="754A89A3" w:rsidR="00981FDF" w:rsidRPr="00981FDF" w:rsidRDefault="00981FDF" w:rsidP="00981FDF">
      <w:pPr>
        <w:pStyle w:val="Text1"/>
        <w:ind w:left="0" w:firstLine="709"/>
      </w:pPr>
      <w:r w:rsidRPr="00981FDF">
        <w:t>Veselības inspekcija sadarbojas ar Valsts ieņēmumu dienesta Muitas pārvaldi kosmētikas līdzekļu uzraudzības jomā, pamatojoties uz noslēgto starpresoru vienošanos. Nodrošinot atbalstu muitas iestāžu projekta ietvaros, kurā Baltijas valstu – Igaunijas, Latvijas, Lietuvas – un Polijas iestādes vienojas par kontrolējamo produktu veidiem uz nākamo periodu un izstrādā kopēju pārbaudes lapu. Līdz ar to vienlaicīgi uz visām robežām notiek to pašu preču kontrole, lai novērstu praksi, ka importētājs mēģina caur citu valsti ievest preces, kuru ievešana vienā valstī netika atļauta.</w:t>
      </w:r>
    </w:p>
    <w:p w14:paraId="5C650F9D" w14:textId="00873A9A" w:rsidR="00981FDF" w:rsidRDefault="00981FDF" w:rsidP="00981FDF">
      <w:pPr>
        <w:pStyle w:val="Text1"/>
        <w:ind w:left="0" w:firstLine="709"/>
      </w:pPr>
      <w:r w:rsidRPr="00981FDF">
        <w:t>Veselības inspekcija sadarbojas ar Valsts ieņēmumu dienesta Muitas pārvaldi elektronisko cigarešu uzraudzības jomā, sniedzot atzinumus par konkrētiem sūtījumiem pēc muitas dienestu pieprasījuma</w:t>
      </w:r>
    </w:p>
    <w:p w14:paraId="5D91B9FC" w14:textId="77777777" w:rsidR="00433FEA" w:rsidRDefault="00280A5A" w:rsidP="00280A5A">
      <w:pPr>
        <w:pStyle w:val="Text1"/>
        <w:ind w:left="0" w:firstLine="709"/>
        <w:rPr>
          <w:iCs/>
        </w:rPr>
      </w:pPr>
      <w:r w:rsidRPr="00280A5A">
        <w:rPr>
          <w:iCs/>
        </w:rPr>
        <w:t>V</w:t>
      </w:r>
      <w:r>
        <w:rPr>
          <w:iCs/>
        </w:rPr>
        <w:t>alsts ieņēmumu dienests</w:t>
      </w:r>
      <w:r w:rsidRPr="00280A5A">
        <w:rPr>
          <w:iCs/>
        </w:rPr>
        <w:t xml:space="preserve"> ir noslēdzis starpresoru vienošanos ar Patērētāju tiesību aizsardzības centru, Veselības inspekciju un Valsts Tehniskās uzraudzības aģentūru par V</w:t>
      </w:r>
      <w:r>
        <w:rPr>
          <w:iCs/>
        </w:rPr>
        <w:t>alsts ieņēmumu dienesta</w:t>
      </w:r>
      <w:r w:rsidRPr="00280A5A">
        <w:rPr>
          <w:iCs/>
        </w:rPr>
        <w:t xml:space="preserve"> Elektroniskās muitas datu apstrādes sistēmas lietošanu, tirgus uzraudzības pasākumu realizēšanai nepieciešamās informācijas apmaiņu un sadarbību tirgus uzraudzības pasākumu piemērošanā</w:t>
      </w:r>
      <w:r w:rsidR="00433FEA">
        <w:rPr>
          <w:iCs/>
        </w:rPr>
        <w:t>.</w:t>
      </w:r>
    </w:p>
    <w:p w14:paraId="425572C6" w14:textId="72218DFA" w:rsidR="00197763" w:rsidRDefault="00433FEA" w:rsidP="00280A5A">
      <w:pPr>
        <w:pStyle w:val="Text1"/>
        <w:ind w:left="0" w:firstLine="709"/>
      </w:pPr>
      <w:r w:rsidRPr="00280A5A">
        <w:rPr>
          <w:iCs/>
        </w:rPr>
        <w:t>V</w:t>
      </w:r>
      <w:r>
        <w:rPr>
          <w:iCs/>
        </w:rPr>
        <w:t>alsts ieņēmumu dienesta</w:t>
      </w:r>
      <w:r w:rsidRPr="00433FEA">
        <w:rPr>
          <w:iCs/>
        </w:rPr>
        <w:t xml:space="preserve"> Muitas pārvalde piedalās </w:t>
      </w:r>
      <w:r w:rsidRPr="00433FEA">
        <w:rPr>
          <w:i/>
        </w:rPr>
        <w:t>Customs 2020</w:t>
      </w:r>
      <w:r w:rsidRPr="00433FEA">
        <w:rPr>
          <w:iCs/>
        </w:rPr>
        <w:t xml:space="preserve"> programmas ietvaros rīkotajā Baltijas valstu un Polijas kopējā sadarbības tirgus uzraudzības pasākumu īstenošanā. No 2014.</w:t>
      </w:r>
      <w:r>
        <w:rPr>
          <w:iCs/>
        </w:rPr>
        <w:t> </w:t>
      </w:r>
      <w:r w:rsidRPr="00433FEA">
        <w:rPr>
          <w:iCs/>
        </w:rPr>
        <w:t>gada Latvijas, Lietuvas, Igaunijas un Polijas muitas iestāžu un tirgus uzraudzības iestāžu pārstāvji tiekas, lai vienveidotu kontroles pasākumus tirgus uzraudzības jomā un novērstu, ka preces, kuras bija aizliegts laist brīvā apgrozībā vienā valstī, tiek laistas brīvā apgrozībā otrā. Reizi gadā sanāksmes laikā tiek panākta vienošanās par kontrolei pakļautām preču grupām, iespējamiem Kombinētās nomenklatūras kodiem un termiņiem</w:t>
      </w:r>
      <w:r>
        <w:rPr>
          <w:iCs/>
        </w:rPr>
        <w:t xml:space="preserve">. </w:t>
      </w:r>
    </w:p>
    <w:p w14:paraId="6A4C335F" w14:textId="460B80B5" w:rsidR="00197763" w:rsidRDefault="00197763" w:rsidP="00197763">
      <w:pPr>
        <w:pStyle w:val="Text1"/>
        <w:ind w:left="0" w:firstLine="709"/>
      </w:pPr>
      <w:r>
        <w:t>Valsts augu aizsardzības dienesta (VAAD) sadarbību ar muitu nosaka Mēslošanas līdzekļu aprites likums, saskaņā ar kuru par trešajās valstīs ražotajiem mēslošanas līdzekļiem un substrātiem, kuriem viens no aprites posmiem ir ievešana, VAAD:</w:t>
      </w:r>
    </w:p>
    <w:p w14:paraId="085BC48B" w14:textId="77777777" w:rsidR="00197763" w:rsidRDefault="00197763" w:rsidP="00E44993">
      <w:pPr>
        <w:numPr>
          <w:ilvl w:val="0"/>
          <w:numId w:val="31"/>
        </w:numPr>
      </w:pPr>
      <w:r>
        <w:t>piecu darba dienu laikā sniedz Valsts ieņēmumu dienestam informāciju par uzskaitei pieteiktajiem mēslošanas līdzekļiem ar EK marķējumu, paziņotajiem mēslošanas līdzekļiem un substrātiem, kā arī ražotāja reģistrētajiem mēslošanas līdzekļiem un substrātiem;</w:t>
      </w:r>
    </w:p>
    <w:p w14:paraId="438FB3BB" w14:textId="77777777" w:rsidR="00197763" w:rsidRDefault="00197763" w:rsidP="00E44993">
      <w:pPr>
        <w:numPr>
          <w:ilvl w:val="0"/>
          <w:numId w:val="31"/>
        </w:numPr>
      </w:pPr>
      <w:r>
        <w:t>katru mēnesi līdz piektajam datumam - par iepriekšējā mēnesī reģistrētajiem mēslošanas līdzekļiem un substrātiem, par tiem mēslošanas līdzekļiem un substrātiem, kuriem izsniegta atļauja, kā arī par mēslošanas līdzekļiem un substrātiem, kuriem anulēta reģistrācijas apliecība.</w:t>
      </w:r>
    </w:p>
    <w:p w14:paraId="67473CD6" w14:textId="6320F9A8" w:rsidR="00197763" w:rsidRPr="00A500C2" w:rsidRDefault="00197763" w:rsidP="00197763">
      <w:pPr>
        <w:pStyle w:val="Text1"/>
        <w:ind w:left="0" w:firstLine="709"/>
        <w:rPr>
          <w:i/>
          <w:color w:val="0000FF"/>
        </w:rPr>
      </w:pPr>
      <w:r>
        <w:lastRenderedPageBreak/>
        <w:t>VAAD, norādot identificēšanai nepieciešamās ziņas, no Valsts ieņēmumu dienesta var pieprasīt informāciju par mēslošanas līdzekļiem un substrātiem, kuriem piemērota muitas procedūra — laišana brīvā apgrozībā.</w:t>
      </w:r>
    </w:p>
    <w:p w14:paraId="6619B151" w14:textId="77777777" w:rsidR="00FD646B" w:rsidRPr="0008472F" w:rsidRDefault="00750B7D" w:rsidP="00740B26">
      <w:pPr>
        <w:pStyle w:val="Heading2"/>
      </w:pPr>
      <w:bookmarkStart w:id="9" w:name="_Toc392679020"/>
      <w:bookmarkStart w:id="10" w:name="_Toc8821859"/>
      <w:r w:rsidRPr="0008472F">
        <w:t>Ā</w:t>
      </w:r>
      <w:r w:rsidR="00F506A3" w:rsidRPr="0008472F">
        <w:t xml:space="preserve">trās ziņošanas sistēma </w:t>
      </w:r>
      <w:r w:rsidR="00F506A3" w:rsidRPr="0008472F">
        <w:rPr>
          <w:i/>
        </w:rPr>
        <w:t>RAPEX</w:t>
      </w:r>
      <w:bookmarkEnd w:id="9"/>
      <w:bookmarkEnd w:id="10"/>
    </w:p>
    <w:p w14:paraId="02B46505" w14:textId="75AA9BB2" w:rsidR="002145BB" w:rsidRDefault="002145BB" w:rsidP="002145BB">
      <w:pPr>
        <w:spacing w:after="0"/>
        <w:ind w:firstLine="720"/>
      </w:pPr>
      <w:r w:rsidRPr="0028226A">
        <w:t>PTAC</w:t>
      </w:r>
      <w:r w:rsidRPr="00851539">
        <w:t xml:space="preserve"> nodrošina informācijas apmaiņu starp tirgus uzraudzības un kontroles iestādēm, pildot Kopienas ātrās ziņošanas sistēmas "</w:t>
      </w:r>
      <w:r w:rsidRPr="00851539">
        <w:rPr>
          <w:i/>
        </w:rPr>
        <w:t>RAPEX</w:t>
      </w:r>
      <w:r w:rsidRPr="00851539">
        <w:t xml:space="preserve">" (turpmāk – </w:t>
      </w:r>
      <w:r w:rsidRPr="00124E7E">
        <w:t>RAPEX</w:t>
      </w:r>
      <w:r w:rsidRPr="00851539">
        <w:t xml:space="preserve"> sistēma) nacionālā kontaktpunkta funkcijas. </w:t>
      </w:r>
      <w:r w:rsidRPr="00124E7E">
        <w:t>RAPEX</w:t>
      </w:r>
      <w:r w:rsidRPr="00851539">
        <w:t xml:space="preserve"> kontaktpunkta galvenie uzdevumi ir nodrošināt pareizu </w:t>
      </w:r>
      <w:r w:rsidRPr="00124E7E">
        <w:t>RAPEX</w:t>
      </w:r>
      <w:r w:rsidRPr="00851539">
        <w:t xml:space="preserve"> sistēmas darbību, organizēt un vadīt valsts </w:t>
      </w:r>
      <w:r w:rsidRPr="00124E7E">
        <w:t>RAPEX</w:t>
      </w:r>
      <w:r w:rsidRPr="00851539">
        <w:t xml:space="preserve"> tīkla darbu saskaņā ar </w:t>
      </w:r>
      <w:r w:rsidRPr="00851539">
        <w:rPr>
          <w:i/>
        </w:rPr>
        <w:t>RAPEX</w:t>
      </w:r>
      <w:r w:rsidRPr="00851539">
        <w:t xml:space="preserve"> Vadlīnijās izklāstītajiem noteikumiem, apmācīt citas uzraudzības iestādes</w:t>
      </w:r>
      <w:r>
        <w:t>, kā arī n</w:t>
      </w:r>
      <w:r w:rsidRPr="00851539">
        <w:t xml:space="preserve">odrošināt, ka visi </w:t>
      </w:r>
      <w:r w:rsidRPr="00124E7E">
        <w:t>RAPEX</w:t>
      </w:r>
      <w:r w:rsidRPr="00851539">
        <w:t xml:space="preserve"> uzdevumi, kas izriet no 2001.</w:t>
      </w:r>
      <w:r w:rsidR="00433FEA">
        <w:t> </w:t>
      </w:r>
      <w:r w:rsidRPr="00851539">
        <w:t>gada 3. decembra Direktīvas 2001/95/EK par produktu vispārēju drošību</w:t>
      </w:r>
      <w:r w:rsidR="00D60D22">
        <w:t>,</w:t>
      </w:r>
      <w:r w:rsidRPr="00851539">
        <w:t xml:space="preserve"> tiek veikti pareizi</w:t>
      </w:r>
      <w:r w:rsidR="00D60D22">
        <w:t>,</w:t>
      </w:r>
      <w:r w:rsidRPr="00851539">
        <w:t xml:space="preserve"> un visa informācija tiek iesniegta Komisijai pilnā apmērā un laikā.</w:t>
      </w:r>
    </w:p>
    <w:p w14:paraId="4B00512B" w14:textId="77777777" w:rsidR="004E2121" w:rsidRDefault="004E2121" w:rsidP="002145BB">
      <w:pPr>
        <w:spacing w:after="0"/>
        <w:ind w:firstLine="720"/>
      </w:pPr>
    </w:p>
    <w:p w14:paraId="5D941634" w14:textId="6636C6EB" w:rsidR="002145BB" w:rsidRDefault="002145BB" w:rsidP="002145BB">
      <w:pPr>
        <w:spacing w:after="0"/>
        <w:ind w:firstLine="720"/>
      </w:pPr>
      <w:r>
        <w:t>PTAC RAPEX sistēmu aktīvi izmanto ikdienas darbā, t.i., reaģējot uz paziņojumiem, kad konstatēts, ka prece ir piegādāta Latvijas komersantiem, vai pārbaudot vai prece nav pieejama Latvijas tirgū. PTAC RAPEX sistēmā ievada informāciju par visiem gadījumiem, kad atzīts, ka prece rada risku patērētājiem, t.sk. gadījumos, kad precei noteiktais riska līmenis klasificēts zemāks par “Nopietns” (Vispārējā preču drošuma direktīva</w:t>
      </w:r>
      <w:r w:rsidR="006954D5">
        <w:t>s</w:t>
      </w:r>
      <w:r>
        <w:t xml:space="preserve"> (</w:t>
      </w:r>
      <w:r w:rsidRPr="00100B0A">
        <w:rPr>
          <w:i/>
        </w:rPr>
        <w:t>General product safety directive</w:t>
      </w:r>
      <w:r w:rsidRPr="00672CAE">
        <w:t>)</w:t>
      </w:r>
      <w:r>
        <w:t xml:space="preserve"> 11.panta paziņojums vai paziņojums informācijai). </w:t>
      </w:r>
    </w:p>
    <w:p w14:paraId="5E7A1F94" w14:textId="77777777" w:rsidR="004E2121" w:rsidRDefault="004E2121" w:rsidP="002145BB">
      <w:pPr>
        <w:spacing w:after="0"/>
        <w:ind w:firstLine="720"/>
      </w:pPr>
    </w:p>
    <w:p w14:paraId="1524BB3D" w14:textId="15B62783" w:rsidR="005A1496" w:rsidRDefault="004E2121" w:rsidP="002145BB">
      <w:pPr>
        <w:ind w:firstLine="709"/>
      </w:pPr>
      <w:r w:rsidRPr="004F61CF">
        <w:t xml:space="preserve">Veselības inspekcija </w:t>
      </w:r>
      <w:r w:rsidR="00981FDF">
        <w:t>informācijas ātrās apmaiņas sistēmas RAPEX ietvaros saņem ziņas par bīstamām precēm, kas konstatētas Eiropas Savienības tirgū. Veselības</w:t>
      </w:r>
      <w:r w:rsidR="00981FDF">
        <w:rPr>
          <w:color w:val="333333"/>
        </w:rPr>
        <w:t xml:space="preserve"> </w:t>
      </w:r>
      <w:r w:rsidR="00981FDF">
        <w:t>inspekcija veic nepieciešamās darbības, t.i. apstrādā saņemto informāciju, atlasot savas kompetences jomas produktus, kas ir ķīmiskās vielas un maisījumi, kosmētikas līdzekļi, tetovēšanas līdzekļi, tabakas izstrādājumi, elektroniskās cigaretes un to uzpildes šķidrumi, veic tirgus kontroli, ja Latvijā konstatē produktu, par kuru saņemta informācija RAPEX sistēmā, uz aizliedz tā tirdzniecību. Veselības inspekcija arī sagatavo un iesniedz informāciju RAPEX sistēmā, lai informētu citas Eiropas Savienības dalībvalstis par Latvijas tirgū, konstatētiem neatbilstošiem produktiem, kas rada risku patērētājam.  Katra mēneša pēdējā darba dienā Veselības inspekcijas mājaslapā tiek publicēta apkopota informācija ar RAPEX paziņoto bīstamo produktu sarakstu Inspekcijas kompetences jomā</w:t>
      </w:r>
      <w:r w:rsidR="004A424B">
        <w:t>.</w:t>
      </w:r>
    </w:p>
    <w:p w14:paraId="4CAB508B" w14:textId="6736CA6B" w:rsidR="00701DE7" w:rsidRDefault="00F26543" w:rsidP="002145BB">
      <w:pPr>
        <w:ind w:firstLine="709"/>
      </w:pPr>
      <w:r>
        <w:t>A</w:t>
      </w:r>
      <w:r w:rsidR="00701DE7">
        <w:t xml:space="preserve">rī </w:t>
      </w:r>
      <w:r w:rsidR="00AA16EA" w:rsidRPr="00AA16EA">
        <w:t>Valsts policijas Galvenās kārtības policijas pārvaldes Koordinācijas un kontroles pārvaldes Licencēšanas un atļauju sistēmas birojs saņem informāciju no RAPEX. Nepieciešamības gadījumā ir nodrošināta iespēja nodot informāciju Valsts policijas teritoriālām struktūrvienībām izstrādājumu identifikācijai.</w:t>
      </w:r>
    </w:p>
    <w:p w14:paraId="14FED91F" w14:textId="1CB91665" w:rsidR="00197763" w:rsidRDefault="00197763" w:rsidP="002145BB">
      <w:pPr>
        <w:ind w:firstLine="709"/>
      </w:pPr>
      <w:r>
        <w:t>Mēslošanas līdzekļu tirgus uzraudzības jomā līdz šim nav bijušas situācijas, kad VAAD būtu nācies izmantot RAPEX sistēmu. VAAD ir informēts par RAPEX darbības pamatprincipiem un attiecīgā situācijā par būtiskām mēslošanas līdzekļu kvalitātes neatbilstībām, ja mēslošanas līdzeklis ir bīstams cilvēku un dzīvnieku veselībai vai videi, ziņotu Patērētāju tiesību aizsardzības centram.</w:t>
      </w:r>
    </w:p>
    <w:p w14:paraId="1CFB5FAD" w14:textId="0177C3CF" w:rsidR="00433FEA" w:rsidRPr="00433FEA" w:rsidRDefault="00433FEA" w:rsidP="00433FEA">
      <w:pPr>
        <w:ind w:firstLine="709"/>
      </w:pPr>
      <w:r>
        <w:t xml:space="preserve">Jautājums par </w:t>
      </w:r>
      <w:r w:rsidRPr="00433FEA">
        <w:t xml:space="preserve">RAPEX </w:t>
      </w:r>
      <w:r>
        <w:t xml:space="preserve">sistēmas nozīmīgumu un </w:t>
      </w:r>
      <w:r w:rsidRPr="00433FEA">
        <w:t>lietošan</w:t>
      </w:r>
      <w:r>
        <w:t>u tirgus uzraudzībā</w:t>
      </w:r>
      <w:r w:rsidRPr="00433FEA">
        <w:t xml:space="preserve"> tika aktualizēts T</w:t>
      </w:r>
      <w:r>
        <w:t>irgus uzraudzības padomes</w:t>
      </w:r>
      <w:r w:rsidRPr="00433FEA">
        <w:t xml:space="preserve"> 2019.</w:t>
      </w:r>
      <w:r>
        <w:t> </w:t>
      </w:r>
      <w:r w:rsidRPr="00433FEA">
        <w:t>g</w:t>
      </w:r>
      <w:r>
        <w:t>ada</w:t>
      </w:r>
      <w:r w:rsidRPr="00433FEA">
        <w:t xml:space="preserve"> februāra sēdē. </w:t>
      </w:r>
      <w:r>
        <w:t>Tika apzināta un apspriesta tirgus uzraudzības</w:t>
      </w:r>
      <w:r w:rsidRPr="00433FEA">
        <w:t xml:space="preserve"> iestāžu sniegtā problemātika, </w:t>
      </w:r>
      <w:r>
        <w:t xml:space="preserve">kā arī </w:t>
      </w:r>
      <w:r w:rsidRPr="00433FEA">
        <w:t xml:space="preserve">atgādināts </w:t>
      </w:r>
      <w:r>
        <w:t xml:space="preserve">tām </w:t>
      </w:r>
      <w:r w:rsidRPr="00433FEA">
        <w:t xml:space="preserve">par nepieciešamību sekot </w:t>
      </w:r>
      <w:r>
        <w:t xml:space="preserve">līdzi </w:t>
      </w:r>
      <w:r w:rsidRPr="00433FEA">
        <w:t>RAPE</w:t>
      </w:r>
      <w:r>
        <w:t>X</w:t>
      </w:r>
      <w:r w:rsidRPr="00433FEA">
        <w:t xml:space="preserve"> ziņojumiem</w:t>
      </w:r>
      <w:r w:rsidR="009E3F9C">
        <w:t>.</w:t>
      </w:r>
    </w:p>
    <w:p w14:paraId="039CD512" w14:textId="77777777" w:rsidR="00433FEA" w:rsidRPr="005A1496" w:rsidRDefault="00433FEA" w:rsidP="002145BB">
      <w:pPr>
        <w:ind w:firstLine="709"/>
      </w:pPr>
    </w:p>
    <w:p w14:paraId="3D2FBE52" w14:textId="77777777" w:rsidR="00F506A3" w:rsidRPr="0008472F" w:rsidRDefault="00125479" w:rsidP="00F506A3">
      <w:pPr>
        <w:pStyle w:val="Heading2"/>
      </w:pPr>
      <w:bookmarkStart w:id="11" w:name="_Toc392679021"/>
      <w:bookmarkStart w:id="12" w:name="_Toc8821860"/>
      <w:r w:rsidRPr="0008472F">
        <w:rPr>
          <w:i/>
        </w:rPr>
        <w:lastRenderedPageBreak/>
        <w:t>ICSMS</w:t>
      </w:r>
      <w:r w:rsidRPr="0008472F">
        <w:t xml:space="preserve"> informācijas sistēma</w:t>
      </w:r>
      <w:bookmarkEnd w:id="11"/>
      <w:bookmarkEnd w:id="12"/>
    </w:p>
    <w:p w14:paraId="44FF1728" w14:textId="77777777" w:rsidR="0039724F" w:rsidRDefault="00106813" w:rsidP="00BE08EC">
      <w:pPr>
        <w:ind w:firstLine="709"/>
      </w:pPr>
      <w:r>
        <w:t>Par</w:t>
      </w:r>
      <w:r w:rsidR="0039724F">
        <w:t xml:space="preserve"> </w:t>
      </w:r>
      <w:r w:rsidR="0039724F" w:rsidRPr="00775C73">
        <w:rPr>
          <w:i/>
        </w:rPr>
        <w:t>ICSMS</w:t>
      </w:r>
      <w:r w:rsidR="0039724F" w:rsidRPr="00775C73">
        <w:t xml:space="preserve"> </w:t>
      </w:r>
      <w:r w:rsidR="0039724F">
        <w:t xml:space="preserve">informācijas </w:t>
      </w:r>
      <w:r w:rsidR="0039724F" w:rsidRPr="00775C73">
        <w:t>sistēmu</w:t>
      </w:r>
      <w:r w:rsidR="0039724F">
        <w:t xml:space="preserve"> atbildīgā iestāde Latvijā ir Ekonomikas ministrija, un, pamatojoties uz Tirgus uzraudzības padomē nolemto, tā organizē tirgus uzraudzības iestāžu pārstāvjiem piekļuvi </w:t>
      </w:r>
      <w:r w:rsidR="0039724F" w:rsidRPr="00775C73">
        <w:rPr>
          <w:i/>
        </w:rPr>
        <w:t>ICSMS</w:t>
      </w:r>
      <w:r w:rsidR="0039724F" w:rsidRPr="00775C73">
        <w:t xml:space="preserve"> </w:t>
      </w:r>
      <w:r w:rsidR="0039724F">
        <w:t xml:space="preserve">informācijas </w:t>
      </w:r>
      <w:r w:rsidR="0039724F" w:rsidRPr="00775C73">
        <w:t>sistēm</w:t>
      </w:r>
      <w:r w:rsidR="0039724F">
        <w:t>ai, kā arī periodiskas mācības par darbu ar to.</w:t>
      </w:r>
    </w:p>
    <w:p w14:paraId="6BA51B3D" w14:textId="4D4E0412" w:rsidR="00BE08EC" w:rsidRDefault="00106813" w:rsidP="00BE08EC">
      <w:pPr>
        <w:ind w:firstLine="709"/>
        <w:rPr>
          <w:color w:val="000000"/>
        </w:rPr>
      </w:pPr>
      <w:r>
        <w:t xml:space="preserve"> </w:t>
      </w:r>
      <w:r w:rsidR="00BE08EC" w:rsidRPr="00775C73">
        <w:t xml:space="preserve">PTAC </w:t>
      </w:r>
      <w:r w:rsidR="00BE08EC" w:rsidRPr="00775C73">
        <w:rPr>
          <w:i/>
        </w:rPr>
        <w:t>ICSMS</w:t>
      </w:r>
      <w:r w:rsidR="00BE08EC" w:rsidRPr="00775C73">
        <w:t xml:space="preserve"> </w:t>
      </w:r>
      <w:r w:rsidR="00BE08EC">
        <w:t xml:space="preserve">informācijas </w:t>
      </w:r>
      <w:r w:rsidR="00BE08EC" w:rsidRPr="00775C73">
        <w:t xml:space="preserve">sistēmu </w:t>
      </w:r>
      <w:r w:rsidR="00BE08EC">
        <w:t xml:space="preserve">izmanto informatīvos nolūkos. Informācija </w:t>
      </w:r>
      <w:r w:rsidR="00BE08EC" w:rsidRPr="00D6471B">
        <w:rPr>
          <w:i/>
        </w:rPr>
        <w:t>ICSMS</w:t>
      </w:r>
      <w:r w:rsidR="00BE08EC">
        <w:t xml:space="preserve"> sistēmā tiek ievadīta tikai ES kopprojektos, kuros vienojas par šādu pieeju, t.i., visas iesaistītās dalībvalstis ievada informāciju </w:t>
      </w:r>
      <w:r w:rsidR="00BE08EC" w:rsidRPr="00F718F7">
        <w:rPr>
          <w:i/>
        </w:rPr>
        <w:t>ICSMS</w:t>
      </w:r>
      <w:r w:rsidR="00BE08EC">
        <w:t xml:space="preserve"> sistēmā, </w:t>
      </w:r>
      <w:r w:rsidR="00BE08EC" w:rsidRPr="00C23B5E">
        <w:rPr>
          <w:color w:val="000000"/>
        </w:rPr>
        <w:t>piemēram, Administratīvās sadarbības komitejas (ADCO) Mašīniekārtu kopprojektā</w:t>
      </w:r>
      <w:r w:rsidR="00BE08EC">
        <w:rPr>
          <w:color w:val="000000"/>
        </w:rPr>
        <w:t>, kā arī</w:t>
      </w:r>
      <w:r w:rsidR="00BE08EC" w:rsidRPr="00C23B5E">
        <w:rPr>
          <w:color w:val="000000"/>
        </w:rPr>
        <w:t>, lai informētu citu dalībvalst</w:t>
      </w:r>
      <w:r w:rsidR="00BE08EC">
        <w:rPr>
          <w:color w:val="000000"/>
        </w:rPr>
        <w:t xml:space="preserve">s tirgus uzraudzības iestādi </w:t>
      </w:r>
      <w:r w:rsidR="00BE08EC" w:rsidRPr="00C23B5E">
        <w:rPr>
          <w:color w:val="000000"/>
        </w:rPr>
        <w:t>par Latvijas tirgū konstatētām neatbilstošām precēm</w:t>
      </w:r>
      <w:r w:rsidR="00BE08EC">
        <w:rPr>
          <w:color w:val="000000"/>
        </w:rPr>
        <w:t>, ja atbildīgais komersants atrodas tās teritorijā.</w:t>
      </w:r>
    </w:p>
    <w:p w14:paraId="3812EFFE" w14:textId="5308F557" w:rsidR="005A1496" w:rsidRDefault="00981FDF" w:rsidP="00BE08EC">
      <w:pPr>
        <w:ind w:firstLine="709"/>
      </w:pPr>
      <w:r>
        <w:t xml:space="preserve">Veselības inspekcija </w:t>
      </w:r>
      <w:r w:rsidRPr="00981FDF">
        <w:rPr>
          <w:i/>
          <w:iCs/>
        </w:rPr>
        <w:t>ICSMS</w:t>
      </w:r>
      <w:r>
        <w:t xml:space="preserve"> sistēmā saņem informāciju par citās dalībvalstīs konstatētām neatbilstībām, kad produkta ražotājs vai importētājs ir Latvijā reģistrēts komersants. Veselības inspekcija </w:t>
      </w:r>
      <w:r w:rsidRPr="00981FDF">
        <w:rPr>
          <w:i/>
          <w:iCs/>
        </w:rPr>
        <w:t>ICSMS</w:t>
      </w:r>
      <w:r>
        <w:t xml:space="preserve"> sistēmā saņem arī informāciju par kosmētikas līdzekļu būtiskas nelabvēlīgas ietekmes gadījumiem Eiropas Savienības dalībvalstīs, kad kosmētikas līdzekļa atbildīgā persona ir Latvijā reģistrēts komersants. Abos gadījumos veic uzraudzības darbības un atbildi nosūta </w:t>
      </w:r>
      <w:r w:rsidRPr="00981FDF">
        <w:rPr>
          <w:i/>
          <w:iCs/>
        </w:rPr>
        <w:t>ICSMS</w:t>
      </w:r>
      <w:r>
        <w:t xml:space="preserve"> sistēmā. Veselības inspekcija </w:t>
      </w:r>
      <w:r w:rsidRPr="00981FDF">
        <w:rPr>
          <w:i/>
          <w:iCs/>
        </w:rPr>
        <w:t>ICSMS</w:t>
      </w:r>
      <w:r>
        <w:t xml:space="preserve"> sistēmā ievada ziņas par ķīmiskiem maisījumiem, kosmētikas līdzekļiem, tetovēšanas līdzekļiem, elektronisko cigarešu uzpildes šķidrumiem, kuriem laboratoriskā pārbaudē konstatētas neatbilstības</w:t>
      </w:r>
      <w:r w:rsidR="000D7CF5">
        <w:t>.</w:t>
      </w:r>
    </w:p>
    <w:p w14:paraId="0CC65C7B" w14:textId="0EC33B44" w:rsidR="00AA16EA" w:rsidRDefault="00AA16EA" w:rsidP="00BE08EC">
      <w:pPr>
        <w:ind w:firstLine="709"/>
      </w:pPr>
      <w:r w:rsidRPr="00E06656">
        <w:t>Valsts policijas Galvenās kārtības policijas pārvaldes Koordinācijas un kontroles pārvaldes Licencēšanas un atļauju sistēmas birojs</w:t>
      </w:r>
      <w:r>
        <w:t xml:space="preserve"> izmanto </w:t>
      </w:r>
      <w:r w:rsidRPr="00AA16EA">
        <w:rPr>
          <w:i/>
        </w:rPr>
        <w:t>ICSMS</w:t>
      </w:r>
      <w:r>
        <w:t xml:space="preserve"> monitoringu pirotehnisko izstrādājumu un civilām vajadzībām paredzēto sprāgstvielu un spridzināšanas ietaišu uzraudzības nodrošināšanā</w:t>
      </w:r>
      <w:r w:rsidR="00083AEF">
        <w:t>.</w:t>
      </w:r>
    </w:p>
    <w:p w14:paraId="72C56A54" w14:textId="259D9214" w:rsidR="00197763" w:rsidRPr="005A1496" w:rsidRDefault="00197763" w:rsidP="00BE08EC">
      <w:pPr>
        <w:ind w:firstLine="709"/>
      </w:pPr>
      <w:r>
        <w:t xml:space="preserve">Arī pārējās tirgus uzraudzības iestādes ir informētas par </w:t>
      </w:r>
      <w:r w:rsidRPr="00197763">
        <w:rPr>
          <w:i/>
        </w:rPr>
        <w:t>ICSMS</w:t>
      </w:r>
      <w:r>
        <w:t xml:space="preserve"> informācijas sistēmas darbību, kā arī to darbinieki ir apmācīti darbībai ar šo sistēmu.</w:t>
      </w:r>
      <w:r w:rsidR="00BD1E6D">
        <w:t xml:space="preserve"> Gan nacionālā līmenī, gan sadarbībā ar Eiropas Komisiju organizētas mācības </w:t>
      </w:r>
      <w:r w:rsidR="00BD1E6D">
        <w:rPr>
          <w:bCs/>
        </w:rPr>
        <w:t xml:space="preserve">un praktiskas nodarbības par Regulas 2019/515 piemērošanu un </w:t>
      </w:r>
      <w:r w:rsidR="00BD1E6D" w:rsidRPr="0018567E">
        <w:rPr>
          <w:bCs/>
        </w:rPr>
        <w:t>ziņo</w:t>
      </w:r>
      <w:r w:rsidR="00BD1E6D">
        <w:rPr>
          <w:bCs/>
        </w:rPr>
        <w:t>šanu</w:t>
      </w:r>
      <w:r w:rsidR="00BD1E6D" w:rsidRPr="0018567E">
        <w:rPr>
          <w:bCs/>
        </w:rPr>
        <w:t xml:space="preserve"> ES dalībvalstīm un Eiropas Komisijai par produktiem, kuriem liegta vai ierobežota piekļuve tirgum</w:t>
      </w:r>
      <w:r w:rsidR="00BD1E6D">
        <w:rPr>
          <w:bCs/>
        </w:rPr>
        <w:t>.</w:t>
      </w:r>
    </w:p>
    <w:p w14:paraId="498DAE6D" w14:textId="77777777" w:rsidR="00330904" w:rsidRPr="0008472F" w:rsidRDefault="00986C01" w:rsidP="00740B26">
      <w:pPr>
        <w:pStyle w:val="Heading2"/>
      </w:pPr>
      <w:bookmarkStart w:id="13" w:name="_Toc392679022"/>
      <w:bookmarkStart w:id="14" w:name="_Toc8821861"/>
      <w:r w:rsidRPr="0008472F">
        <w:t>Tirgus uzraudzības pasākumu apraksts un attiecīgās procedūras</w:t>
      </w:r>
      <w:bookmarkEnd w:id="13"/>
      <w:bookmarkEnd w:id="14"/>
    </w:p>
    <w:p w14:paraId="5B696C8E" w14:textId="616F4198" w:rsidR="000E6780" w:rsidRPr="000613AB" w:rsidRDefault="000E6780" w:rsidP="000E6780">
      <w:pPr>
        <w:spacing w:after="0"/>
        <w:ind w:firstLine="720"/>
      </w:pPr>
      <w:r>
        <w:t xml:space="preserve">PTAC tirgus uzraudzības valsts teritoriju nodrošina proaktīvā un reaktīvā veidā. Proaktīvā tirgus uzraudzība tiek organizēta saskaņā ar PTAC direktora apstiprinātu gada plānu, kurā noteiktās prioritātes konkrētās jomās, kā arī veicamās darbības, piemēram, administratīvās pārbaudes (preču </w:t>
      </w:r>
      <w:r w:rsidRPr="005F5269">
        <w:t>marķējums, atbilstību apliecinoši dokumenti, tehniskā dokumentācija, lietošanas instrukcija</w:t>
      </w:r>
      <w:r>
        <w:t>s),</w:t>
      </w:r>
      <w:r w:rsidRPr="005F5269">
        <w:t xml:space="preserve"> </w:t>
      </w:r>
      <w:r>
        <w:t>a</w:t>
      </w:r>
      <w:r w:rsidRPr="005F5269">
        <w:t>tbilstības drošuma būtiskajām prasībām pārbaude, veicot</w:t>
      </w:r>
      <w:r>
        <w:t xml:space="preserve"> preču paraugu</w:t>
      </w:r>
      <w:r w:rsidRPr="005F5269">
        <w:t xml:space="preserve"> testēšanu</w:t>
      </w:r>
      <w:r>
        <w:t>.</w:t>
      </w:r>
    </w:p>
    <w:p w14:paraId="76765F12" w14:textId="77777777" w:rsidR="000E6780" w:rsidRDefault="000E6780" w:rsidP="000E6780">
      <w:pPr>
        <w:spacing w:after="0"/>
        <w:ind w:firstLine="720"/>
      </w:pPr>
      <w:r>
        <w:t xml:space="preserve">Nosakot konkrētas prioritātes, proaktīvai tirgus uzraudzībai tiek </w:t>
      </w:r>
      <w:r w:rsidRPr="00AF7C05">
        <w:t>ņemta</w:t>
      </w:r>
      <w:r>
        <w:t xml:space="preserve"> vērā:</w:t>
      </w:r>
    </w:p>
    <w:p w14:paraId="362A2D6D" w14:textId="77777777" w:rsidR="000E6780" w:rsidRDefault="000E6780" w:rsidP="00E44993">
      <w:pPr>
        <w:numPr>
          <w:ilvl w:val="0"/>
          <w:numId w:val="22"/>
        </w:numPr>
        <w:spacing w:after="0"/>
      </w:pPr>
      <w:bookmarkStart w:id="15" w:name="_Hlk534345388"/>
      <w:r>
        <w:t>iepriekšējo gadu darbības analīze;</w:t>
      </w:r>
    </w:p>
    <w:p w14:paraId="0B1D7A0E" w14:textId="77777777" w:rsidR="000E6780" w:rsidRDefault="000E6780" w:rsidP="00E44993">
      <w:pPr>
        <w:numPr>
          <w:ilvl w:val="0"/>
          <w:numId w:val="22"/>
        </w:numPr>
        <w:spacing w:after="0"/>
      </w:pPr>
      <w:r>
        <w:t>konstatētie pārkāpumi konkrētajā preču grupā;</w:t>
      </w:r>
    </w:p>
    <w:p w14:paraId="04E01B32" w14:textId="77777777" w:rsidR="000E6780" w:rsidRDefault="000E6780" w:rsidP="00E44993">
      <w:pPr>
        <w:numPr>
          <w:ilvl w:val="0"/>
          <w:numId w:val="22"/>
        </w:numPr>
        <w:spacing w:after="0"/>
      </w:pPr>
      <w:r>
        <w:t>patērētāju sūdzības;</w:t>
      </w:r>
    </w:p>
    <w:p w14:paraId="247FF1CE" w14:textId="77777777" w:rsidR="000E6780" w:rsidRDefault="000E6780" w:rsidP="00E44993">
      <w:pPr>
        <w:numPr>
          <w:ilvl w:val="0"/>
          <w:numId w:val="22"/>
        </w:numPr>
        <w:spacing w:after="0"/>
      </w:pPr>
      <w:r>
        <w:t>RAPEX sistēmas ietvaros saņemtā informācija;</w:t>
      </w:r>
    </w:p>
    <w:p w14:paraId="5B6C3EDB" w14:textId="77777777" w:rsidR="000E6780" w:rsidRDefault="000E6780" w:rsidP="00E44993">
      <w:pPr>
        <w:numPr>
          <w:ilvl w:val="0"/>
          <w:numId w:val="22"/>
        </w:numPr>
        <w:spacing w:after="0"/>
      </w:pPr>
      <w:r>
        <w:t>informācija par nelaimes gadījumiem Latvijā un Eiropas Savienībā;</w:t>
      </w:r>
    </w:p>
    <w:p w14:paraId="62B43B49" w14:textId="77777777" w:rsidR="000E6780" w:rsidRDefault="000E6780" w:rsidP="00E44993">
      <w:pPr>
        <w:numPr>
          <w:ilvl w:val="0"/>
          <w:numId w:val="22"/>
        </w:numPr>
        <w:spacing w:after="0"/>
      </w:pPr>
      <w:r>
        <w:t>jaunas normatīvo aktu vai piemērojamo standartu prasības;</w:t>
      </w:r>
    </w:p>
    <w:p w14:paraId="375356A8" w14:textId="77777777" w:rsidR="000E6780" w:rsidRDefault="000E6780" w:rsidP="00E44993">
      <w:pPr>
        <w:numPr>
          <w:ilvl w:val="0"/>
          <w:numId w:val="22"/>
        </w:numPr>
        <w:spacing w:after="0"/>
      </w:pPr>
      <w:r>
        <w:t>saņemtā informācija no ieinteresētajām pusēm, piemēram, asociācijas, biedrības;</w:t>
      </w:r>
    </w:p>
    <w:p w14:paraId="13303D88" w14:textId="77777777" w:rsidR="000E6780" w:rsidRDefault="000E6780" w:rsidP="00E44993">
      <w:pPr>
        <w:numPr>
          <w:ilvl w:val="0"/>
          <w:numId w:val="22"/>
        </w:numPr>
        <w:spacing w:after="0"/>
      </w:pPr>
      <w:r>
        <w:lastRenderedPageBreak/>
        <w:t xml:space="preserve">citu valstu uzraudzības pieredze un rezultāti. </w:t>
      </w:r>
    </w:p>
    <w:bookmarkEnd w:id="15"/>
    <w:p w14:paraId="3CB53D5C" w14:textId="77777777" w:rsidR="000E6780" w:rsidRDefault="000E6780" w:rsidP="000E6780">
      <w:pPr>
        <w:spacing w:after="0"/>
        <w:ind w:firstLine="720"/>
      </w:pPr>
    </w:p>
    <w:p w14:paraId="0FFFB9AF" w14:textId="3BDCD298" w:rsidR="000E6780" w:rsidRPr="00964A2E" w:rsidRDefault="000E6780" w:rsidP="000E6780">
      <w:pPr>
        <w:spacing w:after="0"/>
        <w:ind w:firstLine="720"/>
      </w:pPr>
      <w:r>
        <w:t xml:space="preserve">Reaktīvā tirgus uzraudzība tiek nodrošināta visās PTAC kompetences jomās, kuras nav apstiprinātas gada plānā. Reaktīvā tirgus uzraudzība pārsvarā tiek organizēta saņemot, piemēram, patērētāja sūdzību, informāciju no </w:t>
      </w:r>
      <w:r w:rsidR="005857FA">
        <w:t>plašsaziņas līdzekļ</w:t>
      </w:r>
      <w:r>
        <w:t>iem, informāciju par notikušu nelaimes gadījumu, informāciju no komersantiem vai citām tirgus uzraudzības iestādēm, t.sk. no citām dalībvalstīm par neatbilstošu/nedrošu preču tirdzniecību.</w:t>
      </w:r>
    </w:p>
    <w:p w14:paraId="60831815" w14:textId="77777777" w:rsidR="000E6780" w:rsidRDefault="000E6780" w:rsidP="000E6780">
      <w:pPr>
        <w:spacing w:after="0"/>
        <w:ind w:firstLine="720"/>
      </w:pPr>
      <w:r>
        <w:t>PTAC tirgus uzraudzības darbības tiek vērstas uz atbilstības veicināšanu un labprātīgu konstatēto neatbilstību novēršanu, tādējādi iespējama operatīvāka un efektīvāka korektīvo darbību nodrošināšana, līdz ar to arī potenciālā kaitējuma novēršana patērētājiem.</w:t>
      </w:r>
    </w:p>
    <w:p w14:paraId="203FCF99" w14:textId="77777777" w:rsidR="000E6780" w:rsidRDefault="000E6780" w:rsidP="000E6780">
      <w:pPr>
        <w:spacing w:after="0"/>
        <w:ind w:firstLine="720"/>
      </w:pPr>
      <w:r>
        <w:t>Lai pilnveidotu pieeju tirgus uzraudzības nodrošināšanā, PTAC ir uzsācis pārbaudes, lai atbalstītu komersantu centienus ievērot normatīvo aktu prasības. Konkrētajā tirgus uzraudzības pieejā tiek pārbaudītas komersantu iekšējās procedūras un spēja nodrošināt normatīvo aktu prasību izpildi, nepieciešamības gadījumā sniedzot rekomendācijas iekšējo procesu pilnveidošanai.</w:t>
      </w:r>
    </w:p>
    <w:p w14:paraId="5879447B" w14:textId="014E1446" w:rsidR="0010113F" w:rsidRDefault="000E6780" w:rsidP="00D60D22">
      <w:pPr>
        <w:ind w:firstLine="709"/>
        <w:rPr>
          <w:i/>
          <w:color w:val="0000FF"/>
        </w:rPr>
      </w:pPr>
      <w:r>
        <w:t>PTAC ir pilnveidojis iekšējos procesus “Konsultē vispirms” principa ietvaros, t.i., piemēram, vienādojot administratīvo lietvedību ierosināšanas kritērijus, komersantu viedokļa noskaidrošana par pārbaudes saturu, konsultāciju kvalitāti</w:t>
      </w:r>
      <w:r w:rsidR="00083AEF">
        <w:t>.</w:t>
      </w:r>
    </w:p>
    <w:p w14:paraId="3F4516F9" w14:textId="21EC4060" w:rsidR="00635545" w:rsidRDefault="00F26543" w:rsidP="00083AEF">
      <w:pPr>
        <w:ind w:firstLine="720"/>
      </w:pPr>
      <w:r>
        <w:t xml:space="preserve">Veselības inspekcija </w:t>
      </w:r>
      <w:r w:rsidR="00981FDF">
        <w:t>nodrošina proaktīvu tirgus uzraudzību tās kompetencē esošām preču grupām saskaņā ar Veselības inspekcijas vadītājas apstiprinātu gada plānu, ikgadējām prioritātēm un saskaņā ar iestādes darbības stratēģiju. Reaktīva uzraudzība tiek veikta, saņemot patērētāja sūdzību, RAPEX paziņojumu, COEF paziņojumu, informāciju no plašsaziņas līdzekļiem, informāciju no komersantiem vai citām tirgus uzraudzības iestādēm, t.sk. no citām dalībvalstīm. Veselības inspekcija nodrošina ķīmisko maisījumu, kosmētikas līdzekļu, tabakas izstrādājumu, elektronisko cigarešu uzpildes šķidrumu laboratorisku pārbaudi, tiek ņemti preču paraugi tirdzniecības vietās, pārbaudēm tiek izmantoti akreditētu laboratoriju pakalpojumi. Veselības inspekcija piemēro „Konsultē vispirms” principus uzraudzības darbā, lai informējot komersantus par normatīvo aktu prasībām, veicinātu zināšanas par prasībām, līdz ar to labāku noteikto prasību izpildi un drošas preces patērētājiem. Veselības inspekcija ir uzsākusi pašnovērtējuma ieviešanu, kā metodi, lai atbalstītu komersanta centienus nodrošināt tirgū laisto preču atbilstību prasībām, palīdzētu tam identificēt aktuālās problēmas prasību ievērošanā un veicinātu savstarpējās uzticības veidošanos starp iestādi un uzraudzības objektiem. Ikvienas kompetences jomas kontrolei ir izstrādātas iekšējās procedūras, tipveida kontroles lapas un vadlīnijas, kuru aktuālās versijas ir uzturētas un pieejamas kvalitātes vadības elektroniskā sistēmā QPR. Tas nodrošina vienlīdzīgu pieeju kontrolē, jo vadlīnijās ir noteikti gadījumi, kad neatbilstības ir būtiskas un ir jāpiemēro preču tirdzniecības aizliegums, lai novērstu risku patērētāja veselībai</w:t>
      </w:r>
      <w:r w:rsidR="00635545">
        <w:t>.</w:t>
      </w:r>
    </w:p>
    <w:p w14:paraId="588F24B3" w14:textId="6E6389DE" w:rsidR="00635545" w:rsidRDefault="00083AEF" w:rsidP="00083AEF">
      <w:pPr>
        <w:ind w:firstLine="709"/>
        <w:rPr>
          <w:bCs/>
        </w:rPr>
      </w:pPr>
      <w:bookmarkStart w:id="16" w:name="_Hlk534543924"/>
      <w:r w:rsidRPr="00F3636D">
        <w:t>Valsts policijas Galvenās kārtības policijas pārvaldes Koordinācijas un kontroles pārvaldes Licencēšanas un atļauju sistēmas birojs</w:t>
      </w:r>
      <w:r>
        <w:t xml:space="preserve"> veic </w:t>
      </w:r>
      <w:r w:rsidRPr="003333C5">
        <w:t>tirgus uzraudzību pirotehnisko izstrādājumu un sprāgstvielu un spridzināšanas ietaišu aprites jomā atbilstoši</w:t>
      </w:r>
      <w:r>
        <w:t xml:space="preserve"> nacionālām regulējumam, ievērojot Pirotehnisko izstrādājumu aprites likumu un </w:t>
      </w:r>
      <w:r w:rsidRPr="00F3636D">
        <w:rPr>
          <w:bCs/>
        </w:rPr>
        <w:t>Civilām vajadzībām paredzētu sprāgstvielu aprites likum</w:t>
      </w:r>
      <w:r>
        <w:rPr>
          <w:bCs/>
        </w:rPr>
        <w:t>u.</w:t>
      </w:r>
      <w:bookmarkEnd w:id="16"/>
      <w:r>
        <w:rPr>
          <w:bCs/>
        </w:rPr>
        <w:t xml:space="preserve"> Nepieciešamības gadījumā tiek organizētas sanāksmes ar industrijas pārstāvjiem.</w:t>
      </w:r>
    </w:p>
    <w:p w14:paraId="66088E06" w14:textId="77777777" w:rsidR="00197763" w:rsidRDefault="00197763" w:rsidP="00661779">
      <w:pPr>
        <w:pStyle w:val="Text2"/>
        <w:ind w:left="0" w:firstLine="709"/>
      </w:pPr>
      <w:r>
        <w:t>VAAD mēslošanas līdzekļu uzraudzības jomā tirgus uzraudzību veic:</w:t>
      </w:r>
    </w:p>
    <w:p w14:paraId="713D56B1" w14:textId="77777777" w:rsidR="00197763" w:rsidRDefault="00197763" w:rsidP="00E44993">
      <w:pPr>
        <w:pStyle w:val="Text2"/>
        <w:numPr>
          <w:ilvl w:val="0"/>
          <w:numId w:val="32"/>
        </w:numPr>
      </w:pPr>
      <w:r>
        <w:t>pārbaudot normatīvo aktu prasību ievērošanu mēslošanas līdzekļu aprites vietās, t.i., pie ražotājiem, ievedējiem, iepakotājiem, kā arī tirdzniecības vietās;</w:t>
      </w:r>
    </w:p>
    <w:p w14:paraId="7BAD008E" w14:textId="59C4AD24" w:rsidR="00197763" w:rsidRDefault="00661779" w:rsidP="00661779">
      <w:pPr>
        <w:ind w:firstLine="426"/>
      </w:pPr>
      <w:r>
        <w:lastRenderedPageBreak/>
        <w:t xml:space="preserve">2) </w:t>
      </w:r>
      <w:r w:rsidR="00197763">
        <w:t>ņemot mēslošanas līdzekļu kontroles paraugus to kvalitātes atbilstības pārbaudei, nosūtot tos testēšanai mēslošanas līdzekļu jomā akreditētai laboratorijai un, pēc testēšanas rezultātu saņemšanas, izvērtējot mēslošanas līdzekļa atbilstību normatīvajos aktos noteiktajām identifikācijas un kvalitātes prasībām.</w:t>
      </w:r>
    </w:p>
    <w:p w14:paraId="69333536" w14:textId="7D346D3C" w:rsidR="009E0298" w:rsidRDefault="009E0298" w:rsidP="00661779">
      <w:pPr>
        <w:ind w:firstLine="426"/>
        <w:rPr>
          <w:iCs/>
        </w:rPr>
      </w:pPr>
      <w:r w:rsidRPr="009E0298">
        <w:rPr>
          <w:iCs/>
        </w:rPr>
        <w:t>VTUA veic traktortehnikas un tās piekabju tirgus uzraudzību, pamatojoties uz Regulu 167/2013 un saskaņā ar kārtību, kas ir noteikta VTUA procesa aprakstā “Traktortehnikas un tās piekabju tirgus uzraudzība, datu reģistrēšana un izsniegšana no Traktortehnikas un tās vadītāju valsts informatīvās sistēmas”.</w:t>
      </w:r>
    </w:p>
    <w:p w14:paraId="5F4F8C5C" w14:textId="1CD3655A" w:rsidR="009E0298" w:rsidRDefault="009E0298" w:rsidP="00661779">
      <w:pPr>
        <w:ind w:firstLine="426"/>
        <w:rPr>
          <w:iCs/>
        </w:rPr>
      </w:pPr>
      <w:r>
        <w:rPr>
          <w:iCs/>
        </w:rPr>
        <w:t xml:space="preserve">Dārgmetālu un dārgakmeņu izstrādājumi ir pakļauti iepriekšējas atļaujas sniegšanas procedūrai, kuru Latvijā realizē Latvijas Proves birojs. Saskaņā ar </w:t>
      </w:r>
      <w:r w:rsidR="00642694">
        <w:rPr>
          <w:iCs/>
        </w:rPr>
        <w:t xml:space="preserve">Ministru kabineta </w:t>
      </w:r>
      <w:r>
        <w:rPr>
          <w:iCs/>
        </w:rPr>
        <w:t>2009. gada 22. decembra</w:t>
      </w:r>
      <w:r w:rsidR="00642694">
        <w:rPr>
          <w:iCs/>
        </w:rPr>
        <w:t xml:space="preserve"> </w:t>
      </w:r>
      <w:r>
        <w:rPr>
          <w:iCs/>
        </w:rPr>
        <w:t>noteikum</w:t>
      </w:r>
      <w:r w:rsidR="00642694">
        <w:rPr>
          <w:iCs/>
        </w:rPr>
        <w:t>iem</w:t>
      </w:r>
      <w:r>
        <w:rPr>
          <w:iCs/>
        </w:rPr>
        <w:t xml:space="preserve"> </w:t>
      </w:r>
      <w:r w:rsidR="00642694">
        <w:rPr>
          <w:iCs/>
        </w:rPr>
        <w:t>N</w:t>
      </w:r>
      <w:r>
        <w:rPr>
          <w:iCs/>
        </w:rPr>
        <w:t xml:space="preserve">r. 1525 “Dārgmetālu izstrādājumu zīmogošanas kārtība un pieļaujamais remedijs” </w:t>
      </w:r>
      <w:r w:rsidR="00642694">
        <w:rPr>
          <w:iCs/>
        </w:rPr>
        <w:t>Latvijas Proves</w:t>
      </w:r>
      <w:r>
        <w:rPr>
          <w:iCs/>
        </w:rPr>
        <w:t xml:space="preserve"> birojs nezīmogo dārgmetāla izstrādājumu, ja tas neatbilst preces drošuma prasībām</w:t>
      </w:r>
      <w:r w:rsidR="00642694">
        <w:rPr>
          <w:iCs/>
        </w:rPr>
        <w:t xml:space="preserve">, proti, </w:t>
      </w:r>
      <w:r>
        <w:rPr>
          <w:iCs/>
        </w:rPr>
        <w:t>šādu iepriekšēju atļauju izstrādājumam neizsniedz. Savukārt dārgmetālu un dārgakmeņu izstrādājumu realizācija bez proves zīmoga Latvijā ir aizliegta.</w:t>
      </w:r>
    </w:p>
    <w:p w14:paraId="10C95B5B" w14:textId="77777777" w:rsidR="00330904" w:rsidRDefault="00A973CC" w:rsidP="00740B26">
      <w:pPr>
        <w:pStyle w:val="Heading2"/>
      </w:pPr>
      <w:bookmarkStart w:id="17" w:name="_Toc392679023"/>
      <w:bookmarkStart w:id="18" w:name="_Toc8821862"/>
      <w:r w:rsidRPr="0008472F">
        <w:t>Vispārīga sadarbība ar citām dalībvalstīm un trešām valstīm</w:t>
      </w:r>
      <w:bookmarkEnd w:id="17"/>
      <w:bookmarkEnd w:id="18"/>
    </w:p>
    <w:p w14:paraId="1A1E8F3D" w14:textId="77777777" w:rsidR="00D60D22" w:rsidRDefault="00D60D22" w:rsidP="00D60D22">
      <w:pPr>
        <w:spacing w:after="0"/>
        <w:ind w:firstLine="709"/>
        <w:rPr>
          <w:color w:val="000000"/>
        </w:rPr>
      </w:pPr>
      <w:r>
        <w:t>PTAC regulāri piedalās Eiropas Savienības organizētajos tirgus uzraudzības kopprojektos (</w:t>
      </w:r>
      <w:r>
        <w:rPr>
          <w:i/>
        </w:rPr>
        <w:t>PROSAFE</w:t>
      </w:r>
      <w:r>
        <w:t xml:space="preserve">), </w:t>
      </w:r>
      <w:r>
        <w:rPr>
          <w:color w:val="000000"/>
        </w:rPr>
        <w:t xml:space="preserve">administratīvās sadarbības komitejas (ADCO) organizētajos pasākumos, piemēram, mašīniekārtu, rotaļlietu, individuālo aizsardzības līdzekļu, iekārtas ar gāzveida kurināmo u.c. PTAC kompetencē esošajās jomās. </w:t>
      </w:r>
    </w:p>
    <w:p w14:paraId="0E23B042" w14:textId="2169D13B" w:rsidR="00E32506" w:rsidRDefault="00D60D22" w:rsidP="00D60D22">
      <w:pPr>
        <w:pStyle w:val="Text2"/>
        <w:ind w:left="0" w:firstLine="709"/>
      </w:pPr>
      <w:r>
        <w:rPr>
          <w:color w:val="000000"/>
        </w:rPr>
        <w:t xml:space="preserve">PTAC turpina piedalīties ikgadējā </w:t>
      </w:r>
      <w:r>
        <w:t>Eiropas Komisijas programmas “</w:t>
      </w:r>
      <w:r>
        <w:rPr>
          <w:i/>
          <w:iCs/>
        </w:rPr>
        <w:t>Customs 2020</w:t>
      </w:r>
      <w:r>
        <w:t>” ietvaros organizētajā darbseminārā par Baltijas valstu sadarbību tirgus uzraudzības jomā, saistībā ar importēto preču atbilstību normatīvo aktu prasībām. Darbseminārā iesaistītās dalībvalstis (Latvija, Igaunija, Lietuva un Polija) vienojas par kopējām aktivitātēm attiecībā uz importētām precēm, nosakot konkrētas preču grupas, laika posmus un kritērijus, kā arī vienojas par pārbaudes veidu, piemēram, dokumentāra pārbaude, marķējuma pārbaude veicot fizisko kontroli</w:t>
      </w:r>
      <w:r w:rsidR="00E32506">
        <w:t>.</w:t>
      </w:r>
    </w:p>
    <w:p w14:paraId="34A9E07B" w14:textId="3E22710D" w:rsidR="00083AEF" w:rsidRDefault="005B445A" w:rsidP="00083AEF">
      <w:pPr>
        <w:pStyle w:val="Text2"/>
        <w:ind w:left="0" w:firstLine="709"/>
      </w:pPr>
      <w:r w:rsidRPr="005B445A">
        <w:t>Valsts policijas Galvenās kārtības policijas pārvaldes Koordinācijas un kontroles pārvaldes Licencēšanas un atļauju sistēmas birojs tiek regulāri pārstāvēts Eiropas Komisijas organizētās ADCO pirotehnisko izstrādājumu un sprāgstvielu un spridzināšanas ietaišu darba sanāksmēs. Tiek sniegta informācija uz Eiropas Komisijas un ADCO informācijas pieprasījumiem, regulāri tiek atjaunota un iesniegta kontaktinformācija par atbildīgo struktūrvienību, kas nodrošina nacionālo tirgus uzraudzību minētajās jomās. Valsts policijas Galvenās kārtības policijas pārvaldes Koordinācijas un kontroles pārvaldes Licencēšanas un atļauju sistēmas birojam nav izveidotā sadarbība ar kādu trešo valsti pirotehnisko izstrādājumu, sprāgstvielu vai spridzināšanas ietaišu jomās</w:t>
      </w:r>
      <w:r w:rsidR="00C95AEC">
        <w:t>.</w:t>
      </w:r>
    </w:p>
    <w:p w14:paraId="47182BC2" w14:textId="2CB87A27" w:rsidR="008256E8" w:rsidRDefault="008256E8" w:rsidP="006446B0">
      <w:pPr>
        <w:ind w:firstLine="851"/>
      </w:pPr>
      <w:r>
        <w:t xml:space="preserve">Valsts augu aizsardzības dienests (VAAD), </w:t>
      </w:r>
      <w:r w:rsidR="006446B0">
        <w:t xml:space="preserve">kā </w:t>
      </w:r>
      <w:r>
        <w:t>mēslošanas līdzekļu tirgus uzraudzības iestāde, piedalās Eiropas Komisijas mēslošanas līdzekļu tirgus uzraudzības iestāžu (AdCo FERTILIZERS) sanāksmēs, kur starp dalībvalstīm un Eiropas Komisiju notiek informācijas apmaiņa par mēslošanas tirgus uzraudzību, Eiropas Savienības normatīvajiem aktiem un to prasību ieviešanu. Papildus katru gadu tiek organizētas Baltijas un Ziemeļvalstu sanāksmes par jaunumiem mēslošanas līdzekļu normatīvajos aktos un mēslošanas līdzekļu tirgus uzraudzību, piemēram, 201</w:t>
      </w:r>
      <w:r w:rsidR="006446B0">
        <w:t>9</w:t>
      </w:r>
      <w:r>
        <w:t xml:space="preserve">. gadā šāda sanāksme notika </w:t>
      </w:r>
      <w:r w:rsidR="006446B0">
        <w:t>Latvijā</w:t>
      </w:r>
      <w:r>
        <w:t>, bet 20</w:t>
      </w:r>
      <w:r w:rsidR="006446B0">
        <w:t>20</w:t>
      </w:r>
      <w:r>
        <w:t>.</w:t>
      </w:r>
      <w:r w:rsidR="006446B0">
        <w:t> </w:t>
      </w:r>
      <w:r>
        <w:t xml:space="preserve">gadā </w:t>
      </w:r>
      <w:r w:rsidR="006446B0">
        <w:t xml:space="preserve">bija </w:t>
      </w:r>
      <w:r>
        <w:t xml:space="preserve">plānota </w:t>
      </w:r>
      <w:r w:rsidR="006446B0">
        <w:t xml:space="preserve">Somijā, </w:t>
      </w:r>
      <w:r w:rsidR="006446B0" w:rsidRPr="00492EA0">
        <w:t>bet nenotika Covid-19 ierobežojumu dēļ</w:t>
      </w:r>
      <w:r>
        <w:t>.</w:t>
      </w:r>
    </w:p>
    <w:p w14:paraId="05537B49" w14:textId="240390ED" w:rsidR="008256E8" w:rsidRDefault="008256E8" w:rsidP="0095241F">
      <w:pPr>
        <w:ind w:firstLine="851"/>
      </w:pPr>
      <w:r w:rsidRPr="0095241F">
        <w:lastRenderedPageBreak/>
        <w:t>Saskaņā ar M</w:t>
      </w:r>
      <w:r w:rsidR="0095241F" w:rsidRPr="0095241F">
        <w:t>inistru kabineta</w:t>
      </w:r>
      <w:r w:rsidRPr="0095241F">
        <w:t xml:space="preserve"> 01.09.2015</w:t>
      </w:r>
      <w:r w:rsidR="0095241F" w:rsidRPr="0095241F">
        <w:t>.</w:t>
      </w:r>
      <w:r w:rsidRPr="0095241F">
        <w:t xml:space="preserve"> noteikumiem </w:t>
      </w:r>
      <w:r w:rsidR="0095241F" w:rsidRPr="0095241F">
        <w:t>N</w:t>
      </w:r>
      <w:r w:rsidRPr="0095241F">
        <w:t>r.506</w:t>
      </w:r>
      <w:r w:rsidR="0095241F" w:rsidRPr="0095241F">
        <w:t xml:space="preserve"> “</w:t>
      </w:r>
      <w:r w:rsidR="0095241F" w:rsidRPr="0095241F">
        <w:rPr>
          <w:bCs/>
        </w:rPr>
        <w:t>Mēslošanas līdzekļu un substrātu identifikācijas, kvalitātes atbilstības novērtēšanas un tirdzniecības noteikumi”</w:t>
      </w:r>
      <w:r>
        <w:t xml:space="preserve">, konstatējot paziņota mēslošanas līdzekļa kvalitātes neatbilstību, VAAD sazinās ar attiecīgās dalībvalsts kompetento iestādi, lai iegūtu informāciju par konkrētās valsts normatīvajos aktos noteiktajām mēslošanas līdzekļu un substrātu kvalitātes prasībām. </w:t>
      </w:r>
    </w:p>
    <w:p w14:paraId="7EBFF277" w14:textId="529F5F53" w:rsidR="008256E8" w:rsidRPr="00E32506" w:rsidRDefault="0095241F" w:rsidP="00083AEF">
      <w:pPr>
        <w:pStyle w:val="Text2"/>
        <w:ind w:left="0" w:firstLine="709"/>
      </w:pPr>
      <w:r>
        <w:t>VAAD nav noslēgti sadarbības līgumi ar citu valstu mēslošanas līdzekļu tirgus uzraudzības iestādēm. Sadarbība starp tirgus uzraudzības iestādēm notiek sarakstes veidā, nodrošinot nepieciešamo informācijas apmaiņu un savstarpējas konsultācijas.</w:t>
      </w:r>
    </w:p>
    <w:p w14:paraId="0A2D8356" w14:textId="77777777" w:rsidR="00335F28" w:rsidRDefault="00335F28" w:rsidP="00335F28">
      <w:pPr>
        <w:pStyle w:val="Heading2"/>
      </w:pPr>
      <w:bookmarkStart w:id="19" w:name="_Toc392663948"/>
      <w:bookmarkStart w:id="20" w:name="_Toc392667169"/>
      <w:bookmarkStart w:id="21" w:name="_Toc392667558"/>
      <w:bookmarkStart w:id="22" w:name="_Toc392679024"/>
      <w:bookmarkStart w:id="23" w:name="_Toc8821863"/>
      <w:bookmarkEnd w:id="19"/>
      <w:bookmarkEnd w:id="20"/>
      <w:bookmarkEnd w:id="21"/>
      <w:r w:rsidRPr="0008472F">
        <w:t>Tirgus uzraudzības darbību novērtēšana un ziņošana</w:t>
      </w:r>
      <w:bookmarkEnd w:id="22"/>
      <w:bookmarkEnd w:id="23"/>
    </w:p>
    <w:p w14:paraId="163FBE4C" w14:textId="774C67F0" w:rsidR="004B57CA" w:rsidRDefault="004B57CA" w:rsidP="004B57CA">
      <w:pPr>
        <w:spacing w:after="0"/>
        <w:ind w:firstLine="720"/>
      </w:pPr>
      <w:r>
        <w:t>Lai nodrošinātu PTAC darbības mērķu īstenošanu, reizi 3 gados tiek izstrādāta PTAC darbības stratēģija, uzsverot PTAC pamatvērtības un uzraudzības politiku, darbības virzienus un prioritātes. Katru gadu tiek sagatavots publiskais pārskats par iepriekšējā gada darbībām un to rezultātiem, kas tiek publicēts PTAC mājaslapā.</w:t>
      </w:r>
    </w:p>
    <w:p w14:paraId="460E431C" w14:textId="17D6EEA5" w:rsidR="00C95AEC" w:rsidRDefault="004B57CA" w:rsidP="004B57CA">
      <w:pPr>
        <w:pStyle w:val="Text2"/>
        <w:tabs>
          <w:tab w:val="clear" w:pos="2302"/>
        </w:tabs>
        <w:ind w:left="0" w:firstLine="709"/>
      </w:pPr>
      <w:r>
        <w:rPr>
          <w:i/>
          <w:color w:val="0000FF"/>
        </w:rPr>
        <w:tab/>
      </w:r>
      <w:r>
        <w:t>Kā viens no galvenajiem kritērijiem uzraudzības jomās ir konstatēto būtisko neatbilstību īpatsvars. Ja, veicot tirgus uzraudzības pasākumus konkrētā jomā, būtisko neatbilstību īpatsvars pārsniedz 20% no pārbaudītajiem preču modeļiem/lietošanā esošajām iekārtām, šo jomu atkārtoti nosakāma par prioritāru, lai panāktu būtisko neatbilstību samazināšanos</w:t>
      </w:r>
      <w:r w:rsidR="009F454A">
        <w:t>.</w:t>
      </w:r>
    </w:p>
    <w:p w14:paraId="2B8DFC5F" w14:textId="12A7ADBB" w:rsidR="00EE56F1" w:rsidRDefault="00EE56F1" w:rsidP="004B57CA">
      <w:pPr>
        <w:pStyle w:val="Text2"/>
        <w:tabs>
          <w:tab w:val="clear" w:pos="2302"/>
        </w:tabs>
        <w:ind w:left="0" w:firstLine="709"/>
      </w:pPr>
      <w:r>
        <w:t xml:space="preserve">Tāpat arī pārējās tirgus uzraudzības iestādes regulāri izstrādā darbības stratēģiju vai attiecīgi tirgus uzraudzības plānus, darbības virzienus un prioritātes turpmākajam periodam, kā arī ziņo Tirgus uzraudzības padomei par tiem un attiecīgi par paveikto tirgus uzraudzībā iepriekšējā periodā. </w:t>
      </w:r>
    </w:p>
    <w:p w14:paraId="10274A75" w14:textId="2A9F6E9E" w:rsidR="00385839" w:rsidRDefault="00EE56F1" w:rsidP="00C97541">
      <w:pPr>
        <w:ind w:firstLine="709"/>
      </w:pPr>
      <w:r>
        <w:rPr>
          <w:bCs/>
        </w:rPr>
        <w:t>R</w:t>
      </w:r>
      <w:r w:rsidR="00C95AEC" w:rsidRPr="00662E48">
        <w:rPr>
          <w:bCs/>
        </w:rPr>
        <w:t>egulāri tiek sniegta informācija Latvijas plašsaziņas līdzekļiem par izstrādājumu regulējumu</w:t>
      </w:r>
      <w:r w:rsidR="00C95AEC">
        <w:rPr>
          <w:bCs/>
        </w:rPr>
        <w:t>,</w:t>
      </w:r>
      <w:r w:rsidR="00C95AEC" w:rsidRPr="00662E48">
        <w:rPr>
          <w:bCs/>
        </w:rPr>
        <w:t xml:space="preserve"> izskaidrojot ierobežojumus </w:t>
      </w:r>
      <w:r>
        <w:rPr>
          <w:bCs/>
        </w:rPr>
        <w:t xml:space="preserve">to </w:t>
      </w:r>
      <w:r w:rsidR="00C95AEC" w:rsidRPr="00662E48">
        <w:rPr>
          <w:bCs/>
        </w:rPr>
        <w:t>izmantošanā, kā arī informējot pa</w:t>
      </w:r>
      <w:r>
        <w:rPr>
          <w:bCs/>
        </w:rPr>
        <w:t>r</w:t>
      </w:r>
      <w:r w:rsidR="00C95AEC" w:rsidRPr="00662E48">
        <w:rPr>
          <w:bCs/>
        </w:rPr>
        <w:t xml:space="preserve"> izstrādājumu drošu lietošanu. Vienlaikus Latvijas plašsaziņas līdzekļiem tiek sniegti statistikas dati par kontroles pasākumiem un to rezultātiem (piemēram, statistikas dati par komersantu un iedzīvotāju saukšanas pie administratīvas atbildības par aprites noteikumu pārkāpumiem).</w:t>
      </w:r>
      <w:r w:rsidR="00C95AEC">
        <w:rPr>
          <w:bCs/>
        </w:rPr>
        <w:t xml:space="preserve"> </w:t>
      </w:r>
      <w:r>
        <w:rPr>
          <w:bCs/>
        </w:rPr>
        <w:t xml:space="preserve">Informācija par tirgus uzraudzības iestāžu </w:t>
      </w:r>
      <w:r w:rsidR="00C95AEC">
        <w:rPr>
          <w:bCs/>
        </w:rPr>
        <w:t>izsniegtām licencēm</w:t>
      </w:r>
      <w:r>
        <w:rPr>
          <w:bCs/>
        </w:rPr>
        <w:t>,</w:t>
      </w:r>
      <w:r w:rsidR="00C97541">
        <w:rPr>
          <w:bCs/>
        </w:rPr>
        <w:t xml:space="preserve"> izstrādājumu drošumu, attiecīgo izstrādājumu saraksti, iestāžu darbības </w:t>
      </w:r>
      <w:r>
        <w:rPr>
          <w:bCs/>
        </w:rPr>
        <w:t>gada pārskati</w:t>
      </w:r>
      <w:r w:rsidR="00C97541">
        <w:rPr>
          <w:bCs/>
        </w:rPr>
        <w:t xml:space="preserve"> u.c. aktualitātes tirgus uzraudzībā tiek izvietotas arī iestāžu mājaslapās</w:t>
      </w:r>
      <w:r w:rsidR="006446B0">
        <w:rPr>
          <w:bCs/>
        </w:rPr>
        <w:t xml:space="preserve"> un to ikgadējos publiskajos pārskatos</w:t>
      </w:r>
      <w:r w:rsidR="00C97541">
        <w:rPr>
          <w:bCs/>
        </w:rPr>
        <w:t xml:space="preserve">. </w:t>
      </w:r>
    </w:p>
    <w:p w14:paraId="7A1A45B6" w14:textId="77777777" w:rsidR="00EE0420" w:rsidRPr="0008472F" w:rsidRDefault="00EE0420" w:rsidP="00EE0420">
      <w:pPr>
        <w:pStyle w:val="Heading2"/>
      </w:pPr>
      <w:bookmarkStart w:id="24" w:name="_Toc392679025"/>
      <w:bookmarkStart w:id="25" w:name="_Toc8821864"/>
      <w:r w:rsidRPr="0008472F">
        <w:t>Horizontāli pasākumi, kas plānoti attiecīgajam periodam</w:t>
      </w:r>
      <w:bookmarkEnd w:id="24"/>
      <w:bookmarkEnd w:id="25"/>
    </w:p>
    <w:p w14:paraId="5CF14B1B" w14:textId="28FAE090" w:rsidR="00F1548E" w:rsidRDefault="004B57CA" w:rsidP="009F454A">
      <w:pPr>
        <w:ind w:firstLine="709"/>
        <w:rPr>
          <w:color w:val="000000"/>
        </w:rPr>
      </w:pPr>
      <w:r>
        <w:rPr>
          <w:color w:val="000000"/>
        </w:rPr>
        <w:t>PTAC</w:t>
      </w:r>
      <w:r>
        <w:rPr>
          <w:i/>
          <w:color w:val="000000"/>
        </w:rPr>
        <w:t xml:space="preserve"> </w:t>
      </w:r>
      <w:r>
        <w:rPr>
          <w:color w:val="000000"/>
        </w:rPr>
        <w:t>ir pieteicies Eiropas Savienības organizētā kopprojekta horizontālajiem pasākumiem, t.i., vienota nelaimes gadījumu datu bāze, e-komercijas uzraudzība, sadarbība ar muitas iestādēm un atsaukumu efektivitāte</w:t>
      </w:r>
      <w:r w:rsidR="009F454A">
        <w:rPr>
          <w:color w:val="000000"/>
        </w:rPr>
        <w:t>.</w:t>
      </w:r>
    </w:p>
    <w:p w14:paraId="6D0F3E63" w14:textId="3F9F219B" w:rsidR="0018567E" w:rsidRDefault="00AE6A8C" w:rsidP="00C97541">
      <w:pPr>
        <w:ind w:firstLine="709"/>
        <w:rPr>
          <w:bCs/>
        </w:rPr>
      </w:pPr>
      <w:r>
        <w:rPr>
          <w:bCs/>
        </w:rPr>
        <w:t>Plānots apstiprināt nacionālo regulējumu, lai piemērotu</w:t>
      </w:r>
      <w:r w:rsidR="00C97541">
        <w:rPr>
          <w:bCs/>
        </w:rPr>
        <w:t xml:space="preserve"> jaun</w:t>
      </w:r>
      <w:r>
        <w:rPr>
          <w:bCs/>
        </w:rPr>
        <w:t xml:space="preserve">ās </w:t>
      </w:r>
      <w:r w:rsidR="00C97541">
        <w:rPr>
          <w:bCs/>
        </w:rPr>
        <w:t>tirgus uzraudzīb</w:t>
      </w:r>
      <w:r>
        <w:rPr>
          <w:bCs/>
        </w:rPr>
        <w:t>as normas</w:t>
      </w:r>
      <w:r w:rsidR="00C97541">
        <w:rPr>
          <w:bCs/>
        </w:rPr>
        <w:t>, ko ievieš Regula 2019/1020</w:t>
      </w:r>
      <w:r>
        <w:rPr>
          <w:bCs/>
        </w:rPr>
        <w:t xml:space="preserve">. Iespējami Tirgus uzraudzības padomes konsultatīvi pasākumi </w:t>
      </w:r>
      <w:r w:rsidR="0018567E">
        <w:rPr>
          <w:bCs/>
        </w:rPr>
        <w:t>tirgus uzraudzības iestād</w:t>
      </w:r>
      <w:r>
        <w:rPr>
          <w:bCs/>
        </w:rPr>
        <w:t>ēm,</w:t>
      </w:r>
      <w:r w:rsidR="0018567E">
        <w:rPr>
          <w:bCs/>
        </w:rPr>
        <w:t xml:space="preserve"> apzin</w:t>
      </w:r>
      <w:r>
        <w:rPr>
          <w:bCs/>
        </w:rPr>
        <w:t>o</w:t>
      </w:r>
      <w:r w:rsidR="0018567E">
        <w:rPr>
          <w:bCs/>
        </w:rPr>
        <w:t xml:space="preserve">t </w:t>
      </w:r>
      <w:r>
        <w:rPr>
          <w:bCs/>
        </w:rPr>
        <w:t xml:space="preserve">to </w:t>
      </w:r>
      <w:r w:rsidR="0018567E">
        <w:rPr>
          <w:bCs/>
        </w:rPr>
        <w:t xml:space="preserve">gatavību piemērot </w:t>
      </w:r>
      <w:r>
        <w:rPr>
          <w:bCs/>
        </w:rPr>
        <w:t>jaunās</w:t>
      </w:r>
      <w:r w:rsidR="0018567E">
        <w:rPr>
          <w:bCs/>
        </w:rPr>
        <w:t xml:space="preserve"> prasības</w:t>
      </w:r>
      <w:r w:rsidR="00A53F04">
        <w:rPr>
          <w:bCs/>
        </w:rPr>
        <w:t>.</w:t>
      </w:r>
    </w:p>
    <w:p w14:paraId="49993EC3" w14:textId="21664FC7" w:rsidR="00164F42" w:rsidRDefault="00C97541" w:rsidP="00C97541">
      <w:pPr>
        <w:ind w:firstLine="709"/>
        <w:rPr>
          <w:lang w:eastAsia="ar-SA"/>
        </w:rPr>
      </w:pPr>
      <w:r>
        <w:rPr>
          <w:bCs/>
        </w:rPr>
        <w:t xml:space="preserve">Tāpat tirgus uzraudzības iestādēm </w:t>
      </w:r>
      <w:r w:rsidR="0018567E">
        <w:rPr>
          <w:bCs/>
        </w:rPr>
        <w:t xml:space="preserve">paredzēts turpināt organizēt apmācības un praktiskas nodarbības par Regulas 2019/515 piemērošanu un </w:t>
      </w:r>
      <w:r w:rsidR="0018567E" w:rsidRPr="0018567E">
        <w:rPr>
          <w:bCs/>
        </w:rPr>
        <w:t>ziņo</w:t>
      </w:r>
      <w:r w:rsidR="0018567E">
        <w:rPr>
          <w:bCs/>
        </w:rPr>
        <w:t>šanu</w:t>
      </w:r>
      <w:r w:rsidR="0018567E" w:rsidRPr="0018567E">
        <w:rPr>
          <w:bCs/>
        </w:rPr>
        <w:t xml:space="preserve"> ES dalībvalstīm un Eiropas Komisijai par produktiem, kuriem liegta vai ierobežota piekļuve tirgum, izmantojot tirgus uzraudzības informācijas un komunikācijas sistēmu (ICSMS).</w:t>
      </w:r>
    </w:p>
    <w:p w14:paraId="64FB065D" w14:textId="77777777" w:rsidR="00164F42" w:rsidRPr="0008472F" w:rsidRDefault="00164F42" w:rsidP="00164F42">
      <w:pPr>
        <w:ind w:firstLine="709"/>
        <w:rPr>
          <w:u w:val="single"/>
        </w:rPr>
      </w:pPr>
    </w:p>
    <w:p w14:paraId="2FDB2B8B" w14:textId="77777777" w:rsidR="00E25A60" w:rsidRPr="0008472F" w:rsidRDefault="00EE0420" w:rsidP="00F1548E">
      <w:pPr>
        <w:pStyle w:val="Heading1"/>
      </w:pPr>
      <w:bookmarkStart w:id="26" w:name="_Toc392679026"/>
      <w:bookmarkStart w:id="27" w:name="_Toc8821865"/>
      <w:r w:rsidRPr="00EC4EB3">
        <w:lastRenderedPageBreak/>
        <w:t>Tirgus uzraudzība</w:t>
      </w:r>
      <w:r w:rsidRPr="0008472F">
        <w:t xml:space="preserve"> konkrētās nozarēs</w:t>
      </w:r>
      <w:bookmarkEnd w:id="26"/>
      <w:bookmarkEnd w:id="27"/>
    </w:p>
    <w:p w14:paraId="6A1AEF26" w14:textId="5B43C155" w:rsidR="00600BD0" w:rsidRPr="0008472F" w:rsidRDefault="00600BD0" w:rsidP="00600BD0">
      <w:pPr>
        <w:rPr>
          <w:i/>
          <w:color w:val="0000FF"/>
        </w:rPr>
      </w:pPr>
    </w:p>
    <w:p w14:paraId="26557580" w14:textId="77777777" w:rsidR="00A466EA" w:rsidRPr="0008472F" w:rsidRDefault="00A466EA" w:rsidP="00EE0420">
      <w:pPr>
        <w:pStyle w:val="Heading2"/>
      </w:pPr>
      <w:bookmarkStart w:id="28" w:name="_Toc392679027"/>
      <w:bookmarkStart w:id="29" w:name="_Toc8821866"/>
      <w:r w:rsidRPr="0008472F">
        <w:t>Medicīnas ierīces</w:t>
      </w:r>
      <w:bookmarkEnd w:id="28"/>
      <w:r w:rsidR="00BF120C">
        <w:t>.</w:t>
      </w:r>
      <w:bookmarkEnd w:id="29"/>
    </w:p>
    <w:p w14:paraId="37896A2B" w14:textId="77777777" w:rsidR="00A466EA" w:rsidRDefault="0046729E" w:rsidP="00853CDD">
      <w:pPr>
        <w:pStyle w:val="Heading3"/>
        <w:tabs>
          <w:tab w:val="num" w:pos="2552"/>
        </w:tabs>
        <w:ind w:left="1701" w:hanging="77"/>
      </w:pPr>
      <w:bookmarkStart w:id="30" w:name="_Toc392679028"/>
      <w:bookmarkStart w:id="31" w:name="_Toc8821867"/>
      <w:r w:rsidRPr="0008472F">
        <w:t>Atbildīgās iestādes nosaukums un kontaktinformācija</w:t>
      </w:r>
      <w:bookmarkEnd w:id="30"/>
      <w:bookmarkEnd w:id="31"/>
    </w:p>
    <w:p w14:paraId="20394B5B" w14:textId="147788E5" w:rsidR="00A36A0A" w:rsidRDefault="00A36A0A" w:rsidP="00A36A0A">
      <w:pPr>
        <w:pStyle w:val="Text3"/>
        <w:ind w:left="0"/>
      </w:pPr>
      <w:r w:rsidRPr="00A36A0A">
        <w:t xml:space="preserve">Veselības inspekcija saskaņā ar </w:t>
      </w:r>
      <w:r w:rsidRPr="00A36A0A">
        <w:rPr>
          <w:rStyle w:val="st"/>
        </w:rPr>
        <w:t>Ministru kabineta 2019. gada 9. jūlija noteikumu Nr.309</w:t>
      </w:r>
      <w:r w:rsidRPr="00A36A0A">
        <w:rPr>
          <w:rStyle w:val="st"/>
          <w:i/>
          <w:iCs/>
        </w:rPr>
        <w:t xml:space="preserve"> “</w:t>
      </w:r>
      <w:r w:rsidRPr="00A36A0A">
        <w:rPr>
          <w:rStyle w:val="Emphasis"/>
          <w:i w:val="0"/>
          <w:iCs w:val="0"/>
        </w:rPr>
        <w:t>Veselības inspekcijas nolikums</w:t>
      </w:r>
      <w:r w:rsidRPr="00A36A0A">
        <w:rPr>
          <w:rStyle w:val="st"/>
          <w:i/>
          <w:iCs/>
        </w:rPr>
        <w:t>”</w:t>
      </w:r>
      <w:r>
        <w:rPr>
          <w:rStyle w:val="st"/>
        </w:rPr>
        <w:t xml:space="preserve"> </w:t>
      </w:r>
      <w:r>
        <w:t xml:space="preserve">3.4. punktu  uzrauga medicīniskajām ierīcēm noteikto prasību ievērošanu.  </w:t>
      </w:r>
    </w:p>
    <w:p w14:paraId="510CA186" w14:textId="77777777" w:rsidR="00A36A0A" w:rsidRDefault="00A36A0A" w:rsidP="00A36A0A">
      <w:pPr>
        <w:pStyle w:val="Text3"/>
        <w:ind w:left="0"/>
      </w:pPr>
      <w:r>
        <w:t>Veselības inspekcijas adrese: Klijānu ielā 7, Rīgā, LV</w:t>
      </w:r>
      <w:r>
        <w:rPr>
          <w:szCs w:val="24"/>
        </w:rPr>
        <w:t>-</w:t>
      </w:r>
      <w:r>
        <w:t xml:space="preserve">1012, kontakti: e-pasts </w:t>
      </w:r>
      <w:hyperlink r:id="rId17" w:history="1">
        <w:r>
          <w:rPr>
            <w:rStyle w:val="Hyperlink"/>
          </w:rPr>
          <w:t>vi@vi.gov.lv</w:t>
        </w:r>
      </w:hyperlink>
      <w:r>
        <w:t xml:space="preserve">, tālrunis: </w:t>
      </w:r>
      <w:r>
        <w:rPr>
          <w:bCs/>
        </w:rPr>
        <w:t>67081611</w:t>
      </w:r>
      <w:r>
        <w:t>.</w:t>
      </w:r>
    </w:p>
    <w:p w14:paraId="49DB8DF3" w14:textId="6C9D7CC0" w:rsidR="00BF120C" w:rsidRPr="00BF120C" w:rsidRDefault="00A36A0A" w:rsidP="00A36A0A">
      <w:pPr>
        <w:pStyle w:val="Text3"/>
        <w:ind w:left="0"/>
      </w:pPr>
      <w:r>
        <w:t>Medicīnas ierīču tirgus uzraudzībā iesaistītas trīs amatpersonas – 1 vecākais tehniskās uzraudzības inspektors un 2 tehniskās uzraudzības inspektori, kas veic medicīnisko ierīču tirgus uzraudzību, kā arī medicīnisko ierīču ražotāju uzraudzību. Veselības inspekcijai nav laboratorijas. Laboratoriskas pārbaudes veikšanai tiek izmantoti akreditētu laboratoriju pakalpojumi</w:t>
      </w:r>
      <w:r w:rsidR="00BF120C">
        <w:t xml:space="preserve">. </w:t>
      </w:r>
    </w:p>
    <w:p w14:paraId="06E1763A" w14:textId="77777777" w:rsidR="00A466EA" w:rsidRPr="0008472F" w:rsidRDefault="00F92017" w:rsidP="00853CDD">
      <w:pPr>
        <w:pStyle w:val="Heading3"/>
        <w:tabs>
          <w:tab w:val="num" w:pos="2552"/>
        </w:tabs>
        <w:ind w:left="1701" w:hanging="77"/>
      </w:pPr>
      <w:bookmarkStart w:id="32" w:name="_Toc392679029"/>
      <w:bookmarkStart w:id="33" w:name="_Toc8821868"/>
      <w:r w:rsidRPr="0008472F">
        <w:t>Tirgus uzraudzības procedūras un stratēģija</w:t>
      </w:r>
      <w:bookmarkEnd w:id="32"/>
      <w:bookmarkEnd w:id="33"/>
      <w:r w:rsidRPr="0008472F">
        <w:t xml:space="preserve"> </w:t>
      </w:r>
    </w:p>
    <w:p w14:paraId="7DE654D1" w14:textId="4EFC4629" w:rsidR="00A36A0A" w:rsidRDefault="00A36A0A" w:rsidP="00A36A0A">
      <w:pPr>
        <w:pStyle w:val="Text3"/>
        <w:spacing w:after="0"/>
        <w:ind w:left="0"/>
      </w:pPr>
      <w:r>
        <w:t>Saņemot ziņojumus (Compliance &amp;Enforcement Form – turpmāk COEF) no citām Eiropas Savienības tirgus uzraudzības iestādēm, COEF Tirgus Uzraudzības (</w:t>
      </w:r>
      <w:r>
        <w:rPr>
          <w:i/>
        </w:rPr>
        <w:t>Market Surveillance</w:t>
      </w:r>
      <w:r>
        <w:t>) darba grupas ietvaros, tiek veikta aktīva uzraudzība.</w:t>
      </w:r>
    </w:p>
    <w:p w14:paraId="3F1C6C49" w14:textId="77777777" w:rsidR="00A36A0A" w:rsidRDefault="00A36A0A" w:rsidP="00A36A0A">
      <w:pPr>
        <w:pStyle w:val="Text3"/>
        <w:spacing w:after="0"/>
        <w:ind w:left="0"/>
      </w:pPr>
    </w:p>
    <w:p w14:paraId="0850C8CB" w14:textId="4072FABF" w:rsidR="00A36A0A" w:rsidRDefault="00A36A0A" w:rsidP="00A36A0A">
      <w:pPr>
        <w:pStyle w:val="Text1"/>
        <w:ind w:left="0"/>
      </w:pPr>
      <w:r>
        <w:t>Veselības inspekcija 2020. gadā veica proaktīvas uzraudzības kontroles pie medicīnisko ierīču ražotājiem, importētājiem un izplatītājiem, lai nodrošinātu patērētājiem normatīvo aktu prasībām atbilstošas medicīniskās ierīces. Īpaša uzmanība tiek vērsta vidēja  un augsta riska – IIa, IIb un III klases medicīnisko ierīču izplatītājiem/importētājiem, kā arī I klases medicīnisko ierīču  ražotājiem, ņemot vērā ar COVID-19 saistīto ārkārtējo situāciju  un medicīnisko preču (medicīniskas maskas, termometri, pulsa oksimetri u.c.) pieprasījumu</w:t>
      </w:r>
    </w:p>
    <w:p w14:paraId="1E33D8C2" w14:textId="5315E36C" w:rsidR="00A36A0A" w:rsidRDefault="00A36A0A" w:rsidP="00A36A0A">
      <w:pPr>
        <w:pStyle w:val="Text1"/>
        <w:ind w:left="0"/>
      </w:pPr>
      <w:r>
        <w:t>Ja Latvijas Republikas tirgū tiek konstatēta neatbilstoša medicīniskā ierīce (piemēram, bez CE marķējuma vai ar neatbilstošu CE marķējumu)), tiek veikta medicīniskās ierīces izplatīšanas apturēšana, kā arī, uzņēmējiem noteiktā termiņā nepieciešams veikt korektīvas darbības vai brīvprātīgi atsaukt preces no tirgus. Par katru apturēto preci ar neatbilstošu CE marķējumu un gadījumiem, kad nav pieejama informācija par ražotāja pārstāvi ES Tirgus uzraudzības (</w:t>
      </w:r>
      <w:r>
        <w:rPr>
          <w:i/>
        </w:rPr>
        <w:t>Market Surveillance</w:t>
      </w:r>
      <w:r>
        <w:t>) darba grupas ietvaros, tiek sastādīts COEF ziņojums un veikta neatbilstības paziņošanas procedūra citām Eiropas Savienības tirgus uzraudzības iestādēm.</w:t>
      </w:r>
    </w:p>
    <w:p w14:paraId="460F491E" w14:textId="77777777" w:rsidR="00A36A0A" w:rsidRDefault="00A36A0A" w:rsidP="00A36A0A">
      <w:pPr>
        <w:pStyle w:val="Text1"/>
        <w:ind w:left="0"/>
      </w:pPr>
      <w:r>
        <w:t>Veselības inspekcija veic saņemto patērētāju sūdzību izskatīšanu pēc būtības, veicot nepieciešamās darbības (kontroles, ražotāja/izplatītāja uzrādītas dokumentācijas izvērtēšanu), pēc kurām tiek sniegta atbilde sūdzības iesniedzējam.</w:t>
      </w:r>
    </w:p>
    <w:p w14:paraId="3AA471D6" w14:textId="549764A1" w:rsidR="005A69D0" w:rsidRPr="00DB0916" w:rsidRDefault="00A36A0A" w:rsidP="00F26543">
      <w:pPr>
        <w:pStyle w:val="Text3"/>
        <w:ind w:left="0"/>
      </w:pPr>
      <w:r>
        <w:t>Veselības inspekcijā ir izstrādāti kontroles dokumenti, lai izvērtētu tirgū esošās medicīniskās ierīces atbilstību normatīvo aktu prasībām - tipveida kontroles lapas un vadlīnijas</w:t>
      </w:r>
      <w:r w:rsidR="00DB0916">
        <w:t>.</w:t>
      </w:r>
    </w:p>
    <w:p w14:paraId="51AFF7FB" w14:textId="77777777" w:rsidR="00220E8B" w:rsidRPr="0008472F" w:rsidRDefault="00220E8B" w:rsidP="00853CDD">
      <w:pPr>
        <w:pStyle w:val="Heading3"/>
        <w:tabs>
          <w:tab w:val="num" w:pos="2552"/>
        </w:tabs>
        <w:ind w:left="1701" w:hanging="77"/>
      </w:pPr>
      <w:bookmarkStart w:id="34" w:name="_Toc392679030"/>
      <w:bookmarkStart w:id="35" w:name="_Toc8821869"/>
      <w:r w:rsidRPr="0008472F">
        <w:lastRenderedPageBreak/>
        <w:t>Ziņojums par darbībām, kas veiktas saskaņā ar iepriekšējo plānošanas periodu</w:t>
      </w:r>
      <w:bookmarkEnd w:id="34"/>
      <w:bookmarkEnd w:id="35"/>
    </w:p>
    <w:p w14:paraId="593FFF72" w14:textId="77777777" w:rsidR="00A36A0A" w:rsidRDefault="00A36A0A" w:rsidP="00A36A0A">
      <w:pPr>
        <w:pStyle w:val="Text1"/>
        <w:ind w:left="0"/>
      </w:pPr>
      <w:r>
        <w:t xml:space="preserve">Veselības inspekcija 2020.gadā ir veikusi 80 uzraudzības kontroles, no kurām 46 ir bijušas plānveida. Plānveida kontroles tika veiktas pie 16 medicīnisko ierīču ražotājiem un ražotāju pārstāvjiem, 30 pie medicīnisko ierīču importētājiem, izplatītājiem un pie medicīnisko ierīču mazumtirdzniecības objektiem. </w:t>
      </w:r>
    </w:p>
    <w:p w14:paraId="073799C0" w14:textId="7A9F8395" w:rsidR="00A36A0A" w:rsidRDefault="00A36A0A" w:rsidP="00A36A0A">
      <w:r>
        <w:t xml:space="preserve">2020. gadā Veselības inspekcija no Valsts ieņēmumu dienesta Muitas pārvaldes ir saņēmusi un izskatījusi </w:t>
      </w:r>
      <w:r>
        <w:rPr>
          <w:szCs w:val="24"/>
        </w:rPr>
        <w:t>841 pieprasījumu, no tiem – 339 nepamatoti t.i. pēc dokumentācijas izskatīšanas medicīniskas ierīces tika laistas Latvijas Republikas tirgū, un 415 – pamatoti, kur tika konstatēti trūkumi dokumentācijā (apliecinājumos par atbilstības novērtēšanas procedūras veikšanu, par pašu ierīču modeļu identificēšanu), līdz ar to medicīniskās ierīces importētājam atkārtoti bija nepieciešams veikt muitas procedūru, iesniedzot trūkstošo dokumentāciju. Pēc Veselības inspekcijas pieprasījuma tika veiktas fiziskās kontroles 141 muitas deklarācijām. Pēc fiziskās kontroles rezultātiem tika apturētas 14 muitas kravas, jo uz medicīniskās ierīces vai tā tirdzniecības iepakojuma nebija atbilstošs CE marķējums vai uz tā netika norādīts ražotājs. Fiziskās kontroles tika veiktas visbiežāk sejas maskām, ķirurģiskajiem halātiem un pirksta pulsa oksimetriem. 91 pieprasījumam Veselības inspekcija atzinumu nesniedza, jo importētā prece nebija Veselības inspekcijas kompetencē, piemēram, higiēnas sejas maskas un cimdi, kas atbilst individuālo aizsardzības līdzekļu regulējumam (PTAC kompetence)</w:t>
      </w:r>
      <w:r>
        <w:t>.</w:t>
      </w:r>
    </w:p>
    <w:p w14:paraId="7B120C59" w14:textId="5487EA22" w:rsidR="00A36A0A" w:rsidRDefault="00A36A0A" w:rsidP="00A36A0A">
      <w:pPr>
        <w:rPr>
          <w:szCs w:val="24"/>
          <w:lang w:eastAsia="en-US" w:bidi="ar-SA"/>
        </w:rPr>
      </w:pPr>
      <w:r>
        <w:rPr>
          <w:szCs w:val="24"/>
        </w:rPr>
        <w:t xml:space="preserve">2020. gadā Veselības inspekcija sastādīja 13 preču apturēšanas aktus un veica 32 medicīnisko ierīču modeļu (termometri, lāzerterapijas ierīces, marles saites u.c.) izplatīšanas apturēšanu, no tām tika </w:t>
      </w:r>
      <w:r>
        <w:rPr>
          <w:szCs w:val="24"/>
          <w:lang w:eastAsia="en-US" w:bidi="ar-SA"/>
        </w:rPr>
        <w:t>izdota atļauja preču izplatīšanas atsākšanai.</w:t>
      </w:r>
    </w:p>
    <w:p w14:paraId="3EE66BB2" w14:textId="7D2DEFB1" w:rsidR="0028541F" w:rsidRPr="00885780" w:rsidRDefault="00A36A0A" w:rsidP="00A36A0A">
      <w:pPr>
        <w:rPr>
          <w:szCs w:val="24"/>
          <w:lang w:eastAsia="en-US" w:bidi="ar-SA"/>
        </w:rPr>
      </w:pPr>
      <w:r>
        <w:rPr>
          <w:szCs w:val="24"/>
          <w:lang w:eastAsia="en-US" w:bidi="ar-SA"/>
        </w:rPr>
        <w:t xml:space="preserve">2020. gadā tika nosūtīti 20 COEF ziņojumi par prasībām neatbilstošām medicīniskajām ierīcēm, kā arī papildus informācijas iegūšanai no citu dalībvalstu ražotājiem. Veselības inspekcijas amatpersona piedalījās </w:t>
      </w:r>
      <w:r>
        <w:t>Tirgus uzraudzības (</w:t>
      </w:r>
      <w:r>
        <w:rPr>
          <w:i/>
        </w:rPr>
        <w:t>Market Surveillance</w:t>
      </w:r>
      <w:r>
        <w:t xml:space="preserve">) </w:t>
      </w:r>
      <w:r>
        <w:rPr>
          <w:szCs w:val="24"/>
          <w:lang w:eastAsia="en-US" w:bidi="ar-SA"/>
        </w:rPr>
        <w:t>sanāksmē</w:t>
      </w:r>
      <w:r w:rsidR="00F11061">
        <w:rPr>
          <w:szCs w:val="24"/>
          <w:lang w:eastAsia="en-US" w:bidi="ar-SA"/>
        </w:rPr>
        <w:t>.</w:t>
      </w:r>
    </w:p>
    <w:p w14:paraId="28BE5D90" w14:textId="43D62EBE" w:rsidR="00EE0420" w:rsidRPr="0008472F" w:rsidRDefault="00EE0420" w:rsidP="00AE2076">
      <w:pPr>
        <w:pStyle w:val="Heading2"/>
      </w:pPr>
      <w:bookmarkStart w:id="36" w:name="_Toc392663956"/>
      <w:bookmarkStart w:id="37" w:name="_Toc392667177"/>
      <w:bookmarkStart w:id="38" w:name="_Toc392667566"/>
      <w:bookmarkStart w:id="39" w:name="_Toc392667184"/>
      <w:bookmarkStart w:id="40" w:name="_Toc392667573"/>
      <w:bookmarkStart w:id="41" w:name="_Toc392667187"/>
      <w:bookmarkStart w:id="42" w:name="_Toc392667576"/>
      <w:bookmarkStart w:id="43" w:name="_Toc392667191"/>
      <w:bookmarkStart w:id="44" w:name="_Toc392667580"/>
      <w:bookmarkStart w:id="45" w:name="_Toc392679031"/>
      <w:bookmarkStart w:id="46" w:name="_Toc8821870"/>
      <w:bookmarkEnd w:id="36"/>
      <w:bookmarkEnd w:id="37"/>
      <w:bookmarkEnd w:id="38"/>
      <w:bookmarkEnd w:id="39"/>
      <w:bookmarkEnd w:id="40"/>
      <w:bookmarkEnd w:id="41"/>
      <w:bookmarkEnd w:id="42"/>
      <w:bookmarkEnd w:id="43"/>
      <w:bookmarkEnd w:id="44"/>
      <w:r w:rsidRPr="0008472F">
        <w:t>Kosmētikas līdzekļi</w:t>
      </w:r>
      <w:bookmarkEnd w:id="45"/>
      <w:bookmarkEnd w:id="46"/>
    </w:p>
    <w:p w14:paraId="2A18253F" w14:textId="77777777" w:rsidR="00BB4D80" w:rsidRPr="0008472F" w:rsidRDefault="00BB4D80" w:rsidP="00BB4D80">
      <w:pPr>
        <w:pStyle w:val="Heading3"/>
        <w:tabs>
          <w:tab w:val="num" w:pos="2552"/>
        </w:tabs>
        <w:ind w:left="1701" w:hanging="77"/>
      </w:pPr>
      <w:bookmarkStart w:id="47" w:name="_Toc8821871"/>
      <w:r w:rsidRPr="0008472F">
        <w:t>Atbildīgās iestādes nosaukums un kontaktinformācija</w:t>
      </w:r>
      <w:bookmarkEnd w:id="47"/>
    </w:p>
    <w:p w14:paraId="1E9D85D3" w14:textId="77777777" w:rsidR="00D976C8" w:rsidRDefault="00D976C8" w:rsidP="00D976C8">
      <w:pPr>
        <w:pStyle w:val="Text3"/>
        <w:ind w:left="0"/>
      </w:pPr>
      <w:r>
        <w:t>Veselības inspekcija ir kompetentā iestāde kosmētikas līdzekļu jomā saskaņā ar regulas Nr.1223/2009 34. panta 1. punktu un nodrošina tirgus iekšējo kontroli.</w:t>
      </w:r>
    </w:p>
    <w:p w14:paraId="1C23A6F4" w14:textId="77777777" w:rsidR="00D976C8" w:rsidRDefault="00D976C8" w:rsidP="00D976C8">
      <w:pPr>
        <w:pStyle w:val="Text3"/>
        <w:ind w:left="0"/>
      </w:pPr>
      <w:r>
        <w:t>Veselības inspekcijas adrese: Klijānu ielā 7, Rīgā, LV</w:t>
      </w:r>
      <w:r>
        <w:rPr>
          <w:szCs w:val="24"/>
        </w:rPr>
        <w:t>-</w:t>
      </w:r>
      <w:r>
        <w:t xml:space="preserve">1012, kontakti: e-pasts </w:t>
      </w:r>
      <w:hyperlink r:id="rId18" w:history="1">
        <w:r>
          <w:rPr>
            <w:rStyle w:val="Hyperlink"/>
          </w:rPr>
          <w:t>vi@vi.gov.lv</w:t>
        </w:r>
      </w:hyperlink>
      <w:r>
        <w:t xml:space="preserve">, tālrunis: </w:t>
      </w:r>
      <w:r>
        <w:rPr>
          <w:bCs/>
        </w:rPr>
        <w:t>67081600</w:t>
      </w:r>
      <w:r>
        <w:t>.</w:t>
      </w:r>
    </w:p>
    <w:p w14:paraId="48A2E70D" w14:textId="1EC89411" w:rsidR="003A3061" w:rsidRPr="003A3061" w:rsidRDefault="00D976C8" w:rsidP="00D976C8">
      <w:pPr>
        <w:pStyle w:val="Text3"/>
        <w:ind w:left="0"/>
      </w:pPr>
      <w:r>
        <w:t>Kosmētikas līdzekļu tirgus uzraudzībā iesaistītas 8 amatpersonas, kuras veic arī citu preču grupu (ķīmisko vielu un maisījumu, tajā skaitā biocīdu, mazgāšanas līdzekļu, gaistošo organisko savienojumu saturošu produktu, tetovēšanas līdzekļu, tabakas izstrādājumu un elektronisko cigarešu uzpildes šķidrumu) uzraudzību. Veselības inspekcijai nav laboratorijas. Laboratoriskas pārbaudes veikšanai tiek izmantoti akreditētu laboratoriju pakalpojumi</w:t>
      </w:r>
      <w:r w:rsidR="008D0DDF">
        <w:t xml:space="preserve">. </w:t>
      </w:r>
    </w:p>
    <w:p w14:paraId="46DE0541" w14:textId="77777777" w:rsidR="00BB4D80" w:rsidRPr="0008472F" w:rsidRDefault="00BB4D80" w:rsidP="00BB4D80">
      <w:pPr>
        <w:pStyle w:val="Heading3"/>
        <w:tabs>
          <w:tab w:val="num" w:pos="2552"/>
        </w:tabs>
        <w:ind w:left="1701" w:hanging="77"/>
      </w:pPr>
      <w:bookmarkStart w:id="48" w:name="_Toc8821872"/>
      <w:r w:rsidRPr="0008472F">
        <w:t>Tirgus uzraudzības procedūras un stratēģija</w:t>
      </w:r>
      <w:bookmarkEnd w:id="48"/>
      <w:r w:rsidRPr="0008472F">
        <w:t xml:space="preserve"> </w:t>
      </w:r>
    </w:p>
    <w:p w14:paraId="2A4230A5" w14:textId="77777777" w:rsidR="00CB7457" w:rsidRDefault="00CB7457" w:rsidP="00CB7457">
      <w:pPr>
        <w:pStyle w:val="Text1"/>
        <w:ind w:left="0"/>
      </w:pPr>
      <w:r>
        <w:t xml:space="preserve">Veselības inspekcijā ir izstrādāti kontroles dokumenti kosmētikas līdzekļu tirgus uzraudzības jomā: tipveida kontroles lapas, vadlīnijas un procedūras, ražotāju, importētāju, izplatītāju un pilnvarotu atbildīgo personu kontrolei, kosmētikas līdzekļa lietas </w:t>
      </w:r>
      <w:r>
        <w:lastRenderedPageBreak/>
        <w:t>dokumentācijas kontrolei pie atbildīgajām personām un labas ražošanas prakses kontrolei kosmētikas līdzekļu ražošanas uzņēmumos.</w:t>
      </w:r>
    </w:p>
    <w:p w14:paraId="4850E655" w14:textId="77777777" w:rsidR="00CB7457" w:rsidRDefault="00CB7457" w:rsidP="00CB7457">
      <w:pPr>
        <w:pStyle w:val="Text1"/>
        <w:ind w:left="0"/>
      </w:pPr>
      <w:r>
        <w:t xml:space="preserve">Veselības inspekcija 2021. gadā plāno veikt proaktīvas kontroles, lai nodrošinātu, ka patērētājiem ir pieejami normatīvo aktu prasībām atbilstoši produkti, kas ražoti atbilstošos apstākļos un tiem veikts drošuma novērtējums. Veselības inspekcija veic saņemto sūdzību izskatīšanu pēc būtības, veicot nepieciešamās uzraudzības darbības, pēc kurām tiek sniegta atbilde iesniedzējam. </w:t>
      </w:r>
    </w:p>
    <w:p w14:paraId="62A13427" w14:textId="77777777" w:rsidR="00CB7457" w:rsidRDefault="00CB7457" w:rsidP="00CB7457">
      <w:r>
        <w:t xml:space="preserve">Veselības inspekcijas prioritāte kosmētikas līdzekļu kontroles jomā ir </w:t>
      </w:r>
      <w:r>
        <w:rPr>
          <w:szCs w:val="24"/>
        </w:rPr>
        <w:t xml:space="preserve">komersanti ar augstāku atbildības līmeni izplatīšanas ķēdē </w:t>
      </w:r>
      <w:r>
        <w:t>–</w:t>
      </w:r>
      <w:r>
        <w:rPr>
          <w:szCs w:val="24"/>
        </w:rPr>
        <w:t xml:space="preserve"> ražotāji un importētāji, kuri ir atbildīgi par tirgū laisto kosmētikas līdzekļu drošumu un kosmētikas līdzekļa lietas dokumentācijas nodrošināšanu.</w:t>
      </w:r>
      <w:r>
        <w:t xml:space="preserve"> </w:t>
      </w:r>
    </w:p>
    <w:p w14:paraId="5D5A9DDF" w14:textId="77777777" w:rsidR="00CB7457" w:rsidRDefault="00CB7457" w:rsidP="00CB7457">
      <w:pPr>
        <w:pStyle w:val="Text1"/>
        <w:ind w:left="0"/>
        <w:rPr>
          <w:szCs w:val="24"/>
        </w:rPr>
      </w:pPr>
      <w:r>
        <w:t xml:space="preserve">Veselības inspekcija pastāvīgi piedalās Eiropas Savienības </w:t>
      </w:r>
      <w:r>
        <w:rPr>
          <w:szCs w:val="24"/>
        </w:rPr>
        <w:t>Kosmētikas līdzekļu tirgus uzraudzības iestāžu sadarbības platformas (PEMSAC) sanāksmēs, daloties ar Latvijas pieredzi un saņemot informāciju par tirgus uzraudzību citās dalībvalstīs, tostarp uzraudzības praksi konkrētos gadījumos.</w:t>
      </w:r>
    </w:p>
    <w:p w14:paraId="78676ED1" w14:textId="77777777" w:rsidR="00CB7457" w:rsidRDefault="00CB7457" w:rsidP="00CB7457">
      <w:pPr>
        <w:pStyle w:val="Text1"/>
        <w:ind w:left="0"/>
      </w:pPr>
      <w:r>
        <w:t>2021. gadā plānots veikt tematiskās kontroles kopējās ainas par situāciju tirgū iegūšanai  "pilns plaukts" – par kosmētikas līdzekļiem, kas paredzēti bērniem, un kosmētikas līdzekļiem  roku tīrīšanai.</w:t>
      </w:r>
    </w:p>
    <w:p w14:paraId="03930569" w14:textId="33133CF7" w:rsidR="000D7CF5" w:rsidRDefault="00CB7457" w:rsidP="00CB7457">
      <w:pPr>
        <w:rPr>
          <w:i/>
          <w:color w:val="0000FF"/>
        </w:rPr>
      </w:pPr>
      <w:r>
        <w:t>Veselības inspekcija attīstīs pašnovērtējuma ieviešanu uzraudzības procesā, lai paplašinātu „Konsultē vispirms” principa piemērošanu un sekmētu uzticību Inspekcijas uzraudzībai. Tiks izplatītas pašvērtējuma anketas kosmētikas līdzekļu atbildīgajām personām un kosmētikas līdzekļu ražotājiem</w:t>
      </w:r>
      <w:r w:rsidR="008056C0">
        <w:rPr>
          <w:szCs w:val="24"/>
        </w:rPr>
        <w:t>.</w:t>
      </w:r>
      <w:r w:rsidR="000D7CF5">
        <w:t xml:space="preserve"> </w:t>
      </w:r>
    </w:p>
    <w:p w14:paraId="3A433036" w14:textId="77777777" w:rsidR="00BB4D80" w:rsidRPr="0008472F" w:rsidRDefault="00BB4D80" w:rsidP="00BB4D80">
      <w:pPr>
        <w:pStyle w:val="Heading3"/>
        <w:tabs>
          <w:tab w:val="num" w:pos="2552"/>
        </w:tabs>
        <w:ind w:left="1701" w:hanging="77"/>
      </w:pPr>
      <w:bookmarkStart w:id="49" w:name="_Toc8821873"/>
      <w:r w:rsidRPr="0008472F">
        <w:t>Ziņojums par darbībām, kas veiktas saskaņā ar iepriekšējo plānošanas periodu</w:t>
      </w:r>
      <w:bookmarkEnd w:id="49"/>
    </w:p>
    <w:p w14:paraId="128C14EA" w14:textId="77777777" w:rsidR="00CB7457" w:rsidRDefault="00CB7457" w:rsidP="00CB7457">
      <w:pPr>
        <w:rPr>
          <w:szCs w:val="24"/>
          <w:lang w:eastAsia="en-US"/>
        </w:rPr>
      </w:pPr>
      <w:r>
        <w:rPr>
          <w:szCs w:val="24"/>
          <w:lang w:eastAsia="en-US"/>
        </w:rPr>
        <w:t>2020. gadā veikta 941 kosmētikas līdzekļa kontrole, no kuriem pilnībā atbilstoši prasībām bija 504 (53,6%), savukārt 389 marķējumā sniegtajā informācijā konstatētas atsevišķas neatbilstības, kurām nav būtiskas ietekmes uz kosmētikas līdzekļu drošumu, un kuras komersantam uzdots novērst. Būtiskas neatbilstības drošuma prasībām konstatētas 13 (1,4%) no kontrolētajiem kosmētikas līdzekļiem, piemērots tirdzniecības aizliegums gadījumos, kad kosmētikas līdzeklis satur aizliegtu sastāvdaļu (</w:t>
      </w:r>
      <w:r>
        <w:rPr>
          <w:i/>
          <w:szCs w:val="24"/>
          <w:lang w:eastAsia="en-US"/>
        </w:rPr>
        <w:t>Isobutylparaben)</w:t>
      </w:r>
      <w:r>
        <w:rPr>
          <w:szCs w:val="24"/>
          <w:lang w:eastAsia="en-US"/>
        </w:rPr>
        <w:t xml:space="preserve"> vai sastāvdaļu (</w:t>
      </w:r>
      <w:r>
        <w:rPr>
          <w:i/>
          <w:szCs w:val="24"/>
          <w:lang w:eastAsia="en-US"/>
        </w:rPr>
        <w:t>Potassium Hydroxide; Boric acid</w:t>
      </w:r>
      <w:r>
        <w:rPr>
          <w:szCs w:val="24"/>
          <w:lang w:eastAsia="en-US"/>
        </w:rPr>
        <w:t>) koncentrācija pārsniedz atļauto, vai nav norādīta informācija par sastāvu.</w:t>
      </w:r>
    </w:p>
    <w:p w14:paraId="230B05DD" w14:textId="77777777" w:rsidR="00CB7457" w:rsidRDefault="00CB7457" w:rsidP="00CB7457">
      <w:pPr>
        <w:rPr>
          <w:szCs w:val="24"/>
          <w:lang w:eastAsia="en-US"/>
        </w:rPr>
      </w:pPr>
      <w:r>
        <w:rPr>
          <w:szCs w:val="24"/>
          <w:lang w:eastAsia="en-US"/>
        </w:rPr>
        <w:t xml:space="preserve">Vienam ražotam un diviem importētiem kosmētikas līdzekļiem kontroles laikā konstatētas neatbilstības, kas attiecas uz vielu reģistrāciju, kad  tas nepieciešams.  Konstatēts, ka viens kosmētikas līdzeklis tiek pārdots pēc minimālā derīguma termiņa beigām. </w:t>
      </w:r>
    </w:p>
    <w:p w14:paraId="78ECB33E" w14:textId="77777777" w:rsidR="00CB7457" w:rsidRDefault="00CB7457" w:rsidP="00CB7457">
      <w:pPr>
        <w:rPr>
          <w:szCs w:val="24"/>
          <w:lang w:eastAsia="en-US"/>
        </w:rPr>
      </w:pPr>
      <w:r>
        <w:rPr>
          <w:szCs w:val="24"/>
          <w:lang w:eastAsia="en-US"/>
        </w:rPr>
        <w:t>Labas ražošanas prakses padziļināta kontrole veikta 6 ražošanas uzņēmumos. Nevienā gadījumā kosmētikas līdzekļu ražošanas procesā netika konstatēti pārkāpumi, kas būtiski ietekmē saražoto līdzekļu drošumu. Konstatējot nepilnības, ražotājiem tika uzdots novērst trūkumus noteiktā termiņā.</w:t>
      </w:r>
    </w:p>
    <w:p w14:paraId="2BA54810" w14:textId="77777777" w:rsidR="00CB7457" w:rsidRDefault="00CB7457" w:rsidP="00CB7457">
      <w:pPr>
        <w:rPr>
          <w:szCs w:val="24"/>
          <w:lang w:eastAsia="en-US"/>
        </w:rPr>
      </w:pPr>
      <w:r>
        <w:rPr>
          <w:szCs w:val="24"/>
          <w:lang w:eastAsia="en-US"/>
        </w:rPr>
        <w:t>Laboratoriski pārbaudīta mikrobioloģiskā tīrība 21 kosmētikas līdzeklim, visi testētie paraugi atbilda normatīvo aktu prasībām. Formaldehīda izmantošanai noteiktie ierobežojumi laboratoriski pārbaudīti 6 kosmētikas līdzekļiem nagiem, neatbilstības netika konstatētas.</w:t>
      </w:r>
    </w:p>
    <w:p w14:paraId="7ECA4F12" w14:textId="77777777" w:rsidR="00CB7457" w:rsidRDefault="00CB7457" w:rsidP="00CB7457">
      <w:pPr>
        <w:rPr>
          <w:szCs w:val="24"/>
          <w:lang w:eastAsia="en-US"/>
        </w:rPr>
      </w:pPr>
      <w:r>
        <w:rPr>
          <w:szCs w:val="24"/>
          <w:lang w:eastAsia="en-US"/>
        </w:rPr>
        <w:lastRenderedPageBreak/>
        <w:t>Turpinot iepriekšējā gadā uzsākto sadarbību ar Muitas pārvaldi kosmētikas jomā, 2020. gada janvārī un februārī veikta importēto kosmētikas līdzekļu pārbaude Baltijas un Polijas projekta ietvaros. Izskatītas 28 deklarācijas EMDAS sistēmā, pārbaudīti labas ražošanas prakses apliecinājumi un sastāvdaļām noteikto ierobežojumu ievērošana, novērsta piecu veselībai nedrošu kosmētikas līdzekļu ievešana Latvijā no trešajām valstīm.</w:t>
      </w:r>
    </w:p>
    <w:p w14:paraId="36BC16A9" w14:textId="32486DC3" w:rsidR="00FC137B" w:rsidRPr="00FC137B" w:rsidRDefault="00CB7457" w:rsidP="00CB7457">
      <w:r>
        <w:rPr>
          <w:szCs w:val="24"/>
          <w:lang w:eastAsia="en-US"/>
        </w:rPr>
        <w:t xml:space="preserve">2020. gadā turpinātas tematiskās kontroles „pilns plaukts”, lai iegūtu pārskatu par kopējo ainu par mazumtirdzniecībā piedāvātu kosmētikas līdzekļu noteiktu veidu. Kontrolēs populārākajos mazumtirdzniecības veikalos Rīgā pārbaudīti visi veikala sortimentā esošie kosmētikas līdzekļi aizsardzībai pret UV starojumu, kopumā  sešās kontrolēs pārbaudīta 166 produktu atbilstība. Tas liecina par šī veida produktu pietiekamu sortimenta daudzveidību, 35 produkti pieejami un pārbaudīti vairāk nekā vienā veikalā. Visos kontrolētajos produktos ir izmantoti tikai atļauti UV filtri, no tiem 5 izmantotas arī sastāvdaļas nano formā. </w:t>
      </w:r>
      <w:r>
        <w:rPr>
          <w:szCs w:val="24"/>
        </w:rPr>
        <w:t xml:space="preserve">34% gadījumu, konstatēts, ka marķējumā latviešu valodā nav </w:t>
      </w:r>
      <w:r>
        <w:t xml:space="preserve">norādīti piesardzības pasākumi, kas jāievēro </w:t>
      </w:r>
      <w:r>
        <w:rPr>
          <w:szCs w:val="24"/>
        </w:rPr>
        <w:t xml:space="preserve">patērētājam lietojot līdzekļus aizsardzībai pret UV starojumu. Tā ir obligātā informācija, kas marķējumā jānorāda, saskaņā ar kosmētikas līdzekļu regulas prasībām. </w:t>
      </w:r>
      <w:r>
        <w:rPr>
          <w:bCs/>
        </w:rPr>
        <w:t>27% no</w:t>
      </w:r>
      <w:r>
        <w:rPr>
          <w:szCs w:val="24"/>
        </w:rPr>
        <w:t xml:space="preserve"> kontrolētajiem līdzekļiem aizsardzībai pret UV starojumu  </w:t>
      </w:r>
      <w:r>
        <w:t xml:space="preserve">nebija norādīti brīdinājumi, ka līdzekļi nesniedz pilnīgu vai 100% aizsardzību pret UV starojumu, bet 15% netiek norādīta UVA aizsardzība pamatojoties uz </w:t>
      </w:r>
      <w:r>
        <w:rPr>
          <w:szCs w:val="24"/>
        </w:rPr>
        <w:t>Komisijas Ieteikumu (2006. gada 22. septembris) par sauļošanās līdzekļu iedarbīgumu un ar to saistītajiem apgalvojumiem. Komersantiem uzdots novērst neatbilstības. Divu kosmētikas līdzekļu sastāvā konstatēta aizliegta sastāvdaļa izobutilparabēns, minēto preču tirdzniecība tika aizliegta</w:t>
      </w:r>
      <w:r w:rsidR="00FC137B" w:rsidRPr="00FC137B">
        <w:t>.</w:t>
      </w:r>
    </w:p>
    <w:p w14:paraId="68BE1A4C" w14:textId="77777777" w:rsidR="00FC137B" w:rsidRPr="00FC137B" w:rsidRDefault="00FC137B" w:rsidP="00FC137B">
      <w:pPr>
        <w:spacing w:after="0"/>
        <w:jc w:val="left"/>
      </w:pPr>
    </w:p>
    <w:p w14:paraId="6003CBB2" w14:textId="2AFCB55D" w:rsidR="00424DFD" w:rsidRPr="00672CAE" w:rsidRDefault="00424DFD" w:rsidP="00424DFD">
      <w:pPr>
        <w:keepNext/>
        <w:numPr>
          <w:ilvl w:val="1"/>
          <w:numId w:val="3"/>
        </w:numPr>
        <w:tabs>
          <w:tab w:val="clear" w:pos="2279"/>
          <w:tab w:val="left" w:pos="900"/>
          <w:tab w:val="num" w:pos="1350"/>
        </w:tabs>
        <w:ind w:left="0" w:firstLine="450"/>
        <w:outlineLvl w:val="1"/>
        <w:rPr>
          <w:b/>
        </w:rPr>
      </w:pPr>
      <w:bookmarkStart w:id="50" w:name="_Toc8821874"/>
      <w:r w:rsidRPr="00672CAE">
        <w:rPr>
          <w:b/>
        </w:rPr>
        <w:t>Nozares, kas ir noteiktas pielikuma 3</w:t>
      </w:r>
      <w:r w:rsidR="00F97BF0">
        <w:rPr>
          <w:b/>
        </w:rPr>
        <w:t>.punktā – Rotaļlietas, kā arī</w:t>
      </w:r>
      <w:r w:rsidRPr="00672CAE">
        <w:rPr>
          <w:b/>
        </w:rPr>
        <w:t xml:space="preserve"> </w:t>
      </w:r>
      <w:r w:rsidR="00A37639">
        <w:rPr>
          <w:b/>
        </w:rPr>
        <w:t xml:space="preserve">pielikuma </w:t>
      </w:r>
      <w:r w:rsidRPr="00672CAE">
        <w:rPr>
          <w:b/>
        </w:rPr>
        <w:t>4</w:t>
      </w:r>
      <w:r w:rsidR="00F97BF0">
        <w:rPr>
          <w:b/>
        </w:rPr>
        <w:t>.</w:t>
      </w:r>
      <w:r w:rsidRPr="00672CAE">
        <w:rPr>
          <w:b/>
        </w:rPr>
        <w:t>, 5</w:t>
      </w:r>
      <w:r w:rsidR="00F97BF0">
        <w:rPr>
          <w:b/>
        </w:rPr>
        <w:t>.</w:t>
      </w:r>
      <w:r w:rsidRPr="00672CAE">
        <w:rPr>
          <w:b/>
        </w:rPr>
        <w:t>, 6</w:t>
      </w:r>
      <w:r w:rsidR="00F97BF0">
        <w:rPr>
          <w:b/>
        </w:rPr>
        <w:t>.</w:t>
      </w:r>
      <w:r w:rsidRPr="00672CAE">
        <w:rPr>
          <w:b/>
        </w:rPr>
        <w:t>, 7</w:t>
      </w:r>
      <w:r w:rsidR="00F97BF0">
        <w:rPr>
          <w:b/>
        </w:rPr>
        <w:t>.</w:t>
      </w:r>
      <w:r w:rsidRPr="00672CAE">
        <w:rPr>
          <w:b/>
        </w:rPr>
        <w:t>, 8</w:t>
      </w:r>
      <w:r w:rsidR="00F97BF0">
        <w:rPr>
          <w:b/>
        </w:rPr>
        <w:t>.</w:t>
      </w:r>
      <w:r w:rsidRPr="00672CAE">
        <w:rPr>
          <w:b/>
        </w:rPr>
        <w:t>, 9</w:t>
      </w:r>
      <w:r w:rsidR="00F97BF0">
        <w:rPr>
          <w:b/>
        </w:rPr>
        <w:t>.</w:t>
      </w:r>
      <w:r w:rsidRPr="00672CAE">
        <w:rPr>
          <w:b/>
        </w:rPr>
        <w:t>, 10</w:t>
      </w:r>
      <w:r w:rsidR="00F97BF0">
        <w:rPr>
          <w:b/>
        </w:rPr>
        <w:t>.</w:t>
      </w:r>
      <w:r w:rsidRPr="00672CAE">
        <w:rPr>
          <w:b/>
        </w:rPr>
        <w:t>, 11</w:t>
      </w:r>
      <w:r w:rsidR="00F97BF0">
        <w:rPr>
          <w:b/>
        </w:rPr>
        <w:t>.</w:t>
      </w:r>
      <w:r w:rsidRPr="00672CAE">
        <w:rPr>
          <w:b/>
        </w:rPr>
        <w:t>, 12</w:t>
      </w:r>
      <w:r w:rsidR="00F97BF0">
        <w:rPr>
          <w:b/>
        </w:rPr>
        <w:t>.</w:t>
      </w:r>
      <w:r w:rsidRPr="00672CAE">
        <w:rPr>
          <w:b/>
        </w:rPr>
        <w:t>, 13</w:t>
      </w:r>
      <w:r w:rsidR="00F97BF0">
        <w:rPr>
          <w:b/>
        </w:rPr>
        <w:t>.</w:t>
      </w:r>
      <w:r w:rsidRPr="00672CAE">
        <w:rPr>
          <w:b/>
        </w:rPr>
        <w:t>, 16</w:t>
      </w:r>
      <w:r w:rsidR="00F97BF0">
        <w:rPr>
          <w:b/>
        </w:rPr>
        <w:t>.</w:t>
      </w:r>
      <w:r w:rsidRPr="00672CAE">
        <w:rPr>
          <w:b/>
        </w:rPr>
        <w:t>, 17</w:t>
      </w:r>
      <w:r w:rsidR="00F97BF0">
        <w:rPr>
          <w:b/>
        </w:rPr>
        <w:t>.</w:t>
      </w:r>
      <w:r w:rsidRPr="00672CAE">
        <w:rPr>
          <w:b/>
        </w:rPr>
        <w:t>, 18</w:t>
      </w:r>
      <w:r w:rsidR="00F97BF0">
        <w:rPr>
          <w:b/>
        </w:rPr>
        <w:t>.</w:t>
      </w:r>
      <w:r w:rsidRPr="00672CAE">
        <w:rPr>
          <w:b/>
        </w:rPr>
        <w:t>, 19</w:t>
      </w:r>
      <w:r w:rsidR="00F97BF0">
        <w:rPr>
          <w:b/>
        </w:rPr>
        <w:t>.</w:t>
      </w:r>
      <w:r w:rsidRPr="00672CAE">
        <w:rPr>
          <w:b/>
        </w:rPr>
        <w:t>, 20</w:t>
      </w:r>
      <w:r w:rsidR="00F97BF0">
        <w:rPr>
          <w:b/>
        </w:rPr>
        <w:t>.</w:t>
      </w:r>
      <w:r w:rsidRPr="00672CAE">
        <w:rPr>
          <w:b/>
        </w:rPr>
        <w:t>, 21</w:t>
      </w:r>
      <w:r w:rsidR="00F97BF0">
        <w:rPr>
          <w:b/>
        </w:rPr>
        <w:t>.</w:t>
      </w:r>
      <w:r w:rsidRPr="00672CAE">
        <w:rPr>
          <w:b/>
        </w:rPr>
        <w:t>, 22</w:t>
      </w:r>
      <w:r w:rsidR="00F97BF0">
        <w:rPr>
          <w:b/>
        </w:rPr>
        <w:t>.</w:t>
      </w:r>
      <w:r w:rsidRPr="00672CAE">
        <w:rPr>
          <w:b/>
        </w:rPr>
        <w:t>, 23</w:t>
      </w:r>
      <w:r w:rsidR="00F97BF0">
        <w:rPr>
          <w:b/>
        </w:rPr>
        <w:t>.</w:t>
      </w:r>
      <w:r w:rsidRPr="00672CAE">
        <w:rPr>
          <w:b/>
        </w:rPr>
        <w:t>, 24</w:t>
      </w:r>
      <w:r w:rsidR="00F97BF0">
        <w:rPr>
          <w:b/>
        </w:rPr>
        <w:t>.</w:t>
      </w:r>
      <w:r w:rsidRPr="00672CAE">
        <w:rPr>
          <w:b/>
        </w:rPr>
        <w:t>, 25</w:t>
      </w:r>
      <w:r w:rsidR="00F97BF0">
        <w:rPr>
          <w:b/>
        </w:rPr>
        <w:t>.</w:t>
      </w:r>
      <w:r w:rsidRPr="00672CAE">
        <w:rPr>
          <w:b/>
        </w:rPr>
        <w:t>, 26</w:t>
      </w:r>
      <w:r w:rsidR="00F97BF0">
        <w:rPr>
          <w:b/>
        </w:rPr>
        <w:t>.</w:t>
      </w:r>
      <w:r w:rsidRPr="00672CAE">
        <w:rPr>
          <w:b/>
        </w:rPr>
        <w:t>, 27</w:t>
      </w:r>
      <w:r w:rsidR="00F97BF0">
        <w:rPr>
          <w:b/>
        </w:rPr>
        <w:t>.</w:t>
      </w:r>
      <w:r w:rsidRPr="00672CAE">
        <w:rPr>
          <w:b/>
        </w:rPr>
        <w:t xml:space="preserve">, </w:t>
      </w:r>
      <w:r>
        <w:rPr>
          <w:b/>
        </w:rPr>
        <w:t>28</w:t>
      </w:r>
      <w:r w:rsidR="00F97BF0">
        <w:rPr>
          <w:b/>
        </w:rPr>
        <w:t>.</w:t>
      </w:r>
      <w:r>
        <w:rPr>
          <w:b/>
        </w:rPr>
        <w:t xml:space="preserve">, </w:t>
      </w:r>
      <w:r w:rsidRPr="00672CAE">
        <w:rPr>
          <w:b/>
        </w:rPr>
        <w:t>30</w:t>
      </w:r>
      <w:r w:rsidR="00F97BF0">
        <w:rPr>
          <w:b/>
        </w:rPr>
        <w:t>.</w:t>
      </w:r>
      <w:r w:rsidRPr="00672CAE">
        <w:rPr>
          <w:b/>
        </w:rPr>
        <w:t>, 31</w:t>
      </w:r>
      <w:r w:rsidR="00F97BF0">
        <w:rPr>
          <w:b/>
        </w:rPr>
        <w:t>.</w:t>
      </w:r>
      <w:r w:rsidRPr="00672CAE">
        <w:rPr>
          <w:b/>
        </w:rPr>
        <w:t>, 32</w:t>
      </w:r>
      <w:r w:rsidR="00F97BF0">
        <w:rPr>
          <w:b/>
        </w:rPr>
        <w:t>.</w:t>
      </w:r>
      <w:r>
        <w:rPr>
          <w:b/>
        </w:rPr>
        <w:t>, 33</w:t>
      </w:r>
      <w:r w:rsidR="00F366AE">
        <w:rPr>
          <w:b/>
        </w:rPr>
        <w:t>., 37</w:t>
      </w:r>
      <w:r>
        <w:rPr>
          <w:b/>
        </w:rPr>
        <w:t>.</w:t>
      </w:r>
      <w:r w:rsidR="00C57040">
        <w:rPr>
          <w:b/>
        </w:rPr>
        <w:t>, 38.</w:t>
      </w:r>
      <w:r w:rsidRPr="00672CAE">
        <w:rPr>
          <w:b/>
        </w:rPr>
        <w:t xml:space="preserve"> punktā</w:t>
      </w:r>
      <w:bookmarkEnd w:id="50"/>
      <w:r w:rsidRPr="00672CAE">
        <w:rPr>
          <w:b/>
        </w:rPr>
        <w:t xml:space="preserve"> </w:t>
      </w:r>
    </w:p>
    <w:p w14:paraId="0CAA4FB2" w14:textId="77777777" w:rsidR="00424DFD" w:rsidRPr="00672CAE" w:rsidRDefault="00424DFD" w:rsidP="00424DFD">
      <w:pPr>
        <w:keepNext/>
        <w:numPr>
          <w:ilvl w:val="2"/>
          <w:numId w:val="3"/>
        </w:numPr>
        <w:tabs>
          <w:tab w:val="num" w:pos="540"/>
        </w:tabs>
        <w:ind w:left="1701" w:hanging="1791"/>
        <w:outlineLvl w:val="2"/>
        <w:rPr>
          <w:i/>
        </w:rPr>
      </w:pPr>
      <w:bookmarkStart w:id="51" w:name="_Toc396312782"/>
      <w:bookmarkStart w:id="52" w:name="_Toc8821875"/>
      <w:r w:rsidRPr="00672CAE">
        <w:rPr>
          <w:i/>
        </w:rPr>
        <w:t>Atbildīgās iestādes nosaukums un kontaktinformācija</w:t>
      </w:r>
      <w:bookmarkEnd w:id="51"/>
      <w:bookmarkEnd w:id="52"/>
    </w:p>
    <w:p w14:paraId="714FB865" w14:textId="77777777" w:rsidR="00F366AE" w:rsidRDefault="00F366AE" w:rsidP="00F366AE">
      <w:pPr>
        <w:autoSpaceDE w:val="0"/>
        <w:autoSpaceDN w:val="0"/>
        <w:adjustRightInd w:val="0"/>
        <w:spacing w:after="0"/>
      </w:pPr>
      <w:r>
        <w:t xml:space="preserve">Patērētāju tiesību aizsardzības centrs, Brīvības iela 55, Rīga, LV-1010, tālr. +371 67388624, fakss +371 67388634, e-pasts: </w:t>
      </w:r>
      <w:hyperlink r:id="rId19" w:history="1">
        <w:r>
          <w:rPr>
            <w:rStyle w:val="Hyperlink"/>
          </w:rPr>
          <w:t>ptac@ptac.gov.lv</w:t>
        </w:r>
      </w:hyperlink>
      <w:r>
        <w:t xml:space="preserve"> </w:t>
      </w:r>
    </w:p>
    <w:p w14:paraId="391CF4CF" w14:textId="0A921509" w:rsidR="00F366AE" w:rsidRDefault="00F366AE" w:rsidP="00F366AE">
      <w:pPr>
        <w:tabs>
          <w:tab w:val="left" w:pos="2302"/>
        </w:tabs>
        <w:spacing w:before="240" w:after="0"/>
      </w:pPr>
      <w:r>
        <w:t>Detalizēta informācija par nozarēm:</w:t>
      </w:r>
    </w:p>
    <w:tbl>
      <w:tblPr>
        <w:tblW w:w="4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Layout w:type="fixed"/>
        <w:tblLook w:val="00A0" w:firstRow="1" w:lastRow="0" w:firstColumn="1" w:lastColumn="0" w:noHBand="0" w:noVBand="0"/>
      </w:tblPr>
      <w:tblGrid>
        <w:gridCol w:w="561"/>
        <w:gridCol w:w="3867"/>
      </w:tblGrid>
      <w:tr w:rsidR="00966333" w14:paraId="104CD91F" w14:textId="77777777" w:rsidTr="00966333">
        <w:trPr>
          <w:trHeight w:val="320"/>
          <w:jc w:val="center"/>
        </w:trPr>
        <w:tc>
          <w:tcPr>
            <w:tcW w:w="561" w:type="dxa"/>
            <w:tcBorders>
              <w:top w:val="single" w:sz="4" w:space="0" w:color="auto"/>
              <w:left w:val="single" w:sz="4" w:space="0" w:color="auto"/>
              <w:bottom w:val="single" w:sz="4" w:space="0" w:color="auto"/>
              <w:right w:val="single" w:sz="4" w:space="0" w:color="auto"/>
            </w:tcBorders>
            <w:shd w:val="clear" w:color="auto" w:fill="EAF1DD"/>
            <w:hideMark/>
          </w:tcPr>
          <w:p w14:paraId="26E870AF" w14:textId="77777777" w:rsidR="00966333" w:rsidRDefault="00966333">
            <w:pPr>
              <w:spacing w:after="0"/>
              <w:jc w:val="left"/>
              <w:rPr>
                <w:b/>
                <w:sz w:val="18"/>
                <w:szCs w:val="18"/>
              </w:rPr>
            </w:pPr>
            <w:r>
              <w:rPr>
                <w:b/>
                <w:sz w:val="18"/>
                <w:szCs w:val="18"/>
              </w:rPr>
              <w:t>Nr.</w:t>
            </w:r>
          </w:p>
        </w:tc>
        <w:tc>
          <w:tcPr>
            <w:tcW w:w="3867" w:type="dxa"/>
            <w:tcBorders>
              <w:top w:val="single" w:sz="4" w:space="0" w:color="auto"/>
              <w:left w:val="single" w:sz="4" w:space="0" w:color="auto"/>
              <w:bottom w:val="single" w:sz="4" w:space="0" w:color="auto"/>
              <w:right w:val="single" w:sz="4" w:space="0" w:color="auto"/>
            </w:tcBorders>
            <w:shd w:val="clear" w:color="auto" w:fill="EAF1DD"/>
            <w:hideMark/>
          </w:tcPr>
          <w:p w14:paraId="3E37A7FD" w14:textId="77777777" w:rsidR="00966333" w:rsidRDefault="00966333">
            <w:pPr>
              <w:spacing w:after="0"/>
              <w:jc w:val="left"/>
              <w:rPr>
                <w:rFonts w:eastAsia="Calibri"/>
                <w:b/>
                <w:sz w:val="18"/>
                <w:szCs w:val="18"/>
                <w:lang w:eastAsia="en-US" w:bidi="ar-SA"/>
              </w:rPr>
            </w:pPr>
            <w:r>
              <w:rPr>
                <w:b/>
                <w:sz w:val="18"/>
                <w:szCs w:val="18"/>
              </w:rPr>
              <w:t xml:space="preserve"> </w:t>
            </w:r>
            <w:r>
              <w:rPr>
                <w:rFonts w:eastAsia="Calibri"/>
                <w:b/>
                <w:sz w:val="18"/>
                <w:szCs w:val="18"/>
                <w:lang w:eastAsia="en-US" w:bidi="ar-SA"/>
              </w:rPr>
              <w:t>ES tiesību akts un nozare</w:t>
            </w:r>
          </w:p>
        </w:tc>
      </w:tr>
      <w:tr w:rsidR="00966333" w14:paraId="7406B90A" w14:textId="77777777" w:rsidTr="00966333">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6F323288"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3.</w:t>
            </w: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73C9750D"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 xml:space="preserve">Direktīva 2009/48/EK </w:t>
            </w:r>
          </w:p>
          <w:p w14:paraId="129C786C"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Rotaļlietas</w:t>
            </w:r>
          </w:p>
        </w:tc>
      </w:tr>
      <w:tr w:rsidR="00966333" w14:paraId="02A44566" w14:textId="77777777" w:rsidTr="00966333">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40F5A075"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4.</w:t>
            </w: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2A198198"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 xml:space="preserve">Regula 2016/425/ES </w:t>
            </w:r>
          </w:p>
          <w:p w14:paraId="2F8D7CEF"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Direktīva 89/686/EEK</w:t>
            </w:r>
          </w:p>
          <w:p w14:paraId="61FEB90F"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Individuālie aizsardzības līdzekļi (IAL)</w:t>
            </w:r>
          </w:p>
        </w:tc>
      </w:tr>
      <w:tr w:rsidR="00966333" w14:paraId="62F19BE4" w14:textId="77777777" w:rsidTr="00966333">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730703C9"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5.</w:t>
            </w: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6F293CE4"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 xml:space="preserve">Regula 305/2011 </w:t>
            </w:r>
          </w:p>
          <w:p w14:paraId="1C11E5F3"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Būvizstrādājumi</w:t>
            </w:r>
          </w:p>
        </w:tc>
      </w:tr>
      <w:tr w:rsidR="00966333" w14:paraId="532E3771" w14:textId="77777777" w:rsidTr="00966333">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69F6681F"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6.</w:t>
            </w: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2D05557D"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 xml:space="preserve">Direktīva 75/324/EEK </w:t>
            </w:r>
          </w:p>
          <w:p w14:paraId="40AD6949"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Aerosola izsmidzinātāji</w:t>
            </w:r>
          </w:p>
        </w:tc>
      </w:tr>
      <w:tr w:rsidR="00966333" w14:paraId="1294817F" w14:textId="77777777" w:rsidTr="00966333">
        <w:trPr>
          <w:jc w:val="center"/>
        </w:trPr>
        <w:tc>
          <w:tcPr>
            <w:tcW w:w="56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F11B9C7"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7.</w:t>
            </w: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5610C4F5"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 xml:space="preserve">Direktīva 2014/29/ES </w:t>
            </w:r>
          </w:p>
          <w:p w14:paraId="5C60D7A6"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Vienkāršās spiedtvertnes</w:t>
            </w:r>
          </w:p>
        </w:tc>
      </w:tr>
      <w:tr w:rsidR="00966333" w14:paraId="25679040" w14:textId="77777777" w:rsidTr="00966333">
        <w:trPr>
          <w:jc w:val="center"/>
        </w:trPr>
        <w:tc>
          <w:tcPr>
            <w:tcW w:w="561" w:type="dxa"/>
            <w:vMerge/>
            <w:tcBorders>
              <w:top w:val="single" w:sz="4" w:space="0" w:color="auto"/>
              <w:left w:val="single" w:sz="4" w:space="0" w:color="auto"/>
              <w:bottom w:val="single" w:sz="4" w:space="0" w:color="auto"/>
              <w:right w:val="single" w:sz="4" w:space="0" w:color="auto"/>
            </w:tcBorders>
            <w:shd w:val="clear" w:color="auto" w:fill="EAF1DD"/>
            <w:vAlign w:val="center"/>
            <w:hideMark/>
          </w:tcPr>
          <w:p w14:paraId="6638A067" w14:textId="77777777" w:rsidR="00966333" w:rsidRDefault="00966333">
            <w:pPr>
              <w:spacing w:after="0"/>
              <w:jc w:val="left"/>
              <w:rPr>
                <w:rFonts w:eastAsia="Calibri"/>
                <w:color w:val="000000"/>
                <w:sz w:val="20"/>
                <w:lang w:eastAsia="en-US" w:bidi="ar-SA"/>
              </w:rPr>
            </w:pP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256E8342"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 xml:space="preserve">Direktīva 2014/68/ES </w:t>
            </w:r>
          </w:p>
          <w:p w14:paraId="1BAE4DC6"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Spiedieniekārtas un to kompleksi</w:t>
            </w:r>
          </w:p>
        </w:tc>
      </w:tr>
      <w:tr w:rsidR="00966333" w14:paraId="6C709CC3" w14:textId="77777777" w:rsidTr="00966333">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1115B8A0"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 xml:space="preserve">8. </w:t>
            </w: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09588FA5"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 xml:space="preserve">Direktīva 2010/35/ES </w:t>
            </w:r>
          </w:p>
          <w:p w14:paraId="258B654A"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Transportējamās spiedieniekārtas</w:t>
            </w:r>
          </w:p>
        </w:tc>
      </w:tr>
      <w:tr w:rsidR="00966333" w14:paraId="4E87E50C" w14:textId="77777777" w:rsidTr="00966333">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373ACD24"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9.</w:t>
            </w: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65DCB1EC"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Padomes Direktīva 2006/42/EK Mašīniekārtas</w:t>
            </w:r>
          </w:p>
        </w:tc>
      </w:tr>
      <w:tr w:rsidR="00966333" w14:paraId="7E7F71B1" w14:textId="77777777" w:rsidTr="00966333">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4E6AE1D7"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10.</w:t>
            </w: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7566CD38"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Direktīva 2014/33/ES</w:t>
            </w:r>
          </w:p>
          <w:p w14:paraId="03DBCE90"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Lifti</w:t>
            </w:r>
          </w:p>
        </w:tc>
      </w:tr>
      <w:tr w:rsidR="00966333" w14:paraId="6A81A4E4" w14:textId="77777777" w:rsidTr="00966333">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7A398EEE"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11.</w:t>
            </w: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0D2D3594"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Regula 2016/424</w:t>
            </w:r>
          </w:p>
          <w:p w14:paraId="1A6D1EA6"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lastRenderedPageBreak/>
              <w:t>Trošu ceļu iekārtas</w:t>
            </w:r>
          </w:p>
        </w:tc>
      </w:tr>
      <w:tr w:rsidR="00966333" w14:paraId="4C918DC6" w14:textId="77777777" w:rsidTr="00966333">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0A9FB8E4"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lastRenderedPageBreak/>
              <w:t>12.</w:t>
            </w: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2C84B22F"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 xml:space="preserve">Direktīva 2000/14/EK </w:t>
            </w:r>
          </w:p>
          <w:p w14:paraId="79B4871E"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Trokšņu emisijas iekārtām</w:t>
            </w:r>
          </w:p>
        </w:tc>
      </w:tr>
      <w:tr w:rsidR="00966333" w14:paraId="644399A4" w14:textId="77777777" w:rsidTr="00966333">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06F8BBC6"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13.</w:t>
            </w: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0F48626A"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 xml:space="preserve">Direktīva 2014/34/ES </w:t>
            </w:r>
          </w:p>
          <w:p w14:paraId="66F43AEC"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Iekārtas, kuras izmanto sprādzienbīstamā vidē</w:t>
            </w:r>
          </w:p>
        </w:tc>
      </w:tr>
      <w:tr w:rsidR="00966333" w14:paraId="3906113E" w14:textId="77777777" w:rsidTr="00966333">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106A0E69"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16.</w:t>
            </w: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4FB77FDA"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 xml:space="preserve">Regula 2016/426/ES </w:t>
            </w:r>
          </w:p>
          <w:p w14:paraId="4DB0A064"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Direktīva 2009/142/EK (21.08.2018.)</w:t>
            </w:r>
          </w:p>
          <w:p w14:paraId="0C060023"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Iekārtas ar gāzveida kurināmo</w:t>
            </w:r>
          </w:p>
        </w:tc>
      </w:tr>
      <w:tr w:rsidR="00966333" w14:paraId="5E29F1F3" w14:textId="77777777" w:rsidTr="00966333">
        <w:trPr>
          <w:jc w:val="center"/>
        </w:trPr>
        <w:tc>
          <w:tcPr>
            <w:tcW w:w="56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8D040E1"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17.</w:t>
            </w: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2855CAE9"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 xml:space="preserve">Direktīva 76/211/EEK </w:t>
            </w:r>
          </w:p>
          <w:p w14:paraId="7E5617F2"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Direktīva 2007/45/EK Fasētās preces</w:t>
            </w:r>
          </w:p>
        </w:tc>
      </w:tr>
      <w:tr w:rsidR="00966333" w14:paraId="3D375482" w14:textId="77777777" w:rsidTr="00966333">
        <w:trPr>
          <w:jc w:val="center"/>
        </w:trPr>
        <w:tc>
          <w:tcPr>
            <w:tcW w:w="561" w:type="dxa"/>
            <w:vMerge/>
            <w:tcBorders>
              <w:top w:val="single" w:sz="4" w:space="0" w:color="auto"/>
              <w:left w:val="single" w:sz="4" w:space="0" w:color="auto"/>
              <w:bottom w:val="single" w:sz="4" w:space="0" w:color="auto"/>
              <w:right w:val="single" w:sz="4" w:space="0" w:color="auto"/>
            </w:tcBorders>
            <w:shd w:val="clear" w:color="auto" w:fill="EAF1DD"/>
            <w:vAlign w:val="center"/>
            <w:hideMark/>
          </w:tcPr>
          <w:p w14:paraId="0A33EC65" w14:textId="77777777" w:rsidR="00966333" w:rsidRDefault="00966333">
            <w:pPr>
              <w:spacing w:after="0"/>
              <w:jc w:val="left"/>
              <w:rPr>
                <w:rFonts w:eastAsia="Calibri"/>
                <w:color w:val="000000"/>
                <w:sz w:val="20"/>
                <w:lang w:eastAsia="en-US" w:bidi="ar-SA"/>
              </w:rPr>
            </w:pP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05008E80"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 xml:space="preserve">Direktīva 2014/32/EK </w:t>
            </w:r>
          </w:p>
          <w:p w14:paraId="016773A2"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Mērīšanas līdzekļi</w:t>
            </w:r>
          </w:p>
        </w:tc>
      </w:tr>
      <w:tr w:rsidR="00966333" w14:paraId="6E486391" w14:textId="77777777" w:rsidTr="00966333">
        <w:trPr>
          <w:jc w:val="center"/>
        </w:trPr>
        <w:tc>
          <w:tcPr>
            <w:tcW w:w="561" w:type="dxa"/>
            <w:vMerge/>
            <w:tcBorders>
              <w:top w:val="single" w:sz="4" w:space="0" w:color="auto"/>
              <w:left w:val="single" w:sz="4" w:space="0" w:color="auto"/>
              <w:bottom w:val="single" w:sz="4" w:space="0" w:color="auto"/>
              <w:right w:val="single" w:sz="4" w:space="0" w:color="auto"/>
            </w:tcBorders>
            <w:shd w:val="clear" w:color="auto" w:fill="EAF1DD"/>
            <w:vAlign w:val="center"/>
            <w:hideMark/>
          </w:tcPr>
          <w:p w14:paraId="0EB1C357" w14:textId="77777777" w:rsidR="00966333" w:rsidRDefault="00966333">
            <w:pPr>
              <w:spacing w:after="0"/>
              <w:jc w:val="left"/>
              <w:rPr>
                <w:rFonts w:eastAsia="Calibri"/>
                <w:color w:val="000000"/>
                <w:sz w:val="20"/>
                <w:lang w:eastAsia="en-US" w:bidi="ar-SA"/>
              </w:rPr>
            </w:pP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549F985A"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 xml:space="preserve">2014/31/EK </w:t>
            </w:r>
          </w:p>
          <w:p w14:paraId="09A493EF"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Neautomātiskie svari</w:t>
            </w:r>
          </w:p>
        </w:tc>
      </w:tr>
      <w:tr w:rsidR="00966333" w14:paraId="28788336" w14:textId="77777777" w:rsidTr="00966333">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6A209ADF"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18.</w:t>
            </w: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7FE25E1C"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 xml:space="preserve">Direktīva 2014/30/EK </w:t>
            </w:r>
          </w:p>
          <w:p w14:paraId="2A41571A"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Elektromagnētiskā savietojamība</w:t>
            </w:r>
          </w:p>
        </w:tc>
      </w:tr>
      <w:tr w:rsidR="00966333" w14:paraId="7FB74952" w14:textId="77777777" w:rsidTr="00966333">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324E6CCF"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19.</w:t>
            </w: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05B111E7"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 xml:space="preserve">Direktīva 2014/53/ES </w:t>
            </w:r>
          </w:p>
          <w:p w14:paraId="75087014"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Radioiekārtas</w:t>
            </w:r>
          </w:p>
        </w:tc>
      </w:tr>
      <w:tr w:rsidR="00966333" w14:paraId="71B7CDF3" w14:textId="77777777" w:rsidTr="00966333">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3584BDC2"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20.</w:t>
            </w: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407095C4"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 xml:space="preserve">Direktīva 2014/35/ES </w:t>
            </w:r>
          </w:p>
          <w:p w14:paraId="3A2E5553"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Elektrodrošība</w:t>
            </w:r>
          </w:p>
        </w:tc>
      </w:tr>
      <w:tr w:rsidR="00966333" w14:paraId="1EFE8BA7" w14:textId="77777777" w:rsidTr="00966333">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3364E37B"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21.</w:t>
            </w: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4077B76E"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 xml:space="preserve">Direktīva 2011/65/EK </w:t>
            </w:r>
          </w:p>
          <w:p w14:paraId="4BC4D751"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Noteiktu bīstamu vielu izmantošanas aizliegums elektriskās un elektroniskās ierīcēs</w:t>
            </w:r>
          </w:p>
        </w:tc>
      </w:tr>
      <w:tr w:rsidR="00966333" w14:paraId="1ADF9073" w14:textId="77777777" w:rsidTr="00966333">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264049B4"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22.</w:t>
            </w: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0B585589"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REGULA 1907/2006 (REACH)</w:t>
            </w:r>
          </w:p>
          <w:p w14:paraId="56D625C3"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Ķīmiskās vielas izstrādājumos</w:t>
            </w:r>
          </w:p>
        </w:tc>
      </w:tr>
      <w:tr w:rsidR="00966333" w14:paraId="79154E30" w14:textId="77777777" w:rsidTr="00966333">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0DB54E04"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22.A</w:t>
            </w: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7F7EB8CE"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Regula 1272/2008 (CLP)</w:t>
            </w:r>
          </w:p>
        </w:tc>
      </w:tr>
      <w:tr w:rsidR="00966333" w14:paraId="3013EDFA" w14:textId="77777777" w:rsidTr="00966333">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416589AA"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22.B</w:t>
            </w: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6F5F0CE8" w14:textId="69BD5968"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Regula 2019/1021</w:t>
            </w:r>
          </w:p>
          <w:p w14:paraId="2C7F0B6E"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Noturīgie organiskie piesārņotāji</w:t>
            </w:r>
          </w:p>
        </w:tc>
      </w:tr>
      <w:tr w:rsidR="00966333" w14:paraId="3BC57A57" w14:textId="77777777" w:rsidTr="00966333">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079D5715"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22.C</w:t>
            </w: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3A226A24"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Regula 517/2014</w:t>
            </w:r>
          </w:p>
          <w:p w14:paraId="554EB2AE"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Fluorētās siltumnīcefekta gāzēs</w:t>
            </w:r>
          </w:p>
        </w:tc>
      </w:tr>
      <w:tr w:rsidR="00966333" w14:paraId="18715174" w14:textId="77777777" w:rsidTr="00966333">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21F331DA"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22.D</w:t>
            </w: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09CC2E4C"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Regula 1005/2009</w:t>
            </w:r>
          </w:p>
          <w:p w14:paraId="7918D2A0"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Ozona slāni noārdošās vielas</w:t>
            </w:r>
          </w:p>
        </w:tc>
      </w:tr>
      <w:tr w:rsidR="00966333" w14:paraId="1422EEC4" w14:textId="77777777" w:rsidTr="00966333">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4E4E7AD3"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23.</w:t>
            </w: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33CAC685"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 xml:space="preserve">Direktīva 2009/125/EK </w:t>
            </w:r>
          </w:p>
          <w:p w14:paraId="052EBC4E"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 xml:space="preserve">Direktīva 2010/30/ES </w:t>
            </w:r>
          </w:p>
          <w:p w14:paraId="6CFAA399"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Energoefektivitātes un ekodizaina prasības</w:t>
            </w:r>
          </w:p>
        </w:tc>
      </w:tr>
      <w:tr w:rsidR="00966333" w14:paraId="43A320CD" w14:textId="77777777" w:rsidTr="00966333">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1B2E8589"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24.</w:t>
            </w: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62C59250"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 xml:space="preserve">Regula 1222/2009 </w:t>
            </w:r>
          </w:p>
          <w:p w14:paraId="508AF415"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Riepu marķēšana</w:t>
            </w:r>
          </w:p>
        </w:tc>
      </w:tr>
      <w:tr w:rsidR="00966333" w14:paraId="42A3F10B" w14:textId="77777777" w:rsidTr="00966333">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642E268C"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25.</w:t>
            </w: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5989AD0A"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 xml:space="preserve">Direktīva 2013/53/ES </w:t>
            </w:r>
          </w:p>
          <w:p w14:paraId="11C02CDB"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Atpūtas kuģi</w:t>
            </w:r>
          </w:p>
        </w:tc>
      </w:tr>
      <w:tr w:rsidR="00966333" w14:paraId="48929A95" w14:textId="77777777" w:rsidTr="00966333">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2662FA7B"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26.</w:t>
            </w: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3E2FFF19"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 xml:space="preserve">Direktīva 2014/90/ES </w:t>
            </w:r>
          </w:p>
          <w:p w14:paraId="525A47AF"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Kuģu aprīkojums</w:t>
            </w:r>
          </w:p>
        </w:tc>
      </w:tr>
      <w:tr w:rsidR="00966333" w14:paraId="5E0B12E6" w14:textId="77777777" w:rsidTr="00966333">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3B411AF3"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27.</w:t>
            </w: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4BB3A76E"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Direktīva 2007/46/EK un citi normatīvie akti (193 dažādas direktīvas un regulas un 49 ANO noteikumi)</w:t>
            </w:r>
          </w:p>
          <w:p w14:paraId="462B07EB"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Riteņu transportlīdzekļi un to sastāvdaļas</w:t>
            </w:r>
          </w:p>
        </w:tc>
      </w:tr>
      <w:tr w:rsidR="00966333" w14:paraId="2637EC4F" w14:textId="77777777" w:rsidTr="00966333">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tcPr>
          <w:p w14:paraId="0B239816" w14:textId="7BC6372E" w:rsidR="00966333" w:rsidRDefault="00966333" w:rsidP="0074784F">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28.</w:t>
            </w:r>
          </w:p>
        </w:tc>
        <w:tc>
          <w:tcPr>
            <w:tcW w:w="3867" w:type="dxa"/>
            <w:tcBorders>
              <w:top w:val="single" w:sz="4" w:space="0" w:color="auto"/>
              <w:left w:val="single" w:sz="4" w:space="0" w:color="auto"/>
              <w:bottom w:val="single" w:sz="4" w:space="0" w:color="auto"/>
              <w:right w:val="single" w:sz="4" w:space="0" w:color="auto"/>
            </w:tcBorders>
            <w:shd w:val="clear" w:color="auto" w:fill="FFFFFF"/>
          </w:tcPr>
          <w:p w14:paraId="6F8E2DBA" w14:textId="39C2F252" w:rsidR="00966333" w:rsidRDefault="00966333" w:rsidP="0074784F">
            <w:pPr>
              <w:autoSpaceDE w:val="0"/>
              <w:autoSpaceDN w:val="0"/>
              <w:adjustRightInd w:val="0"/>
              <w:spacing w:after="0"/>
              <w:jc w:val="left"/>
              <w:rPr>
                <w:rFonts w:eastAsia="Calibri"/>
                <w:color w:val="000000"/>
                <w:sz w:val="20"/>
                <w:lang w:eastAsia="en-US" w:bidi="ar-SA"/>
              </w:rPr>
            </w:pPr>
            <w:r w:rsidRPr="00C57040">
              <w:rPr>
                <w:rFonts w:eastAsia="Calibri"/>
                <w:color w:val="000000"/>
                <w:sz w:val="20"/>
                <w:lang w:eastAsia="en-US" w:bidi="ar-SA"/>
              </w:rPr>
              <w:t>Autoceļiem neparedzētas mobilās tehnikas iekšdedzes motoru piesārņotāju emisijas</w:t>
            </w:r>
          </w:p>
        </w:tc>
      </w:tr>
      <w:tr w:rsidR="00966333" w14:paraId="66E23D02" w14:textId="77777777" w:rsidTr="00966333">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69E0FAF0"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30.</w:t>
            </w:r>
          </w:p>
        </w:tc>
        <w:tc>
          <w:tcPr>
            <w:tcW w:w="3867" w:type="dxa"/>
            <w:tcBorders>
              <w:top w:val="single" w:sz="4" w:space="0" w:color="auto"/>
              <w:left w:val="single" w:sz="4" w:space="0" w:color="auto"/>
              <w:bottom w:val="single" w:sz="4" w:space="0" w:color="auto"/>
              <w:right w:val="single" w:sz="4" w:space="0" w:color="auto"/>
            </w:tcBorders>
            <w:shd w:val="clear" w:color="auto" w:fill="FFFFFF"/>
          </w:tcPr>
          <w:p w14:paraId="7707ACEA"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 xml:space="preserve">Direktīva 2001/95/EK </w:t>
            </w:r>
          </w:p>
          <w:p w14:paraId="7C818424"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Produktu vispārējais drošums</w:t>
            </w:r>
          </w:p>
          <w:p w14:paraId="0FB75217" w14:textId="77777777" w:rsidR="00966333" w:rsidRDefault="00966333">
            <w:pPr>
              <w:autoSpaceDE w:val="0"/>
              <w:autoSpaceDN w:val="0"/>
              <w:adjustRightInd w:val="0"/>
              <w:spacing w:after="0"/>
              <w:jc w:val="left"/>
              <w:rPr>
                <w:rFonts w:eastAsia="Calibri"/>
                <w:color w:val="000000"/>
                <w:sz w:val="20"/>
                <w:lang w:eastAsia="en-US" w:bidi="ar-SA"/>
              </w:rPr>
            </w:pPr>
          </w:p>
        </w:tc>
      </w:tr>
      <w:tr w:rsidR="00966333" w14:paraId="69886CBF" w14:textId="77777777" w:rsidTr="00966333">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104B745C"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31.</w:t>
            </w: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39BB9FD9"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 xml:space="preserve">Regula 528/2012 </w:t>
            </w:r>
          </w:p>
          <w:p w14:paraId="6DF02B09"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Biocīdi</w:t>
            </w:r>
          </w:p>
        </w:tc>
      </w:tr>
      <w:tr w:rsidR="00966333" w14:paraId="2397DCDE" w14:textId="77777777" w:rsidTr="00966333">
        <w:trPr>
          <w:jc w:val="center"/>
        </w:trPr>
        <w:tc>
          <w:tcPr>
            <w:tcW w:w="561"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31C0D3B9"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32.</w:t>
            </w: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4D872F1B"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Regula (EK) Nr.1007/2011</w:t>
            </w:r>
          </w:p>
          <w:p w14:paraId="562702E9"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Tekstilšķiedru un dažādšķiedru maisījumi</w:t>
            </w:r>
          </w:p>
        </w:tc>
      </w:tr>
      <w:tr w:rsidR="00966333" w14:paraId="77AF7AC3" w14:textId="77777777" w:rsidTr="00966333">
        <w:trPr>
          <w:jc w:val="center"/>
        </w:trPr>
        <w:tc>
          <w:tcPr>
            <w:tcW w:w="561" w:type="dxa"/>
            <w:vMerge/>
            <w:tcBorders>
              <w:top w:val="single" w:sz="4" w:space="0" w:color="auto"/>
              <w:left w:val="single" w:sz="4" w:space="0" w:color="auto"/>
              <w:bottom w:val="single" w:sz="4" w:space="0" w:color="auto"/>
              <w:right w:val="single" w:sz="4" w:space="0" w:color="auto"/>
            </w:tcBorders>
            <w:shd w:val="clear" w:color="auto" w:fill="EAF1DD"/>
            <w:vAlign w:val="center"/>
            <w:hideMark/>
          </w:tcPr>
          <w:p w14:paraId="1401059F" w14:textId="77777777" w:rsidR="00966333" w:rsidRDefault="00966333">
            <w:pPr>
              <w:spacing w:after="0"/>
              <w:jc w:val="left"/>
              <w:rPr>
                <w:rFonts w:eastAsia="Calibri"/>
                <w:color w:val="000000"/>
                <w:sz w:val="20"/>
                <w:lang w:eastAsia="en-US" w:bidi="ar-SA"/>
              </w:rPr>
            </w:pP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0641577E"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 xml:space="preserve">94/11/EK </w:t>
            </w:r>
          </w:p>
          <w:p w14:paraId="13C62F21"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Apavi</w:t>
            </w:r>
          </w:p>
        </w:tc>
      </w:tr>
      <w:tr w:rsidR="00966333" w14:paraId="2DCC5E26" w14:textId="77777777" w:rsidTr="00966333">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220579D0"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33.</w:t>
            </w: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471ED47D"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Direktīva 69/493/EK</w:t>
            </w:r>
          </w:p>
          <w:p w14:paraId="04CA9488" w14:textId="77777777" w:rsidR="00966333" w:rsidRDefault="00966333">
            <w:pPr>
              <w:autoSpaceDE w:val="0"/>
              <w:autoSpaceDN w:val="0"/>
              <w:adjustRightInd w:val="0"/>
              <w:spacing w:after="0"/>
              <w:jc w:val="left"/>
              <w:rPr>
                <w:color w:val="000000"/>
              </w:rPr>
            </w:pPr>
            <w:r>
              <w:rPr>
                <w:rFonts w:eastAsia="Calibri"/>
                <w:color w:val="000000"/>
                <w:sz w:val="20"/>
                <w:lang w:eastAsia="en-US" w:bidi="ar-SA"/>
              </w:rPr>
              <w:t>Kristāla stikls</w:t>
            </w:r>
          </w:p>
        </w:tc>
      </w:tr>
      <w:tr w:rsidR="00966333" w14:paraId="198F21EB" w14:textId="77777777" w:rsidTr="00966333">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1444B5C5" w14:textId="1C235F72"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37.</w:t>
            </w: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2AFDF180"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Direktīva 98/6/EK</w:t>
            </w:r>
          </w:p>
          <w:p w14:paraId="6B269869" w14:textId="77777777" w:rsidR="00966333" w:rsidRDefault="00966333">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lastRenderedPageBreak/>
              <w:t>Cenu norādīšana</w:t>
            </w:r>
          </w:p>
        </w:tc>
      </w:tr>
      <w:tr w:rsidR="00966333" w14:paraId="767DFC64" w14:textId="77777777" w:rsidTr="00966333">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tcPr>
          <w:p w14:paraId="3E048405" w14:textId="7213B60C" w:rsidR="00966333" w:rsidRDefault="00966333" w:rsidP="00C57040">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lastRenderedPageBreak/>
              <w:t>38.</w:t>
            </w:r>
          </w:p>
        </w:tc>
        <w:tc>
          <w:tcPr>
            <w:tcW w:w="3867" w:type="dxa"/>
            <w:tcBorders>
              <w:top w:val="single" w:sz="4" w:space="0" w:color="auto"/>
              <w:left w:val="single" w:sz="4" w:space="0" w:color="auto"/>
              <w:bottom w:val="single" w:sz="4" w:space="0" w:color="auto"/>
              <w:right w:val="single" w:sz="4" w:space="0" w:color="auto"/>
            </w:tcBorders>
            <w:shd w:val="clear" w:color="auto" w:fill="FFFFFF"/>
          </w:tcPr>
          <w:p w14:paraId="4E4978AD" w14:textId="7A00DC41" w:rsidR="00966333" w:rsidRPr="00C57040" w:rsidRDefault="00966333" w:rsidP="00C57040">
            <w:pPr>
              <w:autoSpaceDE w:val="0"/>
              <w:autoSpaceDN w:val="0"/>
              <w:adjustRightInd w:val="0"/>
              <w:spacing w:after="0"/>
              <w:jc w:val="left"/>
              <w:rPr>
                <w:rFonts w:eastAsia="Calibri"/>
                <w:color w:val="000000"/>
                <w:sz w:val="20"/>
                <w:lang w:eastAsia="en-US" w:bidi="ar-SA"/>
              </w:rPr>
            </w:pPr>
            <w:r w:rsidRPr="00C57040">
              <w:rPr>
                <w:rFonts w:eastAsia="Calibri"/>
                <w:color w:val="000000"/>
                <w:sz w:val="20"/>
                <w:lang w:eastAsia="en-US" w:bidi="ar-SA"/>
              </w:rPr>
              <w:t>Bezpilota gaisa kuģu sistēmas</w:t>
            </w:r>
          </w:p>
        </w:tc>
      </w:tr>
    </w:tbl>
    <w:p w14:paraId="1B327F2F" w14:textId="04DB0861" w:rsidR="00424DFD" w:rsidRPr="004567BD" w:rsidRDefault="00424DFD" w:rsidP="00C57040">
      <w:pPr>
        <w:ind w:firstLine="709"/>
      </w:pPr>
      <w:r>
        <w:t>T</w:t>
      </w:r>
      <w:r w:rsidRPr="004567BD">
        <w:t>irgus uzraudzības funkcij</w:t>
      </w:r>
      <w:r>
        <w:t>u izpildi PTAC apstiprinātā gada budžeta ietvaros</w:t>
      </w:r>
      <w:r w:rsidRPr="004567BD">
        <w:t xml:space="preserve"> nodrošin</w:t>
      </w:r>
      <w:r>
        <w:t xml:space="preserve">a </w:t>
      </w:r>
      <w:r w:rsidRPr="004567BD">
        <w:t>Preču un pakalpojumu uzraudzības departaments</w:t>
      </w:r>
      <w:r>
        <w:t xml:space="preserve"> (PPUD), kurā pastāvīgi strādā 30 </w:t>
      </w:r>
      <w:r w:rsidR="00F97BF0">
        <w:t>darbinieki</w:t>
      </w:r>
      <w:r>
        <w:t xml:space="preserve">. PTAC rīcībā ir tehniskie līdzekļi (iekārtas), ar kuru palīdzību nepieciešamības gadījumā nodrošina priekštestēšanas veikšanu. </w:t>
      </w:r>
    </w:p>
    <w:p w14:paraId="7B45FC85" w14:textId="77777777" w:rsidR="00424DFD" w:rsidRPr="00393D23" w:rsidRDefault="00424DFD" w:rsidP="00424DFD">
      <w:pPr>
        <w:pStyle w:val="Heading3"/>
        <w:tabs>
          <w:tab w:val="num" w:pos="990"/>
        </w:tabs>
        <w:ind w:left="1080"/>
        <w:rPr>
          <w:b/>
        </w:rPr>
      </w:pPr>
      <w:bookmarkStart w:id="53" w:name="_Toc8821876"/>
      <w:r w:rsidRPr="00393D23">
        <w:rPr>
          <w:b/>
        </w:rPr>
        <w:t>Tirgus uzraudzības procedūras un stratēģija</w:t>
      </w:r>
      <w:bookmarkEnd w:id="53"/>
      <w:r w:rsidRPr="00393D23">
        <w:rPr>
          <w:b/>
        </w:rPr>
        <w:t xml:space="preserve"> </w:t>
      </w:r>
    </w:p>
    <w:p w14:paraId="350919F1" w14:textId="2D6F703D" w:rsidR="00F366AE" w:rsidRDefault="00F366AE" w:rsidP="00F366AE">
      <w:pPr>
        <w:spacing w:after="0"/>
        <w:ind w:firstLine="720"/>
      </w:pPr>
      <w:r>
        <w:t>Tirgus uzraudzības darbības tiek nodrošinātas proaktīvi un reaktīvi. Proaktīvās tirgus uzraudzības darbības tiek īstenotas noteiktajās gada prioritārajās jomās un notiek plānveidā saskaņā ar apstiprināto gada plānu un attiecīgajiem projektiem, ietverot sevī administratīvās preču pārbaudes (piemēram, preču marķējums, atbilstību apliecinoši dokumenti, tehniskā dokumentācija, lietošanas instrukcijas), atbilstības drošuma būtiskajām prasībām pārbaudes, veicot preču paraugu testēšanu, kā arī konkrētai nozarei raksturīgās specializētās pārbaudes (būvlaukumu, ražotņu, gāzes balonu uzpildes staciju, spēļu laukumu). Prioritārās jomas tiek noteiktas, balstoties uz riska vadības principiem, ņemot vērā t.sk. iepriekšējo gadu darbības analīzi, konstatētos pārkāpumus konkrētajā preču grupā, patērētāju sūdzības, RAPEX sistēmas ietvaros saņemto informāciju, informāciju par nelaimes gadījumiem Latvijā un Eiropas Savienība, jaunas normatīvo aktu vai piemērojamo standartu prasības, saņemto informāciju no citām valsts iestādēm un nozarēm, kā arī citu valstu uzraudzības pieredzi un rezultātus.</w:t>
      </w:r>
    </w:p>
    <w:p w14:paraId="3935147C" w14:textId="77777777" w:rsidR="00F366AE" w:rsidRDefault="00F366AE" w:rsidP="00F366AE">
      <w:pPr>
        <w:spacing w:after="0"/>
        <w:ind w:firstLine="720"/>
      </w:pPr>
      <w:r>
        <w:t>Reaktīvās tirgus uzraudzības darbības tiek nodrošinātas visās PTAC kompetences jomās, t.sk. kuras nav apstiprinātas gada plānā. Reaktīvās tirgus uzraudzības darbības tiek organizētas saņemot, piemēram, patērētāja sūdzību, informāciju no medijiem, informāciju par notikušu nelaimes gadījumu, informāciju no komersantiem vai citām tirgus uzraudzības iestādēm, t.sk. no citām dalībvalstīm par neatbilstošu/nedrošu preču tirdzniecību, kā arī izvērtējot informāciju RAPEX sistēmā.</w:t>
      </w:r>
    </w:p>
    <w:p w14:paraId="713C04CD" w14:textId="77777777" w:rsidR="00F366AE" w:rsidRDefault="00F366AE" w:rsidP="00F366AE">
      <w:pPr>
        <w:spacing w:after="0"/>
        <w:ind w:firstLine="709"/>
      </w:pPr>
      <w:r>
        <w:t>Visos gadījumos, veikto pārbaužu rezultātā konstatējot neatbilstošo preci, tiek izsekota piegādes ķēde un noskaidrots par preces laišanu tirgū atbildīgais komersants. Attiecībā no preces neatbilstības rādītā riska tiek noteiktas korektīvās darbības un nodrošināta tā veikšana. Ņemot vērā iestādes īstenoto politiku, tai skaitā “Konsultē vispirms” principu, iestādes mērķis panākt atbilstību un veicināt komersantu vēlmi laist un piedāvāt tirgū tikai normatīvo aktu prasībām atbilstošu preci, līdz ar to piemērojamo sankciju apmērs tiek izvērtēts katrā konkrētajā gadījumā.</w:t>
      </w:r>
    </w:p>
    <w:p w14:paraId="24CAC859" w14:textId="2EFEFFF5" w:rsidR="00F366AE" w:rsidRDefault="00F366AE" w:rsidP="00F366AE">
      <w:pPr>
        <w:spacing w:after="0"/>
        <w:ind w:firstLine="720"/>
      </w:pPr>
      <w:r>
        <w:t xml:space="preserve">Vienlaicīgi, saskaņā ar noteiktajām prioritātēm un īstenotajiem projektiem, t.sk. sadarbības ar citām valstīm vai institūcijām ietvaros notiek preču pārbaude uz robežas sadarbībā ar VID Muitas pārvaldi. Atzinumi par preces atbilstību/neatbilstību piemērojamo normatīvo aktu prasībām tiek sniegti tiešsaistē VID Muitas elektroniskajā sistēmā (EMDAS). </w:t>
      </w:r>
    </w:p>
    <w:p w14:paraId="5E802CB9" w14:textId="77777777" w:rsidR="00F366AE" w:rsidRDefault="00F366AE" w:rsidP="00F366AE">
      <w:pPr>
        <w:spacing w:after="0"/>
        <w:ind w:firstLine="709"/>
      </w:pPr>
      <w:r>
        <w:t>Veicot tirgus uzraudzības darbības, nepieciešamības gadījumā PTAC sadarbojas ar citu valstu tirgus uzraudzības iestādēm, paziņotajām institūcijām, laboratorijām.</w:t>
      </w:r>
    </w:p>
    <w:p w14:paraId="70235DF6" w14:textId="77777777" w:rsidR="00F366AE" w:rsidRDefault="00F366AE" w:rsidP="00F366AE">
      <w:pPr>
        <w:spacing w:after="0"/>
        <w:ind w:firstLine="709"/>
      </w:pPr>
      <w:r>
        <w:t xml:space="preserve">PTAC ir vadošā tirgus uzraudzības iestāde Latvijā ar ļoti plašu kompetenci, kas jāīsteno ar ierobežotiem resursiem. PTAC nodrošina tirgus uzraudzību ne tikai tādas jomās, kas ir Ekonomikas ministrijas pārziņā, bet arī veic darbības, lai atbalstītu citas ministrijas (SM, VARAM, VM, FM) politikas mērķu sasniegšanu. Lai nodrošinātu efektīvo un uz sabiedrības interesēm vērsto uzraudzību, PTAC tā ir balstīta uz riska vadības principiem. </w:t>
      </w:r>
    </w:p>
    <w:p w14:paraId="17D88A79" w14:textId="77777777" w:rsidR="00F366AE" w:rsidRDefault="00F366AE" w:rsidP="00F366AE">
      <w:pPr>
        <w:spacing w:after="0"/>
        <w:ind w:firstLine="810"/>
      </w:pPr>
      <w:r>
        <w:t xml:space="preserve">PTAC uzraudzības politika ir vērsta uz to, lai saimnieciskās darbības veicēji labprātīgi ievērotu normatīvajos aktos noteiktās prasības. Līdz ar to PTAC galvenie uzraudzības principi ir: </w:t>
      </w:r>
    </w:p>
    <w:p w14:paraId="69451135" w14:textId="77777777" w:rsidR="00F366AE" w:rsidRDefault="00F366AE" w:rsidP="00E44993">
      <w:pPr>
        <w:numPr>
          <w:ilvl w:val="0"/>
          <w:numId w:val="35"/>
        </w:numPr>
        <w:spacing w:after="0"/>
      </w:pPr>
      <w:r>
        <w:t>atbalsts komersantiem, pildot normatīvo aktu prasības;</w:t>
      </w:r>
    </w:p>
    <w:p w14:paraId="19B20283" w14:textId="77777777" w:rsidR="00F366AE" w:rsidRDefault="00F366AE" w:rsidP="00E44993">
      <w:pPr>
        <w:numPr>
          <w:ilvl w:val="0"/>
          <w:numId w:val="35"/>
        </w:numPr>
        <w:spacing w:after="0"/>
      </w:pPr>
      <w:r>
        <w:t>uz riska vadību balstītas, taisnīgas un proporcionālas uzraudzības darbības;</w:t>
      </w:r>
    </w:p>
    <w:p w14:paraId="5D17106A" w14:textId="77777777" w:rsidR="00F366AE" w:rsidRDefault="00F366AE" w:rsidP="00E44993">
      <w:pPr>
        <w:numPr>
          <w:ilvl w:val="0"/>
          <w:numId w:val="35"/>
        </w:numPr>
        <w:spacing w:after="0"/>
      </w:pPr>
      <w:r>
        <w:lastRenderedPageBreak/>
        <w:t>taisnīgi un proporcionāli lēmumi, kas vērsti uz atbilstības panākšanu un uzvedības ietekmēšanu;</w:t>
      </w:r>
    </w:p>
    <w:p w14:paraId="58DD8E85" w14:textId="77777777" w:rsidR="00F366AE" w:rsidRDefault="00F366AE" w:rsidP="00E44993">
      <w:pPr>
        <w:numPr>
          <w:ilvl w:val="0"/>
          <w:numId w:val="35"/>
        </w:numPr>
        <w:spacing w:after="0"/>
      </w:pPr>
      <w:r>
        <w:t>sadarbības ar komersantu, patērētāju un citu ieinteresēto pušu organizācijām;</w:t>
      </w:r>
    </w:p>
    <w:p w14:paraId="46B16041" w14:textId="77777777" w:rsidR="00F366AE" w:rsidRDefault="00F366AE" w:rsidP="00E44993">
      <w:pPr>
        <w:numPr>
          <w:ilvl w:val="0"/>
          <w:numId w:val="35"/>
        </w:numPr>
        <w:spacing w:after="0"/>
      </w:pPr>
      <w:r>
        <w:t>sadarbībā ar citām tirgus uzraudzības iestādēm un valsts institūcijām, kā arī ar citu valstu tirgus uzraudzības iestādēm.</w:t>
      </w:r>
    </w:p>
    <w:p w14:paraId="1DC67296" w14:textId="77777777" w:rsidR="00F366AE" w:rsidRDefault="00F366AE" w:rsidP="00F366AE">
      <w:pPr>
        <w:spacing w:after="0"/>
        <w:ind w:firstLine="709"/>
      </w:pPr>
    </w:p>
    <w:p w14:paraId="532173D5" w14:textId="55054380" w:rsidR="00424DFD" w:rsidRDefault="00F366AE" w:rsidP="00F366AE">
      <w:pPr>
        <w:spacing w:after="0"/>
        <w:ind w:firstLine="709"/>
      </w:pPr>
      <w:r>
        <w:t xml:space="preserve">Plānotajam periodam noteiktās prioritātes ietver tirgus uzraudzības darbību veikšanu rotaļlietu, bērnu preču, pakalpojumu, metroloģijas, </w:t>
      </w:r>
      <w:r w:rsidR="00D74C95">
        <w:t>s</w:t>
      </w:r>
      <w:r w:rsidR="00D74C95" w:rsidRPr="00D74C95">
        <w:t>prādzienbīstamu iekārtu</w:t>
      </w:r>
      <w:r>
        <w:t>, būvizstrādājumu, elektropreču, mašīniekārtu, radioiekārtu, ekodizaina un energomarķējuma un arī citās nozarēs</w:t>
      </w:r>
      <w:r w:rsidR="00424DFD">
        <w:t xml:space="preserve">. </w:t>
      </w:r>
    </w:p>
    <w:p w14:paraId="4565A758" w14:textId="77777777" w:rsidR="00424DFD" w:rsidRPr="001A5C0F" w:rsidRDefault="00424DFD" w:rsidP="00424DFD">
      <w:pPr>
        <w:ind w:left="360" w:firstLine="360"/>
      </w:pPr>
    </w:p>
    <w:p w14:paraId="67D1A333" w14:textId="41EFA6A2" w:rsidR="00424DFD" w:rsidRPr="00393D23" w:rsidRDefault="00424DFD" w:rsidP="00FD3E79">
      <w:pPr>
        <w:pStyle w:val="Heading3"/>
        <w:tabs>
          <w:tab w:val="clear" w:pos="3414"/>
        </w:tabs>
        <w:ind w:left="709" w:firstLine="0"/>
      </w:pPr>
      <w:bookmarkStart w:id="54" w:name="_Toc8821877"/>
      <w:r w:rsidRPr="00393D23">
        <w:t>Ziņojums par darbībām, kas veiktas saskaņā ar iepriekšējo plānošanas periodu</w:t>
      </w:r>
      <w:bookmarkEnd w:id="54"/>
    </w:p>
    <w:p w14:paraId="012F8966" w14:textId="52EF6ACA" w:rsidR="00A33E59" w:rsidRDefault="00A33E59" w:rsidP="00A33E59">
      <w:pPr>
        <w:spacing w:after="0"/>
        <w:ind w:firstLine="720"/>
      </w:pPr>
      <w:r>
        <w:t>20</w:t>
      </w:r>
      <w:r w:rsidR="00307F30">
        <w:t>20</w:t>
      </w:r>
      <w:r>
        <w:t>.</w:t>
      </w:r>
      <w:r w:rsidR="004100D9">
        <w:t> </w:t>
      </w:r>
      <w:r>
        <w:t>gadā ir īstenot</w:t>
      </w:r>
      <w:r w:rsidR="00307F30">
        <w:t>a</w:t>
      </w:r>
      <w:r>
        <w:t xml:space="preserve"> tirgus uzraudzība </w:t>
      </w:r>
      <w:r w:rsidR="00307F30">
        <w:t>6 prioritārajos virzienos</w:t>
      </w:r>
      <w:r>
        <w:t xml:space="preserve"> </w:t>
      </w:r>
      <w:r w:rsidR="00307F30">
        <w:t>ietverot vairākas preču grupas</w:t>
      </w:r>
      <w:r w:rsidR="00C0759D">
        <w:t>/veidus</w:t>
      </w:r>
      <w:r w:rsidR="00307F30">
        <w:t xml:space="preserve">, </w:t>
      </w:r>
      <w:r>
        <w:t>bērnu drošu preču (rotaļlietas, bērnu preces),  būvizstrādājumu, elektropreču, energomarķējuma un ekodizaina, mašīniekārtu, sprādzienbīstamu iekārtu un radio un telekomunikāciju galiekārtu jomās. 20</w:t>
      </w:r>
      <w:r w:rsidR="00307F30">
        <w:t>20</w:t>
      </w:r>
      <w:r>
        <w:t>.</w:t>
      </w:r>
      <w:r w:rsidR="004100D9">
        <w:t> </w:t>
      </w:r>
      <w:r>
        <w:t xml:space="preserve">gadā PTAC ir veicis pārbaudes </w:t>
      </w:r>
      <w:r w:rsidR="00307F30">
        <w:t xml:space="preserve">1630 </w:t>
      </w:r>
      <w:r>
        <w:t xml:space="preserve">preču modeļiem, no kuriem neatbilstības konstatētas </w:t>
      </w:r>
      <w:r w:rsidR="00307F30">
        <w:t xml:space="preserve">952 </w:t>
      </w:r>
      <w:r>
        <w:t>modeļiem (</w:t>
      </w:r>
      <w:r w:rsidR="00307F30">
        <w:t>58</w:t>
      </w:r>
      <w:r>
        <w:t xml:space="preserve">%) un </w:t>
      </w:r>
      <w:r w:rsidR="00307F30">
        <w:rPr>
          <w:bCs/>
          <w:szCs w:val="24"/>
        </w:rPr>
        <w:t xml:space="preserve">159 </w:t>
      </w:r>
      <w:r>
        <w:rPr>
          <w:bCs/>
          <w:szCs w:val="24"/>
        </w:rPr>
        <w:t xml:space="preserve">būvizstrādājumu modeļiem, neatbilstības konstatētas </w:t>
      </w:r>
      <w:r w:rsidR="00307F30">
        <w:rPr>
          <w:bCs/>
          <w:szCs w:val="24"/>
        </w:rPr>
        <w:t xml:space="preserve">52 </w:t>
      </w:r>
      <w:r>
        <w:rPr>
          <w:bCs/>
          <w:szCs w:val="24"/>
        </w:rPr>
        <w:t>būvizstrādājumiem (</w:t>
      </w:r>
      <w:r w:rsidR="00307F30">
        <w:rPr>
          <w:bCs/>
          <w:szCs w:val="24"/>
        </w:rPr>
        <w:t>33</w:t>
      </w:r>
      <w:r>
        <w:rPr>
          <w:bCs/>
          <w:szCs w:val="24"/>
        </w:rPr>
        <w:t>%)</w:t>
      </w:r>
      <w:r>
        <w:t xml:space="preserve">. Metroloģijas jomā pārbaudīti </w:t>
      </w:r>
      <w:r w:rsidR="00307F30">
        <w:t xml:space="preserve">167 </w:t>
      </w:r>
      <w:r>
        <w:t xml:space="preserve">mērīšanas līdzekļi, neatbilstības konstatējot </w:t>
      </w:r>
      <w:r w:rsidR="00307F30">
        <w:t xml:space="preserve">2 (1%) </w:t>
      </w:r>
      <w:r>
        <w:t>modeļiem.</w:t>
      </w:r>
    </w:p>
    <w:p w14:paraId="17B6B59F" w14:textId="760C2F3D" w:rsidR="00A33E59" w:rsidRDefault="00A33E59" w:rsidP="00A33E59">
      <w:pPr>
        <w:spacing w:after="0"/>
        <w:ind w:firstLine="720"/>
      </w:pPr>
      <w:r>
        <w:t>Sniegti atzinumi uz VID muitas pārvaldes pieteikumiem (</w:t>
      </w:r>
      <w:r w:rsidR="00FA5466">
        <w:t xml:space="preserve">799 </w:t>
      </w:r>
      <w:r>
        <w:t xml:space="preserve">muitas lietas, sniegti </w:t>
      </w:r>
      <w:r w:rsidR="00FA5466">
        <w:t xml:space="preserve">1089 </w:t>
      </w:r>
      <w:r>
        <w:t xml:space="preserve">atzinumi, kopā pārbaudot </w:t>
      </w:r>
      <w:r w:rsidR="00FA5466">
        <w:t xml:space="preserve">4545 </w:t>
      </w:r>
      <w:r>
        <w:t xml:space="preserve">preču modeļus), kā arī nodrošināta reaktīvā uzraudzība iepriekš minētās un citās PTAC kompetencē esošajās jomās. </w:t>
      </w:r>
    </w:p>
    <w:p w14:paraId="204D1C92" w14:textId="45E0B6F3" w:rsidR="009F454A" w:rsidRDefault="00A33E59" w:rsidP="00A33E59">
      <w:pPr>
        <w:spacing w:after="0"/>
        <w:ind w:firstLine="720"/>
      </w:pPr>
      <w:r>
        <w:t>PTAC īsteno pilotprojektu “Iekšējā kontroles sistēma drošu un atbilstošu preču un pakalpojumu piedāvāšanai” ar mērķi izveidot jaunu sistēmu uzņēmumu kontrolei un pārbaudēm, kuru rezultātā pārbaudītajam komersantam tiek noteikta atbilstoša uzraudzības pieeja. Projektā 20</w:t>
      </w:r>
      <w:r w:rsidR="00FA5466">
        <w:t>20</w:t>
      </w:r>
      <w:r>
        <w:t>.</w:t>
      </w:r>
      <w:r w:rsidR="004100D9">
        <w:t> </w:t>
      </w:r>
      <w:r>
        <w:t xml:space="preserve">gadā piedalās </w:t>
      </w:r>
      <w:r w:rsidR="00FA5466">
        <w:t xml:space="preserve">viens </w:t>
      </w:r>
      <w:r>
        <w:t>komersant</w:t>
      </w:r>
      <w:r w:rsidR="00FA5466">
        <w:t>s</w:t>
      </w:r>
      <w:r w:rsidR="00424DFD">
        <w:t>.</w:t>
      </w:r>
    </w:p>
    <w:p w14:paraId="4013F69A" w14:textId="77777777" w:rsidR="00C95AEC" w:rsidRDefault="00C95AEC" w:rsidP="00424DFD">
      <w:pPr>
        <w:spacing w:after="0"/>
        <w:ind w:firstLine="720"/>
      </w:pPr>
    </w:p>
    <w:p w14:paraId="57917C1F" w14:textId="4F4933D9" w:rsidR="00C95AEC" w:rsidRPr="00C95AEC" w:rsidRDefault="00C95AEC" w:rsidP="00E44993">
      <w:pPr>
        <w:pStyle w:val="Heading2"/>
        <w:numPr>
          <w:ilvl w:val="1"/>
          <w:numId w:val="26"/>
        </w:numPr>
        <w:tabs>
          <w:tab w:val="clear" w:pos="2279"/>
          <w:tab w:val="num" w:pos="2989"/>
        </w:tabs>
        <w:spacing w:after="0"/>
        <w:ind w:left="1560" w:hanging="709"/>
      </w:pPr>
      <w:bookmarkStart w:id="55" w:name="_Toc8821878"/>
      <w:r w:rsidRPr="00C95AEC">
        <w:t>Pirotehnika</w:t>
      </w:r>
      <w:bookmarkEnd w:id="55"/>
    </w:p>
    <w:p w14:paraId="03539BBD" w14:textId="77777777" w:rsidR="00C95AEC" w:rsidRPr="00C95AEC" w:rsidRDefault="00C95AEC" w:rsidP="00C95AEC">
      <w:pPr>
        <w:numPr>
          <w:ilvl w:val="2"/>
          <w:numId w:val="3"/>
        </w:numPr>
        <w:spacing w:after="0"/>
        <w:ind w:left="1560" w:hanging="709"/>
        <w:rPr>
          <w:i/>
        </w:rPr>
      </w:pPr>
      <w:bookmarkStart w:id="56" w:name="_Hlk534537467"/>
      <w:r w:rsidRPr="00C95AEC">
        <w:rPr>
          <w:i/>
        </w:rPr>
        <w:t>Atbildīgās iestādes nosaukums un kontaktinformācija</w:t>
      </w:r>
    </w:p>
    <w:p w14:paraId="4A6D4CA9" w14:textId="77777777" w:rsidR="00C95AEC" w:rsidRDefault="00C95AEC" w:rsidP="00C95AEC">
      <w:pPr>
        <w:spacing w:after="0"/>
        <w:ind w:firstLine="720"/>
      </w:pPr>
      <w:bookmarkStart w:id="57" w:name="_Hlk534537724"/>
      <w:bookmarkEnd w:id="56"/>
    </w:p>
    <w:p w14:paraId="78A5D5BC" w14:textId="3B15B27E" w:rsidR="00C95AEC" w:rsidRPr="00C95AEC" w:rsidRDefault="00C95AEC" w:rsidP="00C95AEC">
      <w:pPr>
        <w:spacing w:after="0"/>
        <w:ind w:firstLine="720"/>
      </w:pPr>
      <w:r w:rsidRPr="00C95AEC">
        <w:t>Valsts policijas Galvenās kārtības policijas pārvaldes Koordinācijas un kontroles pārvaldes Licencēšanas un atļauju sistēmas birojs</w:t>
      </w:r>
    </w:p>
    <w:p w14:paraId="0D058E54" w14:textId="01645C95" w:rsidR="00C95AEC" w:rsidRPr="00C95AEC" w:rsidRDefault="00C95AEC" w:rsidP="00C95AEC">
      <w:pPr>
        <w:spacing w:after="0"/>
        <w:ind w:firstLine="720"/>
      </w:pPr>
      <w:r w:rsidRPr="00C95AEC">
        <w:t xml:space="preserve">Juridiskā adrese: Rīgā,  Čiekurkalna 1.līnijā 1, k- 4, LV – 1026, e-pasts: </w:t>
      </w:r>
      <w:hyperlink r:id="rId20" w:history="1">
        <w:r w:rsidRPr="00C95AEC">
          <w:rPr>
            <w:rStyle w:val="Hyperlink"/>
          </w:rPr>
          <w:t>as@vp.gov.lv</w:t>
        </w:r>
      </w:hyperlink>
      <w:r w:rsidRPr="00C95AEC">
        <w:t>, kontakttālrunis: 67208188, 67208232.</w:t>
      </w:r>
    </w:p>
    <w:p w14:paraId="3BD545BE" w14:textId="77777777" w:rsidR="00BD1E6D" w:rsidRPr="00C95AEC" w:rsidRDefault="00BD1E6D" w:rsidP="00BD1E6D">
      <w:pPr>
        <w:spacing w:after="0"/>
        <w:ind w:firstLine="720"/>
      </w:pPr>
      <w:r w:rsidRPr="00C95AEC">
        <w:t xml:space="preserve">Valsts policijas Galvenās kārtības policijas pārvaldes Koordinācijas un kontroles pārvaldes Licencēšanas un atļauju </w:t>
      </w:r>
      <w:r w:rsidRPr="004E5CED">
        <w:t xml:space="preserve">sistēmas birojs- 2 policijas darbinieki. Papildus tiek iesaistīti Valsts policijas teritoriālo struktūrvienību policijas darbinieki, kas pilda amata </w:t>
      </w:r>
      <w:r w:rsidRPr="00C93898">
        <w:t>pienākumus atļauju sistēmas jomā, proti, Valsts policijas Rīgas reģionā- 4 policijas darbinieki, Valsts policijas Latgales reģionā - 5 policijas darbinieki, Valsts policijas Kurzemes reģionā- 7 policijas darbinieki, Valsts policijas Vidzemes reģionā- 7 policijas darbinieki, Valsts policijas Zemgales reģionā- 7 policijas darbinieki. Kopumā: 32</w:t>
      </w:r>
      <w:r w:rsidRPr="002439E1">
        <w:t xml:space="preserve"> policijas darbinieki. Uzraudzība par pirotehnisko izstrādājumu</w:t>
      </w:r>
      <w:r w:rsidRPr="00C95AEC">
        <w:t xml:space="preserve"> apriti ir tikai viens no amata uzdevumiem, ko veic minētie policijas darbinieki. Uzraudzība par pirotehnisko izstrādājumu apriti tiek īstenota kārtējā gada Valsts policijas piešķirtā finansējuma ietvaros.</w:t>
      </w:r>
    </w:p>
    <w:p w14:paraId="783472E9" w14:textId="7FE155D9" w:rsidR="00C95AEC" w:rsidRPr="00C95AEC" w:rsidRDefault="00BD1E6D" w:rsidP="00BD1E6D">
      <w:pPr>
        <w:spacing w:after="0"/>
        <w:ind w:firstLine="720"/>
      </w:pPr>
      <w:r w:rsidRPr="00C95AEC">
        <w:t>Valsts policijai nav noslēgt</w:t>
      </w:r>
      <w:r>
        <w:t>s</w:t>
      </w:r>
      <w:r w:rsidRPr="00C95AEC">
        <w:t xml:space="preserve"> sadarbības līgum</w:t>
      </w:r>
      <w:r>
        <w:t>s</w:t>
      </w:r>
      <w:r w:rsidRPr="00C95AEC">
        <w:t xml:space="preserve"> ar kādu no Eiropas Komisijas akreditētām laboratorijām, kas ir kompetentas pirotehnisko izstrādājumu izvērtēšanā. </w:t>
      </w:r>
      <w:r w:rsidRPr="00C95AEC">
        <w:lastRenderedPageBreak/>
        <w:t>Nepieciešamības gadījumā šāda sadarbība ir iespējama, ievērojot Pirotehnisko izstrādājumu aprites likuma ietverto tiesisko regulējumu</w:t>
      </w:r>
      <w:r w:rsidR="00C95AEC" w:rsidRPr="00C95AEC">
        <w:t xml:space="preserve">.    </w:t>
      </w:r>
    </w:p>
    <w:bookmarkEnd w:id="57"/>
    <w:p w14:paraId="0F29451D" w14:textId="77777777" w:rsidR="00C95AEC" w:rsidRPr="00C95AEC" w:rsidRDefault="00C95AEC" w:rsidP="00C95AEC">
      <w:pPr>
        <w:spacing w:after="0"/>
        <w:ind w:firstLine="720"/>
      </w:pPr>
      <w:r w:rsidRPr="00C95AEC">
        <w:t xml:space="preserve"> </w:t>
      </w:r>
    </w:p>
    <w:p w14:paraId="3D4D35BD" w14:textId="77777777" w:rsidR="00C95AEC" w:rsidRPr="00C95AEC" w:rsidRDefault="00C95AEC" w:rsidP="004059F6">
      <w:pPr>
        <w:numPr>
          <w:ilvl w:val="2"/>
          <w:numId w:val="3"/>
        </w:numPr>
        <w:tabs>
          <w:tab w:val="num" w:pos="2552"/>
        </w:tabs>
        <w:spacing w:after="0"/>
        <w:ind w:left="1560" w:hanging="851"/>
        <w:rPr>
          <w:i/>
        </w:rPr>
      </w:pPr>
      <w:bookmarkStart w:id="58" w:name="_Hlk534537895"/>
      <w:r w:rsidRPr="00C95AEC">
        <w:rPr>
          <w:i/>
        </w:rPr>
        <w:t xml:space="preserve">Tirgus uzraudzības procedūras un stratēģija </w:t>
      </w:r>
    </w:p>
    <w:bookmarkEnd w:id="58"/>
    <w:p w14:paraId="6F3C0082" w14:textId="77777777" w:rsidR="00C95AEC" w:rsidRPr="00C95AEC" w:rsidRDefault="00C95AEC" w:rsidP="00C95AEC">
      <w:pPr>
        <w:spacing w:after="0"/>
        <w:ind w:firstLine="720"/>
        <w:rPr>
          <w:i/>
        </w:rPr>
      </w:pPr>
    </w:p>
    <w:p w14:paraId="01A0C9F8" w14:textId="55531C78" w:rsidR="00185A2F" w:rsidRPr="00C95AEC" w:rsidRDefault="00185A2F" w:rsidP="00185A2F">
      <w:pPr>
        <w:spacing w:after="0"/>
        <w:ind w:firstLine="720"/>
      </w:pPr>
      <w:r w:rsidRPr="00C95AEC">
        <w:t>Pirotehnisko izstrādājumu aprites pārbaudes veic plānoto</w:t>
      </w:r>
      <w:r>
        <w:t>,</w:t>
      </w:r>
      <w:r w:rsidRPr="00C95AEC">
        <w:t xml:space="preserve"> t.i. tematisko</w:t>
      </w:r>
      <w:r>
        <w:t>,</w:t>
      </w:r>
      <w:r w:rsidRPr="00C95AEC">
        <w:t xml:space="preserve"> un neplānoto</w:t>
      </w:r>
      <w:r>
        <w:t>,</w:t>
      </w:r>
      <w:r w:rsidRPr="00C95AEC">
        <w:t xml:space="preserve"> t.i. sūdzību un iesniegumu</w:t>
      </w:r>
      <w:r>
        <w:t>,</w:t>
      </w:r>
      <w:r w:rsidRPr="00C95AEC">
        <w:t xml:space="preserve"> pārbaužu ietvaros, nodrošinot, ka Latvijas tirgū, piedāvā tikai tādus pirotehniskos izstrādājumus, kas atbilst drošuma pamatprasībām, ir identificēti, pareizi glabāti un marķēti, ja tiem ir pievienotas lietošanas instrukcijas un drošuma informācija viegli saprotamā valsts valodā, ir pieejama atbilstoša tehniskā dokumentācija, ir veikta atbilstības novērtēšana un tā apliecināta ar Eiropas atbilstības marķējumu CE. Papildus kontrolējot pirotehnisko izstrādājumu lietošanas ierobežojumus</w:t>
      </w:r>
      <w:r>
        <w:t xml:space="preserve"> </w:t>
      </w:r>
      <w:r w:rsidRPr="00C95AEC">
        <w:t xml:space="preserve">un lietotāju vecumu cenzus, lai pirotehniskie izstrādājumi tiek izmantoti paredzētajam nolūkam, neapdraudot cilvēku veselību un drošību. </w:t>
      </w:r>
      <w:r w:rsidRPr="00C908DE">
        <w:t>Sodu piemērošanu par konstatētajiem pārkāpumiem, sākot no 2020.</w:t>
      </w:r>
      <w:r>
        <w:t> </w:t>
      </w:r>
      <w:r w:rsidRPr="00C908DE">
        <w:t>gada 1.</w:t>
      </w:r>
      <w:r>
        <w:t> </w:t>
      </w:r>
      <w:r w:rsidRPr="00C908DE">
        <w:t>jūlija, regulē Pirotehnisko izstrādājumu aprites likums.</w:t>
      </w:r>
      <w:r>
        <w:t xml:space="preserve">  </w:t>
      </w:r>
    </w:p>
    <w:p w14:paraId="1070D59C" w14:textId="7078167C" w:rsidR="00185A2F" w:rsidRPr="00C95AEC" w:rsidRDefault="00185A2F" w:rsidP="00185A2F">
      <w:pPr>
        <w:spacing w:after="0"/>
        <w:ind w:firstLine="720"/>
      </w:pPr>
      <w:bookmarkStart w:id="59" w:name="_Hlk534539335"/>
      <w:r w:rsidRPr="00C95AEC">
        <w:t>Valsts policija</w:t>
      </w:r>
      <w:r>
        <w:t>,</w:t>
      </w:r>
      <w:r w:rsidRPr="00C95AEC">
        <w:t xml:space="preserve"> veicot pirotehnisko izstrādājumu aprites uzraudzību nacionālā līmenī, regulāri sadarbojas ar Valsts ugunsdzēsības un glābšanas dienestu un Valsts vides dienestu</w:t>
      </w:r>
      <w:bookmarkEnd w:id="59"/>
      <w:r w:rsidRPr="00C95AEC">
        <w:t xml:space="preserve">. Valsts ugunsdzēsības un glābšanas dienesta teritoriālā struktūrvienība, kuras teritorijā atrodas uguņošanas ierīču un skatuves pirotehnisko izstrādājumu ražošanas telpas, noliktava vai veikals, sniedz Valsts policijai atzinumu par uguņošanas ierīču un skatuves pirotehnisko izstrādājumu ražošanas telpu, noliktavas un veikala atbilstību (atkarībā no norādītā komercdarbības veida) normatīvajiem aktiem, kas nosaka ugunsdrošības prasības pirotehnisko izstrādājumu ražošanas telpām, noliktavām un veikaliem. Valsts vides dienests sniedz Valsts policija atzinumu par uguņošanas ierīču un skatuves pirotehnisko izstrādājumu ražošanas telpu un iekārtu atbilstību vides aizsardzību reglamentējošo normatīvo aktu prasībām.   </w:t>
      </w:r>
    </w:p>
    <w:p w14:paraId="775679BE" w14:textId="53BF8316" w:rsidR="00C95AEC" w:rsidRPr="00C95AEC" w:rsidRDefault="00185A2F" w:rsidP="00185A2F">
      <w:pPr>
        <w:spacing w:after="0"/>
        <w:ind w:firstLine="720"/>
      </w:pPr>
      <w:r w:rsidRPr="00C95AEC">
        <w:t>Vienlaikus Valsts policija</w:t>
      </w:r>
      <w:r>
        <w:t>i</w:t>
      </w:r>
      <w:r w:rsidRPr="00C95AEC">
        <w:t xml:space="preserve"> ir izveidot</w:t>
      </w:r>
      <w:r>
        <w:t>a</w:t>
      </w:r>
      <w:r w:rsidRPr="00C95AEC">
        <w:t xml:space="preserve"> sadarbība ar Baltijas reģiona kaimiņvalstīm Lietuvu un Igauniju. Tiek organizētas regulāras tikšanās, lai apspriestu pirotehnisko izstrādājumu aprites uzraudzības problēmas. Izveidota sadarbība riska informācijas apmaiņā</w:t>
      </w:r>
      <w:r w:rsidR="00C95AEC" w:rsidRPr="00C95AEC">
        <w:t xml:space="preserve">. </w:t>
      </w:r>
    </w:p>
    <w:p w14:paraId="4B896AC7" w14:textId="77777777" w:rsidR="00C95AEC" w:rsidRPr="00C95AEC" w:rsidRDefault="00C95AEC" w:rsidP="00C95AEC">
      <w:pPr>
        <w:spacing w:after="0"/>
        <w:ind w:firstLine="720"/>
      </w:pPr>
    </w:p>
    <w:p w14:paraId="71D23EC3" w14:textId="77777777" w:rsidR="00C95AEC" w:rsidRPr="00C95AEC" w:rsidRDefault="00C95AEC" w:rsidP="00C95AEC">
      <w:pPr>
        <w:numPr>
          <w:ilvl w:val="2"/>
          <w:numId w:val="3"/>
        </w:numPr>
        <w:spacing w:after="0"/>
        <w:ind w:left="1843" w:hanging="992"/>
        <w:rPr>
          <w:i/>
        </w:rPr>
      </w:pPr>
      <w:bookmarkStart w:id="60" w:name="_Toc396312784"/>
      <w:bookmarkStart w:id="61" w:name="_Hlk534540199"/>
      <w:r w:rsidRPr="00C95AEC">
        <w:rPr>
          <w:i/>
        </w:rPr>
        <w:t>Ziņojums par darbībām, kas veiktas saskaņā ar iepriekšējo plānošanas periodu</w:t>
      </w:r>
      <w:bookmarkEnd w:id="60"/>
    </w:p>
    <w:bookmarkEnd w:id="61"/>
    <w:p w14:paraId="1657B34D" w14:textId="145D50BB" w:rsidR="00C95AEC" w:rsidRDefault="00AE62A6" w:rsidP="00C95AEC">
      <w:pPr>
        <w:spacing w:after="0"/>
        <w:ind w:firstLine="720"/>
      </w:pPr>
      <w:r w:rsidRPr="00AE62A6">
        <w:t xml:space="preserve">Šobrīd </w:t>
      </w:r>
      <w:r w:rsidR="00185A2F" w:rsidRPr="009A60CF">
        <w:rPr>
          <w:szCs w:val="24"/>
        </w:rPr>
        <w:t>Latvijā licencēti 53 pirotehnisko izstrādājumu tirdzniecības komersanti ar 101 pirotehnisko izstrādājumu tirdzniecības objektiem, ka arī 14 pirotehnisko pakalpojumu sniegšanas komersanti un 1 pirotehnisko izstrādājumu izgatavošanas komersants.</w:t>
      </w:r>
      <w:r w:rsidR="00185A2F" w:rsidRPr="009A60CF">
        <w:t xml:space="preserve">  Saskaņā ar nacionālo tiesisko regulējumu pirotehnisko izstrādājumu aprites jomā Valsts policija nodrošina, ka katrs no minētiem objektiem tiek pārbaudīts 4 reizes gadā. Kopumā Valsts policija 2020. gadā veica 425 plānotas komersantu pārbaudes.  Veicot 2020.</w:t>
      </w:r>
      <w:r w:rsidR="00185A2F">
        <w:t> </w:t>
      </w:r>
      <w:r w:rsidR="00185A2F" w:rsidRPr="009A60CF">
        <w:t xml:space="preserve">gadā plānotās un reaktīvas komersantu pārbaudes, </w:t>
      </w:r>
      <w:r w:rsidR="00185A2F" w:rsidRPr="001641D2">
        <w:t>vienpadsmit komersanti tika saukti pie administratīvās atbildības saskaņā ar Latvijas Administratīvo pārkāpumu kodeksu un Pirotehnisko izstrādājumu aprites likumu, visos gadījumos pieņemts lēmums par administratīvās atbildības piemērošanu</w:t>
      </w:r>
      <w:r w:rsidR="00C95AEC" w:rsidRPr="00C95AEC">
        <w:t>.</w:t>
      </w:r>
    </w:p>
    <w:p w14:paraId="1D2CA86E" w14:textId="77777777" w:rsidR="00FD3E79" w:rsidRDefault="00FD3E79" w:rsidP="00C95AEC">
      <w:pPr>
        <w:spacing w:after="0"/>
        <w:ind w:firstLine="720"/>
      </w:pPr>
    </w:p>
    <w:p w14:paraId="7693BED2" w14:textId="759C1F94" w:rsidR="004059F6" w:rsidRPr="004059F6" w:rsidRDefault="004059F6" w:rsidP="004059F6">
      <w:pPr>
        <w:pStyle w:val="Heading2"/>
      </w:pPr>
      <w:bookmarkStart w:id="62" w:name="_Toc8821879"/>
      <w:r w:rsidRPr="004059F6">
        <w:t>Civilām vajadzībām paredzētas sprāgstvielas.</w:t>
      </w:r>
      <w:bookmarkEnd w:id="62"/>
    </w:p>
    <w:p w14:paraId="1D0C7F18" w14:textId="2ACF98D1" w:rsidR="004059F6" w:rsidRDefault="004059F6" w:rsidP="004059F6">
      <w:pPr>
        <w:pStyle w:val="Heading3"/>
        <w:ind w:left="2410" w:hanging="850"/>
      </w:pPr>
      <w:bookmarkStart w:id="63" w:name="_Toc8821880"/>
      <w:r w:rsidRPr="004059F6">
        <w:t>Atbildīgās iestādes nosaukums un kontaktinformācija</w:t>
      </w:r>
      <w:bookmarkEnd w:id="63"/>
    </w:p>
    <w:p w14:paraId="0374787D" w14:textId="68DCE5E8" w:rsidR="004059F6" w:rsidRPr="004059F6" w:rsidRDefault="004059F6" w:rsidP="004059F6">
      <w:pPr>
        <w:spacing w:after="0"/>
        <w:ind w:firstLine="720"/>
      </w:pPr>
      <w:r w:rsidRPr="004059F6">
        <w:t>Valsts policijas Galvenās kārtības policijas pārvaldes Koordinācijas un kontroles pārvaldes Licencēšanas un atļauju sistēmas birojs</w:t>
      </w:r>
    </w:p>
    <w:p w14:paraId="263F12CD" w14:textId="57BF16EF" w:rsidR="004059F6" w:rsidRPr="004059F6" w:rsidRDefault="004059F6" w:rsidP="004059F6">
      <w:pPr>
        <w:spacing w:after="0"/>
        <w:ind w:firstLine="720"/>
      </w:pPr>
      <w:r w:rsidRPr="004059F6">
        <w:t xml:space="preserve">Juridiskā adrese: Rīgā,  Čiekurkalna 1.līnijā 1, k- 4, LV – 1026, e-pasts: </w:t>
      </w:r>
      <w:hyperlink r:id="rId21" w:history="1">
        <w:r w:rsidRPr="004059F6">
          <w:rPr>
            <w:rStyle w:val="Hyperlink"/>
          </w:rPr>
          <w:t>as@vp.gov.lv</w:t>
        </w:r>
      </w:hyperlink>
      <w:r w:rsidRPr="004059F6">
        <w:t>, kontakttālrunis: 67208188, 67208232.</w:t>
      </w:r>
    </w:p>
    <w:p w14:paraId="2ACDD7A6" w14:textId="77777777" w:rsidR="00E37DF1" w:rsidRPr="004059F6" w:rsidRDefault="00E37DF1" w:rsidP="00E37DF1">
      <w:pPr>
        <w:spacing w:after="0"/>
        <w:ind w:firstLine="720"/>
      </w:pPr>
      <w:r w:rsidRPr="004059F6">
        <w:lastRenderedPageBreak/>
        <w:t xml:space="preserve">Valsts policijas Galvenās kārtības policijas pārvaldes Koordinācijas un kontroles pārvaldes Licencēšanas un atļauju sistēmas birojs- 2 policijas darbinieki. Papildus tiek iesaistīti Valsts policijas teritoriālo struktūrvienību policijas darbinieki, kas pilda amata pienākumus atļauju sistēmas jomā, proti, Valsts policijas Rīgas reģionā- </w:t>
      </w:r>
      <w:r>
        <w:t>4</w:t>
      </w:r>
      <w:r w:rsidRPr="004059F6">
        <w:t xml:space="preserve"> policijas darbinieki, Valsts policijas Latgales reģionā - </w:t>
      </w:r>
      <w:r>
        <w:t>5</w:t>
      </w:r>
      <w:r w:rsidRPr="004059F6">
        <w:t xml:space="preserve"> policijas darbinieki, Valsts policijas Kurzemes reģionā- 7 policijas darbinieki, Valsts policijas Vidzemes reģionā- </w:t>
      </w:r>
      <w:r>
        <w:t>7</w:t>
      </w:r>
      <w:r w:rsidRPr="004059F6">
        <w:t xml:space="preserve"> policijas darbinieki,</w:t>
      </w:r>
      <w:r>
        <w:t xml:space="preserve"> </w:t>
      </w:r>
      <w:r w:rsidRPr="004059F6">
        <w:t xml:space="preserve">Valsts policijas Zemgales reģionā- 7 policijas darbinieki. Kopumā: </w:t>
      </w:r>
      <w:r>
        <w:t>32</w:t>
      </w:r>
      <w:r w:rsidRPr="004059F6">
        <w:t xml:space="preserve"> policijas darbinieki. Uzraudzības par civilām vajadzībām paredzēto sprāgstvielu apriti ir tikai viens no amata uzdevumiem, ko veic minētie policijas darbinieki. Uzraudzība par civilām vajadzībām paredzēto sprāgstvielu apriti tiek īstenota kārtēj</w:t>
      </w:r>
      <w:r>
        <w:t>ā</w:t>
      </w:r>
      <w:r w:rsidRPr="004059F6">
        <w:t xml:space="preserve"> gada Valsts policijas piešķirt</w:t>
      </w:r>
      <w:r>
        <w:t>ā</w:t>
      </w:r>
      <w:r w:rsidRPr="004059F6">
        <w:t xml:space="preserve"> finansējuma ietvaros.</w:t>
      </w:r>
    </w:p>
    <w:p w14:paraId="1EEE0C61" w14:textId="35D6C483" w:rsidR="004059F6" w:rsidRDefault="00E37DF1" w:rsidP="00E37DF1">
      <w:pPr>
        <w:spacing w:after="0"/>
        <w:ind w:firstLine="720"/>
      </w:pPr>
      <w:r w:rsidRPr="004059F6">
        <w:t>Valsts policijai nav noslēgt</w:t>
      </w:r>
      <w:r>
        <w:t>s</w:t>
      </w:r>
      <w:r w:rsidRPr="004059F6">
        <w:t xml:space="preserve"> sadarbības līgum</w:t>
      </w:r>
      <w:r>
        <w:t>s</w:t>
      </w:r>
      <w:r w:rsidRPr="004059F6">
        <w:t xml:space="preserve"> ar kādu no Eiropas Komisijas akreditētām laboratorijām, kas ir kompetenti civilām vajadzībām paredzēto sprāgstvielu un spridzināšanas ietaišu izstrādājumu izvērtēšanā. Nepieciešamības gadījumā šāda sadarbība ir iespējama, ievērojot Civilām vajadzībām paredzēto sprāgstvielu aprites likuma ietverto tiesisko regulējumu. Vienlaikus saskaņā ar nacionālo regulējumu Komersantam ir pienākums iesniegt Valsts policijai Latvijā ievesto sprāgstvielu un spridzināšanas ietaišu, kā arī spridzināšanas darbos izmantojamo maisījumu paraugus. Tos iekļauj Valsts policijas salīdzinošo paraugu kolekcijā</w:t>
      </w:r>
      <w:r w:rsidR="004059F6" w:rsidRPr="004059F6">
        <w:t xml:space="preserve">.  </w:t>
      </w:r>
    </w:p>
    <w:p w14:paraId="757F50B8" w14:textId="7F7DFA08" w:rsidR="004059F6" w:rsidRPr="004059F6" w:rsidRDefault="004059F6" w:rsidP="004059F6">
      <w:pPr>
        <w:spacing w:after="0"/>
        <w:ind w:firstLine="720"/>
      </w:pPr>
      <w:r w:rsidRPr="004059F6">
        <w:t xml:space="preserve">   </w:t>
      </w:r>
    </w:p>
    <w:p w14:paraId="30488646" w14:textId="726CA118" w:rsidR="004059F6" w:rsidRDefault="004059F6" w:rsidP="004059F6">
      <w:pPr>
        <w:pStyle w:val="Heading3"/>
        <w:ind w:left="2410" w:hanging="850"/>
      </w:pPr>
      <w:bookmarkStart w:id="64" w:name="_Toc8821881"/>
      <w:r w:rsidRPr="004059F6">
        <w:t>Tirgus uzraudzības procedūras un stratēģija</w:t>
      </w:r>
      <w:bookmarkEnd w:id="64"/>
    </w:p>
    <w:p w14:paraId="024EA187" w14:textId="27C0A697" w:rsidR="00E37DF1" w:rsidRDefault="00E37DF1" w:rsidP="00E37DF1">
      <w:pPr>
        <w:spacing w:after="0"/>
        <w:ind w:firstLine="720"/>
      </w:pPr>
      <w:r w:rsidRPr="00A51874">
        <w:t>Pirotehnisko izstrādājumu aprites pārbaudes veic plānoto</w:t>
      </w:r>
      <w:r>
        <w:t>,</w:t>
      </w:r>
      <w:r w:rsidRPr="00A51874">
        <w:t xml:space="preserve"> t.i. tematisko</w:t>
      </w:r>
      <w:r>
        <w:t>,</w:t>
      </w:r>
      <w:r w:rsidRPr="00A51874">
        <w:t xml:space="preserve"> un neplānoto</w:t>
      </w:r>
      <w:r>
        <w:t>,</w:t>
      </w:r>
      <w:r w:rsidRPr="00A51874">
        <w:t xml:space="preserve"> t.i. sūdzību un iesniegumu</w:t>
      </w:r>
      <w:r>
        <w:t>,</w:t>
      </w:r>
      <w:r w:rsidRPr="00A51874">
        <w:t xml:space="preserve"> pārbaužu ietvaros,</w:t>
      </w:r>
      <w:r>
        <w:t xml:space="preserve"> </w:t>
      </w:r>
      <w:r w:rsidRPr="004059F6">
        <w:t xml:space="preserve"> nodrošinot, ka sprāgstvielas un spridzināšanas ietaises laiž Latvijas tirgū tikai tad, ja tās atbilst drošuma pamatprasībām, ir glabātas un marķētas atbilstoši sprāgstvielām un spridzināšanas ietaisēm normatīvajos aktos noteiktajām prasībām, tām ir pievienotas lietošanas instrukcijas un drošuma informācija valsts valodā, ir pieejama atbilstoša tehniskā dokumentācija un sagatavota Eiropas Savienības atbilstības deklarācija, kā arī veikta atbilstības novērtēšana un tas ir apliecināts ar Eiropas atbilstības zīmes CE marķējumu un ja, izmantojot paredzētajam mērķim, tās neapdraud cilvēku veselību un drošību. Sodu piemērošana par konstatētiem pārkāpumiem notiek atbilstoši </w:t>
      </w:r>
      <w:r>
        <w:t xml:space="preserve">Civilām vajadzībām paredzētu sprāgstvielu aprites likumā noteiktajam. </w:t>
      </w:r>
    </w:p>
    <w:p w14:paraId="1D97580A" w14:textId="7CA88C08" w:rsidR="00E37DF1" w:rsidRPr="00BA12BA" w:rsidRDefault="00E37DF1" w:rsidP="00E37DF1">
      <w:pPr>
        <w:spacing w:after="0"/>
        <w:ind w:firstLine="720"/>
      </w:pPr>
      <w:r w:rsidRPr="00F62987">
        <w:t>Valsts policija veicot civilām vajadzībām paredzēto sprāgstvielu un spridzināšanas ietaišu aprites uzraudzību nacionālā līmenī, regulāri sadarbojas ar Valsts ugunsdzēsības un glābšanas dienestu, Valsts vides dienestu, drošības iestādēm un pašvaldībām. Valsts ugunsdzēsības un glābšanas dienesta teritoriālās struktūrvienības, kuras apkalpojamajā teritorijā ierīkota noliktava un ražotne sniedz Valsts policijai atzinumus atbilstoši kompetencei par noliktavas un ražotnes atbilstību (atkarībā no norādītā komercdarbības veida) ugunsdrošības jomu reglamentējošo normatīvo aktu prasībām. Valsts vides dienests sniedz Valsts policijai atzinumus par noliktavas un ražotnes, kā arī to iekārtu atbilstību vides aizsardzību reglamentējošo normatīvo aktu prasībām. Pašvaldības, kuras administratīvajā teritorijā ierīkota noliktava un ražotne Valsts policijai sniedz saskaņojumu par sprāgstvielu un spridzināšanas ietaišu izgatavošanu, glabāšanu un realizēšanu norādītajā teritorijā. Vienlaikus Valsts policija pieprasa drošības iestādēm atzinumus</w:t>
      </w:r>
      <w:r>
        <w:t>,</w:t>
      </w:r>
      <w:r w:rsidRPr="00F62987">
        <w:t xml:space="preserve"> vai drošības iestāžu rīcībā ir likumā noteiktajā kārtībā iegūtas un pārbaudītas ziņas, kas liecina par individuālā komersanta vai personas, kura ieņem amatu komersanta pārvaldes institūcijā</w:t>
      </w:r>
      <w:r>
        <w:t>,</w:t>
      </w:r>
      <w:r w:rsidRPr="00F62987">
        <w:t xml:space="preserve"> vai komersanta darbinieku, kas tieši saistīts ar sprāgstvielu un spridzināšanas ietaišu, izgatavošanu, glabāšanu, realizēšanu vai spridzināšanas darbu veikšanu</w:t>
      </w:r>
      <w:r>
        <w:t>,</w:t>
      </w:r>
      <w:r w:rsidRPr="00F62987">
        <w:t xml:space="preserve"> piederību pie aizliegtiem militarizētiem vai bruņotiem formējumiem, politiskajām partijām vai sabiedriskajām organizācijām (biedrībām), to apvienībām vai kustībām, kuras uzsākušas </w:t>
      </w:r>
      <w:r w:rsidRPr="00F62987">
        <w:lastRenderedPageBreak/>
        <w:t xml:space="preserve">publisko darbību pirms to reģistrācijas vai turpina darbību pēc tam, kad tā ir apturēta vai izbeigta ar tiesas nolēmumu, kā arī par piederību pie </w:t>
      </w:r>
      <w:r w:rsidRPr="00BA12BA">
        <w:t>organizētās noziedzības grupām.</w:t>
      </w:r>
    </w:p>
    <w:p w14:paraId="5EC48200" w14:textId="5219409D" w:rsidR="004059F6" w:rsidRPr="004059F6" w:rsidRDefault="00E37DF1" w:rsidP="00E37DF1">
      <w:pPr>
        <w:spacing w:after="0"/>
        <w:ind w:firstLine="720"/>
      </w:pPr>
      <w:r w:rsidRPr="00BA12BA">
        <w:t>Saskaņā ar nacionālo regulējumu Valsts policija un Valsts ieņēmumu dienesta muitas iestādes kontrolē, lai tirgū tiktu realizētas tikai tādas sprāgstvielas un spridzināšanas ietaises, kurām ir atbilstības novērtējuma apliecinājums, Eiropas atbilstības zīmes CE marķējums un īpašais marķējums. Valsts vides dienests atbilstoši savai kompetencei kontrolē sprāgstvielu un spridzināšanas ietaišu izgatavošanas, realizēšanas, glabāšanas un pārvadāšanas noteikumu ievērošanu</w:t>
      </w:r>
      <w:r w:rsidR="004059F6" w:rsidRPr="004059F6">
        <w:t xml:space="preserve">.  </w:t>
      </w:r>
    </w:p>
    <w:p w14:paraId="33BC3269" w14:textId="77777777" w:rsidR="004059F6" w:rsidRPr="004059F6" w:rsidRDefault="004059F6" w:rsidP="004059F6">
      <w:pPr>
        <w:spacing w:after="0"/>
        <w:ind w:firstLine="720"/>
      </w:pPr>
    </w:p>
    <w:p w14:paraId="55E6BC03" w14:textId="77777777" w:rsidR="004059F6" w:rsidRPr="004059F6" w:rsidRDefault="004059F6" w:rsidP="004059F6">
      <w:pPr>
        <w:spacing w:after="0"/>
        <w:ind w:firstLine="720"/>
      </w:pPr>
    </w:p>
    <w:p w14:paraId="0FC79F14" w14:textId="5FEF47C2" w:rsidR="004059F6" w:rsidRDefault="004059F6" w:rsidP="004059F6">
      <w:pPr>
        <w:pStyle w:val="Heading3"/>
        <w:ind w:left="2268" w:hanging="708"/>
      </w:pPr>
      <w:bookmarkStart w:id="65" w:name="_Toc8821882"/>
      <w:r w:rsidRPr="004059F6">
        <w:t>Ziņojums par darbībām, kas veiktas saskaņā ar iepriekšējo plānošanas periodu</w:t>
      </w:r>
      <w:bookmarkEnd w:id="65"/>
    </w:p>
    <w:p w14:paraId="3BA27DF0" w14:textId="15906FFC" w:rsidR="004059F6" w:rsidRPr="00C95AEC" w:rsidRDefault="00AE62A6" w:rsidP="004059F6">
      <w:pPr>
        <w:spacing w:after="0"/>
        <w:ind w:firstLine="720"/>
      </w:pPr>
      <w:r w:rsidRPr="00AE62A6">
        <w:t xml:space="preserve">Šobrīd Latvijā licencēti </w:t>
      </w:r>
      <w:r w:rsidR="00E37DF1" w:rsidRPr="009A60CF">
        <w:t>4 spridzināšanas darbu veikšanas komersanti, 1</w:t>
      </w:r>
      <w:r w:rsidR="00E37DF1">
        <w:t> </w:t>
      </w:r>
      <w:r w:rsidR="00E37DF1" w:rsidRPr="009A60CF">
        <w:t>sprāgstvielu realizācijas komersant</w:t>
      </w:r>
      <w:r w:rsidR="00E37DF1">
        <w:t>s</w:t>
      </w:r>
      <w:r w:rsidR="00E37DF1" w:rsidRPr="009A60CF">
        <w:t xml:space="preserve">. Saskaņā ar nacionālo tiesisko regulējumu Valsts policija nodrošina, ka katrs no minētiem objektiem tiek pārbaudīts 4 reizes gadā. </w:t>
      </w:r>
      <w:r w:rsidR="00E37DF1" w:rsidRPr="004775CA">
        <w:t>Kopumā Valsts policija 2020. gad</w:t>
      </w:r>
      <w:r w:rsidR="00E37DF1">
        <w:t>ā</w:t>
      </w:r>
      <w:r w:rsidR="00E37DF1" w:rsidRPr="004775CA">
        <w:t xml:space="preserve"> veica 32 pārbaudes. Veicot 2020. gadā plānotās komersantu pārbaudes, tika </w:t>
      </w:r>
      <w:r w:rsidR="00E37DF1" w:rsidRPr="001641D2">
        <w:t>konstatēti 2 civilām vajadzībām paredzēto sprāgstvielu un spirdzināšanas ietaišu aprites noteikumu pārkāpumi</w:t>
      </w:r>
      <w:r w:rsidR="00E37DF1" w:rsidRPr="00E665CD">
        <w:t>. Veicot 2020. gadā plānotās un reaktīvās komersantu pārbaudes, tika konstatēti pārkāpumi, par kuriem tika piemērota Civilām vajadzībām paredzētu sprāgstvielu aprites likumā noteiktā</w:t>
      </w:r>
      <w:r w:rsidR="00E37DF1">
        <w:t xml:space="preserve"> atbildība, speciālās atļaujas (licences) anulēšana</w:t>
      </w:r>
      <w:r w:rsidR="004059F6" w:rsidRPr="004059F6">
        <w:t>.</w:t>
      </w:r>
    </w:p>
    <w:p w14:paraId="583C1603" w14:textId="77777777" w:rsidR="00C95AEC" w:rsidRDefault="00C95AEC" w:rsidP="00424DFD">
      <w:pPr>
        <w:spacing w:after="0"/>
        <w:ind w:firstLine="720"/>
      </w:pPr>
    </w:p>
    <w:p w14:paraId="494DD532" w14:textId="77777777" w:rsidR="00424DFD" w:rsidRDefault="00424DFD" w:rsidP="00424DFD">
      <w:pPr>
        <w:spacing w:after="0"/>
        <w:ind w:firstLine="720"/>
      </w:pPr>
    </w:p>
    <w:p w14:paraId="49F8B5EE" w14:textId="778E4A14" w:rsidR="00BB4D80" w:rsidRPr="0008472F" w:rsidRDefault="0034153C" w:rsidP="00E44993">
      <w:pPr>
        <w:pStyle w:val="Heading2"/>
        <w:numPr>
          <w:ilvl w:val="1"/>
          <w:numId w:val="23"/>
        </w:numPr>
      </w:pPr>
      <w:bookmarkStart w:id="66" w:name="_Toc8821883"/>
      <w:r>
        <w:t>/ A</w:t>
      </w:r>
      <w:r w:rsidR="004059F6">
        <w:t>:</w:t>
      </w:r>
      <w:r>
        <w:t xml:space="preserve"> </w:t>
      </w:r>
      <w:r w:rsidR="00BB4D80" w:rsidRPr="00AF24BD">
        <w:t xml:space="preserve">Ķīmiskās vielas saskaņā ar </w:t>
      </w:r>
      <w:r w:rsidR="00BB4D80" w:rsidRPr="009F454A">
        <w:rPr>
          <w:i/>
        </w:rPr>
        <w:t>REACH</w:t>
      </w:r>
      <w:r w:rsidR="00BB4D80" w:rsidRPr="00AF24BD">
        <w:t xml:space="preserve"> un Klasificēšanas un marķēšanas regulām</w:t>
      </w:r>
      <w:r w:rsidR="009B5987">
        <w:t xml:space="preserve"> (skat. arī 2.3. punktā minēto </w:t>
      </w:r>
      <w:r w:rsidR="00B44684">
        <w:t xml:space="preserve">par PTAC </w:t>
      </w:r>
      <w:r w:rsidR="009B5987">
        <w:t>attiecībā uz šo nozari)</w:t>
      </w:r>
      <w:bookmarkEnd w:id="66"/>
    </w:p>
    <w:p w14:paraId="65685256" w14:textId="77777777" w:rsidR="00BB4D80" w:rsidRPr="007C4DD9" w:rsidRDefault="00BB4D80" w:rsidP="00BB4D80">
      <w:pPr>
        <w:pStyle w:val="Heading3"/>
        <w:tabs>
          <w:tab w:val="num" w:pos="2552"/>
        </w:tabs>
        <w:ind w:left="1701" w:hanging="77"/>
      </w:pPr>
      <w:bookmarkStart w:id="67" w:name="_Toc8821884"/>
      <w:r w:rsidRPr="007C4DD9">
        <w:t>Atbildīgās iestādes nosaukums un kontaktinformācija</w:t>
      </w:r>
      <w:bookmarkEnd w:id="67"/>
    </w:p>
    <w:p w14:paraId="364E0020" w14:textId="77777777" w:rsidR="006B5343" w:rsidRDefault="006B5343" w:rsidP="006B5343">
      <w:pPr>
        <w:pStyle w:val="Text3"/>
        <w:ind w:left="0"/>
      </w:pPr>
      <w:r>
        <w:t>Veselības inspekcija kontrolē tirdzniecībā esošo (tirgū laisto un izplatīto)  ķīmisko vielu un maisījumu atbilstību REACH un CLP (klasificēšanas un marķēšanas) regulu prasībām.</w:t>
      </w:r>
    </w:p>
    <w:p w14:paraId="6967AD54" w14:textId="77777777" w:rsidR="006B5343" w:rsidRDefault="006B5343" w:rsidP="006B5343">
      <w:pPr>
        <w:pStyle w:val="Text3"/>
        <w:ind w:left="0"/>
      </w:pPr>
      <w:r>
        <w:t>Veselības inspekcijas adrese: Klijānu ielā 7, Rīgā, LV</w:t>
      </w:r>
      <w:r>
        <w:rPr>
          <w:szCs w:val="24"/>
        </w:rPr>
        <w:t>-</w:t>
      </w:r>
      <w:r>
        <w:t xml:space="preserve">1012, kontakti: e-pasts </w:t>
      </w:r>
      <w:hyperlink r:id="rId22" w:history="1">
        <w:r>
          <w:rPr>
            <w:rStyle w:val="Hyperlink"/>
          </w:rPr>
          <w:t>vi@vi.gov.lv</w:t>
        </w:r>
      </w:hyperlink>
      <w:r>
        <w:t xml:space="preserve">, tālrunis: </w:t>
      </w:r>
      <w:r>
        <w:rPr>
          <w:bCs/>
        </w:rPr>
        <w:t>67081600</w:t>
      </w:r>
      <w:r>
        <w:t>.</w:t>
      </w:r>
    </w:p>
    <w:p w14:paraId="3FB04176" w14:textId="49716A53" w:rsidR="00892404" w:rsidRPr="003A3061" w:rsidRDefault="006B5343" w:rsidP="006B5343">
      <w:pPr>
        <w:pStyle w:val="Text3"/>
        <w:ind w:left="0"/>
      </w:pPr>
      <w:r>
        <w:t>Ķīmisko vielu un maisījumu tirgus uzraudzībā un kontrolē iesaistītas 8 amatpersonas, kuras veic arī citu preču grupu un speciālo prasību uzraudzību (kosmētikas līdzekļu, biocīdu, mazgāšanas līdzekļu, gaistošo organisko savienojumu saturošu produktu, tetovēšanas līdzekļu, tabakas izstrādājumu un elektronisko cigarešu uzpildes šķidrumu uzraudzību). Veselības inspekcijai nav laboratorijas. Laboratoriskas pārbaudes veikšanai tiek izmantoti akreditētu laboratoriju pakalpojumi</w:t>
      </w:r>
      <w:r w:rsidR="00892404">
        <w:t xml:space="preserve">. </w:t>
      </w:r>
    </w:p>
    <w:p w14:paraId="67CC1FA3" w14:textId="020335BE" w:rsidR="00BB4D80" w:rsidRPr="0008472F" w:rsidRDefault="00BB4D80" w:rsidP="00340804">
      <w:pPr>
        <w:rPr>
          <w:i/>
          <w:color w:val="0000FF"/>
        </w:rPr>
      </w:pPr>
    </w:p>
    <w:p w14:paraId="1CE68CE7" w14:textId="77777777" w:rsidR="00BB4D80" w:rsidRPr="0008472F" w:rsidRDefault="00BB4D80" w:rsidP="00BB4D80">
      <w:pPr>
        <w:pStyle w:val="Heading3"/>
        <w:tabs>
          <w:tab w:val="num" w:pos="2552"/>
        </w:tabs>
        <w:ind w:left="1701" w:hanging="77"/>
      </w:pPr>
      <w:bookmarkStart w:id="68" w:name="_Toc8821885"/>
      <w:r w:rsidRPr="0008472F">
        <w:t>Tirgus uzraudzības procedūras un stratēģija</w:t>
      </w:r>
      <w:bookmarkEnd w:id="68"/>
      <w:r w:rsidRPr="0008472F">
        <w:t xml:space="preserve"> </w:t>
      </w:r>
    </w:p>
    <w:p w14:paraId="63C2ED33" w14:textId="77777777" w:rsidR="006B5343" w:rsidRDefault="006B5343" w:rsidP="006B5343">
      <w:pPr>
        <w:pStyle w:val="Text1"/>
        <w:ind w:left="0"/>
      </w:pPr>
      <w:r>
        <w:t>Ķīmisko vielu un maisījumu kontroles jomā Veselības inspekcija ir izstrādājusi un uzraudzības mērķiem izmanto tipveida kontroles lapas, vadlīnijas un uzraudzības procedūras, kas izstrādātas un tiek izmantotas atbilstoši kontrolētā uzņēmuma atbildības līmenim piegādes ķēdē. Veselības inspekcija veic proaktīvas kontroles, kā arī izskata saņemtās sūdzības, veicot nepieciešamās darbības.</w:t>
      </w:r>
    </w:p>
    <w:p w14:paraId="4812B005" w14:textId="77777777" w:rsidR="006B5343" w:rsidRDefault="006B5343" w:rsidP="006B5343">
      <w:pPr>
        <w:pStyle w:val="Text1"/>
        <w:ind w:left="0"/>
      </w:pPr>
      <w:r>
        <w:lastRenderedPageBreak/>
        <w:t xml:space="preserve">Veselības inspekcija ķīmisko vielu un maisījumu uzraudzībā sadarbojas ar Valsts sabiedrību ar ierobežotu atbildību „Latvijas Vides, ģeoloģijas un meteoroloģijas centrs”, kas veic </w:t>
      </w:r>
      <w:r>
        <w:rPr>
          <w:rStyle w:val="Strong"/>
          <w:b w:val="0"/>
        </w:rPr>
        <w:t>Palīdzības dienesta</w:t>
      </w:r>
      <w:r>
        <w:t xml:space="preserve"> funkcijas REACH un CLP regulu ieviešanas jomā. </w:t>
      </w:r>
    </w:p>
    <w:p w14:paraId="0FF77846" w14:textId="77777777" w:rsidR="006B5343" w:rsidRDefault="006B5343" w:rsidP="006B5343">
      <w:pPr>
        <w:pStyle w:val="Text1"/>
        <w:ind w:left="0"/>
      </w:pPr>
      <w:r>
        <w:t xml:space="preserve">Veselības inspekcijas prioritāte ķīmisko vielu un maisījumu kontroles jomā ir </w:t>
      </w:r>
      <w:r>
        <w:rPr>
          <w:szCs w:val="24"/>
        </w:rPr>
        <w:t xml:space="preserve">patērētājiem un profesionāliem lietotājiem tirdzniecībā pieejamo ķīmisko maisījumu klasifikācijas, marķējuma un iepakojuma atbilstība CLP regulā un speciālajos normatīvajos aktos noteiktajām prasībām, informācijas nodošana piegādes ķēdē, lai būtu nodrošināta pareiza informācija par ķīmisko maisījumu bīstamību un tiktu mazināts  </w:t>
      </w:r>
      <w:r>
        <w:t xml:space="preserve">potenciālais risks sabiedrības veselībai, </w:t>
      </w:r>
      <w:r>
        <w:rPr>
          <w:szCs w:val="24"/>
        </w:rPr>
        <w:t>ķīmiskos maisījumus lietojot kā patērētājiem, tā profesionāliem lietotājiem</w:t>
      </w:r>
      <w:r>
        <w:t xml:space="preserve">, kas ir saskaņā ar ECHA noteiktām prioritātēm. </w:t>
      </w:r>
    </w:p>
    <w:p w14:paraId="7166C593" w14:textId="23CDE1B5" w:rsidR="00BB4D80" w:rsidRDefault="006B5343" w:rsidP="006B5343">
      <w:pPr>
        <w:pStyle w:val="Text1"/>
        <w:ind w:left="0"/>
      </w:pPr>
      <w:r>
        <w:t>2021. gadā plānota interneta vietnēs sniegtās informācijas pārbaude par vietnēs piedāvātiem bīstamiem ķīmiskiem maisījumiem, turpinot REF-8 projektā uzsākto kontroli. Tematiskās kontroles kopējās ainas par situāciju tirgū iegūšanai  "pilns plaukts" plānots veikt par dezinfekcijas līdzekļiem</w:t>
      </w:r>
      <w:r w:rsidR="003F62B8">
        <w:t>.</w:t>
      </w:r>
      <w:r w:rsidR="00883849">
        <w:t xml:space="preserve"> </w:t>
      </w:r>
    </w:p>
    <w:p w14:paraId="0EB69E27" w14:textId="77777777" w:rsidR="003F62B8" w:rsidRDefault="003F62B8" w:rsidP="00276DD2">
      <w:pPr>
        <w:pStyle w:val="Heading3"/>
        <w:tabs>
          <w:tab w:val="left" w:pos="2552"/>
        </w:tabs>
        <w:ind w:left="1843" w:hanging="283"/>
      </w:pPr>
      <w:bookmarkStart w:id="69" w:name="_Toc8821886"/>
      <w:r w:rsidRPr="0008472F">
        <w:t>Ziņojums par darbībām, kas veiktas saskaņā ar iepriekšējo plānošanas periodu</w:t>
      </w:r>
      <w:bookmarkEnd w:id="69"/>
    </w:p>
    <w:p w14:paraId="4B76BCE9" w14:textId="77777777" w:rsidR="006B5343" w:rsidRDefault="006B5343" w:rsidP="006B5343">
      <w:r>
        <w:t>2020. gadā kontrolēts 831 ķīmiskais maisījums, no kuriem atbilstoši prasībām bija 484 (58%). Kontroles veiktas 139 vairumtirdzniecības un mazumtirdzniecības uzņēmumos. 648 ķīmiskiem maisījumiem, kas bija klasificēti kā bīstami, pārbaudīts, vai marķējumā ir nodrošināta atbilstoša informācija par to bīstamību.</w:t>
      </w:r>
    </w:p>
    <w:p w14:paraId="253A216B" w14:textId="77777777" w:rsidR="006B5343" w:rsidRDefault="006B5343" w:rsidP="006B5343">
      <w:r>
        <w:t>Diviem no pārbaudītajiem ķīmiskajiem maisījumiem nebija veikta pareiza bīstamības klasificēšana, līdz ar to arī marķējumā nebija sniegta korekta informācija par bīstamību. 271 (32.6%) ķīmiskajiem maisījumiem marķējumā valsts valodā norādītā informācija bija nekorekta vai nepilnīga.</w:t>
      </w:r>
    </w:p>
    <w:p w14:paraId="4220D97E" w14:textId="77777777" w:rsidR="006B5343" w:rsidRDefault="006B5343" w:rsidP="006B5343">
      <w:r>
        <w:t>Vairumtirdzniecības uzņēmumos arī pārbaudīts, vai bīstamiem ķīmiskiem maisījumiem drošības datu lapa (DDL) tiek sniegta dalībniekiem lejupejā piegādes ķēdē. Pieciem no kontrolētiem ķīmiskiem maisījumiem kontroles laikā nebija nodrošinātas drošības datu lapas, 48 ķīmiskajiem maisījumiem DDL nebija pieejamas valsts valodā. Pārbaudītas tika 526 DDL. Prasībām atbilstošu un pietiekamu informāciju par ķīmisko maisījumu saturēja 375 (71%). Kopumā 2020. gadā apturēta 27 neatbilstošu ķīmisko maisījumu izplatīšana 12 uzņēmumos, kad konstatētas būtiskas neatbilstības prasībām, kas ietekmē preces drošumu, piemēram, sniegta nepilnīga informācija par ķīmiskā maisījuma bīstamību.</w:t>
      </w:r>
    </w:p>
    <w:p w14:paraId="01448587" w14:textId="77777777" w:rsidR="006B5343" w:rsidRDefault="006B5343" w:rsidP="006B5343">
      <w:r>
        <w:t>Laboratoriski pārbaudīta metanola koncentrācijas ierobežojuma ievērošana četros metanolu saturošos ķīmiskos maisījumos (logu mazgāšanas šķidrumos). Nevienā no paraugiem nav konstatēts pārsniegts metanola saturs. Kā arī 15 ķīmiskiem maisījumiem noteikts pH līmenis, lai pārbaudītu to klasifikācijas atbilstību. Neatbilstības konstatētas septiņos gadījumos, kad nebija ņemts vērā pH, klasificējot ķīmiskos maisījumus, līdz ar to nenodrošinot atbilstošus brīdinājumus marķējumā. Neatbilstošo preču tirdzniecība pārtraukta.</w:t>
      </w:r>
    </w:p>
    <w:p w14:paraId="0EDDFA7D" w14:textId="32940199" w:rsidR="00CD0AD7" w:rsidRDefault="006B5343" w:rsidP="006B5343">
      <w:pPr>
        <w:spacing w:after="0"/>
      </w:pPr>
      <w:r>
        <w:t xml:space="preserve">Veselības inspekcija 2020. gadā piedalījās ECHA organizētajā </w:t>
      </w:r>
      <w:r>
        <w:rPr>
          <w:rStyle w:val="Emphasis"/>
        </w:rPr>
        <w:t>REACH</w:t>
      </w:r>
      <w:r>
        <w:rPr>
          <w:rStyle w:val="st"/>
          <w:i/>
        </w:rPr>
        <w:t>-EN-FORCE</w:t>
      </w:r>
      <w:r>
        <w:t xml:space="preserve"> astotajā projektā (REF-8), kas </w:t>
      </w:r>
      <w:r>
        <w:rPr>
          <w:szCs w:val="24"/>
        </w:rPr>
        <w:t xml:space="preserve">veltīts prasību ievērošanas kontrolei tīmeklī pārdotajām bīstamajām ķīmiskajām vielām, ķīmiskajiem maisījumiem, biocīdiem un izstrādājumiem. Projekta ietvaros </w:t>
      </w:r>
      <w:r>
        <w:rPr>
          <w:rStyle w:val="tlid-translation"/>
          <w:szCs w:val="24"/>
        </w:rPr>
        <w:t xml:space="preserve">pārbaudīts, vai pircējiem pirms pirkuma veikšanas tiešsaistē tiek sniegta informācija par pārdoto </w:t>
      </w:r>
      <w:r>
        <w:rPr>
          <w:szCs w:val="24"/>
        </w:rPr>
        <w:t>ķīmisko maisījumu bīstamību</w:t>
      </w:r>
      <w:r>
        <w:rPr>
          <w:rStyle w:val="tlid-translation"/>
          <w:szCs w:val="24"/>
        </w:rPr>
        <w:t xml:space="preserve"> un ievēroti citi </w:t>
      </w:r>
      <w:r>
        <w:rPr>
          <w:szCs w:val="24"/>
        </w:rPr>
        <w:t xml:space="preserve">REACH, CLP un </w:t>
      </w:r>
      <w:r>
        <w:rPr>
          <w:szCs w:val="24"/>
        </w:rPr>
        <w:lastRenderedPageBreak/>
        <w:t>Biocīdu regulas</w:t>
      </w:r>
      <w:r>
        <w:t xml:space="preserve"> </w:t>
      </w:r>
      <w:r>
        <w:rPr>
          <w:rStyle w:val="tlid-translation"/>
          <w:szCs w:val="24"/>
        </w:rPr>
        <w:t>prasību aspekti.  Kontroļu rezultāti tiks iesniegti ECHA apkopošanai un publicēšanai kopējā projekta ziņojumā</w:t>
      </w:r>
      <w:r w:rsidR="00CD0AD7" w:rsidRPr="00CD0AD7">
        <w:t>.</w:t>
      </w:r>
    </w:p>
    <w:p w14:paraId="74DF495A" w14:textId="77777777" w:rsidR="00E05B0C" w:rsidRPr="00CD0AD7" w:rsidRDefault="00E05B0C" w:rsidP="007B1D33">
      <w:pPr>
        <w:spacing w:after="0"/>
      </w:pPr>
    </w:p>
    <w:p w14:paraId="350DE786" w14:textId="77777777" w:rsidR="00CD0AD7" w:rsidRPr="00CD0AD7" w:rsidRDefault="00CD0AD7" w:rsidP="00CD0AD7">
      <w:pPr>
        <w:spacing w:after="0"/>
        <w:jc w:val="left"/>
        <w:rPr>
          <w:rFonts w:ascii="Arial" w:hAnsi="Arial" w:cs="Arial"/>
          <w:sz w:val="17"/>
          <w:szCs w:val="17"/>
          <w:lang w:bidi="ar-SA"/>
        </w:rPr>
      </w:pPr>
    </w:p>
    <w:p w14:paraId="7177D3D2" w14:textId="1D27D897" w:rsidR="00BB4D80" w:rsidRDefault="0034153C" w:rsidP="00E44993">
      <w:pPr>
        <w:pStyle w:val="Heading2"/>
        <w:numPr>
          <w:ilvl w:val="1"/>
          <w:numId w:val="21"/>
        </w:numPr>
        <w:tabs>
          <w:tab w:val="num" w:pos="2552"/>
        </w:tabs>
      </w:pPr>
      <w:bookmarkStart w:id="70" w:name="_Toc8821887"/>
      <w:r>
        <w:t>/ B</w:t>
      </w:r>
      <w:r w:rsidR="004059F6">
        <w:t>:</w:t>
      </w:r>
      <w:r>
        <w:t xml:space="preserve">  </w:t>
      </w:r>
      <w:r w:rsidR="00BB4D80" w:rsidRPr="00045ADA">
        <w:rPr>
          <w:color w:val="000000"/>
        </w:rPr>
        <w:t>Citas ķīmiskas vielas (mazgāšanas līdzekļi, krāsas, noturīgi organiskie piesārņotāji, fluorētās siltumnīcefekta gāzes, ozona slāni noārdošas vielas utt.)</w:t>
      </w:r>
      <w:r w:rsidR="009B5987">
        <w:rPr>
          <w:color w:val="000000"/>
        </w:rPr>
        <w:t xml:space="preserve"> </w:t>
      </w:r>
      <w:r w:rsidR="009B5987">
        <w:t xml:space="preserve">(skat. arī 2.3. punktā minēto </w:t>
      </w:r>
      <w:r w:rsidR="00B44684">
        <w:t xml:space="preserve">par PTAC </w:t>
      </w:r>
      <w:r w:rsidR="009B5987">
        <w:t>attiecībā uz šo nozari)</w:t>
      </w:r>
      <w:bookmarkEnd w:id="70"/>
    </w:p>
    <w:p w14:paraId="1D061ED2" w14:textId="77777777" w:rsidR="00BB4D80" w:rsidRPr="0008472F" w:rsidRDefault="00BB4D80" w:rsidP="00BB4D80">
      <w:pPr>
        <w:pStyle w:val="Heading3"/>
        <w:tabs>
          <w:tab w:val="num" w:pos="2552"/>
        </w:tabs>
        <w:ind w:left="1701" w:hanging="77"/>
      </w:pPr>
      <w:bookmarkStart w:id="71" w:name="_Toc8821888"/>
      <w:r w:rsidRPr="0008472F">
        <w:t>Atbildīgās iestādes nosaukums un kontaktinformācija</w:t>
      </w:r>
      <w:bookmarkEnd w:id="71"/>
    </w:p>
    <w:p w14:paraId="24B39385" w14:textId="77777777" w:rsidR="001D2571" w:rsidRDefault="001D2571" w:rsidP="001D2571">
      <w:pPr>
        <w:pStyle w:val="Text3"/>
        <w:ind w:left="0"/>
      </w:pPr>
      <w:r>
        <w:t>Veselības inspekcija kontrolē tirdzniecībā esošo (tirgū laisto un izplatīto)  mazgāšanas līdzekļu atbilstību regulas Nr. 648/2004 un gaistošo organisko savienojumu saturošu produktu atbilstību direktīvas 2004/42/EK prasībām.</w:t>
      </w:r>
    </w:p>
    <w:p w14:paraId="182F0B92" w14:textId="77777777" w:rsidR="001D2571" w:rsidRDefault="001D2571" w:rsidP="001D2571">
      <w:pPr>
        <w:pStyle w:val="Text3"/>
        <w:ind w:left="0"/>
      </w:pPr>
      <w:r>
        <w:t>Veselības inspekcijas adrese: Klijānu ielā 7, Rīgā, LV</w:t>
      </w:r>
      <w:r>
        <w:rPr>
          <w:szCs w:val="24"/>
        </w:rPr>
        <w:t>-</w:t>
      </w:r>
      <w:r>
        <w:t xml:space="preserve">1012, kontakti: e-pasts </w:t>
      </w:r>
      <w:hyperlink r:id="rId23" w:history="1">
        <w:r>
          <w:rPr>
            <w:rStyle w:val="Hyperlink"/>
          </w:rPr>
          <w:t>vi@vi.gov.lv</w:t>
        </w:r>
      </w:hyperlink>
      <w:r>
        <w:t xml:space="preserve">, tālrunis: </w:t>
      </w:r>
      <w:r>
        <w:rPr>
          <w:bCs/>
        </w:rPr>
        <w:t>67081600</w:t>
      </w:r>
      <w:r>
        <w:t>.</w:t>
      </w:r>
    </w:p>
    <w:p w14:paraId="4B9E4B04" w14:textId="5FDB8C22" w:rsidR="00892404" w:rsidRPr="003A3061" w:rsidRDefault="001D2571" w:rsidP="001D2571">
      <w:pPr>
        <w:pStyle w:val="Text3"/>
        <w:ind w:left="0"/>
      </w:pPr>
      <w:r>
        <w:t>Mazgāšanas līdzekļu un gaistošo organisko savienojumu saturošu produktu tirgus uzraudzībā un kontrolē iesaistītas 8 amatpersonas no Veselības inspekcijas, kuras veic arī citu preču grupu (kosmētikas līdzekļu, ķīmisko vielu un maisījumu saskaņā ar REACH un CLP, biocīdu, tabakas izstrādājumu un elektronisko cigarešu uzpildes šķidrumu) uzraudzību. Veselības inspekcijai nav laboratorijas. Laboratoriskas pārbaudes veikšanai tiek izmantoti akreditētu laboratoriju pakalpojumi</w:t>
      </w:r>
      <w:r w:rsidR="00892404">
        <w:t xml:space="preserve">. </w:t>
      </w:r>
    </w:p>
    <w:p w14:paraId="2274F93C" w14:textId="77777777" w:rsidR="00BB4D80" w:rsidRPr="0008472F" w:rsidRDefault="00BB4D80" w:rsidP="00BB4D80">
      <w:pPr>
        <w:pStyle w:val="Heading3"/>
        <w:tabs>
          <w:tab w:val="num" w:pos="2552"/>
        </w:tabs>
        <w:ind w:left="1701" w:hanging="77"/>
      </w:pPr>
      <w:bookmarkStart w:id="72" w:name="_Toc8821889"/>
      <w:r w:rsidRPr="0008472F">
        <w:t>Tirgus uzraudzības procedūras un stratēģija</w:t>
      </w:r>
      <w:bookmarkEnd w:id="72"/>
      <w:r w:rsidRPr="0008472F">
        <w:t xml:space="preserve"> </w:t>
      </w:r>
    </w:p>
    <w:p w14:paraId="2A852EDC" w14:textId="77777777" w:rsidR="001D2571" w:rsidRDefault="001D2571" w:rsidP="001D2571">
      <w:pPr>
        <w:pStyle w:val="Text1"/>
        <w:ind w:left="0"/>
      </w:pPr>
      <w:r>
        <w:t>Veselības inspekcija mazgāšanas līdzekļiem un gaistošo organisko savienojumu saturošiem produktiem (krāsas, lakas un transportlīdzekļu galīgās apdares materiāli), papildus jau minētajām REACH un CLP prasību uzraudzības tipveida kontroles lapām, ir izstrādājusi un uzraudzības mērķiem izmanto speciālo prasību tipveida kontroles lapas un vadlīnijas. Veselības inspekcija veic proaktīvas kontroles, kā arī izskata saņemtās sūdzības, veicot nepieciešamās darbības.</w:t>
      </w:r>
    </w:p>
    <w:p w14:paraId="5EC510BE" w14:textId="52637314" w:rsidR="00276DD2" w:rsidRDefault="001D2571" w:rsidP="001D2571">
      <w:pPr>
        <w:pStyle w:val="Text1"/>
        <w:ind w:left="0"/>
      </w:pPr>
      <w:r>
        <w:t>Veselības inspekcija katru gadu apkopo datus un sagatavo atskaiti par gaistošo organisko savienojumu saturošo produktu uzraudzības rezultātiem, ko iesniedz Vides un reģionālās attīstības ministrijai</w:t>
      </w:r>
      <w:r w:rsidR="00276DD2">
        <w:t>.</w:t>
      </w:r>
    </w:p>
    <w:p w14:paraId="49202868" w14:textId="77777777" w:rsidR="00BB4D80" w:rsidRPr="0008472F" w:rsidRDefault="00BB4D80" w:rsidP="00BB4D80">
      <w:pPr>
        <w:pStyle w:val="Heading3"/>
        <w:tabs>
          <w:tab w:val="num" w:pos="2552"/>
        </w:tabs>
        <w:ind w:left="1701" w:hanging="77"/>
      </w:pPr>
      <w:bookmarkStart w:id="73" w:name="_Toc8821890"/>
      <w:r w:rsidRPr="0008472F">
        <w:t>Ziņojums par darbībām, kas veiktas saskaņā ar iepriekšējo plānošanas periodu</w:t>
      </w:r>
      <w:bookmarkEnd w:id="73"/>
    </w:p>
    <w:p w14:paraId="64B43156" w14:textId="77777777" w:rsidR="001D2571" w:rsidRDefault="001D2571" w:rsidP="001D2571">
      <w:r>
        <w:t>2020. gadā kontrolēti 67 uzņēmumi, kas nodarbojas ar mazgāšanas līdzekļu tirdzniecību, kopumā pārbaudot 289 mazgāšanas līdzekļu atbilstību normatīvo aktu prasībām. No pārbaudītajiem neatbilstības tika konstatētas 88 (30,4%), nepilnības latviešu valodas marķējumā konstatētas 69 (23,9%). Pilnīga informācija par bionoārdīšanās pakāpi kontroles laikā nebija 13 (5,2%) no 248 mazgāšanas līdzekļiem, kas saturēja virsmaktīvās vielas. Pārkāpumi attiecībā uz fosfora satura tirdzniecības ierobežojumiem netika konstatēti.</w:t>
      </w:r>
    </w:p>
    <w:p w14:paraId="6FD591CC" w14:textId="77777777" w:rsidR="001D2571" w:rsidRDefault="001D2571" w:rsidP="001D2571">
      <w:r>
        <w:t xml:space="preserve">2020. gadā kontrolēti 23 uzņēmumi, kas nodarbojas ar gaistošo organisko savienojumu saturošu produktu tirdzniecību, kopumā pārbaudot 61 gaistošo organisko savienojumu saturoša produkta atbilstību normatīvo aktu prasībām, tai skaitā 28 produkti paredzēti tikai profesionālai lietošanai. Visām prasībām atbilst 84% no kontrolētajiem maisījumiem.  Sešiem (9,8%) produktiem marķējumā nebija norādīta produkta </w:t>
      </w:r>
      <w:r>
        <w:lastRenderedPageBreak/>
        <w:t>apakšgrupa, attiecīgās gaistošo organisko savienojumu satura robežvērtības un gaistošo organisko savienojumu saturs (g/l) lietošanai gatavā produktā, bet diviem (3,3 %) minētā informācija norādīta neprecīzi.  Vienam (1,6%) produktam ražošanas tehniskā dokumentācijā jeb drošības datu lapā nebija norādīta informācija par gaistošo organisko savienojumu saturu. Vienam (1,6%)  produktam  informācija, kas norādīta ražotāja tehniskajā dokumentācijā nesakrita ar informāciju attiecīgā marķējumā.</w:t>
      </w:r>
    </w:p>
    <w:p w14:paraId="2E0AB14E" w14:textId="6F472BFA" w:rsidR="00892404" w:rsidRDefault="001D2571" w:rsidP="001D2571">
      <w:r>
        <w:rPr>
          <w:szCs w:val="24"/>
          <w:lang w:eastAsia="en-US"/>
        </w:rPr>
        <w:t xml:space="preserve">Laboratoriski </w:t>
      </w:r>
      <w:r>
        <w:t xml:space="preserve">12 produktiem (krāsas un lakas) pārbaudīta gaistošo organisko savienojumu koncentrācija, </w:t>
      </w:r>
      <w:r>
        <w:rPr>
          <w:szCs w:val="24"/>
          <w:lang w:eastAsia="en-US"/>
        </w:rPr>
        <w:t>neatbilstības netika konstatētas</w:t>
      </w:r>
      <w:r w:rsidR="00892404">
        <w:t>.</w:t>
      </w:r>
      <w:r w:rsidR="00892404" w:rsidRPr="00542DB5">
        <w:rPr>
          <w:b/>
          <w:bCs/>
        </w:rPr>
        <w:t xml:space="preserve"> </w:t>
      </w:r>
      <w:r w:rsidR="00892404">
        <w:t xml:space="preserve"> </w:t>
      </w:r>
    </w:p>
    <w:p w14:paraId="526FF7BC" w14:textId="77777777" w:rsidR="00B44684" w:rsidRPr="00B44684" w:rsidRDefault="00B44684" w:rsidP="00B44684">
      <w:pPr>
        <w:rPr>
          <w:b/>
          <w:bCs/>
          <w:i/>
        </w:rPr>
      </w:pPr>
    </w:p>
    <w:p w14:paraId="2C7FBAC5" w14:textId="0993D042" w:rsidR="00B44684" w:rsidRPr="00B44684" w:rsidRDefault="00B44684" w:rsidP="00E44993">
      <w:pPr>
        <w:pStyle w:val="Heading2"/>
        <w:numPr>
          <w:ilvl w:val="1"/>
          <w:numId w:val="27"/>
        </w:numPr>
        <w:rPr>
          <w:bCs/>
        </w:rPr>
      </w:pPr>
      <w:bookmarkStart w:id="74" w:name="_Toc8821891"/>
      <w:r>
        <w:rPr>
          <w:bCs/>
        </w:rPr>
        <w:t xml:space="preserve">/ A un B: </w:t>
      </w:r>
      <w:r w:rsidRPr="00B44684">
        <w:rPr>
          <w:bCs/>
        </w:rPr>
        <w:t xml:space="preserve">Ķīmiskās vielas saskaņā ar </w:t>
      </w:r>
      <w:r w:rsidRPr="00B44684">
        <w:rPr>
          <w:bCs/>
          <w:i/>
        </w:rPr>
        <w:t>REACH</w:t>
      </w:r>
      <w:r w:rsidRPr="00B44684">
        <w:rPr>
          <w:bCs/>
        </w:rPr>
        <w:t xml:space="preserve"> un Klasificēšanas un marķēšanas regulām, kā arī citas ķīmiskas vielas (krāsas, noturīgi organiskie piesārņotāji, fluorētās siltumnīcefekta gāzes, ozona slāni noārdošas vielas utt.)</w:t>
      </w:r>
      <w:bookmarkEnd w:id="74"/>
    </w:p>
    <w:p w14:paraId="3B2CD861" w14:textId="77777777" w:rsidR="00B44684" w:rsidRPr="00B44684" w:rsidRDefault="00B44684" w:rsidP="00B44684">
      <w:pPr>
        <w:numPr>
          <w:ilvl w:val="2"/>
          <w:numId w:val="3"/>
        </w:numPr>
        <w:tabs>
          <w:tab w:val="num" w:pos="2279"/>
        </w:tabs>
        <w:rPr>
          <w:bCs/>
          <w:i/>
        </w:rPr>
      </w:pPr>
      <w:r w:rsidRPr="00B44684">
        <w:rPr>
          <w:bCs/>
          <w:i/>
        </w:rPr>
        <w:t>Atbildīgās iestādes nosaukums un kontaktinformācija</w:t>
      </w:r>
    </w:p>
    <w:p w14:paraId="2D5067D1" w14:textId="77777777" w:rsidR="00B44684" w:rsidRPr="00B44684" w:rsidRDefault="00B44684" w:rsidP="00B44684">
      <w:pPr>
        <w:rPr>
          <w:bCs/>
        </w:rPr>
      </w:pPr>
      <w:r w:rsidRPr="00B44684">
        <w:rPr>
          <w:bCs/>
        </w:rPr>
        <w:t>Uzraudzības iestāde: Valsts vides dienests</w:t>
      </w:r>
    </w:p>
    <w:p w14:paraId="00AB8503" w14:textId="36F64875" w:rsidR="00B44684" w:rsidRPr="00B44684" w:rsidRDefault="00B44684" w:rsidP="00B44684">
      <w:pPr>
        <w:rPr>
          <w:bCs/>
          <w:u w:val="single"/>
        </w:rPr>
      </w:pPr>
      <w:r w:rsidRPr="00B44684">
        <w:rPr>
          <w:bCs/>
        </w:rPr>
        <w:t xml:space="preserve">Kontaktinformācija: +371 67084200, </w:t>
      </w:r>
      <w:hyperlink r:id="rId24" w:history="1">
        <w:r w:rsidR="004600C0" w:rsidRPr="00D96F18">
          <w:rPr>
            <w:rStyle w:val="Hyperlink"/>
            <w:bCs/>
          </w:rPr>
          <w:t>pasts@vvd.gov.lv</w:t>
        </w:r>
      </w:hyperlink>
      <w:r w:rsidRPr="00B44684">
        <w:rPr>
          <w:bCs/>
        </w:rPr>
        <w:t xml:space="preserve">, </w:t>
      </w:r>
      <w:hyperlink r:id="rId25" w:history="1">
        <w:r w:rsidRPr="00B44684">
          <w:rPr>
            <w:rStyle w:val="Hyperlink"/>
            <w:bCs/>
          </w:rPr>
          <w:t>www.vvd.gov.lv</w:t>
        </w:r>
      </w:hyperlink>
      <w:r w:rsidRPr="00B44684">
        <w:rPr>
          <w:bCs/>
        </w:rPr>
        <w:t xml:space="preserve"> </w:t>
      </w:r>
      <w:r w:rsidR="004600C0">
        <w:rPr>
          <w:iCs/>
        </w:rPr>
        <w:t>Rūpniecības ielā 23, Rīgā, LV-1045</w:t>
      </w:r>
    </w:p>
    <w:p w14:paraId="063C1C94" w14:textId="77777777" w:rsidR="004600C0" w:rsidRDefault="004600C0" w:rsidP="004600C0">
      <w:pPr>
        <w:pStyle w:val="Text1"/>
        <w:ind w:left="0"/>
        <w:rPr>
          <w:iCs/>
        </w:rPr>
      </w:pPr>
      <w:r>
        <w:rPr>
          <w:iCs/>
        </w:rPr>
        <w:t>Valsts vides dienesta viens no uzdevumiem ir kontrolēt normatīvajos aktos noteikto prasību ievērošanu par piesārņojošo vielu emisiju vidē, kā arī darbībām ar ķīmiskajām vielām un maisījumiem</w:t>
      </w:r>
      <w:r>
        <w:rPr>
          <w:rStyle w:val="FootnoteReference"/>
          <w:iCs/>
        </w:rPr>
        <w:footnoteReference w:id="1"/>
      </w:r>
      <w:r>
        <w:rPr>
          <w:iCs/>
        </w:rPr>
        <w:t>.</w:t>
      </w:r>
    </w:p>
    <w:p w14:paraId="43E898AE" w14:textId="07EF5928" w:rsidR="00B44684" w:rsidRPr="00B44684" w:rsidRDefault="004600C0" w:rsidP="00B44684">
      <w:pPr>
        <w:rPr>
          <w:bCs/>
        </w:rPr>
      </w:pPr>
      <w:r>
        <w:rPr>
          <w:iCs/>
        </w:rPr>
        <w:t>Piesārņojošo darbību uzraudzību Valsts vides dienestā kopumā veic 56 pilnas slodzes inspektori. Inspektori nav specializēti uz atsevišķu darbības jomu kontroli (piemēram, tikai darbību uzraudzība ar ķīmiskajām vielām un maisījumiem), pārbaudēs inspektori parasti veic vairāku piesārņojošo darbību kontroli</w:t>
      </w:r>
      <w:r w:rsidR="00B44684" w:rsidRPr="00B44684">
        <w:rPr>
          <w:bCs/>
        </w:rPr>
        <w:t xml:space="preserve">. </w:t>
      </w:r>
    </w:p>
    <w:p w14:paraId="4D3618D6" w14:textId="77777777" w:rsidR="00B44684" w:rsidRPr="00B44684" w:rsidRDefault="00B44684" w:rsidP="00B44684">
      <w:pPr>
        <w:rPr>
          <w:bCs/>
          <w:i/>
        </w:rPr>
      </w:pPr>
    </w:p>
    <w:p w14:paraId="2F63AA7A" w14:textId="77777777" w:rsidR="00B44684" w:rsidRPr="00B44684" w:rsidRDefault="00B44684" w:rsidP="00FD3E79">
      <w:pPr>
        <w:numPr>
          <w:ilvl w:val="2"/>
          <w:numId w:val="3"/>
        </w:numPr>
        <w:tabs>
          <w:tab w:val="clear" w:pos="3414"/>
        </w:tabs>
        <w:ind w:left="709" w:firstLine="0"/>
        <w:rPr>
          <w:bCs/>
          <w:i/>
        </w:rPr>
      </w:pPr>
      <w:r w:rsidRPr="00B44684">
        <w:rPr>
          <w:bCs/>
          <w:i/>
        </w:rPr>
        <w:t xml:space="preserve">Tirgus uzraudzības procedūras un stratēģija </w:t>
      </w:r>
    </w:p>
    <w:p w14:paraId="2C4EF548" w14:textId="1B0F35F2" w:rsidR="004600C0" w:rsidRDefault="002B7537" w:rsidP="004600C0">
      <w:pPr>
        <w:pStyle w:val="Text3"/>
        <w:ind w:left="0"/>
        <w:rPr>
          <w:iCs/>
        </w:rPr>
      </w:pPr>
      <w:r w:rsidRPr="002B7537">
        <w:rPr>
          <w:bCs/>
        </w:rPr>
        <w:t xml:space="preserve">Valsts vides dienesta prioritārie darbības virzieni noteikti </w:t>
      </w:r>
      <w:r w:rsidR="004600C0">
        <w:rPr>
          <w:iCs/>
        </w:rPr>
        <w:t>Valsts vides dienesta darbības stratēģijā, kas šobrīd ir sagatavota laika periodam no 2021. līdz 2027. gadam.</w:t>
      </w:r>
    </w:p>
    <w:p w14:paraId="6C249AA7" w14:textId="77777777" w:rsidR="004600C0" w:rsidRDefault="004600C0" w:rsidP="004600C0">
      <w:pPr>
        <w:pStyle w:val="NoSpacing"/>
        <w:spacing w:after="240"/>
        <w:jc w:val="both"/>
        <w:rPr>
          <w:lang w:val="lv-LV"/>
        </w:rPr>
      </w:pPr>
      <w:r w:rsidRPr="003659A8">
        <w:rPr>
          <w:iCs/>
          <w:lang w:val="lv-LV"/>
        </w:rPr>
        <w:t>Pamatojoties uz kritērijiem, kas ir noteikti Valsts vides dienesta Vides inspicēšanas plānā 2020.-2025.</w:t>
      </w:r>
      <w:r>
        <w:rPr>
          <w:iCs/>
          <w:lang w:val="lv-LV"/>
        </w:rPr>
        <w:t> </w:t>
      </w:r>
      <w:r w:rsidRPr="003659A8">
        <w:rPr>
          <w:iCs/>
          <w:lang w:val="lv-LV"/>
        </w:rPr>
        <w:t>gadam</w:t>
      </w:r>
      <w:r w:rsidRPr="003659A8">
        <w:rPr>
          <w:rStyle w:val="FootnoteReference"/>
          <w:iCs/>
          <w:lang w:val="lv-LV"/>
        </w:rPr>
        <w:footnoteReference w:id="2"/>
      </w:r>
      <w:r w:rsidRPr="003659A8">
        <w:rPr>
          <w:iCs/>
          <w:lang w:val="lv-LV"/>
        </w:rPr>
        <w:t xml:space="preserve">, Valsts vides dienests katru gadu sagatavo objektu pārbaužu plānu. Pārbaužu plāna sagatavošana tiek balstīta uz risku novērtējumu, ņemot vērā </w:t>
      </w:r>
      <w:r w:rsidRPr="003659A8">
        <w:rPr>
          <w:lang w:val="lv-LV"/>
        </w:rPr>
        <w:t>konkrētās iekārtas radīto emisiju, tās iespējamo un reālo ietekmi uz vidi un cilvēka veselību, kā arī vietējās vides ietekmējamību un iespējamo negadījumu risku. Tāpat ņem vērā arī konkrētās iekārtas līdzšinējās darbības atbilstību normatīvo aktu prasībām un atļauju nosacījumiem.</w:t>
      </w:r>
      <w:r>
        <w:rPr>
          <w:lang w:val="lv-LV"/>
        </w:rPr>
        <w:t xml:space="preserve"> Darbību ar ķīmiskām vielām un maisījumiem, kā arī fluorētām siltumnīcefekta gāzēm un ozona slāni noārdošām vielām uzraudzības plānu Valsts vides dienests iekļauj kopējā pārbaužu plānā, plānojot pārbaudes iekārtās, kurās veic A, B vai C kategorijas piesārņojošo </w:t>
      </w:r>
      <w:r>
        <w:rPr>
          <w:lang w:val="lv-LV"/>
        </w:rPr>
        <w:lastRenderedPageBreak/>
        <w:t xml:space="preserve">darbību. Valsts vides dienests veic gan plānotās pārbaudes (integrētās, tematiskās, uzraudzības), gan neplānotās pārbaudes (sūdzību, iesniegumu izskatīšanas, avārijas gadījumos).  </w:t>
      </w:r>
    </w:p>
    <w:p w14:paraId="534DEE28" w14:textId="77777777" w:rsidR="004600C0" w:rsidRDefault="004600C0" w:rsidP="004600C0">
      <w:pPr>
        <w:pStyle w:val="paragraph"/>
        <w:spacing w:before="0" w:beforeAutospacing="0" w:after="0" w:afterAutospacing="0"/>
        <w:jc w:val="both"/>
        <w:textAlignment w:val="baseline"/>
        <w:rPr>
          <w:rFonts w:ascii="Segoe UI" w:hAnsi="Segoe UI" w:cs="Segoe UI"/>
          <w:sz w:val="18"/>
          <w:szCs w:val="18"/>
        </w:rPr>
      </w:pPr>
      <w:r>
        <w:t xml:space="preserve">Viena no Valsts vides dienesta </w:t>
      </w:r>
      <w:r>
        <w:rPr>
          <w:iCs/>
        </w:rPr>
        <w:t xml:space="preserve">2021.-2027. gada stratēģiskajām prioritātēm ir gaisa kvalitātes uzlabošana un emisiju samazināšana no dažādām piesārņojošām darbībām, kas ietver arī darbību ar ozona slāni noārdošām vielām un </w:t>
      </w:r>
      <w:r>
        <w:t xml:space="preserve">fluorētām siltumnīcefekta gāzēm kontroli. 2021. gada pārbaužu plānā ir paredzēts, ka Valsts vides dienests veiks 100 pārbaudes darbību veicējiem ar fluorētām siltumnīcefekta gāzēm un operatoriem, kuri izmanto fluorētās siltumnīcefekta gāzes, tai skaitā autoservisos. </w:t>
      </w:r>
    </w:p>
    <w:p w14:paraId="6FB6472D" w14:textId="77777777" w:rsidR="004600C0" w:rsidRPr="003659A8" w:rsidRDefault="004600C0" w:rsidP="004600C0">
      <w:pPr>
        <w:pStyle w:val="NoSpacing"/>
        <w:jc w:val="both"/>
        <w:rPr>
          <w:lang w:val="lv-LV"/>
        </w:rPr>
      </w:pPr>
    </w:p>
    <w:p w14:paraId="3ED57099" w14:textId="77777777" w:rsidR="004600C0" w:rsidRDefault="004600C0" w:rsidP="004600C0">
      <w:pPr>
        <w:pStyle w:val="Text3"/>
        <w:ind w:left="0"/>
      </w:pPr>
      <w:r>
        <w:t>Lai sasniegtu mērķi, ka operatori ir zinoši un savā darbībā ievēro vides aizsardzības prasības, ar 2021. gadu Valsts vides dienests ieviesīs “Konsultāciju vizītes” pie jaunajiem operatoriem, kuri ir uzsākuši darbību pēc atļaujas saņemšanas vai darbības reģistrācijas.</w:t>
      </w:r>
    </w:p>
    <w:p w14:paraId="1D4D831D" w14:textId="77777777" w:rsidR="004600C0" w:rsidRDefault="004600C0" w:rsidP="004600C0">
      <w:pPr>
        <w:pStyle w:val="Text3"/>
        <w:ind w:left="0"/>
        <w:rPr>
          <w:bCs/>
        </w:rPr>
      </w:pPr>
      <w:r>
        <w:t xml:space="preserve">Pārbaudēs Valsts vides dienests piemēro “Konsultē vispirms” principu. </w:t>
      </w:r>
      <w:r>
        <w:rPr>
          <w:szCs w:val="24"/>
        </w:rPr>
        <w:t>P</w:t>
      </w:r>
      <w:r w:rsidRPr="00D57446">
        <w:rPr>
          <w:szCs w:val="24"/>
        </w:rPr>
        <w:t xml:space="preserve">ārbaudes mērķis </w:t>
      </w:r>
      <w:r>
        <w:rPr>
          <w:szCs w:val="24"/>
        </w:rPr>
        <w:t>ir</w:t>
      </w:r>
      <w:r w:rsidRPr="00D57446">
        <w:rPr>
          <w:szCs w:val="24"/>
        </w:rPr>
        <w:t xml:space="preserve"> panākt darbības atbilstību visām prasībām un nosacījumiem</w:t>
      </w:r>
      <w:r>
        <w:rPr>
          <w:szCs w:val="24"/>
        </w:rPr>
        <w:t xml:space="preserve"> nevis </w:t>
      </w:r>
      <w:r w:rsidRPr="00D57446">
        <w:rPr>
          <w:szCs w:val="24"/>
        </w:rPr>
        <w:t>sodīt operatoru par neatbilstībām</w:t>
      </w:r>
      <w:r>
        <w:rPr>
          <w:szCs w:val="24"/>
        </w:rPr>
        <w:t xml:space="preserve">. </w:t>
      </w:r>
      <w:r>
        <w:rPr>
          <w:bCs/>
        </w:rPr>
        <w:t>P</w:t>
      </w:r>
      <w:r w:rsidRPr="002B7537">
        <w:rPr>
          <w:bCs/>
        </w:rPr>
        <w:t>ārbaudēs konstatēt</w:t>
      </w:r>
      <w:r>
        <w:rPr>
          <w:bCs/>
        </w:rPr>
        <w:t>o</w:t>
      </w:r>
      <w:r w:rsidRPr="002B7537">
        <w:rPr>
          <w:bCs/>
        </w:rPr>
        <w:t xml:space="preserve"> neatbilstīb</w:t>
      </w:r>
      <w:r>
        <w:rPr>
          <w:bCs/>
        </w:rPr>
        <w:t>u</w:t>
      </w:r>
      <w:r w:rsidRPr="002B7537">
        <w:rPr>
          <w:bCs/>
        </w:rPr>
        <w:t xml:space="preserve"> </w:t>
      </w:r>
      <w:r>
        <w:rPr>
          <w:bCs/>
        </w:rPr>
        <w:t>novēršanai</w:t>
      </w:r>
      <w:r w:rsidRPr="002B7537">
        <w:rPr>
          <w:bCs/>
        </w:rPr>
        <w:t xml:space="preserve"> </w:t>
      </w:r>
      <w:r>
        <w:rPr>
          <w:bCs/>
        </w:rPr>
        <w:t>izdod</w:t>
      </w:r>
      <w:r w:rsidRPr="002B7537">
        <w:rPr>
          <w:bCs/>
        </w:rPr>
        <w:t xml:space="preserve"> lēmumu par veicamajām rīcībām neatbilstību novēršanai, operatoram uzdodot noteiktā termiņā </w:t>
      </w:r>
      <w:r>
        <w:rPr>
          <w:bCs/>
        </w:rPr>
        <w:t>neatbilstības</w:t>
      </w:r>
      <w:r w:rsidRPr="002B7537">
        <w:rPr>
          <w:bCs/>
        </w:rPr>
        <w:t xml:space="preserve"> novērst.</w:t>
      </w:r>
      <w:r>
        <w:rPr>
          <w:bCs/>
        </w:rPr>
        <w:t xml:space="preserve"> Par pārbaudē konstatētajiem atļaujas nosacījumu pārkāpumiem operatoram nosūta brīdinājumu par piespiedu izpildi, kas tiks piemērota, ja neatbilstības nenovērsīs. Gadījumos, kad operatora rīcība vai bezdarbība ir izraisījusi vides piesārņošanu vai citu būtisku ietekmi, Valsts vides dienests uzsāk administratīvā pārkāpuma lietvedību un piemēro administratīvo sodu.</w:t>
      </w:r>
    </w:p>
    <w:p w14:paraId="0B0F800B" w14:textId="41ABA7BB" w:rsidR="00B44684" w:rsidRPr="00B44684" w:rsidRDefault="004600C0" w:rsidP="004600C0">
      <w:pPr>
        <w:rPr>
          <w:bCs/>
        </w:rPr>
      </w:pPr>
      <w:r w:rsidRPr="002B7537">
        <w:rPr>
          <w:bCs/>
        </w:rPr>
        <w:t xml:space="preserve">Valsts vides dienests ķīmisko vielu un maisīju uzraudzības jomā sadarbojas ar citām valsts iestādēm, tiekoties regulārās darba grupas sanāksmēs. Sadarbība notiek saskaņā ar </w:t>
      </w:r>
      <w:r w:rsidRPr="00FF70B6">
        <w:rPr>
          <w:bCs/>
        </w:rPr>
        <w:t>Vides aizsardzības un reģionālās attīstības ministrijas 2017. gada 9. marta rīkojumu Nr.1-2/37 “Par ķīmisko vielu, maisījumu un biocīdu regulējuma jomas starpinstitucionālo sadarbību”</w:t>
      </w:r>
      <w:r w:rsidR="00B44684" w:rsidRPr="00B44684">
        <w:rPr>
          <w:bCs/>
        </w:rPr>
        <w:t xml:space="preserve">.   </w:t>
      </w:r>
    </w:p>
    <w:p w14:paraId="6CAFECF3" w14:textId="77777777" w:rsidR="00B44684" w:rsidRPr="00B44684" w:rsidRDefault="00B44684" w:rsidP="00B44684">
      <w:pPr>
        <w:rPr>
          <w:bCs/>
        </w:rPr>
      </w:pPr>
    </w:p>
    <w:p w14:paraId="34222701" w14:textId="77777777" w:rsidR="00B44684" w:rsidRPr="00B44684" w:rsidRDefault="00B44684" w:rsidP="00FD3E79">
      <w:pPr>
        <w:numPr>
          <w:ilvl w:val="2"/>
          <w:numId w:val="3"/>
        </w:numPr>
        <w:tabs>
          <w:tab w:val="clear" w:pos="3414"/>
        </w:tabs>
        <w:ind w:left="851" w:firstLine="0"/>
        <w:rPr>
          <w:bCs/>
          <w:i/>
        </w:rPr>
      </w:pPr>
      <w:r w:rsidRPr="00B44684">
        <w:rPr>
          <w:bCs/>
          <w:i/>
        </w:rPr>
        <w:t>Ziņojums par darbībām, kas veiktas saskaņā ar iepriekšējo plānošanas periodu</w:t>
      </w:r>
    </w:p>
    <w:p w14:paraId="3CFE209B" w14:textId="77777777" w:rsidR="004600C0" w:rsidRDefault="004600C0" w:rsidP="004600C0">
      <w:pPr>
        <w:rPr>
          <w:bCs/>
        </w:rPr>
      </w:pPr>
      <w:r w:rsidRPr="009C6BA4">
        <w:rPr>
          <w:bCs/>
        </w:rPr>
        <w:t>20</w:t>
      </w:r>
      <w:r>
        <w:rPr>
          <w:bCs/>
        </w:rPr>
        <w:t>20</w:t>
      </w:r>
      <w:r w:rsidRPr="009C6BA4">
        <w:rPr>
          <w:bCs/>
        </w:rPr>
        <w:t xml:space="preserve">. gadā kopā veiktas </w:t>
      </w:r>
      <w:r>
        <w:rPr>
          <w:bCs/>
        </w:rPr>
        <w:t>376 pārbaudes darbībām ar</w:t>
      </w:r>
      <w:r w:rsidRPr="009C6BA4">
        <w:rPr>
          <w:bCs/>
        </w:rPr>
        <w:t xml:space="preserve"> ķīmisk</w:t>
      </w:r>
      <w:r>
        <w:rPr>
          <w:bCs/>
        </w:rPr>
        <w:t>ām</w:t>
      </w:r>
      <w:r w:rsidRPr="009C6BA4">
        <w:rPr>
          <w:bCs/>
        </w:rPr>
        <w:t xml:space="preserve"> viel</w:t>
      </w:r>
      <w:r>
        <w:rPr>
          <w:bCs/>
        </w:rPr>
        <w:t>ām</w:t>
      </w:r>
      <w:r w:rsidRPr="009C6BA4">
        <w:rPr>
          <w:bCs/>
        </w:rPr>
        <w:t xml:space="preserve"> un maisījum</w:t>
      </w:r>
      <w:r>
        <w:rPr>
          <w:bCs/>
        </w:rPr>
        <w:t>iem (vielu reģistrācija, vielu un maisījumu klasifikācija, marķēšana, drošības datu lapas, vielu un maisījumu uzglabāšana u.c.) un 137</w:t>
      </w:r>
      <w:r w:rsidRPr="009C6BA4">
        <w:rPr>
          <w:bCs/>
        </w:rPr>
        <w:t xml:space="preserve"> ozona slāņa aizsardzības noteikumu ievērošanas pārbaudes.</w:t>
      </w:r>
    </w:p>
    <w:p w14:paraId="7C35B3C5" w14:textId="01C75595" w:rsidR="004600C0" w:rsidRDefault="004600C0" w:rsidP="004600C0">
      <w:pPr>
        <w:rPr>
          <w:bCs/>
        </w:rPr>
      </w:pPr>
      <w:r>
        <w:rPr>
          <w:bCs/>
        </w:rPr>
        <w:t>Veicot ķīmisko vielu un maisījumu, kā arī ozona slāņa aizsardzības noteikumu ievērošanas pārbaudes, Valsts vides dienests 2020. gadā ir uzdevis operatoriem 15 veicamās rīcības, un vienā gadījumā piemērojis administratīvo sodu 35 EUR apmērā.</w:t>
      </w:r>
    </w:p>
    <w:p w14:paraId="04A29C4F" w14:textId="0ADEBF08" w:rsidR="00B44684" w:rsidRDefault="004600C0" w:rsidP="004600C0">
      <w:pPr>
        <w:rPr>
          <w:bCs/>
        </w:rPr>
      </w:pPr>
      <w:r w:rsidRPr="00D53A29">
        <w:rPr>
          <w:bCs/>
          <w:szCs w:val="24"/>
        </w:rPr>
        <w:t xml:space="preserve">2020. gadā Valsts vides dienests veica pārbaudes atbilstoši </w:t>
      </w:r>
      <w:r w:rsidRPr="00D53A29">
        <w:rPr>
          <w:color w:val="000000"/>
          <w:szCs w:val="24"/>
        </w:rPr>
        <w:t>Ķīmisko vielu, maisījumu un biocīdu regulējuma jomas starpinstitucionālās sadarbības grupas sanāksmē diskutētajam par koordinētām darbībām par iesniegtās informācijas kontroli Ķīmisko vielu un maisījumu datu bāzē. Valsts vides dienests veica pārbaudes astoņ</w:t>
      </w:r>
      <w:r>
        <w:rPr>
          <w:color w:val="000000"/>
          <w:szCs w:val="24"/>
        </w:rPr>
        <w:t>iem</w:t>
      </w:r>
      <w:r w:rsidRPr="00D53A29">
        <w:rPr>
          <w:color w:val="000000"/>
          <w:szCs w:val="24"/>
        </w:rPr>
        <w:t xml:space="preserve"> operator</w:t>
      </w:r>
      <w:r>
        <w:rPr>
          <w:color w:val="000000"/>
          <w:szCs w:val="24"/>
        </w:rPr>
        <w:t>iem</w:t>
      </w:r>
      <w:r w:rsidRPr="00D53A29">
        <w:rPr>
          <w:color w:val="000000"/>
          <w:szCs w:val="24"/>
        </w:rPr>
        <w:t>, kuri nebija iesnieguši pārskatus Ķīmisko vielu un maisījumu datu bāzē. Piecās pārbaudēs konstatētas neatbilstības, un tās uzdots noteiktā termiņā novērst, kā arī uzsākti četri administratīvā pārkāpuma procesi</w:t>
      </w:r>
      <w:r w:rsidR="00B44684" w:rsidRPr="00B44684">
        <w:rPr>
          <w:bCs/>
        </w:rPr>
        <w:t>.</w:t>
      </w:r>
    </w:p>
    <w:p w14:paraId="4A64B39D" w14:textId="08B67E97" w:rsidR="00687456" w:rsidRPr="00687456" w:rsidRDefault="00687456" w:rsidP="00E44993">
      <w:pPr>
        <w:pStyle w:val="Heading2"/>
        <w:numPr>
          <w:ilvl w:val="1"/>
          <w:numId w:val="33"/>
        </w:numPr>
        <w:tabs>
          <w:tab w:val="clear" w:pos="2279"/>
          <w:tab w:val="num" w:pos="360"/>
        </w:tabs>
        <w:ind w:left="1418" w:hanging="709"/>
        <w:rPr>
          <w:bCs/>
        </w:rPr>
      </w:pPr>
      <w:bookmarkStart w:id="75" w:name="_Toc8821892"/>
      <w:r w:rsidRPr="00687456">
        <w:rPr>
          <w:bCs/>
        </w:rPr>
        <w:lastRenderedPageBreak/>
        <w:t>Kuģu aprīkojums</w:t>
      </w:r>
      <w:r>
        <w:rPr>
          <w:bCs/>
        </w:rPr>
        <w:t xml:space="preserve"> (skat. arī 2.3. punktā minēto</w:t>
      </w:r>
      <w:r w:rsidR="00097438">
        <w:rPr>
          <w:bCs/>
        </w:rPr>
        <w:t xml:space="preserve"> par PTAC attiecībā uz šo nozari</w:t>
      </w:r>
      <w:r>
        <w:rPr>
          <w:bCs/>
        </w:rPr>
        <w:t>)</w:t>
      </w:r>
      <w:bookmarkEnd w:id="75"/>
    </w:p>
    <w:p w14:paraId="144B616F" w14:textId="77777777" w:rsidR="00687456" w:rsidRPr="00687456" w:rsidRDefault="00687456" w:rsidP="00687456">
      <w:pPr>
        <w:numPr>
          <w:ilvl w:val="2"/>
          <w:numId w:val="3"/>
        </w:numPr>
        <w:tabs>
          <w:tab w:val="num" w:pos="360"/>
        </w:tabs>
        <w:ind w:left="1418" w:hanging="709"/>
        <w:rPr>
          <w:bCs/>
          <w:i/>
        </w:rPr>
      </w:pPr>
      <w:r w:rsidRPr="00687456">
        <w:rPr>
          <w:bCs/>
          <w:i/>
        </w:rPr>
        <w:t>Atbildīgās iestādes nosaukums un kontaktinformācija</w:t>
      </w:r>
    </w:p>
    <w:p w14:paraId="2A1017CD" w14:textId="46410A8B" w:rsidR="00687456" w:rsidRDefault="00687456" w:rsidP="00687456">
      <w:pPr>
        <w:rPr>
          <w:bCs/>
        </w:rPr>
      </w:pPr>
      <w:r w:rsidRPr="00687456">
        <w:rPr>
          <w:bCs/>
        </w:rPr>
        <w:tab/>
      </w:r>
      <w:bookmarkStart w:id="76" w:name="_Hlk534719555"/>
      <w:r w:rsidRPr="00687456">
        <w:rPr>
          <w:bCs/>
        </w:rPr>
        <w:t>VS</w:t>
      </w:r>
      <w:r w:rsidR="00A57EA2">
        <w:rPr>
          <w:bCs/>
        </w:rPr>
        <w:t>IA</w:t>
      </w:r>
      <w:r w:rsidRPr="00687456">
        <w:rPr>
          <w:bCs/>
        </w:rPr>
        <w:t xml:space="preserve"> “Latvijas Jūras administrācija”</w:t>
      </w:r>
    </w:p>
    <w:bookmarkEnd w:id="76"/>
    <w:p w14:paraId="4D908C38" w14:textId="36FE5DF1" w:rsidR="00687456" w:rsidRDefault="00687456" w:rsidP="00687456">
      <w:pPr>
        <w:rPr>
          <w:bCs/>
        </w:rPr>
      </w:pPr>
      <w:r w:rsidRPr="00687456">
        <w:rPr>
          <w:bCs/>
        </w:rPr>
        <w:t>Tr</w:t>
      </w:r>
      <w:r w:rsidR="009C6BA4">
        <w:rPr>
          <w:bCs/>
        </w:rPr>
        <w:t>i</w:t>
      </w:r>
      <w:r w:rsidRPr="00687456">
        <w:rPr>
          <w:bCs/>
        </w:rPr>
        <w:t>jādības iela 5, Rīga, LV-1048</w:t>
      </w:r>
    </w:p>
    <w:p w14:paraId="4531E927" w14:textId="1EAC283E" w:rsidR="00687456" w:rsidRPr="00687456" w:rsidRDefault="00687456" w:rsidP="00687456">
      <w:pPr>
        <w:rPr>
          <w:bCs/>
        </w:rPr>
      </w:pPr>
      <w:r w:rsidRPr="00687456">
        <w:rPr>
          <w:bCs/>
        </w:rPr>
        <w:tab/>
      </w:r>
      <w:hyperlink r:id="rId26" w:history="1">
        <w:r w:rsidRPr="00687456">
          <w:rPr>
            <w:rStyle w:val="Hyperlink"/>
            <w:bCs/>
          </w:rPr>
          <w:t>lja@lja.lv</w:t>
        </w:r>
      </w:hyperlink>
    </w:p>
    <w:p w14:paraId="17E9A572" w14:textId="77777777" w:rsidR="00687456" w:rsidRPr="00687456" w:rsidRDefault="00687456" w:rsidP="00687456">
      <w:pPr>
        <w:numPr>
          <w:ilvl w:val="2"/>
          <w:numId w:val="3"/>
        </w:numPr>
        <w:tabs>
          <w:tab w:val="num" w:pos="360"/>
        </w:tabs>
        <w:ind w:left="1418" w:hanging="709"/>
        <w:rPr>
          <w:bCs/>
          <w:i/>
        </w:rPr>
      </w:pPr>
      <w:r w:rsidRPr="00687456">
        <w:rPr>
          <w:bCs/>
          <w:i/>
        </w:rPr>
        <w:t xml:space="preserve">Tirgus uzraudzības procedūras un stratēģija </w:t>
      </w:r>
    </w:p>
    <w:p w14:paraId="797CB1F2" w14:textId="74A50267" w:rsidR="00687456" w:rsidRPr="00687456" w:rsidRDefault="00687456" w:rsidP="00687456">
      <w:pPr>
        <w:rPr>
          <w:bCs/>
        </w:rPr>
      </w:pPr>
      <w:r w:rsidRPr="00687456">
        <w:rPr>
          <w:bCs/>
        </w:rPr>
        <w:t>VS</w:t>
      </w:r>
      <w:r w:rsidR="00A57EA2">
        <w:rPr>
          <w:bCs/>
        </w:rPr>
        <w:t>IA</w:t>
      </w:r>
      <w:r w:rsidRPr="00687456">
        <w:rPr>
          <w:bCs/>
        </w:rPr>
        <w:t xml:space="preserve"> “Latvijas Jūras administrācijas” Kuģošanas drošības inspekcijas inspektori un Kuģošanas drošības departamenta eksperti kompetences ietvaros pārbauda uz kuģiem, jaunbūvēm un tirgū pieejamo kuģu aprīkojuma vienību atbilstību vispārpieņemtajiem standartiem, pamatojoties uz atbilstošajām regulām un direktīvām. Tādējādi </w:t>
      </w:r>
      <w:r w:rsidR="00D04FE6">
        <w:rPr>
          <w:bCs/>
        </w:rPr>
        <w:t xml:space="preserve">tiek </w:t>
      </w:r>
      <w:r w:rsidRPr="00687456">
        <w:rPr>
          <w:bCs/>
        </w:rPr>
        <w:t>nodrošin</w:t>
      </w:r>
      <w:r w:rsidR="00D04FE6">
        <w:rPr>
          <w:bCs/>
        </w:rPr>
        <w:t>āta</w:t>
      </w:r>
      <w:r w:rsidRPr="00687456">
        <w:rPr>
          <w:bCs/>
        </w:rPr>
        <w:t xml:space="preserve"> kvalitatīva un droša aprīkojuma pieejamīb</w:t>
      </w:r>
      <w:r w:rsidR="00D04FE6">
        <w:rPr>
          <w:bCs/>
        </w:rPr>
        <w:t>a</w:t>
      </w:r>
      <w:r w:rsidRPr="00687456">
        <w:rPr>
          <w:bCs/>
        </w:rPr>
        <w:t xml:space="preserve"> kuģu īpašniekiem un kuģu būvētavām, kā arī remontrūpnīcām. </w:t>
      </w:r>
    </w:p>
    <w:p w14:paraId="3FC37F35" w14:textId="77777777" w:rsidR="00687456" w:rsidRPr="00687456" w:rsidRDefault="00687456" w:rsidP="00687456">
      <w:pPr>
        <w:rPr>
          <w:bCs/>
        </w:rPr>
      </w:pPr>
      <w:r w:rsidRPr="00687456">
        <w:rPr>
          <w:bCs/>
        </w:rPr>
        <w:t>Pastāvīgi tiek veikta kuģu būves, remonta un aprīkojuma servisa uzņēmumu uzraudzība, lai nodrošinātu to atbilstību vispārpieņemtiem standartiem un starptautiskajām regulām un direktīvām. Atsevišķos gadījumos tas tiek veikts kopā ar kuģu īpašniekiem vai pasūtītājiem, lai veicinātu caurskatāmību tirgū un ražošanas procesos.</w:t>
      </w:r>
    </w:p>
    <w:p w14:paraId="49F3FC7B" w14:textId="77777777" w:rsidR="00687456" w:rsidRPr="00687456" w:rsidRDefault="00687456" w:rsidP="00687456">
      <w:pPr>
        <w:rPr>
          <w:bCs/>
        </w:rPr>
      </w:pPr>
      <w:r w:rsidRPr="00687456">
        <w:rPr>
          <w:bCs/>
        </w:rPr>
        <w:t>Saistībā ar detalizētāku un individualizētu kuģu aprīkojuma atbilstības standartiem nodrošināšanu, ir noslēgti līgumi ar atzītajām klasifikācijas sabiedrībām, kuras veic precīzākas pārbaudes.</w:t>
      </w:r>
    </w:p>
    <w:p w14:paraId="3029C790" w14:textId="77777777" w:rsidR="00687456" w:rsidRPr="00687456" w:rsidRDefault="00687456" w:rsidP="00687456">
      <w:pPr>
        <w:rPr>
          <w:bCs/>
        </w:rPr>
      </w:pPr>
      <w:r w:rsidRPr="00687456">
        <w:rPr>
          <w:bCs/>
        </w:rPr>
        <w:t xml:space="preserve">Lai nodrošinātu informācijas pieejamību visām iesaistītajām pusēm, regulāri tiek lietotas Eiropas Komisijas datubāzes, kā arī tiek apmeklētas darba grupas un citi informatīvie pasākumi par atbilstošajām tēmām, par kurām savlaicīgi tiek paziņots iesaistītajām pusēm. </w:t>
      </w:r>
    </w:p>
    <w:p w14:paraId="4DD9A0B9" w14:textId="77777777" w:rsidR="00687456" w:rsidRPr="00687456" w:rsidRDefault="00687456" w:rsidP="00687456">
      <w:pPr>
        <w:rPr>
          <w:bCs/>
        </w:rPr>
      </w:pPr>
      <w:r w:rsidRPr="00687456">
        <w:rPr>
          <w:bCs/>
        </w:rPr>
        <w:t xml:space="preserve">Ja kuģu aprīkojuma izplatītāji vai kuģu būves un remonta rūpnīcas apzināti neievēro direktīvu un regulu noteikumus, tiek izvērtēti un piemēroti sodi pirmkārt saskaņā ar Latvijas Administratīvo pārkāpumu kodeksu. </w:t>
      </w:r>
    </w:p>
    <w:p w14:paraId="30F7C900" w14:textId="77777777" w:rsidR="00687456" w:rsidRPr="00687456" w:rsidRDefault="00687456" w:rsidP="00687456">
      <w:pPr>
        <w:rPr>
          <w:bCs/>
        </w:rPr>
      </w:pPr>
    </w:p>
    <w:p w14:paraId="29737BDC" w14:textId="77777777" w:rsidR="00687456" w:rsidRPr="00687456" w:rsidRDefault="00687456" w:rsidP="00097438">
      <w:pPr>
        <w:numPr>
          <w:ilvl w:val="2"/>
          <w:numId w:val="3"/>
        </w:numPr>
        <w:tabs>
          <w:tab w:val="num" w:pos="360"/>
        </w:tabs>
        <w:ind w:left="1418" w:hanging="567"/>
        <w:rPr>
          <w:bCs/>
          <w:i/>
        </w:rPr>
      </w:pPr>
      <w:r w:rsidRPr="00687456">
        <w:rPr>
          <w:bCs/>
          <w:i/>
        </w:rPr>
        <w:t>Ziņojums par darbībām, kas veiktas saskaņā ar iepriekšējo plānošanas periodu</w:t>
      </w:r>
    </w:p>
    <w:p w14:paraId="247B5B8D" w14:textId="70C4E90F" w:rsidR="00687456" w:rsidRPr="00B44684" w:rsidRDefault="00687456" w:rsidP="00687456">
      <w:pPr>
        <w:rPr>
          <w:bCs/>
        </w:rPr>
      </w:pPr>
      <w:r w:rsidRPr="00687456">
        <w:rPr>
          <w:bCs/>
        </w:rPr>
        <w:t>Arī iepriekšējā plānošanas periodā tika veiktas 2.</w:t>
      </w:r>
      <w:r w:rsidR="00097438">
        <w:rPr>
          <w:bCs/>
        </w:rPr>
        <w:t>26</w:t>
      </w:r>
      <w:r w:rsidRPr="00687456">
        <w:rPr>
          <w:bCs/>
        </w:rPr>
        <w:t>.2. punktā minētās aktivitātes, lai nodrošinātu uz kuģiem izmantojamā, kā arī uz tiem jau esošā aprīkojuma atbilstību direktīvām un regulām</w:t>
      </w:r>
    </w:p>
    <w:p w14:paraId="05453D32" w14:textId="737F2367" w:rsidR="00097438" w:rsidRDefault="00FD3E79" w:rsidP="00164F42">
      <w:pPr>
        <w:pStyle w:val="Heading2"/>
      </w:pPr>
      <w:bookmarkStart w:id="77" w:name="_Toc8821893"/>
      <w:r w:rsidRPr="00AF24BD">
        <w:rPr>
          <w:color w:val="000000"/>
        </w:rPr>
        <w:t>Mehāniskie transportlīdzekļi un traktori</w:t>
      </w:r>
      <w:r>
        <w:rPr>
          <w:color w:val="000000"/>
        </w:rPr>
        <w:t xml:space="preserve"> (</w:t>
      </w:r>
      <w:r>
        <w:t>skat. arī 2.3. punktā minēto par PTAC attiecībā uz šo nozari)</w:t>
      </w:r>
      <w:bookmarkEnd w:id="77"/>
    </w:p>
    <w:p w14:paraId="42433308" w14:textId="77777777" w:rsidR="00097438" w:rsidRPr="00A41CCE" w:rsidRDefault="00097438" w:rsidP="00097438">
      <w:pPr>
        <w:pStyle w:val="Heading3"/>
        <w:tabs>
          <w:tab w:val="num" w:pos="2552"/>
          <w:tab w:val="num" w:pos="4973"/>
        </w:tabs>
        <w:ind w:left="1701" w:hanging="77"/>
      </w:pPr>
      <w:bookmarkStart w:id="78" w:name="_Toc8821894"/>
      <w:r>
        <w:t xml:space="preserve">Atbildīgās </w:t>
      </w:r>
      <w:r w:rsidRPr="00A41CCE">
        <w:t>iestādes nosaukums un kontaktinformācija</w:t>
      </w:r>
      <w:bookmarkEnd w:id="78"/>
    </w:p>
    <w:p w14:paraId="1466F341" w14:textId="77777777" w:rsidR="00097438" w:rsidRPr="00097438" w:rsidRDefault="00097438" w:rsidP="00097438">
      <w:pPr>
        <w:rPr>
          <w:szCs w:val="24"/>
        </w:rPr>
      </w:pPr>
      <w:r w:rsidRPr="00097438">
        <w:rPr>
          <w:szCs w:val="24"/>
        </w:rPr>
        <w:t>Uzraudzības iestāde: Valsts tehniskās uzraudzības aģentūra</w:t>
      </w:r>
    </w:p>
    <w:p w14:paraId="1B97BA9D" w14:textId="5944DF76" w:rsidR="00097438" w:rsidRPr="00097438" w:rsidRDefault="00097438" w:rsidP="00097438">
      <w:pPr>
        <w:rPr>
          <w:szCs w:val="24"/>
        </w:rPr>
      </w:pPr>
      <w:r w:rsidRPr="00097438">
        <w:rPr>
          <w:szCs w:val="24"/>
        </w:rPr>
        <w:t xml:space="preserve">Kontaktinformācija: </w:t>
      </w:r>
      <w:hyperlink r:id="rId27" w:history="1">
        <w:r w:rsidRPr="00097438">
          <w:rPr>
            <w:rStyle w:val="Hyperlink"/>
            <w:szCs w:val="24"/>
          </w:rPr>
          <w:t>www.vtua.gov.lv</w:t>
        </w:r>
      </w:hyperlink>
    </w:p>
    <w:p w14:paraId="42491849" w14:textId="77777777" w:rsidR="00097438" w:rsidRDefault="00097438" w:rsidP="00097438">
      <w:pPr>
        <w:pStyle w:val="Heading3"/>
        <w:ind w:left="2552" w:hanging="851"/>
      </w:pPr>
      <w:bookmarkStart w:id="79" w:name="_Toc8821895"/>
      <w:r>
        <w:lastRenderedPageBreak/>
        <w:t>Tirgus uzraudzības procedūras un stratēģija</w:t>
      </w:r>
      <w:bookmarkEnd w:id="79"/>
      <w:r>
        <w:t xml:space="preserve"> </w:t>
      </w:r>
    </w:p>
    <w:p w14:paraId="72A86BF9" w14:textId="0C63D969" w:rsidR="00097438" w:rsidRDefault="00D04FE6" w:rsidP="00097438">
      <w:pPr>
        <w:pStyle w:val="Text2"/>
        <w:ind w:left="0"/>
      </w:pPr>
      <w:r>
        <w:t>2020. gadā tiek plānots turpināt sadarbību ar Valsts ieņēmumu dienesta Muitas pārvaldi, veicot importējamo traktoru fiziskās un dokumentu pārbaudes. Pārbaudes arī tiks nodrošinātas, veicot traktoru tirdzniecības vietu apsekošanu un tirgus uzraudzības pasākumus</w:t>
      </w:r>
      <w:r w:rsidR="00FD3E79">
        <w:t>.</w:t>
      </w:r>
    </w:p>
    <w:p w14:paraId="3B852623" w14:textId="77777777" w:rsidR="00FD3E79" w:rsidRPr="0008472F" w:rsidRDefault="00FD3E79" w:rsidP="00FD3E79">
      <w:pPr>
        <w:pStyle w:val="Heading3"/>
        <w:ind w:left="2552" w:hanging="851"/>
      </w:pPr>
      <w:bookmarkStart w:id="80" w:name="_Toc8821896"/>
      <w:r w:rsidRPr="0008472F">
        <w:t>Ziņojums par darbībām, kas veiktas saskaņā ar iepriekšējo plānošanas periodu</w:t>
      </w:r>
      <w:bookmarkEnd w:id="80"/>
    </w:p>
    <w:p w14:paraId="53D5D85E" w14:textId="1EED31BC" w:rsidR="00FD3E79" w:rsidRPr="00097438" w:rsidRDefault="00D04FE6" w:rsidP="00097438">
      <w:pPr>
        <w:pStyle w:val="Text2"/>
        <w:ind w:left="0"/>
      </w:pPr>
      <w:r>
        <w:t>20</w:t>
      </w:r>
      <w:r w:rsidR="00C10781">
        <w:t>20</w:t>
      </w:r>
      <w:r>
        <w:t xml:space="preserve">. gadā sadarbībā </w:t>
      </w:r>
      <w:r w:rsidR="00C10781">
        <w:t xml:space="preserve">ar </w:t>
      </w:r>
      <w:r>
        <w:t>Valsts ieņēmumu dienesta Muitas pārvaldi tika veiktas 3</w:t>
      </w:r>
      <w:r w:rsidR="00C10781">
        <w:t>8</w:t>
      </w:r>
      <w:r>
        <w:t xml:space="preserve"> pārbaudes, un </w:t>
      </w:r>
      <w:r w:rsidR="00C10781">
        <w:t>1</w:t>
      </w:r>
      <w:r>
        <w:t xml:space="preserve"> pārbaudē no tām tika konstatēta neatbilstoša prece, kas netika laista brīvā apgrozībā</w:t>
      </w:r>
      <w:r w:rsidR="00C10781">
        <w:t xml:space="preserve">, </w:t>
      </w:r>
      <w:r w:rsidR="00C10781" w:rsidRPr="00C10781">
        <w:t>un vienā no pārbaudēm tika veiktas korektīvās darbības a</w:t>
      </w:r>
      <w:r w:rsidR="00C10781">
        <w:t>t</w:t>
      </w:r>
      <w:r w:rsidR="00C10781" w:rsidRPr="00C10781">
        <w:t>bilstību apliecinošajos dokumentos. VTUA amatpersonas veica 25 tirdzniecības vietu pārbaudes, kurās būtiski pārkāpumi netika konstatēti. 2020. gadā Valsts tehniskās uzraudzības aģentūrā tika reģistrētas 427 jaunas piekabes un</w:t>
      </w:r>
      <w:r w:rsidR="00C10781">
        <w:t xml:space="preserve"> </w:t>
      </w:r>
      <w:r w:rsidR="00C10781" w:rsidRPr="00C10781">
        <w:t>564 jauni traktori, kuriem tika veikta atbilstības apliecinošo dokumentu pārbaude</w:t>
      </w:r>
      <w:r w:rsidR="00FD3E79">
        <w:t>.</w:t>
      </w:r>
    </w:p>
    <w:p w14:paraId="54808A09" w14:textId="53086CDD" w:rsidR="00164F42" w:rsidRDefault="00164F42" w:rsidP="00E44993">
      <w:pPr>
        <w:pStyle w:val="Heading2"/>
        <w:numPr>
          <w:ilvl w:val="1"/>
          <w:numId w:val="34"/>
        </w:numPr>
      </w:pPr>
      <w:bookmarkStart w:id="81" w:name="_Toc8821897"/>
      <w:r>
        <w:t>Mēslošanas līdzekļi</w:t>
      </w:r>
      <w:bookmarkEnd w:id="81"/>
      <w:r>
        <w:t xml:space="preserve"> </w:t>
      </w:r>
    </w:p>
    <w:p w14:paraId="623C58A1" w14:textId="77777777" w:rsidR="00164F42" w:rsidRPr="00A41CCE" w:rsidRDefault="00164F42" w:rsidP="00164F42">
      <w:pPr>
        <w:pStyle w:val="Heading3"/>
        <w:tabs>
          <w:tab w:val="num" w:pos="2552"/>
          <w:tab w:val="num" w:pos="4973"/>
        </w:tabs>
        <w:ind w:left="1701" w:hanging="77"/>
      </w:pPr>
      <w:bookmarkStart w:id="82" w:name="_Toc8821898"/>
      <w:r>
        <w:t xml:space="preserve">Atbildīgās </w:t>
      </w:r>
      <w:r w:rsidRPr="00A41CCE">
        <w:t>iestādes nosaukums un kontaktinformācija</w:t>
      </w:r>
      <w:bookmarkEnd w:id="82"/>
    </w:p>
    <w:p w14:paraId="6088BCDE" w14:textId="77777777" w:rsidR="00AD6122" w:rsidRPr="00A41CCE" w:rsidRDefault="00AD6122" w:rsidP="00AD6122">
      <w:pPr>
        <w:pStyle w:val="Text3"/>
        <w:ind w:left="0"/>
      </w:pPr>
      <w:r w:rsidRPr="00A41CCE">
        <w:t>Atbildīgā iestāde:</w:t>
      </w:r>
      <w:r w:rsidRPr="00A41CCE">
        <w:tab/>
        <w:t>Valsts augu aizsardzības dienests (VAAD)</w:t>
      </w:r>
    </w:p>
    <w:p w14:paraId="78C27B6B" w14:textId="17FBC38C" w:rsidR="00AD6122" w:rsidRPr="00A41CCE" w:rsidRDefault="00AD6122" w:rsidP="00AD6122">
      <w:pPr>
        <w:pStyle w:val="Text3"/>
        <w:ind w:left="0"/>
      </w:pPr>
      <w:r w:rsidRPr="00A41CCE">
        <w:t>Kontaktinformācija:</w:t>
      </w:r>
      <w:r w:rsidRPr="00A41CCE">
        <w:tab/>
      </w:r>
      <w:r>
        <w:t>Lielvārdes iela 36, Rīga LV-1006, tālr</w:t>
      </w:r>
      <w:r w:rsidR="0086150A">
        <w:t>.</w:t>
      </w:r>
      <w:r>
        <w:t xml:space="preserve"> 67027406, e-pasts: </w:t>
      </w:r>
      <w:r w:rsidRPr="004B6D4E">
        <w:t>pasts</w:t>
      </w:r>
      <w:r w:rsidRPr="00A41CCE">
        <w:t xml:space="preserve">@vaad.gov.lv </w:t>
      </w:r>
    </w:p>
    <w:p w14:paraId="74EF7EAD" w14:textId="6C87E117" w:rsidR="00164F42" w:rsidRDefault="0058532D" w:rsidP="00AD6122">
      <w:pPr>
        <w:pStyle w:val="Text3"/>
        <w:ind w:left="0"/>
      </w:pPr>
      <w:r w:rsidRPr="0058532D">
        <w:rPr>
          <w:iCs/>
        </w:rPr>
        <w:t>Mēslošanas līdzekļu tirgus uzraudzību VAAD veic 15 reģionālo nodaļu inspektori, kurus metodiski vada VAAD Agroķīmijas departaments. Budžeta resursus mēslošanas līdzekļu tirgus uzraudzībai atsevišķi nav iespējams identificēt, jo attiecīgie reģionālo nodaļu inspektori strādā arī augu aizsardzības, integrētās audzēšanas, savstarpējās atbilstības pārvaldības prasību un mēslošanas līdzekļu lietošanas uzraudzības jomā. Ikgadējais valsts budžets mēslošanas līdzekļu kontroles paraugu testēšanai to kvalitātes atbilstības novērtēšanas vajadzībām ir līdz 21 tūksto</w:t>
      </w:r>
      <w:r>
        <w:rPr>
          <w:iCs/>
        </w:rPr>
        <w:t>tim</w:t>
      </w:r>
      <w:r w:rsidRPr="0058532D">
        <w:rPr>
          <w:iCs/>
        </w:rPr>
        <w:t xml:space="preserve"> EUR</w:t>
      </w:r>
      <w:r w:rsidR="00164F42">
        <w:t>.</w:t>
      </w:r>
    </w:p>
    <w:p w14:paraId="22DB98E7" w14:textId="77777777" w:rsidR="00164F42" w:rsidRDefault="00164F42" w:rsidP="00164F42">
      <w:pPr>
        <w:pStyle w:val="Heading3"/>
        <w:tabs>
          <w:tab w:val="num" w:pos="2552"/>
          <w:tab w:val="num" w:pos="4973"/>
        </w:tabs>
        <w:ind w:left="1701" w:hanging="77"/>
      </w:pPr>
      <w:bookmarkStart w:id="83" w:name="_Toc8821899"/>
      <w:r>
        <w:t>Tirgus uzraudzības procedūras un stratēģija</w:t>
      </w:r>
      <w:bookmarkEnd w:id="83"/>
      <w:r>
        <w:t xml:space="preserve"> </w:t>
      </w:r>
    </w:p>
    <w:p w14:paraId="061A9E2F" w14:textId="77777777" w:rsidR="0058532D" w:rsidRPr="0058532D" w:rsidRDefault="0058532D" w:rsidP="0058532D">
      <w:pPr>
        <w:widowControl w:val="0"/>
        <w:suppressAutoHyphens/>
        <w:spacing w:after="0" w:line="200" w:lineRule="atLeast"/>
        <w:rPr>
          <w:rFonts w:eastAsia="Calibri"/>
          <w:szCs w:val="24"/>
          <w:lang w:eastAsia="ar-SA" w:bidi="ar-SA"/>
        </w:rPr>
      </w:pPr>
      <w:r w:rsidRPr="0058532D">
        <w:rPr>
          <w:rFonts w:eastAsia="Calibri"/>
          <w:szCs w:val="24"/>
          <w:lang w:eastAsia="ar-SA" w:bidi="ar-SA"/>
        </w:rPr>
        <w:t>VAAD funkcijas mēslošanas līdzekļu aprites jomā nosaka Mēslošanas līdzekļu aprites likums. Saskaņā ar Mēslošanas līdzekļu aprites likumu VAAD:</w:t>
      </w:r>
    </w:p>
    <w:p w14:paraId="46331D35" w14:textId="77777777" w:rsidR="0058532D" w:rsidRPr="0058532D" w:rsidRDefault="0058532D" w:rsidP="0058532D">
      <w:pPr>
        <w:spacing w:before="100" w:beforeAutospacing="1" w:after="100" w:afterAutospacing="1"/>
        <w:rPr>
          <w:szCs w:val="24"/>
          <w:lang w:eastAsia="en-US" w:bidi="ar-SA"/>
        </w:rPr>
      </w:pPr>
      <w:r w:rsidRPr="0058532D">
        <w:rPr>
          <w:szCs w:val="24"/>
          <w:lang w:eastAsia="en-US" w:bidi="ar-SA"/>
        </w:rPr>
        <w:t>- pieņem un izskata dokumentus mēslošanas līdzekļu un substrātu reģistrācijai, atļauju izsniegšanai, mēslošanas līdzekļu ar EK marķējumu iekļaušanai uzskaitē, paziņoto mēslošanas līdzekļu savstarpējai atzīšanai, un attiecīgi pieņem lēmumus par mēslošanas līdzekļu reģistrāciju, atļauju izsniegšanu, iekļaušanu paziņoto mēslošanas līdzekļu sarakstā vai iekļauj uzskaitei pieteikto mēslošanas līdzekļu ar EK marķējumu sarakstā;</w:t>
      </w:r>
    </w:p>
    <w:p w14:paraId="31F45392" w14:textId="77777777" w:rsidR="0058532D" w:rsidRPr="0058532D" w:rsidRDefault="0058532D" w:rsidP="0058532D">
      <w:pPr>
        <w:spacing w:before="100" w:beforeAutospacing="1" w:after="100" w:afterAutospacing="1"/>
        <w:rPr>
          <w:szCs w:val="24"/>
          <w:lang w:eastAsia="en-US" w:bidi="ar-SA"/>
        </w:rPr>
      </w:pPr>
      <w:r w:rsidRPr="0058532D">
        <w:rPr>
          <w:szCs w:val="24"/>
          <w:lang w:eastAsia="en-US" w:bidi="ar-SA"/>
        </w:rPr>
        <w:t>- kārto mēslošanas līdzekļu valsts reģistru un nodrošina tā datu aktualizāciju;</w:t>
      </w:r>
    </w:p>
    <w:p w14:paraId="0536CF4D" w14:textId="77777777" w:rsidR="0058532D" w:rsidRPr="0058532D" w:rsidRDefault="0058532D" w:rsidP="0058532D">
      <w:pPr>
        <w:spacing w:before="100" w:beforeAutospacing="1" w:after="100" w:afterAutospacing="1"/>
        <w:rPr>
          <w:szCs w:val="24"/>
          <w:lang w:eastAsia="en-US" w:bidi="ar-SA"/>
        </w:rPr>
      </w:pPr>
      <w:r w:rsidRPr="0058532D">
        <w:rPr>
          <w:szCs w:val="24"/>
          <w:lang w:eastAsia="en-US" w:bidi="ar-SA"/>
        </w:rPr>
        <w:t>- uzrauga un kontrolē mēslošanas līdzekļu un substrātu apriti;</w:t>
      </w:r>
    </w:p>
    <w:p w14:paraId="22BB667C" w14:textId="77777777" w:rsidR="0058532D" w:rsidRPr="0058532D" w:rsidRDefault="0058532D" w:rsidP="0058532D">
      <w:pPr>
        <w:spacing w:before="100" w:beforeAutospacing="1" w:after="100" w:afterAutospacing="1"/>
        <w:rPr>
          <w:szCs w:val="24"/>
          <w:lang w:eastAsia="en-US" w:bidi="ar-SA"/>
        </w:rPr>
      </w:pPr>
      <w:r w:rsidRPr="0058532D">
        <w:rPr>
          <w:szCs w:val="24"/>
          <w:lang w:eastAsia="en-US" w:bidi="ar-SA"/>
        </w:rPr>
        <w:t>- ņem analīzēm mēslošanas līdzekļu un substrātu bezmaksas kontrolparaugus mēslošanas līdzekļa un substrāta atbilstības novērtēšanai. Kontrolparaugus ņem nepieciešamajā daudzumā saskaņā ar normatīvajiem aktiem par mēslošanas līdzekļiem un substrātiem;</w:t>
      </w:r>
    </w:p>
    <w:p w14:paraId="0A576EA7" w14:textId="77777777" w:rsidR="0058532D" w:rsidRPr="0058532D" w:rsidRDefault="0058532D" w:rsidP="0058532D">
      <w:pPr>
        <w:spacing w:before="100" w:beforeAutospacing="1" w:after="100" w:afterAutospacing="1"/>
        <w:rPr>
          <w:szCs w:val="24"/>
          <w:lang w:eastAsia="en-US" w:bidi="ar-SA"/>
        </w:rPr>
      </w:pPr>
      <w:r w:rsidRPr="0058532D">
        <w:rPr>
          <w:szCs w:val="24"/>
          <w:lang w:eastAsia="en-US" w:bidi="ar-SA"/>
        </w:rPr>
        <w:lastRenderedPageBreak/>
        <w:t xml:space="preserve">- rakstveidā informē Zemkopības ministriju, ja mēslošanas līdzeklis, kuram ir EK marķējums, neatbilst regulas Nr. </w:t>
      </w:r>
      <w:hyperlink r:id="rId28" w:tgtFrame="_blank" w:history="1">
        <w:r w:rsidRPr="0058532D">
          <w:rPr>
            <w:color w:val="0000FF"/>
            <w:szCs w:val="24"/>
            <w:u w:val="single"/>
            <w:lang w:eastAsia="en-US" w:bidi="ar-SA"/>
          </w:rPr>
          <w:t>2003/2003</w:t>
        </w:r>
      </w:hyperlink>
      <w:r w:rsidRPr="0058532D">
        <w:rPr>
          <w:szCs w:val="24"/>
          <w:lang w:eastAsia="en-US" w:bidi="ar-SA"/>
        </w:rPr>
        <w:t xml:space="preserve"> prasībām, kas attiecas uz mēslošanas līdzekļa tipu un deklarēto barības vielu saturu, vai ir iemesls uzskatīt, ka tas var radīt risku cilvēku, dzīvnieku vai augu veselībai vai videi;</w:t>
      </w:r>
    </w:p>
    <w:p w14:paraId="573CBAB5" w14:textId="77777777" w:rsidR="0058532D" w:rsidRPr="0058532D" w:rsidRDefault="0058532D" w:rsidP="0058532D">
      <w:pPr>
        <w:spacing w:before="100" w:beforeAutospacing="1" w:after="100" w:afterAutospacing="1"/>
        <w:rPr>
          <w:szCs w:val="24"/>
        </w:rPr>
      </w:pPr>
      <w:r w:rsidRPr="0058532D">
        <w:rPr>
          <w:szCs w:val="24"/>
          <w:lang w:eastAsia="en-US" w:bidi="ar-SA"/>
        </w:rPr>
        <w:t xml:space="preserve">Saskaņā ar MK 01.09.2015 noteikumiem Nr.506 “Mēslošanas līdzekļu un substrātu </w:t>
      </w:r>
      <w:r w:rsidRPr="0058532D">
        <w:rPr>
          <w:szCs w:val="24"/>
        </w:rPr>
        <w:t>identifikācijas, kvalitātes atbilstības novērtēšanas un tirdzniecības noteikumi” VAAD:</w:t>
      </w:r>
    </w:p>
    <w:p w14:paraId="4FD39AE1" w14:textId="77777777" w:rsidR="0058532D" w:rsidRPr="0058532D" w:rsidRDefault="0058532D" w:rsidP="0058532D">
      <w:pPr>
        <w:numPr>
          <w:ilvl w:val="0"/>
          <w:numId w:val="31"/>
        </w:numPr>
        <w:spacing w:before="100" w:beforeAutospacing="1" w:after="100" w:afterAutospacing="1"/>
        <w:rPr>
          <w:szCs w:val="24"/>
          <w:lang w:eastAsia="en-US" w:bidi="ar-SA"/>
        </w:rPr>
      </w:pPr>
      <w:r w:rsidRPr="0058532D">
        <w:rPr>
          <w:szCs w:val="24"/>
        </w:rPr>
        <w:t xml:space="preserve">pamatojoties uz akreditētās laboratorijas vai zinātniskās institūcijas izsniegto testēšanas pārskatu, kurā iekļauti attiecīgie šajos noteikumos minētie rādītāji, izvērtē mēslošanas līdzekļa vai substrāta kontroles parauga kvalitātes atbilstību šo noteikumu vai regulas Nr. </w:t>
      </w:r>
      <w:hyperlink r:id="rId29" w:tgtFrame="_blank" w:history="1">
        <w:r w:rsidRPr="0058532D">
          <w:rPr>
            <w:rStyle w:val="Hyperlink"/>
            <w:szCs w:val="24"/>
          </w:rPr>
          <w:t>2003/2003</w:t>
        </w:r>
      </w:hyperlink>
      <w:r w:rsidRPr="0058532D">
        <w:rPr>
          <w:szCs w:val="24"/>
        </w:rPr>
        <w:t xml:space="preserve"> prasībām. Ja mēslošanas līdzekļa vai substrāta kvalitāte atbilst norādītajām prasībām, kontroles izdevumus sedz no šiem mērķiem paredzētajiem valsts budžeta līdzekļiem;</w:t>
      </w:r>
    </w:p>
    <w:p w14:paraId="03E97D83" w14:textId="77777777" w:rsidR="0058532D" w:rsidRPr="0058532D" w:rsidRDefault="0058532D" w:rsidP="0058532D">
      <w:pPr>
        <w:numPr>
          <w:ilvl w:val="0"/>
          <w:numId w:val="31"/>
        </w:numPr>
        <w:spacing w:before="100" w:beforeAutospacing="1" w:after="100" w:afterAutospacing="1"/>
        <w:rPr>
          <w:szCs w:val="24"/>
          <w:lang w:eastAsia="en-US" w:bidi="ar-SA"/>
        </w:rPr>
      </w:pPr>
      <w:r w:rsidRPr="0058532D">
        <w:rPr>
          <w:szCs w:val="24"/>
        </w:rPr>
        <w:t>ja mēslošanas līdzekļa vai substrāta kvalitāte neatbilst šo noteikumu prasībām, sazinās ar attiecīgās dalībvalsts kompetento iestādi, lai iegūtu informāciju par konkrētās valsts normatīvajos aktos noteiktajām mēslošanas līdzekļu un substrātu kvalitātes prasībām, ja tas attiecas uz paziņotu mēslošanas līdzekli vai substrātu.</w:t>
      </w:r>
    </w:p>
    <w:p w14:paraId="2F80C0EA" w14:textId="77777777" w:rsidR="0058532D" w:rsidRPr="0058532D" w:rsidRDefault="0058532D" w:rsidP="0058532D">
      <w:pPr>
        <w:widowControl w:val="0"/>
        <w:suppressAutoHyphens/>
        <w:spacing w:after="0" w:line="200" w:lineRule="atLeast"/>
        <w:rPr>
          <w:rFonts w:eastAsia="Calibri"/>
          <w:szCs w:val="24"/>
          <w:lang w:eastAsia="ar-SA" w:bidi="ar-SA"/>
        </w:rPr>
      </w:pPr>
    </w:p>
    <w:p w14:paraId="79759EEE" w14:textId="77777777" w:rsidR="0058532D" w:rsidRPr="0058532D" w:rsidRDefault="0058532D" w:rsidP="0058532D">
      <w:pPr>
        <w:widowControl w:val="0"/>
        <w:suppressAutoHyphens/>
        <w:spacing w:after="0" w:line="200" w:lineRule="atLeast"/>
        <w:rPr>
          <w:rFonts w:eastAsia="Calibri"/>
          <w:szCs w:val="24"/>
          <w:lang w:eastAsia="ar-SA" w:bidi="ar-SA"/>
        </w:rPr>
      </w:pPr>
      <w:r w:rsidRPr="0058532D">
        <w:rPr>
          <w:rFonts w:eastAsia="Calibri"/>
          <w:szCs w:val="24"/>
          <w:lang w:eastAsia="ar-SA" w:bidi="ar-SA"/>
        </w:rPr>
        <w:t xml:space="preserve">Mēslošanas līdzekļu tirgus uzraudzībā VAAD veic pārbaudes pie darbību veicējiem (ražotājiem, ievedējiem, iepakotājiem un tirgotājiem), kā arī ņem mēslošanas līdzekļu kontrolparaugus to kvalitātes atbilstības pārbaudēm. 2021. gadā plānotas 100 mēslošanas līdzekļu aprites vietu pārbaudes un 80 mēslošanas līdzekļu un substrātu kvalitātes atbilstības pārbaudes.  </w:t>
      </w:r>
    </w:p>
    <w:p w14:paraId="305F0D11" w14:textId="77777777" w:rsidR="0058532D" w:rsidRPr="0058532D" w:rsidRDefault="0058532D" w:rsidP="0058532D">
      <w:pPr>
        <w:rPr>
          <w:i/>
          <w:color w:val="0000FF"/>
          <w:szCs w:val="24"/>
        </w:rPr>
      </w:pPr>
    </w:p>
    <w:p w14:paraId="498521B6" w14:textId="77777777" w:rsidR="0058532D" w:rsidRPr="0058532D" w:rsidRDefault="0058532D" w:rsidP="0058532D">
      <w:pPr>
        <w:rPr>
          <w:szCs w:val="24"/>
        </w:rPr>
      </w:pPr>
      <w:r w:rsidRPr="0058532D">
        <w:rPr>
          <w:szCs w:val="24"/>
        </w:rPr>
        <w:t>Pārbaudes un kontroles paraugu ņemšana tiek plānota saskaņā ar vadlīnijām, kas katru gadu tiek aktualizētas, pamatojoties uz iepriekšējā gada pārbaužu un mēslošanas līdzekļu testēšanas rezultātiem. Līdztekus plānotajām aprites vietu pārbaudēm un paraugu ņemšanai, pārbaudes un paraugu ņemšana tiek veikta, pamatojoties uz iedzīvotāju (patērētāju) sūdzībām.</w:t>
      </w:r>
    </w:p>
    <w:p w14:paraId="136B2979" w14:textId="77777777" w:rsidR="0058532D" w:rsidRPr="0058532D" w:rsidRDefault="0058532D" w:rsidP="0058532D">
      <w:pPr>
        <w:rPr>
          <w:szCs w:val="24"/>
        </w:rPr>
      </w:pPr>
      <w:r w:rsidRPr="0058532D">
        <w:rPr>
          <w:szCs w:val="24"/>
        </w:rPr>
        <w:t>Turpmāk ir norādītas vadlīnijas VAAD reģionālajām nodaļām pārbaužu plānošanai un paraugu ņemšanai 2021. gadā.</w:t>
      </w:r>
    </w:p>
    <w:p w14:paraId="1122BF15" w14:textId="77777777" w:rsidR="0058532D" w:rsidRPr="0058532D" w:rsidRDefault="0058532D" w:rsidP="0058532D">
      <w:pPr>
        <w:spacing w:after="0"/>
        <w:rPr>
          <w:szCs w:val="24"/>
        </w:rPr>
      </w:pPr>
      <w:r w:rsidRPr="0058532D">
        <w:rPr>
          <w:szCs w:val="24"/>
        </w:rPr>
        <w:t>I Aprites vietas</w:t>
      </w:r>
    </w:p>
    <w:p w14:paraId="7D093DF9" w14:textId="77777777" w:rsidR="0058532D" w:rsidRPr="0058532D" w:rsidRDefault="0058532D" w:rsidP="0058532D">
      <w:pPr>
        <w:numPr>
          <w:ilvl w:val="0"/>
          <w:numId w:val="28"/>
        </w:numPr>
        <w:suppressAutoHyphens/>
        <w:spacing w:after="0"/>
        <w:contextualSpacing/>
        <w:rPr>
          <w:rFonts w:eastAsia="Calibri"/>
          <w:bCs/>
          <w:noProof/>
          <w:szCs w:val="24"/>
        </w:rPr>
      </w:pPr>
      <w:r w:rsidRPr="0058532D">
        <w:rPr>
          <w:rFonts w:eastAsia="Calibri"/>
          <w:bCs/>
          <w:noProof/>
          <w:szCs w:val="24"/>
        </w:rPr>
        <w:t>uzņēmumi, kuri 2020. gadā pirmo reizi reģistrējuši, pieteikuši uzskaitei vai iekļāvuši paziņoto mēslošanas līdzekļu un substrātu sarakstā kādu mēslošanas līdzekli vai substrātu (jauni uzņēmumi, kas ir atbildīgi par mēslošanas līdzekļu laišanu apritē);</w:t>
      </w:r>
    </w:p>
    <w:p w14:paraId="669B863F" w14:textId="77777777" w:rsidR="0058532D" w:rsidRPr="0058532D" w:rsidRDefault="0058532D" w:rsidP="0058532D">
      <w:pPr>
        <w:numPr>
          <w:ilvl w:val="0"/>
          <w:numId w:val="28"/>
        </w:numPr>
        <w:suppressAutoHyphens/>
        <w:spacing w:after="0"/>
        <w:contextualSpacing/>
        <w:rPr>
          <w:rFonts w:eastAsia="Calibri"/>
          <w:bCs/>
          <w:noProof/>
          <w:szCs w:val="24"/>
        </w:rPr>
      </w:pPr>
      <w:r w:rsidRPr="0058532D">
        <w:rPr>
          <w:rFonts w:eastAsia="Calibri"/>
          <w:bCs/>
          <w:noProof/>
          <w:szCs w:val="24"/>
        </w:rPr>
        <w:t>uzņēmumi, kuros iepriekšējā gadā konstatēti būtiski pārkāpumi;</w:t>
      </w:r>
    </w:p>
    <w:p w14:paraId="777A0469" w14:textId="77777777" w:rsidR="0058532D" w:rsidRPr="0058532D" w:rsidRDefault="0058532D" w:rsidP="0058532D">
      <w:pPr>
        <w:numPr>
          <w:ilvl w:val="0"/>
          <w:numId w:val="28"/>
        </w:numPr>
        <w:spacing w:after="0"/>
        <w:contextualSpacing/>
        <w:rPr>
          <w:rFonts w:eastAsia="Calibri"/>
          <w:noProof/>
          <w:szCs w:val="24"/>
        </w:rPr>
      </w:pPr>
      <w:r w:rsidRPr="0058532D">
        <w:rPr>
          <w:rFonts w:eastAsia="Calibri"/>
          <w:noProof/>
          <w:szCs w:val="24"/>
        </w:rPr>
        <w:t xml:space="preserve">kaļķošanas materiālu - kurtuvju pelnu ražotāji, kuru reģistrētajiem pelniem 2020.gadā bija konstatētas kvalitātes neatbilstības; </w:t>
      </w:r>
    </w:p>
    <w:p w14:paraId="1F083512" w14:textId="77777777" w:rsidR="0058532D" w:rsidRPr="0058532D" w:rsidRDefault="0058532D" w:rsidP="0058532D">
      <w:pPr>
        <w:numPr>
          <w:ilvl w:val="0"/>
          <w:numId w:val="28"/>
        </w:numPr>
        <w:suppressAutoHyphens/>
        <w:spacing w:after="0"/>
        <w:contextualSpacing/>
        <w:rPr>
          <w:rFonts w:eastAsia="Calibri"/>
          <w:bCs/>
          <w:noProof/>
          <w:szCs w:val="24"/>
        </w:rPr>
      </w:pPr>
      <w:r w:rsidRPr="0058532D">
        <w:rPr>
          <w:rFonts w:eastAsia="Calibri"/>
          <w:bCs/>
          <w:noProof/>
          <w:szCs w:val="24"/>
        </w:rPr>
        <w:t>mēslošanas līdzekļu un substrātu ražošanas un iepakopšanas (pārpakošanas) vietas, kurās pēdējo divu gadu laikā nav veiktas pārbaudes;</w:t>
      </w:r>
    </w:p>
    <w:p w14:paraId="18E8B002" w14:textId="77777777" w:rsidR="0058532D" w:rsidRPr="0058532D" w:rsidRDefault="0058532D" w:rsidP="0058532D">
      <w:pPr>
        <w:numPr>
          <w:ilvl w:val="0"/>
          <w:numId w:val="28"/>
        </w:numPr>
        <w:suppressAutoHyphens/>
        <w:spacing w:after="0"/>
        <w:contextualSpacing/>
        <w:rPr>
          <w:rFonts w:eastAsia="Calibri"/>
          <w:bCs/>
          <w:noProof/>
          <w:szCs w:val="24"/>
        </w:rPr>
      </w:pPr>
      <w:r w:rsidRPr="0058532D">
        <w:rPr>
          <w:rFonts w:eastAsia="Calibri"/>
          <w:bCs/>
          <w:noProof/>
          <w:szCs w:val="24"/>
        </w:rPr>
        <w:t>ne mazāk kā 4 mazumtirdzniecības vietas, kurās tiek tirgoti mēslošanas līdzekļi – sprāgstvielu prekursori;</w:t>
      </w:r>
    </w:p>
    <w:p w14:paraId="31B5069B" w14:textId="77777777" w:rsidR="0058532D" w:rsidRPr="0058532D" w:rsidRDefault="0058532D" w:rsidP="0058532D">
      <w:pPr>
        <w:numPr>
          <w:ilvl w:val="0"/>
          <w:numId w:val="28"/>
        </w:numPr>
        <w:suppressAutoHyphens/>
        <w:spacing w:after="0"/>
        <w:contextualSpacing/>
        <w:rPr>
          <w:rFonts w:eastAsia="Calibri"/>
          <w:bCs/>
          <w:noProof/>
          <w:szCs w:val="24"/>
        </w:rPr>
      </w:pPr>
      <w:r w:rsidRPr="0058532D">
        <w:rPr>
          <w:rFonts w:eastAsia="Calibri"/>
          <w:bCs/>
          <w:noProof/>
          <w:szCs w:val="24"/>
        </w:rPr>
        <w:t>divas tirdzniecības vietas, kas izvietotas tirgus teritorijās un kurās pēdējo divu gadu laikā nav veiktas pārbaudes;</w:t>
      </w:r>
    </w:p>
    <w:p w14:paraId="08CB45E6" w14:textId="77777777" w:rsidR="0058532D" w:rsidRPr="0058532D" w:rsidRDefault="0058532D" w:rsidP="0058532D">
      <w:pPr>
        <w:numPr>
          <w:ilvl w:val="0"/>
          <w:numId w:val="28"/>
        </w:numPr>
        <w:suppressAutoHyphens/>
        <w:spacing w:after="0"/>
        <w:contextualSpacing/>
        <w:rPr>
          <w:rFonts w:eastAsia="Calibri"/>
          <w:bCs/>
          <w:noProof/>
          <w:szCs w:val="24"/>
        </w:rPr>
      </w:pPr>
      <w:r w:rsidRPr="0058532D">
        <w:rPr>
          <w:rFonts w:eastAsia="Calibri"/>
          <w:bCs/>
          <w:noProof/>
          <w:szCs w:val="24"/>
        </w:rPr>
        <w:t>tirdzniecības vietas, ja par tām dienestā ir saņemta sūdzība (operatīvā pārbaude).</w:t>
      </w:r>
    </w:p>
    <w:p w14:paraId="79453702" w14:textId="77777777" w:rsidR="0058532D" w:rsidRPr="0058532D" w:rsidRDefault="0058532D" w:rsidP="0058532D">
      <w:pPr>
        <w:suppressAutoHyphens/>
        <w:spacing w:after="0"/>
        <w:ind w:left="1647"/>
        <w:contextualSpacing/>
        <w:rPr>
          <w:rFonts w:eastAsia="Calibri"/>
          <w:bCs/>
          <w:noProof/>
          <w:szCs w:val="24"/>
        </w:rPr>
      </w:pPr>
    </w:p>
    <w:p w14:paraId="6F5C393E" w14:textId="77777777" w:rsidR="0058532D" w:rsidRPr="0058532D" w:rsidRDefault="0058532D" w:rsidP="0058532D">
      <w:pPr>
        <w:rPr>
          <w:szCs w:val="24"/>
        </w:rPr>
      </w:pPr>
      <w:r w:rsidRPr="0058532D">
        <w:rPr>
          <w:szCs w:val="24"/>
        </w:rPr>
        <w:t>II Mēslošanas līdzekļu kontroles paraugi</w:t>
      </w:r>
    </w:p>
    <w:p w14:paraId="400CE08E" w14:textId="77777777" w:rsidR="0058532D" w:rsidRPr="0058532D" w:rsidRDefault="0058532D" w:rsidP="0058532D">
      <w:pPr>
        <w:numPr>
          <w:ilvl w:val="0"/>
          <w:numId w:val="29"/>
        </w:numPr>
        <w:spacing w:after="0"/>
        <w:contextualSpacing/>
        <w:rPr>
          <w:rFonts w:eastAsia="Calibri"/>
          <w:noProof/>
          <w:szCs w:val="24"/>
        </w:rPr>
      </w:pPr>
      <w:r w:rsidRPr="0058532D">
        <w:rPr>
          <w:rFonts w:eastAsia="Calibri"/>
          <w:noProof/>
          <w:szCs w:val="24"/>
        </w:rPr>
        <w:t xml:space="preserve">kaļķošanas materiāli - kurtuvju pelni, kuri reģistrēti 2020.gadā, kā arī kurtuvju pelni, kuriem 2020.gadā bija konstatētas kvalitātes neatbilstības; </w:t>
      </w:r>
    </w:p>
    <w:p w14:paraId="490F8A1E" w14:textId="77777777" w:rsidR="0058532D" w:rsidRPr="0058532D" w:rsidRDefault="0058532D" w:rsidP="0058532D">
      <w:pPr>
        <w:numPr>
          <w:ilvl w:val="0"/>
          <w:numId w:val="29"/>
        </w:numPr>
        <w:spacing w:after="0"/>
        <w:contextualSpacing/>
        <w:rPr>
          <w:rFonts w:eastAsia="Calibri"/>
          <w:noProof/>
          <w:szCs w:val="24"/>
        </w:rPr>
      </w:pPr>
      <w:r w:rsidRPr="0058532D">
        <w:rPr>
          <w:rFonts w:eastAsia="Calibri"/>
          <w:noProof/>
          <w:szCs w:val="24"/>
        </w:rPr>
        <w:t>2020. gadā Kultūraugu uzraudzības valsts informācijas sistēmas (turpmāk – KUVIS) mēslošanas līdzekļu valsts reģistrā vai paziņoto mēslošanas līdzekļu sarakstā iekļautie organiskie un oragnominerālie mēslošanas līdzekļi un substrāti, pirmkārt dzīvnieku izcelsmes izejvielas saturošie;</w:t>
      </w:r>
    </w:p>
    <w:p w14:paraId="74327544" w14:textId="77777777" w:rsidR="0058532D" w:rsidRPr="0058532D" w:rsidRDefault="0058532D" w:rsidP="0058532D">
      <w:pPr>
        <w:numPr>
          <w:ilvl w:val="0"/>
          <w:numId w:val="29"/>
        </w:numPr>
        <w:spacing w:after="0"/>
        <w:contextualSpacing/>
        <w:rPr>
          <w:rFonts w:eastAsia="Calibri"/>
          <w:noProof/>
          <w:szCs w:val="24"/>
        </w:rPr>
      </w:pPr>
      <w:r w:rsidRPr="0058532D">
        <w:rPr>
          <w:rFonts w:eastAsia="Calibri"/>
          <w:noProof/>
          <w:szCs w:val="24"/>
        </w:rPr>
        <w:t>2020. gadā uzskaitei pieteiktie mēslošanas līdzekļi ar EK marķējumu – pēc brīvas izvēles, pirmkārt tie, kuru marķējums rada šaubas par atbilstību regulas nr.2003/2003 prasībām, nodrošinot, ka katrā reģionālajā nodaļā paraugi tiek paņemti 5 mēslošanas līdzekļiem ar EK marķējumu;</w:t>
      </w:r>
    </w:p>
    <w:p w14:paraId="4EC99FC6" w14:textId="77777777" w:rsidR="0058532D" w:rsidRPr="0058532D" w:rsidRDefault="0058532D" w:rsidP="0058532D">
      <w:pPr>
        <w:numPr>
          <w:ilvl w:val="0"/>
          <w:numId w:val="29"/>
        </w:numPr>
        <w:spacing w:after="0"/>
        <w:contextualSpacing/>
        <w:rPr>
          <w:rFonts w:eastAsia="Calibri"/>
          <w:noProof/>
          <w:szCs w:val="24"/>
        </w:rPr>
      </w:pPr>
      <w:r w:rsidRPr="0058532D">
        <w:rPr>
          <w:rFonts w:eastAsia="Calibri"/>
          <w:noProof/>
          <w:szCs w:val="24"/>
        </w:rPr>
        <w:t>pamatojoties uz RN saņemtu sūdzību par iespējamo mēslošanas līdzekļa kvalitātes neatbilstību deklarētajai kvalitātei.</w:t>
      </w:r>
    </w:p>
    <w:p w14:paraId="28034254" w14:textId="77777777" w:rsidR="0058532D" w:rsidRPr="0058532D" w:rsidRDefault="0058532D" w:rsidP="0058532D">
      <w:pPr>
        <w:spacing w:after="0"/>
        <w:ind w:left="720"/>
        <w:contextualSpacing/>
        <w:rPr>
          <w:rFonts w:eastAsia="Calibri"/>
          <w:noProof/>
          <w:szCs w:val="24"/>
        </w:rPr>
      </w:pPr>
    </w:p>
    <w:p w14:paraId="20144A5D" w14:textId="77777777" w:rsidR="0058532D" w:rsidRPr="0058532D" w:rsidRDefault="0058532D" w:rsidP="0058532D">
      <w:pPr>
        <w:rPr>
          <w:szCs w:val="24"/>
        </w:rPr>
      </w:pPr>
      <w:r w:rsidRPr="0058532D">
        <w:rPr>
          <w:szCs w:val="24"/>
        </w:rPr>
        <w:t>Aprites vietu pārbaudēs konstatētie pārkāpumi tiek vērtēti un klasificēti maznozīmīgos vai būtiskos pārkāpumos, pēdējo gadījumā ierosinot administratīvo pārkāpumu procesu. Konstatējot mēslošanas līdzekļa un substrāta kontroles parauga kvalitātes neatbilstību, personai, kas atbildīga par mēslošanas līdzekļa un substrāta laišanu apritē, ir pienākums segt ar parauga testēšanu saistītos izdevumus.</w:t>
      </w:r>
    </w:p>
    <w:p w14:paraId="4DB0F180" w14:textId="45758DF4" w:rsidR="00164F42" w:rsidRPr="00077E3F" w:rsidRDefault="0058532D" w:rsidP="0058532D">
      <w:pPr>
        <w:pStyle w:val="Text1"/>
        <w:ind w:left="0"/>
        <w:rPr>
          <w:i/>
        </w:rPr>
      </w:pPr>
      <w:r w:rsidRPr="0058532D">
        <w:rPr>
          <w:szCs w:val="24"/>
        </w:rPr>
        <w:t xml:space="preserve">Ja 2021. gadā tiks konstatēti mēslošanas līdzekļi ar EK marķējumu, kuriem tiks liegta vai ierobežota piekļuve tirgum, tad VAAD par tiem ziņos, izmantojot </w:t>
      </w:r>
      <w:r w:rsidRPr="0058532D">
        <w:rPr>
          <w:i/>
          <w:iCs/>
          <w:szCs w:val="24"/>
        </w:rPr>
        <w:t>ICSMS</w:t>
      </w:r>
      <w:r w:rsidRPr="0058532D">
        <w:rPr>
          <w:szCs w:val="24"/>
        </w:rPr>
        <w:t xml:space="preserve"> sistēmu</w:t>
      </w:r>
      <w:r w:rsidR="00164F42" w:rsidRPr="0058532D">
        <w:rPr>
          <w:i/>
          <w:szCs w:val="24"/>
        </w:rPr>
        <w:t>.</w:t>
      </w:r>
      <w:r w:rsidR="00164F42" w:rsidRPr="00077E3F">
        <w:rPr>
          <w:i/>
        </w:rPr>
        <w:t xml:space="preserve"> </w:t>
      </w:r>
    </w:p>
    <w:p w14:paraId="182D89F4" w14:textId="77777777" w:rsidR="00164F42" w:rsidRPr="00077E3F" w:rsidRDefault="00164F42" w:rsidP="00164F42">
      <w:pPr>
        <w:pStyle w:val="Heading3"/>
        <w:tabs>
          <w:tab w:val="num" w:pos="2552"/>
          <w:tab w:val="num" w:pos="4973"/>
        </w:tabs>
        <w:ind w:left="1701" w:hanging="77"/>
      </w:pPr>
      <w:bookmarkStart w:id="84" w:name="_Toc8821900"/>
      <w:r w:rsidRPr="00077E3F">
        <w:t>Ziņojums par darbībām, kas veiktas saskaņā ar iepriekšējo plānošanas periodu</w:t>
      </w:r>
      <w:bookmarkEnd w:id="84"/>
    </w:p>
    <w:p w14:paraId="4375FEAB" w14:textId="77777777" w:rsidR="0058532D" w:rsidRPr="004B6D4E" w:rsidRDefault="0058532D" w:rsidP="0058532D">
      <w:pPr>
        <w:pStyle w:val="naisf"/>
        <w:spacing w:before="0" w:after="0" w:line="200" w:lineRule="atLeast"/>
        <w:ind w:firstLine="0"/>
      </w:pPr>
      <w:r w:rsidRPr="004B6D4E">
        <w:t>20</w:t>
      </w:r>
      <w:r>
        <w:t>20</w:t>
      </w:r>
      <w:r w:rsidRPr="004B6D4E">
        <w:t>. gadā VAAD kopumā ņēma kontroles paraugus 8</w:t>
      </w:r>
      <w:r>
        <w:t>0</w:t>
      </w:r>
      <w:r w:rsidRPr="004B6D4E">
        <w:t xml:space="preserve"> mēslošanas līdzekļiem: 52 reģistrētiem un 2</w:t>
      </w:r>
      <w:r>
        <w:t>8</w:t>
      </w:r>
      <w:r w:rsidRPr="004B6D4E">
        <w:t xml:space="preserve"> ar EK marķējumu. Paraugi tika iesniegti testēšanai akreditētā laboratorijā SIA “Latvijas Sertifikācijas centrs”. </w:t>
      </w:r>
    </w:p>
    <w:p w14:paraId="20B7C2F6" w14:textId="77777777" w:rsidR="0058532D" w:rsidRDefault="0058532D" w:rsidP="0058532D">
      <w:pPr>
        <w:pStyle w:val="naisf"/>
        <w:spacing w:before="0" w:after="0" w:line="200" w:lineRule="atLeast"/>
        <w:ind w:firstLine="0"/>
      </w:pPr>
    </w:p>
    <w:p w14:paraId="44BF23DE" w14:textId="77777777" w:rsidR="0058532D" w:rsidRPr="00077E3F" w:rsidRDefault="0058532D" w:rsidP="0058532D">
      <w:pPr>
        <w:pStyle w:val="naisf"/>
        <w:spacing w:before="0" w:after="0" w:line="200" w:lineRule="atLeast"/>
        <w:ind w:firstLine="0"/>
      </w:pPr>
      <w:r w:rsidRPr="004B6D4E">
        <w:t>Informācija par mēslošanas līdzekļu kvalitātes atbilstību sniegta 1.tabulā.</w:t>
      </w:r>
    </w:p>
    <w:p w14:paraId="73CFE6F1" w14:textId="77777777" w:rsidR="0058532D" w:rsidRPr="00077E3F" w:rsidRDefault="0058532D" w:rsidP="0058532D">
      <w:pPr>
        <w:spacing w:after="0" w:line="200" w:lineRule="atLeast"/>
        <w:jc w:val="right"/>
        <w:rPr>
          <w:szCs w:val="24"/>
        </w:rPr>
      </w:pPr>
    </w:p>
    <w:p w14:paraId="09DBAFF4" w14:textId="77777777" w:rsidR="0058532D" w:rsidRPr="00077E3F" w:rsidRDefault="0058532D" w:rsidP="0058532D">
      <w:pPr>
        <w:spacing w:after="0" w:line="200" w:lineRule="atLeast"/>
        <w:jc w:val="right"/>
        <w:rPr>
          <w:szCs w:val="24"/>
        </w:rPr>
      </w:pPr>
    </w:p>
    <w:p w14:paraId="4BF9D59E" w14:textId="77777777" w:rsidR="0058532D" w:rsidRPr="00077E3F" w:rsidRDefault="0058532D" w:rsidP="0058532D">
      <w:pPr>
        <w:spacing w:after="0" w:line="200" w:lineRule="atLeast"/>
        <w:jc w:val="right"/>
      </w:pPr>
      <w:r w:rsidRPr="00077E3F">
        <w:rPr>
          <w:i/>
          <w:iCs/>
        </w:rPr>
        <w:t>1.tabula.</w:t>
      </w:r>
    </w:p>
    <w:p w14:paraId="4A84EE28" w14:textId="77777777" w:rsidR="0058532D" w:rsidRPr="004B6D4E" w:rsidRDefault="0058532D" w:rsidP="0058532D">
      <w:pPr>
        <w:spacing w:after="0" w:line="200" w:lineRule="atLeast"/>
        <w:jc w:val="center"/>
      </w:pPr>
      <w:r w:rsidRPr="004B6D4E">
        <w:t>Informācija par 20</w:t>
      </w:r>
      <w:r>
        <w:t>20</w:t>
      </w:r>
      <w:r w:rsidRPr="004B6D4E">
        <w:t xml:space="preserve">. gadā ņemtajiem mēslošanas līdzekļu paraugiem un to </w:t>
      </w:r>
    </w:p>
    <w:p w14:paraId="68B1539D" w14:textId="77777777" w:rsidR="0058532D" w:rsidRPr="004B6D4E" w:rsidRDefault="0058532D" w:rsidP="0058532D">
      <w:pPr>
        <w:spacing w:after="0" w:line="200" w:lineRule="atLeast"/>
        <w:jc w:val="center"/>
      </w:pPr>
      <w:r w:rsidRPr="004B6D4E">
        <w:t>kvalitātes atbilstību</w:t>
      </w:r>
    </w:p>
    <w:p w14:paraId="75E19B21" w14:textId="77777777" w:rsidR="0058532D" w:rsidRPr="004B6D4E" w:rsidRDefault="0058532D" w:rsidP="0058532D">
      <w:pPr>
        <w:spacing w:after="0" w:line="200" w:lineRule="atLeast"/>
        <w:jc w:val="center"/>
      </w:pPr>
    </w:p>
    <w:tbl>
      <w:tblPr>
        <w:tblW w:w="9300" w:type="dxa"/>
        <w:tblInd w:w="-20" w:type="dxa"/>
        <w:tblLayout w:type="fixed"/>
        <w:tblLook w:val="04A0" w:firstRow="1" w:lastRow="0" w:firstColumn="1" w:lastColumn="0" w:noHBand="0" w:noVBand="1"/>
      </w:tblPr>
      <w:tblGrid>
        <w:gridCol w:w="3388"/>
        <w:gridCol w:w="1241"/>
        <w:gridCol w:w="1733"/>
        <w:gridCol w:w="1236"/>
        <w:gridCol w:w="1702"/>
      </w:tblGrid>
      <w:tr w:rsidR="0058532D" w:rsidRPr="004B6D4E" w14:paraId="1CE0DC2B" w14:textId="77777777" w:rsidTr="00FA1F3B">
        <w:tc>
          <w:tcPr>
            <w:tcW w:w="3388" w:type="dxa"/>
            <w:vMerge w:val="restart"/>
            <w:tcBorders>
              <w:top w:val="single" w:sz="4" w:space="0" w:color="000000"/>
              <w:left w:val="single" w:sz="4" w:space="0" w:color="000000"/>
              <w:bottom w:val="single" w:sz="4" w:space="0" w:color="000000"/>
              <w:right w:val="nil"/>
            </w:tcBorders>
            <w:hideMark/>
          </w:tcPr>
          <w:p w14:paraId="6B092CCF" w14:textId="77777777" w:rsidR="0058532D" w:rsidRPr="004B6D4E" w:rsidRDefault="0058532D" w:rsidP="00FA1F3B">
            <w:pPr>
              <w:spacing w:after="0" w:line="200" w:lineRule="atLeast"/>
              <w:jc w:val="center"/>
              <w:rPr>
                <w:i/>
              </w:rPr>
            </w:pPr>
            <w:r w:rsidRPr="004B6D4E">
              <w:rPr>
                <w:bCs/>
              </w:rPr>
              <w:t>Rādītājs</w:t>
            </w:r>
          </w:p>
        </w:tc>
        <w:tc>
          <w:tcPr>
            <w:tcW w:w="2974" w:type="dxa"/>
            <w:gridSpan w:val="2"/>
            <w:tcBorders>
              <w:top w:val="single" w:sz="4" w:space="0" w:color="000000"/>
              <w:left w:val="single" w:sz="4" w:space="0" w:color="000000"/>
              <w:bottom w:val="single" w:sz="4" w:space="0" w:color="000000"/>
              <w:right w:val="nil"/>
            </w:tcBorders>
            <w:hideMark/>
          </w:tcPr>
          <w:p w14:paraId="5A08E9B9" w14:textId="77777777" w:rsidR="0058532D" w:rsidRPr="004B6D4E" w:rsidRDefault="0058532D" w:rsidP="00FA1F3B">
            <w:pPr>
              <w:spacing w:after="0" w:line="200" w:lineRule="atLeast"/>
              <w:jc w:val="center"/>
              <w:rPr>
                <w:i/>
              </w:rPr>
            </w:pPr>
            <w:r w:rsidRPr="004B6D4E">
              <w:rPr>
                <w:i/>
              </w:rPr>
              <w:t>20</w:t>
            </w:r>
            <w:r>
              <w:rPr>
                <w:i/>
              </w:rPr>
              <w:t>20</w:t>
            </w:r>
            <w:r w:rsidRPr="004B6D4E">
              <w:rPr>
                <w:i/>
              </w:rPr>
              <w:t>. gads</w:t>
            </w:r>
          </w:p>
        </w:tc>
        <w:tc>
          <w:tcPr>
            <w:tcW w:w="2938" w:type="dxa"/>
            <w:gridSpan w:val="2"/>
            <w:tcBorders>
              <w:top w:val="single" w:sz="4" w:space="0" w:color="000000"/>
              <w:left w:val="single" w:sz="4" w:space="0" w:color="000000"/>
              <w:bottom w:val="single" w:sz="4" w:space="0" w:color="000000"/>
              <w:right w:val="single" w:sz="4" w:space="0" w:color="000000"/>
            </w:tcBorders>
            <w:hideMark/>
          </w:tcPr>
          <w:p w14:paraId="22FB4709" w14:textId="77777777" w:rsidR="0058532D" w:rsidRPr="004B6D4E" w:rsidRDefault="0058532D" w:rsidP="00FA1F3B">
            <w:pPr>
              <w:spacing w:after="0" w:line="200" w:lineRule="atLeast"/>
              <w:jc w:val="center"/>
            </w:pPr>
            <w:r w:rsidRPr="004B6D4E">
              <w:rPr>
                <w:i/>
              </w:rPr>
              <w:t>201</w:t>
            </w:r>
            <w:r>
              <w:rPr>
                <w:i/>
              </w:rPr>
              <w:t>9</w:t>
            </w:r>
            <w:r w:rsidRPr="004B6D4E">
              <w:rPr>
                <w:i/>
              </w:rPr>
              <w:t>. gads</w:t>
            </w:r>
          </w:p>
        </w:tc>
      </w:tr>
      <w:tr w:rsidR="0058532D" w:rsidRPr="004B6D4E" w14:paraId="55169316" w14:textId="77777777" w:rsidTr="00FA1F3B">
        <w:tc>
          <w:tcPr>
            <w:tcW w:w="3388" w:type="dxa"/>
            <w:vMerge/>
            <w:tcBorders>
              <w:top w:val="single" w:sz="4" w:space="0" w:color="000000"/>
              <w:left w:val="single" w:sz="4" w:space="0" w:color="000000"/>
              <w:bottom w:val="single" w:sz="4" w:space="0" w:color="000000"/>
              <w:right w:val="nil"/>
            </w:tcBorders>
            <w:vAlign w:val="center"/>
            <w:hideMark/>
          </w:tcPr>
          <w:p w14:paraId="796B246D" w14:textId="77777777" w:rsidR="0058532D" w:rsidRPr="004B6D4E" w:rsidRDefault="0058532D" w:rsidP="00FA1F3B">
            <w:pPr>
              <w:spacing w:after="0"/>
              <w:jc w:val="left"/>
              <w:rPr>
                <w:i/>
              </w:rPr>
            </w:pPr>
          </w:p>
        </w:tc>
        <w:tc>
          <w:tcPr>
            <w:tcW w:w="1241" w:type="dxa"/>
            <w:tcBorders>
              <w:top w:val="single" w:sz="4" w:space="0" w:color="000000"/>
              <w:left w:val="single" w:sz="4" w:space="0" w:color="000000"/>
              <w:bottom w:val="single" w:sz="4" w:space="0" w:color="000000"/>
              <w:right w:val="nil"/>
            </w:tcBorders>
            <w:hideMark/>
          </w:tcPr>
          <w:p w14:paraId="1E615C64" w14:textId="77777777" w:rsidR="0058532D" w:rsidRPr="004B6D4E" w:rsidRDefault="0058532D" w:rsidP="00FA1F3B">
            <w:pPr>
              <w:spacing w:after="0" w:line="200" w:lineRule="atLeast"/>
              <w:jc w:val="center"/>
              <w:rPr>
                <w:i/>
              </w:rPr>
            </w:pPr>
            <w:r w:rsidRPr="004B6D4E">
              <w:t>skaits</w:t>
            </w:r>
          </w:p>
        </w:tc>
        <w:tc>
          <w:tcPr>
            <w:tcW w:w="1733" w:type="dxa"/>
            <w:tcBorders>
              <w:top w:val="single" w:sz="4" w:space="0" w:color="000000"/>
              <w:left w:val="single" w:sz="4" w:space="0" w:color="000000"/>
              <w:bottom w:val="single" w:sz="4" w:space="0" w:color="000000"/>
              <w:right w:val="nil"/>
            </w:tcBorders>
            <w:hideMark/>
          </w:tcPr>
          <w:p w14:paraId="1822264C" w14:textId="77777777" w:rsidR="0058532D" w:rsidRPr="004B6D4E" w:rsidRDefault="0058532D" w:rsidP="00FA1F3B">
            <w:pPr>
              <w:spacing w:after="0" w:line="200" w:lineRule="atLeast"/>
              <w:jc w:val="center"/>
            </w:pPr>
            <w:r w:rsidRPr="004B6D4E">
              <w:rPr>
                <w:i/>
              </w:rPr>
              <w:t>%, no pārbaudītajiem ML</w:t>
            </w:r>
          </w:p>
        </w:tc>
        <w:tc>
          <w:tcPr>
            <w:tcW w:w="1236" w:type="dxa"/>
            <w:tcBorders>
              <w:top w:val="single" w:sz="4" w:space="0" w:color="000000"/>
              <w:left w:val="single" w:sz="4" w:space="0" w:color="000000"/>
              <w:bottom w:val="single" w:sz="4" w:space="0" w:color="000000"/>
              <w:right w:val="nil"/>
            </w:tcBorders>
            <w:hideMark/>
          </w:tcPr>
          <w:p w14:paraId="7123ED66" w14:textId="77777777" w:rsidR="0058532D" w:rsidRPr="004B6D4E" w:rsidRDefault="0058532D" w:rsidP="00FA1F3B">
            <w:pPr>
              <w:spacing w:after="0" w:line="200" w:lineRule="atLeast"/>
              <w:jc w:val="center"/>
              <w:rPr>
                <w:i/>
              </w:rPr>
            </w:pPr>
            <w:r w:rsidRPr="004B6D4E">
              <w:t>skaits</w:t>
            </w:r>
          </w:p>
        </w:tc>
        <w:tc>
          <w:tcPr>
            <w:tcW w:w="1702" w:type="dxa"/>
            <w:tcBorders>
              <w:top w:val="single" w:sz="4" w:space="0" w:color="000000"/>
              <w:left w:val="single" w:sz="4" w:space="0" w:color="000000"/>
              <w:bottom w:val="single" w:sz="4" w:space="0" w:color="000000"/>
              <w:right w:val="single" w:sz="4" w:space="0" w:color="000000"/>
            </w:tcBorders>
            <w:hideMark/>
          </w:tcPr>
          <w:p w14:paraId="0A576050" w14:textId="77777777" w:rsidR="0058532D" w:rsidRPr="004B6D4E" w:rsidRDefault="0058532D" w:rsidP="00FA1F3B">
            <w:pPr>
              <w:spacing w:after="0" w:line="200" w:lineRule="atLeast"/>
              <w:jc w:val="center"/>
            </w:pPr>
            <w:r w:rsidRPr="004B6D4E">
              <w:rPr>
                <w:i/>
              </w:rPr>
              <w:t>%, no pārbaudītajiem ML</w:t>
            </w:r>
          </w:p>
        </w:tc>
      </w:tr>
      <w:tr w:rsidR="0058532D" w:rsidRPr="004B6D4E" w14:paraId="15779EC2" w14:textId="77777777" w:rsidTr="00FA1F3B">
        <w:tc>
          <w:tcPr>
            <w:tcW w:w="3388" w:type="dxa"/>
            <w:tcBorders>
              <w:top w:val="single" w:sz="4" w:space="0" w:color="000000"/>
              <w:left w:val="single" w:sz="4" w:space="0" w:color="000000"/>
              <w:bottom w:val="single" w:sz="4" w:space="0" w:color="000000"/>
              <w:right w:val="nil"/>
            </w:tcBorders>
            <w:shd w:val="clear" w:color="auto" w:fill="DDDDDD"/>
            <w:hideMark/>
          </w:tcPr>
          <w:p w14:paraId="5E158B68" w14:textId="77777777" w:rsidR="0058532D" w:rsidRPr="004B6D4E" w:rsidRDefault="0058532D" w:rsidP="00FA1F3B">
            <w:pPr>
              <w:spacing w:after="0" w:line="200" w:lineRule="atLeast"/>
            </w:pPr>
            <w:r w:rsidRPr="004B6D4E">
              <w:t>1. Pārbaudīti ML, kopā</w:t>
            </w:r>
          </w:p>
        </w:tc>
        <w:tc>
          <w:tcPr>
            <w:tcW w:w="1241" w:type="dxa"/>
            <w:tcBorders>
              <w:top w:val="single" w:sz="4" w:space="0" w:color="000000"/>
              <w:left w:val="single" w:sz="4" w:space="0" w:color="000000"/>
              <w:bottom w:val="single" w:sz="4" w:space="0" w:color="000000"/>
              <w:right w:val="nil"/>
            </w:tcBorders>
            <w:shd w:val="clear" w:color="auto" w:fill="DDDDDD"/>
            <w:hideMark/>
          </w:tcPr>
          <w:p w14:paraId="7B91FB81" w14:textId="77777777" w:rsidR="0058532D" w:rsidRPr="004B6D4E" w:rsidRDefault="0058532D" w:rsidP="00FA1F3B">
            <w:pPr>
              <w:spacing w:after="0" w:line="200" w:lineRule="atLeast"/>
              <w:jc w:val="center"/>
              <w:rPr>
                <w:i/>
              </w:rPr>
            </w:pPr>
            <w:r w:rsidRPr="004B6D4E">
              <w:t>8</w:t>
            </w:r>
            <w:r>
              <w:t>0</w:t>
            </w:r>
          </w:p>
        </w:tc>
        <w:tc>
          <w:tcPr>
            <w:tcW w:w="1733" w:type="dxa"/>
            <w:tcBorders>
              <w:top w:val="single" w:sz="4" w:space="0" w:color="000000"/>
              <w:left w:val="single" w:sz="4" w:space="0" w:color="000000"/>
              <w:bottom w:val="single" w:sz="4" w:space="0" w:color="000000"/>
              <w:right w:val="nil"/>
            </w:tcBorders>
            <w:shd w:val="clear" w:color="auto" w:fill="DDDDDD"/>
            <w:hideMark/>
          </w:tcPr>
          <w:p w14:paraId="2A6A8531" w14:textId="77777777" w:rsidR="0058532D" w:rsidRPr="004B6D4E" w:rsidRDefault="0058532D" w:rsidP="00FA1F3B">
            <w:pPr>
              <w:spacing w:after="0" w:line="200" w:lineRule="atLeast"/>
              <w:jc w:val="center"/>
            </w:pPr>
            <w:r w:rsidRPr="004B6D4E">
              <w:rPr>
                <w:i/>
              </w:rPr>
              <w:t>100</w:t>
            </w:r>
          </w:p>
        </w:tc>
        <w:tc>
          <w:tcPr>
            <w:tcW w:w="1236" w:type="dxa"/>
            <w:tcBorders>
              <w:top w:val="single" w:sz="4" w:space="0" w:color="000000"/>
              <w:left w:val="single" w:sz="4" w:space="0" w:color="000000"/>
              <w:bottom w:val="single" w:sz="4" w:space="0" w:color="000000"/>
              <w:right w:val="nil"/>
            </w:tcBorders>
            <w:shd w:val="clear" w:color="auto" w:fill="DDDDDD"/>
            <w:hideMark/>
          </w:tcPr>
          <w:p w14:paraId="5384700F" w14:textId="77777777" w:rsidR="0058532D" w:rsidRPr="004B6D4E" w:rsidRDefault="0058532D" w:rsidP="00FA1F3B">
            <w:pPr>
              <w:spacing w:after="0" w:line="200" w:lineRule="atLeast"/>
              <w:jc w:val="center"/>
              <w:rPr>
                <w:i/>
              </w:rPr>
            </w:pPr>
            <w:r w:rsidRPr="004B6D4E">
              <w:t>8</w:t>
            </w:r>
            <w:r>
              <w:t>1</w:t>
            </w:r>
          </w:p>
        </w:tc>
        <w:tc>
          <w:tcPr>
            <w:tcW w:w="1702" w:type="dxa"/>
            <w:tcBorders>
              <w:top w:val="single" w:sz="4" w:space="0" w:color="000000"/>
              <w:left w:val="single" w:sz="4" w:space="0" w:color="000000"/>
              <w:bottom w:val="single" w:sz="4" w:space="0" w:color="000000"/>
              <w:right w:val="single" w:sz="4" w:space="0" w:color="000000"/>
            </w:tcBorders>
            <w:shd w:val="clear" w:color="auto" w:fill="DDDDDD"/>
            <w:hideMark/>
          </w:tcPr>
          <w:p w14:paraId="1ACBBF53" w14:textId="77777777" w:rsidR="0058532D" w:rsidRPr="004B6D4E" w:rsidRDefault="0058532D" w:rsidP="00FA1F3B">
            <w:pPr>
              <w:spacing w:after="0" w:line="200" w:lineRule="atLeast"/>
              <w:jc w:val="center"/>
            </w:pPr>
            <w:r w:rsidRPr="004B6D4E">
              <w:rPr>
                <w:i/>
              </w:rPr>
              <w:t>100</w:t>
            </w:r>
          </w:p>
        </w:tc>
      </w:tr>
      <w:tr w:rsidR="0058532D" w:rsidRPr="004B6D4E" w14:paraId="6FA0AFB3" w14:textId="77777777" w:rsidTr="00FA1F3B">
        <w:tc>
          <w:tcPr>
            <w:tcW w:w="3388" w:type="dxa"/>
            <w:tcBorders>
              <w:top w:val="single" w:sz="4" w:space="0" w:color="000000"/>
              <w:left w:val="single" w:sz="4" w:space="0" w:color="000000"/>
              <w:bottom w:val="single" w:sz="4" w:space="0" w:color="000000"/>
              <w:right w:val="nil"/>
            </w:tcBorders>
            <w:hideMark/>
          </w:tcPr>
          <w:p w14:paraId="29123685" w14:textId="77777777" w:rsidR="0058532D" w:rsidRPr="004B6D4E" w:rsidRDefault="0058532D" w:rsidP="00FA1F3B">
            <w:pPr>
              <w:spacing w:after="0" w:line="200" w:lineRule="atLeast"/>
            </w:pPr>
            <w:r w:rsidRPr="004B6D4E">
              <w:t>1.1. reģistrētie ML</w:t>
            </w:r>
          </w:p>
        </w:tc>
        <w:tc>
          <w:tcPr>
            <w:tcW w:w="1241" w:type="dxa"/>
            <w:tcBorders>
              <w:top w:val="single" w:sz="4" w:space="0" w:color="000000"/>
              <w:left w:val="single" w:sz="4" w:space="0" w:color="000000"/>
              <w:bottom w:val="single" w:sz="4" w:space="0" w:color="000000"/>
              <w:right w:val="nil"/>
            </w:tcBorders>
            <w:hideMark/>
          </w:tcPr>
          <w:p w14:paraId="3AC24F14" w14:textId="77777777" w:rsidR="0058532D" w:rsidRPr="004B6D4E" w:rsidRDefault="0058532D" w:rsidP="00FA1F3B">
            <w:pPr>
              <w:spacing w:after="0" w:line="200" w:lineRule="atLeast"/>
              <w:jc w:val="center"/>
              <w:rPr>
                <w:i/>
              </w:rPr>
            </w:pPr>
            <w:r w:rsidRPr="004B6D4E">
              <w:t>52</w:t>
            </w:r>
          </w:p>
        </w:tc>
        <w:tc>
          <w:tcPr>
            <w:tcW w:w="1733" w:type="dxa"/>
            <w:tcBorders>
              <w:top w:val="single" w:sz="4" w:space="0" w:color="000000"/>
              <w:left w:val="single" w:sz="4" w:space="0" w:color="000000"/>
              <w:bottom w:val="single" w:sz="4" w:space="0" w:color="000000"/>
              <w:right w:val="nil"/>
            </w:tcBorders>
            <w:hideMark/>
          </w:tcPr>
          <w:p w14:paraId="4B608609" w14:textId="77777777" w:rsidR="0058532D" w:rsidRPr="004B6D4E" w:rsidRDefault="0058532D" w:rsidP="00FA1F3B">
            <w:pPr>
              <w:spacing w:after="0" w:line="200" w:lineRule="atLeast"/>
              <w:jc w:val="center"/>
            </w:pPr>
            <w:r w:rsidRPr="004B6D4E">
              <w:rPr>
                <w:i/>
              </w:rPr>
              <w:t>6</w:t>
            </w:r>
            <w:r>
              <w:rPr>
                <w:i/>
              </w:rPr>
              <w:t>5</w:t>
            </w:r>
          </w:p>
        </w:tc>
        <w:tc>
          <w:tcPr>
            <w:tcW w:w="1236" w:type="dxa"/>
            <w:tcBorders>
              <w:top w:val="single" w:sz="4" w:space="0" w:color="000000"/>
              <w:left w:val="single" w:sz="4" w:space="0" w:color="000000"/>
              <w:bottom w:val="single" w:sz="4" w:space="0" w:color="000000"/>
              <w:right w:val="nil"/>
            </w:tcBorders>
            <w:hideMark/>
          </w:tcPr>
          <w:p w14:paraId="5102E3F5" w14:textId="77777777" w:rsidR="0058532D" w:rsidRPr="004B6D4E" w:rsidRDefault="0058532D" w:rsidP="00FA1F3B">
            <w:pPr>
              <w:spacing w:after="0" w:line="200" w:lineRule="atLeast"/>
              <w:jc w:val="center"/>
              <w:rPr>
                <w:i/>
              </w:rPr>
            </w:pPr>
            <w:r>
              <w:t>52</w:t>
            </w:r>
          </w:p>
        </w:tc>
        <w:tc>
          <w:tcPr>
            <w:tcW w:w="1702" w:type="dxa"/>
            <w:tcBorders>
              <w:top w:val="single" w:sz="4" w:space="0" w:color="000000"/>
              <w:left w:val="single" w:sz="4" w:space="0" w:color="000000"/>
              <w:bottom w:val="single" w:sz="4" w:space="0" w:color="000000"/>
              <w:right w:val="single" w:sz="4" w:space="0" w:color="000000"/>
            </w:tcBorders>
            <w:hideMark/>
          </w:tcPr>
          <w:p w14:paraId="76EFFBED" w14:textId="77777777" w:rsidR="0058532D" w:rsidRPr="004B6D4E" w:rsidRDefault="0058532D" w:rsidP="00FA1F3B">
            <w:pPr>
              <w:spacing w:after="0" w:line="200" w:lineRule="atLeast"/>
              <w:jc w:val="center"/>
            </w:pPr>
            <w:r>
              <w:rPr>
                <w:i/>
              </w:rPr>
              <w:t>64</w:t>
            </w:r>
          </w:p>
        </w:tc>
      </w:tr>
      <w:tr w:rsidR="0058532D" w:rsidRPr="004B6D4E" w14:paraId="20C82A10" w14:textId="77777777" w:rsidTr="00FA1F3B">
        <w:tc>
          <w:tcPr>
            <w:tcW w:w="3388" w:type="dxa"/>
            <w:tcBorders>
              <w:top w:val="single" w:sz="4" w:space="0" w:color="000000"/>
              <w:left w:val="single" w:sz="4" w:space="0" w:color="000000"/>
              <w:bottom w:val="single" w:sz="4" w:space="0" w:color="000000"/>
              <w:right w:val="nil"/>
            </w:tcBorders>
            <w:hideMark/>
          </w:tcPr>
          <w:p w14:paraId="028168EE" w14:textId="77777777" w:rsidR="0058532D" w:rsidRPr="004B6D4E" w:rsidRDefault="0058532D" w:rsidP="00FA1F3B">
            <w:pPr>
              <w:spacing w:after="0" w:line="200" w:lineRule="atLeast"/>
            </w:pPr>
            <w:r w:rsidRPr="004B6D4E">
              <w:t>1.2. ML ar EK marķējumu</w:t>
            </w:r>
          </w:p>
        </w:tc>
        <w:tc>
          <w:tcPr>
            <w:tcW w:w="1241" w:type="dxa"/>
            <w:tcBorders>
              <w:top w:val="single" w:sz="4" w:space="0" w:color="000000"/>
              <w:left w:val="single" w:sz="4" w:space="0" w:color="000000"/>
              <w:bottom w:val="single" w:sz="4" w:space="0" w:color="000000"/>
              <w:right w:val="nil"/>
            </w:tcBorders>
            <w:hideMark/>
          </w:tcPr>
          <w:p w14:paraId="39A33286" w14:textId="77777777" w:rsidR="0058532D" w:rsidRPr="004B6D4E" w:rsidRDefault="0058532D" w:rsidP="00FA1F3B">
            <w:pPr>
              <w:spacing w:after="0" w:line="200" w:lineRule="atLeast"/>
              <w:jc w:val="center"/>
              <w:rPr>
                <w:i/>
              </w:rPr>
            </w:pPr>
            <w:r w:rsidRPr="004B6D4E">
              <w:t>2</w:t>
            </w:r>
            <w:r>
              <w:t>8</w:t>
            </w:r>
          </w:p>
        </w:tc>
        <w:tc>
          <w:tcPr>
            <w:tcW w:w="1733" w:type="dxa"/>
            <w:tcBorders>
              <w:top w:val="single" w:sz="4" w:space="0" w:color="000000"/>
              <w:left w:val="single" w:sz="4" w:space="0" w:color="000000"/>
              <w:bottom w:val="single" w:sz="4" w:space="0" w:color="000000"/>
              <w:right w:val="nil"/>
            </w:tcBorders>
            <w:hideMark/>
          </w:tcPr>
          <w:p w14:paraId="44D62423" w14:textId="77777777" w:rsidR="0058532D" w:rsidRPr="004B6D4E" w:rsidRDefault="0058532D" w:rsidP="00FA1F3B">
            <w:pPr>
              <w:spacing w:after="0" w:line="200" w:lineRule="atLeast"/>
              <w:jc w:val="center"/>
            </w:pPr>
            <w:r w:rsidRPr="004B6D4E">
              <w:rPr>
                <w:i/>
              </w:rPr>
              <w:t>3</w:t>
            </w:r>
            <w:r>
              <w:rPr>
                <w:i/>
              </w:rPr>
              <w:t>5</w:t>
            </w:r>
          </w:p>
        </w:tc>
        <w:tc>
          <w:tcPr>
            <w:tcW w:w="1236" w:type="dxa"/>
            <w:tcBorders>
              <w:top w:val="single" w:sz="4" w:space="0" w:color="000000"/>
              <w:left w:val="single" w:sz="4" w:space="0" w:color="000000"/>
              <w:bottom w:val="single" w:sz="4" w:space="0" w:color="000000"/>
              <w:right w:val="nil"/>
            </w:tcBorders>
            <w:hideMark/>
          </w:tcPr>
          <w:p w14:paraId="66351AF2" w14:textId="77777777" w:rsidR="0058532D" w:rsidRPr="004B6D4E" w:rsidRDefault="0058532D" w:rsidP="00FA1F3B">
            <w:pPr>
              <w:spacing w:after="0" w:line="200" w:lineRule="atLeast"/>
              <w:jc w:val="center"/>
              <w:rPr>
                <w:i/>
              </w:rPr>
            </w:pPr>
            <w:r>
              <w:t>29</w:t>
            </w:r>
          </w:p>
        </w:tc>
        <w:tc>
          <w:tcPr>
            <w:tcW w:w="1702" w:type="dxa"/>
            <w:tcBorders>
              <w:top w:val="single" w:sz="4" w:space="0" w:color="000000"/>
              <w:left w:val="single" w:sz="4" w:space="0" w:color="000000"/>
              <w:bottom w:val="single" w:sz="4" w:space="0" w:color="000000"/>
              <w:right w:val="single" w:sz="4" w:space="0" w:color="000000"/>
            </w:tcBorders>
            <w:hideMark/>
          </w:tcPr>
          <w:p w14:paraId="1E5793A7" w14:textId="77777777" w:rsidR="0058532D" w:rsidRPr="004B6D4E" w:rsidRDefault="0058532D" w:rsidP="00FA1F3B">
            <w:pPr>
              <w:spacing w:after="0" w:line="200" w:lineRule="atLeast"/>
              <w:jc w:val="center"/>
            </w:pPr>
            <w:r>
              <w:rPr>
                <w:i/>
              </w:rPr>
              <w:t>36</w:t>
            </w:r>
          </w:p>
        </w:tc>
      </w:tr>
      <w:tr w:rsidR="0058532D" w:rsidRPr="004B6D4E" w14:paraId="69F31173" w14:textId="77777777" w:rsidTr="00FA1F3B">
        <w:trPr>
          <w:trHeight w:val="387"/>
        </w:trPr>
        <w:tc>
          <w:tcPr>
            <w:tcW w:w="3388" w:type="dxa"/>
            <w:tcBorders>
              <w:top w:val="single" w:sz="4" w:space="0" w:color="000000"/>
              <w:left w:val="single" w:sz="4" w:space="0" w:color="000000"/>
              <w:bottom w:val="single" w:sz="4" w:space="0" w:color="000000"/>
              <w:right w:val="nil"/>
            </w:tcBorders>
            <w:shd w:val="clear" w:color="auto" w:fill="DDDDDD"/>
            <w:hideMark/>
          </w:tcPr>
          <w:p w14:paraId="3A026AB9" w14:textId="77777777" w:rsidR="0058532D" w:rsidRPr="004B6D4E" w:rsidRDefault="0058532D" w:rsidP="00FA1F3B">
            <w:pPr>
              <w:spacing w:after="0" w:line="200" w:lineRule="atLeast"/>
              <w:rPr>
                <w:i/>
              </w:rPr>
            </w:pPr>
            <w:r w:rsidRPr="004B6D4E">
              <w:t xml:space="preserve">2. ML ar EK marķējumu </w:t>
            </w:r>
          </w:p>
        </w:tc>
        <w:tc>
          <w:tcPr>
            <w:tcW w:w="5912" w:type="dxa"/>
            <w:gridSpan w:val="4"/>
            <w:tcBorders>
              <w:top w:val="single" w:sz="4" w:space="0" w:color="000000"/>
              <w:left w:val="single" w:sz="4" w:space="0" w:color="000000"/>
              <w:bottom w:val="single" w:sz="4" w:space="0" w:color="000000"/>
              <w:right w:val="single" w:sz="4" w:space="0" w:color="000000"/>
            </w:tcBorders>
            <w:shd w:val="clear" w:color="auto" w:fill="DDDDDD"/>
          </w:tcPr>
          <w:p w14:paraId="09C51CEB" w14:textId="77777777" w:rsidR="0058532D" w:rsidRPr="004B6D4E" w:rsidRDefault="0058532D" w:rsidP="00FA1F3B">
            <w:pPr>
              <w:snapToGrid w:val="0"/>
              <w:spacing w:after="0" w:line="200" w:lineRule="atLeast"/>
              <w:jc w:val="center"/>
              <w:rPr>
                <w:i/>
              </w:rPr>
            </w:pPr>
          </w:p>
        </w:tc>
      </w:tr>
      <w:tr w:rsidR="0058532D" w:rsidRPr="004B6D4E" w14:paraId="34078851" w14:textId="77777777" w:rsidTr="00FA1F3B">
        <w:tc>
          <w:tcPr>
            <w:tcW w:w="3388" w:type="dxa"/>
            <w:tcBorders>
              <w:top w:val="single" w:sz="4" w:space="0" w:color="000000"/>
              <w:left w:val="single" w:sz="4" w:space="0" w:color="000000"/>
              <w:bottom w:val="single" w:sz="4" w:space="0" w:color="000000"/>
              <w:right w:val="nil"/>
            </w:tcBorders>
            <w:hideMark/>
          </w:tcPr>
          <w:p w14:paraId="2CF15DD1" w14:textId="77777777" w:rsidR="0058532D" w:rsidRPr="004B6D4E" w:rsidRDefault="0058532D" w:rsidP="00FA1F3B">
            <w:pPr>
              <w:spacing w:after="0" w:line="200" w:lineRule="atLeast"/>
            </w:pPr>
            <w:r w:rsidRPr="004B6D4E">
              <w:t>2.1. atbilst kvalitātes prasībām</w:t>
            </w:r>
          </w:p>
        </w:tc>
        <w:tc>
          <w:tcPr>
            <w:tcW w:w="1241" w:type="dxa"/>
            <w:tcBorders>
              <w:top w:val="single" w:sz="4" w:space="0" w:color="000000"/>
              <w:left w:val="single" w:sz="4" w:space="0" w:color="000000"/>
              <w:bottom w:val="single" w:sz="4" w:space="0" w:color="000000"/>
              <w:right w:val="nil"/>
            </w:tcBorders>
            <w:hideMark/>
          </w:tcPr>
          <w:p w14:paraId="42A8EA20" w14:textId="77777777" w:rsidR="0058532D" w:rsidRPr="004B6D4E" w:rsidRDefault="0058532D" w:rsidP="00FA1F3B">
            <w:pPr>
              <w:spacing w:after="0" w:line="200" w:lineRule="atLeast"/>
              <w:jc w:val="center"/>
              <w:rPr>
                <w:i/>
              </w:rPr>
            </w:pPr>
            <w:r w:rsidRPr="004B6D4E">
              <w:t>2</w:t>
            </w:r>
            <w:r>
              <w:t>5</w:t>
            </w:r>
          </w:p>
        </w:tc>
        <w:tc>
          <w:tcPr>
            <w:tcW w:w="1733" w:type="dxa"/>
            <w:tcBorders>
              <w:top w:val="single" w:sz="4" w:space="0" w:color="000000"/>
              <w:left w:val="single" w:sz="4" w:space="0" w:color="000000"/>
              <w:bottom w:val="single" w:sz="4" w:space="0" w:color="000000"/>
              <w:right w:val="nil"/>
            </w:tcBorders>
            <w:hideMark/>
          </w:tcPr>
          <w:p w14:paraId="652AA73D" w14:textId="77777777" w:rsidR="0058532D" w:rsidRPr="004B6D4E" w:rsidRDefault="0058532D" w:rsidP="00FA1F3B">
            <w:pPr>
              <w:spacing w:after="0" w:line="200" w:lineRule="atLeast"/>
              <w:jc w:val="center"/>
            </w:pPr>
            <w:r>
              <w:rPr>
                <w:i/>
              </w:rPr>
              <w:t>8</w:t>
            </w:r>
            <w:r w:rsidRPr="004B6D4E">
              <w:rPr>
                <w:i/>
              </w:rPr>
              <w:t>9</w:t>
            </w:r>
          </w:p>
        </w:tc>
        <w:tc>
          <w:tcPr>
            <w:tcW w:w="1236" w:type="dxa"/>
            <w:tcBorders>
              <w:top w:val="single" w:sz="4" w:space="0" w:color="000000"/>
              <w:left w:val="single" w:sz="4" w:space="0" w:color="000000"/>
              <w:bottom w:val="single" w:sz="4" w:space="0" w:color="000000"/>
              <w:right w:val="nil"/>
            </w:tcBorders>
            <w:hideMark/>
          </w:tcPr>
          <w:p w14:paraId="305EB24B" w14:textId="77777777" w:rsidR="0058532D" w:rsidRPr="004B6D4E" w:rsidRDefault="0058532D" w:rsidP="00FA1F3B">
            <w:pPr>
              <w:spacing w:after="0" w:line="200" w:lineRule="atLeast"/>
              <w:jc w:val="center"/>
              <w:rPr>
                <w:i/>
              </w:rPr>
            </w:pPr>
            <w:r w:rsidRPr="004B6D4E">
              <w:t>2</w:t>
            </w:r>
            <w:r>
              <w:t>3</w:t>
            </w:r>
          </w:p>
        </w:tc>
        <w:tc>
          <w:tcPr>
            <w:tcW w:w="1702" w:type="dxa"/>
            <w:tcBorders>
              <w:top w:val="single" w:sz="4" w:space="0" w:color="000000"/>
              <w:left w:val="single" w:sz="4" w:space="0" w:color="000000"/>
              <w:bottom w:val="single" w:sz="4" w:space="0" w:color="000000"/>
              <w:right w:val="single" w:sz="4" w:space="0" w:color="000000"/>
            </w:tcBorders>
            <w:hideMark/>
          </w:tcPr>
          <w:p w14:paraId="3BEAA6A3" w14:textId="77777777" w:rsidR="0058532D" w:rsidRPr="004B6D4E" w:rsidRDefault="0058532D" w:rsidP="00FA1F3B">
            <w:pPr>
              <w:spacing w:after="0" w:line="200" w:lineRule="atLeast"/>
              <w:jc w:val="center"/>
            </w:pPr>
            <w:r w:rsidRPr="004B6D4E">
              <w:rPr>
                <w:i/>
              </w:rPr>
              <w:t>7</w:t>
            </w:r>
            <w:r>
              <w:rPr>
                <w:i/>
              </w:rPr>
              <w:t>9</w:t>
            </w:r>
          </w:p>
        </w:tc>
      </w:tr>
      <w:tr w:rsidR="0058532D" w:rsidRPr="004B6D4E" w14:paraId="462A5C5B" w14:textId="77777777" w:rsidTr="00FA1F3B">
        <w:tc>
          <w:tcPr>
            <w:tcW w:w="3388" w:type="dxa"/>
            <w:tcBorders>
              <w:top w:val="single" w:sz="4" w:space="0" w:color="000000"/>
              <w:left w:val="single" w:sz="4" w:space="0" w:color="000000"/>
              <w:bottom w:val="single" w:sz="4" w:space="0" w:color="000000"/>
              <w:right w:val="nil"/>
            </w:tcBorders>
            <w:hideMark/>
          </w:tcPr>
          <w:p w14:paraId="200561BF" w14:textId="77777777" w:rsidR="0058532D" w:rsidRPr="004B6D4E" w:rsidRDefault="0058532D" w:rsidP="00FA1F3B">
            <w:pPr>
              <w:spacing w:after="0" w:line="200" w:lineRule="atLeast"/>
            </w:pPr>
            <w:r w:rsidRPr="004B6D4E">
              <w:t>2.2. neatbilst kvalitātes prasībām</w:t>
            </w:r>
          </w:p>
        </w:tc>
        <w:tc>
          <w:tcPr>
            <w:tcW w:w="1241" w:type="dxa"/>
            <w:tcBorders>
              <w:top w:val="single" w:sz="4" w:space="0" w:color="000000"/>
              <w:left w:val="single" w:sz="4" w:space="0" w:color="000000"/>
              <w:bottom w:val="single" w:sz="4" w:space="0" w:color="000000"/>
              <w:right w:val="nil"/>
            </w:tcBorders>
            <w:hideMark/>
          </w:tcPr>
          <w:p w14:paraId="09839975" w14:textId="77777777" w:rsidR="0058532D" w:rsidRPr="004B6D4E" w:rsidRDefault="0058532D" w:rsidP="00FA1F3B">
            <w:pPr>
              <w:spacing w:after="0" w:line="200" w:lineRule="atLeast"/>
              <w:jc w:val="center"/>
              <w:rPr>
                <w:i/>
              </w:rPr>
            </w:pPr>
            <w:r w:rsidRPr="002943D2">
              <w:t>3</w:t>
            </w:r>
          </w:p>
        </w:tc>
        <w:tc>
          <w:tcPr>
            <w:tcW w:w="1733" w:type="dxa"/>
            <w:tcBorders>
              <w:top w:val="single" w:sz="4" w:space="0" w:color="000000"/>
              <w:left w:val="single" w:sz="4" w:space="0" w:color="000000"/>
              <w:bottom w:val="single" w:sz="4" w:space="0" w:color="000000"/>
              <w:right w:val="nil"/>
            </w:tcBorders>
            <w:hideMark/>
          </w:tcPr>
          <w:p w14:paraId="18A2D268" w14:textId="77777777" w:rsidR="0058532D" w:rsidRPr="004B6D4E" w:rsidRDefault="0058532D" w:rsidP="00FA1F3B">
            <w:pPr>
              <w:spacing w:after="0" w:line="200" w:lineRule="atLeast"/>
              <w:jc w:val="center"/>
            </w:pPr>
            <w:r>
              <w:rPr>
                <w:i/>
              </w:rPr>
              <w:t>1</w:t>
            </w:r>
            <w:r w:rsidRPr="004B6D4E">
              <w:rPr>
                <w:i/>
              </w:rPr>
              <w:t>1</w:t>
            </w:r>
          </w:p>
        </w:tc>
        <w:tc>
          <w:tcPr>
            <w:tcW w:w="1236" w:type="dxa"/>
            <w:tcBorders>
              <w:top w:val="single" w:sz="4" w:space="0" w:color="000000"/>
              <w:left w:val="single" w:sz="4" w:space="0" w:color="000000"/>
              <w:bottom w:val="single" w:sz="4" w:space="0" w:color="000000"/>
              <w:right w:val="nil"/>
            </w:tcBorders>
            <w:hideMark/>
          </w:tcPr>
          <w:p w14:paraId="396E9C66" w14:textId="77777777" w:rsidR="0058532D" w:rsidRPr="004B6D4E" w:rsidRDefault="0058532D" w:rsidP="00FA1F3B">
            <w:pPr>
              <w:spacing w:after="0" w:line="200" w:lineRule="atLeast"/>
              <w:jc w:val="center"/>
              <w:rPr>
                <w:i/>
              </w:rPr>
            </w:pPr>
            <w:r>
              <w:t>6</w:t>
            </w:r>
          </w:p>
        </w:tc>
        <w:tc>
          <w:tcPr>
            <w:tcW w:w="1702" w:type="dxa"/>
            <w:tcBorders>
              <w:top w:val="single" w:sz="4" w:space="0" w:color="000000"/>
              <w:left w:val="single" w:sz="4" w:space="0" w:color="000000"/>
              <w:bottom w:val="single" w:sz="4" w:space="0" w:color="000000"/>
              <w:right w:val="single" w:sz="4" w:space="0" w:color="000000"/>
            </w:tcBorders>
            <w:hideMark/>
          </w:tcPr>
          <w:p w14:paraId="6372CCDE" w14:textId="77777777" w:rsidR="0058532D" w:rsidRPr="004B6D4E" w:rsidRDefault="0058532D" w:rsidP="00FA1F3B">
            <w:pPr>
              <w:spacing w:after="0" w:line="200" w:lineRule="atLeast"/>
              <w:jc w:val="center"/>
            </w:pPr>
            <w:r w:rsidRPr="004B6D4E">
              <w:rPr>
                <w:i/>
              </w:rPr>
              <w:t>2</w:t>
            </w:r>
            <w:r>
              <w:rPr>
                <w:i/>
              </w:rPr>
              <w:t>1</w:t>
            </w:r>
          </w:p>
        </w:tc>
      </w:tr>
      <w:tr w:rsidR="0058532D" w:rsidRPr="004B6D4E" w14:paraId="1676A3B2" w14:textId="77777777" w:rsidTr="00FA1F3B">
        <w:tc>
          <w:tcPr>
            <w:tcW w:w="3388" w:type="dxa"/>
            <w:tcBorders>
              <w:top w:val="single" w:sz="4" w:space="0" w:color="000000"/>
              <w:left w:val="single" w:sz="4" w:space="0" w:color="000000"/>
              <w:bottom w:val="single" w:sz="4" w:space="0" w:color="000000"/>
              <w:right w:val="nil"/>
            </w:tcBorders>
            <w:shd w:val="clear" w:color="auto" w:fill="DDDDDD"/>
            <w:hideMark/>
          </w:tcPr>
          <w:p w14:paraId="6225E4A0" w14:textId="77777777" w:rsidR="0058532D" w:rsidRPr="004B6D4E" w:rsidRDefault="0058532D" w:rsidP="00FA1F3B">
            <w:pPr>
              <w:spacing w:after="0" w:line="200" w:lineRule="atLeast"/>
            </w:pPr>
            <w:r w:rsidRPr="004B6D4E">
              <w:t>3. Kvalitātes prasībām neatbilstošie ML ar EK marķējumu</w:t>
            </w:r>
          </w:p>
        </w:tc>
        <w:tc>
          <w:tcPr>
            <w:tcW w:w="5912" w:type="dxa"/>
            <w:gridSpan w:val="4"/>
            <w:tcBorders>
              <w:top w:val="single" w:sz="4" w:space="0" w:color="000000"/>
              <w:left w:val="single" w:sz="4" w:space="0" w:color="000000"/>
              <w:bottom w:val="single" w:sz="4" w:space="0" w:color="000000"/>
              <w:right w:val="single" w:sz="4" w:space="0" w:color="000000"/>
            </w:tcBorders>
            <w:shd w:val="clear" w:color="auto" w:fill="DDDDDD"/>
          </w:tcPr>
          <w:p w14:paraId="62C0B899" w14:textId="77777777" w:rsidR="0058532D" w:rsidRPr="004B6D4E" w:rsidRDefault="0058532D" w:rsidP="00FA1F3B">
            <w:pPr>
              <w:snapToGrid w:val="0"/>
              <w:spacing w:after="0" w:line="200" w:lineRule="atLeast"/>
              <w:jc w:val="center"/>
            </w:pPr>
          </w:p>
        </w:tc>
      </w:tr>
      <w:tr w:rsidR="0058532D" w:rsidRPr="004B6D4E" w14:paraId="09AB22AD" w14:textId="77777777" w:rsidTr="00FA1F3B">
        <w:trPr>
          <w:trHeight w:val="182"/>
        </w:trPr>
        <w:tc>
          <w:tcPr>
            <w:tcW w:w="3388" w:type="dxa"/>
            <w:tcBorders>
              <w:top w:val="single" w:sz="4" w:space="0" w:color="000000"/>
              <w:left w:val="single" w:sz="4" w:space="0" w:color="000000"/>
              <w:bottom w:val="single" w:sz="4" w:space="0" w:color="000000"/>
              <w:right w:val="nil"/>
            </w:tcBorders>
            <w:hideMark/>
          </w:tcPr>
          <w:p w14:paraId="60729C88" w14:textId="77777777" w:rsidR="0058532D" w:rsidRPr="004B6D4E" w:rsidRDefault="0058532D" w:rsidP="00FA1F3B">
            <w:pPr>
              <w:spacing w:after="0" w:line="200" w:lineRule="atLeast"/>
            </w:pPr>
            <w:r w:rsidRPr="004B6D4E">
              <w:lastRenderedPageBreak/>
              <w:t>3.1. ražoti Polijā</w:t>
            </w:r>
          </w:p>
        </w:tc>
        <w:tc>
          <w:tcPr>
            <w:tcW w:w="1241" w:type="dxa"/>
            <w:tcBorders>
              <w:top w:val="single" w:sz="4" w:space="0" w:color="000000"/>
              <w:left w:val="single" w:sz="4" w:space="0" w:color="000000"/>
              <w:bottom w:val="single" w:sz="4" w:space="0" w:color="000000"/>
              <w:right w:val="nil"/>
            </w:tcBorders>
            <w:hideMark/>
          </w:tcPr>
          <w:p w14:paraId="27EC0871" w14:textId="77777777" w:rsidR="0058532D" w:rsidRPr="004B6D4E" w:rsidRDefault="0058532D" w:rsidP="00FA1F3B">
            <w:pPr>
              <w:spacing w:after="0" w:line="200" w:lineRule="atLeast"/>
              <w:jc w:val="center"/>
              <w:rPr>
                <w:i/>
              </w:rPr>
            </w:pPr>
            <w:r>
              <w:t>1</w:t>
            </w:r>
          </w:p>
        </w:tc>
        <w:tc>
          <w:tcPr>
            <w:tcW w:w="1733" w:type="dxa"/>
            <w:tcBorders>
              <w:top w:val="single" w:sz="4" w:space="0" w:color="000000"/>
              <w:left w:val="single" w:sz="4" w:space="0" w:color="000000"/>
              <w:bottom w:val="single" w:sz="4" w:space="0" w:color="000000"/>
              <w:right w:val="nil"/>
            </w:tcBorders>
            <w:hideMark/>
          </w:tcPr>
          <w:p w14:paraId="250C9445" w14:textId="77777777" w:rsidR="0058532D" w:rsidRPr="004B6D4E" w:rsidRDefault="0058532D" w:rsidP="00FA1F3B">
            <w:pPr>
              <w:spacing w:after="0" w:line="200" w:lineRule="atLeast"/>
              <w:jc w:val="center"/>
            </w:pPr>
            <w:r>
              <w:rPr>
                <w:i/>
              </w:rPr>
              <w:t>3</w:t>
            </w:r>
            <w:r w:rsidRPr="004B6D4E">
              <w:rPr>
                <w:i/>
              </w:rPr>
              <w:t>3</w:t>
            </w:r>
          </w:p>
        </w:tc>
        <w:tc>
          <w:tcPr>
            <w:tcW w:w="1236" w:type="dxa"/>
            <w:tcBorders>
              <w:top w:val="single" w:sz="4" w:space="0" w:color="000000"/>
              <w:left w:val="single" w:sz="4" w:space="0" w:color="000000"/>
              <w:bottom w:val="single" w:sz="4" w:space="0" w:color="000000"/>
              <w:right w:val="nil"/>
            </w:tcBorders>
            <w:hideMark/>
          </w:tcPr>
          <w:p w14:paraId="6EA0DDE6" w14:textId="77777777" w:rsidR="0058532D" w:rsidRPr="004B6D4E" w:rsidRDefault="0058532D" w:rsidP="00FA1F3B">
            <w:pPr>
              <w:spacing w:after="0" w:line="200" w:lineRule="atLeast"/>
              <w:jc w:val="center"/>
              <w:rPr>
                <w:i/>
              </w:rPr>
            </w:pPr>
            <w:r>
              <w:t>5</w:t>
            </w:r>
          </w:p>
        </w:tc>
        <w:tc>
          <w:tcPr>
            <w:tcW w:w="1702" w:type="dxa"/>
            <w:tcBorders>
              <w:top w:val="single" w:sz="4" w:space="0" w:color="000000"/>
              <w:left w:val="single" w:sz="4" w:space="0" w:color="000000"/>
              <w:bottom w:val="single" w:sz="4" w:space="0" w:color="000000"/>
              <w:right w:val="single" w:sz="4" w:space="0" w:color="000000"/>
            </w:tcBorders>
            <w:hideMark/>
          </w:tcPr>
          <w:p w14:paraId="2C6DC1A8" w14:textId="77777777" w:rsidR="0058532D" w:rsidRPr="004B6D4E" w:rsidRDefault="0058532D" w:rsidP="00FA1F3B">
            <w:pPr>
              <w:spacing w:after="0" w:line="200" w:lineRule="atLeast"/>
              <w:jc w:val="center"/>
            </w:pPr>
            <w:r>
              <w:rPr>
                <w:i/>
              </w:rPr>
              <w:t>83</w:t>
            </w:r>
          </w:p>
        </w:tc>
      </w:tr>
      <w:tr w:rsidR="0058532D" w:rsidRPr="004B6D4E" w14:paraId="51F6F2A9" w14:textId="77777777" w:rsidTr="00FA1F3B">
        <w:trPr>
          <w:trHeight w:val="182"/>
        </w:trPr>
        <w:tc>
          <w:tcPr>
            <w:tcW w:w="3388" w:type="dxa"/>
            <w:tcBorders>
              <w:top w:val="single" w:sz="4" w:space="0" w:color="000000"/>
              <w:left w:val="single" w:sz="4" w:space="0" w:color="000000"/>
              <w:bottom w:val="single" w:sz="4" w:space="0" w:color="000000"/>
              <w:right w:val="nil"/>
            </w:tcBorders>
          </w:tcPr>
          <w:p w14:paraId="055DF5C2" w14:textId="77777777" w:rsidR="0058532D" w:rsidRPr="004B6D4E" w:rsidRDefault="0058532D" w:rsidP="00FA1F3B">
            <w:pPr>
              <w:spacing w:after="0" w:line="200" w:lineRule="atLeast"/>
            </w:pPr>
            <w:r w:rsidRPr="004B6D4E">
              <w:t>3.2. ražoti Nīderlandē</w:t>
            </w:r>
          </w:p>
        </w:tc>
        <w:tc>
          <w:tcPr>
            <w:tcW w:w="1241" w:type="dxa"/>
            <w:tcBorders>
              <w:top w:val="single" w:sz="4" w:space="0" w:color="000000"/>
              <w:left w:val="single" w:sz="4" w:space="0" w:color="000000"/>
              <w:bottom w:val="single" w:sz="4" w:space="0" w:color="000000"/>
              <w:right w:val="nil"/>
            </w:tcBorders>
          </w:tcPr>
          <w:p w14:paraId="00A9BBB8" w14:textId="77777777" w:rsidR="0058532D" w:rsidRPr="0048755C" w:rsidRDefault="0058532D" w:rsidP="00FA1F3B">
            <w:pPr>
              <w:spacing w:after="0" w:line="200" w:lineRule="atLeast"/>
              <w:jc w:val="center"/>
            </w:pPr>
            <w:r w:rsidRPr="0048755C">
              <w:t>1</w:t>
            </w:r>
          </w:p>
        </w:tc>
        <w:tc>
          <w:tcPr>
            <w:tcW w:w="1733" w:type="dxa"/>
            <w:tcBorders>
              <w:top w:val="single" w:sz="4" w:space="0" w:color="000000"/>
              <w:left w:val="single" w:sz="4" w:space="0" w:color="000000"/>
              <w:bottom w:val="single" w:sz="4" w:space="0" w:color="000000"/>
              <w:right w:val="nil"/>
            </w:tcBorders>
          </w:tcPr>
          <w:p w14:paraId="0A9323B7" w14:textId="77777777" w:rsidR="0058532D" w:rsidRPr="0048755C" w:rsidRDefault="0058532D" w:rsidP="00FA1F3B">
            <w:pPr>
              <w:spacing w:after="0" w:line="200" w:lineRule="atLeast"/>
              <w:jc w:val="center"/>
              <w:rPr>
                <w:i/>
              </w:rPr>
            </w:pPr>
            <w:r w:rsidRPr="0048755C">
              <w:rPr>
                <w:i/>
              </w:rPr>
              <w:t>33</w:t>
            </w:r>
          </w:p>
        </w:tc>
        <w:tc>
          <w:tcPr>
            <w:tcW w:w="1236" w:type="dxa"/>
            <w:tcBorders>
              <w:top w:val="single" w:sz="4" w:space="0" w:color="000000"/>
              <w:left w:val="single" w:sz="4" w:space="0" w:color="000000"/>
              <w:bottom w:val="single" w:sz="4" w:space="0" w:color="000000"/>
              <w:right w:val="nil"/>
            </w:tcBorders>
          </w:tcPr>
          <w:p w14:paraId="49CDDADA" w14:textId="77777777" w:rsidR="0058532D" w:rsidRPr="004B6D4E" w:rsidRDefault="0058532D" w:rsidP="00FA1F3B">
            <w:pPr>
              <w:spacing w:after="0" w:line="200" w:lineRule="atLeast"/>
              <w:jc w:val="center"/>
            </w:pPr>
            <w:r>
              <w:t>1</w:t>
            </w:r>
          </w:p>
        </w:tc>
        <w:tc>
          <w:tcPr>
            <w:tcW w:w="1702" w:type="dxa"/>
            <w:tcBorders>
              <w:top w:val="single" w:sz="4" w:space="0" w:color="000000"/>
              <w:left w:val="single" w:sz="4" w:space="0" w:color="000000"/>
              <w:bottom w:val="single" w:sz="4" w:space="0" w:color="000000"/>
              <w:right w:val="single" w:sz="4" w:space="0" w:color="000000"/>
            </w:tcBorders>
          </w:tcPr>
          <w:p w14:paraId="7951CB73" w14:textId="77777777" w:rsidR="0058532D" w:rsidRPr="004B6D4E" w:rsidRDefault="0058532D" w:rsidP="00FA1F3B">
            <w:pPr>
              <w:spacing w:after="0" w:line="200" w:lineRule="atLeast"/>
              <w:jc w:val="center"/>
              <w:rPr>
                <w:i/>
              </w:rPr>
            </w:pPr>
            <w:r>
              <w:rPr>
                <w:i/>
              </w:rPr>
              <w:t>17</w:t>
            </w:r>
          </w:p>
        </w:tc>
      </w:tr>
      <w:tr w:rsidR="0058532D" w:rsidRPr="004B6D4E" w14:paraId="634529B0" w14:textId="77777777" w:rsidTr="00FA1F3B">
        <w:tc>
          <w:tcPr>
            <w:tcW w:w="3388" w:type="dxa"/>
            <w:tcBorders>
              <w:top w:val="single" w:sz="4" w:space="0" w:color="000000"/>
              <w:left w:val="single" w:sz="4" w:space="0" w:color="000000"/>
              <w:bottom w:val="single" w:sz="4" w:space="0" w:color="000000"/>
              <w:right w:val="nil"/>
            </w:tcBorders>
            <w:hideMark/>
          </w:tcPr>
          <w:p w14:paraId="09C82F37" w14:textId="77777777" w:rsidR="0058532D" w:rsidRPr="004B6D4E" w:rsidRDefault="0058532D" w:rsidP="00FA1F3B">
            <w:pPr>
              <w:spacing w:after="0" w:line="200" w:lineRule="atLeast"/>
            </w:pPr>
            <w:r w:rsidRPr="004B6D4E">
              <w:t xml:space="preserve">3.3. ražoti </w:t>
            </w:r>
            <w:r>
              <w:t>Vācijā</w:t>
            </w:r>
          </w:p>
        </w:tc>
        <w:tc>
          <w:tcPr>
            <w:tcW w:w="1241" w:type="dxa"/>
            <w:tcBorders>
              <w:top w:val="single" w:sz="4" w:space="0" w:color="000000"/>
              <w:left w:val="single" w:sz="4" w:space="0" w:color="000000"/>
              <w:bottom w:val="single" w:sz="4" w:space="0" w:color="000000"/>
              <w:right w:val="nil"/>
            </w:tcBorders>
            <w:hideMark/>
          </w:tcPr>
          <w:p w14:paraId="5FC80115" w14:textId="77777777" w:rsidR="0058532D" w:rsidRPr="004B6D4E" w:rsidRDefault="0058532D" w:rsidP="00FA1F3B">
            <w:pPr>
              <w:spacing w:after="0" w:line="200" w:lineRule="atLeast"/>
              <w:jc w:val="center"/>
              <w:rPr>
                <w:i/>
              </w:rPr>
            </w:pPr>
            <w:r>
              <w:t>1</w:t>
            </w:r>
          </w:p>
        </w:tc>
        <w:tc>
          <w:tcPr>
            <w:tcW w:w="1733" w:type="dxa"/>
            <w:tcBorders>
              <w:top w:val="single" w:sz="4" w:space="0" w:color="000000"/>
              <w:left w:val="single" w:sz="4" w:space="0" w:color="000000"/>
              <w:bottom w:val="single" w:sz="4" w:space="0" w:color="000000"/>
              <w:right w:val="nil"/>
            </w:tcBorders>
            <w:hideMark/>
          </w:tcPr>
          <w:p w14:paraId="16DE7400" w14:textId="77777777" w:rsidR="0058532D" w:rsidRPr="004B6D4E" w:rsidRDefault="0058532D" w:rsidP="00FA1F3B">
            <w:pPr>
              <w:spacing w:after="0" w:line="200" w:lineRule="atLeast"/>
              <w:jc w:val="center"/>
            </w:pPr>
            <w:r>
              <w:rPr>
                <w:i/>
              </w:rPr>
              <w:t>33</w:t>
            </w:r>
          </w:p>
        </w:tc>
        <w:tc>
          <w:tcPr>
            <w:tcW w:w="1236" w:type="dxa"/>
            <w:tcBorders>
              <w:top w:val="single" w:sz="4" w:space="0" w:color="000000"/>
              <w:left w:val="single" w:sz="4" w:space="0" w:color="000000"/>
              <w:bottom w:val="single" w:sz="4" w:space="0" w:color="000000"/>
              <w:right w:val="nil"/>
            </w:tcBorders>
          </w:tcPr>
          <w:p w14:paraId="6F14D0A8" w14:textId="77777777" w:rsidR="0058532D" w:rsidRPr="004B6D4E" w:rsidRDefault="0058532D" w:rsidP="00FA1F3B">
            <w:pPr>
              <w:spacing w:after="0" w:line="200" w:lineRule="atLeast"/>
              <w:jc w:val="center"/>
              <w:rPr>
                <w:i/>
              </w:rPr>
            </w:pPr>
            <w:r>
              <w:t>-</w:t>
            </w:r>
          </w:p>
        </w:tc>
        <w:tc>
          <w:tcPr>
            <w:tcW w:w="1702" w:type="dxa"/>
            <w:tcBorders>
              <w:top w:val="single" w:sz="4" w:space="0" w:color="000000"/>
              <w:left w:val="single" w:sz="4" w:space="0" w:color="000000"/>
              <w:bottom w:val="single" w:sz="4" w:space="0" w:color="000000"/>
              <w:right w:val="single" w:sz="4" w:space="0" w:color="000000"/>
            </w:tcBorders>
          </w:tcPr>
          <w:p w14:paraId="0C95A0C4" w14:textId="77777777" w:rsidR="0058532D" w:rsidRPr="004B6D4E" w:rsidRDefault="0058532D" w:rsidP="00FA1F3B">
            <w:pPr>
              <w:spacing w:after="0" w:line="200" w:lineRule="atLeast"/>
              <w:jc w:val="center"/>
            </w:pPr>
            <w:r>
              <w:rPr>
                <w:i/>
              </w:rPr>
              <w:t>-</w:t>
            </w:r>
          </w:p>
        </w:tc>
      </w:tr>
    </w:tbl>
    <w:p w14:paraId="6F5D1E66" w14:textId="77777777" w:rsidR="0058532D" w:rsidRPr="004B6D4E" w:rsidRDefault="0058532D" w:rsidP="0058532D">
      <w:pPr>
        <w:spacing w:after="0" w:line="200" w:lineRule="atLeast"/>
        <w:rPr>
          <w:szCs w:val="24"/>
        </w:rPr>
      </w:pPr>
    </w:p>
    <w:p w14:paraId="62642A9C" w14:textId="77777777" w:rsidR="0058532D" w:rsidRPr="004B6D4E" w:rsidRDefault="0058532D" w:rsidP="0058532D">
      <w:pPr>
        <w:spacing w:after="0" w:line="200" w:lineRule="atLeast"/>
        <w:rPr>
          <w:szCs w:val="24"/>
        </w:rPr>
      </w:pPr>
      <w:r w:rsidRPr="004B6D4E">
        <w:rPr>
          <w:szCs w:val="24"/>
        </w:rPr>
        <w:t>Pārskata gadā, salīdzinot ar 201</w:t>
      </w:r>
      <w:r>
        <w:rPr>
          <w:szCs w:val="24"/>
        </w:rPr>
        <w:t>9</w:t>
      </w:r>
      <w:r w:rsidRPr="004B6D4E">
        <w:rPr>
          <w:szCs w:val="24"/>
        </w:rPr>
        <w:t>. gadu, pārbaudīto mēslošanas līdzekļu ar EK marķējumu kvalitātes atbilstība Eiropas Parlamenta un Padomes 2003.gada 13.oktobra regulas Nr.2003/2003 par mēslošanas līdzekļiem (turpmāk – Regula Nr.2003/2003) prasībām ir uzlabojusies, attiecīgi 20</w:t>
      </w:r>
      <w:r>
        <w:rPr>
          <w:szCs w:val="24"/>
        </w:rPr>
        <w:t>20</w:t>
      </w:r>
      <w:r w:rsidRPr="004B6D4E">
        <w:rPr>
          <w:szCs w:val="24"/>
        </w:rPr>
        <w:t xml:space="preserve">.gadā kvalitātes prasībām neatbilda </w:t>
      </w:r>
      <w:r>
        <w:rPr>
          <w:szCs w:val="24"/>
        </w:rPr>
        <w:t>1</w:t>
      </w:r>
      <w:r w:rsidRPr="004B6D4E">
        <w:rPr>
          <w:szCs w:val="24"/>
        </w:rPr>
        <w:t>1 % (201</w:t>
      </w:r>
      <w:r>
        <w:rPr>
          <w:szCs w:val="24"/>
        </w:rPr>
        <w:t>9</w:t>
      </w:r>
      <w:r w:rsidRPr="004B6D4E">
        <w:rPr>
          <w:szCs w:val="24"/>
        </w:rPr>
        <w:t>.gadā – 2</w:t>
      </w:r>
      <w:r>
        <w:rPr>
          <w:szCs w:val="24"/>
        </w:rPr>
        <w:t>1</w:t>
      </w:r>
      <w:r w:rsidRPr="004B6D4E">
        <w:rPr>
          <w:szCs w:val="24"/>
        </w:rPr>
        <w:t>%) no pārbaudītajiem mēslošanas līdzekļiem ar EK marķējumu.</w:t>
      </w:r>
    </w:p>
    <w:p w14:paraId="37C390BE" w14:textId="77777777" w:rsidR="0058532D" w:rsidRDefault="0058532D" w:rsidP="0058532D">
      <w:pPr>
        <w:spacing w:after="0" w:line="200" w:lineRule="atLeast"/>
        <w:rPr>
          <w:szCs w:val="24"/>
        </w:rPr>
      </w:pPr>
    </w:p>
    <w:p w14:paraId="64949C57" w14:textId="77777777" w:rsidR="0058532D" w:rsidRPr="004B6D4E" w:rsidRDefault="0058532D" w:rsidP="0058532D">
      <w:pPr>
        <w:spacing w:after="0" w:line="200" w:lineRule="atLeast"/>
        <w:rPr>
          <w:szCs w:val="24"/>
        </w:rPr>
      </w:pPr>
      <w:r w:rsidRPr="004B6D4E">
        <w:rPr>
          <w:szCs w:val="24"/>
        </w:rPr>
        <w:t>Pozitīvi vērtējams fakts, ka ne 201</w:t>
      </w:r>
      <w:r>
        <w:rPr>
          <w:szCs w:val="24"/>
        </w:rPr>
        <w:t>9</w:t>
      </w:r>
      <w:r w:rsidRPr="004B6D4E">
        <w:rPr>
          <w:szCs w:val="24"/>
        </w:rPr>
        <w:t>., ne 20</w:t>
      </w:r>
      <w:r>
        <w:rPr>
          <w:szCs w:val="24"/>
        </w:rPr>
        <w:t>20</w:t>
      </w:r>
      <w:r w:rsidRPr="004B6D4E">
        <w:rPr>
          <w:szCs w:val="24"/>
        </w:rPr>
        <w:t xml:space="preserve">. gadā nevienā no pārbaudītajiem fosforu saturošajiem mēslošanas līdzekļiem nebija pārsniegts nevēlamā piemaisījuma kadmija saturs. Nebija situāciju, </w:t>
      </w:r>
      <w:r>
        <w:rPr>
          <w:szCs w:val="24"/>
        </w:rPr>
        <w:t>kad</w:t>
      </w:r>
      <w:r w:rsidRPr="004B6D4E">
        <w:rPr>
          <w:szCs w:val="24"/>
        </w:rPr>
        <w:t xml:space="preserve"> VAAD būtu jāizmanto </w:t>
      </w:r>
      <w:r w:rsidRPr="0058532D">
        <w:rPr>
          <w:i/>
          <w:iCs/>
          <w:szCs w:val="24"/>
        </w:rPr>
        <w:t>RAPEX</w:t>
      </w:r>
      <w:r w:rsidRPr="004B6D4E">
        <w:rPr>
          <w:szCs w:val="24"/>
        </w:rPr>
        <w:t xml:space="preserve"> </w:t>
      </w:r>
      <w:r>
        <w:rPr>
          <w:szCs w:val="24"/>
        </w:rPr>
        <w:t xml:space="preserve">un </w:t>
      </w:r>
      <w:r w:rsidRPr="0058532D">
        <w:rPr>
          <w:i/>
          <w:iCs/>
          <w:szCs w:val="24"/>
        </w:rPr>
        <w:t>ICSMS</w:t>
      </w:r>
      <w:r>
        <w:rPr>
          <w:szCs w:val="24"/>
        </w:rPr>
        <w:t xml:space="preserve"> </w:t>
      </w:r>
      <w:r w:rsidRPr="004B6D4E">
        <w:rPr>
          <w:szCs w:val="24"/>
        </w:rPr>
        <w:t>ziņošanas sistēma</w:t>
      </w:r>
      <w:r>
        <w:rPr>
          <w:szCs w:val="24"/>
        </w:rPr>
        <w:t>s</w:t>
      </w:r>
      <w:r w:rsidRPr="004B6D4E">
        <w:rPr>
          <w:szCs w:val="24"/>
        </w:rPr>
        <w:t>.</w:t>
      </w:r>
    </w:p>
    <w:p w14:paraId="343EB536" w14:textId="77777777" w:rsidR="0058532D" w:rsidRDefault="0058532D" w:rsidP="0058532D">
      <w:pPr>
        <w:pStyle w:val="naisf"/>
        <w:spacing w:before="0" w:after="0" w:line="200" w:lineRule="atLeast"/>
        <w:ind w:firstLine="0"/>
      </w:pPr>
    </w:p>
    <w:p w14:paraId="64BA98E7" w14:textId="77777777" w:rsidR="0058532D" w:rsidRPr="004B6D4E" w:rsidRDefault="0058532D" w:rsidP="0058532D">
      <w:pPr>
        <w:pStyle w:val="naisf"/>
        <w:spacing w:before="0" w:after="0" w:line="200" w:lineRule="atLeast"/>
        <w:ind w:firstLine="0"/>
      </w:pPr>
      <w:r w:rsidRPr="004B6D4E">
        <w:t>Saskaņā ar Mēslošanas līdzekļu aprites likumu VAAD par mēslošanas līdzekļu ar EK marķējumu kvalitātes neatbilstību informē Zemkopības ministriju, un tai sniegtie dati ir ietverti 2.tabulā.</w:t>
      </w:r>
    </w:p>
    <w:p w14:paraId="6588D046" w14:textId="77777777" w:rsidR="0058532D" w:rsidRPr="004B6D4E" w:rsidRDefault="0058532D" w:rsidP="0058532D">
      <w:pPr>
        <w:pStyle w:val="naisf"/>
        <w:spacing w:before="0" w:after="0" w:line="200" w:lineRule="atLeast"/>
        <w:jc w:val="right"/>
      </w:pPr>
    </w:p>
    <w:p w14:paraId="4CAAFF05" w14:textId="77777777" w:rsidR="0058532D" w:rsidRPr="004B6D4E" w:rsidRDefault="0058532D" w:rsidP="0058532D">
      <w:pPr>
        <w:pStyle w:val="naisf"/>
        <w:spacing w:before="0" w:after="0" w:line="200" w:lineRule="atLeast"/>
        <w:jc w:val="right"/>
        <w:rPr>
          <w:sz w:val="22"/>
          <w:szCs w:val="22"/>
        </w:rPr>
      </w:pPr>
      <w:r w:rsidRPr="004B6D4E">
        <w:rPr>
          <w:i/>
          <w:iCs/>
          <w:sz w:val="22"/>
          <w:szCs w:val="22"/>
        </w:rPr>
        <w:t>2.tabula</w:t>
      </w:r>
    </w:p>
    <w:p w14:paraId="57064ABE" w14:textId="77777777" w:rsidR="0058532D" w:rsidRPr="004B6D4E" w:rsidRDefault="0058532D" w:rsidP="0058532D">
      <w:pPr>
        <w:pStyle w:val="naisf"/>
        <w:spacing w:before="0" w:after="0" w:line="200" w:lineRule="atLeast"/>
        <w:jc w:val="center"/>
        <w:rPr>
          <w:sz w:val="22"/>
          <w:szCs w:val="22"/>
        </w:rPr>
      </w:pPr>
      <w:r w:rsidRPr="004B6D4E">
        <w:rPr>
          <w:sz w:val="22"/>
          <w:szCs w:val="22"/>
        </w:rPr>
        <w:t xml:space="preserve">Konstatētās neatbilstības Regulas Nr.2003/2003 prasībām </w:t>
      </w:r>
    </w:p>
    <w:p w14:paraId="276E3264" w14:textId="77777777" w:rsidR="0058532D" w:rsidRPr="004B6D4E" w:rsidRDefault="0058532D" w:rsidP="0058532D">
      <w:pPr>
        <w:pStyle w:val="naisf"/>
        <w:spacing w:before="0" w:after="0" w:line="200" w:lineRule="atLeast"/>
        <w:jc w:val="center"/>
        <w:rPr>
          <w:bCs/>
        </w:rPr>
      </w:pPr>
      <w:r w:rsidRPr="004B6D4E">
        <w:rPr>
          <w:sz w:val="22"/>
          <w:szCs w:val="22"/>
        </w:rPr>
        <w:t>mēslošanas līdzekļiem ar EK marķējumu</w:t>
      </w:r>
    </w:p>
    <w:tbl>
      <w:tblPr>
        <w:tblW w:w="9059" w:type="dxa"/>
        <w:tblInd w:w="-10" w:type="dxa"/>
        <w:tblLayout w:type="fixed"/>
        <w:tblLook w:val="04A0" w:firstRow="1" w:lastRow="0" w:firstColumn="1" w:lastColumn="0" w:noHBand="0" w:noVBand="1"/>
      </w:tblPr>
      <w:tblGrid>
        <w:gridCol w:w="998"/>
        <w:gridCol w:w="4819"/>
        <w:gridCol w:w="1455"/>
        <w:gridCol w:w="1787"/>
      </w:tblGrid>
      <w:tr w:rsidR="0058532D" w:rsidRPr="004B6D4E" w14:paraId="3EC56C13" w14:textId="77777777" w:rsidTr="00FA1F3B">
        <w:tc>
          <w:tcPr>
            <w:tcW w:w="998" w:type="dxa"/>
            <w:tcBorders>
              <w:top w:val="single" w:sz="4" w:space="0" w:color="000000"/>
              <w:left w:val="single" w:sz="4" w:space="0" w:color="000000"/>
              <w:bottom w:val="single" w:sz="4" w:space="0" w:color="000000"/>
              <w:right w:val="nil"/>
            </w:tcBorders>
          </w:tcPr>
          <w:p w14:paraId="498FF839" w14:textId="77777777" w:rsidR="0058532D" w:rsidRPr="004B6D4E" w:rsidRDefault="0058532D" w:rsidP="00FA1F3B">
            <w:pPr>
              <w:snapToGrid w:val="0"/>
              <w:spacing w:after="0" w:line="200" w:lineRule="atLeast"/>
              <w:jc w:val="center"/>
              <w:rPr>
                <w:bCs/>
              </w:rPr>
            </w:pPr>
          </w:p>
          <w:p w14:paraId="33329101" w14:textId="77777777" w:rsidR="0058532D" w:rsidRPr="004B6D4E" w:rsidRDefault="0058532D" w:rsidP="00FA1F3B">
            <w:pPr>
              <w:spacing w:after="0" w:line="200" w:lineRule="atLeast"/>
              <w:jc w:val="center"/>
              <w:rPr>
                <w:bCs/>
              </w:rPr>
            </w:pPr>
            <w:r w:rsidRPr="004B6D4E">
              <w:rPr>
                <w:bCs/>
              </w:rPr>
              <w:t>Nr.p.k.</w:t>
            </w:r>
          </w:p>
        </w:tc>
        <w:tc>
          <w:tcPr>
            <w:tcW w:w="4819" w:type="dxa"/>
            <w:tcBorders>
              <w:top w:val="single" w:sz="4" w:space="0" w:color="000000"/>
              <w:left w:val="single" w:sz="4" w:space="0" w:color="000000"/>
              <w:bottom w:val="single" w:sz="4" w:space="0" w:color="000000"/>
              <w:right w:val="nil"/>
            </w:tcBorders>
          </w:tcPr>
          <w:p w14:paraId="35F1953A" w14:textId="77777777" w:rsidR="0058532D" w:rsidRPr="004B6D4E" w:rsidRDefault="0058532D" w:rsidP="00FA1F3B">
            <w:pPr>
              <w:snapToGrid w:val="0"/>
              <w:spacing w:after="0" w:line="200" w:lineRule="atLeast"/>
              <w:jc w:val="center"/>
              <w:rPr>
                <w:bCs/>
              </w:rPr>
            </w:pPr>
          </w:p>
          <w:p w14:paraId="0FF69EF3" w14:textId="77777777" w:rsidR="0058532D" w:rsidRPr="004B6D4E" w:rsidRDefault="0058532D" w:rsidP="00FA1F3B">
            <w:pPr>
              <w:spacing w:after="0" w:line="200" w:lineRule="atLeast"/>
              <w:jc w:val="center"/>
              <w:rPr>
                <w:bCs/>
              </w:rPr>
            </w:pPr>
            <w:r w:rsidRPr="004B6D4E">
              <w:rPr>
                <w:bCs/>
              </w:rPr>
              <w:t>Konstatētā neatbilstība</w:t>
            </w:r>
          </w:p>
        </w:tc>
        <w:tc>
          <w:tcPr>
            <w:tcW w:w="1455" w:type="dxa"/>
            <w:tcBorders>
              <w:top w:val="single" w:sz="4" w:space="0" w:color="000000"/>
              <w:left w:val="single" w:sz="4" w:space="0" w:color="000000"/>
              <w:bottom w:val="single" w:sz="4" w:space="0" w:color="000000"/>
              <w:right w:val="nil"/>
            </w:tcBorders>
            <w:hideMark/>
          </w:tcPr>
          <w:p w14:paraId="033C91B2" w14:textId="77777777" w:rsidR="0058532D" w:rsidRPr="004B6D4E" w:rsidRDefault="0058532D" w:rsidP="00FA1F3B">
            <w:pPr>
              <w:spacing w:after="0" w:line="200" w:lineRule="atLeast"/>
              <w:jc w:val="center"/>
              <w:rPr>
                <w:bCs/>
              </w:rPr>
            </w:pPr>
            <w:r w:rsidRPr="004B6D4E">
              <w:rPr>
                <w:bCs/>
              </w:rPr>
              <w:t>EK ML skaits, kam konstatēta neatbilstība</w:t>
            </w:r>
          </w:p>
        </w:tc>
        <w:tc>
          <w:tcPr>
            <w:tcW w:w="1787" w:type="dxa"/>
            <w:tcBorders>
              <w:top w:val="single" w:sz="4" w:space="0" w:color="000000"/>
              <w:left w:val="single" w:sz="4" w:space="0" w:color="000000"/>
              <w:bottom w:val="single" w:sz="4" w:space="0" w:color="000000"/>
              <w:right w:val="single" w:sz="4" w:space="0" w:color="000000"/>
            </w:tcBorders>
            <w:hideMark/>
          </w:tcPr>
          <w:p w14:paraId="45ADFCBB" w14:textId="77777777" w:rsidR="0058532D" w:rsidRPr="004B6D4E" w:rsidRDefault="0058532D" w:rsidP="00FA1F3B">
            <w:pPr>
              <w:spacing w:after="0" w:line="200" w:lineRule="atLeast"/>
              <w:jc w:val="center"/>
            </w:pPr>
            <w:r w:rsidRPr="004B6D4E">
              <w:rPr>
                <w:bCs/>
              </w:rPr>
              <w:t xml:space="preserve">% no </w:t>
            </w:r>
            <w:r w:rsidRPr="004B6D4E">
              <w:rPr>
                <w:bCs/>
                <w:u w:val="single"/>
              </w:rPr>
              <w:t>visiem</w:t>
            </w:r>
            <w:r w:rsidRPr="004B6D4E">
              <w:rPr>
                <w:bCs/>
              </w:rPr>
              <w:t xml:space="preserve"> pārbaudītajiem ML ar EK marķējumu</w:t>
            </w:r>
          </w:p>
        </w:tc>
      </w:tr>
      <w:tr w:rsidR="0058532D" w:rsidRPr="004B6D4E" w14:paraId="10557538" w14:textId="77777777" w:rsidTr="00FA1F3B">
        <w:tc>
          <w:tcPr>
            <w:tcW w:w="998" w:type="dxa"/>
            <w:tcBorders>
              <w:top w:val="single" w:sz="4" w:space="0" w:color="000000"/>
              <w:left w:val="single" w:sz="4" w:space="0" w:color="000000"/>
              <w:bottom w:val="single" w:sz="4" w:space="0" w:color="000000"/>
              <w:right w:val="nil"/>
            </w:tcBorders>
            <w:hideMark/>
          </w:tcPr>
          <w:p w14:paraId="36CFF317" w14:textId="77777777" w:rsidR="0058532D" w:rsidRPr="004B6D4E" w:rsidRDefault="0058532D" w:rsidP="00FA1F3B">
            <w:pPr>
              <w:spacing w:after="0" w:line="200" w:lineRule="atLeast"/>
              <w:jc w:val="center"/>
            </w:pPr>
            <w:r w:rsidRPr="004B6D4E">
              <w:t>1.</w:t>
            </w:r>
          </w:p>
        </w:tc>
        <w:tc>
          <w:tcPr>
            <w:tcW w:w="4819" w:type="dxa"/>
            <w:tcBorders>
              <w:top w:val="single" w:sz="4" w:space="0" w:color="000000"/>
              <w:left w:val="single" w:sz="4" w:space="0" w:color="000000"/>
              <w:bottom w:val="single" w:sz="4" w:space="0" w:color="000000"/>
              <w:right w:val="nil"/>
            </w:tcBorders>
            <w:hideMark/>
          </w:tcPr>
          <w:p w14:paraId="62AD7931" w14:textId="77777777" w:rsidR="0058532D" w:rsidRPr="004B6D4E" w:rsidRDefault="0058532D" w:rsidP="00FA1F3B">
            <w:pPr>
              <w:spacing w:after="0" w:line="200" w:lineRule="atLeast"/>
            </w:pPr>
            <w:r w:rsidRPr="004B6D4E">
              <w:t xml:space="preserve">Pārsniegta pieļaujamā augu barības elementu </w:t>
            </w:r>
            <w:r w:rsidRPr="004B6D4E">
              <w:rPr>
                <w:u w:val="single"/>
              </w:rPr>
              <w:t>satura novirze</w:t>
            </w:r>
            <w:r w:rsidRPr="004B6D4E">
              <w:t xml:space="preserve"> no deklarētā </w:t>
            </w:r>
            <w:r w:rsidRPr="004B6D4E">
              <w:rPr>
                <w:i/>
                <w:iCs/>
              </w:rPr>
              <w:t xml:space="preserve">(Regulas Nr.2003/2003 2.pielikums) </w:t>
            </w:r>
          </w:p>
        </w:tc>
        <w:tc>
          <w:tcPr>
            <w:tcW w:w="1455" w:type="dxa"/>
            <w:tcBorders>
              <w:top w:val="single" w:sz="4" w:space="0" w:color="000000"/>
              <w:left w:val="single" w:sz="4" w:space="0" w:color="000000"/>
              <w:bottom w:val="single" w:sz="4" w:space="0" w:color="000000"/>
              <w:right w:val="nil"/>
            </w:tcBorders>
            <w:hideMark/>
          </w:tcPr>
          <w:p w14:paraId="340F43B7" w14:textId="77777777" w:rsidR="0058532D" w:rsidRPr="004B6D4E" w:rsidRDefault="0058532D" w:rsidP="00FA1F3B">
            <w:pPr>
              <w:spacing w:after="0" w:line="200" w:lineRule="atLeast"/>
              <w:jc w:val="center"/>
            </w:pPr>
            <w:r>
              <w:t>1</w:t>
            </w:r>
          </w:p>
        </w:tc>
        <w:tc>
          <w:tcPr>
            <w:tcW w:w="1787" w:type="dxa"/>
            <w:tcBorders>
              <w:top w:val="single" w:sz="4" w:space="0" w:color="000000"/>
              <w:left w:val="single" w:sz="4" w:space="0" w:color="000000"/>
              <w:bottom w:val="single" w:sz="4" w:space="0" w:color="000000"/>
              <w:right w:val="single" w:sz="4" w:space="0" w:color="000000"/>
            </w:tcBorders>
            <w:hideMark/>
          </w:tcPr>
          <w:p w14:paraId="48A58112" w14:textId="77777777" w:rsidR="0058532D" w:rsidRPr="003405CE" w:rsidRDefault="0058532D" w:rsidP="00FA1F3B">
            <w:pPr>
              <w:snapToGrid w:val="0"/>
              <w:spacing w:after="0" w:line="200" w:lineRule="atLeast"/>
              <w:jc w:val="center"/>
            </w:pPr>
            <w:r w:rsidRPr="003405CE">
              <w:t>3,5</w:t>
            </w:r>
          </w:p>
        </w:tc>
      </w:tr>
      <w:tr w:rsidR="0058532D" w:rsidRPr="004B6D4E" w14:paraId="25DD0B06" w14:textId="77777777" w:rsidTr="00FA1F3B">
        <w:tc>
          <w:tcPr>
            <w:tcW w:w="998" w:type="dxa"/>
            <w:tcBorders>
              <w:top w:val="single" w:sz="4" w:space="0" w:color="000000"/>
              <w:left w:val="single" w:sz="4" w:space="0" w:color="000000"/>
              <w:bottom w:val="single" w:sz="4" w:space="0" w:color="000000"/>
              <w:right w:val="nil"/>
            </w:tcBorders>
            <w:hideMark/>
          </w:tcPr>
          <w:p w14:paraId="397EAB7A" w14:textId="77777777" w:rsidR="0058532D" w:rsidRPr="004B6D4E" w:rsidRDefault="0058532D" w:rsidP="00FA1F3B">
            <w:pPr>
              <w:spacing w:after="0" w:line="200" w:lineRule="atLeast"/>
              <w:jc w:val="center"/>
            </w:pPr>
            <w:r w:rsidRPr="004B6D4E">
              <w:t>2.</w:t>
            </w:r>
          </w:p>
        </w:tc>
        <w:tc>
          <w:tcPr>
            <w:tcW w:w="4819" w:type="dxa"/>
            <w:tcBorders>
              <w:top w:val="single" w:sz="4" w:space="0" w:color="000000"/>
              <w:left w:val="single" w:sz="4" w:space="0" w:color="000000"/>
              <w:bottom w:val="single" w:sz="4" w:space="0" w:color="000000"/>
              <w:right w:val="nil"/>
            </w:tcBorders>
            <w:hideMark/>
          </w:tcPr>
          <w:p w14:paraId="4B8541C2" w14:textId="77777777" w:rsidR="0058532D" w:rsidRPr="004B6D4E" w:rsidRDefault="0058532D" w:rsidP="00FA1F3B">
            <w:pPr>
              <w:spacing w:after="0" w:line="200" w:lineRule="atLeast"/>
              <w:rPr>
                <w:i/>
                <w:iCs/>
              </w:rPr>
            </w:pPr>
            <w:r>
              <w:t>A</w:t>
            </w:r>
            <w:r w:rsidRPr="004B6D4E">
              <w:t xml:space="preserve">ugu barības elementa saturs neatbilst Regulas Nr.2003/2003 1.pielikuma prasībām </w:t>
            </w:r>
          </w:p>
        </w:tc>
        <w:tc>
          <w:tcPr>
            <w:tcW w:w="1455" w:type="dxa"/>
            <w:tcBorders>
              <w:top w:val="single" w:sz="4" w:space="0" w:color="000000"/>
              <w:left w:val="single" w:sz="4" w:space="0" w:color="000000"/>
              <w:bottom w:val="single" w:sz="4" w:space="0" w:color="000000"/>
              <w:right w:val="nil"/>
            </w:tcBorders>
            <w:hideMark/>
          </w:tcPr>
          <w:p w14:paraId="52389288" w14:textId="77777777" w:rsidR="0058532D" w:rsidRPr="004B6D4E" w:rsidRDefault="0058532D" w:rsidP="00FA1F3B">
            <w:pPr>
              <w:spacing w:after="0" w:line="200" w:lineRule="atLeast"/>
              <w:jc w:val="center"/>
            </w:pPr>
            <w:r>
              <w:t>1</w:t>
            </w:r>
          </w:p>
        </w:tc>
        <w:tc>
          <w:tcPr>
            <w:tcW w:w="1787" w:type="dxa"/>
            <w:tcBorders>
              <w:top w:val="single" w:sz="4" w:space="0" w:color="000000"/>
              <w:left w:val="single" w:sz="4" w:space="0" w:color="000000"/>
              <w:bottom w:val="single" w:sz="4" w:space="0" w:color="000000"/>
              <w:right w:val="single" w:sz="4" w:space="0" w:color="000000"/>
            </w:tcBorders>
            <w:hideMark/>
          </w:tcPr>
          <w:p w14:paraId="5F5A4A30" w14:textId="77777777" w:rsidR="0058532D" w:rsidRPr="003405CE" w:rsidRDefault="0058532D" w:rsidP="00FA1F3B">
            <w:pPr>
              <w:snapToGrid w:val="0"/>
              <w:spacing w:after="0" w:line="200" w:lineRule="atLeast"/>
              <w:jc w:val="center"/>
            </w:pPr>
            <w:r w:rsidRPr="003405CE">
              <w:t>3,5</w:t>
            </w:r>
          </w:p>
        </w:tc>
      </w:tr>
      <w:tr w:rsidR="0058532D" w:rsidRPr="004B6D4E" w14:paraId="28F79428" w14:textId="77777777" w:rsidTr="00FA1F3B">
        <w:tc>
          <w:tcPr>
            <w:tcW w:w="5817" w:type="dxa"/>
            <w:gridSpan w:val="2"/>
            <w:tcBorders>
              <w:top w:val="single" w:sz="4" w:space="0" w:color="000000"/>
              <w:left w:val="single" w:sz="4" w:space="0" w:color="000000"/>
              <w:bottom w:val="single" w:sz="4" w:space="0" w:color="000000"/>
              <w:right w:val="nil"/>
            </w:tcBorders>
            <w:hideMark/>
          </w:tcPr>
          <w:p w14:paraId="2BFCBB20" w14:textId="77777777" w:rsidR="0058532D" w:rsidRPr="004B6D4E" w:rsidRDefault="0058532D" w:rsidP="00FA1F3B">
            <w:pPr>
              <w:spacing w:after="0" w:line="200" w:lineRule="atLeast"/>
              <w:jc w:val="center"/>
            </w:pPr>
            <w:r w:rsidRPr="004B6D4E">
              <w:t>KOPĀ</w:t>
            </w:r>
          </w:p>
        </w:tc>
        <w:tc>
          <w:tcPr>
            <w:tcW w:w="1455" w:type="dxa"/>
            <w:tcBorders>
              <w:top w:val="single" w:sz="4" w:space="0" w:color="000000"/>
              <w:left w:val="single" w:sz="4" w:space="0" w:color="000000"/>
              <w:bottom w:val="single" w:sz="4" w:space="0" w:color="000000"/>
              <w:right w:val="nil"/>
            </w:tcBorders>
            <w:hideMark/>
          </w:tcPr>
          <w:p w14:paraId="19A37B37" w14:textId="77777777" w:rsidR="0058532D" w:rsidRPr="004B6D4E" w:rsidRDefault="0058532D" w:rsidP="00FA1F3B">
            <w:pPr>
              <w:spacing w:after="0" w:line="200" w:lineRule="atLeast"/>
              <w:jc w:val="center"/>
            </w:pPr>
            <w:r>
              <w:t>2</w:t>
            </w:r>
          </w:p>
        </w:tc>
        <w:tc>
          <w:tcPr>
            <w:tcW w:w="1787" w:type="dxa"/>
            <w:tcBorders>
              <w:top w:val="single" w:sz="4" w:space="0" w:color="000000"/>
              <w:left w:val="single" w:sz="4" w:space="0" w:color="000000"/>
              <w:bottom w:val="single" w:sz="4" w:space="0" w:color="000000"/>
              <w:right w:val="single" w:sz="4" w:space="0" w:color="000000"/>
            </w:tcBorders>
          </w:tcPr>
          <w:p w14:paraId="2FBAB67D" w14:textId="77777777" w:rsidR="0058532D" w:rsidRPr="004B6D4E" w:rsidRDefault="0058532D" w:rsidP="00FA1F3B">
            <w:pPr>
              <w:snapToGrid w:val="0"/>
              <w:spacing w:after="0" w:line="200" w:lineRule="atLeast"/>
              <w:jc w:val="center"/>
            </w:pPr>
          </w:p>
        </w:tc>
      </w:tr>
    </w:tbl>
    <w:p w14:paraId="3CFB8598" w14:textId="77777777" w:rsidR="0058532D" w:rsidRDefault="0058532D" w:rsidP="0058532D">
      <w:pPr>
        <w:spacing w:after="0" w:line="200" w:lineRule="atLeast"/>
      </w:pPr>
    </w:p>
    <w:p w14:paraId="1840E180" w14:textId="77777777" w:rsidR="0058532D" w:rsidRDefault="0058532D" w:rsidP="0058532D">
      <w:pPr>
        <w:spacing w:after="0" w:line="200" w:lineRule="atLeast"/>
      </w:pPr>
      <w:r w:rsidRPr="003405CE">
        <w:t>Ziņojumā Zemkopības ministrijai netika iekļauts viens no 1.tabulā minētajiem mēslošanas līdzekļiem ar EK marķējumu, ņemot vērā, ka tas bija pārpakots Latvijā, un ražotājs šādā gadījumā nenes atbildību par mēslošanas līdzekļa kvalitāti.</w:t>
      </w:r>
      <w:r>
        <w:t xml:space="preserve"> </w:t>
      </w:r>
    </w:p>
    <w:p w14:paraId="0C17B7B5" w14:textId="77777777" w:rsidR="0058532D" w:rsidRDefault="0058532D" w:rsidP="0058532D">
      <w:pPr>
        <w:spacing w:after="0" w:line="200" w:lineRule="atLeast"/>
      </w:pPr>
    </w:p>
    <w:p w14:paraId="04EF43D2" w14:textId="77777777" w:rsidR="0058532D" w:rsidRDefault="0058532D" w:rsidP="0058532D">
      <w:pPr>
        <w:spacing w:after="0" w:line="200" w:lineRule="atLeast"/>
        <w:rPr>
          <w:szCs w:val="24"/>
        </w:rPr>
      </w:pPr>
      <w:r>
        <w:t>2020</w:t>
      </w:r>
      <w:r w:rsidRPr="004B6D4E">
        <w:t>.</w:t>
      </w:r>
      <w:r>
        <w:t xml:space="preserve"> </w:t>
      </w:r>
      <w:r w:rsidRPr="004B6D4E">
        <w:t xml:space="preserve">gadā </w:t>
      </w:r>
      <w:r>
        <w:rPr>
          <w:szCs w:val="24"/>
        </w:rPr>
        <w:t>vienam</w:t>
      </w:r>
      <w:r w:rsidRPr="004B6D4E">
        <w:rPr>
          <w:szCs w:val="24"/>
        </w:rPr>
        <w:t xml:space="preserve"> mēslošanas līdzek</w:t>
      </w:r>
      <w:r>
        <w:rPr>
          <w:szCs w:val="24"/>
        </w:rPr>
        <w:t>lim</w:t>
      </w:r>
      <w:r w:rsidRPr="004B6D4E">
        <w:rPr>
          <w:szCs w:val="24"/>
        </w:rPr>
        <w:t xml:space="preserve"> ar EK marķējumu bija pārsniegta pieļaujamā negatīvā novirze no deklarētā augu barības elementu satura un </w:t>
      </w:r>
      <w:r>
        <w:rPr>
          <w:szCs w:val="24"/>
        </w:rPr>
        <w:t xml:space="preserve">otram mēslošanas līdzeklim ar EK marķējumu bija </w:t>
      </w:r>
      <w:r w:rsidRPr="004B6D4E">
        <w:rPr>
          <w:szCs w:val="24"/>
        </w:rPr>
        <w:t xml:space="preserve">augu barības elementu satura neatbilstība regulas 1.pielikumam (mēslošanas līdzekļa identifikācijas prasībām). </w:t>
      </w:r>
    </w:p>
    <w:p w14:paraId="6A097114" w14:textId="77777777" w:rsidR="0058532D" w:rsidRPr="004B6D4E" w:rsidRDefault="0058532D" w:rsidP="0058532D">
      <w:pPr>
        <w:spacing w:after="0" w:line="200" w:lineRule="atLeast"/>
        <w:rPr>
          <w:sz w:val="22"/>
          <w:lang w:bidi="ar-SA"/>
        </w:rPr>
      </w:pPr>
    </w:p>
    <w:p w14:paraId="07440966" w14:textId="77777777" w:rsidR="0058532D" w:rsidRPr="004B6D4E" w:rsidRDefault="0058532D" w:rsidP="0058532D">
      <w:pPr>
        <w:spacing w:after="0" w:line="200" w:lineRule="atLeast"/>
        <w:ind w:firstLine="720"/>
        <w:rPr>
          <w:szCs w:val="24"/>
        </w:rPr>
      </w:pPr>
    </w:p>
    <w:p w14:paraId="4BF32996" w14:textId="58294E91" w:rsidR="00164F42" w:rsidRDefault="0058532D" w:rsidP="0058532D">
      <w:pPr>
        <w:spacing w:after="0" w:line="200" w:lineRule="atLeast"/>
        <w:rPr>
          <w:szCs w:val="24"/>
        </w:rPr>
      </w:pPr>
      <w:r w:rsidRPr="004B6D4E">
        <w:rPr>
          <w:szCs w:val="24"/>
        </w:rPr>
        <w:t>Veicot mēslošanas līdzekļu aprites vietu pārbaudes, dienesta inspektori 20</w:t>
      </w:r>
      <w:r>
        <w:rPr>
          <w:szCs w:val="24"/>
        </w:rPr>
        <w:t>20</w:t>
      </w:r>
      <w:r w:rsidRPr="004B6D4E">
        <w:rPr>
          <w:szCs w:val="24"/>
        </w:rPr>
        <w:t xml:space="preserve">. gadā konstatēja maznozīmīgas neatbilstības mēslošanas līdzekļu ar EK marķējumu iepakojumiem un etiķetēm, kā arī </w:t>
      </w:r>
      <w:r>
        <w:rPr>
          <w:szCs w:val="24"/>
        </w:rPr>
        <w:t>vienu</w:t>
      </w:r>
      <w:r w:rsidRPr="004B6D4E">
        <w:rPr>
          <w:szCs w:val="24"/>
        </w:rPr>
        <w:t xml:space="preserve"> būtisku pārkāpumu – uzskaitei nepieteiktu EK mēslošanas līdzekļu tirdzniecību, par kur</w:t>
      </w:r>
      <w:r>
        <w:rPr>
          <w:szCs w:val="24"/>
        </w:rPr>
        <w:t>u</w:t>
      </w:r>
      <w:r w:rsidRPr="004B6D4E">
        <w:rPr>
          <w:szCs w:val="24"/>
        </w:rPr>
        <w:t xml:space="preserve"> tika ierosināta administratīvo pārkāpumu lieta</w:t>
      </w:r>
      <w:r w:rsidR="00164F42">
        <w:rPr>
          <w:szCs w:val="24"/>
        </w:rPr>
        <w:t>.</w:t>
      </w:r>
    </w:p>
    <w:p w14:paraId="6B40C0FE" w14:textId="77777777" w:rsidR="00892404" w:rsidRPr="00892404" w:rsidRDefault="00892404" w:rsidP="00892404"/>
    <w:p w14:paraId="1B1DE415" w14:textId="77777777" w:rsidR="00400594" w:rsidRPr="00400594" w:rsidRDefault="00400594" w:rsidP="00400594">
      <w:pPr>
        <w:pStyle w:val="ListParagraph"/>
        <w:keepNext/>
        <w:numPr>
          <w:ilvl w:val="1"/>
          <w:numId w:val="3"/>
        </w:numPr>
        <w:spacing w:after="240" w:line="240" w:lineRule="auto"/>
        <w:contextualSpacing w:val="0"/>
        <w:jc w:val="both"/>
        <w:outlineLvl w:val="1"/>
        <w:rPr>
          <w:rFonts w:ascii="Times New Roman" w:eastAsia="Times New Roman" w:hAnsi="Times New Roman"/>
          <w:b/>
          <w:noProof w:val="0"/>
          <w:vanish/>
          <w:sz w:val="24"/>
          <w:szCs w:val="20"/>
        </w:rPr>
      </w:pPr>
      <w:bookmarkStart w:id="85" w:name="_Toc8821901"/>
      <w:bookmarkEnd w:id="85"/>
    </w:p>
    <w:p w14:paraId="52340AC6" w14:textId="26EF5758" w:rsidR="00BB4D80" w:rsidRDefault="00BB4D80" w:rsidP="00400594">
      <w:pPr>
        <w:pStyle w:val="Heading2"/>
        <w:tabs>
          <w:tab w:val="num" w:pos="1609"/>
        </w:tabs>
        <w:ind w:left="2344"/>
      </w:pPr>
      <w:bookmarkStart w:id="86" w:name="_Toc8821902"/>
      <w:r>
        <w:t>Biocīdi</w:t>
      </w:r>
      <w:r w:rsidR="00FD3E79">
        <w:t xml:space="preserve"> (skat. arī 2.3. punktā minēto par PTAC attiecībā uz šo nozari)</w:t>
      </w:r>
      <w:bookmarkEnd w:id="86"/>
    </w:p>
    <w:p w14:paraId="318E2513" w14:textId="77777777" w:rsidR="00BB4D80" w:rsidRPr="0008472F" w:rsidRDefault="00BB4D80" w:rsidP="00BB4D80">
      <w:pPr>
        <w:pStyle w:val="Heading3"/>
        <w:tabs>
          <w:tab w:val="num" w:pos="2552"/>
        </w:tabs>
        <w:ind w:left="1701" w:hanging="77"/>
      </w:pPr>
      <w:bookmarkStart w:id="87" w:name="_Toc8821903"/>
      <w:r w:rsidRPr="0008472F">
        <w:t>Atbildīgās iestādes nosaukums un kontaktinformācija</w:t>
      </w:r>
      <w:bookmarkEnd w:id="87"/>
    </w:p>
    <w:p w14:paraId="752C0D85" w14:textId="372A1918" w:rsidR="00811819" w:rsidRDefault="00811819" w:rsidP="00811819">
      <w:r w:rsidRPr="00293D83">
        <w:t xml:space="preserve">Veselības inspekcija kontrolē tirdzniecībā esošo (tirgū laisto un izplatīto) </w:t>
      </w:r>
      <w:r>
        <w:t>biocīdu atbilstību r</w:t>
      </w:r>
      <w:r w:rsidRPr="00F15F95">
        <w:t xml:space="preserve">egulā </w:t>
      </w:r>
      <w:r>
        <w:t>Nr. </w:t>
      </w:r>
      <w:r w:rsidRPr="00F15F95">
        <w:t xml:space="preserve">528/2012 </w:t>
      </w:r>
      <w:r>
        <w:t xml:space="preserve">noteiktajām </w:t>
      </w:r>
      <w:r w:rsidRPr="00293D83">
        <w:t>prasībām.</w:t>
      </w:r>
    </w:p>
    <w:p w14:paraId="360F904B" w14:textId="77777777" w:rsidR="00811819" w:rsidRDefault="00811819" w:rsidP="00811819">
      <w:pPr>
        <w:pStyle w:val="Text3"/>
        <w:ind w:left="0"/>
      </w:pPr>
      <w:r w:rsidRPr="003A3061">
        <w:t>Veselības inspekcijas adrese:</w:t>
      </w:r>
      <w:r>
        <w:t xml:space="preserve"> Klijānu ielā 7, Rīgā, LV</w:t>
      </w:r>
      <w:r>
        <w:rPr>
          <w:szCs w:val="24"/>
        </w:rPr>
        <w:t>-</w:t>
      </w:r>
      <w:r w:rsidRPr="003A3061">
        <w:t xml:space="preserve">1012, kontakti: e-pasts </w:t>
      </w:r>
      <w:hyperlink r:id="rId30" w:history="1">
        <w:r w:rsidRPr="003A3061">
          <w:t>vi@vi.gov.lv</w:t>
        </w:r>
      </w:hyperlink>
      <w:r w:rsidRPr="003A3061">
        <w:t xml:space="preserve">, tālrunis: </w:t>
      </w:r>
      <w:r w:rsidRPr="003A3061">
        <w:rPr>
          <w:bCs/>
        </w:rPr>
        <w:t>67081600</w:t>
      </w:r>
      <w:r w:rsidRPr="003A3061">
        <w:t>.</w:t>
      </w:r>
    </w:p>
    <w:p w14:paraId="69A9A325" w14:textId="312FE014" w:rsidR="00892404" w:rsidRDefault="001D2571" w:rsidP="00811819">
      <w:r>
        <w:t>Biocīdu tirgus uzraudzībā un kontrolē iesaistītas 8 amatpersonas, kuru pienākumos ietilpst arī citu preču grupu (kosmētikas līdzekļu, ķīmisko vielu un maisījumu saskaņā ar REACH un CLP, mazgāšanas līdzekļu un gaistošo organisko savienojumu saturošu produktu, tabakas izstrādājumu un elektronisko cigarešu uzpildes šķidrumu) uzraudzība. Veselības inspekcijai nav laboratorijas. Laboratoriskas pārbaudes veikšanai tiek izmantoti akreditētu laboratoriju pakalpojumi</w:t>
      </w:r>
      <w:r w:rsidR="00892404">
        <w:t xml:space="preserve">. </w:t>
      </w:r>
    </w:p>
    <w:p w14:paraId="2BE4C03F" w14:textId="49C1D97D" w:rsidR="00755963" w:rsidRPr="0008472F" w:rsidRDefault="00755963" w:rsidP="00340804">
      <w:pPr>
        <w:ind w:left="720"/>
        <w:rPr>
          <w:i/>
          <w:color w:val="0000FF"/>
        </w:rPr>
      </w:pPr>
    </w:p>
    <w:p w14:paraId="01B009C1" w14:textId="77777777" w:rsidR="00892404" w:rsidRPr="0008472F" w:rsidRDefault="00892404" w:rsidP="00892404">
      <w:pPr>
        <w:pStyle w:val="Heading3"/>
        <w:tabs>
          <w:tab w:val="num" w:pos="2552"/>
        </w:tabs>
        <w:ind w:hanging="2421"/>
      </w:pPr>
      <w:bookmarkStart w:id="88" w:name="_Toc8821904"/>
      <w:r w:rsidRPr="0008472F">
        <w:t>Tirgus uzraudzības procedūras un stratēģija</w:t>
      </w:r>
      <w:bookmarkEnd w:id="88"/>
      <w:r w:rsidRPr="0008472F">
        <w:t xml:space="preserve"> </w:t>
      </w:r>
    </w:p>
    <w:p w14:paraId="5EF816AC" w14:textId="77777777" w:rsidR="001D2571" w:rsidRDefault="001D2571" w:rsidP="001D2571">
      <w:pPr>
        <w:pStyle w:val="Text3"/>
        <w:ind w:left="0"/>
      </w:pPr>
      <w:r>
        <w:t>Prioritāte ir pārbaudīt speciālās prasības biocīdiem, kā augsta riska produktu grupai, kuru plaši izmanto gan mājsaimniecībā, gan profesionālajā lietošanā, lai tiktu mazināts risks sabiedrības veselībai biocīdu izmantošanā, tiktu izmantoti vienīgi tādi biocīdi, kas satur konkrētajam biocīdu veidam atļautas aktīvās vielas.</w:t>
      </w:r>
    </w:p>
    <w:p w14:paraId="6E8AA524" w14:textId="77777777" w:rsidR="001D2571" w:rsidRDefault="001D2571" w:rsidP="001D2571">
      <w:pPr>
        <w:pStyle w:val="Text1"/>
        <w:ind w:left="0"/>
      </w:pPr>
      <w:r>
        <w:t>Biocīdu uzraudzības jomā Veselības inspekcija ir izstrādājusi un uzraudzības mērķiem izmanto tipveida kontroles lapu, vadlīnijas un uzraudzības procedūru. Veselības inspekcija nodrošina proaktīvu rīcību, veicot plānveida kontroles uzraudzības objektos, kā arī izskata saņemtās sūdzības, veicot nepieciešamās darbības.</w:t>
      </w:r>
    </w:p>
    <w:p w14:paraId="57EE3C0E" w14:textId="77777777" w:rsidR="001D2571" w:rsidRDefault="001D2571" w:rsidP="001D2571">
      <w:r>
        <w:t xml:space="preserve">Veselības inspekcija ir Latvijas nominētais pārstāvis Eiropas Ķīmisko vielu aģentūras (ECHA) Ieviešanas informācijas apmaiņas foruma </w:t>
      </w:r>
      <w:r>
        <w:rPr>
          <w:bCs/>
        </w:rPr>
        <w:t xml:space="preserve">Biocīdu regulas apakšgrupā </w:t>
      </w:r>
      <w:r>
        <w:t>(</w:t>
      </w:r>
      <w:r>
        <w:rPr>
          <w:i/>
          <w:iCs/>
        </w:rPr>
        <w:t xml:space="preserve">Biocidal  Products Regulation Subgroup – </w:t>
      </w:r>
      <w:r>
        <w:rPr>
          <w:bCs/>
          <w:i/>
          <w:iCs/>
        </w:rPr>
        <w:t>BPRS</w:t>
      </w:r>
      <w:r>
        <w:rPr>
          <w:iCs/>
        </w:rPr>
        <w:t xml:space="preserve">), kuras mērķis ir uzlabot prasību saskaņotu ieviešanu dalībvalstīs. </w:t>
      </w:r>
    </w:p>
    <w:p w14:paraId="26E56F0D" w14:textId="77C71CE1" w:rsidR="00BB4D80" w:rsidRDefault="001D2571" w:rsidP="001D2571">
      <w:pPr>
        <w:pStyle w:val="Text1"/>
        <w:ind w:left="0"/>
      </w:pPr>
      <w:r>
        <w:t>Veselības inspekcija biocīdu uzraudzībā sadarbojas ar Valsts sabiedrību ar ierobežotu atbildību „Latvijas Vides, ģeoloģijas un meteoroloģijas centrs”, kas ir kompetentā iestāde saskaņā ar Biocīdu regulu</w:t>
      </w:r>
      <w:r w:rsidR="00224534">
        <w:t xml:space="preserve">. </w:t>
      </w:r>
    </w:p>
    <w:p w14:paraId="4AE211D9" w14:textId="77777777" w:rsidR="00BB4D80" w:rsidRPr="0008472F" w:rsidRDefault="00BB4D80" w:rsidP="00BB4D80">
      <w:pPr>
        <w:pStyle w:val="Heading3"/>
        <w:tabs>
          <w:tab w:val="num" w:pos="2552"/>
        </w:tabs>
        <w:ind w:left="1701" w:hanging="77"/>
      </w:pPr>
      <w:bookmarkStart w:id="89" w:name="_Toc8821905"/>
      <w:r w:rsidRPr="0008472F">
        <w:t>Ziņojums par darbībām, kas veiktas saskaņā ar iepriekšējo plānošanas periodu</w:t>
      </w:r>
      <w:bookmarkEnd w:id="89"/>
    </w:p>
    <w:p w14:paraId="55B8BFEC" w14:textId="77777777" w:rsidR="001D2571" w:rsidRDefault="001D2571" w:rsidP="001D2571">
      <w:pPr>
        <w:spacing w:after="120"/>
      </w:pPr>
      <w:r>
        <w:t xml:space="preserve">2020. gadā 39 uzņēmumos pārbaudīti 114 tirdzniecībā piedāvātie biocīdi. No tiem 72% atbilst visām pārbaudītajām biocīdu speciālajām prasībām. Visi satur atļautas aktīvās vielas  -  58 satur aktīvās vielas, kas ir izvērtēšanas procesā darba programmas ietvaros, un saņēmuši inventarizācijas numuru, saskaņā ar nacionālajām prasībām, savukārt 56 saņēmuši atļauju, jo sastāvā esošā aktīvā viela vai ģenerētā aktīvā viela ir apstiprināta attiecīgajā produkta veidā. Konstatēts, ka savstarpējās atzīšanas procesā piešķirtās atļaujas termiņš beidzies diviem biocīdiem (rodenticīdiem), aizliegta attiecīgo neatbilstošo biocīdu tirdzniecība. Neatbilstības, saistībā ar inventarizācijas numura, aktīvās vielas un tās koncentrācijas norādīšanu marķējumā, identificētas 29 (25%) pārbaudīto biocīdu un uzdots </w:t>
      </w:r>
      <w:r>
        <w:lastRenderedPageBreak/>
        <w:t>tās novērst. Neatbilstības vispārējām prasībām bīstamu ķīmisku maisījumu marķējumam konstatētas 25% biocīdu.</w:t>
      </w:r>
    </w:p>
    <w:p w14:paraId="2BA79B1A" w14:textId="77777777" w:rsidR="001D2571" w:rsidRDefault="001D2571" w:rsidP="001D2571">
      <w:pPr>
        <w:spacing w:after="120"/>
      </w:pPr>
      <w:r>
        <w:t xml:space="preserve">Saistībā ar pastiprinātu nepieciešamību valstī pēc dezinfekcijas līdzekļiem pandēmijas apstākļos, kontrolēs tiem pievērsta pastiprināta uzmanība un dezinfekcijas līdzekļi veido 48% no pārbaudītajiem biocīdiem. Veikta 28 biocīdu paraugu laboratoriska pārbaude, lai noteiktu aktīvās vielas (etanola) koncentrāciju biocīdā. Paraugi ņemti 25 kontrolētajos objektos. Pieciem paraugiem etanola koncentrācija ir zemāka par reģistrēto, četri no tiem līdz ar to nav efektīvi lietošanai norādītajam mērķim. Aizliegta attiecīgo neatbilstošo biocīdu tirdzniecība. </w:t>
      </w:r>
    </w:p>
    <w:p w14:paraId="57F6012C" w14:textId="7CE1816C" w:rsidR="001D2571" w:rsidRDefault="001D2571" w:rsidP="001D2571">
      <w:pPr>
        <w:spacing w:after="120"/>
      </w:pPr>
      <w:r>
        <w:t>Ņemot vērā lielo biocīdu izmantošanas pieaugumu pandēmijas apstākļos un sakāpinātu interesi par dezinfekcijas līdzekļiem, sniegtas atbildes uz daudziem iedzīvotāju, komersantu un iestāžu jautājumiem par dezinfekcijas līdzekļu izmantošanu, efektivitāti un reģistrāciju. Sagatavota aktuālā informācija sabiedrībai par prasībām dezinfekcijas līdzekļiem un sniegti skaidrojumi par svarīgākajiem norādījumiem dezinfekcijas līdzekļu marķējumā, kam jāpievērš uzmanība pirms preces iegādes, lai izvairītos no nereģistrētu, nelegālu, potenciāli neefektīvu un mērķim nepiemērotu dezinfekcijas līdzekļu iegādes. Sniegta aktuālā informācija plašsaziņas līdzekļos un sociālajās vietnēs par laboratoriskā pārbaudē konstatētiem neatbilstošiem dezinfekcijas līdzekļiem (6 publikācijas mājaslapā un 5 „</w:t>
      </w:r>
      <w:r w:rsidRPr="001D2571">
        <w:rPr>
          <w:i/>
          <w:iCs/>
        </w:rPr>
        <w:t>Facebook</w:t>
      </w:r>
      <w:r>
        <w:t xml:space="preserve">”, 5 intervijas televīzijā/radio). Uzturēti regulāri kontakti ar LVĢMC kā biocīdu kompetento iestādi un ar LATSERT laboratoriju. Ievērojot „Konsultē vispirms” principu uzraudzībā, sagatavots un lielākajiem internetveikaliem nosūtīts skaidrojums kāda obligātā informācija par biocīdu jāsniedz, ja to piedāvā interneta vietnē, tas ievietots Veselības inspekcijas vietnē un </w:t>
      </w:r>
      <w:r>
        <w:rPr>
          <w:i/>
          <w:iCs/>
        </w:rPr>
        <w:t>Facebook</w:t>
      </w:r>
      <w:r>
        <w:t>.</w:t>
      </w:r>
    </w:p>
    <w:p w14:paraId="5DD3A0A6" w14:textId="1397CED4" w:rsidR="004C490F" w:rsidRDefault="001D2571" w:rsidP="001D2571">
      <w:pPr>
        <w:rPr>
          <w:b/>
          <w:bCs/>
        </w:rPr>
      </w:pPr>
      <w:r>
        <w:rPr>
          <w:rStyle w:val="tlid-translation"/>
          <w:szCs w:val="24"/>
        </w:rPr>
        <w:t>2020. gadā REF-8 projekta ietvaros tiešsaistē pārdotiem biocīdiem papildus pārbaudīts, vai aktīvās vielas to sastāvā ir atļautas, vai biocīdam ir piešķirta atļauja vai inventarizācijas numurs. Kontroļu rezultāti tiks iesniegti ECHA apkopošanai un publicēšanai kopējā projekta ziņojumā</w:t>
      </w:r>
      <w:r w:rsidR="00892404">
        <w:t>.</w:t>
      </w:r>
      <w:r w:rsidR="004C490F" w:rsidRPr="00542DB5">
        <w:rPr>
          <w:b/>
          <w:bCs/>
        </w:rPr>
        <w:t xml:space="preserve"> </w:t>
      </w:r>
    </w:p>
    <w:p w14:paraId="1AC6F2F3" w14:textId="77777777" w:rsidR="00045ADA" w:rsidRPr="00045ADA" w:rsidRDefault="00045ADA" w:rsidP="00045ADA">
      <w:pPr>
        <w:pStyle w:val="ListParagraph"/>
        <w:keepNext/>
        <w:numPr>
          <w:ilvl w:val="1"/>
          <w:numId w:val="3"/>
        </w:numPr>
        <w:spacing w:after="240" w:line="240" w:lineRule="auto"/>
        <w:contextualSpacing w:val="0"/>
        <w:jc w:val="both"/>
        <w:outlineLvl w:val="1"/>
        <w:rPr>
          <w:rFonts w:ascii="Times New Roman" w:eastAsia="Times New Roman" w:hAnsi="Times New Roman"/>
          <w:b/>
          <w:noProof w:val="0"/>
          <w:vanish/>
          <w:sz w:val="24"/>
          <w:szCs w:val="20"/>
        </w:rPr>
      </w:pPr>
      <w:bookmarkStart w:id="90" w:name="_Toc8821906"/>
      <w:bookmarkEnd w:id="90"/>
    </w:p>
    <w:p w14:paraId="5D63044E" w14:textId="77777777" w:rsidR="00045ADA" w:rsidRPr="00045ADA" w:rsidRDefault="00045ADA" w:rsidP="00045ADA">
      <w:pPr>
        <w:pStyle w:val="ListParagraph"/>
        <w:keepNext/>
        <w:numPr>
          <w:ilvl w:val="1"/>
          <w:numId w:val="3"/>
        </w:numPr>
        <w:spacing w:after="240" w:line="240" w:lineRule="auto"/>
        <w:contextualSpacing w:val="0"/>
        <w:jc w:val="both"/>
        <w:outlineLvl w:val="1"/>
        <w:rPr>
          <w:rFonts w:ascii="Times New Roman" w:eastAsia="Times New Roman" w:hAnsi="Times New Roman"/>
          <w:b/>
          <w:noProof w:val="0"/>
          <w:vanish/>
          <w:sz w:val="24"/>
          <w:szCs w:val="20"/>
        </w:rPr>
      </w:pPr>
      <w:bookmarkStart w:id="91" w:name="_Toc8821907"/>
      <w:bookmarkEnd w:id="91"/>
    </w:p>
    <w:p w14:paraId="3AA90EBC" w14:textId="3EACB645" w:rsidR="00BB4D80" w:rsidRDefault="00BB4D80" w:rsidP="00045ADA">
      <w:pPr>
        <w:pStyle w:val="Heading2"/>
        <w:tabs>
          <w:tab w:val="clear" w:pos="2279"/>
          <w:tab w:val="num" w:pos="2344"/>
        </w:tabs>
        <w:ind w:left="2344"/>
      </w:pPr>
      <w:bookmarkStart w:id="92" w:name="_Toc8821908"/>
      <w:r>
        <w:t>Tabakas izstrādājumi, elektroniskās smēķēšanas ierīces un to uzpildes šķidrumi</w:t>
      </w:r>
      <w:bookmarkEnd w:id="92"/>
    </w:p>
    <w:p w14:paraId="02A71971" w14:textId="77777777" w:rsidR="00BB4D80" w:rsidRPr="0008472F" w:rsidRDefault="00BB4D80" w:rsidP="00BB4D80">
      <w:pPr>
        <w:pStyle w:val="Heading3"/>
        <w:tabs>
          <w:tab w:val="num" w:pos="2552"/>
        </w:tabs>
        <w:ind w:left="1701" w:hanging="77"/>
      </w:pPr>
      <w:bookmarkStart w:id="93" w:name="_Toc8821909"/>
      <w:r w:rsidRPr="0008472F">
        <w:t>Atbildīgās iestādes nosaukums un kontaktinformācija</w:t>
      </w:r>
      <w:bookmarkEnd w:id="93"/>
    </w:p>
    <w:p w14:paraId="00601A54" w14:textId="77777777" w:rsidR="001D2571" w:rsidRDefault="001D2571" w:rsidP="001D2571">
      <w:pPr>
        <w:pStyle w:val="Text3"/>
        <w:ind w:left="0"/>
      </w:pPr>
      <w:r>
        <w:t xml:space="preserve">Veselības inspekcijas kompetencē ir tirgū laisto tabakas izstrādājumu, elektronisko smēķēšanas ierīču un to uzpildes šķidrumu uzraudzība atbilstoši deleģējumam </w:t>
      </w:r>
      <w:r>
        <w:rPr>
          <w:bCs/>
          <w:szCs w:val="24"/>
        </w:rPr>
        <w:t>Tabakas izstrādājumu, augu smēķēšanas produktu, elektronisko smēķēšanas ierīču un to šķidrumu aprites likumā</w:t>
      </w:r>
      <w:r>
        <w:t>.</w:t>
      </w:r>
    </w:p>
    <w:p w14:paraId="01DEABF6" w14:textId="77777777" w:rsidR="001D2571" w:rsidRDefault="001D2571" w:rsidP="001D2571">
      <w:pPr>
        <w:pStyle w:val="Text3"/>
        <w:ind w:left="0"/>
      </w:pPr>
      <w:r>
        <w:t>Veselības inspekcijas adrese: Klijānu ielā 7, Rīgā, LV</w:t>
      </w:r>
      <w:r>
        <w:rPr>
          <w:szCs w:val="24"/>
        </w:rPr>
        <w:t>-</w:t>
      </w:r>
      <w:r>
        <w:t xml:space="preserve">1012, kontakti: e-pasts </w:t>
      </w:r>
      <w:hyperlink r:id="rId31" w:history="1">
        <w:r>
          <w:rPr>
            <w:rStyle w:val="Hyperlink"/>
          </w:rPr>
          <w:t>vi@vi.gov.lv</w:t>
        </w:r>
      </w:hyperlink>
      <w:r>
        <w:t xml:space="preserve">, tālrunis: </w:t>
      </w:r>
      <w:r>
        <w:rPr>
          <w:bCs/>
        </w:rPr>
        <w:t>67081600</w:t>
      </w:r>
      <w:r>
        <w:t>.</w:t>
      </w:r>
    </w:p>
    <w:p w14:paraId="4F89EFFD" w14:textId="52E1965E" w:rsidR="00755963" w:rsidRPr="001221C1" w:rsidRDefault="001D2571" w:rsidP="001D2571">
      <w:pPr>
        <w:pStyle w:val="Text3"/>
        <w:ind w:left="0"/>
      </w:pPr>
      <w:r>
        <w:t>Tabakas izstrādājumu, elektronisko smēķēšanas ierīču un to uzpildes šķidrumu tirgus uzraudzībā un kontrolē iesaistītas 8 amatpersonas, kuras veic arī citu preču grupu (kosmētikas līdzekļu, ķīmisko vielu un maisījumu, biocīdu, mazgāšanas līdzekļu, gaistošo organisko savienojumu saturošo produktu) uzraudzību. Veselības inspekcijai nav laboratorijas. Laboratoriskas pārbaudes veikšanai tiek izmantoti akreditētu laboratoriju pakalpojum</w:t>
      </w:r>
      <w:r w:rsidR="00685171" w:rsidRPr="001221C1">
        <w:t>i</w:t>
      </w:r>
      <w:r w:rsidR="00755963" w:rsidRPr="001221C1">
        <w:t xml:space="preserve">. </w:t>
      </w:r>
    </w:p>
    <w:p w14:paraId="1D972915" w14:textId="77777777" w:rsidR="00BB4D80" w:rsidRPr="0008472F" w:rsidRDefault="00BB4D80" w:rsidP="00BB4D80">
      <w:pPr>
        <w:pStyle w:val="Heading3"/>
        <w:tabs>
          <w:tab w:val="num" w:pos="2552"/>
        </w:tabs>
        <w:ind w:left="1701" w:hanging="77"/>
      </w:pPr>
      <w:bookmarkStart w:id="94" w:name="_Toc8821910"/>
      <w:r w:rsidRPr="0008472F">
        <w:t>Tirgus uzraudzības procedūras un stratēģija</w:t>
      </w:r>
      <w:bookmarkEnd w:id="94"/>
      <w:r w:rsidRPr="0008472F">
        <w:t xml:space="preserve"> </w:t>
      </w:r>
    </w:p>
    <w:p w14:paraId="29E8FD54" w14:textId="645A6DE5" w:rsidR="00CC38B0" w:rsidRDefault="00CC38B0" w:rsidP="00CC38B0">
      <w:pPr>
        <w:pStyle w:val="Text1"/>
        <w:ind w:left="0"/>
      </w:pPr>
      <w:r>
        <w:t xml:space="preserve">Tabakas izstrādājumu, elektronisko smēķēšanas ierīču un to uzpildes šķidrumu tirgus uzraudzības mērķiem Veselības inspekcija ir izstrādājusi un kontrolēs izmanto tipveida </w:t>
      </w:r>
      <w:r>
        <w:lastRenderedPageBreak/>
        <w:t>kontroles lapas, vadlīnijas un uzraudzības procedūras. Veselības inspekcija veic tirgus uzraudzību, proaktīvu kontroli uzņēmumos, kā arī izskata saņemtos iesniegumus.</w:t>
      </w:r>
    </w:p>
    <w:p w14:paraId="66CB9524" w14:textId="6A4B51C9" w:rsidR="00412D18" w:rsidRPr="00D21621" w:rsidRDefault="00CC38B0" w:rsidP="00CC38B0">
      <w:pPr>
        <w:pStyle w:val="Text1"/>
        <w:ind w:left="0"/>
      </w:pPr>
      <w:r>
        <w:t xml:space="preserve">Tabakas izstrādājumu, elektronisko smēķēšanas ierīču un to uzpildes šķidrumu tirgus uzraudzības jomas produkti satur akūti toksisku un spēcīgu atkarību izraisošu vielu nikotīnu un ir atkarību izraisoši. Līdz ar to prioritāte ir </w:t>
      </w:r>
      <w:r>
        <w:rPr>
          <w:szCs w:val="24"/>
        </w:rPr>
        <w:t>kontrolēt nodrošinājumu ar obligātajiem brīdinājumiem par lietošanas negatīvo ietekmi uz patērētāja veselību; nikotīna, darvas un oglekļa monoksīda emisiju līmenim noteikto ierobežojumu ievērošanu cigaretēm; nikotīna koncentrācijas ierobežojumu ievērošanu uzpildes šķidrumiem; bērniem drošas aizdares nodrošinājumu e</w:t>
      </w:r>
      <w:r>
        <w:t>lektronisko cigarešu flakoniem, kas satur toksisku ķīmisku maisījumu ar augstu bīstamību; apzināt informāciju par tirgū ienākošiem jauna veida nikotīnu saturošiem produktiem, kuriem nepieciešams noteikt regulējumu, un sniegt priekšlikumus normatīvo aktu grozījumiem</w:t>
      </w:r>
      <w:r w:rsidR="00412D18">
        <w:t>.</w:t>
      </w:r>
    </w:p>
    <w:p w14:paraId="2B256B62" w14:textId="77777777" w:rsidR="00BB4D80" w:rsidRPr="0008472F" w:rsidRDefault="00BB4D80" w:rsidP="00BB4D80">
      <w:pPr>
        <w:pStyle w:val="Heading3"/>
        <w:tabs>
          <w:tab w:val="num" w:pos="2552"/>
        </w:tabs>
        <w:ind w:left="1701" w:hanging="77"/>
      </w:pPr>
      <w:bookmarkStart w:id="95" w:name="_Toc8821911"/>
      <w:r w:rsidRPr="0008472F">
        <w:t>Ziņojums par darbībām, kas veiktas saskaņā ar iepriekšējo plānošanas periodu</w:t>
      </w:r>
      <w:bookmarkEnd w:id="95"/>
    </w:p>
    <w:p w14:paraId="28EE7EE8" w14:textId="77777777" w:rsidR="00CC38B0" w:rsidRDefault="00CC38B0" w:rsidP="00CC38B0">
      <w:r>
        <w:t>2020. gadā kontrolēti 7 uzņēmumi, kas nodarbojas ar tabakas izstrādājumu tirdzniecību, kopā pārbaudot 61 tabakas izstrādājuma atbilstību normatīvo aktu prasībām, no tiem neatbilstības konstatētas 8 tabakas izstrādājumiem (brīdinājumi par ietekmi uz veselību nav nodrošināti atbilstoši prasībām: nesedz 50% no virsmas; nav izvietoti noteiktajā attālumā; nav drukāti uz divām lielākajām virsmām; nav paziņots izmantotais kombinētā brīdinājuma komplekts). Laboratoriskai nikotīna, darvas un oglekļa monoksīda emisiju līmeņu pārbaudei tika nodoti 30 cigarešu veidi, neatbilstības netika konstatētas.</w:t>
      </w:r>
    </w:p>
    <w:p w14:paraId="60874180" w14:textId="77777777" w:rsidR="00CC38B0" w:rsidRDefault="00CC38B0" w:rsidP="00CC38B0">
      <w:r>
        <w:t>2020. gada laikā kontrolēti 12 uzņēmumi, kas nodarbojas ar elektronisko smēķēšanas ierīču un to uzpildes šķidrumu tirdzniecību, kopumā pārbaudot 216 produktu atbilstību normatīvo aktu prasībām. 9 uzņēmumos konstatēti  94 produkti ar būtiskām neatbilstībām, piemēram, nav norādīti bīstamības apzīmējumi valsts valodā.  Neatbilstības speciālajām prasībām konstatētas 67,6% kontrolēto produktu, neatbilstības galvenokārt attiecas uz informācijas sniegšanu EU-CEG nacionālajā datu repozitorijā. Pārtraukta produktu tirdzniecība, par kuriem nebija iesniegta informācija, vai produkti atradās tirgū pirms atļautā termiņa.</w:t>
      </w:r>
    </w:p>
    <w:p w14:paraId="3FE8C6AF" w14:textId="77777777" w:rsidR="00CC38B0" w:rsidRDefault="00CC38B0" w:rsidP="00CC38B0">
      <w:r>
        <w:t>Laboratoriskai nikotīna daudzuma pārbaudei tika nodoti 24 elektronisko cigarešu uzpildes šķidrumu veidi, neatbilstības netika konstatētas.</w:t>
      </w:r>
    </w:p>
    <w:p w14:paraId="5D67A4A8" w14:textId="601AF2BA" w:rsidR="00BB4D80" w:rsidRDefault="00CC38B0" w:rsidP="00CC38B0">
      <w:pPr>
        <w:pStyle w:val="Text1"/>
        <w:ind w:left="0"/>
      </w:pPr>
      <w:r>
        <w:rPr>
          <w:szCs w:val="24"/>
        </w:rPr>
        <w:t xml:space="preserve">Sniegts atbalsts VID Muitas pārvaldei importēto elektronisko cigarešu kontrolē, izskatot datus par konkrētiem </w:t>
      </w:r>
      <w:r>
        <w:t>sūtījumiem pēc muitas dienestu pieprasījuma un sniedzot atzinumus. Akcijai sākoties, d</w:t>
      </w:r>
      <w:r>
        <w:rPr>
          <w:szCs w:val="24"/>
        </w:rPr>
        <w:t xml:space="preserve">ivu mēnešu laikā </w:t>
      </w:r>
      <w:r>
        <w:t>–</w:t>
      </w:r>
      <w:r>
        <w:rPr>
          <w:szCs w:val="24"/>
        </w:rPr>
        <w:t xml:space="preserve"> novembrī un decembrī, izskatīti dati par 16 sūtījumiem, kuros kopskaitā 19`333 gab. elektroniskās cigaretes deklarētas laišanai brīvā apgrozībā. Veiktās pārbaudes rezultātā sadarbībā ar muitu Latvijā nav ielaistas  3057 likuma prasībām neatbilstošas, tostarp  952 ar neatbilstībām, ko nevar novērst un bīstamas, kurās pieļaujamā nikotīna koncentrācija pārsniegta pat vairāk kā divkārt. Uzraudzības rezultātā izpildot likuma prasības, komersanti iesnieguši informāciju EU-CEG  datu bāzē par 23 importēto elektronisko cigarešu zīmoliem</w:t>
      </w:r>
      <w:r w:rsidR="00BF5833">
        <w:t xml:space="preserve">. </w:t>
      </w:r>
    </w:p>
    <w:p w14:paraId="5832E342" w14:textId="02D943BF" w:rsidR="00BB4F85" w:rsidRDefault="00BB4F85" w:rsidP="00BB4F85">
      <w:pPr>
        <w:pStyle w:val="Heading2"/>
      </w:pPr>
      <w:bookmarkStart w:id="96" w:name="_Toc8821912"/>
      <w:bookmarkStart w:id="97" w:name="_Toc396312781"/>
      <w:r>
        <w:t>Dārgmetālu un dārgakmeņu izstrādājumi</w:t>
      </w:r>
      <w:bookmarkEnd w:id="96"/>
    </w:p>
    <w:p w14:paraId="3345515D" w14:textId="77777777" w:rsidR="00BB4F85" w:rsidRDefault="00BB4F85" w:rsidP="00BB4F85">
      <w:pPr>
        <w:pStyle w:val="Heading3"/>
        <w:tabs>
          <w:tab w:val="num" w:pos="2552"/>
        </w:tabs>
        <w:ind w:left="1701" w:hanging="77"/>
      </w:pPr>
      <w:bookmarkStart w:id="98" w:name="_Toc8821913"/>
      <w:r>
        <w:t>Atbildīgās iestādes nosaukums un kontaktinformācija</w:t>
      </w:r>
      <w:bookmarkEnd w:id="98"/>
    </w:p>
    <w:p w14:paraId="054F3654" w14:textId="77777777" w:rsidR="00BB4F85" w:rsidRDefault="00BB4F85" w:rsidP="00BB4F85">
      <w:pPr>
        <w:autoSpaceDE w:val="0"/>
        <w:autoSpaceDN w:val="0"/>
        <w:adjustRightInd w:val="0"/>
        <w:spacing w:after="0"/>
        <w:rPr>
          <w:szCs w:val="24"/>
        </w:rPr>
      </w:pPr>
      <w:r>
        <w:rPr>
          <w:szCs w:val="24"/>
        </w:rPr>
        <w:t xml:space="preserve">VSIA </w:t>
      </w:r>
      <w:r w:rsidRPr="00BB4F85">
        <w:rPr>
          <w:szCs w:val="24"/>
        </w:rPr>
        <w:t>Latvijas proves birojs</w:t>
      </w:r>
    </w:p>
    <w:p w14:paraId="4AE3EA50" w14:textId="477B9DCB" w:rsidR="00BB4F85" w:rsidRDefault="00BB4F85" w:rsidP="00BB4F85">
      <w:pPr>
        <w:pStyle w:val="Text3"/>
        <w:ind w:left="0"/>
        <w:rPr>
          <w:szCs w:val="24"/>
        </w:rPr>
      </w:pPr>
      <w:r>
        <w:rPr>
          <w:szCs w:val="24"/>
        </w:rPr>
        <w:t xml:space="preserve">Kontaktinformācija: e-pasts: </w:t>
      </w:r>
      <w:hyperlink r:id="rId32" w:history="1">
        <w:r>
          <w:rPr>
            <w:rStyle w:val="Hyperlink"/>
            <w:szCs w:val="24"/>
          </w:rPr>
          <w:t>prove@prove.lv</w:t>
        </w:r>
      </w:hyperlink>
      <w:r>
        <w:rPr>
          <w:szCs w:val="24"/>
        </w:rPr>
        <w:t>. Rīga, Teātra iela 9-2, LV1050</w:t>
      </w:r>
    </w:p>
    <w:p w14:paraId="24A0E8F0" w14:textId="77777777" w:rsidR="00BB4F85" w:rsidRDefault="00BB4F85" w:rsidP="00BB4F85">
      <w:pPr>
        <w:pStyle w:val="Text3"/>
        <w:ind w:left="0"/>
        <w:rPr>
          <w:szCs w:val="24"/>
        </w:rPr>
      </w:pPr>
      <w:r>
        <w:rPr>
          <w:szCs w:val="24"/>
        </w:rPr>
        <w:lastRenderedPageBreak/>
        <w:t>Ar Finanšu ministriju noslēgts Pārvaldes uzdevumu deleģēšanas līgums, kas ietver dārgmetālu un dārgakmeņu izstrādājumu kausējumu sastāva novērtēšanu attiecībā uz atbilstību preču drošuma prasībām kā arī pārbaužu veikšanu vietās, kur tiek veikta saimnieciskā darbība ar dārgmetāliem, dārgakmeņiem un to izstrādājumiem.</w:t>
      </w:r>
    </w:p>
    <w:p w14:paraId="4C150BEA" w14:textId="77777777" w:rsidR="00BB4F85" w:rsidRDefault="00BB4F85" w:rsidP="00BB4F85">
      <w:pPr>
        <w:pStyle w:val="Text3"/>
        <w:ind w:left="0"/>
      </w:pPr>
      <w:r>
        <w:rPr>
          <w:szCs w:val="24"/>
        </w:rPr>
        <w:t>VSIA “Latvijas Proves birojs” (turpmāk Birojs) rīcībā ir testēšanas laboratorija, dārgmetālu un dārgakmeņu tirgus uzraudzību pastāvīgi veic viens darbinieks.</w:t>
      </w:r>
    </w:p>
    <w:p w14:paraId="5E76E9D8" w14:textId="77777777" w:rsidR="00BB4F85" w:rsidRDefault="00BB4F85" w:rsidP="00BB4F85">
      <w:pPr>
        <w:pStyle w:val="Heading3"/>
        <w:tabs>
          <w:tab w:val="num" w:pos="2552"/>
        </w:tabs>
        <w:ind w:left="1701" w:hanging="77"/>
      </w:pPr>
      <w:bookmarkStart w:id="99" w:name="_Toc8821914"/>
      <w:r>
        <w:t>Tirgus uzraudzības procedūras un stratēģija</w:t>
      </w:r>
      <w:bookmarkEnd w:id="99"/>
      <w:r>
        <w:t xml:space="preserve"> </w:t>
      </w:r>
    </w:p>
    <w:p w14:paraId="12F5FB82" w14:textId="3C10C83C" w:rsidR="00BB4F85" w:rsidRDefault="00BB4F85" w:rsidP="00BB4F85">
      <w:pPr>
        <w:pStyle w:val="Text1"/>
        <w:ind w:left="0"/>
      </w:pPr>
      <w:r>
        <w:t>Dārgmetālu un dārgakmeņu tirgus uzraudzības pamatvirzieni ir saimnieciskās darbības veikšanas vietu reģistrācija un aktīvā kontrole šajās vietās saskaņā ar risku novērtēšanu. Biroja darbinieki veic potenciāli bīstamo izstrādājumu atlasi saimnieciskās darbības veikšanas vietās to nogādāšanai uz laboratoriju testēšanai. Konstatējot pārkāpumus, Birojs</w:t>
      </w:r>
      <w:r w:rsidR="00EB33DD">
        <w:t xml:space="preserve"> materiālus par veikto pārbaudi nosūta Valsts ieņēmumu dienestam administratīvā pārkāpuma procesa uzsākšanai</w:t>
      </w:r>
      <w:r>
        <w:t>.</w:t>
      </w:r>
    </w:p>
    <w:p w14:paraId="01BE5D42" w14:textId="77777777" w:rsidR="00BB4F85" w:rsidRDefault="00BB4F85" w:rsidP="00BB4F85">
      <w:pPr>
        <w:pStyle w:val="Text1"/>
        <w:ind w:left="0"/>
      </w:pPr>
      <w:r>
        <w:t>Dārgmetālu un dārgakmeņu izstrādājumiem pirms to laišanas brīvam apgrozījumam Latvijā jābūt provētiem un zīmogotiem kompetentā un neatkarīgā EEZ, Šveices konfederācijas vai Turcijas proves iestādē. Dārgmetālu un dārgakmeņu izstrādājumus, kurus saimnieciskās darbības veicēji iesniedz pārbaudei Birojā, atbilstoši pārbauda arī to atbilstībai preču drošuma prasībām. Konstatējot neatbilstību preču drošumam, saimnieciskās darbības veicēji tiek informēti par aizliegumu laist šādas preces brīvam apgrozījumam ES teritorijā. Birojs pastāvīgi analizē informāciju par testēšanai nodotajiem preču drošumam neatbilstošajiem izstrādājumiem un to piegādātājiem un atbilstoši iegūtai informācijai veido tirgus uzraudzības plānus</w:t>
      </w:r>
    </w:p>
    <w:p w14:paraId="7F0C54D6" w14:textId="77777777" w:rsidR="00BB4F85" w:rsidRDefault="00BB4F85" w:rsidP="00BB4F85">
      <w:pPr>
        <w:pStyle w:val="Heading3"/>
        <w:tabs>
          <w:tab w:val="num" w:pos="2552"/>
        </w:tabs>
        <w:ind w:left="1701" w:hanging="77"/>
      </w:pPr>
      <w:bookmarkStart w:id="100" w:name="_Toc8821915"/>
      <w:r>
        <w:t>Ziņojums par darbībām, kas veiktas saskaņā ar iepriekšējo plānošanas periodu</w:t>
      </w:r>
      <w:bookmarkEnd w:id="100"/>
    </w:p>
    <w:p w14:paraId="0148B0B4" w14:textId="77777777" w:rsidR="00EB33DD" w:rsidRDefault="00EB33DD" w:rsidP="00EB33DD">
      <w:pPr>
        <w:pStyle w:val="Text1"/>
        <w:ind w:left="0"/>
      </w:pPr>
      <w:r>
        <w:t>Birojs 2020. gadā ir caurskatījis 632,3 tūkst. dārgmetālu un dārgakmeņu izstrādājumus. 37,8 tūkst. izstrādājumi pārbaudīti to atbilstībai preču drošuma prasībām. 805 izstrādājumi atzīti par neatbilstošiem.</w:t>
      </w:r>
    </w:p>
    <w:p w14:paraId="5FBFE471" w14:textId="562AF78B" w:rsidR="00BB4F85" w:rsidRDefault="00EB33DD" w:rsidP="00EB33DD">
      <w:pPr>
        <w:pStyle w:val="Text1"/>
        <w:ind w:left="0"/>
      </w:pPr>
      <w:r>
        <w:t>2020. gadā Birojs veicis 140 pārbaudes un konsultācijas saimnieciskās darbības veikšanas vietās. No tām 92 pārbaudes veiktas Rīgā, 48 pārbaudes veiktas ārpus Rīgas. Administratīvo pārkāpumu lietvedība par likuma “Par valsts proves uzraudzību” un ar to saistīto normatīvo aktu pārkāpumiem uzsākta 8 gadījumos. Pārbaužu gaitā nav konstatēti izstrādājumi</w:t>
      </w:r>
      <w:r w:rsidR="00BB4F85">
        <w:t>, kuri neatbilst preču drošuma prasībām.</w:t>
      </w:r>
    </w:p>
    <w:p w14:paraId="4E86422D" w14:textId="77777777" w:rsidR="00BB4F85" w:rsidRDefault="00BB4F85" w:rsidP="00BB4F85">
      <w:pPr>
        <w:pStyle w:val="Text1"/>
        <w:ind w:left="0"/>
      </w:pPr>
    </w:p>
    <w:p w14:paraId="296C8D87" w14:textId="01EC4280" w:rsidR="00340804" w:rsidRPr="00340804" w:rsidRDefault="00340804" w:rsidP="00340804">
      <w:pPr>
        <w:pStyle w:val="Heading2"/>
      </w:pPr>
      <w:bookmarkStart w:id="101" w:name="_Toc8821916"/>
      <w:r w:rsidRPr="00340804">
        <w:t>Degviela</w:t>
      </w:r>
      <w:bookmarkEnd w:id="97"/>
      <w:bookmarkEnd w:id="101"/>
    </w:p>
    <w:p w14:paraId="447E3202" w14:textId="77777777" w:rsidR="00340804" w:rsidRPr="00340804" w:rsidRDefault="00340804" w:rsidP="00340804">
      <w:pPr>
        <w:pStyle w:val="Text1"/>
        <w:numPr>
          <w:ilvl w:val="2"/>
          <w:numId w:val="3"/>
        </w:numPr>
        <w:ind w:left="2410" w:hanging="850"/>
        <w:rPr>
          <w:i/>
        </w:rPr>
      </w:pPr>
      <w:r w:rsidRPr="00340804">
        <w:rPr>
          <w:i/>
        </w:rPr>
        <w:t>Atbildīgās iestādes nosaukums un kontaktinformācija</w:t>
      </w:r>
    </w:p>
    <w:p w14:paraId="1A90D38C" w14:textId="29CC8329" w:rsidR="00386B41" w:rsidRPr="00C31517" w:rsidRDefault="00386B41" w:rsidP="00386B41">
      <w:pPr>
        <w:pStyle w:val="Text1"/>
        <w:spacing w:after="120"/>
        <w:ind w:left="0"/>
        <w:rPr>
          <w:szCs w:val="24"/>
        </w:rPr>
      </w:pPr>
      <w:r w:rsidRPr="00C31517">
        <w:rPr>
          <w:szCs w:val="24"/>
        </w:rPr>
        <w:t>Saskaņā ar Ministru kabineta 2000.</w:t>
      </w:r>
      <w:r>
        <w:rPr>
          <w:szCs w:val="24"/>
        </w:rPr>
        <w:t> </w:t>
      </w:r>
      <w:r w:rsidRPr="00C31517">
        <w:rPr>
          <w:szCs w:val="24"/>
        </w:rPr>
        <w:t>gada 26.</w:t>
      </w:r>
      <w:r>
        <w:rPr>
          <w:szCs w:val="24"/>
        </w:rPr>
        <w:t> </w:t>
      </w:r>
      <w:r w:rsidRPr="00C31517">
        <w:rPr>
          <w:szCs w:val="24"/>
        </w:rPr>
        <w:t>septembra noteikumu Nr.</w:t>
      </w:r>
      <w:r>
        <w:rPr>
          <w:szCs w:val="24"/>
        </w:rPr>
        <w:t> </w:t>
      </w:r>
      <w:r w:rsidRPr="00C31517">
        <w:rPr>
          <w:szCs w:val="24"/>
        </w:rPr>
        <w:t xml:space="preserve">332 “Noteikumi par benzīna un dīzeļdegvielas atbilstības novērtēšanu” 15. punktu, degvielas tirgus uzraudzību ar 2020. gada 1. janvāri pārņēma Būvniecības valsts kontroles birojs (turpmāk – Birojs). Birojs, organizējot ikgadējo degvielas kvalitātes monitoringu, ievēro standartā LVS EN 14274:2013 “Automobiļu degvielas. Benzīna un dīzeļdegvielas kvalitātes novērtēšana. Degvielas kvalitātes monitoringa sistēma (FQMS)” ietvertās prasības. Degvielas paraugu testēšanu veic akreditētā atbilstības novērtēšanas institūcijā, ievērojot testēšanas metodes, kas noteiktas standartos LVS EN 228+A1:2017 “Automobiļu </w:t>
      </w:r>
      <w:r w:rsidRPr="00C31517">
        <w:rPr>
          <w:szCs w:val="24"/>
        </w:rPr>
        <w:lastRenderedPageBreak/>
        <w:t>degvielas. Bezsvina benzīns. Prasības un testa metodes”, LVS EN 590+A1:2017 “Automobiļu degvielas. Dīzeļdegviela. Prasības un testēšanas metodes” un LVS EN 16640:2017 “Bioloģiskas izcelsmes produkti. Bioloģiskas izcelsmes oglekļa saturs. Bioloģiskas izcelsmes oglekļa satura noteikšana ar radioaktīvā oglekļa metodi”.</w:t>
      </w:r>
    </w:p>
    <w:p w14:paraId="41106CF0" w14:textId="77777777" w:rsidR="00386B41" w:rsidRPr="00C31517" w:rsidRDefault="00386B41" w:rsidP="00386B41">
      <w:pPr>
        <w:pStyle w:val="Text1"/>
        <w:spacing w:after="120"/>
        <w:ind w:left="0"/>
        <w:rPr>
          <w:szCs w:val="24"/>
        </w:rPr>
      </w:pPr>
      <w:r w:rsidRPr="00C31517">
        <w:rPr>
          <w:szCs w:val="24"/>
        </w:rPr>
        <w:t xml:space="preserve">Būvniecības valsts kontroles biroja adrese: K.Valdemāra iela 157, Rīga, LV – 1013, kontakti: e-pasts: </w:t>
      </w:r>
      <w:hyperlink r:id="rId33" w:history="1">
        <w:r w:rsidRPr="00C31517">
          <w:rPr>
            <w:rStyle w:val="Hyperlink"/>
            <w:szCs w:val="24"/>
          </w:rPr>
          <w:t>pasts@bvkb.gov.lv</w:t>
        </w:r>
      </w:hyperlink>
      <w:r w:rsidRPr="00C31517">
        <w:rPr>
          <w:szCs w:val="24"/>
        </w:rPr>
        <w:t>; tālrunis: 67013302.</w:t>
      </w:r>
    </w:p>
    <w:p w14:paraId="2E300D2E" w14:textId="6191D5D4" w:rsidR="00386B41" w:rsidRPr="00C31517" w:rsidRDefault="00386B41" w:rsidP="00386B41">
      <w:pPr>
        <w:pStyle w:val="Text1"/>
        <w:spacing w:after="120"/>
        <w:ind w:left="0"/>
        <w:rPr>
          <w:szCs w:val="24"/>
        </w:rPr>
      </w:pPr>
      <w:r w:rsidRPr="00C31517">
        <w:rPr>
          <w:szCs w:val="24"/>
        </w:rPr>
        <w:t>Lai nodrošinātu degvielas tirgus uzraudzības pasākumus, Birojs 2020.</w:t>
      </w:r>
      <w:r>
        <w:rPr>
          <w:szCs w:val="24"/>
        </w:rPr>
        <w:t> </w:t>
      </w:r>
      <w:r w:rsidRPr="00C31517">
        <w:rPr>
          <w:szCs w:val="24"/>
        </w:rPr>
        <w:t>gadā publiskā iepirkuma procedūras ietvaros noslē</w:t>
      </w:r>
      <w:r>
        <w:rPr>
          <w:szCs w:val="24"/>
        </w:rPr>
        <w:t>dza</w:t>
      </w:r>
      <w:r w:rsidRPr="00C31517">
        <w:rPr>
          <w:szCs w:val="24"/>
        </w:rPr>
        <w:t xml:space="preserve"> līgum</w:t>
      </w:r>
      <w:r>
        <w:rPr>
          <w:szCs w:val="24"/>
        </w:rPr>
        <w:t>u</w:t>
      </w:r>
      <w:r w:rsidRPr="00C31517">
        <w:rPr>
          <w:szCs w:val="24"/>
        </w:rPr>
        <w:t xml:space="preserve"> ar akreditētu atbilstības novērtēšanas institūciju par degvielas paraugu noņemšanu, testēšanu un atbilstības sertifikātu izdošanu. </w:t>
      </w:r>
    </w:p>
    <w:p w14:paraId="16D96B2E" w14:textId="32C50B8B" w:rsidR="00340804" w:rsidRPr="00340804" w:rsidRDefault="00386B41" w:rsidP="00386B41">
      <w:pPr>
        <w:pStyle w:val="Text1"/>
        <w:ind w:left="0"/>
      </w:pPr>
      <w:r w:rsidRPr="00C31517">
        <w:rPr>
          <w:szCs w:val="24"/>
        </w:rPr>
        <w:t>Biroja Energoresursu kontroles departamenta Naftas produktu kontroles nodaļā ir izveidotas 6 amata štata vietas, neizdalot konkrētu nodarbināto, kura vienīgie amata pienākumi ir saistīti ar degvielas tirgus uzraudzības funkciju. Kopējais finansējums funkcijas īstenošanai 2020. gadā bija 366 264 euro (t.sk., atalgojums, degvielas paraugu noņemšana un testēšana (ārpakalpojuma izmaksu segšana) un citi ar funkcijas īstenošanu saistītie izdevumi)</w:t>
      </w:r>
      <w:r w:rsidR="00340804" w:rsidRPr="00340804">
        <w:t xml:space="preserve">. </w:t>
      </w:r>
    </w:p>
    <w:p w14:paraId="2DF18340" w14:textId="77777777" w:rsidR="00340804" w:rsidRPr="00340804" w:rsidRDefault="00340804" w:rsidP="00340804">
      <w:pPr>
        <w:pStyle w:val="Text1"/>
        <w:ind w:left="0"/>
      </w:pPr>
    </w:p>
    <w:p w14:paraId="2545094A" w14:textId="77777777" w:rsidR="00340804" w:rsidRPr="00340804" w:rsidRDefault="00340804" w:rsidP="00340804">
      <w:pPr>
        <w:pStyle w:val="Text1"/>
        <w:numPr>
          <w:ilvl w:val="2"/>
          <w:numId w:val="3"/>
        </w:numPr>
        <w:ind w:left="0" w:firstLine="1560"/>
        <w:rPr>
          <w:i/>
        </w:rPr>
      </w:pPr>
      <w:bookmarkStart w:id="102" w:name="_Toc396312783"/>
      <w:r w:rsidRPr="00340804">
        <w:rPr>
          <w:i/>
        </w:rPr>
        <w:t>Tirgus uzraudzības procedūras un stratēģija</w:t>
      </w:r>
      <w:bookmarkEnd w:id="102"/>
      <w:r w:rsidRPr="00340804">
        <w:rPr>
          <w:i/>
        </w:rPr>
        <w:t xml:space="preserve"> </w:t>
      </w:r>
    </w:p>
    <w:p w14:paraId="1559C483" w14:textId="77777777" w:rsidR="00386B41" w:rsidRPr="00C31517" w:rsidRDefault="00386B41" w:rsidP="00386B41">
      <w:pPr>
        <w:spacing w:after="120"/>
        <w:ind w:firstLine="720"/>
        <w:rPr>
          <w:szCs w:val="24"/>
        </w:rPr>
      </w:pPr>
      <w:r w:rsidRPr="00C31517">
        <w:rPr>
          <w:szCs w:val="24"/>
        </w:rPr>
        <w:t>Degvielas tirgus uzraudzība sevī ietver šādas darbības:</w:t>
      </w:r>
    </w:p>
    <w:p w14:paraId="2FD49B93" w14:textId="77777777" w:rsidR="00386B41" w:rsidRPr="00C31517" w:rsidRDefault="00386B41" w:rsidP="00386B41">
      <w:pPr>
        <w:spacing w:after="120"/>
        <w:ind w:firstLine="720"/>
        <w:rPr>
          <w:szCs w:val="24"/>
        </w:rPr>
      </w:pPr>
      <w:r w:rsidRPr="00C31517">
        <w:rPr>
          <w:szCs w:val="24"/>
        </w:rPr>
        <w:t>1)           Degvielas paraugu ievākšana un testēšana akreditētā laboratorijā.</w:t>
      </w:r>
    </w:p>
    <w:p w14:paraId="0A6122E8" w14:textId="3D5731ED" w:rsidR="00386B41" w:rsidRPr="00C31517" w:rsidRDefault="00386B41" w:rsidP="00386B41">
      <w:pPr>
        <w:spacing w:after="120"/>
        <w:ind w:firstLine="720"/>
        <w:rPr>
          <w:szCs w:val="24"/>
        </w:rPr>
      </w:pPr>
      <w:r w:rsidRPr="00C31517">
        <w:rPr>
          <w:szCs w:val="24"/>
        </w:rPr>
        <w:t>Degvielas paraugu atlasē ievēro standartā LVS EN 14275:2013 “Automobiļu degvielas. Benzīna un dīzeļdegvielas kvalitātes novērtēšana. Paraugu ņemšana no mazumtirdzniecības vietu sūkņiem un vairumtirdzniecības vietu degvielas uzpildes automātiem” (turpmāk – standarts EN 14275) ietvertās prasības. Ņemot vērā, ka līdz 2020.</w:t>
      </w:r>
      <w:r>
        <w:rPr>
          <w:szCs w:val="24"/>
        </w:rPr>
        <w:t> </w:t>
      </w:r>
      <w:r w:rsidRPr="00C31517">
        <w:rPr>
          <w:szCs w:val="24"/>
        </w:rPr>
        <w:t xml:space="preserve">gadam Latvijā tika izmantota nacionāli akreditētā sistēma degvielas paraugu noņemšanai un testēšanai, tad 2020. gadā Birojs, lai nodrošinātu atbilstību standarta NE 14275 prasībām, pieņēma lēmumu, ka katru gadu tiks noņemti un testēti 300 degvielas paraugi (nodrošinot degvielas marku proporcionalitāti, teritoriālo pārklājumu un sezonalitātes ievērošanu), kas atbilst standarta EN 14275  C modelim. </w:t>
      </w:r>
    </w:p>
    <w:p w14:paraId="4B84E337" w14:textId="77777777" w:rsidR="00386B41" w:rsidRPr="00C31517" w:rsidRDefault="00386B41" w:rsidP="00386B41">
      <w:pPr>
        <w:spacing w:after="120"/>
        <w:ind w:firstLine="720"/>
        <w:rPr>
          <w:szCs w:val="24"/>
        </w:rPr>
      </w:pPr>
      <w:r w:rsidRPr="00C31517">
        <w:rPr>
          <w:szCs w:val="24"/>
        </w:rPr>
        <w:t xml:space="preserve">Birojs ir izveidojis datu bāzi MS Excel formātā, kurā iekļautas visas Latvijas Republikā reģistrētās degvielas uzpildes stacijas, piešķirot katrai no degvielas stacijām savu unikālo identifikācijas numuru. Lai nodrošināt standartā EN 14275 noteikto pamatprincipu ievērošanu, ikgadējam degvielas kvalitātes monitoringam degvielas uzpildes stacijas tika atlasītas, izmantojot RANDOM funkciju, tas ir, nejauši. Iepriekš minētā datu bāze tiks aktualizēta reizi gadā. </w:t>
      </w:r>
    </w:p>
    <w:p w14:paraId="440D9304" w14:textId="77777777" w:rsidR="00386B41" w:rsidRPr="00C31517" w:rsidRDefault="00386B41" w:rsidP="00386B41">
      <w:pPr>
        <w:spacing w:after="120"/>
        <w:ind w:firstLine="720"/>
        <w:rPr>
          <w:szCs w:val="24"/>
        </w:rPr>
      </w:pPr>
      <w:r w:rsidRPr="00C31517">
        <w:rPr>
          <w:szCs w:val="24"/>
        </w:rPr>
        <w:t>Ja tiek konstatēts, ka degvielas kvalitāte neatbilst noteiktajiem kvalitātes kritērijiem, Birojs aicina konkrētās degvielas uzpildes stacijas pārstāvi sniegt skaidrojumus, lai pieņemtu lēmumus par lietas turpmāko virzību saskaņā ar normatīvajos aktos noteiktajām prasībām.</w:t>
      </w:r>
    </w:p>
    <w:p w14:paraId="57CDD8B8" w14:textId="77777777" w:rsidR="00386B41" w:rsidRPr="00C31517" w:rsidRDefault="00386B41" w:rsidP="00386B41">
      <w:pPr>
        <w:spacing w:after="120"/>
        <w:ind w:firstLine="720"/>
        <w:rPr>
          <w:szCs w:val="24"/>
        </w:rPr>
      </w:pPr>
      <w:r w:rsidRPr="00C31517">
        <w:rPr>
          <w:szCs w:val="24"/>
        </w:rPr>
        <w:t>2) Papildus informē Valsts ieņēmumu dienestu par konstatētajām neatbilstībām.</w:t>
      </w:r>
    </w:p>
    <w:p w14:paraId="0EFFE3A3" w14:textId="77777777" w:rsidR="00386B41" w:rsidRPr="00C31517" w:rsidRDefault="00386B41" w:rsidP="00386B41">
      <w:pPr>
        <w:spacing w:after="120"/>
        <w:ind w:firstLine="720"/>
        <w:rPr>
          <w:szCs w:val="24"/>
        </w:rPr>
      </w:pPr>
      <w:r w:rsidRPr="00C31517">
        <w:rPr>
          <w:szCs w:val="24"/>
        </w:rPr>
        <w:t>3)  Degvielas kvalitātes gala ziņojuma sagatavošana un iesniegšana Eiropas Komisijā:</w:t>
      </w:r>
    </w:p>
    <w:p w14:paraId="09CCA10F" w14:textId="77777777" w:rsidR="00386B41" w:rsidRPr="00C31517" w:rsidRDefault="00386B41" w:rsidP="00386B41">
      <w:pPr>
        <w:spacing w:after="120"/>
        <w:ind w:right="84" w:firstLine="720"/>
        <w:contextualSpacing/>
        <w:rPr>
          <w:szCs w:val="24"/>
        </w:rPr>
      </w:pPr>
      <w:r w:rsidRPr="00C31517">
        <w:rPr>
          <w:szCs w:val="24"/>
        </w:rPr>
        <w:t xml:space="preserve">Birojs iesniedz Eiropas Komisijai ikgadējo Latvijas Republikas degvielas kvalitātes monitoringa ziņojumu, ievērojot standarta EN 14275 pielikumā pievienoto veidlapas formu. Gala ziņojums tiek ievietots Eiropas Vides aģentūras tīmekļa vietnē: </w:t>
      </w:r>
      <w:hyperlink r:id="rId34" w:history="1">
        <w:r w:rsidRPr="00C31517">
          <w:rPr>
            <w:rStyle w:val="Hyperlink"/>
            <w:szCs w:val="24"/>
          </w:rPr>
          <w:t>http://cdr.eionet.europa.eu/lv/eu/fqd/art8_1/envx0dalw</w:t>
        </w:r>
      </w:hyperlink>
      <w:r w:rsidRPr="00C31517">
        <w:rPr>
          <w:szCs w:val="24"/>
        </w:rPr>
        <w:t xml:space="preserve">. Iepriekš minētā gala ziņojuma </w:t>
      </w:r>
      <w:r w:rsidRPr="00C31517">
        <w:rPr>
          <w:szCs w:val="24"/>
        </w:rPr>
        <w:lastRenderedPageBreak/>
        <w:t xml:space="preserve">sagatavošanai nepieciešamo informāciju Birojam iesniedza Valsts ieņēmumu dienests, kurš 2019. gadā veica degvielas tirgus uzraudzības funkcijas.  </w:t>
      </w:r>
    </w:p>
    <w:p w14:paraId="0FDD08E7" w14:textId="0A4B82CF" w:rsidR="00340804" w:rsidRDefault="00386B41" w:rsidP="00386B41">
      <w:pPr>
        <w:pStyle w:val="Text1"/>
        <w:ind w:left="0"/>
      </w:pPr>
      <w:r w:rsidRPr="00C31517">
        <w:rPr>
          <w:szCs w:val="24"/>
        </w:rPr>
        <w:t>Birojs ir apstiprinājis iekšējos noteikumus “Degvielas paraugu ņemšanas un testēšanas kārtība”</w:t>
      </w:r>
      <w:r w:rsidR="00340804">
        <w:t>.</w:t>
      </w:r>
    </w:p>
    <w:p w14:paraId="3D82BE49" w14:textId="77777777" w:rsidR="00550C17" w:rsidRPr="0008472F" w:rsidRDefault="00550C17" w:rsidP="00550C17">
      <w:pPr>
        <w:pStyle w:val="Heading3"/>
        <w:numPr>
          <w:ilvl w:val="0"/>
          <w:numId w:val="0"/>
        </w:numPr>
        <w:tabs>
          <w:tab w:val="num" w:pos="2552"/>
        </w:tabs>
        <w:ind w:left="1997" w:hanging="720"/>
      </w:pPr>
      <w:r>
        <w:t>2.36.3. </w:t>
      </w:r>
      <w:r w:rsidRPr="0008472F">
        <w:t>Ziņojums par darbībām, kas veiktas saskaņā ar iepriekšējo plānošanas periodu</w:t>
      </w:r>
    </w:p>
    <w:p w14:paraId="47A449E3" w14:textId="77777777" w:rsidR="00386B41" w:rsidRPr="00C31517" w:rsidRDefault="00386B41" w:rsidP="00386B41">
      <w:pPr>
        <w:pStyle w:val="Text1"/>
        <w:spacing w:after="120"/>
        <w:ind w:left="0" w:firstLine="720"/>
        <w:rPr>
          <w:szCs w:val="24"/>
          <w:shd w:val="clear" w:color="auto" w:fill="FFFFFF"/>
        </w:rPr>
      </w:pPr>
      <w:r w:rsidRPr="00C31517">
        <w:rPr>
          <w:color w:val="000000"/>
          <w:szCs w:val="24"/>
          <w:shd w:val="clear" w:color="auto" w:fill="FFFFFF"/>
        </w:rPr>
        <w:t xml:space="preserve">Birojs pārskata periodā ir atlasījis un testējis 129 degvielas paraugus degvielas kvalitātes pārbaudei (48 dīzeļdegvielas un 81 benzīna paraugus). </w:t>
      </w:r>
    </w:p>
    <w:p w14:paraId="5C8D52D8" w14:textId="34B01B2F" w:rsidR="00386B41" w:rsidRDefault="00386B41" w:rsidP="00386B41">
      <w:pPr>
        <w:spacing w:after="120"/>
        <w:ind w:firstLine="720"/>
        <w:rPr>
          <w:szCs w:val="24"/>
        </w:rPr>
      </w:pPr>
      <w:r w:rsidRPr="00C31517">
        <w:rPr>
          <w:szCs w:val="24"/>
        </w:rPr>
        <w:t>Degvielas paraugu noņemšana un testēšana uzsākās 2020.</w:t>
      </w:r>
      <w:r>
        <w:rPr>
          <w:szCs w:val="24"/>
        </w:rPr>
        <w:t> </w:t>
      </w:r>
      <w:r w:rsidRPr="00C31517">
        <w:rPr>
          <w:szCs w:val="24"/>
        </w:rPr>
        <w:t xml:space="preserve">gada novembrī, kuru organizēja Birojs, pieaicinot akreditētas atbilstības novērtēšanas institūciju, kuras darbinieki ne tikai nodrošināja degvielas paraugu noņemšanu saskaņā ar standartā EN 14275 noteiktajām prasībām, bet arī  sagatavoja 129 atbilstības sertifikātus un testēšanas pārskatus. Degvielas paraugu </w:t>
      </w:r>
      <w:r>
        <w:rPr>
          <w:szCs w:val="24"/>
        </w:rPr>
        <w:t>noņemšanas</w:t>
      </w:r>
      <w:r w:rsidRPr="00C31517">
        <w:rPr>
          <w:szCs w:val="24"/>
        </w:rPr>
        <w:t xml:space="preserve"> laikā Biroja pārstāvji pārbauda degvielas atbilstības apliecinošos dokumentus un sastāda aktu saskaņā ar Biroja iekšējos noteikumos noteikto</w:t>
      </w:r>
      <w:r>
        <w:rPr>
          <w:szCs w:val="24"/>
        </w:rPr>
        <w:t xml:space="preserve"> kārtību.</w:t>
      </w:r>
    </w:p>
    <w:p w14:paraId="751B907B" w14:textId="588AB6A2" w:rsidR="00550C17" w:rsidRPr="00386B41" w:rsidRDefault="00386B41" w:rsidP="00386B41">
      <w:pPr>
        <w:spacing w:after="120"/>
        <w:ind w:firstLine="720"/>
        <w:rPr>
          <w:szCs w:val="24"/>
        </w:rPr>
      </w:pPr>
      <w:r w:rsidRPr="00C31517">
        <w:rPr>
          <w:color w:val="000000"/>
          <w:szCs w:val="24"/>
          <w:shd w:val="clear" w:color="auto" w:fill="FFFFFF"/>
        </w:rPr>
        <w:t xml:space="preserve">Neatbilstošas kvalitātes degviela </w:t>
      </w:r>
      <w:r>
        <w:rPr>
          <w:color w:val="000000"/>
          <w:szCs w:val="24"/>
          <w:shd w:val="clear" w:color="auto" w:fill="FFFFFF"/>
        </w:rPr>
        <w:t xml:space="preserve">tika </w:t>
      </w:r>
      <w:r w:rsidRPr="00C31517">
        <w:rPr>
          <w:color w:val="000000"/>
          <w:szCs w:val="24"/>
          <w:shd w:val="clear" w:color="auto" w:fill="FFFFFF"/>
        </w:rPr>
        <w:t>konstatēta trīs gadījumos</w:t>
      </w:r>
      <w:r>
        <w:rPr>
          <w:color w:val="000000"/>
          <w:szCs w:val="24"/>
          <w:shd w:val="clear" w:color="auto" w:fill="FFFFFF"/>
        </w:rPr>
        <w:t xml:space="preserve">, </w:t>
      </w:r>
      <w:r w:rsidRPr="00C31517">
        <w:rPr>
          <w:color w:val="000000"/>
          <w:szCs w:val="24"/>
          <w:shd w:val="clear" w:color="auto" w:fill="FFFFFF"/>
        </w:rPr>
        <w:t xml:space="preserve">uzsākta </w:t>
      </w:r>
      <w:r>
        <w:rPr>
          <w:color w:val="000000"/>
          <w:szCs w:val="24"/>
          <w:shd w:val="clear" w:color="auto" w:fill="FFFFFF"/>
        </w:rPr>
        <w:t>lietas apstākļu noskaidrošana.</w:t>
      </w:r>
      <w:r w:rsidRPr="00C31517">
        <w:rPr>
          <w:color w:val="000000"/>
          <w:szCs w:val="24"/>
          <w:shd w:val="clear" w:color="auto" w:fill="FFFFFF"/>
        </w:rPr>
        <w:t xml:space="preserve"> </w:t>
      </w:r>
      <w:r>
        <w:rPr>
          <w:color w:val="000000"/>
          <w:szCs w:val="24"/>
          <w:shd w:val="clear" w:color="auto" w:fill="FFFFFF"/>
        </w:rPr>
        <w:t xml:space="preserve">Tā kā tika konstatēts, ka šajos gadījumos degviela neatbilda </w:t>
      </w:r>
      <w:r w:rsidRPr="00C31517">
        <w:rPr>
          <w:color w:val="000000"/>
          <w:szCs w:val="24"/>
          <w:shd w:val="clear" w:color="auto" w:fill="FFFFFF"/>
        </w:rPr>
        <w:t xml:space="preserve">Ministru kabineta 2000. gada 26. septembra noteikumu Nr. 332 “Noteikumi par benzīna un dīzeļdegvielas atbilstības novērtēšanu” </w:t>
      </w:r>
      <w:r>
        <w:rPr>
          <w:color w:val="000000"/>
          <w:szCs w:val="24"/>
          <w:shd w:val="clear" w:color="auto" w:fill="FFFFFF"/>
        </w:rPr>
        <w:t>prasībām, attiecīgajam degvielas īpašniekam vai valdītājam ir pienākums segt Birojam ar degvielas kvalitātes uzraudzību saistītos izdevumus</w:t>
      </w:r>
      <w:r w:rsidR="00550C17">
        <w:t xml:space="preserve">. </w:t>
      </w:r>
    </w:p>
    <w:p w14:paraId="6B89913A" w14:textId="77777777" w:rsidR="003B0E34" w:rsidRDefault="003B0E34" w:rsidP="00550C17">
      <w:pPr>
        <w:spacing w:after="0"/>
        <w:jc w:val="left"/>
        <w:rPr>
          <w:b/>
          <w:caps/>
          <w:sz w:val="32"/>
        </w:rPr>
      </w:pPr>
      <w:r>
        <w:br w:type="page"/>
      </w:r>
    </w:p>
    <w:p w14:paraId="4107E729" w14:textId="090A4F1C" w:rsidR="00F814BC" w:rsidRPr="0008472F" w:rsidRDefault="00AA084C" w:rsidP="00BB4D80">
      <w:pPr>
        <w:pStyle w:val="Releasable"/>
        <w:jc w:val="both"/>
      </w:pPr>
      <w:r w:rsidRPr="0008472F">
        <w:lastRenderedPageBreak/>
        <w:t>PIELIKUMS.</w:t>
      </w:r>
      <w:r w:rsidR="007C39AF" w:rsidRPr="0008472F">
        <w:t xml:space="preserve"> </w:t>
      </w:r>
      <w:r w:rsidRPr="0008472F">
        <w:t>NOZARU RAŽOJUMU ATSAUCES SARAKSTS</w:t>
      </w:r>
    </w:p>
    <w:p w14:paraId="673BE53C" w14:textId="77777777" w:rsidR="00367AF3" w:rsidRPr="0008472F" w:rsidRDefault="00367AF3" w:rsidP="00367AF3">
      <w:pPr>
        <w:pStyle w:val="Releasable"/>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2"/>
        <w:gridCol w:w="4296"/>
      </w:tblGrid>
      <w:tr w:rsidR="00AF24BD" w:rsidRPr="0008472F" w14:paraId="5904E02E" w14:textId="77777777" w:rsidTr="00BB4F85">
        <w:trPr>
          <w:cantSplit/>
        </w:trPr>
        <w:tc>
          <w:tcPr>
            <w:tcW w:w="4312" w:type="dxa"/>
            <w:shd w:val="clear" w:color="auto" w:fill="auto"/>
          </w:tcPr>
          <w:p w14:paraId="7FD62ABA" w14:textId="77777777" w:rsidR="00AF24BD" w:rsidRPr="00AF24BD" w:rsidRDefault="00AF24BD" w:rsidP="00AF24BD">
            <w:pPr>
              <w:spacing w:after="120"/>
              <w:jc w:val="center"/>
              <w:rPr>
                <w:rFonts w:eastAsia="Calibri"/>
                <w:b/>
              </w:rPr>
            </w:pPr>
            <w:r w:rsidRPr="00AF24BD">
              <w:rPr>
                <w:b/>
              </w:rPr>
              <w:t>Ražojumu nozares</w:t>
            </w:r>
          </w:p>
        </w:tc>
        <w:tc>
          <w:tcPr>
            <w:tcW w:w="4296" w:type="dxa"/>
            <w:shd w:val="clear" w:color="auto" w:fill="auto"/>
          </w:tcPr>
          <w:p w14:paraId="56320C0B" w14:textId="77777777" w:rsidR="00AF24BD" w:rsidRPr="00AF24BD" w:rsidRDefault="00AF24BD" w:rsidP="00AF24BD">
            <w:pPr>
              <w:spacing w:after="120"/>
              <w:jc w:val="center"/>
              <w:rPr>
                <w:rFonts w:eastAsia="Calibri"/>
                <w:b/>
              </w:rPr>
            </w:pPr>
            <w:r w:rsidRPr="00AF24BD">
              <w:rPr>
                <w:b/>
              </w:rPr>
              <w:t>Attiecīgie tiesību akti</w:t>
            </w:r>
            <w:r w:rsidRPr="00AF24BD">
              <w:rPr>
                <w:rStyle w:val="FootnoteReference"/>
                <w:b/>
              </w:rPr>
              <w:footnoteReference w:id="3"/>
            </w:r>
            <w:r w:rsidRPr="00AF24BD">
              <w:rPr>
                <w:b/>
              </w:rPr>
              <w:t xml:space="preserve"> </w:t>
            </w:r>
            <w:r w:rsidRPr="00AF24BD">
              <w:rPr>
                <w:rStyle w:val="FootnoteReference"/>
                <w:b/>
              </w:rPr>
              <w:footnoteReference w:id="4"/>
            </w:r>
          </w:p>
        </w:tc>
      </w:tr>
      <w:tr w:rsidR="00AF24BD" w:rsidRPr="0008472F" w14:paraId="60530DE8" w14:textId="77777777" w:rsidTr="00BB4F85">
        <w:trPr>
          <w:cantSplit/>
        </w:trPr>
        <w:tc>
          <w:tcPr>
            <w:tcW w:w="4312" w:type="dxa"/>
            <w:shd w:val="clear" w:color="auto" w:fill="auto"/>
          </w:tcPr>
          <w:p w14:paraId="2B192AEA" w14:textId="77777777" w:rsidR="00AF24BD" w:rsidRPr="00AF24BD" w:rsidRDefault="00AF24BD" w:rsidP="00E44993">
            <w:pPr>
              <w:numPr>
                <w:ilvl w:val="0"/>
                <w:numId w:val="20"/>
              </w:numPr>
              <w:spacing w:after="120"/>
              <w:jc w:val="left"/>
              <w:rPr>
                <w:color w:val="000000"/>
              </w:rPr>
            </w:pPr>
            <w:r w:rsidRPr="00AF24BD">
              <w:rPr>
                <w:color w:val="000000"/>
              </w:rPr>
              <w:t xml:space="preserve">Medicīnas ierīces (tostarp </w:t>
            </w:r>
            <w:r w:rsidRPr="00AF24BD">
              <w:rPr>
                <w:i/>
                <w:color w:val="000000"/>
              </w:rPr>
              <w:t>in vitro</w:t>
            </w:r>
            <w:r w:rsidRPr="00AF24BD">
              <w:rPr>
                <w:color w:val="000000"/>
              </w:rPr>
              <w:t xml:space="preserve"> diagnostikas medicīnas ierīces un aktīvas implantējamas medicīnas ierīces)</w:t>
            </w:r>
          </w:p>
        </w:tc>
        <w:tc>
          <w:tcPr>
            <w:tcW w:w="4296" w:type="dxa"/>
            <w:shd w:val="clear" w:color="auto" w:fill="auto"/>
          </w:tcPr>
          <w:p w14:paraId="7F90238D" w14:textId="77777777" w:rsidR="004C753D" w:rsidRDefault="004C753D" w:rsidP="00AF24BD">
            <w:pPr>
              <w:spacing w:after="120"/>
              <w:jc w:val="left"/>
              <w:rPr>
                <w:color w:val="000000"/>
              </w:rPr>
            </w:pPr>
            <w:r>
              <w:rPr>
                <w:color w:val="000000"/>
              </w:rPr>
              <w:t>Direktīva 93/42/EEK</w:t>
            </w:r>
            <w:r w:rsidR="00AF24BD" w:rsidRPr="00AF24BD">
              <w:rPr>
                <w:color w:val="000000"/>
              </w:rPr>
              <w:t xml:space="preserve"> </w:t>
            </w:r>
          </w:p>
          <w:p w14:paraId="57B0E28A" w14:textId="77777777" w:rsidR="004C753D" w:rsidRDefault="004C753D" w:rsidP="00AF24BD">
            <w:pPr>
              <w:spacing w:after="120"/>
              <w:jc w:val="left"/>
              <w:rPr>
                <w:color w:val="000000"/>
              </w:rPr>
            </w:pPr>
            <w:r>
              <w:rPr>
                <w:color w:val="000000"/>
              </w:rPr>
              <w:t xml:space="preserve">Direktīva 98/79/EK </w:t>
            </w:r>
          </w:p>
          <w:p w14:paraId="37EFADF6" w14:textId="77777777" w:rsidR="00AF24BD" w:rsidRDefault="00AF24BD" w:rsidP="00AF24BD">
            <w:pPr>
              <w:spacing w:after="120"/>
              <w:jc w:val="left"/>
              <w:rPr>
                <w:color w:val="000000"/>
              </w:rPr>
            </w:pPr>
            <w:r w:rsidRPr="00AF24BD">
              <w:rPr>
                <w:color w:val="000000"/>
              </w:rPr>
              <w:t>Direktīva 90/385/EEK</w:t>
            </w:r>
          </w:p>
          <w:p w14:paraId="00F18A71" w14:textId="77777777" w:rsidR="004C753D" w:rsidRPr="004C753D" w:rsidRDefault="004C753D" w:rsidP="004C753D">
            <w:pPr>
              <w:spacing w:after="120"/>
              <w:jc w:val="left"/>
              <w:rPr>
                <w:color w:val="000000"/>
              </w:rPr>
            </w:pPr>
            <w:r w:rsidRPr="004C753D">
              <w:rPr>
                <w:color w:val="000000"/>
              </w:rPr>
              <w:t>Regula (ES) 2017/746</w:t>
            </w:r>
          </w:p>
          <w:p w14:paraId="4D58BCE2" w14:textId="77777777" w:rsidR="004C753D" w:rsidRPr="00AF24BD" w:rsidRDefault="004C753D" w:rsidP="004C753D">
            <w:pPr>
              <w:spacing w:after="120"/>
              <w:jc w:val="left"/>
              <w:rPr>
                <w:color w:val="000000"/>
              </w:rPr>
            </w:pPr>
            <w:r w:rsidRPr="004C753D">
              <w:rPr>
                <w:color w:val="000000"/>
              </w:rPr>
              <w:t>Regula (ES) 2017/745</w:t>
            </w:r>
          </w:p>
        </w:tc>
      </w:tr>
      <w:tr w:rsidR="00AF24BD" w:rsidRPr="0008472F" w14:paraId="3D3E8B9F" w14:textId="77777777" w:rsidTr="00BB4F85">
        <w:trPr>
          <w:cantSplit/>
        </w:trPr>
        <w:tc>
          <w:tcPr>
            <w:tcW w:w="4312" w:type="dxa"/>
            <w:shd w:val="clear" w:color="auto" w:fill="auto"/>
          </w:tcPr>
          <w:p w14:paraId="6D49607C" w14:textId="77777777" w:rsidR="00AF24BD" w:rsidRPr="00AF24BD" w:rsidRDefault="00AF24BD" w:rsidP="00E44993">
            <w:pPr>
              <w:numPr>
                <w:ilvl w:val="0"/>
                <w:numId w:val="20"/>
              </w:numPr>
              <w:spacing w:after="120"/>
              <w:jc w:val="left"/>
              <w:rPr>
                <w:color w:val="000000"/>
              </w:rPr>
            </w:pPr>
            <w:r w:rsidRPr="00AF24BD">
              <w:rPr>
                <w:color w:val="000000"/>
              </w:rPr>
              <w:t>Kosmētikas līdzekļi</w:t>
            </w:r>
          </w:p>
        </w:tc>
        <w:tc>
          <w:tcPr>
            <w:tcW w:w="4296" w:type="dxa"/>
            <w:shd w:val="clear" w:color="auto" w:fill="auto"/>
          </w:tcPr>
          <w:p w14:paraId="330761C5" w14:textId="77777777" w:rsidR="00AF24BD" w:rsidRPr="00AF24BD" w:rsidRDefault="00AF24BD" w:rsidP="00AF24BD">
            <w:pPr>
              <w:spacing w:after="120"/>
              <w:jc w:val="left"/>
              <w:rPr>
                <w:color w:val="000000"/>
              </w:rPr>
            </w:pPr>
            <w:r w:rsidRPr="00AF24BD">
              <w:rPr>
                <w:color w:val="000000"/>
              </w:rPr>
              <w:t>Regula (EK) Nr. 1223/2009</w:t>
            </w:r>
          </w:p>
        </w:tc>
      </w:tr>
      <w:tr w:rsidR="00AF24BD" w:rsidRPr="0008472F" w14:paraId="59895C36" w14:textId="77777777" w:rsidTr="00BB4F85">
        <w:trPr>
          <w:cantSplit/>
        </w:trPr>
        <w:tc>
          <w:tcPr>
            <w:tcW w:w="4312" w:type="dxa"/>
            <w:shd w:val="clear" w:color="auto" w:fill="auto"/>
          </w:tcPr>
          <w:p w14:paraId="237F306D" w14:textId="77777777" w:rsidR="00AF24BD" w:rsidRPr="00AF24BD" w:rsidRDefault="00AF24BD" w:rsidP="00E44993">
            <w:pPr>
              <w:numPr>
                <w:ilvl w:val="0"/>
                <w:numId w:val="20"/>
              </w:numPr>
              <w:spacing w:after="120"/>
              <w:jc w:val="left"/>
              <w:rPr>
                <w:color w:val="000000"/>
              </w:rPr>
            </w:pPr>
            <w:r w:rsidRPr="00AF24BD">
              <w:rPr>
                <w:color w:val="000000"/>
              </w:rPr>
              <w:t>Rotaļlietas</w:t>
            </w:r>
          </w:p>
        </w:tc>
        <w:tc>
          <w:tcPr>
            <w:tcW w:w="4296" w:type="dxa"/>
            <w:shd w:val="clear" w:color="auto" w:fill="auto"/>
          </w:tcPr>
          <w:p w14:paraId="61717B05" w14:textId="77777777" w:rsidR="00AF24BD" w:rsidRPr="00AF24BD" w:rsidRDefault="00AF24BD" w:rsidP="00AF24BD">
            <w:pPr>
              <w:spacing w:after="120"/>
              <w:jc w:val="left"/>
              <w:rPr>
                <w:color w:val="000000"/>
              </w:rPr>
            </w:pPr>
            <w:r w:rsidRPr="00AF24BD">
              <w:rPr>
                <w:color w:val="000000"/>
              </w:rPr>
              <w:t>Direktīva 2009/48/EK</w:t>
            </w:r>
          </w:p>
        </w:tc>
      </w:tr>
      <w:tr w:rsidR="00AF24BD" w:rsidRPr="0008472F" w14:paraId="75E4ABCD" w14:textId="77777777" w:rsidTr="00BB4F85">
        <w:trPr>
          <w:cantSplit/>
        </w:trPr>
        <w:tc>
          <w:tcPr>
            <w:tcW w:w="4312" w:type="dxa"/>
            <w:shd w:val="clear" w:color="auto" w:fill="auto"/>
          </w:tcPr>
          <w:p w14:paraId="05A364F4" w14:textId="77777777" w:rsidR="00AF24BD" w:rsidRPr="00AF24BD" w:rsidRDefault="00AF24BD" w:rsidP="00E44993">
            <w:pPr>
              <w:numPr>
                <w:ilvl w:val="0"/>
                <w:numId w:val="20"/>
              </w:numPr>
              <w:spacing w:after="120"/>
              <w:jc w:val="left"/>
              <w:rPr>
                <w:color w:val="000000"/>
              </w:rPr>
            </w:pPr>
            <w:r w:rsidRPr="00AF24BD">
              <w:rPr>
                <w:color w:val="000000"/>
              </w:rPr>
              <w:t>Individuālie aizsardzības līdzekļi</w:t>
            </w:r>
          </w:p>
        </w:tc>
        <w:tc>
          <w:tcPr>
            <w:tcW w:w="4296" w:type="dxa"/>
            <w:shd w:val="clear" w:color="auto" w:fill="auto"/>
          </w:tcPr>
          <w:p w14:paraId="6864963E" w14:textId="78BE640A" w:rsidR="00AF24BD" w:rsidRPr="00AF24BD" w:rsidRDefault="00C57040" w:rsidP="00AF24BD">
            <w:pPr>
              <w:spacing w:after="120"/>
              <w:jc w:val="left"/>
              <w:rPr>
                <w:color w:val="000000"/>
              </w:rPr>
            </w:pPr>
            <w:r>
              <w:rPr>
                <w:color w:val="000000"/>
              </w:rPr>
              <w:t xml:space="preserve">Regula (ES) </w:t>
            </w:r>
            <w:r w:rsidRPr="00A541F1">
              <w:rPr>
                <w:color w:val="000000"/>
              </w:rPr>
              <w:t>2016/42</w:t>
            </w:r>
            <w:r>
              <w:rPr>
                <w:color w:val="000000"/>
              </w:rPr>
              <w:t>5</w:t>
            </w:r>
          </w:p>
        </w:tc>
      </w:tr>
      <w:tr w:rsidR="00AF24BD" w:rsidRPr="0008472F" w14:paraId="10B388F8" w14:textId="77777777" w:rsidTr="00BB4F85">
        <w:trPr>
          <w:cantSplit/>
        </w:trPr>
        <w:tc>
          <w:tcPr>
            <w:tcW w:w="4312" w:type="dxa"/>
            <w:shd w:val="clear" w:color="auto" w:fill="auto"/>
          </w:tcPr>
          <w:p w14:paraId="609FCB29" w14:textId="77777777" w:rsidR="00AF24BD" w:rsidRPr="00AF24BD" w:rsidRDefault="00AF24BD" w:rsidP="00E44993">
            <w:pPr>
              <w:numPr>
                <w:ilvl w:val="0"/>
                <w:numId w:val="20"/>
              </w:numPr>
              <w:spacing w:after="120"/>
              <w:jc w:val="left"/>
              <w:rPr>
                <w:color w:val="000000"/>
              </w:rPr>
            </w:pPr>
            <w:r w:rsidRPr="00AF24BD">
              <w:rPr>
                <w:color w:val="000000"/>
              </w:rPr>
              <w:t>Būvizstrādājumi</w:t>
            </w:r>
          </w:p>
        </w:tc>
        <w:tc>
          <w:tcPr>
            <w:tcW w:w="4296" w:type="dxa"/>
            <w:shd w:val="clear" w:color="auto" w:fill="auto"/>
          </w:tcPr>
          <w:p w14:paraId="6D41CF1D" w14:textId="77777777" w:rsidR="00AF24BD" w:rsidRPr="00AF24BD" w:rsidRDefault="00AF24BD" w:rsidP="00AF24BD">
            <w:pPr>
              <w:spacing w:after="120"/>
              <w:jc w:val="left"/>
              <w:rPr>
                <w:color w:val="000000"/>
              </w:rPr>
            </w:pPr>
            <w:r w:rsidRPr="00AF24BD">
              <w:rPr>
                <w:color w:val="000000"/>
              </w:rPr>
              <w:t>Regula (ES) Nr. 305/2011</w:t>
            </w:r>
          </w:p>
        </w:tc>
      </w:tr>
      <w:tr w:rsidR="00AF24BD" w:rsidRPr="0008472F" w14:paraId="5A26DA92" w14:textId="77777777" w:rsidTr="00BB4F85">
        <w:trPr>
          <w:cantSplit/>
        </w:trPr>
        <w:tc>
          <w:tcPr>
            <w:tcW w:w="4312" w:type="dxa"/>
            <w:shd w:val="clear" w:color="auto" w:fill="auto"/>
          </w:tcPr>
          <w:p w14:paraId="529A4844" w14:textId="77777777" w:rsidR="00AF24BD" w:rsidRPr="00AF24BD" w:rsidRDefault="00AF24BD" w:rsidP="00E44993">
            <w:pPr>
              <w:numPr>
                <w:ilvl w:val="0"/>
                <w:numId w:val="20"/>
              </w:numPr>
              <w:spacing w:after="120"/>
              <w:jc w:val="left"/>
              <w:rPr>
                <w:color w:val="000000"/>
              </w:rPr>
            </w:pPr>
            <w:r w:rsidRPr="00AF24BD">
              <w:rPr>
                <w:color w:val="000000"/>
              </w:rPr>
              <w:t>Aerosola izsmidzinātāji</w:t>
            </w:r>
          </w:p>
        </w:tc>
        <w:tc>
          <w:tcPr>
            <w:tcW w:w="4296" w:type="dxa"/>
            <w:shd w:val="clear" w:color="auto" w:fill="auto"/>
          </w:tcPr>
          <w:p w14:paraId="03D33F0F" w14:textId="77777777" w:rsidR="00AF24BD" w:rsidRPr="00AF24BD" w:rsidRDefault="00AF24BD" w:rsidP="00AF24BD">
            <w:pPr>
              <w:spacing w:after="120"/>
              <w:jc w:val="left"/>
              <w:rPr>
                <w:color w:val="000000"/>
              </w:rPr>
            </w:pPr>
            <w:r w:rsidRPr="00AF24BD">
              <w:rPr>
                <w:color w:val="000000"/>
              </w:rPr>
              <w:t>Direktīva 75/324/EEK</w:t>
            </w:r>
          </w:p>
        </w:tc>
      </w:tr>
      <w:tr w:rsidR="00AF24BD" w:rsidRPr="0008472F" w14:paraId="2AE2FDCD" w14:textId="77777777" w:rsidTr="00BB4F85">
        <w:trPr>
          <w:cantSplit/>
        </w:trPr>
        <w:tc>
          <w:tcPr>
            <w:tcW w:w="4312" w:type="dxa"/>
            <w:shd w:val="clear" w:color="auto" w:fill="auto"/>
          </w:tcPr>
          <w:p w14:paraId="1F9BEEC1" w14:textId="77777777" w:rsidR="00AF24BD" w:rsidRPr="00AF24BD" w:rsidRDefault="00AF24BD" w:rsidP="00E44993">
            <w:pPr>
              <w:numPr>
                <w:ilvl w:val="0"/>
                <w:numId w:val="20"/>
              </w:numPr>
              <w:spacing w:after="120"/>
              <w:jc w:val="left"/>
              <w:rPr>
                <w:color w:val="000000"/>
              </w:rPr>
            </w:pPr>
            <w:r w:rsidRPr="00AF24BD">
              <w:rPr>
                <w:color w:val="000000"/>
              </w:rPr>
              <w:t>Vienkāršas spiedtvertnes un spiediena iekārtas</w:t>
            </w:r>
          </w:p>
        </w:tc>
        <w:tc>
          <w:tcPr>
            <w:tcW w:w="4296" w:type="dxa"/>
            <w:shd w:val="clear" w:color="auto" w:fill="auto"/>
          </w:tcPr>
          <w:p w14:paraId="3C23222D" w14:textId="77777777" w:rsidR="00AF24BD" w:rsidRPr="00AF24BD" w:rsidRDefault="00AF24BD" w:rsidP="00AF24BD">
            <w:pPr>
              <w:spacing w:after="120"/>
              <w:jc w:val="left"/>
              <w:rPr>
                <w:color w:val="000000"/>
              </w:rPr>
            </w:pPr>
            <w:r w:rsidRPr="00AF24BD">
              <w:rPr>
                <w:color w:val="000000"/>
              </w:rPr>
              <w:t>Direktīva 2014/29/ES un Direktīva 2014/68/ES</w:t>
            </w:r>
          </w:p>
        </w:tc>
      </w:tr>
      <w:tr w:rsidR="00AF24BD" w:rsidRPr="0008472F" w14:paraId="569605F7" w14:textId="77777777" w:rsidTr="00BB4F85">
        <w:trPr>
          <w:cantSplit/>
        </w:trPr>
        <w:tc>
          <w:tcPr>
            <w:tcW w:w="4312" w:type="dxa"/>
            <w:shd w:val="clear" w:color="auto" w:fill="auto"/>
          </w:tcPr>
          <w:p w14:paraId="612F7910" w14:textId="77777777" w:rsidR="00AF24BD" w:rsidRPr="00AF24BD" w:rsidRDefault="00AF24BD" w:rsidP="00E44993">
            <w:pPr>
              <w:numPr>
                <w:ilvl w:val="0"/>
                <w:numId w:val="20"/>
              </w:numPr>
              <w:spacing w:after="120"/>
              <w:jc w:val="left"/>
              <w:rPr>
                <w:color w:val="000000"/>
              </w:rPr>
            </w:pPr>
            <w:r w:rsidRPr="00AF24BD">
              <w:rPr>
                <w:color w:val="000000"/>
              </w:rPr>
              <w:t>Pārvietojamas spiediena iekārtas</w:t>
            </w:r>
          </w:p>
        </w:tc>
        <w:tc>
          <w:tcPr>
            <w:tcW w:w="4296" w:type="dxa"/>
            <w:shd w:val="clear" w:color="auto" w:fill="auto"/>
          </w:tcPr>
          <w:p w14:paraId="7544419C" w14:textId="77777777" w:rsidR="00AF24BD" w:rsidRPr="00AF24BD" w:rsidRDefault="00AF24BD" w:rsidP="00AF24BD">
            <w:pPr>
              <w:spacing w:after="120"/>
              <w:jc w:val="left"/>
              <w:rPr>
                <w:color w:val="000000"/>
              </w:rPr>
            </w:pPr>
            <w:r w:rsidRPr="00AF24BD">
              <w:rPr>
                <w:color w:val="000000"/>
              </w:rPr>
              <w:t>Direktīva 2010/35/ES</w:t>
            </w:r>
          </w:p>
        </w:tc>
      </w:tr>
      <w:tr w:rsidR="00AF24BD" w:rsidRPr="0008472F" w14:paraId="478A70C4" w14:textId="77777777" w:rsidTr="00BB4F85">
        <w:trPr>
          <w:cantSplit/>
        </w:trPr>
        <w:tc>
          <w:tcPr>
            <w:tcW w:w="4312" w:type="dxa"/>
            <w:shd w:val="clear" w:color="auto" w:fill="auto"/>
          </w:tcPr>
          <w:p w14:paraId="546FBE27" w14:textId="77777777" w:rsidR="00AF24BD" w:rsidRPr="00AF24BD" w:rsidRDefault="00AF24BD" w:rsidP="00E44993">
            <w:pPr>
              <w:numPr>
                <w:ilvl w:val="0"/>
                <w:numId w:val="20"/>
              </w:numPr>
              <w:spacing w:after="120"/>
              <w:jc w:val="left"/>
              <w:rPr>
                <w:color w:val="000000"/>
              </w:rPr>
            </w:pPr>
            <w:r w:rsidRPr="00AF24BD">
              <w:rPr>
                <w:color w:val="000000"/>
              </w:rPr>
              <w:t>Mašīnas</w:t>
            </w:r>
          </w:p>
        </w:tc>
        <w:tc>
          <w:tcPr>
            <w:tcW w:w="4296" w:type="dxa"/>
            <w:shd w:val="clear" w:color="auto" w:fill="auto"/>
          </w:tcPr>
          <w:p w14:paraId="5DDECDCF" w14:textId="77777777" w:rsidR="00AF24BD" w:rsidRPr="00AF24BD" w:rsidRDefault="00AF24BD" w:rsidP="00AF24BD">
            <w:pPr>
              <w:spacing w:after="120"/>
              <w:jc w:val="left"/>
              <w:rPr>
                <w:color w:val="000000"/>
              </w:rPr>
            </w:pPr>
            <w:r w:rsidRPr="00AF24BD">
              <w:rPr>
                <w:color w:val="000000"/>
              </w:rPr>
              <w:t>Direktīva 2006/42/EK</w:t>
            </w:r>
          </w:p>
        </w:tc>
      </w:tr>
      <w:tr w:rsidR="00AF24BD" w:rsidRPr="0008472F" w14:paraId="194626B6" w14:textId="77777777" w:rsidTr="00BB4F85">
        <w:trPr>
          <w:cantSplit/>
        </w:trPr>
        <w:tc>
          <w:tcPr>
            <w:tcW w:w="4312" w:type="dxa"/>
            <w:shd w:val="clear" w:color="auto" w:fill="auto"/>
          </w:tcPr>
          <w:p w14:paraId="2514DEA1" w14:textId="77777777" w:rsidR="00AF24BD" w:rsidRPr="00AF24BD" w:rsidRDefault="00AF24BD" w:rsidP="00E44993">
            <w:pPr>
              <w:numPr>
                <w:ilvl w:val="0"/>
                <w:numId w:val="20"/>
              </w:numPr>
              <w:spacing w:after="120"/>
              <w:jc w:val="left"/>
              <w:rPr>
                <w:color w:val="000000"/>
              </w:rPr>
            </w:pPr>
            <w:r w:rsidRPr="00AF24BD">
              <w:rPr>
                <w:color w:val="000000"/>
              </w:rPr>
              <w:t>Lifti</w:t>
            </w:r>
          </w:p>
        </w:tc>
        <w:tc>
          <w:tcPr>
            <w:tcW w:w="4296" w:type="dxa"/>
            <w:shd w:val="clear" w:color="auto" w:fill="auto"/>
          </w:tcPr>
          <w:p w14:paraId="2CAD8EA5" w14:textId="77777777" w:rsidR="00AF24BD" w:rsidRPr="00AF24BD" w:rsidRDefault="00AF24BD" w:rsidP="00AF24BD">
            <w:pPr>
              <w:spacing w:after="120"/>
              <w:jc w:val="left"/>
              <w:rPr>
                <w:color w:val="000000"/>
              </w:rPr>
            </w:pPr>
            <w:r w:rsidRPr="00AF24BD">
              <w:rPr>
                <w:color w:val="000000"/>
              </w:rPr>
              <w:t>Direktīva 2014/33/ES</w:t>
            </w:r>
          </w:p>
        </w:tc>
      </w:tr>
      <w:tr w:rsidR="00AF24BD" w:rsidRPr="0008472F" w14:paraId="6DCF7431" w14:textId="77777777" w:rsidTr="00BB4F85">
        <w:trPr>
          <w:cantSplit/>
        </w:trPr>
        <w:tc>
          <w:tcPr>
            <w:tcW w:w="4312" w:type="dxa"/>
            <w:shd w:val="clear" w:color="auto" w:fill="auto"/>
          </w:tcPr>
          <w:p w14:paraId="3347D4A2" w14:textId="77777777" w:rsidR="00AF24BD" w:rsidRPr="00AF24BD" w:rsidRDefault="00AF24BD" w:rsidP="00E44993">
            <w:pPr>
              <w:numPr>
                <w:ilvl w:val="0"/>
                <w:numId w:val="20"/>
              </w:numPr>
              <w:spacing w:after="120"/>
              <w:jc w:val="left"/>
              <w:rPr>
                <w:color w:val="000000"/>
              </w:rPr>
            </w:pPr>
            <w:r w:rsidRPr="00AF24BD">
              <w:rPr>
                <w:color w:val="000000"/>
              </w:rPr>
              <w:t>Trošu ceļi</w:t>
            </w:r>
          </w:p>
        </w:tc>
        <w:tc>
          <w:tcPr>
            <w:tcW w:w="4296" w:type="dxa"/>
            <w:shd w:val="clear" w:color="auto" w:fill="auto"/>
          </w:tcPr>
          <w:p w14:paraId="65B50D63" w14:textId="3B10C8D2" w:rsidR="00AF24BD" w:rsidRPr="00AF24BD" w:rsidRDefault="00C57040" w:rsidP="00AF24BD">
            <w:pPr>
              <w:spacing w:after="120"/>
              <w:jc w:val="left"/>
              <w:rPr>
                <w:color w:val="000000"/>
              </w:rPr>
            </w:pPr>
            <w:r>
              <w:rPr>
                <w:color w:val="000000"/>
              </w:rPr>
              <w:t xml:space="preserve">Regula (ES) </w:t>
            </w:r>
            <w:r w:rsidRPr="00A541F1">
              <w:rPr>
                <w:color w:val="000000"/>
              </w:rPr>
              <w:t>2016/424</w:t>
            </w:r>
          </w:p>
        </w:tc>
      </w:tr>
      <w:tr w:rsidR="00AF24BD" w:rsidRPr="0008472F" w14:paraId="043A9630" w14:textId="77777777" w:rsidTr="00BB4F85">
        <w:trPr>
          <w:cantSplit/>
        </w:trPr>
        <w:tc>
          <w:tcPr>
            <w:tcW w:w="4312" w:type="dxa"/>
            <w:shd w:val="clear" w:color="auto" w:fill="auto"/>
          </w:tcPr>
          <w:p w14:paraId="4AA964DA" w14:textId="77777777" w:rsidR="00AF24BD" w:rsidRPr="00AF24BD" w:rsidRDefault="00AF24BD" w:rsidP="00E44993">
            <w:pPr>
              <w:numPr>
                <w:ilvl w:val="0"/>
                <w:numId w:val="20"/>
              </w:numPr>
              <w:spacing w:after="120"/>
              <w:jc w:val="left"/>
              <w:rPr>
                <w:color w:val="000000"/>
              </w:rPr>
            </w:pPr>
            <w:r w:rsidRPr="00AF24BD">
              <w:rPr>
                <w:color w:val="000000"/>
              </w:rPr>
              <w:t xml:space="preserve">Trokšņa emisija no iekārtām, kuras izmanto ārpus telpām </w:t>
            </w:r>
          </w:p>
        </w:tc>
        <w:tc>
          <w:tcPr>
            <w:tcW w:w="4296" w:type="dxa"/>
            <w:shd w:val="clear" w:color="auto" w:fill="auto"/>
          </w:tcPr>
          <w:p w14:paraId="5F8ECC25" w14:textId="77777777" w:rsidR="00AF24BD" w:rsidRPr="00AF24BD" w:rsidRDefault="00AF24BD" w:rsidP="00AF24BD">
            <w:pPr>
              <w:spacing w:after="120"/>
              <w:jc w:val="left"/>
              <w:rPr>
                <w:color w:val="000000"/>
              </w:rPr>
            </w:pPr>
            <w:r w:rsidRPr="00AF24BD">
              <w:rPr>
                <w:color w:val="000000"/>
              </w:rPr>
              <w:t>Direktīva 2000/14/EK</w:t>
            </w:r>
          </w:p>
        </w:tc>
      </w:tr>
      <w:tr w:rsidR="00AF24BD" w:rsidRPr="0008472F" w14:paraId="26D56A95" w14:textId="77777777" w:rsidTr="00BB4F85">
        <w:trPr>
          <w:cantSplit/>
        </w:trPr>
        <w:tc>
          <w:tcPr>
            <w:tcW w:w="4312" w:type="dxa"/>
            <w:shd w:val="clear" w:color="auto" w:fill="auto"/>
          </w:tcPr>
          <w:p w14:paraId="56A074BF" w14:textId="77777777" w:rsidR="00AF24BD" w:rsidRPr="00AF24BD" w:rsidRDefault="00AF24BD" w:rsidP="00E44993">
            <w:pPr>
              <w:numPr>
                <w:ilvl w:val="0"/>
                <w:numId w:val="20"/>
              </w:numPr>
              <w:spacing w:after="120"/>
              <w:jc w:val="left"/>
              <w:rPr>
                <w:color w:val="000000"/>
              </w:rPr>
            </w:pPr>
            <w:r w:rsidRPr="00AF24BD">
              <w:rPr>
                <w:color w:val="000000"/>
              </w:rPr>
              <w:t>Iekārtas un aizsardzības sistēmas, kas paredzētas izmantošanai sprādzienbīstamā vidē</w:t>
            </w:r>
          </w:p>
        </w:tc>
        <w:tc>
          <w:tcPr>
            <w:tcW w:w="4296" w:type="dxa"/>
            <w:shd w:val="clear" w:color="auto" w:fill="auto"/>
          </w:tcPr>
          <w:p w14:paraId="64AB9DE6" w14:textId="77777777" w:rsidR="00AF24BD" w:rsidRPr="00AF24BD" w:rsidRDefault="00AF24BD" w:rsidP="00AF24BD">
            <w:pPr>
              <w:spacing w:after="120"/>
              <w:jc w:val="left"/>
              <w:rPr>
                <w:color w:val="000000"/>
              </w:rPr>
            </w:pPr>
            <w:r w:rsidRPr="00AF24BD">
              <w:rPr>
                <w:color w:val="000000"/>
              </w:rPr>
              <w:t>Direktīva 2014/34/ES</w:t>
            </w:r>
          </w:p>
        </w:tc>
      </w:tr>
      <w:tr w:rsidR="00AF24BD" w:rsidRPr="0008472F" w14:paraId="4C99935F" w14:textId="77777777" w:rsidTr="00BB4F85">
        <w:trPr>
          <w:cantSplit/>
        </w:trPr>
        <w:tc>
          <w:tcPr>
            <w:tcW w:w="4312" w:type="dxa"/>
            <w:shd w:val="clear" w:color="auto" w:fill="auto"/>
          </w:tcPr>
          <w:p w14:paraId="64668A6D" w14:textId="77777777" w:rsidR="00AF24BD" w:rsidRPr="00AF24BD" w:rsidRDefault="00AF24BD" w:rsidP="00E44993">
            <w:pPr>
              <w:numPr>
                <w:ilvl w:val="0"/>
                <w:numId w:val="20"/>
              </w:numPr>
              <w:spacing w:after="120"/>
              <w:jc w:val="left"/>
              <w:rPr>
                <w:color w:val="000000"/>
              </w:rPr>
            </w:pPr>
            <w:r w:rsidRPr="00AF24BD">
              <w:rPr>
                <w:color w:val="000000"/>
              </w:rPr>
              <w:t>Pirotehnika</w:t>
            </w:r>
          </w:p>
        </w:tc>
        <w:tc>
          <w:tcPr>
            <w:tcW w:w="4296" w:type="dxa"/>
            <w:shd w:val="clear" w:color="auto" w:fill="auto"/>
          </w:tcPr>
          <w:p w14:paraId="4CD96F8F" w14:textId="77777777" w:rsidR="00AF24BD" w:rsidRPr="00AF24BD" w:rsidRDefault="00AF24BD" w:rsidP="00AF24BD">
            <w:pPr>
              <w:spacing w:after="120"/>
              <w:jc w:val="left"/>
              <w:rPr>
                <w:color w:val="000000"/>
              </w:rPr>
            </w:pPr>
            <w:r w:rsidRPr="00AF24BD">
              <w:rPr>
                <w:color w:val="000000"/>
              </w:rPr>
              <w:t>Direktīva 2013/29/ES</w:t>
            </w:r>
          </w:p>
        </w:tc>
      </w:tr>
      <w:tr w:rsidR="00AF24BD" w:rsidRPr="0008472F" w14:paraId="1C160D79" w14:textId="77777777" w:rsidTr="00BB4F85">
        <w:trPr>
          <w:cantSplit/>
        </w:trPr>
        <w:tc>
          <w:tcPr>
            <w:tcW w:w="4312" w:type="dxa"/>
            <w:shd w:val="clear" w:color="auto" w:fill="auto"/>
          </w:tcPr>
          <w:p w14:paraId="3AB775DC" w14:textId="77777777" w:rsidR="00AF24BD" w:rsidRPr="00AF24BD" w:rsidRDefault="00AF24BD" w:rsidP="00E44993">
            <w:pPr>
              <w:numPr>
                <w:ilvl w:val="0"/>
                <w:numId w:val="20"/>
              </w:numPr>
              <w:spacing w:after="120"/>
              <w:jc w:val="left"/>
              <w:rPr>
                <w:color w:val="000000"/>
              </w:rPr>
            </w:pPr>
            <w:r w:rsidRPr="00AF24BD">
              <w:rPr>
                <w:color w:val="000000"/>
              </w:rPr>
              <w:t>Civilām vajadzībām paredzētas sprāgstvielas</w:t>
            </w:r>
          </w:p>
        </w:tc>
        <w:tc>
          <w:tcPr>
            <w:tcW w:w="4296" w:type="dxa"/>
            <w:shd w:val="clear" w:color="auto" w:fill="auto"/>
          </w:tcPr>
          <w:p w14:paraId="2B31444D" w14:textId="77777777" w:rsidR="00AF24BD" w:rsidRPr="00AF24BD" w:rsidRDefault="00AF24BD" w:rsidP="00AF24BD">
            <w:pPr>
              <w:spacing w:after="120"/>
              <w:jc w:val="left"/>
              <w:rPr>
                <w:color w:val="000000"/>
              </w:rPr>
            </w:pPr>
            <w:r w:rsidRPr="00AF24BD">
              <w:rPr>
                <w:color w:val="000000"/>
              </w:rPr>
              <w:t>Direktīva 2014/28/ES</w:t>
            </w:r>
          </w:p>
        </w:tc>
      </w:tr>
      <w:tr w:rsidR="00AF24BD" w:rsidRPr="0008472F" w14:paraId="3E82F6AE" w14:textId="77777777" w:rsidTr="00BB4F85">
        <w:trPr>
          <w:cantSplit/>
        </w:trPr>
        <w:tc>
          <w:tcPr>
            <w:tcW w:w="4312" w:type="dxa"/>
            <w:shd w:val="clear" w:color="auto" w:fill="auto"/>
          </w:tcPr>
          <w:p w14:paraId="150FAA16" w14:textId="77777777" w:rsidR="00AF24BD" w:rsidRPr="00AF24BD" w:rsidRDefault="00AF24BD" w:rsidP="00E44993">
            <w:pPr>
              <w:numPr>
                <w:ilvl w:val="0"/>
                <w:numId w:val="20"/>
              </w:numPr>
              <w:spacing w:after="120"/>
              <w:jc w:val="left"/>
              <w:rPr>
                <w:color w:val="000000"/>
              </w:rPr>
            </w:pPr>
            <w:r w:rsidRPr="00AF24BD">
              <w:rPr>
                <w:color w:val="000000"/>
              </w:rPr>
              <w:t>Iekārtas, kurās izmanto gāzveida kurināmo</w:t>
            </w:r>
          </w:p>
        </w:tc>
        <w:tc>
          <w:tcPr>
            <w:tcW w:w="4296" w:type="dxa"/>
            <w:shd w:val="clear" w:color="auto" w:fill="auto"/>
          </w:tcPr>
          <w:p w14:paraId="14FCBA47" w14:textId="0DF4FD6E" w:rsidR="00AF24BD" w:rsidRPr="00AF24BD" w:rsidRDefault="00C57040" w:rsidP="00AF24BD">
            <w:pPr>
              <w:spacing w:after="120"/>
              <w:jc w:val="left"/>
              <w:rPr>
                <w:color w:val="000000"/>
              </w:rPr>
            </w:pPr>
            <w:r w:rsidRPr="008A43C2">
              <w:rPr>
                <w:color w:val="000000"/>
              </w:rPr>
              <w:t>Regula (ES) 2016/42</w:t>
            </w:r>
            <w:r>
              <w:rPr>
                <w:color w:val="000000"/>
              </w:rPr>
              <w:t>6</w:t>
            </w:r>
          </w:p>
        </w:tc>
      </w:tr>
      <w:tr w:rsidR="00AF24BD" w:rsidRPr="0008472F" w14:paraId="2334C63F" w14:textId="77777777" w:rsidTr="00BB4F85">
        <w:trPr>
          <w:cantSplit/>
        </w:trPr>
        <w:tc>
          <w:tcPr>
            <w:tcW w:w="4312" w:type="dxa"/>
            <w:shd w:val="clear" w:color="auto" w:fill="auto"/>
          </w:tcPr>
          <w:p w14:paraId="413E5697" w14:textId="77777777" w:rsidR="00AF24BD" w:rsidRPr="00AF24BD" w:rsidRDefault="00AF24BD" w:rsidP="00E44993">
            <w:pPr>
              <w:numPr>
                <w:ilvl w:val="0"/>
                <w:numId w:val="20"/>
              </w:numPr>
              <w:spacing w:after="120"/>
              <w:jc w:val="left"/>
              <w:rPr>
                <w:color w:val="000000"/>
              </w:rPr>
            </w:pPr>
            <w:r w:rsidRPr="00AF24BD">
              <w:rPr>
                <w:color w:val="000000"/>
              </w:rPr>
              <w:t>Mērinstrumenti, neautomātiskie svari, fasēti produkti un mērvienības</w:t>
            </w:r>
          </w:p>
        </w:tc>
        <w:tc>
          <w:tcPr>
            <w:tcW w:w="4296" w:type="dxa"/>
            <w:shd w:val="clear" w:color="auto" w:fill="auto"/>
          </w:tcPr>
          <w:p w14:paraId="0F8CAF7B" w14:textId="77777777" w:rsidR="00AF24BD" w:rsidRPr="00AF24BD" w:rsidRDefault="00AF24BD" w:rsidP="00AF24BD">
            <w:pPr>
              <w:spacing w:after="120"/>
              <w:jc w:val="left"/>
              <w:rPr>
                <w:color w:val="000000"/>
              </w:rPr>
            </w:pPr>
            <w:r w:rsidRPr="00AF24BD">
              <w:rPr>
                <w:color w:val="000000"/>
              </w:rPr>
              <w:t>Direktīva 2014/32/ES un Direktīva 2014/31/ES</w:t>
            </w:r>
            <w:r w:rsidRPr="00AF24BD">
              <w:t>;</w:t>
            </w:r>
            <w:r w:rsidRPr="00AF24BD">
              <w:rPr>
                <w:color w:val="000000"/>
              </w:rPr>
              <w:t xml:space="preserve"> </w:t>
            </w:r>
            <w:r w:rsidRPr="00AF24BD">
              <w:t>Direktīvas </w:t>
            </w:r>
            <w:r w:rsidRPr="00AF24BD">
              <w:rPr>
                <w:color w:val="000000"/>
              </w:rPr>
              <w:t xml:space="preserve">2007/45/EK, </w:t>
            </w:r>
            <w:r w:rsidRPr="00AF24BD">
              <w:t>75/107/EEK, 76/211/EEK un Direktīva 80/181/EEK</w:t>
            </w:r>
          </w:p>
        </w:tc>
      </w:tr>
      <w:tr w:rsidR="00AF24BD" w:rsidRPr="0008472F" w14:paraId="607F3BA1" w14:textId="77777777" w:rsidTr="00BB4F85">
        <w:trPr>
          <w:cantSplit/>
        </w:trPr>
        <w:tc>
          <w:tcPr>
            <w:tcW w:w="4312" w:type="dxa"/>
            <w:shd w:val="clear" w:color="auto" w:fill="auto"/>
          </w:tcPr>
          <w:p w14:paraId="3AA61A15" w14:textId="77777777" w:rsidR="00AF24BD" w:rsidRPr="00AF24BD" w:rsidRDefault="00AF24BD" w:rsidP="00E44993">
            <w:pPr>
              <w:numPr>
                <w:ilvl w:val="0"/>
                <w:numId w:val="20"/>
              </w:numPr>
              <w:spacing w:after="120"/>
              <w:jc w:val="left"/>
              <w:rPr>
                <w:color w:val="000000"/>
              </w:rPr>
            </w:pPr>
            <w:r w:rsidRPr="00AF24BD">
              <w:rPr>
                <w:color w:val="000000"/>
              </w:rPr>
              <w:lastRenderedPageBreak/>
              <w:t xml:space="preserve">Elektroiekārtas, uz ko attiecas direktīva par elektromagnētisko savietojamību </w:t>
            </w:r>
          </w:p>
        </w:tc>
        <w:tc>
          <w:tcPr>
            <w:tcW w:w="4296" w:type="dxa"/>
            <w:shd w:val="clear" w:color="auto" w:fill="auto"/>
          </w:tcPr>
          <w:p w14:paraId="11435E24" w14:textId="77777777" w:rsidR="00AF24BD" w:rsidRPr="00AF24BD" w:rsidRDefault="00AF24BD" w:rsidP="00AF24BD">
            <w:pPr>
              <w:spacing w:after="120"/>
              <w:jc w:val="left"/>
              <w:rPr>
                <w:color w:val="000000"/>
              </w:rPr>
            </w:pPr>
            <w:r w:rsidRPr="00AF24BD">
              <w:rPr>
                <w:color w:val="000000"/>
              </w:rPr>
              <w:t>Direktīva 2014/30/ES</w:t>
            </w:r>
          </w:p>
        </w:tc>
      </w:tr>
      <w:tr w:rsidR="00AF24BD" w:rsidRPr="0008472F" w14:paraId="57F22C77" w14:textId="77777777" w:rsidTr="00BB4F85">
        <w:trPr>
          <w:cantSplit/>
        </w:trPr>
        <w:tc>
          <w:tcPr>
            <w:tcW w:w="4312" w:type="dxa"/>
            <w:shd w:val="clear" w:color="auto" w:fill="auto"/>
          </w:tcPr>
          <w:p w14:paraId="0C1F844E" w14:textId="77777777" w:rsidR="00AF24BD" w:rsidRPr="00AF24BD" w:rsidRDefault="00AF24BD" w:rsidP="00E44993">
            <w:pPr>
              <w:numPr>
                <w:ilvl w:val="0"/>
                <w:numId w:val="20"/>
              </w:numPr>
              <w:spacing w:after="120"/>
              <w:jc w:val="left"/>
              <w:rPr>
                <w:color w:val="000000"/>
              </w:rPr>
            </w:pPr>
            <w:r w:rsidRPr="00AF24BD">
              <w:rPr>
                <w:color w:val="000000"/>
              </w:rPr>
              <w:t>Radioiekārtas</w:t>
            </w:r>
          </w:p>
        </w:tc>
        <w:tc>
          <w:tcPr>
            <w:tcW w:w="4296" w:type="dxa"/>
            <w:shd w:val="clear" w:color="auto" w:fill="auto"/>
          </w:tcPr>
          <w:p w14:paraId="30235EA2" w14:textId="77777777" w:rsidR="00AF24BD" w:rsidRPr="00AF24BD" w:rsidRDefault="00AF24BD" w:rsidP="00AF24BD">
            <w:pPr>
              <w:spacing w:after="120"/>
              <w:jc w:val="left"/>
              <w:rPr>
                <w:color w:val="000000"/>
              </w:rPr>
            </w:pPr>
            <w:r w:rsidRPr="00AF24BD">
              <w:rPr>
                <w:color w:val="000000"/>
              </w:rPr>
              <w:t>Direktīva 2014/53/ES</w:t>
            </w:r>
          </w:p>
        </w:tc>
      </w:tr>
      <w:tr w:rsidR="00AF24BD" w:rsidRPr="0008472F" w14:paraId="62B03E17" w14:textId="77777777" w:rsidTr="00BB4F85">
        <w:trPr>
          <w:cantSplit/>
        </w:trPr>
        <w:tc>
          <w:tcPr>
            <w:tcW w:w="4312" w:type="dxa"/>
            <w:shd w:val="clear" w:color="auto" w:fill="auto"/>
          </w:tcPr>
          <w:p w14:paraId="00A0B33E" w14:textId="77777777" w:rsidR="00AF24BD" w:rsidRPr="00AF24BD" w:rsidRDefault="00AF24BD" w:rsidP="00E44993">
            <w:pPr>
              <w:numPr>
                <w:ilvl w:val="0"/>
                <w:numId w:val="20"/>
              </w:numPr>
              <w:spacing w:after="120"/>
              <w:jc w:val="left"/>
              <w:rPr>
                <w:color w:val="000000"/>
              </w:rPr>
            </w:pPr>
            <w:r w:rsidRPr="00AF24BD">
              <w:rPr>
                <w:color w:val="000000"/>
              </w:rPr>
              <w:t>Elektroierīces un elektroiekārtas, uz ko attiecas Zemsprieguma direktīva</w:t>
            </w:r>
          </w:p>
        </w:tc>
        <w:tc>
          <w:tcPr>
            <w:tcW w:w="4296" w:type="dxa"/>
            <w:shd w:val="clear" w:color="auto" w:fill="auto"/>
          </w:tcPr>
          <w:p w14:paraId="3008F51E" w14:textId="77777777" w:rsidR="00AF24BD" w:rsidRPr="00AF24BD" w:rsidRDefault="00AF24BD" w:rsidP="00AF24BD">
            <w:pPr>
              <w:spacing w:after="120"/>
              <w:jc w:val="left"/>
              <w:rPr>
                <w:color w:val="000000"/>
              </w:rPr>
            </w:pPr>
            <w:r w:rsidRPr="00AF24BD">
              <w:rPr>
                <w:color w:val="000000"/>
              </w:rPr>
              <w:t>Direktīva 2014/35/ES</w:t>
            </w:r>
          </w:p>
        </w:tc>
      </w:tr>
      <w:tr w:rsidR="00AF24BD" w:rsidRPr="0008472F" w14:paraId="3ABBF7A0" w14:textId="77777777" w:rsidTr="00BB4F85">
        <w:trPr>
          <w:cantSplit/>
        </w:trPr>
        <w:tc>
          <w:tcPr>
            <w:tcW w:w="4312" w:type="dxa"/>
            <w:shd w:val="clear" w:color="auto" w:fill="auto"/>
          </w:tcPr>
          <w:p w14:paraId="1E4AD48F" w14:textId="77777777" w:rsidR="00AF24BD" w:rsidRPr="00AF24BD" w:rsidRDefault="00AF24BD" w:rsidP="00E44993">
            <w:pPr>
              <w:numPr>
                <w:ilvl w:val="0"/>
                <w:numId w:val="20"/>
              </w:numPr>
              <w:spacing w:after="120"/>
              <w:jc w:val="left"/>
              <w:rPr>
                <w:color w:val="000000"/>
              </w:rPr>
            </w:pPr>
            <w:r w:rsidRPr="00AF24BD">
              <w:rPr>
                <w:color w:val="000000"/>
              </w:rPr>
              <w:t>Elektriskās un elektroniskās iekārtas, uz ko attiecas direktīva par bīstamu vielu izmantošanas ierobežošanu, EEIA direktīva un Bateriju direktīva</w:t>
            </w:r>
          </w:p>
        </w:tc>
        <w:tc>
          <w:tcPr>
            <w:tcW w:w="4296" w:type="dxa"/>
            <w:shd w:val="clear" w:color="auto" w:fill="auto"/>
          </w:tcPr>
          <w:p w14:paraId="37C925CD" w14:textId="77777777" w:rsidR="00AF24BD" w:rsidRPr="00AF24BD" w:rsidRDefault="00AF24BD" w:rsidP="00AF24BD">
            <w:pPr>
              <w:spacing w:after="120"/>
              <w:jc w:val="left"/>
              <w:rPr>
                <w:color w:val="000000"/>
              </w:rPr>
            </w:pPr>
            <w:r w:rsidRPr="00AF24BD">
              <w:rPr>
                <w:color w:val="000000"/>
              </w:rPr>
              <w:t>Direktīva 2011/65/ES, Direktīva 2002/96/EK un Direktīva 2006/66/EK</w:t>
            </w:r>
          </w:p>
        </w:tc>
      </w:tr>
      <w:tr w:rsidR="00AF24BD" w:rsidRPr="0008472F" w14:paraId="56DEEC88" w14:textId="77777777" w:rsidTr="00BB4F85">
        <w:trPr>
          <w:cantSplit/>
        </w:trPr>
        <w:tc>
          <w:tcPr>
            <w:tcW w:w="4312" w:type="dxa"/>
            <w:shd w:val="clear" w:color="auto" w:fill="auto"/>
          </w:tcPr>
          <w:p w14:paraId="581779E8" w14:textId="77777777" w:rsidR="00AF24BD" w:rsidRPr="00AF24BD" w:rsidRDefault="00AF24BD" w:rsidP="00AF24BD">
            <w:pPr>
              <w:spacing w:after="120"/>
              <w:jc w:val="left"/>
              <w:rPr>
                <w:color w:val="000000"/>
              </w:rPr>
            </w:pPr>
            <w:r w:rsidRPr="00AF24BD">
              <w:rPr>
                <w:color w:val="000000"/>
              </w:rPr>
              <w:t xml:space="preserve">22./A Ķīmiskās vielas saskaņā ar </w:t>
            </w:r>
            <w:r w:rsidRPr="00AF24BD">
              <w:rPr>
                <w:i/>
                <w:color w:val="000000"/>
              </w:rPr>
              <w:t>REACH</w:t>
            </w:r>
            <w:r w:rsidRPr="00AF24BD">
              <w:rPr>
                <w:color w:val="000000"/>
              </w:rPr>
              <w:t xml:space="preserve"> un Klasificēšanas un marķēšanas regulām</w:t>
            </w:r>
          </w:p>
        </w:tc>
        <w:tc>
          <w:tcPr>
            <w:tcW w:w="4296" w:type="dxa"/>
            <w:shd w:val="clear" w:color="auto" w:fill="auto"/>
          </w:tcPr>
          <w:p w14:paraId="17ACAFBF" w14:textId="77777777" w:rsidR="00AF24BD" w:rsidRPr="00AF24BD" w:rsidRDefault="00AF24BD" w:rsidP="00AF24BD">
            <w:pPr>
              <w:spacing w:after="120"/>
              <w:jc w:val="left"/>
              <w:rPr>
                <w:color w:val="000000"/>
              </w:rPr>
            </w:pPr>
            <w:r w:rsidRPr="00AF24BD">
              <w:rPr>
                <w:color w:val="000000"/>
              </w:rPr>
              <w:t>Regulas (EK) Nr. 1907/2006 un (EK) Nr. 1272/2008</w:t>
            </w:r>
          </w:p>
        </w:tc>
      </w:tr>
      <w:tr w:rsidR="00AF24BD" w:rsidRPr="0008472F" w14:paraId="22CB42F7" w14:textId="77777777" w:rsidTr="00BB4F85">
        <w:trPr>
          <w:cantSplit/>
        </w:trPr>
        <w:tc>
          <w:tcPr>
            <w:tcW w:w="4312" w:type="dxa"/>
            <w:shd w:val="clear" w:color="auto" w:fill="auto"/>
          </w:tcPr>
          <w:p w14:paraId="4124F572" w14:textId="77777777" w:rsidR="00AF24BD" w:rsidRPr="00AF24BD" w:rsidRDefault="00AF24BD" w:rsidP="00AF24BD">
            <w:pPr>
              <w:spacing w:after="120"/>
              <w:jc w:val="left"/>
              <w:rPr>
                <w:color w:val="000000"/>
              </w:rPr>
            </w:pPr>
            <w:r w:rsidRPr="00AF24BD">
              <w:rPr>
                <w:color w:val="000000"/>
              </w:rPr>
              <w:t>22./B Citas ķīmiskas vielas (mazgāšanas līdzekļi, krāsas, noturīgi organiskie piesārņotāji, fluorētās siltumnīcefekta gāzes, ozona slāni noārdošas vielas utt.)</w:t>
            </w:r>
          </w:p>
        </w:tc>
        <w:tc>
          <w:tcPr>
            <w:tcW w:w="4296" w:type="dxa"/>
            <w:shd w:val="clear" w:color="auto" w:fill="auto"/>
          </w:tcPr>
          <w:p w14:paraId="41E900AA" w14:textId="53885691" w:rsidR="00AF24BD" w:rsidRPr="00AF24BD" w:rsidRDefault="00AF24BD" w:rsidP="00AF24BD">
            <w:pPr>
              <w:spacing w:after="120"/>
              <w:jc w:val="left"/>
              <w:rPr>
                <w:color w:val="000000"/>
              </w:rPr>
            </w:pPr>
            <w:r w:rsidRPr="00AF24BD">
              <w:rPr>
                <w:color w:val="000000"/>
              </w:rPr>
              <w:t>Regula (EK) Nr. 648/2004, Direktīva 2004/42/EK, Regula (E</w:t>
            </w:r>
            <w:r w:rsidR="00967BE0">
              <w:rPr>
                <w:color w:val="000000"/>
              </w:rPr>
              <w:t>S</w:t>
            </w:r>
            <w:r w:rsidRPr="00AF24BD">
              <w:rPr>
                <w:color w:val="000000"/>
              </w:rPr>
              <w:t>) Nr. </w:t>
            </w:r>
            <w:r w:rsidR="00967BE0">
              <w:rPr>
                <w:color w:val="000000"/>
              </w:rPr>
              <w:t>2019</w:t>
            </w:r>
            <w:r w:rsidRPr="00AF24BD">
              <w:rPr>
                <w:color w:val="000000"/>
              </w:rPr>
              <w:t>/</w:t>
            </w:r>
            <w:r w:rsidR="00967BE0">
              <w:rPr>
                <w:color w:val="000000"/>
              </w:rPr>
              <w:t>1021</w:t>
            </w:r>
            <w:r w:rsidRPr="00AF24BD">
              <w:rPr>
                <w:color w:val="000000"/>
              </w:rPr>
              <w:t>, Regula (EK) Nr. 842/2006, Regula (ES) Nr. 517/2014, Regula (EK) Nr. 1005/2009</w:t>
            </w:r>
          </w:p>
        </w:tc>
      </w:tr>
      <w:tr w:rsidR="00AF24BD" w:rsidRPr="0008472F" w14:paraId="1462D8A7" w14:textId="77777777" w:rsidTr="00BB4F85">
        <w:trPr>
          <w:cantSplit/>
        </w:trPr>
        <w:tc>
          <w:tcPr>
            <w:tcW w:w="4312" w:type="dxa"/>
            <w:shd w:val="clear" w:color="auto" w:fill="auto"/>
          </w:tcPr>
          <w:p w14:paraId="6AD4C2F6" w14:textId="77777777" w:rsidR="00AF24BD" w:rsidRPr="00AF24BD" w:rsidRDefault="00AF24BD" w:rsidP="00AF24BD">
            <w:pPr>
              <w:spacing w:after="120"/>
              <w:jc w:val="left"/>
              <w:rPr>
                <w:color w:val="000000"/>
              </w:rPr>
            </w:pPr>
            <w:r w:rsidRPr="00AF24BD">
              <w:rPr>
                <w:color w:val="000000"/>
              </w:rPr>
              <w:t>23.  Ekodizains un energomarķējums</w:t>
            </w:r>
            <w:r w:rsidRPr="00AF24BD">
              <w:rPr>
                <w:strike/>
                <w:color w:val="000000"/>
              </w:rPr>
              <w:t xml:space="preserve"> </w:t>
            </w:r>
          </w:p>
        </w:tc>
        <w:tc>
          <w:tcPr>
            <w:tcW w:w="4296" w:type="dxa"/>
            <w:shd w:val="clear" w:color="auto" w:fill="auto"/>
          </w:tcPr>
          <w:p w14:paraId="7F485146" w14:textId="77777777" w:rsidR="00AF24BD" w:rsidRPr="00AF24BD" w:rsidRDefault="00AF24BD" w:rsidP="00AF24BD">
            <w:pPr>
              <w:spacing w:after="120"/>
              <w:jc w:val="left"/>
              <w:rPr>
                <w:color w:val="000000"/>
              </w:rPr>
            </w:pPr>
            <w:r w:rsidRPr="00AF24BD">
              <w:rPr>
                <w:color w:val="000000"/>
              </w:rPr>
              <w:t>Direktīva 2009/125/EK un Direktīva 2010/30/ES</w:t>
            </w:r>
          </w:p>
        </w:tc>
      </w:tr>
      <w:tr w:rsidR="00AF24BD" w:rsidRPr="0008472F" w14:paraId="55AB99FD" w14:textId="77777777" w:rsidTr="00BB4F85">
        <w:trPr>
          <w:cantSplit/>
        </w:trPr>
        <w:tc>
          <w:tcPr>
            <w:tcW w:w="4312" w:type="dxa"/>
            <w:shd w:val="clear" w:color="auto" w:fill="auto"/>
          </w:tcPr>
          <w:p w14:paraId="2F1E39A3" w14:textId="77777777" w:rsidR="00AF24BD" w:rsidRPr="00AF24BD" w:rsidRDefault="00AF24BD" w:rsidP="00AF24BD">
            <w:pPr>
              <w:spacing w:after="120"/>
              <w:jc w:val="left"/>
              <w:rPr>
                <w:color w:val="000000"/>
              </w:rPr>
            </w:pPr>
            <w:r w:rsidRPr="00AF24BD">
              <w:rPr>
                <w:color w:val="000000"/>
              </w:rPr>
              <w:t>24.  Riepu marķēšana</w:t>
            </w:r>
          </w:p>
        </w:tc>
        <w:tc>
          <w:tcPr>
            <w:tcW w:w="4296" w:type="dxa"/>
            <w:shd w:val="clear" w:color="auto" w:fill="auto"/>
          </w:tcPr>
          <w:p w14:paraId="3595FA2E" w14:textId="77777777" w:rsidR="00AF24BD" w:rsidRPr="00AF24BD" w:rsidRDefault="00AF24BD" w:rsidP="00AF24BD">
            <w:pPr>
              <w:spacing w:after="120"/>
              <w:jc w:val="left"/>
              <w:rPr>
                <w:color w:val="000000"/>
              </w:rPr>
            </w:pPr>
            <w:r w:rsidRPr="00AF24BD">
              <w:rPr>
                <w:color w:val="000000"/>
              </w:rPr>
              <w:t>Regula (EK) Nr. 1222/2009</w:t>
            </w:r>
          </w:p>
        </w:tc>
      </w:tr>
      <w:tr w:rsidR="00AF24BD" w:rsidRPr="0008472F" w14:paraId="6B3BAFE6" w14:textId="77777777" w:rsidTr="00BB4F85">
        <w:trPr>
          <w:cantSplit/>
        </w:trPr>
        <w:tc>
          <w:tcPr>
            <w:tcW w:w="4312" w:type="dxa"/>
            <w:shd w:val="clear" w:color="auto" w:fill="auto"/>
          </w:tcPr>
          <w:p w14:paraId="333F729A" w14:textId="77777777" w:rsidR="00AF24BD" w:rsidRPr="00AF24BD" w:rsidRDefault="00AF24BD" w:rsidP="00AF24BD">
            <w:pPr>
              <w:spacing w:after="120"/>
              <w:jc w:val="left"/>
              <w:rPr>
                <w:color w:val="000000"/>
              </w:rPr>
            </w:pPr>
            <w:r w:rsidRPr="00AF24BD">
              <w:rPr>
                <w:color w:val="000000"/>
              </w:rPr>
              <w:t>25.  Atpūtas kuģi</w:t>
            </w:r>
          </w:p>
        </w:tc>
        <w:tc>
          <w:tcPr>
            <w:tcW w:w="4296" w:type="dxa"/>
            <w:shd w:val="clear" w:color="auto" w:fill="auto"/>
          </w:tcPr>
          <w:p w14:paraId="241C42CE" w14:textId="77777777" w:rsidR="00AF24BD" w:rsidRPr="00AF24BD" w:rsidRDefault="00AF24BD" w:rsidP="00AF24BD">
            <w:pPr>
              <w:spacing w:after="120"/>
              <w:jc w:val="left"/>
              <w:rPr>
                <w:color w:val="000000"/>
              </w:rPr>
            </w:pPr>
            <w:r w:rsidRPr="00AF24BD">
              <w:rPr>
                <w:color w:val="000000"/>
              </w:rPr>
              <w:t xml:space="preserve"> Direktīva 2013/53/ES</w:t>
            </w:r>
          </w:p>
        </w:tc>
      </w:tr>
      <w:tr w:rsidR="00AF24BD" w:rsidRPr="0008472F" w14:paraId="7881296B" w14:textId="77777777" w:rsidTr="00BB4F85">
        <w:trPr>
          <w:cantSplit/>
        </w:trPr>
        <w:tc>
          <w:tcPr>
            <w:tcW w:w="4312" w:type="dxa"/>
            <w:shd w:val="clear" w:color="auto" w:fill="auto"/>
          </w:tcPr>
          <w:p w14:paraId="6BD80D4D" w14:textId="77777777" w:rsidR="00AF24BD" w:rsidRPr="00AF24BD" w:rsidRDefault="00AF24BD" w:rsidP="00AF24BD">
            <w:pPr>
              <w:spacing w:after="120"/>
              <w:jc w:val="left"/>
              <w:rPr>
                <w:color w:val="000000"/>
              </w:rPr>
            </w:pPr>
            <w:r w:rsidRPr="00AF24BD">
              <w:rPr>
                <w:color w:val="000000"/>
              </w:rPr>
              <w:t>26.  Kuģu aprīkojums</w:t>
            </w:r>
          </w:p>
        </w:tc>
        <w:tc>
          <w:tcPr>
            <w:tcW w:w="4296" w:type="dxa"/>
            <w:shd w:val="clear" w:color="auto" w:fill="auto"/>
          </w:tcPr>
          <w:p w14:paraId="5A8341D3" w14:textId="77777777" w:rsidR="00AF24BD" w:rsidRPr="00AF24BD" w:rsidRDefault="00AF24BD" w:rsidP="00AF24BD">
            <w:pPr>
              <w:spacing w:after="120"/>
              <w:jc w:val="left"/>
              <w:rPr>
                <w:color w:val="000000"/>
              </w:rPr>
            </w:pPr>
            <w:r w:rsidRPr="00AF24BD">
              <w:rPr>
                <w:color w:val="000000"/>
              </w:rPr>
              <w:t>Direktīva 2014/90/ES</w:t>
            </w:r>
          </w:p>
        </w:tc>
      </w:tr>
      <w:tr w:rsidR="00C57040" w:rsidRPr="0008472F" w14:paraId="15A26D00" w14:textId="77777777" w:rsidTr="00BB4F85">
        <w:trPr>
          <w:cantSplit/>
        </w:trPr>
        <w:tc>
          <w:tcPr>
            <w:tcW w:w="4312" w:type="dxa"/>
            <w:shd w:val="clear" w:color="auto" w:fill="auto"/>
          </w:tcPr>
          <w:p w14:paraId="0E1EF20C" w14:textId="77777777" w:rsidR="00C57040" w:rsidRPr="00AF24BD" w:rsidRDefault="00C57040" w:rsidP="00C57040">
            <w:pPr>
              <w:spacing w:after="120"/>
              <w:jc w:val="left"/>
              <w:rPr>
                <w:color w:val="000000"/>
              </w:rPr>
            </w:pPr>
            <w:r w:rsidRPr="00AF24BD">
              <w:rPr>
                <w:color w:val="000000"/>
              </w:rPr>
              <w:t>27.  Mehāniskie transportlīdzekļi un traktori</w:t>
            </w:r>
          </w:p>
        </w:tc>
        <w:tc>
          <w:tcPr>
            <w:tcW w:w="4296" w:type="dxa"/>
            <w:shd w:val="clear" w:color="auto" w:fill="auto"/>
          </w:tcPr>
          <w:p w14:paraId="543879B8" w14:textId="0AAB0FF9" w:rsidR="00C57040" w:rsidRPr="00AF24BD" w:rsidRDefault="00C57040" w:rsidP="00C57040">
            <w:pPr>
              <w:spacing w:after="120"/>
              <w:jc w:val="left"/>
              <w:rPr>
                <w:color w:val="000000"/>
              </w:rPr>
            </w:pPr>
            <w:r w:rsidRPr="00AF24BD">
              <w:rPr>
                <w:color w:val="000000"/>
              </w:rPr>
              <w:t xml:space="preserve">Regula (ES) Nr. 168/2013, </w:t>
            </w:r>
            <w:r>
              <w:rPr>
                <w:color w:val="000000"/>
              </w:rPr>
              <w:t xml:space="preserve">Regula (ES) 2018/858, </w:t>
            </w:r>
            <w:r w:rsidRPr="00AF24BD">
              <w:rPr>
                <w:color w:val="000000"/>
              </w:rPr>
              <w:t>Regula (ES) Nr. 167/2013</w:t>
            </w:r>
          </w:p>
        </w:tc>
      </w:tr>
      <w:tr w:rsidR="00C57040" w:rsidRPr="0008472F" w14:paraId="47EA2AA3" w14:textId="77777777" w:rsidTr="00BB4F85">
        <w:trPr>
          <w:cantSplit/>
        </w:trPr>
        <w:tc>
          <w:tcPr>
            <w:tcW w:w="4312" w:type="dxa"/>
            <w:shd w:val="clear" w:color="auto" w:fill="auto"/>
          </w:tcPr>
          <w:p w14:paraId="133C54B9" w14:textId="5F9080F9" w:rsidR="00C57040" w:rsidRPr="00AF24BD" w:rsidRDefault="00C57040" w:rsidP="00C57040">
            <w:pPr>
              <w:spacing w:after="120"/>
              <w:jc w:val="left"/>
              <w:rPr>
                <w:color w:val="000000"/>
              </w:rPr>
            </w:pPr>
            <w:r w:rsidRPr="00AF24BD">
              <w:rPr>
                <w:color w:val="000000"/>
              </w:rPr>
              <w:t xml:space="preserve">28.  </w:t>
            </w:r>
            <w:r>
              <w:rPr>
                <w:color w:val="000000"/>
              </w:rPr>
              <w:t>A</w:t>
            </w:r>
            <w:r w:rsidRPr="001F2110">
              <w:rPr>
                <w:color w:val="000000"/>
              </w:rPr>
              <w:t>utoceļiem neparedzētas mobilās tehnikas iekšdedzes motoru piesārņotāju emisij</w:t>
            </w:r>
            <w:r>
              <w:rPr>
                <w:color w:val="000000"/>
              </w:rPr>
              <w:t>as</w:t>
            </w:r>
          </w:p>
        </w:tc>
        <w:tc>
          <w:tcPr>
            <w:tcW w:w="4296" w:type="dxa"/>
            <w:shd w:val="clear" w:color="auto" w:fill="auto"/>
          </w:tcPr>
          <w:p w14:paraId="0C8AE7C5" w14:textId="45B0AF2B" w:rsidR="00C57040" w:rsidRPr="00AF24BD" w:rsidRDefault="00C57040" w:rsidP="00C57040">
            <w:pPr>
              <w:spacing w:after="120"/>
              <w:jc w:val="left"/>
              <w:rPr>
                <w:color w:val="000000"/>
              </w:rPr>
            </w:pPr>
            <w:r w:rsidRPr="00A8643A">
              <w:rPr>
                <w:color w:val="000000"/>
              </w:rPr>
              <w:t>Regula (ES) 2016/1628</w:t>
            </w:r>
          </w:p>
        </w:tc>
      </w:tr>
      <w:tr w:rsidR="00C57040" w:rsidRPr="0008472F" w14:paraId="053519BD" w14:textId="77777777" w:rsidTr="00BB4F85">
        <w:trPr>
          <w:cantSplit/>
        </w:trPr>
        <w:tc>
          <w:tcPr>
            <w:tcW w:w="4312" w:type="dxa"/>
            <w:shd w:val="clear" w:color="auto" w:fill="auto"/>
          </w:tcPr>
          <w:p w14:paraId="7D728049" w14:textId="77777777" w:rsidR="00C57040" w:rsidRPr="00AF24BD" w:rsidRDefault="00C57040" w:rsidP="00C57040">
            <w:pPr>
              <w:spacing w:after="120"/>
              <w:jc w:val="left"/>
              <w:rPr>
                <w:color w:val="000000"/>
              </w:rPr>
            </w:pPr>
            <w:r w:rsidRPr="00AF24BD">
              <w:rPr>
                <w:color w:val="000000"/>
              </w:rPr>
              <w:t>29.  Mēslošanas līdzekļi</w:t>
            </w:r>
          </w:p>
        </w:tc>
        <w:tc>
          <w:tcPr>
            <w:tcW w:w="4296" w:type="dxa"/>
            <w:shd w:val="clear" w:color="auto" w:fill="auto"/>
          </w:tcPr>
          <w:p w14:paraId="0420CCC5" w14:textId="77777777" w:rsidR="00C57040" w:rsidRDefault="00C57040" w:rsidP="00C57040">
            <w:pPr>
              <w:spacing w:after="120"/>
              <w:jc w:val="left"/>
              <w:rPr>
                <w:color w:val="000000"/>
              </w:rPr>
            </w:pPr>
            <w:r w:rsidRPr="00AF24BD">
              <w:rPr>
                <w:color w:val="000000"/>
              </w:rPr>
              <w:t>Regula (EK) Nr. 2003/2003</w:t>
            </w:r>
          </w:p>
          <w:p w14:paraId="2CB05EE4" w14:textId="795C5AE2" w:rsidR="00755306" w:rsidRPr="00AF24BD" w:rsidRDefault="00755306" w:rsidP="00C57040">
            <w:pPr>
              <w:spacing w:after="120"/>
              <w:jc w:val="left"/>
              <w:rPr>
                <w:color w:val="000000"/>
              </w:rPr>
            </w:pPr>
            <w:r w:rsidRPr="00755306">
              <w:rPr>
                <w:color w:val="000000"/>
              </w:rPr>
              <w:t>Regula (EK) Nr. 1009/2019</w:t>
            </w:r>
          </w:p>
        </w:tc>
      </w:tr>
      <w:tr w:rsidR="00C57040" w:rsidRPr="0008472F" w14:paraId="3F1EDB1D" w14:textId="77777777" w:rsidTr="00BB4F85">
        <w:trPr>
          <w:cantSplit/>
        </w:trPr>
        <w:tc>
          <w:tcPr>
            <w:tcW w:w="4312" w:type="dxa"/>
            <w:shd w:val="clear" w:color="auto" w:fill="auto"/>
          </w:tcPr>
          <w:p w14:paraId="61291105" w14:textId="77777777" w:rsidR="00C57040" w:rsidRPr="00AF24BD" w:rsidRDefault="00C57040" w:rsidP="00C57040">
            <w:pPr>
              <w:spacing w:after="120"/>
              <w:jc w:val="left"/>
              <w:rPr>
                <w:color w:val="000000"/>
              </w:rPr>
            </w:pPr>
            <w:r w:rsidRPr="00AF24BD">
              <w:rPr>
                <w:color w:val="000000"/>
              </w:rPr>
              <w:t>30.  Citi patēriņa ražojumi, uz ko attiecas Produktu vispārējas drošības direktīva (pēc izvēles)</w:t>
            </w:r>
          </w:p>
        </w:tc>
        <w:tc>
          <w:tcPr>
            <w:tcW w:w="4296" w:type="dxa"/>
            <w:shd w:val="clear" w:color="auto" w:fill="auto"/>
          </w:tcPr>
          <w:p w14:paraId="7F7ED0D8" w14:textId="77777777" w:rsidR="00C57040" w:rsidRPr="00AF24BD" w:rsidRDefault="00C57040" w:rsidP="00C57040">
            <w:pPr>
              <w:spacing w:after="120"/>
              <w:jc w:val="left"/>
              <w:rPr>
                <w:color w:val="000000"/>
              </w:rPr>
            </w:pPr>
            <w:r w:rsidRPr="00AF24BD">
              <w:rPr>
                <w:color w:val="000000"/>
              </w:rPr>
              <w:t>Direktīva 2001/95/EK</w:t>
            </w:r>
          </w:p>
        </w:tc>
      </w:tr>
      <w:tr w:rsidR="00C57040" w:rsidRPr="0008472F" w14:paraId="03C153D3" w14:textId="77777777" w:rsidTr="00BB4F85">
        <w:trPr>
          <w:cantSplit/>
        </w:trPr>
        <w:tc>
          <w:tcPr>
            <w:tcW w:w="4312" w:type="dxa"/>
            <w:shd w:val="clear" w:color="auto" w:fill="auto"/>
          </w:tcPr>
          <w:p w14:paraId="1DC8D010" w14:textId="77777777" w:rsidR="00C57040" w:rsidRPr="00AF24BD" w:rsidRDefault="00C57040" w:rsidP="00C57040">
            <w:pPr>
              <w:spacing w:after="120"/>
              <w:jc w:val="left"/>
              <w:rPr>
                <w:color w:val="000000"/>
              </w:rPr>
            </w:pPr>
            <w:r w:rsidRPr="00AF24BD">
              <w:rPr>
                <w:color w:val="000000"/>
              </w:rPr>
              <w:t xml:space="preserve">31.  Biocīdi </w:t>
            </w:r>
          </w:p>
        </w:tc>
        <w:tc>
          <w:tcPr>
            <w:tcW w:w="4296" w:type="dxa"/>
            <w:shd w:val="clear" w:color="auto" w:fill="auto"/>
          </w:tcPr>
          <w:p w14:paraId="3BE2B833" w14:textId="77777777" w:rsidR="00C57040" w:rsidRPr="00AF24BD" w:rsidRDefault="00C57040" w:rsidP="00C57040">
            <w:pPr>
              <w:spacing w:after="120"/>
              <w:jc w:val="left"/>
              <w:rPr>
                <w:color w:val="000000"/>
              </w:rPr>
            </w:pPr>
            <w:r w:rsidRPr="00AF24BD">
              <w:rPr>
                <w:color w:val="000000"/>
              </w:rPr>
              <w:t>Regula (ES) Nr. 528/2012</w:t>
            </w:r>
          </w:p>
        </w:tc>
      </w:tr>
      <w:tr w:rsidR="00C57040" w:rsidRPr="0008472F" w14:paraId="1BC4B48B" w14:textId="77777777" w:rsidTr="00BB4F85">
        <w:trPr>
          <w:cantSplit/>
        </w:trPr>
        <w:tc>
          <w:tcPr>
            <w:tcW w:w="4312" w:type="dxa"/>
            <w:shd w:val="clear" w:color="auto" w:fill="auto"/>
          </w:tcPr>
          <w:p w14:paraId="2AB96A38" w14:textId="77777777" w:rsidR="00C57040" w:rsidRPr="00AF24BD" w:rsidRDefault="00C57040" w:rsidP="00C57040">
            <w:pPr>
              <w:spacing w:after="120"/>
              <w:jc w:val="left"/>
              <w:rPr>
                <w:color w:val="000000"/>
              </w:rPr>
            </w:pPr>
            <w:r w:rsidRPr="00AF24BD">
              <w:rPr>
                <w:color w:val="000000"/>
              </w:rPr>
              <w:t>32. Tekstilizstrādājumu un apavu marķēšana</w:t>
            </w:r>
          </w:p>
        </w:tc>
        <w:tc>
          <w:tcPr>
            <w:tcW w:w="4296" w:type="dxa"/>
            <w:shd w:val="clear" w:color="auto" w:fill="auto"/>
          </w:tcPr>
          <w:p w14:paraId="262CB266" w14:textId="77777777" w:rsidR="00C57040" w:rsidRPr="00AF24BD" w:rsidRDefault="00C57040" w:rsidP="00C57040">
            <w:pPr>
              <w:spacing w:after="120"/>
              <w:jc w:val="left"/>
              <w:rPr>
                <w:color w:val="000000"/>
              </w:rPr>
            </w:pPr>
            <w:r w:rsidRPr="00AF24BD">
              <w:rPr>
                <w:color w:val="000000"/>
              </w:rPr>
              <w:t>Regula (EK) Nr. 1007/2011 un Direktīva 94/11/EK</w:t>
            </w:r>
          </w:p>
        </w:tc>
      </w:tr>
      <w:tr w:rsidR="00C57040" w:rsidRPr="00DE5199" w14:paraId="0DF5522D" w14:textId="77777777" w:rsidTr="00BB4F85">
        <w:trPr>
          <w:cantSplit/>
        </w:trPr>
        <w:tc>
          <w:tcPr>
            <w:tcW w:w="4312" w:type="dxa"/>
            <w:shd w:val="clear" w:color="auto" w:fill="auto"/>
          </w:tcPr>
          <w:p w14:paraId="644F08E4" w14:textId="77777777" w:rsidR="00C57040" w:rsidRPr="00AF24BD" w:rsidRDefault="00C57040" w:rsidP="00C57040">
            <w:pPr>
              <w:spacing w:after="120"/>
              <w:jc w:val="left"/>
              <w:rPr>
                <w:color w:val="000000"/>
              </w:rPr>
            </w:pPr>
            <w:r w:rsidRPr="00AF24BD">
              <w:rPr>
                <w:color w:val="000000"/>
              </w:rPr>
              <w:t>33. Kristāla stikls</w:t>
            </w:r>
          </w:p>
        </w:tc>
        <w:tc>
          <w:tcPr>
            <w:tcW w:w="4296" w:type="dxa"/>
            <w:shd w:val="clear" w:color="auto" w:fill="auto"/>
          </w:tcPr>
          <w:p w14:paraId="47150F35" w14:textId="77777777" w:rsidR="00C57040" w:rsidRPr="00AF24BD" w:rsidRDefault="00C57040" w:rsidP="00C57040">
            <w:pPr>
              <w:spacing w:after="120"/>
              <w:jc w:val="left"/>
              <w:rPr>
                <w:color w:val="000000"/>
              </w:rPr>
            </w:pPr>
            <w:r w:rsidRPr="00AF24BD">
              <w:rPr>
                <w:color w:val="000000"/>
              </w:rPr>
              <w:t xml:space="preserve">Direktīva 69/493/EEK </w:t>
            </w:r>
          </w:p>
        </w:tc>
      </w:tr>
      <w:tr w:rsidR="00C57040" w:rsidRPr="00DE5199" w14:paraId="76262868" w14:textId="77777777" w:rsidTr="00BB4F85">
        <w:trPr>
          <w:cantSplit/>
        </w:trPr>
        <w:tc>
          <w:tcPr>
            <w:tcW w:w="4312" w:type="dxa"/>
            <w:shd w:val="clear" w:color="auto" w:fill="auto"/>
          </w:tcPr>
          <w:p w14:paraId="175E4DBC" w14:textId="77777777" w:rsidR="00C57040" w:rsidRPr="00AF24BD" w:rsidRDefault="00C57040" w:rsidP="00C57040">
            <w:pPr>
              <w:spacing w:after="120"/>
              <w:jc w:val="left"/>
              <w:rPr>
                <w:rFonts w:eastAsia="Calibri"/>
              </w:rPr>
            </w:pPr>
            <w:r w:rsidRPr="00AF24BD">
              <w:t xml:space="preserve">34. </w:t>
            </w:r>
            <w:r>
              <w:rPr>
                <w:color w:val="000000"/>
              </w:rPr>
              <w:t>Tabakas izstrādājumi, elektroniskās smēķēšanas ierīces un to uzpildes šķidrumi</w:t>
            </w:r>
          </w:p>
        </w:tc>
        <w:tc>
          <w:tcPr>
            <w:tcW w:w="4296" w:type="dxa"/>
            <w:shd w:val="clear" w:color="auto" w:fill="auto"/>
          </w:tcPr>
          <w:p w14:paraId="17D8E06B" w14:textId="77777777" w:rsidR="00C57040" w:rsidRPr="00AF24BD" w:rsidRDefault="00C57040" w:rsidP="00C57040">
            <w:pPr>
              <w:spacing w:after="120"/>
              <w:jc w:val="left"/>
            </w:pPr>
            <w:r w:rsidRPr="00AF24BD">
              <w:rPr>
                <w:color w:val="000000"/>
              </w:rPr>
              <w:t>Direktīva </w:t>
            </w:r>
            <w:r>
              <w:rPr>
                <w:color w:val="000000"/>
              </w:rPr>
              <w:t>2014</w:t>
            </w:r>
            <w:r w:rsidRPr="00AF24BD">
              <w:rPr>
                <w:color w:val="000000"/>
              </w:rPr>
              <w:t>/</w:t>
            </w:r>
            <w:r>
              <w:rPr>
                <w:color w:val="000000"/>
              </w:rPr>
              <w:t>40</w:t>
            </w:r>
            <w:r w:rsidRPr="00AF24BD">
              <w:rPr>
                <w:color w:val="000000"/>
              </w:rPr>
              <w:t>/EK</w:t>
            </w:r>
          </w:p>
        </w:tc>
      </w:tr>
      <w:tr w:rsidR="00C57040" w:rsidRPr="00DE5199" w14:paraId="1346B6D0" w14:textId="77777777" w:rsidTr="00BB4F85">
        <w:trPr>
          <w:cantSplit/>
        </w:trPr>
        <w:tc>
          <w:tcPr>
            <w:tcW w:w="4312" w:type="dxa"/>
            <w:shd w:val="clear" w:color="auto" w:fill="auto"/>
          </w:tcPr>
          <w:p w14:paraId="3139249E" w14:textId="671E95F1" w:rsidR="00C57040" w:rsidRPr="00AF24BD" w:rsidRDefault="00C57040" w:rsidP="00C57040">
            <w:pPr>
              <w:spacing w:after="120"/>
              <w:jc w:val="left"/>
            </w:pPr>
            <w:r>
              <w:t>35. Dārgmetālu un dārgakmeņu izstrādājumi</w:t>
            </w:r>
          </w:p>
        </w:tc>
        <w:tc>
          <w:tcPr>
            <w:tcW w:w="4296" w:type="dxa"/>
            <w:shd w:val="clear" w:color="auto" w:fill="auto"/>
          </w:tcPr>
          <w:p w14:paraId="783E90D2" w14:textId="39762CEC" w:rsidR="00C57040" w:rsidRPr="00AF24BD" w:rsidRDefault="00C57040" w:rsidP="00C57040">
            <w:pPr>
              <w:spacing w:after="120"/>
              <w:jc w:val="left"/>
              <w:rPr>
                <w:color w:val="000000"/>
              </w:rPr>
            </w:pPr>
            <w:r>
              <w:t>Regula (EK) Nr. 1907/2006</w:t>
            </w:r>
          </w:p>
        </w:tc>
      </w:tr>
      <w:tr w:rsidR="00C57040" w:rsidRPr="00DE5199" w14:paraId="19CB9F72" w14:textId="77777777" w:rsidTr="00BB4F85">
        <w:trPr>
          <w:cantSplit/>
        </w:trPr>
        <w:tc>
          <w:tcPr>
            <w:tcW w:w="4312" w:type="dxa"/>
            <w:shd w:val="clear" w:color="auto" w:fill="auto"/>
          </w:tcPr>
          <w:p w14:paraId="1FBAE7E0" w14:textId="28BE8B7E" w:rsidR="00C57040" w:rsidRDefault="00C57040" w:rsidP="00C57040">
            <w:pPr>
              <w:spacing w:after="120"/>
              <w:jc w:val="left"/>
            </w:pPr>
            <w:r>
              <w:lastRenderedPageBreak/>
              <w:t>36. Degviela</w:t>
            </w:r>
          </w:p>
        </w:tc>
        <w:tc>
          <w:tcPr>
            <w:tcW w:w="4296" w:type="dxa"/>
            <w:shd w:val="clear" w:color="auto" w:fill="auto"/>
          </w:tcPr>
          <w:p w14:paraId="12622B1D" w14:textId="77777777" w:rsidR="00C57040" w:rsidRDefault="00C57040" w:rsidP="00C57040">
            <w:pPr>
              <w:spacing w:after="0"/>
              <w:jc w:val="left"/>
            </w:pPr>
            <w:r>
              <w:t>Direktīva 98/70/EK;</w:t>
            </w:r>
          </w:p>
          <w:p w14:paraId="5B1CBE0B" w14:textId="77777777" w:rsidR="00C57040" w:rsidRDefault="00C57040" w:rsidP="00C57040">
            <w:pPr>
              <w:spacing w:after="0"/>
              <w:jc w:val="left"/>
            </w:pPr>
            <w:r>
              <w:t>Direktīva 2000/71/EK;</w:t>
            </w:r>
          </w:p>
          <w:p w14:paraId="78B382E9" w14:textId="77777777" w:rsidR="00C57040" w:rsidRDefault="00C57040" w:rsidP="00C57040">
            <w:pPr>
              <w:spacing w:after="0"/>
              <w:jc w:val="left"/>
            </w:pPr>
            <w:r>
              <w:t>Direktīva 2003/17/EK;</w:t>
            </w:r>
          </w:p>
          <w:p w14:paraId="19B21976" w14:textId="77777777" w:rsidR="00C57040" w:rsidRDefault="00C57040" w:rsidP="00C57040">
            <w:pPr>
              <w:spacing w:after="0"/>
              <w:jc w:val="left"/>
            </w:pPr>
            <w:r>
              <w:t>Direktīva 2009/30/EK;</w:t>
            </w:r>
          </w:p>
          <w:p w14:paraId="60877E3C" w14:textId="77777777" w:rsidR="00C57040" w:rsidRDefault="00C57040" w:rsidP="00C57040">
            <w:pPr>
              <w:spacing w:after="0"/>
              <w:jc w:val="left"/>
            </w:pPr>
            <w:r>
              <w:t>Direktīva 2011/63/ES</w:t>
            </w:r>
          </w:p>
          <w:p w14:paraId="4902B0BE" w14:textId="77777777" w:rsidR="00C57040" w:rsidRDefault="00C57040" w:rsidP="00C57040">
            <w:pPr>
              <w:spacing w:after="0"/>
              <w:jc w:val="left"/>
            </w:pPr>
            <w:r>
              <w:t>Direktīva 2009/28/EK;</w:t>
            </w:r>
          </w:p>
          <w:p w14:paraId="605E395D" w14:textId="074346EA" w:rsidR="00C57040" w:rsidRDefault="00C57040" w:rsidP="00C57040">
            <w:pPr>
              <w:spacing w:after="120"/>
              <w:jc w:val="left"/>
            </w:pPr>
            <w:r>
              <w:t>Direktīva 2015/253/ES</w:t>
            </w:r>
          </w:p>
        </w:tc>
      </w:tr>
      <w:tr w:rsidR="00C57040" w:rsidRPr="00DE5199" w14:paraId="7E165E1A" w14:textId="77777777" w:rsidTr="00BB4F85">
        <w:trPr>
          <w:cantSplit/>
        </w:trPr>
        <w:tc>
          <w:tcPr>
            <w:tcW w:w="4312" w:type="dxa"/>
            <w:shd w:val="clear" w:color="auto" w:fill="auto"/>
          </w:tcPr>
          <w:p w14:paraId="0DDFDD32" w14:textId="4550CBDE" w:rsidR="00C57040" w:rsidRDefault="00C57040" w:rsidP="00C57040">
            <w:pPr>
              <w:spacing w:after="120"/>
              <w:jc w:val="left"/>
            </w:pPr>
            <w:r>
              <w:t>37. Cenu norādīšana</w:t>
            </w:r>
          </w:p>
        </w:tc>
        <w:tc>
          <w:tcPr>
            <w:tcW w:w="4296" w:type="dxa"/>
            <w:shd w:val="clear" w:color="auto" w:fill="auto"/>
          </w:tcPr>
          <w:p w14:paraId="201DBB64" w14:textId="77777777" w:rsidR="00C57040" w:rsidRPr="00AC60E5" w:rsidRDefault="00C57040" w:rsidP="00C57040">
            <w:pPr>
              <w:spacing w:after="0"/>
              <w:jc w:val="left"/>
            </w:pPr>
            <w:r w:rsidRPr="00AC60E5">
              <w:t>Direktīva 98/6/EK</w:t>
            </w:r>
          </w:p>
          <w:p w14:paraId="603576AB" w14:textId="77777777" w:rsidR="00C57040" w:rsidRDefault="00C57040" w:rsidP="00C57040">
            <w:pPr>
              <w:spacing w:after="0"/>
              <w:jc w:val="left"/>
            </w:pPr>
          </w:p>
        </w:tc>
      </w:tr>
      <w:tr w:rsidR="00C57040" w:rsidRPr="00DE5199" w14:paraId="7D7063D5" w14:textId="77777777" w:rsidTr="00BB4F85">
        <w:trPr>
          <w:cantSplit/>
        </w:trPr>
        <w:tc>
          <w:tcPr>
            <w:tcW w:w="4312" w:type="dxa"/>
            <w:shd w:val="clear" w:color="auto" w:fill="auto"/>
          </w:tcPr>
          <w:p w14:paraId="4CFA2608" w14:textId="578EFF12" w:rsidR="00C57040" w:rsidRDefault="00C57040" w:rsidP="00C57040">
            <w:pPr>
              <w:spacing w:after="120"/>
              <w:jc w:val="left"/>
            </w:pPr>
            <w:r>
              <w:t>38. B</w:t>
            </w:r>
            <w:r w:rsidRPr="00B76D65">
              <w:t>ezpilota gaisa kuģu sistēm</w:t>
            </w:r>
            <w:r>
              <w:t>as</w:t>
            </w:r>
          </w:p>
        </w:tc>
        <w:tc>
          <w:tcPr>
            <w:tcW w:w="4296" w:type="dxa"/>
            <w:shd w:val="clear" w:color="auto" w:fill="auto"/>
          </w:tcPr>
          <w:p w14:paraId="3391DA4C" w14:textId="67CDBED7" w:rsidR="00C57040" w:rsidRPr="00AC60E5" w:rsidRDefault="00C57040" w:rsidP="00C57040">
            <w:pPr>
              <w:spacing w:after="0"/>
              <w:jc w:val="left"/>
            </w:pPr>
            <w:r w:rsidRPr="00B76D65">
              <w:t>Deleģētā regula (ES) 2019/945</w:t>
            </w:r>
          </w:p>
        </w:tc>
      </w:tr>
    </w:tbl>
    <w:p w14:paraId="30E91F2F" w14:textId="77777777" w:rsidR="00367AF3" w:rsidRPr="00DE5199" w:rsidRDefault="00367AF3" w:rsidP="00367AF3">
      <w:pPr>
        <w:rPr>
          <w:szCs w:val="24"/>
        </w:rPr>
      </w:pPr>
    </w:p>
    <w:p w14:paraId="7A5E1C39" w14:textId="77777777" w:rsidR="00367AF3" w:rsidRPr="00DE5199" w:rsidRDefault="00367AF3" w:rsidP="00367AF3">
      <w:pPr>
        <w:pStyle w:val="Releasable"/>
        <w:jc w:val="both"/>
      </w:pPr>
    </w:p>
    <w:sectPr w:rsidR="00367AF3" w:rsidRPr="00DE5199" w:rsidSect="00505B38">
      <w:footerReference w:type="default" r:id="rId35"/>
      <w:headerReference w:type="first" r:id="rId36"/>
      <w:pgSz w:w="11906" w:h="16838"/>
      <w:pgMar w:top="1020" w:right="1701" w:bottom="1020" w:left="1587" w:header="601" w:footer="107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4C696" w14:textId="77777777" w:rsidR="00A71BB0" w:rsidRDefault="00A71BB0" w:rsidP="0018281A">
      <w:pPr>
        <w:spacing w:after="0"/>
      </w:pPr>
      <w:r>
        <w:separator/>
      </w:r>
    </w:p>
  </w:endnote>
  <w:endnote w:type="continuationSeparator" w:id="0">
    <w:p w14:paraId="74B49F41" w14:textId="77777777" w:rsidR="00A71BB0" w:rsidRDefault="00A71BB0" w:rsidP="001828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altName w:val="Times New Roman"/>
    <w:panose1 w:val="020B0604030504040204"/>
    <w:charset w:val="BA"/>
    <w:family w:val="swiss"/>
    <w:pitch w:val="variable"/>
    <w:sig w:usb0="E1002EFF" w:usb1="C000605B" w:usb2="00000029" w:usb3="00000000" w:csb0="000101FF" w:csb1="00000000"/>
  </w:font>
  <w:font w:name="EUAlbertina-Bol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w:altName w:val="Times New Roman"/>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BA0F5" w14:textId="77777777" w:rsidR="00BD1E6D" w:rsidRDefault="00BD1E6D">
    <w:pPr>
      <w:pStyle w:val="Footer"/>
      <w:jc w:val="center"/>
    </w:pPr>
    <w:r>
      <w:rPr>
        <w:noProof/>
      </w:rPr>
      <w:fldChar w:fldCharType="begin"/>
    </w:r>
    <w:r>
      <w:rPr>
        <w:noProof/>
      </w:rPr>
      <w:instrText>PAGE</w:instrText>
    </w:r>
    <w:r>
      <w:rPr>
        <w:noProof/>
      </w:rPr>
      <w:fldChar w:fldCharType="separate"/>
    </w:r>
    <w:r>
      <w:rPr>
        <w:noProof/>
      </w:rPr>
      <w:t>32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C49C5" w14:textId="77777777" w:rsidR="00A71BB0" w:rsidRDefault="00A71BB0" w:rsidP="0018281A">
      <w:pPr>
        <w:spacing w:after="0"/>
      </w:pPr>
      <w:r>
        <w:separator/>
      </w:r>
    </w:p>
  </w:footnote>
  <w:footnote w:type="continuationSeparator" w:id="0">
    <w:p w14:paraId="5A62F73E" w14:textId="77777777" w:rsidR="00A71BB0" w:rsidRDefault="00A71BB0" w:rsidP="0018281A">
      <w:pPr>
        <w:spacing w:after="0"/>
      </w:pPr>
      <w:r>
        <w:continuationSeparator/>
      </w:r>
    </w:p>
  </w:footnote>
  <w:footnote w:id="1">
    <w:p w14:paraId="4B211974" w14:textId="77777777" w:rsidR="00BD1E6D" w:rsidRDefault="00BD1E6D" w:rsidP="004600C0">
      <w:pPr>
        <w:pStyle w:val="FootnoteText"/>
      </w:pPr>
      <w:r>
        <w:rPr>
          <w:rStyle w:val="FootnoteReference"/>
        </w:rPr>
        <w:footnoteRef/>
      </w:r>
      <w:r>
        <w:t xml:space="preserve"> Ministru kabineta </w:t>
      </w:r>
      <w:r w:rsidRPr="00BB4AA0">
        <w:t xml:space="preserve">2004. gada 23. novembra noteikumi Nr. 962 </w:t>
      </w:r>
      <w:r>
        <w:t>“</w:t>
      </w:r>
      <w:r w:rsidRPr="00BB4AA0">
        <w:t>Valsts vides dienesta nolikums</w:t>
      </w:r>
      <w:r>
        <w:t>”</w:t>
      </w:r>
    </w:p>
  </w:footnote>
  <w:footnote w:id="2">
    <w:p w14:paraId="714E939D" w14:textId="77777777" w:rsidR="00BD1E6D" w:rsidRDefault="00BD1E6D" w:rsidP="004600C0">
      <w:pPr>
        <w:pStyle w:val="FootnoteText"/>
      </w:pPr>
      <w:r>
        <w:rPr>
          <w:rStyle w:val="FootnoteReference"/>
        </w:rPr>
        <w:footnoteRef/>
      </w:r>
      <w:r>
        <w:t xml:space="preserve"> Vides inspicēšanas plānu izstrādā atbilstoši likuma “Par piesārņojumu” 49.panta pirmajā daļā un divi prim pirmajā daļā noteiktajām prasībām.</w:t>
      </w:r>
    </w:p>
  </w:footnote>
  <w:footnote w:id="3">
    <w:p w14:paraId="13E71ECF" w14:textId="77777777" w:rsidR="00BD1E6D" w:rsidRPr="005F5809" w:rsidRDefault="00BD1E6D" w:rsidP="00870980">
      <w:pPr>
        <w:pStyle w:val="FootnoteText"/>
        <w:spacing w:after="120"/>
      </w:pPr>
      <w:r>
        <w:rPr>
          <w:rStyle w:val="FootnoteReference"/>
        </w:rPr>
        <w:footnoteRef/>
      </w:r>
      <w:r>
        <w:t xml:space="preserve"> </w:t>
      </w:r>
      <w:r>
        <w:tab/>
        <w:t xml:space="preserve">Ērtības labad šajā tabulā ir norādīti spēkā esošie ES tiesību akti. Jāņem vērā arī jaunie tiesību akti, kas aizstāj tabulā minētos aktus un ir piemērojami attiecīgajā laikposmā.  </w:t>
      </w:r>
    </w:p>
  </w:footnote>
  <w:footnote w:id="4">
    <w:p w14:paraId="2495B348" w14:textId="77777777" w:rsidR="00BD1E6D" w:rsidRPr="00372B51" w:rsidRDefault="00BD1E6D" w:rsidP="00870980">
      <w:pPr>
        <w:pStyle w:val="FootnoteText"/>
        <w:spacing w:after="120"/>
      </w:pPr>
      <w:r>
        <w:rPr>
          <w:rStyle w:val="FootnoteReference"/>
        </w:rPr>
        <w:footnoteRef/>
      </w:r>
      <w:r>
        <w:t xml:space="preserve"> </w:t>
      </w:r>
      <w:r>
        <w:tab/>
        <w:t>Ērtības labad dažos gadījumos (piemēram, attiecībā uz ekodizainu, energomarķējumu) šajā tabulā minēti tikai ES pamata tiesību akti, taču paredzēts aptvert arī tos ES tiesību aktus, kas attiecas uz konkrētiem ražojumiem.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1A4BD" w14:textId="77777777" w:rsidR="00BD1E6D" w:rsidRDefault="00BD1E6D">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2"/>
    <w:multiLevelType w:val="singleLevel"/>
    <w:tmpl w:val="00000002"/>
    <w:name w:val="WW8Num2"/>
    <w:lvl w:ilvl="0">
      <w:start w:val="3"/>
      <w:numFmt w:val="decimal"/>
      <w:lvlText w:val="%1."/>
      <w:lvlJc w:val="left"/>
      <w:pPr>
        <w:tabs>
          <w:tab w:val="num" w:pos="735"/>
        </w:tabs>
        <w:ind w:left="735" w:hanging="360"/>
      </w:pPr>
    </w:lvl>
  </w:abstractNum>
  <w:abstractNum w:abstractNumId="3" w15:restartNumberingAfterBreak="0">
    <w:nsid w:val="0B777E8B"/>
    <w:multiLevelType w:val="hybridMultilevel"/>
    <w:tmpl w:val="B7105E34"/>
    <w:lvl w:ilvl="0" w:tplc="45E02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BC936E0"/>
    <w:multiLevelType w:val="hybridMultilevel"/>
    <w:tmpl w:val="C7C0B5D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1C8561B9"/>
    <w:multiLevelType w:val="multilevel"/>
    <w:tmpl w:val="BCD493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F27F79"/>
    <w:multiLevelType w:val="multilevel"/>
    <w:tmpl w:val="C0D40DE2"/>
    <w:lvl w:ilvl="0">
      <w:start w:val="1"/>
      <w:numFmt w:val="decimal"/>
      <w:lvlText w:val="%1."/>
      <w:lvlJc w:val="left"/>
      <w:pPr>
        <w:ind w:left="1647" w:hanging="360"/>
      </w:pPr>
      <w:rPr>
        <w:rFonts w:ascii="Times New Roman" w:eastAsia="Calibri" w:hAnsi="Times New Roman" w:cs="Times New Roman"/>
      </w:rPr>
    </w:lvl>
    <w:lvl w:ilvl="1">
      <w:start w:val="4"/>
      <w:numFmt w:val="decimal"/>
      <w:isLgl/>
      <w:lvlText w:val="%1.%2."/>
      <w:lvlJc w:val="left"/>
      <w:pPr>
        <w:ind w:left="1827" w:hanging="540"/>
      </w:pPr>
    </w:lvl>
    <w:lvl w:ilvl="2">
      <w:start w:val="1"/>
      <w:numFmt w:val="decimal"/>
      <w:isLgl/>
      <w:lvlText w:val="%1.%2.%3."/>
      <w:lvlJc w:val="left"/>
      <w:pPr>
        <w:ind w:left="2007" w:hanging="720"/>
      </w:pPr>
    </w:lvl>
    <w:lvl w:ilvl="3">
      <w:start w:val="1"/>
      <w:numFmt w:val="decimal"/>
      <w:isLgl/>
      <w:lvlText w:val="%1.%2.%3.%4."/>
      <w:lvlJc w:val="left"/>
      <w:pPr>
        <w:ind w:left="2007" w:hanging="720"/>
      </w:pPr>
    </w:lvl>
    <w:lvl w:ilvl="4">
      <w:start w:val="1"/>
      <w:numFmt w:val="decimal"/>
      <w:isLgl/>
      <w:lvlText w:val="%1.%2.%3.%4.%5."/>
      <w:lvlJc w:val="left"/>
      <w:pPr>
        <w:ind w:left="2367" w:hanging="1080"/>
      </w:pPr>
    </w:lvl>
    <w:lvl w:ilvl="5">
      <w:start w:val="1"/>
      <w:numFmt w:val="decimal"/>
      <w:isLgl/>
      <w:lvlText w:val="%1.%2.%3.%4.%5.%6."/>
      <w:lvlJc w:val="left"/>
      <w:pPr>
        <w:ind w:left="2367" w:hanging="1080"/>
      </w:pPr>
    </w:lvl>
    <w:lvl w:ilvl="6">
      <w:start w:val="1"/>
      <w:numFmt w:val="decimal"/>
      <w:isLgl/>
      <w:lvlText w:val="%1.%2.%3.%4.%5.%6.%7."/>
      <w:lvlJc w:val="left"/>
      <w:pPr>
        <w:ind w:left="2727" w:hanging="1440"/>
      </w:pPr>
    </w:lvl>
    <w:lvl w:ilvl="7">
      <w:start w:val="1"/>
      <w:numFmt w:val="decimal"/>
      <w:isLgl/>
      <w:lvlText w:val="%1.%2.%3.%4.%5.%6.%7.%8."/>
      <w:lvlJc w:val="left"/>
      <w:pPr>
        <w:ind w:left="2727" w:hanging="1440"/>
      </w:pPr>
    </w:lvl>
    <w:lvl w:ilvl="8">
      <w:start w:val="1"/>
      <w:numFmt w:val="decimal"/>
      <w:isLgl/>
      <w:lvlText w:val="%1.%2.%3.%4.%5.%6.%7.%8.%9."/>
      <w:lvlJc w:val="left"/>
      <w:pPr>
        <w:ind w:left="3087" w:hanging="1800"/>
      </w:pPr>
    </w:lvl>
  </w:abstractNum>
  <w:abstractNum w:abstractNumId="8" w15:restartNumberingAfterBreak="0">
    <w:nsid w:val="1F734306"/>
    <w:multiLevelType w:val="multilevel"/>
    <w:tmpl w:val="0D64F7A2"/>
    <w:lvl w:ilvl="0">
      <w:start w:val="1"/>
      <w:numFmt w:val="decimal"/>
      <w:pStyle w:val="Heading1"/>
      <w:lvlText w:val="%1."/>
      <w:lvlJc w:val="left"/>
      <w:pPr>
        <w:tabs>
          <w:tab w:val="num" w:pos="480"/>
        </w:tabs>
        <w:ind w:left="480" w:hanging="480"/>
      </w:pPr>
      <w:rPr>
        <w:rFonts w:hint="default"/>
      </w:rPr>
    </w:lvl>
    <w:lvl w:ilvl="1">
      <w:start w:val="1"/>
      <w:numFmt w:val="decimal"/>
      <w:pStyle w:val="Heading2"/>
      <w:lvlText w:val="%1.%2."/>
      <w:lvlJc w:val="left"/>
      <w:pPr>
        <w:tabs>
          <w:tab w:val="num" w:pos="2279"/>
        </w:tabs>
        <w:ind w:left="2279" w:hanging="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3414"/>
        </w:tabs>
        <w:ind w:left="3414" w:hanging="720"/>
      </w:pPr>
      <w:rPr>
        <w:rFonts w:hint="default"/>
      </w:rPr>
    </w:lvl>
    <w:lvl w:ilvl="3">
      <w:start w:val="1"/>
      <w:numFmt w:val="decimal"/>
      <w:pStyle w:val="Heading4"/>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CBF67CD"/>
    <w:multiLevelType w:val="hybridMultilevel"/>
    <w:tmpl w:val="FA4256F6"/>
    <w:lvl w:ilvl="0" w:tplc="F9C237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4"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6"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7" w15:restartNumberingAfterBreak="0">
    <w:nsid w:val="440B2175"/>
    <w:multiLevelType w:val="hybridMultilevel"/>
    <w:tmpl w:val="6D98F7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9" w15:restartNumberingAfterBreak="0">
    <w:nsid w:val="4A0319AC"/>
    <w:multiLevelType w:val="hybridMultilevel"/>
    <w:tmpl w:val="C18A638A"/>
    <w:lvl w:ilvl="0" w:tplc="26E6A8A8">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1" w15:restartNumberingAfterBreak="0">
    <w:nsid w:val="56634C2E"/>
    <w:multiLevelType w:val="hybridMultilevel"/>
    <w:tmpl w:val="811A4D9E"/>
    <w:lvl w:ilvl="0" w:tplc="D438FFD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5" w15:restartNumberingAfterBreak="0">
    <w:nsid w:val="64944AE0"/>
    <w:multiLevelType w:val="hybridMultilevel"/>
    <w:tmpl w:val="9B582B2A"/>
    <w:lvl w:ilvl="0" w:tplc="72EC496C">
      <w:start w:val="1"/>
      <w:numFmt w:val="decimal"/>
      <w:lvlText w:val="%1."/>
      <w:lvlJc w:val="left"/>
      <w:pPr>
        <w:ind w:left="720" w:hanging="360"/>
      </w:pPr>
      <w:rPr>
        <w:rFonts w:ascii="Calibri" w:eastAsia="Calibri" w:hAnsi="Calibri" w:cs="Times New Roman"/>
        <w:b w:val="0"/>
        <w:sz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7"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78568DB"/>
    <w:multiLevelType w:val="multilevel"/>
    <w:tmpl w:val="CAEA1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96529530">
    <w:abstractNumId w:val="1"/>
  </w:num>
  <w:num w:numId="2" w16cid:durableId="1081485134">
    <w:abstractNumId w:val="0"/>
  </w:num>
  <w:num w:numId="3" w16cid:durableId="1308781839">
    <w:abstractNumId w:val="8"/>
  </w:num>
  <w:num w:numId="4" w16cid:durableId="2085909329">
    <w:abstractNumId w:val="16"/>
  </w:num>
  <w:num w:numId="5" w16cid:durableId="676810874">
    <w:abstractNumId w:val="10"/>
  </w:num>
  <w:num w:numId="6" w16cid:durableId="2017295407">
    <w:abstractNumId w:val="15"/>
  </w:num>
  <w:num w:numId="7" w16cid:durableId="420034053">
    <w:abstractNumId w:val="24"/>
  </w:num>
  <w:num w:numId="8" w16cid:durableId="642587762">
    <w:abstractNumId w:val="26"/>
  </w:num>
  <w:num w:numId="9" w16cid:durableId="1094983897">
    <w:abstractNumId w:val="13"/>
  </w:num>
  <w:num w:numId="10" w16cid:durableId="2045790415">
    <w:abstractNumId w:val="23"/>
  </w:num>
  <w:num w:numId="11" w16cid:durableId="1605772589">
    <w:abstractNumId w:val="22"/>
  </w:num>
  <w:num w:numId="12" w16cid:durableId="2100252388">
    <w:abstractNumId w:val="18"/>
  </w:num>
  <w:num w:numId="13" w16cid:durableId="170686781">
    <w:abstractNumId w:val="20"/>
  </w:num>
  <w:num w:numId="14" w16cid:durableId="1207643648">
    <w:abstractNumId w:val="9"/>
  </w:num>
  <w:num w:numId="15" w16cid:durableId="2050951526">
    <w:abstractNumId w:val="14"/>
  </w:num>
  <w:num w:numId="16" w16cid:durableId="281962357">
    <w:abstractNumId w:val="4"/>
  </w:num>
  <w:num w:numId="17" w16cid:durableId="263656896">
    <w:abstractNumId w:val="11"/>
  </w:num>
  <w:num w:numId="18" w16cid:durableId="1421684545">
    <w:abstractNumId w:val="27"/>
  </w:num>
  <w:num w:numId="19" w16cid:durableId="6550337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52816041">
    <w:abstractNumId w:val="17"/>
  </w:num>
  <w:num w:numId="21" w16cid:durableId="1661691876">
    <w:abstractNumId w:val="8"/>
    <w:lvlOverride w:ilvl="0">
      <w:startOverride w:val="2"/>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2218465">
    <w:abstractNumId w:val="5"/>
  </w:num>
  <w:num w:numId="23" w16cid:durableId="1332639733">
    <w:abstractNumId w:val="8"/>
    <w:lvlOverride w:ilvl="0">
      <w:startOverride w:val="2"/>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10078639">
    <w:abstractNumId w:val="6"/>
    <w:lvlOverride w:ilvl="0"/>
    <w:lvlOverride w:ilvl="1">
      <w:startOverride w:val="1"/>
    </w:lvlOverride>
    <w:lvlOverride w:ilvl="2"/>
    <w:lvlOverride w:ilvl="3"/>
    <w:lvlOverride w:ilvl="4"/>
    <w:lvlOverride w:ilvl="5"/>
    <w:lvlOverride w:ilvl="6"/>
    <w:lvlOverride w:ilvl="7"/>
    <w:lvlOverride w:ilvl="8"/>
  </w:num>
  <w:num w:numId="25" w16cid:durableId="1258052785">
    <w:abstractNumId w:val="28"/>
  </w:num>
  <w:num w:numId="26" w16cid:durableId="1997613188">
    <w:abstractNumId w:val="8"/>
    <w:lvlOverride w:ilvl="0">
      <w:startOverride w:val="2"/>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91639388">
    <w:abstractNumId w:val="8"/>
    <w:lvlOverride w:ilvl="0">
      <w:startOverride w:val="2"/>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65832029">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67948067">
    <w:abstractNumId w:val="25"/>
    <w:lvlOverride w:ilvl="0">
      <w:startOverride w:val="1"/>
    </w:lvlOverride>
    <w:lvlOverride w:ilvl="1"/>
    <w:lvlOverride w:ilvl="2"/>
    <w:lvlOverride w:ilvl="3"/>
    <w:lvlOverride w:ilvl="4"/>
    <w:lvlOverride w:ilvl="5"/>
    <w:lvlOverride w:ilvl="6"/>
    <w:lvlOverride w:ilvl="7"/>
    <w:lvlOverride w:ilvl="8"/>
  </w:num>
  <w:num w:numId="30" w16cid:durableId="114182263">
    <w:abstractNumId w:val="8"/>
  </w:num>
  <w:num w:numId="31" w16cid:durableId="1478449191">
    <w:abstractNumId w:val="21"/>
  </w:num>
  <w:num w:numId="32" w16cid:durableId="20257385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5725686">
    <w:abstractNumId w:val="8"/>
    <w:lvlOverride w:ilvl="0">
      <w:startOverride w:val="2"/>
    </w:lvlOverride>
    <w:lvlOverride w:ilvl="1">
      <w:startOverride w:val="2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27220843">
    <w:abstractNumId w:val="8"/>
    <w:lvlOverride w:ilvl="0">
      <w:startOverride w:val="2"/>
    </w:lvlOverride>
    <w:lvlOverride w:ilvl="1">
      <w:startOverride w:val="2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9063260">
    <w:abstractNumId w:val="12"/>
  </w:num>
  <w:num w:numId="36" w16cid:durableId="1859465827">
    <w:abstractNumId w:val="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18281A"/>
    <w:rsid w:val="00003B39"/>
    <w:rsid w:val="000071C2"/>
    <w:rsid w:val="00010645"/>
    <w:rsid w:val="000139FA"/>
    <w:rsid w:val="0001440E"/>
    <w:rsid w:val="0001695F"/>
    <w:rsid w:val="00020A38"/>
    <w:rsid w:val="00020C7D"/>
    <w:rsid w:val="00035EC1"/>
    <w:rsid w:val="000363F5"/>
    <w:rsid w:val="00045ADA"/>
    <w:rsid w:val="000504DF"/>
    <w:rsid w:val="0005105C"/>
    <w:rsid w:val="00052C75"/>
    <w:rsid w:val="00054149"/>
    <w:rsid w:val="000612DB"/>
    <w:rsid w:val="00065F8E"/>
    <w:rsid w:val="00067ACB"/>
    <w:rsid w:val="00070C99"/>
    <w:rsid w:val="00077E3F"/>
    <w:rsid w:val="00077E4A"/>
    <w:rsid w:val="00081317"/>
    <w:rsid w:val="00083AEF"/>
    <w:rsid w:val="0008472F"/>
    <w:rsid w:val="00085499"/>
    <w:rsid w:val="00085A25"/>
    <w:rsid w:val="00091B57"/>
    <w:rsid w:val="0009359B"/>
    <w:rsid w:val="000944B4"/>
    <w:rsid w:val="00097438"/>
    <w:rsid w:val="00097D50"/>
    <w:rsid w:val="000A28A0"/>
    <w:rsid w:val="000A2C64"/>
    <w:rsid w:val="000A4601"/>
    <w:rsid w:val="000B08F2"/>
    <w:rsid w:val="000B1D5C"/>
    <w:rsid w:val="000B2193"/>
    <w:rsid w:val="000B69FF"/>
    <w:rsid w:val="000B7C88"/>
    <w:rsid w:val="000C034F"/>
    <w:rsid w:val="000C2F57"/>
    <w:rsid w:val="000D4B98"/>
    <w:rsid w:val="000D711B"/>
    <w:rsid w:val="000D7CF5"/>
    <w:rsid w:val="000E22B0"/>
    <w:rsid w:val="000E5A7C"/>
    <w:rsid w:val="000E629F"/>
    <w:rsid w:val="000E6780"/>
    <w:rsid w:val="000E6C2D"/>
    <w:rsid w:val="000F0C62"/>
    <w:rsid w:val="0010113F"/>
    <w:rsid w:val="001043AF"/>
    <w:rsid w:val="00106813"/>
    <w:rsid w:val="00114EA8"/>
    <w:rsid w:val="001210E0"/>
    <w:rsid w:val="001212A5"/>
    <w:rsid w:val="001221C1"/>
    <w:rsid w:val="001225C5"/>
    <w:rsid w:val="001231E8"/>
    <w:rsid w:val="0012457C"/>
    <w:rsid w:val="00125479"/>
    <w:rsid w:val="00131D22"/>
    <w:rsid w:val="00136301"/>
    <w:rsid w:val="00136AAF"/>
    <w:rsid w:val="00142F3D"/>
    <w:rsid w:val="001478D5"/>
    <w:rsid w:val="00154326"/>
    <w:rsid w:val="00155E6D"/>
    <w:rsid w:val="00156B0B"/>
    <w:rsid w:val="00164F42"/>
    <w:rsid w:val="00167D22"/>
    <w:rsid w:val="0017380A"/>
    <w:rsid w:val="00173E3D"/>
    <w:rsid w:val="0018281A"/>
    <w:rsid w:val="0018567E"/>
    <w:rsid w:val="00185A2F"/>
    <w:rsid w:val="001958AC"/>
    <w:rsid w:val="00197763"/>
    <w:rsid w:val="001A1128"/>
    <w:rsid w:val="001A1C36"/>
    <w:rsid w:val="001A34BF"/>
    <w:rsid w:val="001A5C6B"/>
    <w:rsid w:val="001B023C"/>
    <w:rsid w:val="001C6354"/>
    <w:rsid w:val="001C7A14"/>
    <w:rsid w:val="001D2571"/>
    <w:rsid w:val="001D2B2B"/>
    <w:rsid w:val="001D2D70"/>
    <w:rsid w:val="001D42D0"/>
    <w:rsid w:val="001D4CDA"/>
    <w:rsid w:val="001D5D48"/>
    <w:rsid w:val="001D65C2"/>
    <w:rsid w:val="001E001E"/>
    <w:rsid w:val="001F65D1"/>
    <w:rsid w:val="001F6C4C"/>
    <w:rsid w:val="002078EF"/>
    <w:rsid w:val="002145BB"/>
    <w:rsid w:val="00220E8B"/>
    <w:rsid w:val="002212BB"/>
    <w:rsid w:val="00224534"/>
    <w:rsid w:val="0024065A"/>
    <w:rsid w:val="00241F5E"/>
    <w:rsid w:val="00244BC4"/>
    <w:rsid w:val="0026138D"/>
    <w:rsid w:val="00262C30"/>
    <w:rsid w:val="002710F9"/>
    <w:rsid w:val="00274848"/>
    <w:rsid w:val="00276DD2"/>
    <w:rsid w:val="00280A5A"/>
    <w:rsid w:val="00283395"/>
    <w:rsid w:val="00284886"/>
    <w:rsid w:val="0028541F"/>
    <w:rsid w:val="00293B0A"/>
    <w:rsid w:val="00293D83"/>
    <w:rsid w:val="00293ED0"/>
    <w:rsid w:val="00294188"/>
    <w:rsid w:val="002949B0"/>
    <w:rsid w:val="0029753A"/>
    <w:rsid w:val="00297787"/>
    <w:rsid w:val="002B0D48"/>
    <w:rsid w:val="002B1C4F"/>
    <w:rsid w:val="002B7537"/>
    <w:rsid w:val="002C1DDB"/>
    <w:rsid w:val="002D6B15"/>
    <w:rsid w:val="002D6D2D"/>
    <w:rsid w:val="002D6EC0"/>
    <w:rsid w:val="002E5045"/>
    <w:rsid w:val="002F1A76"/>
    <w:rsid w:val="002F2AED"/>
    <w:rsid w:val="002F7621"/>
    <w:rsid w:val="00301242"/>
    <w:rsid w:val="00302B7B"/>
    <w:rsid w:val="00307F30"/>
    <w:rsid w:val="003111C1"/>
    <w:rsid w:val="00313AEA"/>
    <w:rsid w:val="00313F2E"/>
    <w:rsid w:val="00322C36"/>
    <w:rsid w:val="00327EDA"/>
    <w:rsid w:val="00330904"/>
    <w:rsid w:val="003329BA"/>
    <w:rsid w:val="00335F28"/>
    <w:rsid w:val="00340804"/>
    <w:rsid w:val="0034153C"/>
    <w:rsid w:val="00342152"/>
    <w:rsid w:val="003434B8"/>
    <w:rsid w:val="00343690"/>
    <w:rsid w:val="00344376"/>
    <w:rsid w:val="00344634"/>
    <w:rsid w:val="0034483D"/>
    <w:rsid w:val="00351AD8"/>
    <w:rsid w:val="00363E06"/>
    <w:rsid w:val="00367AF3"/>
    <w:rsid w:val="00370093"/>
    <w:rsid w:val="00371FB2"/>
    <w:rsid w:val="00372B51"/>
    <w:rsid w:val="00382D48"/>
    <w:rsid w:val="00385839"/>
    <w:rsid w:val="00386B41"/>
    <w:rsid w:val="0039724F"/>
    <w:rsid w:val="00397C48"/>
    <w:rsid w:val="003A3061"/>
    <w:rsid w:val="003B0E34"/>
    <w:rsid w:val="003B4180"/>
    <w:rsid w:val="003B602E"/>
    <w:rsid w:val="003C5B83"/>
    <w:rsid w:val="003D17CF"/>
    <w:rsid w:val="003E0CF1"/>
    <w:rsid w:val="003E0E87"/>
    <w:rsid w:val="003E4E2A"/>
    <w:rsid w:val="003F285E"/>
    <w:rsid w:val="003F5025"/>
    <w:rsid w:val="003F62B8"/>
    <w:rsid w:val="003F7EAE"/>
    <w:rsid w:val="00400594"/>
    <w:rsid w:val="00402A33"/>
    <w:rsid w:val="00402A5E"/>
    <w:rsid w:val="004059F6"/>
    <w:rsid w:val="00407010"/>
    <w:rsid w:val="00407264"/>
    <w:rsid w:val="004100D9"/>
    <w:rsid w:val="00412128"/>
    <w:rsid w:val="00412D18"/>
    <w:rsid w:val="00416B42"/>
    <w:rsid w:val="00417C93"/>
    <w:rsid w:val="00420E0B"/>
    <w:rsid w:val="00424DFD"/>
    <w:rsid w:val="00425240"/>
    <w:rsid w:val="00432DF0"/>
    <w:rsid w:val="00433FEA"/>
    <w:rsid w:val="0043605D"/>
    <w:rsid w:val="0044372F"/>
    <w:rsid w:val="00446958"/>
    <w:rsid w:val="004529A8"/>
    <w:rsid w:val="004600C0"/>
    <w:rsid w:val="0046073F"/>
    <w:rsid w:val="00460AF9"/>
    <w:rsid w:val="00466ED9"/>
    <w:rsid w:val="0046729E"/>
    <w:rsid w:val="00467325"/>
    <w:rsid w:val="00467413"/>
    <w:rsid w:val="00473D0D"/>
    <w:rsid w:val="00480C36"/>
    <w:rsid w:val="00483450"/>
    <w:rsid w:val="00487A7F"/>
    <w:rsid w:val="00491A23"/>
    <w:rsid w:val="00491FA4"/>
    <w:rsid w:val="0049671E"/>
    <w:rsid w:val="004975B7"/>
    <w:rsid w:val="004A314E"/>
    <w:rsid w:val="004A424B"/>
    <w:rsid w:val="004A67A0"/>
    <w:rsid w:val="004A7DFD"/>
    <w:rsid w:val="004B46DC"/>
    <w:rsid w:val="004B57CA"/>
    <w:rsid w:val="004B6D1B"/>
    <w:rsid w:val="004C166F"/>
    <w:rsid w:val="004C490F"/>
    <w:rsid w:val="004C753D"/>
    <w:rsid w:val="004C7639"/>
    <w:rsid w:val="004D4390"/>
    <w:rsid w:val="004E1048"/>
    <w:rsid w:val="004E2121"/>
    <w:rsid w:val="004E437B"/>
    <w:rsid w:val="004E6A55"/>
    <w:rsid w:val="004F129F"/>
    <w:rsid w:val="004F1F23"/>
    <w:rsid w:val="004F230B"/>
    <w:rsid w:val="004F61CF"/>
    <w:rsid w:val="005018D7"/>
    <w:rsid w:val="00501E55"/>
    <w:rsid w:val="005021E0"/>
    <w:rsid w:val="00503769"/>
    <w:rsid w:val="00505B38"/>
    <w:rsid w:val="0050604A"/>
    <w:rsid w:val="00506668"/>
    <w:rsid w:val="005070A2"/>
    <w:rsid w:val="00515297"/>
    <w:rsid w:val="00516067"/>
    <w:rsid w:val="00520041"/>
    <w:rsid w:val="00526F2D"/>
    <w:rsid w:val="0053163E"/>
    <w:rsid w:val="00535E1A"/>
    <w:rsid w:val="005414B1"/>
    <w:rsid w:val="00542DB5"/>
    <w:rsid w:val="00546B94"/>
    <w:rsid w:val="00550C17"/>
    <w:rsid w:val="00552206"/>
    <w:rsid w:val="00554039"/>
    <w:rsid w:val="00555138"/>
    <w:rsid w:val="00555CDD"/>
    <w:rsid w:val="0056143D"/>
    <w:rsid w:val="00561C15"/>
    <w:rsid w:val="005657AD"/>
    <w:rsid w:val="00567BDB"/>
    <w:rsid w:val="00572C38"/>
    <w:rsid w:val="00573D02"/>
    <w:rsid w:val="00574152"/>
    <w:rsid w:val="005757D4"/>
    <w:rsid w:val="00576605"/>
    <w:rsid w:val="00577A5B"/>
    <w:rsid w:val="0058532D"/>
    <w:rsid w:val="005857FA"/>
    <w:rsid w:val="00585838"/>
    <w:rsid w:val="00590DE4"/>
    <w:rsid w:val="0059152C"/>
    <w:rsid w:val="00592FEA"/>
    <w:rsid w:val="00594925"/>
    <w:rsid w:val="005A0981"/>
    <w:rsid w:val="005A0A7B"/>
    <w:rsid w:val="005A1496"/>
    <w:rsid w:val="005A20FD"/>
    <w:rsid w:val="005A39E3"/>
    <w:rsid w:val="005A5EF9"/>
    <w:rsid w:val="005A69D0"/>
    <w:rsid w:val="005B1252"/>
    <w:rsid w:val="005B1FAF"/>
    <w:rsid w:val="005B3193"/>
    <w:rsid w:val="005B43B1"/>
    <w:rsid w:val="005B445A"/>
    <w:rsid w:val="005C063F"/>
    <w:rsid w:val="005D0050"/>
    <w:rsid w:val="005D73DD"/>
    <w:rsid w:val="005E14DC"/>
    <w:rsid w:val="005E19F1"/>
    <w:rsid w:val="005E58FF"/>
    <w:rsid w:val="005E59D3"/>
    <w:rsid w:val="006008FC"/>
    <w:rsid w:val="00600BD0"/>
    <w:rsid w:val="00601C6D"/>
    <w:rsid w:val="00606AF8"/>
    <w:rsid w:val="00610B7F"/>
    <w:rsid w:val="00611E87"/>
    <w:rsid w:val="006161B8"/>
    <w:rsid w:val="006239BD"/>
    <w:rsid w:val="00631D85"/>
    <w:rsid w:val="00635545"/>
    <w:rsid w:val="00635791"/>
    <w:rsid w:val="00636EAC"/>
    <w:rsid w:val="00640B9C"/>
    <w:rsid w:val="00642694"/>
    <w:rsid w:val="006446B0"/>
    <w:rsid w:val="00650C45"/>
    <w:rsid w:val="00652007"/>
    <w:rsid w:val="00652BDF"/>
    <w:rsid w:val="006530F0"/>
    <w:rsid w:val="00661779"/>
    <w:rsid w:val="00673CB7"/>
    <w:rsid w:val="006769D7"/>
    <w:rsid w:val="006814D8"/>
    <w:rsid w:val="006846E8"/>
    <w:rsid w:val="00685171"/>
    <w:rsid w:val="00687456"/>
    <w:rsid w:val="006954D5"/>
    <w:rsid w:val="006959A5"/>
    <w:rsid w:val="00697796"/>
    <w:rsid w:val="006A0341"/>
    <w:rsid w:val="006B4F79"/>
    <w:rsid w:val="006B5343"/>
    <w:rsid w:val="006C064B"/>
    <w:rsid w:val="006C1501"/>
    <w:rsid w:val="006C18CE"/>
    <w:rsid w:val="006D6333"/>
    <w:rsid w:val="006E10DA"/>
    <w:rsid w:val="006E2C19"/>
    <w:rsid w:val="006E3A70"/>
    <w:rsid w:val="006F540A"/>
    <w:rsid w:val="00700845"/>
    <w:rsid w:val="00701DE7"/>
    <w:rsid w:val="00707686"/>
    <w:rsid w:val="00715144"/>
    <w:rsid w:val="00717E5A"/>
    <w:rsid w:val="007224A7"/>
    <w:rsid w:val="00725317"/>
    <w:rsid w:val="0072607E"/>
    <w:rsid w:val="00736665"/>
    <w:rsid w:val="00736DBE"/>
    <w:rsid w:val="00740B26"/>
    <w:rsid w:val="00741639"/>
    <w:rsid w:val="00746686"/>
    <w:rsid w:val="0074784F"/>
    <w:rsid w:val="00750B7D"/>
    <w:rsid w:val="00750CCB"/>
    <w:rsid w:val="00751146"/>
    <w:rsid w:val="007511AE"/>
    <w:rsid w:val="00755306"/>
    <w:rsid w:val="00755963"/>
    <w:rsid w:val="00756009"/>
    <w:rsid w:val="00762A01"/>
    <w:rsid w:val="00767494"/>
    <w:rsid w:val="007760F7"/>
    <w:rsid w:val="00785E16"/>
    <w:rsid w:val="007907D4"/>
    <w:rsid w:val="00794399"/>
    <w:rsid w:val="0079620D"/>
    <w:rsid w:val="007A5144"/>
    <w:rsid w:val="007B1D33"/>
    <w:rsid w:val="007B40BB"/>
    <w:rsid w:val="007C0413"/>
    <w:rsid w:val="007C131C"/>
    <w:rsid w:val="007C39AF"/>
    <w:rsid w:val="007C4DD9"/>
    <w:rsid w:val="007D0DCC"/>
    <w:rsid w:val="007D25BC"/>
    <w:rsid w:val="007E1269"/>
    <w:rsid w:val="007E1ED5"/>
    <w:rsid w:val="008056C0"/>
    <w:rsid w:val="008108E8"/>
    <w:rsid w:val="00811819"/>
    <w:rsid w:val="00814D24"/>
    <w:rsid w:val="008201F0"/>
    <w:rsid w:val="00820FAC"/>
    <w:rsid w:val="008256E8"/>
    <w:rsid w:val="00826A29"/>
    <w:rsid w:val="0083089F"/>
    <w:rsid w:val="0083744A"/>
    <w:rsid w:val="0084151E"/>
    <w:rsid w:val="00843B3D"/>
    <w:rsid w:val="0085080B"/>
    <w:rsid w:val="00852C8A"/>
    <w:rsid w:val="008539A6"/>
    <w:rsid w:val="00853CDD"/>
    <w:rsid w:val="00855338"/>
    <w:rsid w:val="008566A1"/>
    <w:rsid w:val="0086150A"/>
    <w:rsid w:val="00870980"/>
    <w:rsid w:val="00870A9B"/>
    <w:rsid w:val="00871465"/>
    <w:rsid w:val="008723BC"/>
    <w:rsid w:val="00872412"/>
    <w:rsid w:val="00877795"/>
    <w:rsid w:val="00883849"/>
    <w:rsid w:val="00885780"/>
    <w:rsid w:val="0088671C"/>
    <w:rsid w:val="00887739"/>
    <w:rsid w:val="008907D5"/>
    <w:rsid w:val="00892404"/>
    <w:rsid w:val="008942B2"/>
    <w:rsid w:val="008A68AA"/>
    <w:rsid w:val="008A706D"/>
    <w:rsid w:val="008A7C4D"/>
    <w:rsid w:val="008B09D6"/>
    <w:rsid w:val="008B1979"/>
    <w:rsid w:val="008B64DF"/>
    <w:rsid w:val="008B6CBB"/>
    <w:rsid w:val="008B74A5"/>
    <w:rsid w:val="008C0024"/>
    <w:rsid w:val="008C1288"/>
    <w:rsid w:val="008C4AF2"/>
    <w:rsid w:val="008C5692"/>
    <w:rsid w:val="008D0A81"/>
    <w:rsid w:val="008D0DDF"/>
    <w:rsid w:val="008D0DF5"/>
    <w:rsid w:val="008D20A7"/>
    <w:rsid w:val="008D5BF8"/>
    <w:rsid w:val="008D7BA1"/>
    <w:rsid w:val="008E0404"/>
    <w:rsid w:val="008E65CC"/>
    <w:rsid w:val="008F245B"/>
    <w:rsid w:val="008F449F"/>
    <w:rsid w:val="008F7F64"/>
    <w:rsid w:val="009005CB"/>
    <w:rsid w:val="00900809"/>
    <w:rsid w:val="0090285A"/>
    <w:rsid w:val="00902D22"/>
    <w:rsid w:val="0090505F"/>
    <w:rsid w:val="00912684"/>
    <w:rsid w:val="00913012"/>
    <w:rsid w:val="0092180F"/>
    <w:rsid w:val="009251B7"/>
    <w:rsid w:val="009303A7"/>
    <w:rsid w:val="00933154"/>
    <w:rsid w:val="009345E0"/>
    <w:rsid w:val="0095241F"/>
    <w:rsid w:val="00954387"/>
    <w:rsid w:val="0095557B"/>
    <w:rsid w:val="00966333"/>
    <w:rsid w:val="00967BE0"/>
    <w:rsid w:val="00971FC5"/>
    <w:rsid w:val="00976625"/>
    <w:rsid w:val="00981FDF"/>
    <w:rsid w:val="00986C01"/>
    <w:rsid w:val="0098771A"/>
    <w:rsid w:val="009919BE"/>
    <w:rsid w:val="00995C6A"/>
    <w:rsid w:val="00995EEB"/>
    <w:rsid w:val="009B2441"/>
    <w:rsid w:val="009B56BA"/>
    <w:rsid w:val="009B5987"/>
    <w:rsid w:val="009B6905"/>
    <w:rsid w:val="009B6F51"/>
    <w:rsid w:val="009B79E4"/>
    <w:rsid w:val="009B7BAC"/>
    <w:rsid w:val="009C4414"/>
    <w:rsid w:val="009C5126"/>
    <w:rsid w:val="009C6BA4"/>
    <w:rsid w:val="009C7653"/>
    <w:rsid w:val="009C7D3F"/>
    <w:rsid w:val="009D4A8F"/>
    <w:rsid w:val="009D6F5E"/>
    <w:rsid w:val="009E0298"/>
    <w:rsid w:val="009E36CA"/>
    <w:rsid w:val="009E3F9C"/>
    <w:rsid w:val="009E4833"/>
    <w:rsid w:val="009E498E"/>
    <w:rsid w:val="009E5A65"/>
    <w:rsid w:val="009E6566"/>
    <w:rsid w:val="009E6D1B"/>
    <w:rsid w:val="009F454A"/>
    <w:rsid w:val="009F6CF0"/>
    <w:rsid w:val="00A0141F"/>
    <w:rsid w:val="00A147BD"/>
    <w:rsid w:val="00A16E3E"/>
    <w:rsid w:val="00A231DE"/>
    <w:rsid w:val="00A33E59"/>
    <w:rsid w:val="00A342A0"/>
    <w:rsid w:val="00A34B9C"/>
    <w:rsid w:val="00A36A0A"/>
    <w:rsid w:val="00A37300"/>
    <w:rsid w:val="00A37639"/>
    <w:rsid w:val="00A41B34"/>
    <w:rsid w:val="00A41CCE"/>
    <w:rsid w:val="00A466EA"/>
    <w:rsid w:val="00A500C2"/>
    <w:rsid w:val="00A53C2E"/>
    <w:rsid w:val="00A53F04"/>
    <w:rsid w:val="00A54B4A"/>
    <w:rsid w:val="00A57139"/>
    <w:rsid w:val="00A57EA2"/>
    <w:rsid w:val="00A60167"/>
    <w:rsid w:val="00A62BF8"/>
    <w:rsid w:val="00A71BB0"/>
    <w:rsid w:val="00A72116"/>
    <w:rsid w:val="00A73398"/>
    <w:rsid w:val="00A754A2"/>
    <w:rsid w:val="00A973CC"/>
    <w:rsid w:val="00A978C3"/>
    <w:rsid w:val="00AA084C"/>
    <w:rsid w:val="00AA16EA"/>
    <w:rsid w:val="00AA4F6B"/>
    <w:rsid w:val="00AB7F98"/>
    <w:rsid w:val="00AC60E5"/>
    <w:rsid w:val="00AC73C4"/>
    <w:rsid w:val="00AD0D97"/>
    <w:rsid w:val="00AD2B51"/>
    <w:rsid w:val="00AD5E64"/>
    <w:rsid w:val="00AD6122"/>
    <w:rsid w:val="00AE1A25"/>
    <w:rsid w:val="00AE2076"/>
    <w:rsid w:val="00AE51FB"/>
    <w:rsid w:val="00AE62A6"/>
    <w:rsid w:val="00AE6A8C"/>
    <w:rsid w:val="00AE6BB3"/>
    <w:rsid w:val="00AE6C0F"/>
    <w:rsid w:val="00AE6CB9"/>
    <w:rsid w:val="00AF24BD"/>
    <w:rsid w:val="00AF39AF"/>
    <w:rsid w:val="00AF7936"/>
    <w:rsid w:val="00B067F4"/>
    <w:rsid w:val="00B105D1"/>
    <w:rsid w:val="00B1165C"/>
    <w:rsid w:val="00B24A77"/>
    <w:rsid w:val="00B276EF"/>
    <w:rsid w:val="00B41955"/>
    <w:rsid w:val="00B44684"/>
    <w:rsid w:val="00B44B8E"/>
    <w:rsid w:val="00B46DE6"/>
    <w:rsid w:val="00B50BFD"/>
    <w:rsid w:val="00B51719"/>
    <w:rsid w:val="00B56566"/>
    <w:rsid w:val="00B6051B"/>
    <w:rsid w:val="00B63E6B"/>
    <w:rsid w:val="00B65BEE"/>
    <w:rsid w:val="00B67B55"/>
    <w:rsid w:val="00B70067"/>
    <w:rsid w:val="00B72D60"/>
    <w:rsid w:val="00B72E62"/>
    <w:rsid w:val="00B825C9"/>
    <w:rsid w:val="00B8557C"/>
    <w:rsid w:val="00B9132B"/>
    <w:rsid w:val="00BA2BF5"/>
    <w:rsid w:val="00BA75BD"/>
    <w:rsid w:val="00BB1CF6"/>
    <w:rsid w:val="00BB4D80"/>
    <w:rsid w:val="00BB4F85"/>
    <w:rsid w:val="00BC0941"/>
    <w:rsid w:val="00BC293A"/>
    <w:rsid w:val="00BD1E6D"/>
    <w:rsid w:val="00BD2353"/>
    <w:rsid w:val="00BD6F22"/>
    <w:rsid w:val="00BE08EC"/>
    <w:rsid w:val="00BE2AEE"/>
    <w:rsid w:val="00BE32D0"/>
    <w:rsid w:val="00BE3FCF"/>
    <w:rsid w:val="00BE5282"/>
    <w:rsid w:val="00BE6FFB"/>
    <w:rsid w:val="00BF120C"/>
    <w:rsid w:val="00BF1DEB"/>
    <w:rsid w:val="00BF574A"/>
    <w:rsid w:val="00BF5833"/>
    <w:rsid w:val="00BF7F3B"/>
    <w:rsid w:val="00C050F7"/>
    <w:rsid w:val="00C05A25"/>
    <w:rsid w:val="00C05EAD"/>
    <w:rsid w:val="00C06933"/>
    <w:rsid w:val="00C06F96"/>
    <w:rsid w:val="00C0759D"/>
    <w:rsid w:val="00C076BB"/>
    <w:rsid w:val="00C10781"/>
    <w:rsid w:val="00C24EED"/>
    <w:rsid w:val="00C45F11"/>
    <w:rsid w:val="00C460C8"/>
    <w:rsid w:val="00C50259"/>
    <w:rsid w:val="00C517F1"/>
    <w:rsid w:val="00C57040"/>
    <w:rsid w:val="00C571E4"/>
    <w:rsid w:val="00C61C69"/>
    <w:rsid w:val="00C645B7"/>
    <w:rsid w:val="00C71BCD"/>
    <w:rsid w:val="00C81204"/>
    <w:rsid w:val="00C93649"/>
    <w:rsid w:val="00C949B0"/>
    <w:rsid w:val="00C95AEC"/>
    <w:rsid w:val="00C97541"/>
    <w:rsid w:val="00CA3008"/>
    <w:rsid w:val="00CA390D"/>
    <w:rsid w:val="00CA5AEA"/>
    <w:rsid w:val="00CB215B"/>
    <w:rsid w:val="00CB2CD2"/>
    <w:rsid w:val="00CB7457"/>
    <w:rsid w:val="00CC00FD"/>
    <w:rsid w:val="00CC38B0"/>
    <w:rsid w:val="00CD0037"/>
    <w:rsid w:val="00CD0AD7"/>
    <w:rsid w:val="00CD17AC"/>
    <w:rsid w:val="00CD495E"/>
    <w:rsid w:val="00CD56D1"/>
    <w:rsid w:val="00CD5DA4"/>
    <w:rsid w:val="00CF25F0"/>
    <w:rsid w:val="00CF5F6A"/>
    <w:rsid w:val="00CF7913"/>
    <w:rsid w:val="00D01A51"/>
    <w:rsid w:val="00D04519"/>
    <w:rsid w:val="00D045F7"/>
    <w:rsid w:val="00D04FE6"/>
    <w:rsid w:val="00D13D72"/>
    <w:rsid w:val="00D1640B"/>
    <w:rsid w:val="00D21621"/>
    <w:rsid w:val="00D22824"/>
    <w:rsid w:val="00D30EB9"/>
    <w:rsid w:val="00D351D3"/>
    <w:rsid w:val="00D45C04"/>
    <w:rsid w:val="00D46ED9"/>
    <w:rsid w:val="00D47205"/>
    <w:rsid w:val="00D50F5C"/>
    <w:rsid w:val="00D51E78"/>
    <w:rsid w:val="00D51FBD"/>
    <w:rsid w:val="00D5282A"/>
    <w:rsid w:val="00D55D61"/>
    <w:rsid w:val="00D60D22"/>
    <w:rsid w:val="00D64A88"/>
    <w:rsid w:val="00D71859"/>
    <w:rsid w:val="00D74C95"/>
    <w:rsid w:val="00D773B7"/>
    <w:rsid w:val="00D87566"/>
    <w:rsid w:val="00D90773"/>
    <w:rsid w:val="00D93901"/>
    <w:rsid w:val="00D976C8"/>
    <w:rsid w:val="00DA31F8"/>
    <w:rsid w:val="00DA4D7B"/>
    <w:rsid w:val="00DA4E3A"/>
    <w:rsid w:val="00DA512D"/>
    <w:rsid w:val="00DA7316"/>
    <w:rsid w:val="00DB08B4"/>
    <w:rsid w:val="00DB0916"/>
    <w:rsid w:val="00DB0B8A"/>
    <w:rsid w:val="00DB21D0"/>
    <w:rsid w:val="00DB6632"/>
    <w:rsid w:val="00DC48B4"/>
    <w:rsid w:val="00DC4DB9"/>
    <w:rsid w:val="00DC6DF4"/>
    <w:rsid w:val="00DD5626"/>
    <w:rsid w:val="00DE1133"/>
    <w:rsid w:val="00DE5199"/>
    <w:rsid w:val="00DF5A9E"/>
    <w:rsid w:val="00DF5F7E"/>
    <w:rsid w:val="00DF7A1A"/>
    <w:rsid w:val="00DF7F6B"/>
    <w:rsid w:val="00E03038"/>
    <w:rsid w:val="00E050B0"/>
    <w:rsid w:val="00E05B0C"/>
    <w:rsid w:val="00E20FE9"/>
    <w:rsid w:val="00E23353"/>
    <w:rsid w:val="00E23F5C"/>
    <w:rsid w:val="00E2484D"/>
    <w:rsid w:val="00E25A60"/>
    <w:rsid w:val="00E30BA1"/>
    <w:rsid w:val="00E32506"/>
    <w:rsid w:val="00E3403B"/>
    <w:rsid w:val="00E36468"/>
    <w:rsid w:val="00E37C6C"/>
    <w:rsid w:val="00E37DF1"/>
    <w:rsid w:val="00E413BA"/>
    <w:rsid w:val="00E44993"/>
    <w:rsid w:val="00E459B6"/>
    <w:rsid w:val="00E51FAD"/>
    <w:rsid w:val="00E531CF"/>
    <w:rsid w:val="00E61D4A"/>
    <w:rsid w:val="00E637C5"/>
    <w:rsid w:val="00E745E8"/>
    <w:rsid w:val="00E800E3"/>
    <w:rsid w:val="00E8017A"/>
    <w:rsid w:val="00E82A07"/>
    <w:rsid w:val="00E90AA7"/>
    <w:rsid w:val="00E917F2"/>
    <w:rsid w:val="00EA0318"/>
    <w:rsid w:val="00EA2771"/>
    <w:rsid w:val="00EA5A45"/>
    <w:rsid w:val="00EA64C3"/>
    <w:rsid w:val="00EA7BAC"/>
    <w:rsid w:val="00EB33DD"/>
    <w:rsid w:val="00EB3B34"/>
    <w:rsid w:val="00EB5A04"/>
    <w:rsid w:val="00EB5CDD"/>
    <w:rsid w:val="00EB7493"/>
    <w:rsid w:val="00EC4749"/>
    <w:rsid w:val="00EC4EB3"/>
    <w:rsid w:val="00EC5A26"/>
    <w:rsid w:val="00EC6E1F"/>
    <w:rsid w:val="00ED22EB"/>
    <w:rsid w:val="00EE01A8"/>
    <w:rsid w:val="00EE0420"/>
    <w:rsid w:val="00EE0B0B"/>
    <w:rsid w:val="00EE410F"/>
    <w:rsid w:val="00EE56F1"/>
    <w:rsid w:val="00F0063B"/>
    <w:rsid w:val="00F01BFA"/>
    <w:rsid w:val="00F03270"/>
    <w:rsid w:val="00F032BF"/>
    <w:rsid w:val="00F07219"/>
    <w:rsid w:val="00F0747A"/>
    <w:rsid w:val="00F11061"/>
    <w:rsid w:val="00F14901"/>
    <w:rsid w:val="00F1548E"/>
    <w:rsid w:val="00F15F95"/>
    <w:rsid w:val="00F1740F"/>
    <w:rsid w:val="00F17A3F"/>
    <w:rsid w:val="00F21A12"/>
    <w:rsid w:val="00F235F7"/>
    <w:rsid w:val="00F26543"/>
    <w:rsid w:val="00F26D48"/>
    <w:rsid w:val="00F34741"/>
    <w:rsid w:val="00F366AE"/>
    <w:rsid w:val="00F42CB4"/>
    <w:rsid w:val="00F44C42"/>
    <w:rsid w:val="00F44E9B"/>
    <w:rsid w:val="00F46F55"/>
    <w:rsid w:val="00F5021E"/>
    <w:rsid w:val="00F506A3"/>
    <w:rsid w:val="00F5235E"/>
    <w:rsid w:val="00F60AEA"/>
    <w:rsid w:val="00F65038"/>
    <w:rsid w:val="00F67893"/>
    <w:rsid w:val="00F72430"/>
    <w:rsid w:val="00F814BC"/>
    <w:rsid w:val="00F84AF8"/>
    <w:rsid w:val="00F86B62"/>
    <w:rsid w:val="00F92017"/>
    <w:rsid w:val="00F92334"/>
    <w:rsid w:val="00F93E41"/>
    <w:rsid w:val="00F97BF0"/>
    <w:rsid w:val="00FA1864"/>
    <w:rsid w:val="00FA5466"/>
    <w:rsid w:val="00FA697E"/>
    <w:rsid w:val="00FB76C6"/>
    <w:rsid w:val="00FC137B"/>
    <w:rsid w:val="00FC1DFF"/>
    <w:rsid w:val="00FC601F"/>
    <w:rsid w:val="00FC64E3"/>
    <w:rsid w:val="00FC72FA"/>
    <w:rsid w:val="00FD3E79"/>
    <w:rsid w:val="00FD40D0"/>
    <w:rsid w:val="00FD5CE4"/>
    <w:rsid w:val="00FD646B"/>
    <w:rsid w:val="00FE64BA"/>
    <w:rsid w:val="00FE6F7F"/>
    <w:rsid w:val="00FF3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1D5516"/>
  <w15:docId w15:val="{3F01C04F-1E62-4F1E-B0F5-7CF9A8E44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EED"/>
    <w:pPr>
      <w:spacing w:after="240"/>
      <w:jc w:val="both"/>
    </w:pPr>
    <w:rPr>
      <w:sz w:val="24"/>
      <w:lang w:bidi="lv-LV"/>
    </w:rPr>
  </w:style>
  <w:style w:type="paragraph" w:styleId="Heading1">
    <w:name w:val="heading 1"/>
    <w:basedOn w:val="Normal"/>
    <w:next w:val="Text1"/>
    <w:qFormat/>
    <w:rsid w:val="00C24EED"/>
    <w:pPr>
      <w:keepNext/>
      <w:numPr>
        <w:numId w:val="30"/>
      </w:numPr>
      <w:spacing w:before="240"/>
      <w:outlineLvl w:val="0"/>
    </w:pPr>
    <w:rPr>
      <w:b/>
      <w:smallCaps/>
    </w:rPr>
  </w:style>
  <w:style w:type="paragraph" w:styleId="Heading2">
    <w:name w:val="heading 2"/>
    <w:basedOn w:val="Normal"/>
    <w:next w:val="Text2"/>
    <w:qFormat/>
    <w:rsid w:val="00335F28"/>
    <w:pPr>
      <w:keepNext/>
      <w:numPr>
        <w:ilvl w:val="1"/>
        <w:numId w:val="30"/>
      </w:numPr>
      <w:outlineLvl w:val="1"/>
    </w:pPr>
    <w:rPr>
      <w:b/>
    </w:rPr>
  </w:style>
  <w:style w:type="paragraph" w:styleId="Heading3">
    <w:name w:val="heading 3"/>
    <w:basedOn w:val="Normal"/>
    <w:next w:val="Text3"/>
    <w:qFormat/>
    <w:rsid w:val="00C24EED"/>
    <w:pPr>
      <w:keepNext/>
      <w:numPr>
        <w:ilvl w:val="2"/>
        <w:numId w:val="30"/>
      </w:numPr>
      <w:outlineLvl w:val="2"/>
    </w:pPr>
    <w:rPr>
      <w:i/>
    </w:rPr>
  </w:style>
  <w:style w:type="paragraph" w:styleId="Heading4">
    <w:name w:val="heading 4"/>
    <w:basedOn w:val="Normal"/>
    <w:next w:val="Text4"/>
    <w:qFormat/>
    <w:rsid w:val="00C24EED"/>
    <w:pPr>
      <w:keepNext/>
      <w:numPr>
        <w:ilvl w:val="3"/>
        <w:numId w:val="30"/>
      </w:numPr>
      <w:outlineLvl w:val="3"/>
    </w:pPr>
  </w:style>
  <w:style w:type="paragraph" w:styleId="Heading5">
    <w:name w:val="heading 5"/>
    <w:basedOn w:val="Normal"/>
    <w:next w:val="Normal"/>
    <w:qFormat/>
    <w:rsid w:val="00C24EED"/>
    <w:pPr>
      <w:tabs>
        <w:tab w:val="num" w:pos="0"/>
      </w:tabs>
      <w:spacing w:before="240" w:after="60"/>
      <w:outlineLvl w:val="4"/>
    </w:pPr>
    <w:rPr>
      <w:rFonts w:ascii="Arial" w:hAnsi="Arial"/>
      <w:sz w:val="22"/>
    </w:rPr>
  </w:style>
  <w:style w:type="paragraph" w:styleId="Heading6">
    <w:name w:val="heading 6"/>
    <w:basedOn w:val="Normal"/>
    <w:next w:val="Normal"/>
    <w:qFormat/>
    <w:rsid w:val="00C24EED"/>
    <w:pPr>
      <w:tabs>
        <w:tab w:val="num" w:pos="0"/>
      </w:tabs>
      <w:spacing w:before="240" w:after="60"/>
      <w:outlineLvl w:val="5"/>
    </w:pPr>
    <w:rPr>
      <w:rFonts w:ascii="Arial" w:hAnsi="Arial"/>
      <w:i/>
      <w:sz w:val="22"/>
    </w:rPr>
  </w:style>
  <w:style w:type="paragraph" w:styleId="Heading7">
    <w:name w:val="heading 7"/>
    <w:basedOn w:val="Normal"/>
    <w:next w:val="Normal"/>
    <w:qFormat/>
    <w:rsid w:val="00C24EED"/>
    <w:pPr>
      <w:tabs>
        <w:tab w:val="num" w:pos="0"/>
      </w:tabs>
      <w:spacing w:before="240" w:after="60"/>
      <w:outlineLvl w:val="6"/>
    </w:pPr>
    <w:rPr>
      <w:rFonts w:ascii="Arial" w:hAnsi="Arial"/>
      <w:sz w:val="20"/>
    </w:rPr>
  </w:style>
  <w:style w:type="paragraph" w:styleId="Heading8">
    <w:name w:val="heading 8"/>
    <w:basedOn w:val="Normal"/>
    <w:next w:val="Normal"/>
    <w:qFormat/>
    <w:rsid w:val="00C24EED"/>
    <w:pPr>
      <w:tabs>
        <w:tab w:val="num" w:pos="0"/>
      </w:tabs>
      <w:spacing w:before="240" w:after="60"/>
      <w:outlineLvl w:val="7"/>
    </w:pPr>
    <w:rPr>
      <w:rFonts w:ascii="Arial" w:hAnsi="Arial"/>
      <w:i/>
      <w:sz w:val="20"/>
    </w:rPr>
  </w:style>
  <w:style w:type="paragraph" w:styleId="Heading9">
    <w:name w:val="heading 9"/>
    <w:basedOn w:val="Normal"/>
    <w:next w:val="Normal"/>
    <w:qFormat/>
    <w:rsid w:val="00C24EED"/>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C24EED"/>
    <w:pPr>
      <w:ind w:left="482"/>
    </w:pPr>
  </w:style>
  <w:style w:type="paragraph" w:customStyle="1" w:styleId="Text2">
    <w:name w:val="Text 2"/>
    <w:basedOn w:val="Normal"/>
    <w:rsid w:val="00C24EED"/>
    <w:pPr>
      <w:tabs>
        <w:tab w:val="left" w:pos="2302"/>
      </w:tabs>
      <w:ind w:left="1202"/>
    </w:pPr>
  </w:style>
  <w:style w:type="paragraph" w:customStyle="1" w:styleId="Text3">
    <w:name w:val="Text 3"/>
    <w:basedOn w:val="Normal"/>
    <w:rsid w:val="00C24EED"/>
    <w:pPr>
      <w:tabs>
        <w:tab w:val="left" w:pos="2302"/>
      </w:tabs>
      <w:ind w:left="1202"/>
    </w:pPr>
  </w:style>
  <w:style w:type="paragraph" w:customStyle="1" w:styleId="Text4">
    <w:name w:val="Text 4"/>
    <w:basedOn w:val="Normal"/>
    <w:rsid w:val="00C24EED"/>
    <w:pPr>
      <w:tabs>
        <w:tab w:val="left" w:pos="2302"/>
      </w:tabs>
      <w:ind w:left="1202"/>
    </w:pPr>
  </w:style>
  <w:style w:type="paragraph" w:customStyle="1" w:styleId="Address">
    <w:name w:val="Address"/>
    <w:basedOn w:val="Normal"/>
    <w:rsid w:val="00C24EED"/>
    <w:pPr>
      <w:spacing w:after="0"/>
      <w:jc w:val="left"/>
    </w:pPr>
  </w:style>
  <w:style w:type="paragraph" w:customStyle="1" w:styleId="AddressTL">
    <w:name w:val="AddressTL"/>
    <w:basedOn w:val="Normal"/>
    <w:next w:val="Normal"/>
    <w:rsid w:val="00C24EED"/>
    <w:pPr>
      <w:spacing w:after="720"/>
      <w:jc w:val="left"/>
    </w:pPr>
  </w:style>
  <w:style w:type="paragraph" w:customStyle="1" w:styleId="AddressTR">
    <w:name w:val="AddressTR"/>
    <w:basedOn w:val="Normal"/>
    <w:next w:val="Normal"/>
    <w:rsid w:val="00C24EED"/>
    <w:pPr>
      <w:spacing w:after="720"/>
      <w:ind w:left="5103"/>
      <w:jc w:val="left"/>
    </w:pPr>
  </w:style>
  <w:style w:type="paragraph" w:styleId="BlockText">
    <w:name w:val="Block Text"/>
    <w:basedOn w:val="Normal"/>
    <w:rsid w:val="00C24EED"/>
    <w:pPr>
      <w:spacing w:after="120"/>
      <w:ind w:left="1440" w:right="1440"/>
    </w:pPr>
  </w:style>
  <w:style w:type="paragraph" w:styleId="BodyText">
    <w:name w:val="Body Text"/>
    <w:basedOn w:val="Normal"/>
    <w:rsid w:val="00C24EED"/>
    <w:pPr>
      <w:spacing w:after="120"/>
    </w:pPr>
  </w:style>
  <w:style w:type="paragraph" w:styleId="BodyText2">
    <w:name w:val="Body Text 2"/>
    <w:basedOn w:val="Normal"/>
    <w:rsid w:val="00C24EED"/>
    <w:pPr>
      <w:spacing w:after="120" w:line="480" w:lineRule="auto"/>
    </w:pPr>
  </w:style>
  <w:style w:type="paragraph" w:styleId="BodyText3">
    <w:name w:val="Body Text 3"/>
    <w:basedOn w:val="Normal"/>
    <w:rsid w:val="00C24EED"/>
    <w:pPr>
      <w:spacing w:after="120"/>
    </w:pPr>
    <w:rPr>
      <w:sz w:val="16"/>
    </w:rPr>
  </w:style>
  <w:style w:type="paragraph" w:styleId="BodyTextFirstIndent">
    <w:name w:val="Body Text First Indent"/>
    <w:basedOn w:val="BodyText"/>
    <w:rsid w:val="00C24EED"/>
    <w:pPr>
      <w:ind w:firstLine="210"/>
    </w:pPr>
  </w:style>
  <w:style w:type="paragraph" w:styleId="BodyTextIndent">
    <w:name w:val="Body Text Indent"/>
    <w:basedOn w:val="Normal"/>
    <w:rsid w:val="00C24EED"/>
    <w:pPr>
      <w:spacing w:after="120"/>
      <w:ind w:left="283"/>
    </w:pPr>
  </w:style>
  <w:style w:type="paragraph" w:styleId="BodyTextFirstIndent2">
    <w:name w:val="Body Text First Indent 2"/>
    <w:basedOn w:val="BodyTextIndent"/>
    <w:rsid w:val="00C24EED"/>
    <w:pPr>
      <w:ind w:firstLine="210"/>
    </w:pPr>
  </w:style>
  <w:style w:type="paragraph" w:styleId="BodyTextIndent2">
    <w:name w:val="Body Text Indent 2"/>
    <w:basedOn w:val="Normal"/>
    <w:rsid w:val="00C24EED"/>
    <w:pPr>
      <w:spacing w:after="120" w:line="480" w:lineRule="auto"/>
      <w:ind w:left="283"/>
    </w:pPr>
  </w:style>
  <w:style w:type="paragraph" w:styleId="BodyTextIndent3">
    <w:name w:val="Body Text Indent 3"/>
    <w:basedOn w:val="Normal"/>
    <w:rsid w:val="00C24EED"/>
    <w:pPr>
      <w:spacing w:after="120"/>
      <w:ind w:left="283"/>
    </w:pPr>
    <w:rPr>
      <w:sz w:val="16"/>
    </w:rPr>
  </w:style>
  <w:style w:type="paragraph" w:styleId="Caption">
    <w:name w:val="caption"/>
    <w:basedOn w:val="Normal"/>
    <w:next w:val="Normal"/>
    <w:qFormat/>
    <w:rsid w:val="00C24EED"/>
    <w:pPr>
      <w:spacing w:before="120" w:after="120"/>
    </w:pPr>
    <w:rPr>
      <w:b/>
    </w:rPr>
  </w:style>
  <w:style w:type="paragraph" w:customStyle="1" w:styleId="ChapterTitle">
    <w:name w:val="ChapterTitle"/>
    <w:basedOn w:val="Normal"/>
    <w:next w:val="SectionTitle"/>
    <w:rsid w:val="00C24EED"/>
    <w:pPr>
      <w:keepNext/>
      <w:spacing w:after="480"/>
      <w:jc w:val="center"/>
    </w:pPr>
    <w:rPr>
      <w:b/>
      <w:sz w:val="32"/>
    </w:rPr>
  </w:style>
  <w:style w:type="paragraph" w:customStyle="1" w:styleId="SectionTitle">
    <w:name w:val="SectionTitle"/>
    <w:basedOn w:val="Normal"/>
    <w:next w:val="Heading1"/>
    <w:rsid w:val="00C24EED"/>
    <w:pPr>
      <w:keepNext/>
      <w:spacing w:after="480"/>
      <w:jc w:val="center"/>
    </w:pPr>
    <w:rPr>
      <w:b/>
      <w:smallCaps/>
      <w:sz w:val="28"/>
    </w:rPr>
  </w:style>
  <w:style w:type="paragraph" w:styleId="Closing">
    <w:name w:val="Closing"/>
    <w:basedOn w:val="Normal"/>
    <w:rsid w:val="00C24EED"/>
    <w:pPr>
      <w:ind w:left="4252"/>
    </w:pPr>
  </w:style>
  <w:style w:type="paragraph" w:styleId="CommentText">
    <w:name w:val="annotation text"/>
    <w:basedOn w:val="Normal"/>
    <w:link w:val="CommentTextChar"/>
    <w:semiHidden/>
    <w:rsid w:val="00C24EED"/>
    <w:rPr>
      <w:sz w:val="20"/>
    </w:rPr>
  </w:style>
  <w:style w:type="paragraph" w:styleId="Date">
    <w:name w:val="Date"/>
    <w:basedOn w:val="Normal"/>
    <w:next w:val="References"/>
    <w:link w:val="DateChar"/>
    <w:uiPriority w:val="99"/>
    <w:rsid w:val="00C24EED"/>
    <w:pPr>
      <w:spacing w:after="0"/>
      <w:ind w:left="5103" w:right="-567"/>
      <w:jc w:val="left"/>
    </w:pPr>
    <w:rPr>
      <w:lang w:bidi="ar-SA"/>
    </w:rPr>
  </w:style>
  <w:style w:type="paragraph" w:customStyle="1" w:styleId="References">
    <w:name w:val="References"/>
    <w:basedOn w:val="Normal"/>
    <w:next w:val="AddressTR"/>
    <w:uiPriority w:val="99"/>
    <w:rsid w:val="00C24EED"/>
    <w:pPr>
      <w:ind w:left="5103"/>
      <w:jc w:val="left"/>
    </w:pPr>
    <w:rPr>
      <w:sz w:val="20"/>
    </w:rPr>
  </w:style>
  <w:style w:type="paragraph" w:styleId="DocumentMap">
    <w:name w:val="Document Map"/>
    <w:basedOn w:val="Normal"/>
    <w:semiHidden/>
    <w:rsid w:val="00C24EED"/>
    <w:pPr>
      <w:shd w:val="clear" w:color="auto" w:fill="000080"/>
    </w:pPr>
    <w:rPr>
      <w:rFonts w:ascii="Tahoma" w:hAnsi="Tahoma"/>
    </w:rPr>
  </w:style>
  <w:style w:type="paragraph" w:customStyle="1" w:styleId="DoubSign">
    <w:name w:val="DoubSign"/>
    <w:basedOn w:val="Normal"/>
    <w:next w:val="Enclosures"/>
    <w:rsid w:val="00C24EED"/>
    <w:pPr>
      <w:tabs>
        <w:tab w:val="left" w:pos="5103"/>
      </w:tabs>
      <w:spacing w:before="1200" w:after="0"/>
      <w:jc w:val="left"/>
    </w:pPr>
  </w:style>
  <w:style w:type="paragraph" w:customStyle="1" w:styleId="Enclosures">
    <w:name w:val="Enclosures"/>
    <w:basedOn w:val="Normal"/>
    <w:rsid w:val="00C24EED"/>
    <w:pPr>
      <w:keepNext/>
      <w:keepLines/>
      <w:tabs>
        <w:tab w:val="left" w:pos="5642"/>
      </w:tabs>
      <w:spacing w:before="480" w:after="0"/>
      <w:ind w:left="1191" w:hanging="1191"/>
      <w:jc w:val="left"/>
    </w:pPr>
  </w:style>
  <w:style w:type="paragraph" w:styleId="EndnoteText">
    <w:name w:val="endnote text"/>
    <w:basedOn w:val="Normal"/>
    <w:semiHidden/>
    <w:rsid w:val="00C24EED"/>
    <w:rPr>
      <w:sz w:val="20"/>
    </w:rPr>
  </w:style>
  <w:style w:type="paragraph" w:styleId="EnvelopeAddress">
    <w:name w:val="envelope address"/>
    <w:basedOn w:val="Normal"/>
    <w:rsid w:val="00C24EED"/>
    <w:pPr>
      <w:framePr w:w="7920" w:h="1980" w:hRule="exact" w:hSpace="180" w:wrap="auto" w:hAnchor="page" w:xAlign="center" w:yAlign="bottom"/>
      <w:spacing w:after="0"/>
    </w:pPr>
  </w:style>
  <w:style w:type="paragraph" w:styleId="EnvelopeReturn">
    <w:name w:val="envelope return"/>
    <w:basedOn w:val="Normal"/>
    <w:rsid w:val="00C24EED"/>
    <w:pPr>
      <w:spacing w:after="0"/>
    </w:pPr>
    <w:rPr>
      <w:sz w:val="20"/>
    </w:rPr>
  </w:style>
  <w:style w:type="paragraph" w:styleId="Footer">
    <w:name w:val="footer"/>
    <w:basedOn w:val="Normal"/>
    <w:link w:val="FooterChar"/>
    <w:uiPriority w:val="99"/>
    <w:rsid w:val="00C24EED"/>
    <w:pPr>
      <w:spacing w:after="0"/>
      <w:ind w:right="-567"/>
      <w:jc w:val="left"/>
    </w:pPr>
    <w:rPr>
      <w:rFonts w:ascii="Arial" w:hAnsi="Arial"/>
      <w:sz w:val="16"/>
      <w:lang w:bidi="ar-SA"/>
    </w:rPr>
  </w:style>
  <w:style w:type="paragraph" w:styleId="FootnoteText">
    <w:name w:val="footnote text"/>
    <w:basedOn w:val="Normal"/>
    <w:link w:val="FootnoteTextChar"/>
    <w:uiPriority w:val="99"/>
    <w:semiHidden/>
    <w:rsid w:val="00C24EED"/>
    <w:pPr>
      <w:ind w:left="357" w:hanging="357"/>
    </w:pPr>
    <w:rPr>
      <w:sz w:val="20"/>
      <w:lang w:bidi="ar-SA"/>
    </w:rPr>
  </w:style>
  <w:style w:type="paragraph" w:styleId="Header">
    <w:name w:val="header"/>
    <w:basedOn w:val="Normal"/>
    <w:link w:val="HeaderChar"/>
    <w:uiPriority w:val="99"/>
    <w:rsid w:val="00C24EED"/>
    <w:pPr>
      <w:tabs>
        <w:tab w:val="center" w:pos="4153"/>
        <w:tab w:val="right" w:pos="8306"/>
      </w:tabs>
    </w:pPr>
    <w:rPr>
      <w:lang w:bidi="ar-SA"/>
    </w:rPr>
  </w:style>
  <w:style w:type="paragraph" w:styleId="Index1">
    <w:name w:val="index 1"/>
    <w:basedOn w:val="Normal"/>
    <w:next w:val="Normal"/>
    <w:autoRedefine/>
    <w:semiHidden/>
    <w:rsid w:val="00C24EED"/>
    <w:pPr>
      <w:ind w:left="240" w:hanging="240"/>
    </w:pPr>
  </w:style>
  <w:style w:type="paragraph" w:styleId="Index2">
    <w:name w:val="index 2"/>
    <w:basedOn w:val="Normal"/>
    <w:next w:val="Normal"/>
    <w:autoRedefine/>
    <w:semiHidden/>
    <w:rsid w:val="00C24EED"/>
    <w:pPr>
      <w:ind w:left="480" w:hanging="240"/>
    </w:pPr>
  </w:style>
  <w:style w:type="paragraph" w:styleId="Index3">
    <w:name w:val="index 3"/>
    <w:basedOn w:val="Normal"/>
    <w:next w:val="Normal"/>
    <w:autoRedefine/>
    <w:semiHidden/>
    <w:rsid w:val="00C24EED"/>
    <w:pPr>
      <w:ind w:left="720" w:hanging="240"/>
    </w:pPr>
  </w:style>
  <w:style w:type="paragraph" w:styleId="Index4">
    <w:name w:val="index 4"/>
    <w:basedOn w:val="Normal"/>
    <w:next w:val="Normal"/>
    <w:autoRedefine/>
    <w:semiHidden/>
    <w:rsid w:val="00C24EED"/>
    <w:pPr>
      <w:ind w:left="960" w:hanging="240"/>
    </w:pPr>
  </w:style>
  <w:style w:type="paragraph" w:styleId="Index5">
    <w:name w:val="index 5"/>
    <w:basedOn w:val="Normal"/>
    <w:next w:val="Normal"/>
    <w:autoRedefine/>
    <w:semiHidden/>
    <w:rsid w:val="00C24EED"/>
    <w:pPr>
      <w:ind w:left="1200" w:hanging="240"/>
    </w:pPr>
  </w:style>
  <w:style w:type="paragraph" w:styleId="Index6">
    <w:name w:val="index 6"/>
    <w:basedOn w:val="Normal"/>
    <w:next w:val="Normal"/>
    <w:autoRedefine/>
    <w:semiHidden/>
    <w:rsid w:val="00C24EED"/>
    <w:pPr>
      <w:ind w:left="1440" w:hanging="240"/>
    </w:pPr>
  </w:style>
  <w:style w:type="paragraph" w:styleId="Index7">
    <w:name w:val="index 7"/>
    <w:basedOn w:val="Normal"/>
    <w:next w:val="Normal"/>
    <w:autoRedefine/>
    <w:semiHidden/>
    <w:rsid w:val="00C24EED"/>
    <w:pPr>
      <w:ind w:left="1680" w:hanging="240"/>
    </w:pPr>
  </w:style>
  <w:style w:type="paragraph" w:styleId="Index8">
    <w:name w:val="index 8"/>
    <w:basedOn w:val="Normal"/>
    <w:next w:val="Normal"/>
    <w:autoRedefine/>
    <w:semiHidden/>
    <w:rsid w:val="00C24EED"/>
    <w:pPr>
      <w:ind w:left="1920" w:hanging="240"/>
    </w:pPr>
  </w:style>
  <w:style w:type="paragraph" w:styleId="Index9">
    <w:name w:val="index 9"/>
    <w:basedOn w:val="Normal"/>
    <w:next w:val="Normal"/>
    <w:autoRedefine/>
    <w:semiHidden/>
    <w:rsid w:val="00C24EED"/>
    <w:pPr>
      <w:ind w:left="2160" w:hanging="240"/>
    </w:pPr>
  </w:style>
  <w:style w:type="paragraph" w:styleId="IndexHeading">
    <w:name w:val="index heading"/>
    <w:basedOn w:val="Normal"/>
    <w:next w:val="Index1"/>
    <w:semiHidden/>
    <w:rsid w:val="00C24EED"/>
    <w:rPr>
      <w:rFonts w:ascii="Arial" w:hAnsi="Arial"/>
      <w:b/>
    </w:rPr>
  </w:style>
  <w:style w:type="paragraph" w:styleId="List">
    <w:name w:val="List"/>
    <w:basedOn w:val="Normal"/>
    <w:rsid w:val="00C24EED"/>
    <w:pPr>
      <w:ind w:left="283" w:hanging="283"/>
    </w:pPr>
  </w:style>
  <w:style w:type="paragraph" w:styleId="List2">
    <w:name w:val="List 2"/>
    <w:basedOn w:val="Normal"/>
    <w:rsid w:val="00C24EED"/>
    <w:pPr>
      <w:ind w:left="566" w:hanging="283"/>
    </w:pPr>
  </w:style>
  <w:style w:type="paragraph" w:styleId="List3">
    <w:name w:val="List 3"/>
    <w:basedOn w:val="Normal"/>
    <w:rsid w:val="00C24EED"/>
    <w:pPr>
      <w:ind w:left="849" w:hanging="283"/>
    </w:pPr>
  </w:style>
  <w:style w:type="paragraph" w:styleId="List4">
    <w:name w:val="List 4"/>
    <w:basedOn w:val="Normal"/>
    <w:rsid w:val="00C24EED"/>
    <w:pPr>
      <w:ind w:left="1132" w:hanging="283"/>
    </w:pPr>
  </w:style>
  <w:style w:type="paragraph" w:styleId="List5">
    <w:name w:val="List 5"/>
    <w:basedOn w:val="Normal"/>
    <w:rsid w:val="00C24EED"/>
    <w:pPr>
      <w:ind w:left="1415" w:hanging="283"/>
    </w:pPr>
  </w:style>
  <w:style w:type="paragraph" w:styleId="ListBullet">
    <w:name w:val="List Bullet"/>
    <w:basedOn w:val="Normal"/>
    <w:rsid w:val="00C24EED"/>
    <w:pPr>
      <w:numPr>
        <w:numId w:val="4"/>
      </w:numPr>
    </w:pPr>
  </w:style>
  <w:style w:type="paragraph" w:styleId="ListBullet2">
    <w:name w:val="List Bullet 2"/>
    <w:basedOn w:val="Text2"/>
    <w:rsid w:val="00C24EED"/>
    <w:pPr>
      <w:numPr>
        <w:numId w:val="6"/>
      </w:numPr>
      <w:tabs>
        <w:tab w:val="clear" w:pos="2302"/>
      </w:tabs>
    </w:pPr>
  </w:style>
  <w:style w:type="paragraph" w:styleId="ListBullet3">
    <w:name w:val="List Bullet 3"/>
    <w:basedOn w:val="Text3"/>
    <w:rsid w:val="00C24EED"/>
    <w:pPr>
      <w:numPr>
        <w:numId w:val="7"/>
      </w:numPr>
      <w:tabs>
        <w:tab w:val="clear" w:pos="2302"/>
      </w:tabs>
    </w:pPr>
  </w:style>
  <w:style w:type="paragraph" w:styleId="ListBullet4">
    <w:name w:val="List Bullet 4"/>
    <w:basedOn w:val="Text4"/>
    <w:rsid w:val="00C24EED"/>
    <w:pPr>
      <w:numPr>
        <w:numId w:val="8"/>
      </w:numPr>
      <w:tabs>
        <w:tab w:val="clear" w:pos="2302"/>
      </w:tabs>
    </w:pPr>
  </w:style>
  <w:style w:type="paragraph" w:styleId="ListBullet5">
    <w:name w:val="List Bullet 5"/>
    <w:basedOn w:val="Normal"/>
    <w:autoRedefine/>
    <w:rsid w:val="00C24EED"/>
    <w:pPr>
      <w:numPr>
        <w:numId w:val="1"/>
      </w:numPr>
    </w:pPr>
  </w:style>
  <w:style w:type="paragraph" w:styleId="ListContinue">
    <w:name w:val="List Continue"/>
    <w:basedOn w:val="Normal"/>
    <w:rsid w:val="00C24EED"/>
    <w:pPr>
      <w:spacing w:after="120"/>
      <w:ind w:left="283"/>
    </w:pPr>
  </w:style>
  <w:style w:type="paragraph" w:styleId="ListContinue2">
    <w:name w:val="List Continue 2"/>
    <w:basedOn w:val="Normal"/>
    <w:rsid w:val="00C24EED"/>
    <w:pPr>
      <w:spacing w:after="120"/>
      <w:ind w:left="566"/>
    </w:pPr>
  </w:style>
  <w:style w:type="paragraph" w:styleId="ListContinue3">
    <w:name w:val="List Continue 3"/>
    <w:basedOn w:val="Normal"/>
    <w:rsid w:val="00C24EED"/>
    <w:pPr>
      <w:spacing w:after="120"/>
      <w:ind w:left="849"/>
    </w:pPr>
  </w:style>
  <w:style w:type="paragraph" w:styleId="ListContinue4">
    <w:name w:val="List Continue 4"/>
    <w:basedOn w:val="Normal"/>
    <w:rsid w:val="00C24EED"/>
    <w:pPr>
      <w:spacing w:after="120"/>
      <w:ind w:left="1132"/>
    </w:pPr>
  </w:style>
  <w:style w:type="paragraph" w:styleId="ListContinue5">
    <w:name w:val="List Continue 5"/>
    <w:basedOn w:val="Normal"/>
    <w:rsid w:val="00C24EED"/>
    <w:pPr>
      <w:spacing w:after="120"/>
      <w:ind w:left="1415"/>
    </w:pPr>
  </w:style>
  <w:style w:type="paragraph" w:styleId="ListNumber">
    <w:name w:val="List Number"/>
    <w:basedOn w:val="Normal"/>
    <w:rsid w:val="00C24EED"/>
    <w:pPr>
      <w:numPr>
        <w:numId w:val="14"/>
      </w:numPr>
    </w:pPr>
  </w:style>
  <w:style w:type="paragraph" w:styleId="ListNumber2">
    <w:name w:val="List Number 2"/>
    <w:basedOn w:val="Text2"/>
    <w:rsid w:val="00C24EED"/>
    <w:pPr>
      <w:numPr>
        <w:numId w:val="16"/>
      </w:numPr>
      <w:tabs>
        <w:tab w:val="clear" w:pos="2302"/>
      </w:tabs>
    </w:pPr>
  </w:style>
  <w:style w:type="paragraph" w:styleId="ListNumber3">
    <w:name w:val="List Number 3"/>
    <w:basedOn w:val="Text3"/>
    <w:rsid w:val="00C24EED"/>
    <w:pPr>
      <w:numPr>
        <w:numId w:val="17"/>
      </w:numPr>
      <w:tabs>
        <w:tab w:val="clear" w:pos="2302"/>
      </w:tabs>
    </w:pPr>
  </w:style>
  <w:style w:type="paragraph" w:styleId="ListNumber4">
    <w:name w:val="List Number 4"/>
    <w:basedOn w:val="Text4"/>
    <w:rsid w:val="00C24EED"/>
    <w:pPr>
      <w:numPr>
        <w:numId w:val="18"/>
      </w:numPr>
      <w:tabs>
        <w:tab w:val="clear" w:pos="2302"/>
      </w:tabs>
    </w:pPr>
  </w:style>
  <w:style w:type="paragraph" w:styleId="ListNumber5">
    <w:name w:val="List Number 5"/>
    <w:basedOn w:val="Normal"/>
    <w:rsid w:val="00C24EED"/>
    <w:pPr>
      <w:numPr>
        <w:numId w:val="2"/>
      </w:numPr>
    </w:pPr>
  </w:style>
  <w:style w:type="paragraph" w:styleId="MacroText">
    <w:name w:val="macro"/>
    <w:semiHidden/>
    <w:rsid w:val="00C24EED"/>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bidi="lv-LV"/>
    </w:rPr>
  </w:style>
  <w:style w:type="paragraph" w:styleId="MessageHeader">
    <w:name w:val="Message Header"/>
    <w:basedOn w:val="Normal"/>
    <w:rsid w:val="00C24EE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rsid w:val="00C24EED"/>
    <w:pPr>
      <w:ind w:left="720"/>
    </w:pPr>
  </w:style>
  <w:style w:type="paragraph" w:styleId="NoteHeading">
    <w:name w:val="Note Heading"/>
    <w:basedOn w:val="Normal"/>
    <w:next w:val="Normal"/>
    <w:rsid w:val="00C24EED"/>
  </w:style>
  <w:style w:type="paragraph" w:customStyle="1" w:styleId="NoteHead">
    <w:name w:val="NoteHead"/>
    <w:basedOn w:val="Normal"/>
    <w:next w:val="Subject"/>
    <w:uiPriority w:val="99"/>
    <w:rsid w:val="00C24EED"/>
    <w:pPr>
      <w:spacing w:before="720" w:after="720"/>
      <w:jc w:val="center"/>
    </w:pPr>
    <w:rPr>
      <w:b/>
      <w:smallCaps/>
    </w:rPr>
  </w:style>
  <w:style w:type="paragraph" w:customStyle="1" w:styleId="Subject">
    <w:name w:val="Subject"/>
    <w:basedOn w:val="Normal"/>
    <w:next w:val="Normal"/>
    <w:uiPriority w:val="99"/>
    <w:rsid w:val="00C24EED"/>
    <w:pPr>
      <w:spacing w:after="480"/>
      <w:ind w:left="1531" w:hanging="1531"/>
      <w:jc w:val="left"/>
    </w:pPr>
    <w:rPr>
      <w:b/>
    </w:rPr>
  </w:style>
  <w:style w:type="paragraph" w:customStyle="1" w:styleId="NoteList">
    <w:name w:val="NoteList"/>
    <w:basedOn w:val="Normal"/>
    <w:next w:val="Subject"/>
    <w:rsid w:val="00C24EED"/>
    <w:pPr>
      <w:tabs>
        <w:tab w:val="left" w:pos="5823"/>
      </w:tabs>
      <w:spacing w:before="720" w:after="720"/>
      <w:ind w:left="5104" w:hanging="3119"/>
      <w:jc w:val="left"/>
    </w:pPr>
    <w:rPr>
      <w:b/>
      <w:smallCaps/>
    </w:rPr>
  </w:style>
  <w:style w:type="paragraph" w:customStyle="1" w:styleId="NumPar1">
    <w:name w:val="NumPar 1"/>
    <w:basedOn w:val="Heading1"/>
    <w:next w:val="Text1"/>
    <w:rsid w:val="00C24EED"/>
    <w:pPr>
      <w:keepNext w:val="0"/>
      <w:spacing w:before="0"/>
      <w:outlineLvl w:val="9"/>
    </w:pPr>
    <w:rPr>
      <w:b w:val="0"/>
      <w:smallCaps w:val="0"/>
    </w:rPr>
  </w:style>
  <w:style w:type="paragraph" w:customStyle="1" w:styleId="NumPar2">
    <w:name w:val="NumPar 2"/>
    <w:basedOn w:val="Heading2"/>
    <w:next w:val="Text2"/>
    <w:rsid w:val="00C24EED"/>
    <w:pPr>
      <w:keepNext w:val="0"/>
      <w:outlineLvl w:val="9"/>
    </w:pPr>
    <w:rPr>
      <w:b w:val="0"/>
    </w:rPr>
  </w:style>
  <w:style w:type="paragraph" w:customStyle="1" w:styleId="NumPar3">
    <w:name w:val="NumPar 3"/>
    <w:basedOn w:val="Heading3"/>
    <w:next w:val="Text3"/>
    <w:rsid w:val="00C24EED"/>
    <w:pPr>
      <w:keepNext w:val="0"/>
      <w:outlineLvl w:val="9"/>
    </w:pPr>
    <w:rPr>
      <w:i w:val="0"/>
    </w:rPr>
  </w:style>
  <w:style w:type="paragraph" w:customStyle="1" w:styleId="NumPar4">
    <w:name w:val="NumPar 4"/>
    <w:basedOn w:val="Heading4"/>
    <w:next w:val="Text4"/>
    <w:rsid w:val="00C24EED"/>
    <w:pPr>
      <w:keepNext w:val="0"/>
      <w:outlineLvl w:val="9"/>
    </w:pPr>
  </w:style>
  <w:style w:type="paragraph" w:customStyle="1" w:styleId="PartTitle">
    <w:name w:val="PartTitle"/>
    <w:basedOn w:val="Normal"/>
    <w:next w:val="ChapterTitle"/>
    <w:rsid w:val="00C24EED"/>
    <w:pPr>
      <w:keepNext/>
      <w:pageBreakBefore/>
      <w:spacing w:after="480"/>
      <w:jc w:val="center"/>
    </w:pPr>
    <w:rPr>
      <w:b/>
      <w:sz w:val="36"/>
    </w:rPr>
  </w:style>
  <w:style w:type="paragraph" w:styleId="PlainText">
    <w:name w:val="Plain Text"/>
    <w:basedOn w:val="Normal"/>
    <w:rsid w:val="00C24EED"/>
    <w:rPr>
      <w:rFonts w:ascii="Courier New" w:hAnsi="Courier New"/>
      <w:sz w:val="20"/>
    </w:rPr>
  </w:style>
  <w:style w:type="paragraph" w:styleId="Salutation">
    <w:name w:val="Salutation"/>
    <w:basedOn w:val="Normal"/>
    <w:next w:val="Normal"/>
    <w:rsid w:val="00C24EED"/>
  </w:style>
  <w:style w:type="paragraph" w:styleId="Signature">
    <w:name w:val="Signature"/>
    <w:basedOn w:val="Normal"/>
    <w:next w:val="Enclosures"/>
    <w:rsid w:val="00C24EED"/>
    <w:pPr>
      <w:tabs>
        <w:tab w:val="left" w:pos="5103"/>
      </w:tabs>
      <w:spacing w:before="1200" w:after="0"/>
      <w:ind w:left="5103"/>
      <w:jc w:val="center"/>
    </w:pPr>
  </w:style>
  <w:style w:type="paragraph" w:styleId="Subtitle">
    <w:name w:val="Subtitle"/>
    <w:basedOn w:val="Normal"/>
    <w:qFormat/>
    <w:rsid w:val="00C24EED"/>
    <w:pPr>
      <w:spacing w:after="60"/>
      <w:jc w:val="center"/>
      <w:outlineLvl w:val="1"/>
    </w:pPr>
    <w:rPr>
      <w:rFonts w:ascii="Arial" w:hAnsi="Arial"/>
    </w:rPr>
  </w:style>
  <w:style w:type="paragraph" w:customStyle="1" w:styleId="SubTitle1">
    <w:name w:val="SubTitle 1"/>
    <w:basedOn w:val="Normal"/>
    <w:next w:val="SubTitle2"/>
    <w:rsid w:val="00C24EED"/>
    <w:pPr>
      <w:jc w:val="center"/>
    </w:pPr>
    <w:rPr>
      <w:b/>
      <w:sz w:val="40"/>
    </w:rPr>
  </w:style>
  <w:style w:type="paragraph" w:customStyle="1" w:styleId="SubTitle2">
    <w:name w:val="SubTitle 2"/>
    <w:basedOn w:val="Normal"/>
    <w:rsid w:val="00C24EED"/>
    <w:pPr>
      <w:jc w:val="center"/>
    </w:pPr>
    <w:rPr>
      <w:b/>
      <w:sz w:val="32"/>
    </w:rPr>
  </w:style>
  <w:style w:type="paragraph" w:styleId="TableofAuthorities">
    <w:name w:val="table of authorities"/>
    <w:basedOn w:val="Normal"/>
    <w:next w:val="Normal"/>
    <w:semiHidden/>
    <w:rsid w:val="00C24EED"/>
    <w:pPr>
      <w:ind w:left="240" w:hanging="240"/>
    </w:pPr>
  </w:style>
  <w:style w:type="paragraph" w:styleId="TableofFigures">
    <w:name w:val="table of figures"/>
    <w:basedOn w:val="Normal"/>
    <w:next w:val="Normal"/>
    <w:semiHidden/>
    <w:rsid w:val="00C24EED"/>
    <w:pPr>
      <w:ind w:left="480" w:hanging="480"/>
    </w:pPr>
  </w:style>
  <w:style w:type="paragraph" w:styleId="Title">
    <w:name w:val="Title"/>
    <w:basedOn w:val="Normal"/>
    <w:next w:val="SubTitle1"/>
    <w:qFormat/>
    <w:rsid w:val="00C24EED"/>
    <w:pPr>
      <w:spacing w:after="480"/>
      <w:jc w:val="center"/>
    </w:pPr>
    <w:rPr>
      <w:b/>
      <w:kern w:val="28"/>
      <w:sz w:val="48"/>
    </w:rPr>
  </w:style>
  <w:style w:type="paragraph" w:styleId="TOAHeading">
    <w:name w:val="toa heading"/>
    <w:basedOn w:val="Normal"/>
    <w:next w:val="Normal"/>
    <w:semiHidden/>
    <w:rsid w:val="00C24EED"/>
    <w:pPr>
      <w:spacing w:before="120"/>
    </w:pPr>
    <w:rPr>
      <w:rFonts w:ascii="Arial" w:hAnsi="Arial"/>
      <w:b/>
    </w:rPr>
  </w:style>
  <w:style w:type="paragraph" w:styleId="TOC1">
    <w:name w:val="toc 1"/>
    <w:basedOn w:val="Normal"/>
    <w:next w:val="Normal"/>
    <w:uiPriority w:val="39"/>
    <w:rsid w:val="00C24EED"/>
    <w:pPr>
      <w:tabs>
        <w:tab w:val="right" w:leader="dot" w:pos="8640"/>
      </w:tabs>
      <w:spacing w:before="120" w:after="120"/>
      <w:ind w:left="482" w:right="720" w:hanging="482"/>
    </w:pPr>
    <w:rPr>
      <w:caps/>
    </w:rPr>
  </w:style>
  <w:style w:type="paragraph" w:styleId="TOC2">
    <w:name w:val="toc 2"/>
    <w:basedOn w:val="Normal"/>
    <w:next w:val="Normal"/>
    <w:uiPriority w:val="39"/>
    <w:rsid w:val="00C24EED"/>
    <w:pPr>
      <w:tabs>
        <w:tab w:val="right" w:leader="dot" w:pos="8640"/>
      </w:tabs>
      <w:spacing w:before="60" w:after="60"/>
      <w:ind w:left="1077" w:right="720" w:hanging="595"/>
    </w:pPr>
  </w:style>
  <w:style w:type="paragraph" w:styleId="TOC3">
    <w:name w:val="toc 3"/>
    <w:basedOn w:val="Normal"/>
    <w:next w:val="Normal"/>
    <w:uiPriority w:val="39"/>
    <w:rsid w:val="00C24EED"/>
    <w:pPr>
      <w:tabs>
        <w:tab w:val="right" w:leader="dot" w:pos="8640"/>
      </w:tabs>
      <w:spacing w:before="60" w:after="60"/>
      <w:ind w:left="1916" w:right="720" w:hanging="839"/>
    </w:pPr>
  </w:style>
  <w:style w:type="paragraph" w:styleId="TOC4">
    <w:name w:val="toc 4"/>
    <w:basedOn w:val="Normal"/>
    <w:next w:val="Normal"/>
    <w:semiHidden/>
    <w:rsid w:val="00C24EED"/>
    <w:pPr>
      <w:tabs>
        <w:tab w:val="right" w:leader="dot" w:pos="8641"/>
      </w:tabs>
      <w:spacing w:before="60" w:after="60"/>
      <w:ind w:left="2880" w:right="720" w:hanging="964"/>
    </w:pPr>
  </w:style>
  <w:style w:type="paragraph" w:styleId="TOC5">
    <w:name w:val="toc 5"/>
    <w:basedOn w:val="Normal"/>
    <w:next w:val="Normal"/>
    <w:semiHidden/>
    <w:rsid w:val="00C24EED"/>
    <w:pPr>
      <w:tabs>
        <w:tab w:val="right" w:leader="dot" w:pos="8641"/>
      </w:tabs>
      <w:spacing w:before="240" w:after="120"/>
      <w:ind w:right="720"/>
    </w:pPr>
    <w:rPr>
      <w:caps/>
    </w:rPr>
  </w:style>
  <w:style w:type="paragraph" w:styleId="TOC6">
    <w:name w:val="toc 6"/>
    <w:basedOn w:val="Normal"/>
    <w:next w:val="Normal"/>
    <w:autoRedefine/>
    <w:semiHidden/>
    <w:rsid w:val="00C24EED"/>
    <w:pPr>
      <w:ind w:left="1200"/>
    </w:pPr>
  </w:style>
  <w:style w:type="paragraph" w:styleId="TOC7">
    <w:name w:val="toc 7"/>
    <w:basedOn w:val="Normal"/>
    <w:next w:val="Normal"/>
    <w:autoRedefine/>
    <w:semiHidden/>
    <w:rsid w:val="00C24EED"/>
    <w:pPr>
      <w:ind w:left="1440"/>
    </w:pPr>
  </w:style>
  <w:style w:type="paragraph" w:styleId="TOC8">
    <w:name w:val="toc 8"/>
    <w:basedOn w:val="Normal"/>
    <w:next w:val="Normal"/>
    <w:autoRedefine/>
    <w:semiHidden/>
    <w:rsid w:val="00C24EED"/>
    <w:pPr>
      <w:ind w:left="1680"/>
    </w:pPr>
  </w:style>
  <w:style w:type="paragraph" w:styleId="TOC9">
    <w:name w:val="toc 9"/>
    <w:basedOn w:val="Normal"/>
    <w:next w:val="Normal"/>
    <w:autoRedefine/>
    <w:semiHidden/>
    <w:rsid w:val="00C24EED"/>
    <w:pPr>
      <w:ind w:left="1920"/>
    </w:pPr>
  </w:style>
  <w:style w:type="paragraph" w:customStyle="1" w:styleId="YReferences">
    <w:name w:val="YReferences"/>
    <w:basedOn w:val="Normal"/>
    <w:next w:val="Normal"/>
    <w:rsid w:val="00C24EED"/>
    <w:pPr>
      <w:spacing w:after="480"/>
      <w:ind w:left="1531" w:hanging="1531"/>
    </w:pPr>
  </w:style>
  <w:style w:type="paragraph" w:customStyle="1" w:styleId="ListBullet1">
    <w:name w:val="List Bullet 1"/>
    <w:basedOn w:val="Text1"/>
    <w:rsid w:val="00C24EED"/>
    <w:pPr>
      <w:numPr>
        <w:numId w:val="5"/>
      </w:numPr>
    </w:pPr>
  </w:style>
  <w:style w:type="paragraph" w:customStyle="1" w:styleId="ListDash">
    <w:name w:val="List Dash"/>
    <w:basedOn w:val="Normal"/>
    <w:rsid w:val="00C24EED"/>
    <w:pPr>
      <w:numPr>
        <w:numId w:val="9"/>
      </w:numPr>
    </w:pPr>
  </w:style>
  <w:style w:type="paragraph" w:customStyle="1" w:styleId="ListDash1">
    <w:name w:val="List Dash 1"/>
    <w:basedOn w:val="Text1"/>
    <w:rsid w:val="00C24EED"/>
    <w:pPr>
      <w:numPr>
        <w:numId w:val="10"/>
      </w:numPr>
    </w:pPr>
  </w:style>
  <w:style w:type="paragraph" w:customStyle="1" w:styleId="ListDash2">
    <w:name w:val="List Dash 2"/>
    <w:basedOn w:val="Text2"/>
    <w:rsid w:val="00C24EED"/>
    <w:pPr>
      <w:numPr>
        <w:numId w:val="11"/>
      </w:numPr>
      <w:tabs>
        <w:tab w:val="clear" w:pos="2302"/>
      </w:tabs>
    </w:pPr>
  </w:style>
  <w:style w:type="paragraph" w:customStyle="1" w:styleId="ListDash3">
    <w:name w:val="List Dash 3"/>
    <w:basedOn w:val="Text3"/>
    <w:rsid w:val="00C24EED"/>
    <w:pPr>
      <w:numPr>
        <w:numId w:val="12"/>
      </w:numPr>
      <w:tabs>
        <w:tab w:val="clear" w:pos="2302"/>
      </w:tabs>
    </w:pPr>
  </w:style>
  <w:style w:type="paragraph" w:customStyle="1" w:styleId="ListDash4">
    <w:name w:val="List Dash 4"/>
    <w:basedOn w:val="Text4"/>
    <w:rsid w:val="00C24EED"/>
    <w:pPr>
      <w:numPr>
        <w:numId w:val="13"/>
      </w:numPr>
      <w:tabs>
        <w:tab w:val="clear" w:pos="2302"/>
      </w:tabs>
    </w:pPr>
  </w:style>
  <w:style w:type="paragraph" w:customStyle="1" w:styleId="ListNumberLevel2">
    <w:name w:val="List Number (Level 2)"/>
    <w:basedOn w:val="Normal"/>
    <w:rsid w:val="00C24EED"/>
    <w:pPr>
      <w:numPr>
        <w:ilvl w:val="1"/>
        <w:numId w:val="14"/>
      </w:numPr>
    </w:pPr>
  </w:style>
  <w:style w:type="paragraph" w:customStyle="1" w:styleId="ListNumberLevel3">
    <w:name w:val="List Number (Level 3)"/>
    <w:basedOn w:val="Normal"/>
    <w:rsid w:val="00C24EED"/>
    <w:pPr>
      <w:numPr>
        <w:ilvl w:val="2"/>
        <w:numId w:val="14"/>
      </w:numPr>
    </w:pPr>
  </w:style>
  <w:style w:type="paragraph" w:customStyle="1" w:styleId="ListNumberLevel4">
    <w:name w:val="List Number (Level 4)"/>
    <w:basedOn w:val="Normal"/>
    <w:rsid w:val="00C24EED"/>
    <w:pPr>
      <w:numPr>
        <w:ilvl w:val="3"/>
        <w:numId w:val="14"/>
      </w:numPr>
    </w:pPr>
  </w:style>
  <w:style w:type="paragraph" w:customStyle="1" w:styleId="ListNumber1">
    <w:name w:val="List Number 1"/>
    <w:basedOn w:val="Text1"/>
    <w:rsid w:val="00C24EED"/>
    <w:pPr>
      <w:numPr>
        <w:numId w:val="15"/>
      </w:numPr>
    </w:pPr>
  </w:style>
  <w:style w:type="paragraph" w:customStyle="1" w:styleId="ListNumber1Level2">
    <w:name w:val="List Number 1 (Level 2)"/>
    <w:basedOn w:val="Text1"/>
    <w:rsid w:val="00C24EED"/>
    <w:pPr>
      <w:numPr>
        <w:ilvl w:val="1"/>
        <w:numId w:val="15"/>
      </w:numPr>
    </w:pPr>
  </w:style>
  <w:style w:type="paragraph" w:customStyle="1" w:styleId="ListNumber1Level3">
    <w:name w:val="List Number 1 (Level 3)"/>
    <w:basedOn w:val="Text1"/>
    <w:rsid w:val="00C24EED"/>
    <w:pPr>
      <w:numPr>
        <w:ilvl w:val="2"/>
        <w:numId w:val="15"/>
      </w:numPr>
    </w:pPr>
  </w:style>
  <w:style w:type="paragraph" w:customStyle="1" w:styleId="ListNumber1Level4">
    <w:name w:val="List Number 1 (Level 4)"/>
    <w:basedOn w:val="Text1"/>
    <w:rsid w:val="00C24EED"/>
    <w:pPr>
      <w:numPr>
        <w:ilvl w:val="3"/>
        <w:numId w:val="15"/>
      </w:numPr>
    </w:pPr>
  </w:style>
  <w:style w:type="paragraph" w:customStyle="1" w:styleId="ListNumber2Level2">
    <w:name w:val="List Number 2 (Level 2)"/>
    <w:basedOn w:val="Text2"/>
    <w:rsid w:val="00C24EED"/>
    <w:pPr>
      <w:numPr>
        <w:ilvl w:val="1"/>
        <w:numId w:val="16"/>
      </w:numPr>
      <w:tabs>
        <w:tab w:val="clear" w:pos="2302"/>
      </w:tabs>
    </w:pPr>
  </w:style>
  <w:style w:type="paragraph" w:customStyle="1" w:styleId="ListNumber2Level3">
    <w:name w:val="List Number 2 (Level 3)"/>
    <w:basedOn w:val="Text2"/>
    <w:rsid w:val="00C24EED"/>
    <w:pPr>
      <w:numPr>
        <w:ilvl w:val="2"/>
        <w:numId w:val="16"/>
      </w:numPr>
      <w:tabs>
        <w:tab w:val="clear" w:pos="2302"/>
      </w:tabs>
    </w:pPr>
  </w:style>
  <w:style w:type="paragraph" w:customStyle="1" w:styleId="ListNumber2Level4">
    <w:name w:val="List Number 2 (Level 4)"/>
    <w:basedOn w:val="Text2"/>
    <w:rsid w:val="00C24EED"/>
    <w:pPr>
      <w:numPr>
        <w:ilvl w:val="3"/>
        <w:numId w:val="16"/>
      </w:numPr>
      <w:tabs>
        <w:tab w:val="clear" w:pos="2302"/>
      </w:tabs>
    </w:pPr>
  </w:style>
  <w:style w:type="paragraph" w:customStyle="1" w:styleId="ListNumber3Level2">
    <w:name w:val="List Number 3 (Level 2)"/>
    <w:basedOn w:val="Text3"/>
    <w:rsid w:val="00C24EED"/>
    <w:pPr>
      <w:numPr>
        <w:ilvl w:val="1"/>
        <w:numId w:val="17"/>
      </w:numPr>
      <w:tabs>
        <w:tab w:val="clear" w:pos="2302"/>
      </w:tabs>
    </w:pPr>
  </w:style>
  <w:style w:type="paragraph" w:customStyle="1" w:styleId="ListNumber3Level3">
    <w:name w:val="List Number 3 (Level 3)"/>
    <w:basedOn w:val="Text3"/>
    <w:rsid w:val="00C24EED"/>
    <w:pPr>
      <w:numPr>
        <w:ilvl w:val="2"/>
        <w:numId w:val="17"/>
      </w:numPr>
      <w:tabs>
        <w:tab w:val="clear" w:pos="2302"/>
      </w:tabs>
    </w:pPr>
  </w:style>
  <w:style w:type="paragraph" w:customStyle="1" w:styleId="ListNumber3Level4">
    <w:name w:val="List Number 3 (Level 4)"/>
    <w:basedOn w:val="Text3"/>
    <w:rsid w:val="00C24EED"/>
    <w:pPr>
      <w:numPr>
        <w:ilvl w:val="3"/>
        <w:numId w:val="17"/>
      </w:numPr>
      <w:tabs>
        <w:tab w:val="clear" w:pos="2302"/>
      </w:tabs>
    </w:pPr>
  </w:style>
  <w:style w:type="paragraph" w:customStyle="1" w:styleId="ListNumber4Level2">
    <w:name w:val="List Number 4 (Level 2)"/>
    <w:basedOn w:val="Text4"/>
    <w:rsid w:val="00C24EED"/>
    <w:pPr>
      <w:numPr>
        <w:ilvl w:val="1"/>
        <w:numId w:val="18"/>
      </w:numPr>
      <w:tabs>
        <w:tab w:val="clear" w:pos="2302"/>
      </w:tabs>
    </w:pPr>
  </w:style>
  <w:style w:type="paragraph" w:customStyle="1" w:styleId="ListNumber4Level3">
    <w:name w:val="List Number 4 (Level 3)"/>
    <w:basedOn w:val="Text4"/>
    <w:rsid w:val="00C24EED"/>
    <w:pPr>
      <w:numPr>
        <w:ilvl w:val="2"/>
        <w:numId w:val="18"/>
      </w:numPr>
      <w:tabs>
        <w:tab w:val="clear" w:pos="2302"/>
      </w:tabs>
    </w:pPr>
  </w:style>
  <w:style w:type="paragraph" w:customStyle="1" w:styleId="ListNumber4Level4">
    <w:name w:val="List Number 4 (Level 4)"/>
    <w:basedOn w:val="Text4"/>
    <w:rsid w:val="00C24EED"/>
    <w:pPr>
      <w:numPr>
        <w:ilvl w:val="3"/>
        <w:numId w:val="18"/>
      </w:numPr>
      <w:tabs>
        <w:tab w:val="clear" w:pos="2302"/>
      </w:tabs>
    </w:pPr>
  </w:style>
  <w:style w:type="paragraph" w:styleId="TOCHeading">
    <w:name w:val="TOC Heading"/>
    <w:basedOn w:val="Normal"/>
    <w:next w:val="Normal"/>
    <w:uiPriority w:val="39"/>
    <w:qFormat/>
    <w:rsid w:val="00C24EED"/>
    <w:pPr>
      <w:keepNext/>
      <w:spacing w:before="240"/>
      <w:jc w:val="center"/>
    </w:pPr>
    <w:rPr>
      <w:b/>
    </w:rPr>
  </w:style>
  <w:style w:type="paragraph" w:customStyle="1" w:styleId="Contact">
    <w:name w:val="Contact"/>
    <w:basedOn w:val="Normal"/>
    <w:next w:val="Normal"/>
    <w:uiPriority w:val="99"/>
    <w:rsid w:val="00C24EED"/>
    <w:pPr>
      <w:spacing w:after="480"/>
      <w:ind w:left="567" w:hanging="567"/>
      <w:jc w:val="left"/>
    </w:pPr>
  </w:style>
  <w:style w:type="paragraph" w:customStyle="1" w:styleId="Designator">
    <w:name w:val="Designator"/>
    <w:basedOn w:val="Normal"/>
    <w:rsid w:val="00C24EED"/>
    <w:pPr>
      <w:spacing w:after="0"/>
      <w:jc w:val="center"/>
    </w:pPr>
    <w:rPr>
      <w:b/>
      <w:caps/>
      <w:sz w:val="32"/>
    </w:rPr>
  </w:style>
  <w:style w:type="paragraph" w:customStyle="1" w:styleId="Releasable">
    <w:name w:val="Releasable"/>
    <w:basedOn w:val="Normal"/>
    <w:qFormat/>
    <w:rsid w:val="00C24EED"/>
    <w:pPr>
      <w:spacing w:after="0"/>
      <w:jc w:val="center"/>
    </w:pPr>
    <w:rPr>
      <w:b/>
      <w:caps/>
      <w:sz w:val="32"/>
    </w:rPr>
  </w:style>
  <w:style w:type="paragraph" w:customStyle="1" w:styleId="RUE">
    <w:name w:val="RUE"/>
    <w:basedOn w:val="Normal"/>
    <w:rsid w:val="00C24EED"/>
    <w:pPr>
      <w:spacing w:after="0"/>
      <w:jc w:val="center"/>
    </w:pPr>
    <w:rPr>
      <w:b/>
      <w:caps/>
      <w:sz w:val="32"/>
      <w:bdr w:val="single" w:sz="18" w:space="0" w:color="auto"/>
    </w:rPr>
  </w:style>
  <w:style w:type="paragraph" w:customStyle="1" w:styleId="ConfidentialUE">
    <w:name w:val="Confidential UE"/>
    <w:basedOn w:val="Normal"/>
    <w:rsid w:val="00C24EED"/>
    <w:pPr>
      <w:spacing w:after="0"/>
      <w:jc w:val="center"/>
    </w:pPr>
    <w:rPr>
      <w:b/>
      <w:caps/>
      <w:sz w:val="32"/>
      <w:bdr w:val="single" w:sz="18" w:space="0" w:color="auto"/>
    </w:rPr>
  </w:style>
  <w:style w:type="paragraph" w:customStyle="1" w:styleId="SecretUE">
    <w:name w:val="Secret UE"/>
    <w:basedOn w:val="Normal"/>
    <w:rsid w:val="00C24EED"/>
    <w:pPr>
      <w:spacing w:after="0"/>
      <w:jc w:val="center"/>
    </w:pPr>
    <w:rPr>
      <w:b/>
      <w:caps/>
      <w:color w:val="FF0000"/>
      <w:sz w:val="32"/>
      <w:bdr w:val="single" w:sz="18" w:space="0" w:color="FF0000"/>
    </w:rPr>
  </w:style>
  <w:style w:type="paragraph" w:customStyle="1" w:styleId="TrsSecretUE">
    <w:name w:val="Très Secret UE"/>
    <w:basedOn w:val="Normal"/>
    <w:rsid w:val="00C24EED"/>
    <w:pPr>
      <w:spacing w:after="0"/>
      <w:jc w:val="center"/>
    </w:pPr>
    <w:rPr>
      <w:b/>
      <w:caps/>
      <w:color w:val="FF0000"/>
      <w:sz w:val="32"/>
      <w:bdr w:val="single" w:sz="18" w:space="0" w:color="FF0000"/>
    </w:rPr>
  </w:style>
  <w:style w:type="character" w:customStyle="1" w:styleId="FooterChar">
    <w:name w:val="Footer Char"/>
    <w:link w:val="Footer"/>
    <w:uiPriority w:val="99"/>
    <w:rsid w:val="0018281A"/>
    <w:rPr>
      <w:rFonts w:ascii="Arial" w:hAnsi="Arial"/>
      <w:sz w:val="16"/>
      <w:lang w:eastAsia="lv-LV"/>
    </w:rPr>
  </w:style>
  <w:style w:type="paragraph" w:customStyle="1" w:styleId="ZCom">
    <w:name w:val="Z_Com"/>
    <w:basedOn w:val="Normal"/>
    <w:next w:val="ZDGName"/>
    <w:uiPriority w:val="99"/>
    <w:rsid w:val="0018281A"/>
    <w:pPr>
      <w:widowControl w:val="0"/>
      <w:autoSpaceDE w:val="0"/>
      <w:autoSpaceDN w:val="0"/>
      <w:spacing w:after="0"/>
      <w:ind w:right="85"/>
    </w:pPr>
    <w:rPr>
      <w:rFonts w:ascii="Arial" w:hAnsi="Arial" w:cs="Arial"/>
      <w:szCs w:val="24"/>
    </w:rPr>
  </w:style>
  <w:style w:type="paragraph" w:customStyle="1" w:styleId="ZDGName">
    <w:name w:val="Z_DGName"/>
    <w:basedOn w:val="Normal"/>
    <w:uiPriority w:val="99"/>
    <w:rsid w:val="0018281A"/>
    <w:pPr>
      <w:widowControl w:val="0"/>
      <w:autoSpaceDE w:val="0"/>
      <w:autoSpaceDN w:val="0"/>
      <w:spacing w:after="0"/>
      <w:ind w:right="85"/>
      <w:jc w:val="left"/>
    </w:pPr>
    <w:rPr>
      <w:rFonts w:ascii="Arial" w:hAnsi="Arial" w:cs="Arial"/>
      <w:sz w:val="16"/>
      <w:szCs w:val="16"/>
    </w:rPr>
  </w:style>
  <w:style w:type="character" w:customStyle="1" w:styleId="HeaderChar">
    <w:name w:val="Header Char"/>
    <w:link w:val="Header"/>
    <w:uiPriority w:val="99"/>
    <w:rsid w:val="0018281A"/>
    <w:rPr>
      <w:sz w:val="24"/>
      <w:lang w:eastAsia="lv-LV"/>
    </w:rPr>
  </w:style>
  <w:style w:type="paragraph" w:styleId="BalloonText">
    <w:name w:val="Balloon Text"/>
    <w:basedOn w:val="Normal"/>
    <w:link w:val="BalloonTextChar"/>
    <w:uiPriority w:val="99"/>
    <w:semiHidden/>
    <w:unhideWhenUsed/>
    <w:rsid w:val="00E90AA7"/>
    <w:pPr>
      <w:spacing w:after="0"/>
    </w:pPr>
    <w:rPr>
      <w:rFonts w:ascii="Arial" w:hAnsi="Arial"/>
      <w:sz w:val="16"/>
      <w:szCs w:val="16"/>
      <w:lang w:bidi="ar-SA"/>
    </w:rPr>
  </w:style>
  <w:style w:type="character" w:customStyle="1" w:styleId="BalloonTextChar">
    <w:name w:val="Balloon Text Char"/>
    <w:link w:val="BalloonText"/>
    <w:uiPriority w:val="99"/>
    <w:semiHidden/>
    <w:rsid w:val="00E90AA7"/>
    <w:rPr>
      <w:rFonts w:ascii="Arial" w:hAnsi="Arial" w:cs="Arial"/>
      <w:sz w:val="16"/>
      <w:szCs w:val="16"/>
      <w:lang w:eastAsia="lv-LV"/>
    </w:rPr>
  </w:style>
  <w:style w:type="character" w:styleId="FootnoteReference">
    <w:name w:val="footnote reference"/>
    <w:uiPriority w:val="99"/>
    <w:semiHidden/>
    <w:unhideWhenUsed/>
    <w:rsid w:val="00B067F4"/>
    <w:rPr>
      <w:vertAlign w:val="superscript"/>
    </w:rPr>
  </w:style>
  <w:style w:type="character" w:styleId="Hyperlink">
    <w:name w:val="Hyperlink"/>
    <w:uiPriority w:val="99"/>
    <w:unhideWhenUsed/>
    <w:rsid w:val="002E5045"/>
    <w:rPr>
      <w:color w:val="0000FF"/>
      <w:u w:val="single"/>
    </w:rPr>
  </w:style>
  <w:style w:type="table" w:styleId="TableGrid">
    <w:name w:val="Table Grid"/>
    <w:basedOn w:val="TableNormal"/>
    <w:uiPriority w:val="59"/>
    <w:rsid w:val="00367AF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7AF3"/>
    <w:pPr>
      <w:spacing w:after="200" w:line="276" w:lineRule="auto"/>
      <w:ind w:left="720"/>
      <w:contextualSpacing/>
      <w:jc w:val="left"/>
    </w:pPr>
    <w:rPr>
      <w:rFonts w:ascii="Calibri" w:eastAsia="Calibri" w:hAnsi="Calibri"/>
      <w:noProof/>
      <w:sz w:val="22"/>
      <w:szCs w:val="22"/>
    </w:rPr>
  </w:style>
  <w:style w:type="character" w:customStyle="1" w:styleId="FootnoteTextChar">
    <w:name w:val="Footnote Text Char"/>
    <w:link w:val="FootnoteText"/>
    <w:uiPriority w:val="99"/>
    <w:semiHidden/>
    <w:rsid w:val="00367AF3"/>
    <w:rPr>
      <w:lang w:eastAsia="lv-LV"/>
    </w:rPr>
  </w:style>
  <w:style w:type="character" w:customStyle="1" w:styleId="DateChar">
    <w:name w:val="Date Char"/>
    <w:link w:val="Date"/>
    <w:uiPriority w:val="99"/>
    <w:rsid w:val="00F01BFA"/>
    <w:rPr>
      <w:sz w:val="24"/>
      <w:lang w:eastAsia="lv-LV"/>
    </w:rPr>
  </w:style>
  <w:style w:type="character" w:styleId="Strong">
    <w:name w:val="Strong"/>
    <w:basedOn w:val="DefaultParagraphFont"/>
    <w:uiPriority w:val="22"/>
    <w:qFormat/>
    <w:rsid w:val="00BF7F3B"/>
    <w:rPr>
      <w:b/>
      <w:bCs/>
    </w:rPr>
  </w:style>
  <w:style w:type="character" w:customStyle="1" w:styleId="st">
    <w:name w:val="st"/>
    <w:basedOn w:val="DefaultParagraphFont"/>
    <w:rsid w:val="00883849"/>
  </w:style>
  <w:style w:type="character" w:styleId="Emphasis">
    <w:name w:val="Emphasis"/>
    <w:basedOn w:val="DefaultParagraphFont"/>
    <w:uiPriority w:val="20"/>
    <w:qFormat/>
    <w:rsid w:val="00883849"/>
    <w:rPr>
      <w:i/>
      <w:iCs/>
    </w:rPr>
  </w:style>
  <w:style w:type="character" w:styleId="CommentReference">
    <w:name w:val="annotation reference"/>
    <w:basedOn w:val="DefaultParagraphFont"/>
    <w:uiPriority w:val="99"/>
    <w:semiHidden/>
    <w:unhideWhenUsed/>
    <w:rsid w:val="00750CCB"/>
    <w:rPr>
      <w:sz w:val="16"/>
      <w:szCs w:val="16"/>
    </w:rPr>
  </w:style>
  <w:style w:type="paragraph" w:styleId="CommentSubject">
    <w:name w:val="annotation subject"/>
    <w:basedOn w:val="CommentText"/>
    <w:next w:val="CommentText"/>
    <w:link w:val="CommentSubjectChar"/>
    <w:uiPriority w:val="99"/>
    <w:semiHidden/>
    <w:unhideWhenUsed/>
    <w:rsid w:val="00750CCB"/>
    <w:rPr>
      <w:b/>
      <w:bCs/>
    </w:rPr>
  </w:style>
  <w:style w:type="character" w:customStyle="1" w:styleId="CommentTextChar">
    <w:name w:val="Comment Text Char"/>
    <w:basedOn w:val="DefaultParagraphFont"/>
    <w:link w:val="CommentText"/>
    <w:semiHidden/>
    <w:rsid w:val="00750CCB"/>
    <w:rPr>
      <w:lang w:bidi="lv-LV"/>
    </w:rPr>
  </w:style>
  <w:style w:type="character" w:customStyle="1" w:styleId="CommentSubjectChar">
    <w:name w:val="Comment Subject Char"/>
    <w:basedOn w:val="CommentTextChar"/>
    <w:link w:val="CommentSubject"/>
    <w:rsid w:val="00750CCB"/>
    <w:rPr>
      <w:lang w:bidi="lv-LV"/>
    </w:rPr>
  </w:style>
  <w:style w:type="paragraph" w:customStyle="1" w:styleId="Default">
    <w:name w:val="Default"/>
    <w:rsid w:val="004C753D"/>
    <w:pPr>
      <w:autoSpaceDE w:val="0"/>
      <w:autoSpaceDN w:val="0"/>
      <w:adjustRightInd w:val="0"/>
    </w:pPr>
    <w:rPr>
      <w:rFonts w:ascii="EUAlbertina-Bold" w:hAnsi="EUAlbertina-Bold" w:cs="EUAlbertina-Bold"/>
      <w:color w:val="000000"/>
      <w:sz w:val="24"/>
      <w:szCs w:val="24"/>
      <w:lang w:val="en-US"/>
    </w:rPr>
  </w:style>
  <w:style w:type="character" w:styleId="FollowedHyperlink">
    <w:name w:val="FollowedHyperlink"/>
    <w:basedOn w:val="DefaultParagraphFont"/>
    <w:uiPriority w:val="99"/>
    <w:semiHidden/>
    <w:unhideWhenUsed/>
    <w:rsid w:val="00EB7493"/>
    <w:rPr>
      <w:color w:val="800080" w:themeColor="followedHyperlink"/>
      <w:u w:val="single"/>
    </w:rPr>
  </w:style>
  <w:style w:type="character" w:customStyle="1" w:styleId="Neatrisintapieminana1">
    <w:name w:val="Neatrisināta pieminēšana1"/>
    <w:basedOn w:val="DefaultParagraphFont"/>
    <w:uiPriority w:val="99"/>
    <w:semiHidden/>
    <w:unhideWhenUsed/>
    <w:rsid w:val="00C95AEC"/>
    <w:rPr>
      <w:color w:val="605E5C"/>
      <w:shd w:val="clear" w:color="auto" w:fill="E1DFDD"/>
    </w:rPr>
  </w:style>
  <w:style w:type="paragraph" w:customStyle="1" w:styleId="naisf">
    <w:name w:val="naisf"/>
    <w:basedOn w:val="Normal"/>
    <w:rsid w:val="00164F42"/>
    <w:pPr>
      <w:widowControl w:val="0"/>
      <w:suppressAutoHyphens/>
      <w:spacing w:before="75" w:after="75" w:line="276" w:lineRule="auto"/>
      <w:ind w:firstLine="375"/>
    </w:pPr>
    <w:rPr>
      <w:rFonts w:eastAsia="Calibri"/>
      <w:szCs w:val="24"/>
      <w:lang w:eastAsia="ar-SA" w:bidi="ar-SA"/>
    </w:rPr>
  </w:style>
  <w:style w:type="paragraph" w:customStyle="1" w:styleId="tv213">
    <w:name w:val="tv213"/>
    <w:basedOn w:val="Normal"/>
    <w:rsid w:val="00164F42"/>
    <w:pPr>
      <w:spacing w:before="100" w:beforeAutospacing="1" w:after="100" w:afterAutospacing="1"/>
      <w:jc w:val="left"/>
    </w:pPr>
    <w:rPr>
      <w:szCs w:val="24"/>
      <w:lang w:val="en-US" w:eastAsia="en-US" w:bidi="ar-SA"/>
    </w:rPr>
  </w:style>
  <w:style w:type="character" w:styleId="UnresolvedMention">
    <w:name w:val="Unresolved Mention"/>
    <w:basedOn w:val="DefaultParagraphFont"/>
    <w:uiPriority w:val="99"/>
    <w:semiHidden/>
    <w:unhideWhenUsed/>
    <w:rsid w:val="00E03038"/>
    <w:rPr>
      <w:color w:val="605E5C"/>
      <w:shd w:val="clear" w:color="auto" w:fill="E1DFDD"/>
    </w:rPr>
  </w:style>
  <w:style w:type="character" w:customStyle="1" w:styleId="tlid-translation">
    <w:name w:val="tlid-translation"/>
    <w:basedOn w:val="DefaultParagraphFont"/>
    <w:rsid w:val="00420E0B"/>
  </w:style>
  <w:style w:type="character" w:customStyle="1" w:styleId="gwt-label">
    <w:name w:val="gwt-label"/>
    <w:basedOn w:val="DefaultParagraphFont"/>
    <w:rsid w:val="00420E0B"/>
  </w:style>
  <w:style w:type="paragraph" w:styleId="NoSpacing">
    <w:name w:val="No Spacing"/>
    <w:uiPriority w:val="1"/>
    <w:qFormat/>
    <w:rsid w:val="004600C0"/>
    <w:rPr>
      <w:sz w:val="24"/>
      <w:szCs w:val="24"/>
      <w:lang w:val="en-US" w:eastAsia="en-US"/>
    </w:rPr>
  </w:style>
  <w:style w:type="paragraph" w:customStyle="1" w:styleId="paragraph">
    <w:name w:val="paragraph"/>
    <w:basedOn w:val="Normal"/>
    <w:rsid w:val="004600C0"/>
    <w:pPr>
      <w:spacing w:before="100" w:beforeAutospacing="1" w:after="100" w:afterAutospacing="1"/>
      <w:jc w:val="left"/>
    </w:pPr>
    <w:rPr>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2842">
      <w:bodyDiv w:val="1"/>
      <w:marLeft w:val="0"/>
      <w:marRight w:val="0"/>
      <w:marTop w:val="0"/>
      <w:marBottom w:val="0"/>
      <w:divBdr>
        <w:top w:val="none" w:sz="0" w:space="0" w:color="auto"/>
        <w:left w:val="none" w:sz="0" w:space="0" w:color="auto"/>
        <w:bottom w:val="none" w:sz="0" w:space="0" w:color="auto"/>
        <w:right w:val="none" w:sz="0" w:space="0" w:color="auto"/>
      </w:divBdr>
    </w:div>
    <w:div w:id="35551174">
      <w:bodyDiv w:val="1"/>
      <w:marLeft w:val="0"/>
      <w:marRight w:val="0"/>
      <w:marTop w:val="0"/>
      <w:marBottom w:val="0"/>
      <w:divBdr>
        <w:top w:val="none" w:sz="0" w:space="0" w:color="auto"/>
        <w:left w:val="none" w:sz="0" w:space="0" w:color="auto"/>
        <w:bottom w:val="none" w:sz="0" w:space="0" w:color="auto"/>
        <w:right w:val="none" w:sz="0" w:space="0" w:color="auto"/>
      </w:divBdr>
    </w:div>
    <w:div w:id="104276471">
      <w:bodyDiv w:val="1"/>
      <w:marLeft w:val="0"/>
      <w:marRight w:val="0"/>
      <w:marTop w:val="0"/>
      <w:marBottom w:val="0"/>
      <w:divBdr>
        <w:top w:val="none" w:sz="0" w:space="0" w:color="auto"/>
        <w:left w:val="none" w:sz="0" w:space="0" w:color="auto"/>
        <w:bottom w:val="none" w:sz="0" w:space="0" w:color="auto"/>
        <w:right w:val="none" w:sz="0" w:space="0" w:color="auto"/>
      </w:divBdr>
      <w:divsChild>
        <w:div w:id="592737646">
          <w:marLeft w:val="0"/>
          <w:marRight w:val="0"/>
          <w:marTop w:val="0"/>
          <w:marBottom w:val="0"/>
          <w:divBdr>
            <w:top w:val="none" w:sz="0" w:space="0" w:color="auto"/>
            <w:left w:val="none" w:sz="0" w:space="0" w:color="auto"/>
            <w:bottom w:val="none" w:sz="0" w:space="0" w:color="auto"/>
            <w:right w:val="none" w:sz="0" w:space="0" w:color="auto"/>
          </w:divBdr>
        </w:div>
        <w:div w:id="646516187">
          <w:marLeft w:val="0"/>
          <w:marRight w:val="0"/>
          <w:marTop w:val="0"/>
          <w:marBottom w:val="0"/>
          <w:divBdr>
            <w:top w:val="none" w:sz="0" w:space="0" w:color="auto"/>
            <w:left w:val="none" w:sz="0" w:space="0" w:color="auto"/>
            <w:bottom w:val="none" w:sz="0" w:space="0" w:color="auto"/>
            <w:right w:val="none" w:sz="0" w:space="0" w:color="auto"/>
          </w:divBdr>
        </w:div>
      </w:divsChild>
    </w:div>
    <w:div w:id="128059877">
      <w:bodyDiv w:val="1"/>
      <w:marLeft w:val="0"/>
      <w:marRight w:val="0"/>
      <w:marTop w:val="0"/>
      <w:marBottom w:val="0"/>
      <w:divBdr>
        <w:top w:val="none" w:sz="0" w:space="0" w:color="auto"/>
        <w:left w:val="none" w:sz="0" w:space="0" w:color="auto"/>
        <w:bottom w:val="none" w:sz="0" w:space="0" w:color="auto"/>
        <w:right w:val="none" w:sz="0" w:space="0" w:color="auto"/>
      </w:divBdr>
    </w:div>
    <w:div w:id="142092048">
      <w:bodyDiv w:val="1"/>
      <w:marLeft w:val="0"/>
      <w:marRight w:val="0"/>
      <w:marTop w:val="0"/>
      <w:marBottom w:val="0"/>
      <w:divBdr>
        <w:top w:val="none" w:sz="0" w:space="0" w:color="auto"/>
        <w:left w:val="none" w:sz="0" w:space="0" w:color="auto"/>
        <w:bottom w:val="none" w:sz="0" w:space="0" w:color="auto"/>
        <w:right w:val="none" w:sz="0" w:space="0" w:color="auto"/>
      </w:divBdr>
    </w:div>
    <w:div w:id="153837708">
      <w:bodyDiv w:val="1"/>
      <w:marLeft w:val="0"/>
      <w:marRight w:val="0"/>
      <w:marTop w:val="0"/>
      <w:marBottom w:val="0"/>
      <w:divBdr>
        <w:top w:val="none" w:sz="0" w:space="0" w:color="auto"/>
        <w:left w:val="none" w:sz="0" w:space="0" w:color="auto"/>
        <w:bottom w:val="none" w:sz="0" w:space="0" w:color="auto"/>
        <w:right w:val="none" w:sz="0" w:space="0" w:color="auto"/>
      </w:divBdr>
    </w:div>
    <w:div w:id="194197610">
      <w:bodyDiv w:val="1"/>
      <w:marLeft w:val="0"/>
      <w:marRight w:val="0"/>
      <w:marTop w:val="0"/>
      <w:marBottom w:val="0"/>
      <w:divBdr>
        <w:top w:val="none" w:sz="0" w:space="0" w:color="auto"/>
        <w:left w:val="none" w:sz="0" w:space="0" w:color="auto"/>
        <w:bottom w:val="none" w:sz="0" w:space="0" w:color="auto"/>
        <w:right w:val="none" w:sz="0" w:space="0" w:color="auto"/>
      </w:divBdr>
    </w:div>
    <w:div w:id="206142854">
      <w:bodyDiv w:val="1"/>
      <w:marLeft w:val="0"/>
      <w:marRight w:val="0"/>
      <w:marTop w:val="0"/>
      <w:marBottom w:val="0"/>
      <w:divBdr>
        <w:top w:val="none" w:sz="0" w:space="0" w:color="auto"/>
        <w:left w:val="none" w:sz="0" w:space="0" w:color="auto"/>
        <w:bottom w:val="none" w:sz="0" w:space="0" w:color="auto"/>
        <w:right w:val="none" w:sz="0" w:space="0" w:color="auto"/>
      </w:divBdr>
    </w:div>
    <w:div w:id="215704144">
      <w:bodyDiv w:val="1"/>
      <w:marLeft w:val="0"/>
      <w:marRight w:val="0"/>
      <w:marTop w:val="0"/>
      <w:marBottom w:val="0"/>
      <w:divBdr>
        <w:top w:val="none" w:sz="0" w:space="0" w:color="auto"/>
        <w:left w:val="none" w:sz="0" w:space="0" w:color="auto"/>
        <w:bottom w:val="none" w:sz="0" w:space="0" w:color="auto"/>
        <w:right w:val="none" w:sz="0" w:space="0" w:color="auto"/>
      </w:divBdr>
    </w:div>
    <w:div w:id="237332189">
      <w:bodyDiv w:val="1"/>
      <w:marLeft w:val="0"/>
      <w:marRight w:val="0"/>
      <w:marTop w:val="0"/>
      <w:marBottom w:val="0"/>
      <w:divBdr>
        <w:top w:val="none" w:sz="0" w:space="0" w:color="auto"/>
        <w:left w:val="none" w:sz="0" w:space="0" w:color="auto"/>
        <w:bottom w:val="none" w:sz="0" w:space="0" w:color="auto"/>
        <w:right w:val="none" w:sz="0" w:space="0" w:color="auto"/>
      </w:divBdr>
    </w:div>
    <w:div w:id="246500303">
      <w:bodyDiv w:val="1"/>
      <w:marLeft w:val="0"/>
      <w:marRight w:val="0"/>
      <w:marTop w:val="0"/>
      <w:marBottom w:val="0"/>
      <w:divBdr>
        <w:top w:val="none" w:sz="0" w:space="0" w:color="auto"/>
        <w:left w:val="none" w:sz="0" w:space="0" w:color="auto"/>
        <w:bottom w:val="none" w:sz="0" w:space="0" w:color="auto"/>
        <w:right w:val="none" w:sz="0" w:space="0" w:color="auto"/>
      </w:divBdr>
    </w:div>
    <w:div w:id="259223148">
      <w:bodyDiv w:val="1"/>
      <w:marLeft w:val="0"/>
      <w:marRight w:val="0"/>
      <w:marTop w:val="0"/>
      <w:marBottom w:val="0"/>
      <w:divBdr>
        <w:top w:val="none" w:sz="0" w:space="0" w:color="auto"/>
        <w:left w:val="none" w:sz="0" w:space="0" w:color="auto"/>
        <w:bottom w:val="none" w:sz="0" w:space="0" w:color="auto"/>
        <w:right w:val="none" w:sz="0" w:space="0" w:color="auto"/>
      </w:divBdr>
      <w:divsChild>
        <w:div w:id="37703532">
          <w:marLeft w:val="0"/>
          <w:marRight w:val="0"/>
          <w:marTop w:val="0"/>
          <w:marBottom w:val="0"/>
          <w:divBdr>
            <w:top w:val="none" w:sz="0" w:space="0" w:color="auto"/>
            <w:left w:val="none" w:sz="0" w:space="0" w:color="auto"/>
            <w:bottom w:val="none" w:sz="0" w:space="0" w:color="auto"/>
            <w:right w:val="none" w:sz="0" w:space="0" w:color="auto"/>
          </w:divBdr>
        </w:div>
        <w:div w:id="128012356">
          <w:marLeft w:val="0"/>
          <w:marRight w:val="0"/>
          <w:marTop w:val="0"/>
          <w:marBottom w:val="0"/>
          <w:divBdr>
            <w:top w:val="none" w:sz="0" w:space="0" w:color="auto"/>
            <w:left w:val="none" w:sz="0" w:space="0" w:color="auto"/>
            <w:bottom w:val="none" w:sz="0" w:space="0" w:color="auto"/>
            <w:right w:val="none" w:sz="0" w:space="0" w:color="auto"/>
          </w:divBdr>
        </w:div>
        <w:div w:id="212011878">
          <w:marLeft w:val="0"/>
          <w:marRight w:val="0"/>
          <w:marTop w:val="0"/>
          <w:marBottom w:val="0"/>
          <w:divBdr>
            <w:top w:val="none" w:sz="0" w:space="0" w:color="auto"/>
            <w:left w:val="none" w:sz="0" w:space="0" w:color="auto"/>
            <w:bottom w:val="none" w:sz="0" w:space="0" w:color="auto"/>
            <w:right w:val="none" w:sz="0" w:space="0" w:color="auto"/>
          </w:divBdr>
        </w:div>
        <w:div w:id="238297038">
          <w:marLeft w:val="0"/>
          <w:marRight w:val="0"/>
          <w:marTop w:val="0"/>
          <w:marBottom w:val="0"/>
          <w:divBdr>
            <w:top w:val="none" w:sz="0" w:space="0" w:color="auto"/>
            <w:left w:val="none" w:sz="0" w:space="0" w:color="auto"/>
            <w:bottom w:val="none" w:sz="0" w:space="0" w:color="auto"/>
            <w:right w:val="none" w:sz="0" w:space="0" w:color="auto"/>
          </w:divBdr>
        </w:div>
        <w:div w:id="267279460">
          <w:marLeft w:val="0"/>
          <w:marRight w:val="0"/>
          <w:marTop w:val="0"/>
          <w:marBottom w:val="0"/>
          <w:divBdr>
            <w:top w:val="none" w:sz="0" w:space="0" w:color="auto"/>
            <w:left w:val="none" w:sz="0" w:space="0" w:color="auto"/>
            <w:bottom w:val="none" w:sz="0" w:space="0" w:color="auto"/>
            <w:right w:val="none" w:sz="0" w:space="0" w:color="auto"/>
          </w:divBdr>
        </w:div>
        <w:div w:id="385490342">
          <w:marLeft w:val="0"/>
          <w:marRight w:val="0"/>
          <w:marTop w:val="0"/>
          <w:marBottom w:val="0"/>
          <w:divBdr>
            <w:top w:val="none" w:sz="0" w:space="0" w:color="auto"/>
            <w:left w:val="none" w:sz="0" w:space="0" w:color="auto"/>
            <w:bottom w:val="none" w:sz="0" w:space="0" w:color="auto"/>
            <w:right w:val="none" w:sz="0" w:space="0" w:color="auto"/>
          </w:divBdr>
        </w:div>
        <w:div w:id="505095563">
          <w:marLeft w:val="0"/>
          <w:marRight w:val="0"/>
          <w:marTop w:val="0"/>
          <w:marBottom w:val="0"/>
          <w:divBdr>
            <w:top w:val="none" w:sz="0" w:space="0" w:color="auto"/>
            <w:left w:val="none" w:sz="0" w:space="0" w:color="auto"/>
            <w:bottom w:val="none" w:sz="0" w:space="0" w:color="auto"/>
            <w:right w:val="none" w:sz="0" w:space="0" w:color="auto"/>
          </w:divBdr>
        </w:div>
        <w:div w:id="514274395">
          <w:marLeft w:val="0"/>
          <w:marRight w:val="0"/>
          <w:marTop w:val="0"/>
          <w:marBottom w:val="0"/>
          <w:divBdr>
            <w:top w:val="none" w:sz="0" w:space="0" w:color="auto"/>
            <w:left w:val="none" w:sz="0" w:space="0" w:color="auto"/>
            <w:bottom w:val="none" w:sz="0" w:space="0" w:color="auto"/>
            <w:right w:val="none" w:sz="0" w:space="0" w:color="auto"/>
          </w:divBdr>
        </w:div>
        <w:div w:id="583877020">
          <w:marLeft w:val="0"/>
          <w:marRight w:val="0"/>
          <w:marTop w:val="0"/>
          <w:marBottom w:val="0"/>
          <w:divBdr>
            <w:top w:val="none" w:sz="0" w:space="0" w:color="auto"/>
            <w:left w:val="none" w:sz="0" w:space="0" w:color="auto"/>
            <w:bottom w:val="none" w:sz="0" w:space="0" w:color="auto"/>
            <w:right w:val="none" w:sz="0" w:space="0" w:color="auto"/>
          </w:divBdr>
        </w:div>
        <w:div w:id="610432872">
          <w:marLeft w:val="0"/>
          <w:marRight w:val="0"/>
          <w:marTop w:val="0"/>
          <w:marBottom w:val="0"/>
          <w:divBdr>
            <w:top w:val="none" w:sz="0" w:space="0" w:color="auto"/>
            <w:left w:val="none" w:sz="0" w:space="0" w:color="auto"/>
            <w:bottom w:val="none" w:sz="0" w:space="0" w:color="auto"/>
            <w:right w:val="none" w:sz="0" w:space="0" w:color="auto"/>
          </w:divBdr>
        </w:div>
        <w:div w:id="647586713">
          <w:marLeft w:val="0"/>
          <w:marRight w:val="0"/>
          <w:marTop w:val="0"/>
          <w:marBottom w:val="0"/>
          <w:divBdr>
            <w:top w:val="none" w:sz="0" w:space="0" w:color="auto"/>
            <w:left w:val="none" w:sz="0" w:space="0" w:color="auto"/>
            <w:bottom w:val="none" w:sz="0" w:space="0" w:color="auto"/>
            <w:right w:val="none" w:sz="0" w:space="0" w:color="auto"/>
          </w:divBdr>
        </w:div>
        <w:div w:id="923076281">
          <w:marLeft w:val="0"/>
          <w:marRight w:val="0"/>
          <w:marTop w:val="0"/>
          <w:marBottom w:val="0"/>
          <w:divBdr>
            <w:top w:val="none" w:sz="0" w:space="0" w:color="auto"/>
            <w:left w:val="none" w:sz="0" w:space="0" w:color="auto"/>
            <w:bottom w:val="none" w:sz="0" w:space="0" w:color="auto"/>
            <w:right w:val="none" w:sz="0" w:space="0" w:color="auto"/>
          </w:divBdr>
        </w:div>
        <w:div w:id="1131825743">
          <w:marLeft w:val="0"/>
          <w:marRight w:val="0"/>
          <w:marTop w:val="0"/>
          <w:marBottom w:val="0"/>
          <w:divBdr>
            <w:top w:val="none" w:sz="0" w:space="0" w:color="auto"/>
            <w:left w:val="none" w:sz="0" w:space="0" w:color="auto"/>
            <w:bottom w:val="none" w:sz="0" w:space="0" w:color="auto"/>
            <w:right w:val="none" w:sz="0" w:space="0" w:color="auto"/>
          </w:divBdr>
        </w:div>
        <w:div w:id="1134329398">
          <w:marLeft w:val="0"/>
          <w:marRight w:val="0"/>
          <w:marTop w:val="0"/>
          <w:marBottom w:val="0"/>
          <w:divBdr>
            <w:top w:val="none" w:sz="0" w:space="0" w:color="auto"/>
            <w:left w:val="none" w:sz="0" w:space="0" w:color="auto"/>
            <w:bottom w:val="none" w:sz="0" w:space="0" w:color="auto"/>
            <w:right w:val="none" w:sz="0" w:space="0" w:color="auto"/>
          </w:divBdr>
        </w:div>
        <w:div w:id="1212619821">
          <w:marLeft w:val="0"/>
          <w:marRight w:val="0"/>
          <w:marTop w:val="0"/>
          <w:marBottom w:val="0"/>
          <w:divBdr>
            <w:top w:val="none" w:sz="0" w:space="0" w:color="auto"/>
            <w:left w:val="none" w:sz="0" w:space="0" w:color="auto"/>
            <w:bottom w:val="none" w:sz="0" w:space="0" w:color="auto"/>
            <w:right w:val="none" w:sz="0" w:space="0" w:color="auto"/>
          </w:divBdr>
        </w:div>
        <w:div w:id="1501895436">
          <w:marLeft w:val="0"/>
          <w:marRight w:val="0"/>
          <w:marTop w:val="0"/>
          <w:marBottom w:val="0"/>
          <w:divBdr>
            <w:top w:val="none" w:sz="0" w:space="0" w:color="auto"/>
            <w:left w:val="none" w:sz="0" w:space="0" w:color="auto"/>
            <w:bottom w:val="none" w:sz="0" w:space="0" w:color="auto"/>
            <w:right w:val="none" w:sz="0" w:space="0" w:color="auto"/>
          </w:divBdr>
        </w:div>
        <w:div w:id="1567834297">
          <w:marLeft w:val="0"/>
          <w:marRight w:val="0"/>
          <w:marTop w:val="0"/>
          <w:marBottom w:val="0"/>
          <w:divBdr>
            <w:top w:val="none" w:sz="0" w:space="0" w:color="auto"/>
            <w:left w:val="none" w:sz="0" w:space="0" w:color="auto"/>
            <w:bottom w:val="none" w:sz="0" w:space="0" w:color="auto"/>
            <w:right w:val="none" w:sz="0" w:space="0" w:color="auto"/>
          </w:divBdr>
        </w:div>
        <w:div w:id="1722435581">
          <w:marLeft w:val="0"/>
          <w:marRight w:val="0"/>
          <w:marTop w:val="0"/>
          <w:marBottom w:val="0"/>
          <w:divBdr>
            <w:top w:val="none" w:sz="0" w:space="0" w:color="auto"/>
            <w:left w:val="none" w:sz="0" w:space="0" w:color="auto"/>
            <w:bottom w:val="none" w:sz="0" w:space="0" w:color="auto"/>
            <w:right w:val="none" w:sz="0" w:space="0" w:color="auto"/>
          </w:divBdr>
        </w:div>
        <w:div w:id="1907641166">
          <w:marLeft w:val="0"/>
          <w:marRight w:val="0"/>
          <w:marTop w:val="0"/>
          <w:marBottom w:val="0"/>
          <w:divBdr>
            <w:top w:val="none" w:sz="0" w:space="0" w:color="auto"/>
            <w:left w:val="none" w:sz="0" w:space="0" w:color="auto"/>
            <w:bottom w:val="none" w:sz="0" w:space="0" w:color="auto"/>
            <w:right w:val="none" w:sz="0" w:space="0" w:color="auto"/>
          </w:divBdr>
        </w:div>
        <w:div w:id="1911035282">
          <w:marLeft w:val="0"/>
          <w:marRight w:val="0"/>
          <w:marTop w:val="0"/>
          <w:marBottom w:val="0"/>
          <w:divBdr>
            <w:top w:val="none" w:sz="0" w:space="0" w:color="auto"/>
            <w:left w:val="none" w:sz="0" w:space="0" w:color="auto"/>
            <w:bottom w:val="none" w:sz="0" w:space="0" w:color="auto"/>
            <w:right w:val="none" w:sz="0" w:space="0" w:color="auto"/>
          </w:divBdr>
        </w:div>
        <w:div w:id="1925802743">
          <w:marLeft w:val="0"/>
          <w:marRight w:val="0"/>
          <w:marTop w:val="0"/>
          <w:marBottom w:val="0"/>
          <w:divBdr>
            <w:top w:val="none" w:sz="0" w:space="0" w:color="auto"/>
            <w:left w:val="none" w:sz="0" w:space="0" w:color="auto"/>
            <w:bottom w:val="none" w:sz="0" w:space="0" w:color="auto"/>
            <w:right w:val="none" w:sz="0" w:space="0" w:color="auto"/>
          </w:divBdr>
        </w:div>
        <w:div w:id="2043238932">
          <w:marLeft w:val="0"/>
          <w:marRight w:val="0"/>
          <w:marTop w:val="0"/>
          <w:marBottom w:val="0"/>
          <w:divBdr>
            <w:top w:val="none" w:sz="0" w:space="0" w:color="auto"/>
            <w:left w:val="none" w:sz="0" w:space="0" w:color="auto"/>
            <w:bottom w:val="none" w:sz="0" w:space="0" w:color="auto"/>
            <w:right w:val="none" w:sz="0" w:space="0" w:color="auto"/>
          </w:divBdr>
        </w:div>
      </w:divsChild>
    </w:div>
    <w:div w:id="285620589">
      <w:bodyDiv w:val="1"/>
      <w:marLeft w:val="0"/>
      <w:marRight w:val="0"/>
      <w:marTop w:val="0"/>
      <w:marBottom w:val="0"/>
      <w:divBdr>
        <w:top w:val="none" w:sz="0" w:space="0" w:color="auto"/>
        <w:left w:val="none" w:sz="0" w:space="0" w:color="auto"/>
        <w:bottom w:val="none" w:sz="0" w:space="0" w:color="auto"/>
        <w:right w:val="none" w:sz="0" w:space="0" w:color="auto"/>
      </w:divBdr>
    </w:div>
    <w:div w:id="315570501">
      <w:bodyDiv w:val="1"/>
      <w:marLeft w:val="0"/>
      <w:marRight w:val="0"/>
      <w:marTop w:val="0"/>
      <w:marBottom w:val="0"/>
      <w:divBdr>
        <w:top w:val="none" w:sz="0" w:space="0" w:color="auto"/>
        <w:left w:val="none" w:sz="0" w:space="0" w:color="auto"/>
        <w:bottom w:val="none" w:sz="0" w:space="0" w:color="auto"/>
        <w:right w:val="none" w:sz="0" w:space="0" w:color="auto"/>
      </w:divBdr>
    </w:div>
    <w:div w:id="382797964">
      <w:bodyDiv w:val="1"/>
      <w:marLeft w:val="0"/>
      <w:marRight w:val="0"/>
      <w:marTop w:val="0"/>
      <w:marBottom w:val="0"/>
      <w:divBdr>
        <w:top w:val="none" w:sz="0" w:space="0" w:color="auto"/>
        <w:left w:val="none" w:sz="0" w:space="0" w:color="auto"/>
        <w:bottom w:val="none" w:sz="0" w:space="0" w:color="auto"/>
        <w:right w:val="none" w:sz="0" w:space="0" w:color="auto"/>
      </w:divBdr>
    </w:div>
    <w:div w:id="538712523">
      <w:bodyDiv w:val="1"/>
      <w:marLeft w:val="0"/>
      <w:marRight w:val="0"/>
      <w:marTop w:val="0"/>
      <w:marBottom w:val="0"/>
      <w:divBdr>
        <w:top w:val="none" w:sz="0" w:space="0" w:color="auto"/>
        <w:left w:val="none" w:sz="0" w:space="0" w:color="auto"/>
        <w:bottom w:val="none" w:sz="0" w:space="0" w:color="auto"/>
        <w:right w:val="none" w:sz="0" w:space="0" w:color="auto"/>
      </w:divBdr>
    </w:div>
    <w:div w:id="542864500">
      <w:bodyDiv w:val="1"/>
      <w:marLeft w:val="0"/>
      <w:marRight w:val="0"/>
      <w:marTop w:val="0"/>
      <w:marBottom w:val="0"/>
      <w:divBdr>
        <w:top w:val="none" w:sz="0" w:space="0" w:color="auto"/>
        <w:left w:val="none" w:sz="0" w:space="0" w:color="auto"/>
        <w:bottom w:val="none" w:sz="0" w:space="0" w:color="auto"/>
        <w:right w:val="none" w:sz="0" w:space="0" w:color="auto"/>
      </w:divBdr>
    </w:div>
    <w:div w:id="547377648">
      <w:bodyDiv w:val="1"/>
      <w:marLeft w:val="0"/>
      <w:marRight w:val="0"/>
      <w:marTop w:val="0"/>
      <w:marBottom w:val="0"/>
      <w:divBdr>
        <w:top w:val="none" w:sz="0" w:space="0" w:color="auto"/>
        <w:left w:val="none" w:sz="0" w:space="0" w:color="auto"/>
        <w:bottom w:val="none" w:sz="0" w:space="0" w:color="auto"/>
        <w:right w:val="none" w:sz="0" w:space="0" w:color="auto"/>
      </w:divBdr>
    </w:div>
    <w:div w:id="618881259">
      <w:bodyDiv w:val="1"/>
      <w:marLeft w:val="0"/>
      <w:marRight w:val="0"/>
      <w:marTop w:val="0"/>
      <w:marBottom w:val="0"/>
      <w:divBdr>
        <w:top w:val="none" w:sz="0" w:space="0" w:color="auto"/>
        <w:left w:val="none" w:sz="0" w:space="0" w:color="auto"/>
        <w:bottom w:val="none" w:sz="0" w:space="0" w:color="auto"/>
        <w:right w:val="none" w:sz="0" w:space="0" w:color="auto"/>
      </w:divBdr>
    </w:div>
    <w:div w:id="668750024">
      <w:bodyDiv w:val="1"/>
      <w:marLeft w:val="0"/>
      <w:marRight w:val="0"/>
      <w:marTop w:val="0"/>
      <w:marBottom w:val="0"/>
      <w:divBdr>
        <w:top w:val="none" w:sz="0" w:space="0" w:color="auto"/>
        <w:left w:val="none" w:sz="0" w:space="0" w:color="auto"/>
        <w:bottom w:val="none" w:sz="0" w:space="0" w:color="auto"/>
        <w:right w:val="none" w:sz="0" w:space="0" w:color="auto"/>
      </w:divBdr>
    </w:div>
    <w:div w:id="669987893">
      <w:bodyDiv w:val="1"/>
      <w:marLeft w:val="0"/>
      <w:marRight w:val="0"/>
      <w:marTop w:val="0"/>
      <w:marBottom w:val="0"/>
      <w:divBdr>
        <w:top w:val="none" w:sz="0" w:space="0" w:color="auto"/>
        <w:left w:val="none" w:sz="0" w:space="0" w:color="auto"/>
        <w:bottom w:val="none" w:sz="0" w:space="0" w:color="auto"/>
        <w:right w:val="none" w:sz="0" w:space="0" w:color="auto"/>
      </w:divBdr>
    </w:div>
    <w:div w:id="679966862">
      <w:bodyDiv w:val="1"/>
      <w:marLeft w:val="0"/>
      <w:marRight w:val="0"/>
      <w:marTop w:val="0"/>
      <w:marBottom w:val="0"/>
      <w:divBdr>
        <w:top w:val="none" w:sz="0" w:space="0" w:color="auto"/>
        <w:left w:val="none" w:sz="0" w:space="0" w:color="auto"/>
        <w:bottom w:val="none" w:sz="0" w:space="0" w:color="auto"/>
        <w:right w:val="none" w:sz="0" w:space="0" w:color="auto"/>
      </w:divBdr>
    </w:div>
    <w:div w:id="685712714">
      <w:bodyDiv w:val="1"/>
      <w:marLeft w:val="0"/>
      <w:marRight w:val="0"/>
      <w:marTop w:val="0"/>
      <w:marBottom w:val="0"/>
      <w:divBdr>
        <w:top w:val="none" w:sz="0" w:space="0" w:color="auto"/>
        <w:left w:val="none" w:sz="0" w:space="0" w:color="auto"/>
        <w:bottom w:val="none" w:sz="0" w:space="0" w:color="auto"/>
        <w:right w:val="none" w:sz="0" w:space="0" w:color="auto"/>
      </w:divBdr>
    </w:div>
    <w:div w:id="697049990">
      <w:bodyDiv w:val="1"/>
      <w:marLeft w:val="0"/>
      <w:marRight w:val="0"/>
      <w:marTop w:val="0"/>
      <w:marBottom w:val="0"/>
      <w:divBdr>
        <w:top w:val="none" w:sz="0" w:space="0" w:color="auto"/>
        <w:left w:val="none" w:sz="0" w:space="0" w:color="auto"/>
        <w:bottom w:val="none" w:sz="0" w:space="0" w:color="auto"/>
        <w:right w:val="none" w:sz="0" w:space="0" w:color="auto"/>
      </w:divBdr>
    </w:div>
    <w:div w:id="752511960">
      <w:bodyDiv w:val="1"/>
      <w:marLeft w:val="0"/>
      <w:marRight w:val="0"/>
      <w:marTop w:val="0"/>
      <w:marBottom w:val="0"/>
      <w:divBdr>
        <w:top w:val="none" w:sz="0" w:space="0" w:color="auto"/>
        <w:left w:val="none" w:sz="0" w:space="0" w:color="auto"/>
        <w:bottom w:val="none" w:sz="0" w:space="0" w:color="auto"/>
        <w:right w:val="none" w:sz="0" w:space="0" w:color="auto"/>
      </w:divBdr>
    </w:div>
    <w:div w:id="771509026">
      <w:bodyDiv w:val="1"/>
      <w:marLeft w:val="0"/>
      <w:marRight w:val="0"/>
      <w:marTop w:val="0"/>
      <w:marBottom w:val="0"/>
      <w:divBdr>
        <w:top w:val="none" w:sz="0" w:space="0" w:color="auto"/>
        <w:left w:val="none" w:sz="0" w:space="0" w:color="auto"/>
        <w:bottom w:val="none" w:sz="0" w:space="0" w:color="auto"/>
        <w:right w:val="none" w:sz="0" w:space="0" w:color="auto"/>
      </w:divBdr>
    </w:div>
    <w:div w:id="790175762">
      <w:bodyDiv w:val="1"/>
      <w:marLeft w:val="0"/>
      <w:marRight w:val="0"/>
      <w:marTop w:val="0"/>
      <w:marBottom w:val="0"/>
      <w:divBdr>
        <w:top w:val="none" w:sz="0" w:space="0" w:color="auto"/>
        <w:left w:val="none" w:sz="0" w:space="0" w:color="auto"/>
        <w:bottom w:val="none" w:sz="0" w:space="0" w:color="auto"/>
        <w:right w:val="none" w:sz="0" w:space="0" w:color="auto"/>
      </w:divBdr>
    </w:div>
    <w:div w:id="839392633">
      <w:bodyDiv w:val="1"/>
      <w:marLeft w:val="0"/>
      <w:marRight w:val="0"/>
      <w:marTop w:val="0"/>
      <w:marBottom w:val="0"/>
      <w:divBdr>
        <w:top w:val="none" w:sz="0" w:space="0" w:color="auto"/>
        <w:left w:val="none" w:sz="0" w:space="0" w:color="auto"/>
        <w:bottom w:val="none" w:sz="0" w:space="0" w:color="auto"/>
        <w:right w:val="none" w:sz="0" w:space="0" w:color="auto"/>
      </w:divBdr>
    </w:div>
    <w:div w:id="891307457">
      <w:bodyDiv w:val="1"/>
      <w:marLeft w:val="0"/>
      <w:marRight w:val="0"/>
      <w:marTop w:val="0"/>
      <w:marBottom w:val="0"/>
      <w:divBdr>
        <w:top w:val="none" w:sz="0" w:space="0" w:color="auto"/>
        <w:left w:val="none" w:sz="0" w:space="0" w:color="auto"/>
        <w:bottom w:val="none" w:sz="0" w:space="0" w:color="auto"/>
        <w:right w:val="none" w:sz="0" w:space="0" w:color="auto"/>
      </w:divBdr>
    </w:div>
    <w:div w:id="966662254">
      <w:bodyDiv w:val="1"/>
      <w:marLeft w:val="0"/>
      <w:marRight w:val="0"/>
      <w:marTop w:val="0"/>
      <w:marBottom w:val="0"/>
      <w:divBdr>
        <w:top w:val="none" w:sz="0" w:space="0" w:color="auto"/>
        <w:left w:val="none" w:sz="0" w:space="0" w:color="auto"/>
        <w:bottom w:val="none" w:sz="0" w:space="0" w:color="auto"/>
        <w:right w:val="none" w:sz="0" w:space="0" w:color="auto"/>
      </w:divBdr>
    </w:div>
    <w:div w:id="991980645">
      <w:bodyDiv w:val="1"/>
      <w:marLeft w:val="0"/>
      <w:marRight w:val="0"/>
      <w:marTop w:val="0"/>
      <w:marBottom w:val="0"/>
      <w:divBdr>
        <w:top w:val="none" w:sz="0" w:space="0" w:color="auto"/>
        <w:left w:val="none" w:sz="0" w:space="0" w:color="auto"/>
        <w:bottom w:val="none" w:sz="0" w:space="0" w:color="auto"/>
        <w:right w:val="none" w:sz="0" w:space="0" w:color="auto"/>
      </w:divBdr>
    </w:div>
    <w:div w:id="1033186743">
      <w:bodyDiv w:val="1"/>
      <w:marLeft w:val="0"/>
      <w:marRight w:val="0"/>
      <w:marTop w:val="0"/>
      <w:marBottom w:val="0"/>
      <w:divBdr>
        <w:top w:val="none" w:sz="0" w:space="0" w:color="auto"/>
        <w:left w:val="none" w:sz="0" w:space="0" w:color="auto"/>
        <w:bottom w:val="none" w:sz="0" w:space="0" w:color="auto"/>
        <w:right w:val="none" w:sz="0" w:space="0" w:color="auto"/>
      </w:divBdr>
      <w:divsChild>
        <w:div w:id="415174188">
          <w:marLeft w:val="0"/>
          <w:marRight w:val="0"/>
          <w:marTop w:val="0"/>
          <w:marBottom w:val="0"/>
          <w:divBdr>
            <w:top w:val="none" w:sz="0" w:space="0" w:color="auto"/>
            <w:left w:val="none" w:sz="0" w:space="0" w:color="auto"/>
            <w:bottom w:val="none" w:sz="0" w:space="0" w:color="auto"/>
            <w:right w:val="none" w:sz="0" w:space="0" w:color="auto"/>
          </w:divBdr>
        </w:div>
        <w:div w:id="986934962">
          <w:marLeft w:val="0"/>
          <w:marRight w:val="0"/>
          <w:marTop w:val="0"/>
          <w:marBottom w:val="0"/>
          <w:divBdr>
            <w:top w:val="none" w:sz="0" w:space="0" w:color="auto"/>
            <w:left w:val="none" w:sz="0" w:space="0" w:color="auto"/>
            <w:bottom w:val="none" w:sz="0" w:space="0" w:color="auto"/>
            <w:right w:val="none" w:sz="0" w:space="0" w:color="auto"/>
          </w:divBdr>
        </w:div>
        <w:div w:id="1424717603">
          <w:marLeft w:val="0"/>
          <w:marRight w:val="0"/>
          <w:marTop w:val="0"/>
          <w:marBottom w:val="0"/>
          <w:divBdr>
            <w:top w:val="none" w:sz="0" w:space="0" w:color="auto"/>
            <w:left w:val="none" w:sz="0" w:space="0" w:color="auto"/>
            <w:bottom w:val="none" w:sz="0" w:space="0" w:color="auto"/>
            <w:right w:val="none" w:sz="0" w:space="0" w:color="auto"/>
          </w:divBdr>
        </w:div>
      </w:divsChild>
    </w:div>
    <w:div w:id="1051229025">
      <w:bodyDiv w:val="1"/>
      <w:marLeft w:val="0"/>
      <w:marRight w:val="0"/>
      <w:marTop w:val="0"/>
      <w:marBottom w:val="0"/>
      <w:divBdr>
        <w:top w:val="none" w:sz="0" w:space="0" w:color="auto"/>
        <w:left w:val="none" w:sz="0" w:space="0" w:color="auto"/>
        <w:bottom w:val="none" w:sz="0" w:space="0" w:color="auto"/>
        <w:right w:val="none" w:sz="0" w:space="0" w:color="auto"/>
      </w:divBdr>
      <w:divsChild>
        <w:div w:id="431514329">
          <w:marLeft w:val="0"/>
          <w:marRight w:val="0"/>
          <w:marTop w:val="0"/>
          <w:marBottom w:val="0"/>
          <w:divBdr>
            <w:top w:val="none" w:sz="0" w:space="0" w:color="auto"/>
            <w:left w:val="none" w:sz="0" w:space="0" w:color="auto"/>
            <w:bottom w:val="none" w:sz="0" w:space="0" w:color="auto"/>
            <w:right w:val="none" w:sz="0" w:space="0" w:color="auto"/>
          </w:divBdr>
        </w:div>
        <w:div w:id="1384521629">
          <w:marLeft w:val="0"/>
          <w:marRight w:val="0"/>
          <w:marTop w:val="0"/>
          <w:marBottom w:val="0"/>
          <w:divBdr>
            <w:top w:val="none" w:sz="0" w:space="0" w:color="auto"/>
            <w:left w:val="none" w:sz="0" w:space="0" w:color="auto"/>
            <w:bottom w:val="none" w:sz="0" w:space="0" w:color="auto"/>
            <w:right w:val="none" w:sz="0" w:space="0" w:color="auto"/>
          </w:divBdr>
        </w:div>
        <w:div w:id="1425615216">
          <w:marLeft w:val="0"/>
          <w:marRight w:val="0"/>
          <w:marTop w:val="0"/>
          <w:marBottom w:val="0"/>
          <w:divBdr>
            <w:top w:val="none" w:sz="0" w:space="0" w:color="auto"/>
            <w:left w:val="none" w:sz="0" w:space="0" w:color="auto"/>
            <w:bottom w:val="none" w:sz="0" w:space="0" w:color="auto"/>
            <w:right w:val="none" w:sz="0" w:space="0" w:color="auto"/>
          </w:divBdr>
        </w:div>
      </w:divsChild>
    </w:div>
    <w:div w:id="1069614713">
      <w:bodyDiv w:val="1"/>
      <w:marLeft w:val="0"/>
      <w:marRight w:val="0"/>
      <w:marTop w:val="0"/>
      <w:marBottom w:val="0"/>
      <w:divBdr>
        <w:top w:val="none" w:sz="0" w:space="0" w:color="auto"/>
        <w:left w:val="none" w:sz="0" w:space="0" w:color="auto"/>
        <w:bottom w:val="none" w:sz="0" w:space="0" w:color="auto"/>
        <w:right w:val="none" w:sz="0" w:space="0" w:color="auto"/>
      </w:divBdr>
    </w:div>
    <w:div w:id="1074551801">
      <w:bodyDiv w:val="1"/>
      <w:marLeft w:val="0"/>
      <w:marRight w:val="0"/>
      <w:marTop w:val="0"/>
      <w:marBottom w:val="0"/>
      <w:divBdr>
        <w:top w:val="none" w:sz="0" w:space="0" w:color="auto"/>
        <w:left w:val="none" w:sz="0" w:space="0" w:color="auto"/>
        <w:bottom w:val="none" w:sz="0" w:space="0" w:color="auto"/>
        <w:right w:val="none" w:sz="0" w:space="0" w:color="auto"/>
      </w:divBdr>
    </w:div>
    <w:div w:id="1102339643">
      <w:bodyDiv w:val="1"/>
      <w:marLeft w:val="0"/>
      <w:marRight w:val="0"/>
      <w:marTop w:val="0"/>
      <w:marBottom w:val="0"/>
      <w:divBdr>
        <w:top w:val="none" w:sz="0" w:space="0" w:color="auto"/>
        <w:left w:val="none" w:sz="0" w:space="0" w:color="auto"/>
        <w:bottom w:val="none" w:sz="0" w:space="0" w:color="auto"/>
        <w:right w:val="none" w:sz="0" w:space="0" w:color="auto"/>
      </w:divBdr>
    </w:div>
    <w:div w:id="1108626869">
      <w:bodyDiv w:val="1"/>
      <w:marLeft w:val="0"/>
      <w:marRight w:val="0"/>
      <w:marTop w:val="0"/>
      <w:marBottom w:val="0"/>
      <w:divBdr>
        <w:top w:val="none" w:sz="0" w:space="0" w:color="auto"/>
        <w:left w:val="none" w:sz="0" w:space="0" w:color="auto"/>
        <w:bottom w:val="none" w:sz="0" w:space="0" w:color="auto"/>
        <w:right w:val="none" w:sz="0" w:space="0" w:color="auto"/>
      </w:divBdr>
    </w:div>
    <w:div w:id="1193030908">
      <w:bodyDiv w:val="1"/>
      <w:marLeft w:val="0"/>
      <w:marRight w:val="0"/>
      <w:marTop w:val="0"/>
      <w:marBottom w:val="0"/>
      <w:divBdr>
        <w:top w:val="none" w:sz="0" w:space="0" w:color="auto"/>
        <w:left w:val="none" w:sz="0" w:space="0" w:color="auto"/>
        <w:bottom w:val="none" w:sz="0" w:space="0" w:color="auto"/>
        <w:right w:val="none" w:sz="0" w:space="0" w:color="auto"/>
      </w:divBdr>
    </w:div>
    <w:div w:id="1298026286">
      <w:bodyDiv w:val="1"/>
      <w:marLeft w:val="0"/>
      <w:marRight w:val="0"/>
      <w:marTop w:val="0"/>
      <w:marBottom w:val="0"/>
      <w:divBdr>
        <w:top w:val="none" w:sz="0" w:space="0" w:color="auto"/>
        <w:left w:val="none" w:sz="0" w:space="0" w:color="auto"/>
        <w:bottom w:val="none" w:sz="0" w:space="0" w:color="auto"/>
        <w:right w:val="none" w:sz="0" w:space="0" w:color="auto"/>
      </w:divBdr>
    </w:div>
    <w:div w:id="1300379728">
      <w:bodyDiv w:val="1"/>
      <w:marLeft w:val="0"/>
      <w:marRight w:val="0"/>
      <w:marTop w:val="0"/>
      <w:marBottom w:val="0"/>
      <w:divBdr>
        <w:top w:val="none" w:sz="0" w:space="0" w:color="auto"/>
        <w:left w:val="none" w:sz="0" w:space="0" w:color="auto"/>
        <w:bottom w:val="none" w:sz="0" w:space="0" w:color="auto"/>
        <w:right w:val="none" w:sz="0" w:space="0" w:color="auto"/>
      </w:divBdr>
    </w:div>
    <w:div w:id="1327050808">
      <w:bodyDiv w:val="1"/>
      <w:marLeft w:val="0"/>
      <w:marRight w:val="0"/>
      <w:marTop w:val="0"/>
      <w:marBottom w:val="0"/>
      <w:divBdr>
        <w:top w:val="none" w:sz="0" w:space="0" w:color="auto"/>
        <w:left w:val="none" w:sz="0" w:space="0" w:color="auto"/>
        <w:bottom w:val="none" w:sz="0" w:space="0" w:color="auto"/>
        <w:right w:val="none" w:sz="0" w:space="0" w:color="auto"/>
      </w:divBdr>
    </w:div>
    <w:div w:id="1328483710">
      <w:bodyDiv w:val="1"/>
      <w:marLeft w:val="0"/>
      <w:marRight w:val="0"/>
      <w:marTop w:val="0"/>
      <w:marBottom w:val="0"/>
      <w:divBdr>
        <w:top w:val="none" w:sz="0" w:space="0" w:color="auto"/>
        <w:left w:val="none" w:sz="0" w:space="0" w:color="auto"/>
        <w:bottom w:val="none" w:sz="0" w:space="0" w:color="auto"/>
        <w:right w:val="none" w:sz="0" w:space="0" w:color="auto"/>
      </w:divBdr>
      <w:divsChild>
        <w:div w:id="11613645">
          <w:marLeft w:val="0"/>
          <w:marRight w:val="0"/>
          <w:marTop w:val="0"/>
          <w:marBottom w:val="0"/>
          <w:divBdr>
            <w:top w:val="none" w:sz="0" w:space="0" w:color="auto"/>
            <w:left w:val="none" w:sz="0" w:space="0" w:color="auto"/>
            <w:bottom w:val="none" w:sz="0" w:space="0" w:color="auto"/>
            <w:right w:val="none" w:sz="0" w:space="0" w:color="auto"/>
          </w:divBdr>
        </w:div>
        <w:div w:id="72775240">
          <w:marLeft w:val="0"/>
          <w:marRight w:val="0"/>
          <w:marTop w:val="0"/>
          <w:marBottom w:val="0"/>
          <w:divBdr>
            <w:top w:val="none" w:sz="0" w:space="0" w:color="auto"/>
            <w:left w:val="none" w:sz="0" w:space="0" w:color="auto"/>
            <w:bottom w:val="none" w:sz="0" w:space="0" w:color="auto"/>
            <w:right w:val="none" w:sz="0" w:space="0" w:color="auto"/>
          </w:divBdr>
        </w:div>
        <w:div w:id="121967883">
          <w:marLeft w:val="0"/>
          <w:marRight w:val="0"/>
          <w:marTop w:val="0"/>
          <w:marBottom w:val="0"/>
          <w:divBdr>
            <w:top w:val="none" w:sz="0" w:space="0" w:color="auto"/>
            <w:left w:val="none" w:sz="0" w:space="0" w:color="auto"/>
            <w:bottom w:val="none" w:sz="0" w:space="0" w:color="auto"/>
            <w:right w:val="none" w:sz="0" w:space="0" w:color="auto"/>
          </w:divBdr>
        </w:div>
        <w:div w:id="367414423">
          <w:marLeft w:val="0"/>
          <w:marRight w:val="0"/>
          <w:marTop w:val="0"/>
          <w:marBottom w:val="0"/>
          <w:divBdr>
            <w:top w:val="none" w:sz="0" w:space="0" w:color="auto"/>
            <w:left w:val="none" w:sz="0" w:space="0" w:color="auto"/>
            <w:bottom w:val="none" w:sz="0" w:space="0" w:color="auto"/>
            <w:right w:val="none" w:sz="0" w:space="0" w:color="auto"/>
          </w:divBdr>
        </w:div>
        <w:div w:id="542525865">
          <w:marLeft w:val="0"/>
          <w:marRight w:val="0"/>
          <w:marTop w:val="0"/>
          <w:marBottom w:val="0"/>
          <w:divBdr>
            <w:top w:val="none" w:sz="0" w:space="0" w:color="auto"/>
            <w:left w:val="none" w:sz="0" w:space="0" w:color="auto"/>
            <w:bottom w:val="none" w:sz="0" w:space="0" w:color="auto"/>
            <w:right w:val="none" w:sz="0" w:space="0" w:color="auto"/>
          </w:divBdr>
        </w:div>
        <w:div w:id="651563129">
          <w:marLeft w:val="0"/>
          <w:marRight w:val="0"/>
          <w:marTop w:val="0"/>
          <w:marBottom w:val="0"/>
          <w:divBdr>
            <w:top w:val="none" w:sz="0" w:space="0" w:color="auto"/>
            <w:left w:val="none" w:sz="0" w:space="0" w:color="auto"/>
            <w:bottom w:val="none" w:sz="0" w:space="0" w:color="auto"/>
            <w:right w:val="none" w:sz="0" w:space="0" w:color="auto"/>
          </w:divBdr>
        </w:div>
        <w:div w:id="839932408">
          <w:marLeft w:val="0"/>
          <w:marRight w:val="0"/>
          <w:marTop w:val="0"/>
          <w:marBottom w:val="0"/>
          <w:divBdr>
            <w:top w:val="none" w:sz="0" w:space="0" w:color="auto"/>
            <w:left w:val="none" w:sz="0" w:space="0" w:color="auto"/>
            <w:bottom w:val="none" w:sz="0" w:space="0" w:color="auto"/>
            <w:right w:val="none" w:sz="0" w:space="0" w:color="auto"/>
          </w:divBdr>
        </w:div>
        <w:div w:id="1031884469">
          <w:marLeft w:val="0"/>
          <w:marRight w:val="0"/>
          <w:marTop w:val="0"/>
          <w:marBottom w:val="0"/>
          <w:divBdr>
            <w:top w:val="none" w:sz="0" w:space="0" w:color="auto"/>
            <w:left w:val="none" w:sz="0" w:space="0" w:color="auto"/>
            <w:bottom w:val="none" w:sz="0" w:space="0" w:color="auto"/>
            <w:right w:val="none" w:sz="0" w:space="0" w:color="auto"/>
          </w:divBdr>
        </w:div>
        <w:div w:id="1541284840">
          <w:marLeft w:val="0"/>
          <w:marRight w:val="0"/>
          <w:marTop w:val="0"/>
          <w:marBottom w:val="0"/>
          <w:divBdr>
            <w:top w:val="none" w:sz="0" w:space="0" w:color="auto"/>
            <w:left w:val="none" w:sz="0" w:space="0" w:color="auto"/>
            <w:bottom w:val="none" w:sz="0" w:space="0" w:color="auto"/>
            <w:right w:val="none" w:sz="0" w:space="0" w:color="auto"/>
          </w:divBdr>
        </w:div>
        <w:div w:id="1729448925">
          <w:marLeft w:val="0"/>
          <w:marRight w:val="0"/>
          <w:marTop w:val="0"/>
          <w:marBottom w:val="0"/>
          <w:divBdr>
            <w:top w:val="none" w:sz="0" w:space="0" w:color="auto"/>
            <w:left w:val="none" w:sz="0" w:space="0" w:color="auto"/>
            <w:bottom w:val="none" w:sz="0" w:space="0" w:color="auto"/>
            <w:right w:val="none" w:sz="0" w:space="0" w:color="auto"/>
          </w:divBdr>
        </w:div>
        <w:div w:id="1784111374">
          <w:marLeft w:val="0"/>
          <w:marRight w:val="0"/>
          <w:marTop w:val="0"/>
          <w:marBottom w:val="0"/>
          <w:divBdr>
            <w:top w:val="none" w:sz="0" w:space="0" w:color="auto"/>
            <w:left w:val="none" w:sz="0" w:space="0" w:color="auto"/>
            <w:bottom w:val="none" w:sz="0" w:space="0" w:color="auto"/>
            <w:right w:val="none" w:sz="0" w:space="0" w:color="auto"/>
          </w:divBdr>
        </w:div>
        <w:div w:id="2130204283">
          <w:marLeft w:val="0"/>
          <w:marRight w:val="0"/>
          <w:marTop w:val="0"/>
          <w:marBottom w:val="0"/>
          <w:divBdr>
            <w:top w:val="none" w:sz="0" w:space="0" w:color="auto"/>
            <w:left w:val="none" w:sz="0" w:space="0" w:color="auto"/>
            <w:bottom w:val="none" w:sz="0" w:space="0" w:color="auto"/>
            <w:right w:val="none" w:sz="0" w:space="0" w:color="auto"/>
          </w:divBdr>
        </w:div>
      </w:divsChild>
    </w:div>
    <w:div w:id="1359232855">
      <w:bodyDiv w:val="1"/>
      <w:marLeft w:val="0"/>
      <w:marRight w:val="0"/>
      <w:marTop w:val="0"/>
      <w:marBottom w:val="0"/>
      <w:divBdr>
        <w:top w:val="none" w:sz="0" w:space="0" w:color="auto"/>
        <w:left w:val="none" w:sz="0" w:space="0" w:color="auto"/>
        <w:bottom w:val="none" w:sz="0" w:space="0" w:color="auto"/>
        <w:right w:val="none" w:sz="0" w:space="0" w:color="auto"/>
      </w:divBdr>
    </w:div>
    <w:div w:id="1362392290">
      <w:bodyDiv w:val="1"/>
      <w:marLeft w:val="0"/>
      <w:marRight w:val="0"/>
      <w:marTop w:val="0"/>
      <w:marBottom w:val="0"/>
      <w:divBdr>
        <w:top w:val="none" w:sz="0" w:space="0" w:color="auto"/>
        <w:left w:val="none" w:sz="0" w:space="0" w:color="auto"/>
        <w:bottom w:val="none" w:sz="0" w:space="0" w:color="auto"/>
        <w:right w:val="none" w:sz="0" w:space="0" w:color="auto"/>
      </w:divBdr>
    </w:div>
    <w:div w:id="1378821349">
      <w:bodyDiv w:val="1"/>
      <w:marLeft w:val="0"/>
      <w:marRight w:val="0"/>
      <w:marTop w:val="0"/>
      <w:marBottom w:val="0"/>
      <w:divBdr>
        <w:top w:val="none" w:sz="0" w:space="0" w:color="auto"/>
        <w:left w:val="none" w:sz="0" w:space="0" w:color="auto"/>
        <w:bottom w:val="none" w:sz="0" w:space="0" w:color="auto"/>
        <w:right w:val="none" w:sz="0" w:space="0" w:color="auto"/>
      </w:divBdr>
    </w:div>
    <w:div w:id="1450976148">
      <w:bodyDiv w:val="1"/>
      <w:marLeft w:val="0"/>
      <w:marRight w:val="0"/>
      <w:marTop w:val="0"/>
      <w:marBottom w:val="0"/>
      <w:divBdr>
        <w:top w:val="none" w:sz="0" w:space="0" w:color="auto"/>
        <w:left w:val="none" w:sz="0" w:space="0" w:color="auto"/>
        <w:bottom w:val="none" w:sz="0" w:space="0" w:color="auto"/>
        <w:right w:val="none" w:sz="0" w:space="0" w:color="auto"/>
      </w:divBdr>
      <w:divsChild>
        <w:div w:id="68426294">
          <w:marLeft w:val="0"/>
          <w:marRight w:val="0"/>
          <w:marTop w:val="0"/>
          <w:marBottom w:val="0"/>
          <w:divBdr>
            <w:top w:val="none" w:sz="0" w:space="0" w:color="auto"/>
            <w:left w:val="none" w:sz="0" w:space="0" w:color="auto"/>
            <w:bottom w:val="none" w:sz="0" w:space="0" w:color="auto"/>
            <w:right w:val="none" w:sz="0" w:space="0" w:color="auto"/>
          </w:divBdr>
        </w:div>
        <w:div w:id="137764143">
          <w:marLeft w:val="0"/>
          <w:marRight w:val="0"/>
          <w:marTop w:val="0"/>
          <w:marBottom w:val="0"/>
          <w:divBdr>
            <w:top w:val="none" w:sz="0" w:space="0" w:color="auto"/>
            <w:left w:val="none" w:sz="0" w:space="0" w:color="auto"/>
            <w:bottom w:val="none" w:sz="0" w:space="0" w:color="auto"/>
            <w:right w:val="none" w:sz="0" w:space="0" w:color="auto"/>
          </w:divBdr>
        </w:div>
        <w:div w:id="152962023">
          <w:marLeft w:val="0"/>
          <w:marRight w:val="0"/>
          <w:marTop w:val="0"/>
          <w:marBottom w:val="0"/>
          <w:divBdr>
            <w:top w:val="none" w:sz="0" w:space="0" w:color="auto"/>
            <w:left w:val="none" w:sz="0" w:space="0" w:color="auto"/>
            <w:bottom w:val="none" w:sz="0" w:space="0" w:color="auto"/>
            <w:right w:val="none" w:sz="0" w:space="0" w:color="auto"/>
          </w:divBdr>
        </w:div>
        <w:div w:id="294259703">
          <w:marLeft w:val="0"/>
          <w:marRight w:val="0"/>
          <w:marTop w:val="0"/>
          <w:marBottom w:val="0"/>
          <w:divBdr>
            <w:top w:val="none" w:sz="0" w:space="0" w:color="auto"/>
            <w:left w:val="none" w:sz="0" w:space="0" w:color="auto"/>
            <w:bottom w:val="none" w:sz="0" w:space="0" w:color="auto"/>
            <w:right w:val="none" w:sz="0" w:space="0" w:color="auto"/>
          </w:divBdr>
        </w:div>
        <w:div w:id="383256683">
          <w:marLeft w:val="0"/>
          <w:marRight w:val="0"/>
          <w:marTop w:val="0"/>
          <w:marBottom w:val="0"/>
          <w:divBdr>
            <w:top w:val="none" w:sz="0" w:space="0" w:color="auto"/>
            <w:left w:val="none" w:sz="0" w:space="0" w:color="auto"/>
            <w:bottom w:val="none" w:sz="0" w:space="0" w:color="auto"/>
            <w:right w:val="none" w:sz="0" w:space="0" w:color="auto"/>
          </w:divBdr>
        </w:div>
        <w:div w:id="413281153">
          <w:marLeft w:val="0"/>
          <w:marRight w:val="0"/>
          <w:marTop w:val="0"/>
          <w:marBottom w:val="0"/>
          <w:divBdr>
            <w:top w:val="none" w:sz="0" w:space="0" w:color="auto"/>
            <w:left w:val="none" w:sz="0" w:space="0" w:color="auto"/>
            <w:bottom w:val="none" w:sz="0" w:space="0" w:color="auto"/>
            <w:right w:val="none" w:sz="0" w:space="0" w:color="auto"/>
          </w:divBdr>
        </w:div>
        <w:div w:id="501897489">
          <w:marLeft w:val="0"/>
          <w:marRight w:val="0"/>
          <w:marTop w:val="0"/>
          <w:marBottom w:val="0"/>
          <w:divBdr>
            <w:top w:val="none" w:sz="0" w:space="0" w:color="auto"/>
            <w:left w:val="none" w:sz="0" w:space="0" w:color="auto"/>
            <w:bottom w:val="none" w:sz="0" w:space="0" w:color="auto"/>
            <w:right w:val="none" w:sz="0" w:space="0" w:color="auto"/>
          </w:divBdr>
        </w:div>
        <w:div w:id="515584433">
          <w:marLeft w:val="0"/>
          <w:marRight w:val="0"/>
          <w:marTop w:val="0"/>
          <w:marBottom w:val="0"/>
          <w:divBdr>
            <w:top w:val="none" w:sz="0" w:space="0" w:color="auto"/>
            <w:left w:val="none" w:sz="0" w:space="0" w:color="auto"/>
            <w:bottom w:val="none" w:sz="0" w:space="0" w:color="auto"/>
            <w:right w:val="none" w:sz="0" w:space="0" w:color="auto"/>
          </w:divBdr>
        </w:div>
        <w:div w:id="721095063">
          <w:marLeft w:val="0"/>
          <w:marRight w:val="0"/>
          <w:marTop w:val="0"/>
          <w:marBottom w:val="0"/>
          <w:divBdr>
            <w:top w:val="none" w:sz="0" w:space="0" w:color="auto"/>
            <w:left w:val="none" w:sz="0" w:space="0" w:color="auto"/>
            <w:bottom w:val="none" w:sz="0" w:space="0" w:color="auto"/>
            <w:right w:val="none" w:sz="0" w:space="0" w:color="auto"/>
          </w:divBdr>
        </w:div>
        <w:div w:id="917249940">
          <w:marLeft w:val="0"/>
          <w:marRight w:val="0"/>
          <w:marTop w:val="0"/>
          <w:marBottom w:val="0"/>
          <w:divBdr>
            <w:top w:val="none" w:sz="0" w:space="0" w:color="auto"/>
            <w:left w:val="none" w:sz="0" w:space="0" w:color="auto"/>
            <w:bottom w:val="none" w:sz="0" w:space="0" w:color="auto"/>
            <w:right w:val="none" w:sz="0" w:space="0" w:color="auto"/>
          </w:divBdr>
        </w:div>
        <w:div w:id="1034816008">
          <w:marLeft w:val="0"/>
          <w:marRight w:val="0"/>
          <w:marTop w:val="0"/>
          <w:marBottom w:val="0"/>
          <w:divBdr>
            <w:top w:val="none" w:sz="0" w:space="0" w:color="auto"/>
            <w:left w:val="none" w:sz="0" w:space="0" w:color="auto"/>
            <w:bottom w:val="none" w:sz="0" w:space="0" w:color="auto"/>
            <w:right w:val="none" w:sz="0" w:space="0" w:color="auto"/>
          </w:divBdr>
        </w:div>
        <w:div w:id="1238128690">
          <w:marLeft w:val="0"/>
          <w:marRight w:val="0"/>
          <w:marTop w:val="0"/>
          <w:marBottom w:val="0"/>
          <w:divBdr>
            <w:top w:val="none" w:sz="0" w:space="0" w:color="auto"/>
            <w:left w:val="none" w:sz="0" w:space="0" w:color="auto"/>
            <w:bottom w:val="none" w:sz="0" w:space="0" w:color="auto"/>
            <w:right w:val="none" w:sz="0" w:space="0" w:color="auto"/>
          </w:divBdr>
        </w:div>
        <w:div w:id="1240284635">
          <w:marLeft w:val="0"/>
          <w:marRight w:val="0"/>
          <w:marTop w:val="0"/>
          <w:marBottom w:val="0"/>
          <w:divBdr>
            <w:top w:val="none" w:sz="0" w:space="0" w:color="auto"/>
            <w:left w:val="none" w:sz="0" w:space="0" w:color="auto"/>
            <w:bottom w:val="none" w:sz="0" w:space="0" w:color="auto"/>
            <w:right w:val="none" w:sz="0" w:space="0" w:color="auto"/>
          </w:divBdr>
        </w:div>
        <w:div w:id="1284967217">
          <w:marLeft w:val="0"/>
          <w:marRight w:val="0"/>
          <w:marTop w:val="0"/>
          <w:marBottom w:val="0"/>
          <w:divBdr>
            <w:top w:val="none" w:sz="0" w:space="0" w:color="auto"/>
            <w:left w:val="none" w:sz="0" w:space="0" w:color="auto"/>
            <w:bottom w:val="none" w:sz="0" w:space="0" w:color="auto"/>
            <w:right w:val="none" w:sz="0" w:space="0" w:color="auto"/>
          </w:divBdr>
        </w:div>
        <w:div w:id="1512908456">
          <w:marLeft w:val="0"/>
          <w:marRight w:val="0"/>
          <w:marTop w:val="0"/>
          <w:marBottom w:val="0"/>
          <w:divBdr>
            <w:top w:val="none" w:sz="0" w:space="0" w:color="auto"/>
            <w:left w:val="none" w:sz="0" w:space="0" w:color="auto"/>
            <w:bottom w:val="none" w:sz="0" w:space="0" w:color="auto"/>
            <w:right w:val="none" w:sz="0" w:space="0" w:color="auto"/>
          </w:divBdr>
        </w:div>
        <w:div w:id="1588805585">
          <w:marLeft w:val="0"/>
          <w:marRight w:val="0"/>
          <w:marTop w:val="0"/>
          <w:marBottom w:val="0"/>
          <w:divBdr>
            <w:top w:val="none" w:sz="0" w:space="0" w:color="auto"/>
            <w:left w:val="none" w:sz="0" w:space="0" w:color="auto"/>
            <w:bottom w:val="none" w:sz="0" w:space="0" w:color="auto"/>
            <w:right w:val="none" w:sz="0" w:space="0" w:color="auto"/>
          </w:divBdr>
        </w:div>
        <w:div w:id="1629387134">
          <w:marLeft w:val="0"/>
          <w:marRight w:val="0"/>
          <w:marTop w:val="0"/>
          <w:marBottom w:val="0"/>
          <w:divBdr>
            <w:top w:val="none" w:sz="0" w:space="0" w:color="auto"/>
            <w:left w:val="none" w:sz="0" w:space="0" w:color="auto"/>
            <w:bottom w:val="none" w:sz="0" w:space="0" w:color="auto"/>
            <w:right w:val="none" w:sz="0" w:space="0" w:color="auto"/>
          </w:divBdr>
        </w:div>
        <w:div w:id="1639648452">
          <w:marLeft w:val="0"/>
          <w:marRight w:val="0"/>
          <w:marTop w:val="0"/>
          <w:marBottom w:val="0"/>
          <w:divBdr>
            <w:top w:val="none" w:sz="0" w:space="0" w:color="auto"/>
            <w:left w:val="none" w:sz="0" w:space="0" w:color="auto"/>
            <w:bottom w:val="none" w:sz="0" w:space="0" w:color="auto"/>
            <w:right w:val="none" w:sz="0" w:space="0" w:color="auto"/>
          </w:divBdr>
        </w:div>
        <w:div w:id="1642728865">
          <w:marLeft w:val="0"/>
          <w:marRight w:val="0"/>
          <w:marTop w:val="0"/>
          <w:marBottom w:val="0"/>
          <w:divBdr>
            <w:top w:val="none" w:sz="0" w:space="0" w:color="auto"/>
            <w:left w:val="none" w:sz="0" w:space="0" w:color="auto"/>
            <w:bottom w:val="none" w:sz="0" w:space="0" w:color="auto"/>
            <w:right w:val="none" w:sz="0" w:space="0" w:color="auto"/>
          </w:divBdr>
        </w:div>
        <w:div w:id="1710453939">
          <w:marLeft w:val="0"/>
          <w:marRight w:val="0"/>
          <w:marTop w:val="0"/>
          <w:marBottom w:val="0"/>
          <w:divBdr>
            <w:top w:val="none" w:sz="0" w:space="0" w:color="auto"/>
            <w:left w:val="none" w:sz="0" w:space="0" w:color="auto"/>
            <w:bottom w:val="none" w:sz="0" w:space="0" w:color="auto"/>
            <w:right w:val="none" w:sz="0" w:space="0" w:color="auto"/>
          </w:divBdr>
        </w:div>
        <w:div w:id="1711875021">
          <w:marLeft w:val="0"/>
          <w:marRight w:val="0"/>
          <w:marTop w:val="0"/>
          <w:marBottom w:val="0"/>
          <w:divBdr>
            <w:top w:val="none" w:sz="0" w:space="0" w:color="auto"/>
            <w:left w:val="none" w:sz="0" w:space="0" w:color="auto"/>
            <w:bottom w:val="none" w:sz="0" w:space="0" w:color="auto"/>
            <w:right w:val="none" w:sz="0" w:space="0" w:color="auto"/>
          </w:divBdr>
        </w:div>
        <w:div w:id="1759399887">
          <w:marLeft w:val="0"/>
          <w:marRight w:val="0"/>
          <w:marTop w:val="0"/>
          <w:marBottom w:val="0"/>
          <w:divBdr>
            <w:top w:val="none" w:sz="0" w:space="0" w:color="auto"/>
            <w:left w:val="none" w:sz="0" w:space="0" w:color="auto"/>
            <w:bottom w:val="none" w:sz="0" w:space="0" w:color="auto"/>
            <w:right w:val="none" w:sz="0" w:space="0" w:color="auto"/>
          </w:divBdr>
        </w:div>
        <w:div w:id="1849827966">
          <w:marLeft w:val="0"/>
          <w:marRight w:val="0"/>
          <w:marTop w:val="0"/>
          <w:marBottom w:val="0"/>
          <w:divBdr>
            <w:top w:val="none" w:sz="0" w:space="0" w:color="auto"/>
            <w:left w:val="none" w:sz="0" w:space="0" w:color="auto"/>
            <w:bottom w:val="none" w:sz="0" w:space="0" w:color="auto"/>
            <w:right w:val="none" w:sz="0" w:space="0" w:color="auto"/>
          </w:divBdr>
        </w:div>
        <w:div w:id="1922175629">
          <w:marLeft w:val="0"/>
          <w:marRight w:val="0"/>
          <w:marTop w:val="0"/>
          <w:marBottom w:val="0"/>
          <w:divBdr>
            <w:top w:val="none" w:sz="0" w:space="0" w:color="auto"/>
            <w:left w:val="none" w:sz="0" w:space="0" w:color="auto"/>
            <w:bottom w:val="none" w:sz="0" w:space="0" w:color="auto"/>
            <w:right w:val="none" w:sz="0" w:space="0" w:color="auto"/>
          </w:divBdr>
        </w:div>
        <w:div w:id="1970939672">
          <w:marLeft w:val="0"/>
          <w:marRight w:val="0"/>
          <w:marTop w:val="0"/>
          <w:marBottom w:val="0"/>
          <w:divBdr>
            <w:top w:val="none" w:sz="0" w:space="0" w:color="auto"/>
            <w:left w:val="none" w:sz="0" w:space="0" w:color="auto"/>
            <w:bottom w:val="none" w:sz="0" w:space="0" w:color="auto"/>
            <w:right w:val="none" w:sz="0" w:space="0" w:color="auto"/>
          </w:divBdr>
        </w:div>
        <w:div w:id="1987319655">
          <w:marLeft w:val="0"/>
          <w:marRight w:val="0"/>
          <w:marTop w:val="0"/>
          <w:marBottom w:val="0"/>
          <w:divBdr>
            <w:top w:val="none" w:sz="0" w:space="0" w:color="auto"/>
            <w:left w:val="none" w:sz="0" w:space="0" w:color="auto"/>
            <w:bottom w:val="none" w:sz="0" w:space="0" w:color="auto"/>
            <w:right w:val="none" w:sz="0" w:space="0" w:color="auto"/>
          </w:divBdr>
        </w:div>
        <w:div w:id="2012829084">
          <w:marLeft w:val="0"/>
          <w:marRight w:val="0"/>
          <w:marTop w:val="0"/>
          <w:marBottom w:val="0"/>
          <w:divBdr>
            <w:top w:val="none" w:sz="0" w:space="0" w:color="auto"/>
            <w:left w:val="none" w:sz="0" w:space="0" w:color="auto"/>
            <w:bottom w:val="none" w:sz="0" w:space="0" w:color="auto"/>
            <w:right w:val="none" w:sz="0" w:space="0" w:color="auto"/>
          </w:divBdr>
        </w:div>
        <w:div w:id="2031252274">
          <w:marLeft w:val="0"/>
          <w:marRight w:val="0"/>
          <w:marTop w:val="0"/>
          <w:marBottom w:val="0"/>
          <w:divBdr>
            <w:top w:val="none" w:sz="0" w:space="0" w:color="auto"/>
            <w:left w:val="none" w:sz="0" w:space="0" w:color="auto"/>
            <w:bottom w:val="none" w:sz="0" w:space="0" w:color="auto"/>
            <w:right w:val="none" w:sz="0" w:space="0" w:color="auto"/>
          </w:divBdr>
        </w:div>
        <w:div w:id="2047362810">
          <w:marLeft w:val="0"/>
          <w:marRight w:val="0"/>
          <w:marTop w:val="0"/>
          <w:marBottom w:val="0"/>
          <w:divBdr>
            <w:top w:val="none" w:sz="0" w:space="0" w:color="auto"/>
            <w:left w:val="none" w:sz="0" w:space="0" w:color="auto"/>
            <w:bottom w:val="none" w:sz="0" w:space="0" w:color="auto"/>
            <w:right w:val="none" w:sz="0" w:space="0" w:color="auto"/>
          </w:divBdr>
        </w:div>
        <w:div w:id="2128036091">
          <w:marLeft w:val="0"/>
          <w:marRight w:val="0"/>
          <w:marTop w:val="0"/>
          <w:marBottom w:val="0"/>
          <w:divBdr>
            <w:top w:val="none" w:sz="0" w:space="0" w:color="auto"/>
            <w:left w:val="none" w:sz="0" w:space="0" w:color="auto"/>
            <w:bottom w:val="none" w:sz="0" w:space="0" w:color="auto"/>
            <w:right w:val="none" w:sz="0" w:space="0" w:color="auto"/>
          </w:divBdr>
        </w:div>
        <w:div w:id="2136750734">
          <w:marLeft w:val="0"/>
          <w:marRight w:val="0"/>
          <w:marTop w:val="0"/>
          <w:marBottom w:val="0"/>
          <w:divBdr>
            <w:top w:val="none" w:sz="0" w:space="0" w:color="auto"/>
            <w:left w:val="none" w:sz="0" w:space="0" w:color="auto"/>
            <w:bottom w:val="none" w:sz="0" w:space="0" w:color="auto"/>
            <w:right w:val="none" w:sz="0" w:space="0" w:color="auto"/>
          </w:divBdr>
        </w:div>
        <w:div w:id="2141528525">
          <w:marLeft w:val="0"/>
          <w:marRight w:val="0"/>
          <w:marTop w:val="0"/>
          <w:marBottom w:val="0"/>
          <w:divBdr>
            <w:top w:val="none" w:sz="0" w:space="0" w:color="auto"/>
            <w:left w:val="none" w:sz="0" w:space="0" w:color="auto"/>
            <w:bottom w:val="none" w:sz="0" w:space="0" w:color="auto"/>
            <w:right w:val="none" w:sz="0" w:space="0" w:color="auto"/>
          </w:divBdr>
        </w:div>
      </w:divsChild>
    </w:div>
    <w:div w:id="1502625839">
      <w:bodyDiv w:val="1"/>
      <w:marLeft w:val="0"/>
      <w:marRight w:val="0"/>
      <w:marTop w:val="0"/>
      <w:marBottom w:val="0"/>
      <w:divBdr>
        <w:top w:val="none" w:sz="0" w:space="0" w:color="auto"/>
        <w:left w:val="none" w:sz="0" w:space="0" w:color="auto"/>
        <w:bottom w:val="none" w:sz="0" w:space="0" w:color="auto"/>
        <w:right w:val="none" w:sz="0" w:space="0" w:color="auto"/>
      </w:divBdr>
    </w:div>
    <w:div w:id="1659966177">
      <w:bodyDiv w:val="1"/>
      <w:marLeft w:val="0"/>
      <w:marRight w:val="0"/>
      <w:marTop w:val="0"/>
      <w:marBottom w:val="0"/>
      <w:divBdr>
        <w:top w:val="none" w:sz="0" w:space="0" w:color="auto"/>
        <w:left w:val="none" w:sz="0" w:space="0" w:color="auto"/>
        <w:bottom w:val="none" w:sz="0" w:space="0" w:color="auto"/>
        <w:right w:val="none" w:sz="0" w:space="0" w:color="auto"/>
      </w:divBdr>
    </w:div>
    <w:div w:id="1664772676">
      <w:bodyDiv w:val="1"/>
      <w:marLeft w:val="0"/>
      <w:marRight w:val="0"/>
      <w:marTop w:val="0"/>
      <w:marBottom w:val="0"/>
      <w:divBdr>
        <w:top w:val="none" w:sz="0" w:space="0" w:color="auto"/>
        <w:left w:val="none" w:sz="0" w:space="0" w:color="auto"/>
        <w:bottom w:val="none" w:sz="0" w:space="0" w:color="auto"/>
        <w:right w:val="none" w:sz="0" w:space="0" w:color="auto"/>
      </w:divBdr>
    </w:div>
    <w:div w:id="1666015027">
      <w:bodyDiv w:val="1"/>
      <w:marLeft w:val="0"/>
      <w:marRight w:val="0"/>
      <w:marTop w:val="0"/>
      <w:marBottom w:val="0"/>
      <w:divBdr>
        <w:top w:val="none" w:sz="0" w:space="0" w:color="auto"/>
        <w:left w:val="none" w:sz="0" w:space="0" w:color="auto"/>
        <w:bottom w:val="none" w:sz="0" w:space="0" w:color="auto"/>
        <w:right w:val="none" w:sz="0" w:space="0" w:color="auto"/>
      </w:divBdr>
    </w:div>
    <w:div w:id="1694384008">
      <w:bodyDiv w:val="1"/>
      <w:marLeft w:val="0"/>
      <w:marRight w:val="0"/>
      <w:marTop w:val="0"/>
      <w:marBottom w:val="0"/>
      <w:divBdr>
        <w:top w:val="none" w:sz="0" w:space="0" w:color="auto"/>
        <w:left w:val="none" w:sz="0" w:space="0" w:color="auto"/>
        <w:bottom w:val="none" w:sz="0" w:space="0" w:color="auto"/>
        <w:right w:val="none" w:sz="0" w:space="0" w:color="auto"/>
      </w:divBdr>
    </w:div>
    <w:div w:id="1758862537">
      <w:bodyDiv w:val="1"/>
      <w:marLeft w:val="0"/>
      <w:marRight w:val="0"/>
      <w:marTop w:val="0"/>
      <w:marBottom w:val="0"/>
      <w:divBdr>
        <w:top w:val="none" w:sz="0" w:space="0" w:color="auto"/>
        <w:left w:val="none" w:sz="0" w:space="0" w:color="auto"/>
        <w:bottom w:val="none" w:sz="0" w:space="0" w:color="auto"/>
        <w:right w:val="none" w:sz="0" w:space="0" w:color="auto"/>
      </w:divBdr>
    </w:div>
    <w:div w:id="1841114459">
      <w:bodyDiv w:val="1"/>
      <w:marLeft w:val="0"/>
      <w:marRight w:val="0"/>
      <w:marTop w:val="0"/>
      <w:marBottom w:val="0"/>
      <w:divBdr>
        <w:top w:val="none" w:sz="0" w:space="0" w:color="auto"/>
        <w:left w:val="none" w:sz="0" w:space="0" w:color="auto"/>
        <w:bottom w:val="none" w:sz="0" w:space="0" w:color="auto"/>
        <w:right w:val="none" w:sz="0" w:space="0" w:color="auto"/>
      </w:divBdr>
    </w:div>
    <w:div w:id="1987858377">
      <w:bodyDiv w:val="1"/>
      <w:marLeft w:val="0"/>
      <w:marRight w:val="0"/>
      <w:marTop w:val="0"/>
      <w:marBottom w:val="0"/>
      <w:divBdr>
        <w:top w:val="none" w:sz="0" w:space="0" w:color="auto"/>
        <w:left w:val="none" w:sz="0" w:space="0" w:color="auto"/>
        <w:bottom w:val="none" w:sz="0" w:space="0" w:color="auto"/>
        <w:right w:val="none" w:sz="0" w:space="0" w:color="auto"/>
      </w:divBdr>
    </w:div>
    <w:div w:id="1990203138">
      <w:bodyDiv w:val="1"/>
      <w:marLeft w:val="0"/>
      <w:marRight w:val="0"/>
      <w:marTop w:val="0"/>
      <w:marBottom w:val="0"/>
      <w:divBdr>
        <w:top w:val="none" w:sz="0" w:space="0" w:color="auto"/>
        <w:left w:val="none" w:sz="0" w:space="0" w:color="auto"/>
        <w:bottom w:val="none" w:sz="0" w:space="0" w:color="auto"/>
        <w:right w:val="none" w:sz="0" w:space="0" w:color="auto"/>
      </w:divBdr>
    </w:div>
    <w:div w:id="2014338133">
      <w:bodyDiv w:val="1"/>
      <w:marLeft w:val="0"/>
      <w:marRight w:val="0"/>
      <w:marTop w:val="0"/>
      <w:marBottom w:val="0"/>
      <w:divBdr>
        <w:top w:val="none" w:sz="0" w:space="0" w:color="auto"/>
        <w:left w:val="none" w:sz="0" w:space="0" w:color="auto"/>
        <w:bottom w:val="none" w:sz="0" w:space="0" w:color="auto"/>
        <w:right w:val="none" w:sz="0" w:space="0" w:color="auto"/>
      </w:divBdr>
    </w:div>
    <w:div w:id="2021539751">
      <w:bodyDiv w:val="1"/>
      <w:marLeft w:val="0"/>
      <w:marRight w:val="0"/>
      <w:marTop w:val="0"/>
      <w:marBottom w:val="0"/>
      <w:divBdr>
        <w:top w:val="none" w:sz="0" w:space="0" w:color="auto"/>
        <w:left w:val="none" w:sz="0" w:space="0" w:color="auto"/>
        <w:bottom w:val="none" w:sz="0" w:space="0" w:color="auto"/>
        <w:right w:val="none" w:sz="0" w:space="0" w:color="auto"/>
      </w:divBdr>
    </w:div>
    <w:div w:id="2047291547">
      <w:bodyDiv w:val="1"/>
      <w:marLeft w:val="0"/>
      <w:marRight w:val="0"/>
      <w:marTop w:val="0"/>
      <w:marBottom w:val="0"/>
      <w:divBdr>
        <w:top w:val="none" w:sz="0" w:space="0" w:color="auto"/>
        <w:left w:val="none" w:sz="0" w:space="0" w:color="auto"/>
        <w:bottom w:val="none" w:sz="0" w:space="0" w:color="auto"/>
        <w:right w:val="none" w:sz="0" w:space="0" w:color="auto"/>
      </w:divBdr>
    </w:div>
    <w:div w:id="2105346170">
      <w:bodyDiv w:val="1"/>
      <w:marLeft w:val="0"/>
      <w:marRight w:val="0"/>
      <w:marTop w:val="0"/>
      <w:marBottom w:val="0"/>
      <w:divBdr>
        <w:top w:val="none" w:sz="0" w:space="0" w:color="auto"/>
        <w:left w:val="none" w:sz="0" w:space="0" w:color="auto"/>
        <w:bottom w:val="none" w:sz="0" w:space="0" w:color="auto"/>
        <w:right w:val="none" w:sz="0" w:space="0" w:color="auto"/>
      </w:divBdr>
    </w:div>
    <w:div w:id="2114278443">
      <w:bodyDiv w:val="1"/>
      <w:marLeft w:val="0"/>
      <w:marRight w:val="0"/>
      <w:marTop w:val="0"/>
      <w:marBottom w:val="0"/>
      <w:divBdr>
        <w:top w:val="none" w:sz="0" w:space="0" w:color="auto"/>
        <w:left w:val="none" w:sz="0" w:space="0" w:color="auto"/>
        <w:bottom w:val="none" w:sz="0" w:space="0" w:color="auto"/>
        <w:right w:val="none" w:sz="0" w:space="0" w:color="auto"/>
      </w:divBdr>
      <w:divsChild>
        <w:div w:id="88239361">
          <w:marLeft w:val="0"/>
          <w:marRight w:val="0"/>
          <w:marTop w:val="0"/>
          <w:marBottom w:val="0"/>
          <w:divBdr>
            <w:top w:val="none" w:sz="0" w:space="0" w:color="auto"/>
            <w:left w:val="none" w:sz="0" w:space="0" w:color="auto"/>
            <w:bottom w:val="none" w:sz="0" w:space="0" w:color="auto"/>
            <w:right w:val="none" w:sz="0" w:space="0" w:color="auto"/>
          </w:divBdr>
        </w:div>
        <w:div w:id="383677093">
          <w:marLeft w:val="0"/>
          <w:marRight w:val="0"/>
          <w:marTop w:val="0"/>
          <w:marBottom w:val="0"/>
          <w:divBdr>
            <w:top w:val="none" w:sz="0" w:space="0" w:color="auto"/>
            <w:left w:val="none" w:sz="0" w:space="0" w:color="auto"/>
            <w:bottom w:val="none" w:sz="0" w:space="0" w:color="auto"/>
            <w:right w:val="none" w:sz="0" w:space="0" w:color="auto"/>
          </w:divBdr>
        </w:div>
        <w:div w:id="1490714116">
          <w:marLeft w:val="0"/>
          <w:marRight w:val="0"/>
          <w:marTop w:val="0"/>
          <w:marBottom w:val="0"/>
          <w:divBdr>
            <w:top w:val="none" w:sz="0" w:space="0" w:color="auto"/>
            <w:left w:val="none" w:sz="0" w:space="0" w:color="auto"/>
            <w:bottom w:val="none" w:sz="0" w:space="0" w:color="auto"/>
            <w:right w:val="none" w:sz="0" w:space="0" w:color="auto"/>
          </w:divBdr>
        </w:div>
        <w:div w:id="1857383175">
          <w:marLeft w:val="0"/>
          <w:marRight w:val="0"/>
          <w:marTop w:val="0"/>
          <w:marBottom w:val="0"/>
          <w:divBdr>
            <w:top w:val="none" w:sz="0" w:space="0" w:color="auto"/>
            <w:left w:val="none" w:sz="0" w:space="0" w:color="auto"/>
            <w:bottom w:val="none" w:sz="0" w:space="0" w:color="auto"/>
            <w:right w:val="none" w:sz="0" w:space="0" w:color="auto"/>
          </w:divBdr>
        </w:div>
        <w:div w:id="1963413169">
          <w:marLeft w:val="0"/>
          <w:marRight w:val="0"/>
          <w:marTop w:val="0"/>
          <w:marBottom w:val="0"/>
          <w:divBdr>
            <w:top w:val="none" w:sz="0" w:space="0" w:color="auto"/>
            <w:left w:val="none" w:sz="0" w:space="0" w:color="auto"/>
            <w:bottom w:val="none" w:sz="0" w:space="0" w:color="auto"/>
            <w:right w:val="none" w:sz="0" w:space="0" w:color="auto"/>
          </w:divBdr>
        </w:div>
        <w:div w:id="2012104585">
          <w:marLeft w:val="0"/>
          <w:marRight w:val="0"/>
          <w:marTop w:val="0"/>
          <w:marBottom w:val="0"/>
          <w:divBdr>
            <w:top w:val="none" w:sz="0" w:space="0" w:color="auto"/>
            <w:left w:val="none" w:sz="0" w:space="0" w:color="auto"/>
            <w:bottom w:val="none" w:sz="0" w:space="0" w:color="auto"/>
            <w:right w:val="none" w:sz="0" w:space="0" w:color="auto"/>
          </w:divBdr>
        </w:div>
        <w:div w:id="2043046485">
          <w:marLeft w:val="0"/>
          <w:marRight w:val="0"/>
          <w:marTop w:val="0"/>
          <w:marBottom w:val="0"/>
          <w:divBdr>
            <w:top w:val="none" w:sz="0" w:space="0" w:color="auto"/>
            <w:left w:val="none" w:sz="0" w:space="0" w:color="auto"/>
            <w:bottom w:val="none" w:sz="0" w:space="0" w:color="auto"/>
            <w:right w:val="none" w:sz="0" w:space="0" w:color="auto"/>
          </w:divBdr>
        </w:div>
        <w:div w:id="20802064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vaad.gov.lv/" TargetMode="External"/><Relationship Id="rId18" Type="http://schemas.openxmlformats.org/officeDocument/2006/relationships/hyperlink" Target="mailto:vi@vi.gov.lv" TargetMode="External"/><Relationship Id="rId26" Type="http://schemas.openxmlformats.org/officeDocument/2006/relationships/hyperlink" Target="mailto:lja@lja.lv" TargetMode="External"/><Relationship Id="rId21" Type="http://schemas.openxmlformats.org/officeDocument/2006/relationships/hyperlink" Target="mailto:as@vp.gov.lv" TargetMode="External"/><Relationship Id="rId34" Type="http://schemas.openxmlformats.org/officeDocument/2006/relationships/hyperlink" Target="http://cdr.eionet.europa.eu/lv/eu/fqd/art8_1/envx0dalw" TargetMode="External"/><Relationship Id="rId7" Type="http://schemas.openxmlformats.org/officeDocument/2006/relationships/endnotes" Target="endnotes.xml"/><Relationship Id="rId12" Type="http://schemas.openxmlformats.org/officeDocument/2006/relationships/hyperlink" Target="http://www.vtua.gov.lv/" TargetMode="External"/><Relationship Id="rId17" Type="http://schemas.openxmlformats.org/officeDocument/2006/relationships/hyperlink" Target="mailto:vi@vi.gov.lv" TargetMode="External"/><Relationship Id="rId25" Type="http://schemas.openxmlformats.org/officeDocument/2006/relationships/hyperlink" Target="http://www.vvd.gov.lv" TargetMode="External"/><Relationship Id="rId33" Type="http://schemas.openxmlformats.org/officeDocument/2006/relationships/hyperlink" Target="mailto:pasts@bvkb.gov.lv"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ikumi.lv/doc.php?id=96375" TargetMode="External"/><Relationship Id="rId20" Type="http://schemas.openxmlformats.org/officeDocument/2006/relationships/hyperlink" Target="mailto:as@vp.gov.lv" TargetMode="External"/><Relationship Id="rId29" Type="http://schemas.openxmlformats.org/officeDocument/2006/relationships/hyperlink" Target="http://eur-lex.europa.eu/eli/reg/2003/2003/oj/?locale=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d.gov.lv/" TargetMode="External"/><Relationship Id="rId24" Type="http://schemas.openxmlformats.org/officeDocument/2006/relationships/hyperlink" Target="mailto:pasts@vvd.gov.lv" TargetMode="External"/><Relationship Id="rId32" Type="http://schemas.openxmlformats.org/officeDocument/2006/relationships/hyperlink" Target="mailto:prove@prove.lv"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ikumi.lv/doc.php?id=96375" TargetMode="External"/><Relationship Id="rId23" Type="http://schemas.openxmlformats.org/officeDocument/2006/relationships/hyperlink" Target="mailto:vi@vi.gov.lv" TargetMode="External"/><Relationship Id="rId28" Type="http://schemas.openxmlformats.org/officeDocument/2006/relationships/hyperlink" Target="http://eur-lex.europa.eu/eli/reg/2003/2003/oj/?locale=LV" TargetMode="External"/><Relationship Id="rId36" Type="http://schemas.openxmlformats.org/officeDocument/2006/relationships/header" Target="header1.xml"/><Relationship Id="rId10" Type="http://schemas.openxmlformats.org/officeDocument/2006/relationships/hyperlink" Target="http://www.prove.lv/" TargetMode="External"/><Relationship Id="rId19" Type="http://schemas.openxmlformats.org/officeDocument/2006/relationships/hyperlink" Target="mailto:ptac@ptac.gov.lv" TargetMode="External"/><Relationship Id="rId31" Type="http://schemas.openxmlformats.org/officeDocument/2006/relationships/hyperlink" Target="mailto:vi@vi.gov.lv" TargetMode="External"/><Relationship Id="rId4" Type="http://schemas.openxmlformats.org/officeDocument/2006/relationships/settings" Target="settings.xml"/><Relationship Id="rId9" Type="http://schemas.openxmlformats.org/officeDocument/2006/relationships/hyperlink" Target="http://www.vi.gov.lv/" TargetMode="External"/><Relationship Id="rId14" Type="http://schemas.openxmlformats.org/officeDocument/2006/relationships/hyperlink" Target="http://www.vp.gov.lv/" TargetMode="External"/><Relationship Id="rId22" Type="http://schemas.openxmlformats.org/officeDocument/2006/relationships/hyperlink" Target="mailto:vi@vi.gov.lv" TargetMode="External"/><Relationship Id="rId27" Type="http://schemas.openxmlformats.org/officeDocument/2006/relationships/hyperlink" Target="http://www.vtua.gov.lv" TargetMode="External"/><Relationship Id="rId30" Type="http://schemas.openxmlformats.org/officeDocument/2006/relationships/hyperlink" Target="mailto:vi@vi.gov.lv" TargetMode="External"/><Relationship Id="rId35" Type="http://schemas.openxmlformats.org/officeDocument/2006/relationships/footer" Target="footer1.xml"/><Relationship Id="rId8" Type="http://schemas.openxmlformats.org/officeDocument/2006/relationships/hyperlink" Target="http://www.ptac.gov.lv/"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BC082-4E58-46FD-8769-5FECE355D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12</TotalTime>
  <Pages>40</Pages>
  <Words>71111</Words>
  <Characters>40534</Characters>
  <Application>Microsoft Office Word</Application>
  <DocSecurity>0</DocSecurity>
  <PresentationFormat>Microsoft Word 14.0</PresentationFormat>
  <Lines>337</Lines>
  <Paragraphs>222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111423</CharactersWithSpaces>
  <SharedDoc>false</SharedDoc>
  <HLinks>
    <vt:vector size="420" baseType="variant">
      <vt:variant>
        <vt:i4>4194362</vt:i4>
      </vt:variant>
      <vt:variant>
        <vt:i4>402</vt:i4>
      </vt:variant>
      <vt:variant>
        <vt:i4>0</vt:i4>
      </vt:variant>
      <vt:variant>
        <vt:i4>5</vt:i4>
      </vt:variant>
      <vt:variant>
        <vt:lpwstr>mailto:vi@vi.gov.lv</vt:lpwstr>
      </vt:variant>
      <vt:variant>
        <vt:lpwstr/>
      </vt:variant>
      <vt:variant>
        <vt:i4>4194362</vt:i4>
      </vt:variant>
      <vt:variant>
        <vt:i4>399</vt:i4>
      </vt:variant>
      <vt:variant>
        <vt:i4>0</vt:i4>
      </vt:variant>
      <vt:variant>
        <vt:i4>5</vt:i4>
      </vt:variant>
      <vt:variant>
        <vt:lpwstr>mailto:vi@vi.gov.lv</vt:lpwstr>
      </vt:variant>
      <vt:variant>
        <vt:lpwstr/>
      </vt:variant>
      <vt:variant>
        <vt:i4>4194362</vt:i4>
      </vt:variant>
      <vt:variant>
        <vt:i4>396</vt:i4>
      </vt:variant>
      <vt:variant>
        <vt:i4>0</vt:i4>
      </vt:variant>
      <vt:variant>
        <vt:i4>5</vt:i4>
      </vt:variant>
      <vt:variant>
        <vt:lpwstr>mailto:vi@vi.gov.lv</vt:lpwstr>
      </vt:variant>
      <vt:variant>
        <vt:lpwstr/>
      </vt:variant>
      <vt:variant>
        <vt:i4>4194362</vt:i4>
      </vt:variant>
      <vt:variant>
        <vt:i4>393</vt:i4>
      </vt:variant>
      <vt:variant>
        <vt:i4>0</vt:i4>
      </vt:variant>
      <vt:variant>
        <vt:i4>5</vt:i4>
      </vt:variant>
      <vt:variant>
        <vt:lpwstr>mailto:vi@vi.gov.lv</vt:lpwstr>
      </vt:variant>
      <vt:variant>
        <vt:lpwstr/>
      </vt:variant>
      <vt:variant>
        <vt:i4>4194362</vt:i4>
      </vt:variant>
      <vt:variant>
        <vt:i4>390</vt:i4>
      </vt:variant>
      <vt:variant>
        <vt:i4>0</vt:i4>
      </vt:variant>
      <vt:variant>
        <vt:i4>5</vt:i4>
      </vt:variant>
      <vt:variant>
        <vt:lpwstr>mailto:vi@vi.gov.lv</vt:lpwstr>
      </vt:variant>
      <vt:variant>
        <vt:lpwstr/>
      </vt:variant>
      <vt:variant>
        <vt:i4>4456516</vt:i4>
      </vt:variant>
      <vt:variant>
        <vt:i4>387</vt:i4>
      </vt:variant>
      <vt:variant>
        <vt:i4>0</vt:i4>
      </vt:variant>
      <vt:variant>
        <vt:i4>5</vt:i4>
      </vt:variant>
      <vt:variant>
        <vt:lpwstr>http://www.vi.gov.lv/</vt:lpwstr>
      </vt:variant>
      <vt:variant>
        <vt:lpwstr/>
      </vt:variant>
      <vt:variant>
        <vt:i4>1048630</vt:i4>
      </vt:variant>
      <vt:variant>
        <vt:i4>380</vt:i4>
      </vt:variant>
      <vt:variant>
        <vt:i4>0</vt:i4>
      </vt:variant>
      <vt:variant>
        <vt:i4>5</vt:i4>
      </vt:variant>
      <vt:variant>
        <vt:lpwstr/>
      </vt:variant>
      <vt:variant>
        <vt:lpwstr>_Toc533151547</vt:lpwstr>
      </vt:variant>
      <vt:variant>
        <vt:i4>1048630</vt:i4>
      </vt:variant>
      <vt:variant>
        <vt:i4>374</vt:i4>
      </vt:variant>
      <vt:variant>
        <vt:i4>0</vt:i4>
      </vt:variant>
      <vt:variant>
        <vt:i4>5</vt:i4>
      </vt:variant>
      <vt:variant>
        <vt:lpwstr/>
      </vt:variant>
      <vt:variant>
        <vt:lpwstr>_Toc533151546</vt:lpwstr>
      </vt:variant>
      <vt:variant>
        <vt:i4>1048630</vt:i4>
      </vt:variant>
      <vt:variant>
        <vt:i4>368</vt:i4>
      </vt:variant>
      <vt:variant>
        <vt:i4>0</vt:i4>
      </vt:variant>
      <vt:variant>
        <vt:i4>5</vt:i4>
      </vt:variant>
      <vt:variant>
        <vt:lpwstr/>
      </vt:variant>
      <vt:variant>
        <vt:lpwstr>_Toc533151545</vt:lpwstr>
      </vt:variant>
      <vt:variant>
        <vt:i4>1048630</vt:i4>
      </vt:variant>
      <vt:variant>
        <vt:i4>362</vt:i4>
      </vt:variant>
      <vt:variant>
        <vt:i4>0</vt:i4>
      </vt:variant>
      <vt:variant>
        <vt:i4>5</vt:i4>
      </vt:variant>
      <vt:variant>
        <vt:lpwstr/>
      </vt:variant>
      <vt:variant>
        <vt:lpwstr>_Toc533151544</vt:lpwstr>
      </vt:variant>
      <vt:variant>
        <vt:i4>1048630</vt:i4>
      </vt:variant>
      <vt:variant>
        <vt:i4>356</vt:i4>
      </vt:variant>
      <vt:variant>
        <vt:i4>0</vt:i4>
      </vt:variant>
      <vt:variant>
        <vt:i4>5</vt:i4>
      </vt:variant>
      <vt:variant>
        <vt:lpwstr/>
      </vt:variant>
      <vt:variant>
        <vt:lpwstr>_Toc533151543</vt:lpwstr>
      </vt:variant>
      <vt:variant>
        <vt:i4>1048630</vt:i4>
      </vt:variant>
      <vt:variant>
        <vt:i4>350</vt:i4>
      </vt:variant>
      <vt:variant>
        <vt:i4>0</vt:i4>
      </vt:variant>
      <vt:variant>
        <vt:i4>5</vt:i4>
      </vt:variant>
      <vt:variant>
        <vt:lpwstr/>
      </vt:variant>
      <vt:variant>
        <vt:lpwstr>_Toc533151542</vt:lpwstr>
      </vt:variant>
      <vt:variant>
        <vt:i4>1048630</vt:i4>
      </vt:variant>
      <vt:variant>
        <vt:i4>344</vt:i4>
      </vt:variant>
      <vt:variant>
        <vt:i4>0</vt:i4>
      </vt:variant>
      <vt:variant>
        <vt:i4>5</vt:i4>
      </vt:variant>
      <vt:variant>
        <vt:lpwstr/>
      </vt:variant>
      <vt:variant>
        <vt:lpwstr>_Toc533151541</vt:lpwstr>
      </vt:variant>
      <vt:variant>
        <vt:i4>1048630</vt:i4>
      </vt:variant>
      <vt:variant>
        <vt:i4>338</vt:i4>
      </vt:variant>
      <vt:variant>
        <vt:i4>0</vt:i4>
      </vt:variant>
      <vt:variant>
        <vt:i4>5</vt:i4>
      </vt:variant>
      <vt:variant>
        <vt:lpwstr/>
      </vt:variant>
      <vt:variant>
        <vt:lpwstr>_Toc533151540</vt:lpwstr>
      </vt:variant>
      <vt:variant>
        <vt:i4>1507382</vt:i4>
      </vt:variant>
      <vt:variant>
        <vt:i4>332</vt:i4>
      </vt:variant>
      <vt:variant>
        <vt:i4>0</vt:i4>
      </vt:variant>
      <vt:variant>
        <vt:i4>5</vt:i4>
      </vt:variant>
      <vt:variant>
        <vt:lpwstr/>
      </vt:variant>
      <vt:variant>
        <vt:lpwstr>_Toc533151539</vt:lpwstr>
      </vt:variant>
      <vt:variant>
        <vt:i4>1507382</vt:i4>
      </vt:variant>
      <vt:variant>
        <vt:i4>326</vt:i4>
      </vt:variant>
      <vt:variant>
        <vt:i4>0</vt:i4>
      </vt:variant>
      <vt:variant>
        <vt:i4>5</vt:i4>
      </vt:variant>
      <vt:variant>
        <vt:lpwstr/>
      </vt:variant>
      <vt:variant>
        <vt:lpwstr>_Toc533151538</vt:lpwstr>
      </vt:variant>
      <vt:variant>
        <vt:i4>1507382</vt:i4>
      </vt:variant>
      <vt:variant>
        <vt:i4>320</vt:i4>
      </vt:variant>
      <vt:variant>
        <vt:i4>0</vt:i4>
      </vt:variant>
      <vt:variant>
        <vt:i4>5</vt:i4>
      </vt:variant>
      <vt:variant>
        <vt:lpwstr/>
      </vt:variant>
      <vt:variant>
        <vt:lpwstr>_Toc533151537</vt:lpwstr>
      </vt:variant>
      <vt:variant>
        <vt:i4>1507382</vt:i4>
      </vt:variant>
      <vt:variant>
        <vt:i4>314</vt:i4>
      </vt:variant>
      <vt:variant>
        <vt:i4>0</vt:i4>
      </vt:variant>
      <vt:variant>
        <vt:i4>5</vt:i4>
      </vt:variant>
      <vt:variant>
        <vt:lpwstr/>
      </vt:variant>
      <vt:variant>
        <vt:lpwstr>_Toc533151536</vt:lpwstr>
      </vt:variant>
      <vt:variant>
        <vt:i4>1507382</vt:i4>
      </vt:variant>
      <vt:variant>
        <vt:i4>308</vt:i4>
      </vt:variant>
      <vt:variant>
        <vt:i4>0</vt:i4>
      </vt:variant>
      <vt:variant>
        <vt:i4>5</vt:i4>
      </vt:variant>
      <vt:variant>
        <vt:lpwstr/>
      </vt:variant>
      <vt:variant>
        <vt:lpwstr>_Toc533151535</vt:lpwstr>
      </vt:variant>
      <vt:variant>
        <vt:i4>1507382</vt:i4>
      </vt:variant>
      <vt:variant>
        <vt:i4>302</vt:i4>
      </vt:variant>
      <vt:variant>
        <vt:i4>0</vt:i4>
      </vt:variant>
      <vt:variant>
        <vt:i4>5</vt:i4>
      </vt:variant>
      <vt:variant>
        <vt:lpwstr/>
      </vt:variant>
      <vt:variant>
        <vt:lpwstr>_Toc533151534</vt:lpwstr>
      </vt:variant>
      <vt:variant>
        <vt:i4>1507382</vt:i4>
      </vt:variant>
      <vt:variant>
        <vt:i4>296</vt:i4>
      </vt:variant>
      <vt:variant>
        <vt:i4>0</vt:i4>
      </vt:variant>
      <vt:variant>
        <vt:i4>5</vt:i4>
      </vt:variant>
      <vt:variant>
        <vt:lpwstr/>
      </vt:variant>
      <vt:variant>
        <vt:lpwstr>_Toc533151533</vt:lpwstr>
      </vt:variant>
      <vt:variant>
        <vt:i4>1507382</vt:i4>
      </vt:variant>
      <vt:variant>
        <vt:i4>290</vt:i4>
      </vt:variant>
      <vt:variant>
        <vt:i4>0</vt:i4>
      </vt:variant>
      <vt:variant>
        <vt:i4>5</vt:i4>
      </vt:variant>
      <vt:variant>
        <vt:lpwstr/>
      </vt:variant>
      <vt:variant>
        <vt:lpwstr>_Toc533151532</vt:lpwstr>
      </vt:variant>
      <vt:variant>
        <vt:i4>1507382</vt:i4>
      </vt:variant>
      <vt:variant>
        <vt:i4>284</vt:i4>
      </vt:variant>
      <vt:variant>
        <vt:i4>0</vt:i4>
      </vt:variant>
      <vt:variant>
        <vt:i4>5</vt:i4>
      </vt:variant>
      <vt:variant>
        <vt:lpwstr/>
      </vt:variant>
      <vt:variant>
        <vt:lpwstr>_Toc533151531</vt:lpwstr>
      </vt:variant>
      <vt:variant>
        <vt:i4>1507382</vt:i4>
      </vt:variant>
      <vt:variant>
        <vt:i4>278</vt:i4>
      </vt:variant>
      <vt:variant>
        <vt:i4>0</vt:i4>
      </vt:variant>
      <vt:variant>
        <vt:i4>5</vt:i4>
      </vt:variant>
      <vt:variant>
        <vt:lpwstr/>
      </vt:variant>
      <vt:variant>
        <vt:lpwstr>_Toc533151530</vt:lpwstr>
      </vt:variant>
      <vt:variant>
        <vt:i4>1441846</vt:i4>
      </vt:variant>
      <vt:variant>
        <vt:i4>272</vt:i4>
      </vt:variant>
      <vt:variant>
        <vt:i4>0</vt:i4>
      </vt:variant>
      <vt:variant>
        <vt:i4>5</vt:i4>
      </vt:variant>
      <vt:variant>
        <vt:lpwstr/>
      </vt:variant>
      <vt:variant>
        <vt:lpwstr>_Toc533151529</vt:lpwstr>
      </vt:variant>
      <vt:variant>
        <vt:i4>1441846</vt:i4>
      </vt:variant>
      <vt:variant>
        <vt:i4>266</vt:i4>
      </vt:variant>
      <vt:variant>
        <vt:i4>0</vt:i4>
      </vt:variant>
      <vt:variant>
        <vt:i4>5</vt:i4>
      </vt:variant>
      <vt:variant>
        <vt:lpwstr/>
      </vt:variant>
      <vt:variant>
        <vt:lpwstr>_Toc533151528</vt:lpwstr>
      </vt:variant>
      <vt:variant>
        <vt:i4>1441846</vt:i4>
      </vt:variant>
      <vt:variant>
        <vt:i4>260</vt:i4>
      </vt:variant>
      <vt:variant>
        <vt:i4>0</vt:i4>
      </vt:variant>
      <vt:variant>
        <vt:i4>5</vt:i4>
      </vt:variant>
      <vt:variant>
        <vt:lpwstr/>
      </vt:variant>
      <vt:variant>
        <vt:lpwstr>_Toc533151527</vt:lpwstr>
      </vt:variant>
      <vt:variant>
        <vt:i4>1441846</vt:i4>
      </vt:variant>
      <vt:variant>
        <vt:i4>254</vt:i4>
      </vt:variant>
      <vt:variant>
        <vt:i4>0</vt:i4>
      </vt:variant>
      <vt:variant>
        <vt:i4>5</vt:i4>
      </vt:variant>
      <vt:variant>
        <vt:lpwstr/>
      </vt:variant>
      <vt:variant>
        <vt:lpwstr>_Toc533151526</vt:lpwstr>
      </vt:variant>
      <vt:variant>
        <vt:i4>1441846</vt:i4>
      </vt:variant>
      <vt:variant>
        <vt:i4>248</vt:i4>
      </vt:variant>
      <vt:variant>
        <vt:i4>0</vt:i4>
      </vt:variant>
      <vt:variant>
        <vt:i4>5</vt:i4>
      </vt:variant>
      <vt:variant>
        <vt:lpwstr/>
      </vt:variant>
      <vt:variant>
        <vt:lpwstr>_Toc533151525</vt:lpwstr>
      </vt:variant>
      <vt:variant>
        <vt:i4>1441846</vt:i4>
      </vt:variant>
      <vt:variant>
        <vt:i4>242</vt:i4>
      </vt:variant>
      <vt:variant>
        <vt:i4>0</vt:i4>
      </vt:variant>
      <vt:variant>
        <vt:i4>5</vt:i4>
      </vt:variant>
      <vt:variant>
        <vt:lpwstr/>
      </vt:variant>
      <vt:variant>
        <vt:lpwstr>_Toc533151524</vt:lpwstr>
      </vt:variant>
      <vt:variant>
        <vt:i4>1441846</vt:i4>
      </vt:variant>
      <vt:variant>
        <vt:i4>236</vt:i4>
      </vt:variant>
      <vt:variant>
        <vt:i4>0</vt:i4>
      </vt:variant>
      <vt:variant>
        <vt:i4>5</vt:i4>
      </vt:variant>
      <vt:variant>
        <vt:lpwstr/>
      </vt:variant>
      <vt:variant>
        <vt:lpwstr>_Toc533151523</vt:lpwstr>
      </vt:variant>
      <vt:variant>
        <vt:i4>1441846</vt:i4>
      </vt:variant>
      <vt:variant>
        <vt:i4>230</vt:i4>
      </vt:variant>
      <vt:variant>
        <vt:i4>0</vt:i4>
      </vt:variant>
      <vt:variant>
        <vt:i4>5</vt:i4>
      </vt:variant>
      <vt:variant>
        <vt:lpwstr/>
      </vt:variant>
      <vt:variant>
        <vt:lpwstr>_Toc533151522</vt:lpwstr>
      </vt:variant>
      <vt:variant>
        <vt:i4>1441846</vt:i4>
      </vt:variant>
      <vt:variant>
        <vt:i4>224</vt:i4>
      </vt:variant>
      <vt:variant>
        <vt:i4>0</vt:i4>
      </vt:variant>
      <vt:variant>
        <vt:i4>5</vt:i4>
      </vt:variant>
      <vt:variant>
        <vt:lpwstr/>
      </vt:variant>
      <vt:variant>
        <vt:lpwstr>_Toc533151521</vt:lpwstr>
      </vt:variant>
      <vt:variant>
        <vt:i4>1441846</vt:i4>
      </vt:variant>
      <vt:variant>
        <vt:i4>218</vt:i4>
      </vt:variant>
      <vt:variant>
        <vt:i4>0</vt:i4>
      </vt:variant>
      <vt:variant>
        <vt:i4>5</vt:i4>
      </vt:variant>
      <vt:variant>
        <vt:lpwstr/>
      </vt:variant>
      <vt:variant>
        <vt:lpwstr>_Toc533151520</vt:lpwstr>
      </vt:variant>
      <vt:variant>
        <vt:i4>1376310</vt:i4>
      </vt:variant>
      <vt:variant>
        <vt:i4>212</vt:i4>
      </vt:variant>
      <vt:variant>
        <vt:i4>0</vt:i4>
      </vt:variant>
      <vt:variant>
        <vt:i4>5</vt:i4>
      </vt:variant>
      <vt:variant>
        <vt:lpwstr/>
      </vt:variant>
      <vt:variant>
        <vt:lpwstr>_Toc533151519</vt:lpwstr>
      </vt:variant>
      <vt:variant>
        <vt:i4>1376310</vt:i4>
      </vt:variant>
      <vt:variant>
        <vt:i4>206</vt:i4>
      </vt:variant>
      <vt:variant>
        <vt:i4>0</vt:i4>
      </vt:variant>
      <vt:variant>
        <vt:i4>5</vt:i4>
      </vt:variant>
      <vt:variant>
        <vt:lpwstr/>
      </vt:variant>
      <vt:variant>
        <vt:lpwstr>_Toc533151518</vt:lpwstr>
      </vt:variant>
      <vt:variant>
        <vt:i4>1376310</vt:i4>
      </vt:variant>
      <vt:variant>
        <vt:i4>200</vt:i4>
      </vt:variant>
      <vt:variant>
        <vt:i4>0</vt:i4>
      </vt:variant>
      <vt:variant>
        <vt:i4>5</vt:i4>
      </vt:variant>
      <vt:variant>
        <vt:lpwstr/>
      </vt:variant>
      <vt:variant>
        <vt:lpwstr>_Toc533151517</vt:lpwstr>
      </vt:variant>
      <vt:variant>
        <vt:i4>1376310</vt:i4>
      </vt:variant>
      <vt:variant>
        <vt:i4>194</vt:i4>
      </vt:variant>
      <vt:variant>
        <vt:i4>0</vt:i4>
      </vt:variant>
      <vt:variant>
        <vt:i4>5</vt:i4>
      </vt:variant>
      <vt:variant>
        <vt:lpwstr/>
      </vt:variant>
      <vt:variant>
        <vt:lpwstr>_Toc533151516</vt:lpwstr>
      </vt:variant>
      <vt:variant>
        <vt:i4>1376310</vt:i4>
      </vt:variant>
      <vt:variant>
        <vt:i4>188</vt:i4>
      </vt:variant>
      <vt:variant>
        <vt:i4>0</vt:i4>
      </vt:variant>
      <vt:variant>
        <vt:i4>5</vt:i4>
      </vt:variant>
      <vt:variant>
        <vt:lpwstr/>
      </vt:variant>
      <vt:variant>
        <vt:lpwstr>_Toc533151515</vt:lpwstr>
      </vt:variant>
      <vt:variant>
        <vt:i4>1376310</vt:i4>
      </vt:variant>
      <vt:variant>
        <vt:i4>182</vt:i4>
      </vt:variant>
      <vt:variant>
        <vt:i4>0</vt:i4>
      </vt:variant>
      <vt:variant>
        <vt:i4>5</vt:i4>
      </vt:variant>
      <vt:variant>
        <vt:lpwstr/>
      </vt:variant>
      <vt:variant>
        <vt:lpwstr>_Toc533151514</vt:lpwstr>
      </vt:variant>
      <vt:variant>
        <vt:i4>1376310</vt:i4>
      </vt:variant>
      <vt:variant>
        <vt:i4>176</vt:i4>
      </vt:variant>
      <vt:variant>
        <vt:i4>0</vt:i4>
      </vt:variant>
      <vt:variant>
        <vt:i4>5</vt:i4>
      </vt:variant>
      <vt:variant>
        <vt:lpwstr/>
      </vt:variant>
      <vt:variant>
        <vt:lpwstr>_Toc533151513</vt:lpwstr>
      </vt:variant>
      <vt:variant>
        <vt:i4>1376310</vt:i4>
      </vt:variant>
      <vt:variant>
        <vt:i4>170</vt:i4>
      </vt:variant>
      <vt:variant>
        <vt:i4>0</vt:i4>
      </vt:variant>
      <vt:variant>
        <vt:i4>5</vt:i4>
      </vt:variant>
      <vt:variant>
        <vt:lpwstr/>
      </vt:variant>
      <vt:variant>
        <vt:lpwstr>_Toc533151512</vt:lpwstr>
      </vt:variant>
      <vt:variant>
        <vt:i4>1376310</vt:i4>
      </vt:variant>
      <vt:variant>
        <vt:i4>164</vt:i4>
      </vt:variant>
      <vt:variant>
        <vt:i4>0</vt:i4>
      </vt:variant>
      <vt:variant>
        <vt:i4>5</vt:i4>
      </vt:variant>
      <vt:variant>
        <vt:lpwstr/>
      </vt:variant>
      <vt:variant>
        <vt:lpwstr>_Toc533151511</vt:lpwstr>
      </vt:variant>
      <vt:variant>
        <vt:i4>1376310</vt:i4>
      </vt:variant>
      <vt:variant>
        <vt:i4>158</vt:i4>
      </vt:variant>
      <vt:variant>
        <vt:i4>0</vt:i4>
      </vt:variant>
      <vt:variant>
        <vt:i4>5</vt:i4>
      </vt:variant>
      <vt:variant>
        <vt:lpwstr/>
      </vt:variant>
      <vt:variant>
        <vt:lpwstr>_Toc533151510</vt:lpwstr>
      </vt:variant>
      <vt:variant>
        <vt:i4>1310774</vt:i4>
      </vt:variant>
      <vt:variant>
        <vt:i4>152</vt:i4>
      </vt:variant>
      <vt:variant>
        <vt:i4>0</vt:i4>
      </vt:variant>
      <vt:variant>
        <vt:i4>5</vt:i4>
      </vt:variant>
      <vt:variant>
        <vt:lpwstr/>
      </vt:variant>
      <vt:variant>
        <vt:lpwstr>_Toc533151509</vt:lpwstr>
      </vt:variant>
      <vt:variant>
        <vt:i4>1310774</vt:i4>
      </vt:variant>
      <vt:variant>
        <vt:i4>146</vt:i4>
      </vt:variant>
      <vt:variant>
        <vt:i4>0</vt:i4>
      </vt:variant>
      <vt:variant>
        <vt:i4>5</vt:i4>
      </vt:variant>
      <vt:variant>
        <vt:lpwstr/>
      </vt:variant>
      <vt:variant>
        <vt:lpwstr>_Toc533151508</vt:lpwstr>
      </vt:variant>
      <vt:variant>
        <vt:i4>1310774</vt:i4>
      </vt:variant>
      <vt:variant>
        <vt:i4>140</vt:i4>
      </vt:variant>
      <vt:variant>
        <vt:i4>0</vt:i4>
      </vt:variant>
      <vt:variant>
        <vt:i4>5</vt:i4>
      </vt:variant>
      <vt:variant>
        <vt:lpwstr/>
      </vt:variant>
      <vt:variant>
        <vt:lpwstr>_Toc533151507</vt:lpwstr>
      </vt:variant>
      <vt:variant>
        <vt:i4>1310774</vt:i4>
      </vt:variant>
      <vt:variant>
        <vt:i4>134</vt:i4>
      </vt:variant>
      <vt:variant>
        <vt:i4>0</vt:i4>
      </vt:variant>
      <vt:variant>
        <vt:i4>5</vt:i4>
      </vt:variant>
      <vt:variant>
        <vt:lpwstr/>
      </vt:variant>
      <vt:variant>
        <vt:lpwstr>_Toc533151506</vt:lpwstr>
      </vt:variant>
      <vt:variant>
        <vt:i4>1310774</vt:i4>
      </vt:variant>
      <vt:variant>
        <vt:i4>128</vt:i4>
      </vt:variant>
      <vt:variant>
        <vt:i4>0</vt:i4>
      </vt:variant>
      <vt:variant>
        <vt:i4>5</vt:i4>
      </vt:variant>
      <vt:variant>
        <vt:lpwstr/>
      </vt:variant>
      <vt:variant>
        <vt:lpwstr>_Toc533151505</vt:lpwstr>
      </vt:variant>
      <vt:variant>
        <vt:i4>1310774</vt:i4>
      </vt:variant>
      <vt:variant>
        <vt:i4>122</vt:i4>
      </vt:variant>
      <vt:variant>
        <vt:i4>0</vt:i4>
      </vt:variant>
      <vt:variant>
        <vt:i4>5</vt:i4>
      </vt:variant>
      <vt:variant>
        <vt:lpwstr/>
      </vt:variant>
      <vt:variant>
        <vt:lpwstr>_Toc533151504</vt:lpwstr>
      </vt:variant>
      <vt:variant>
        <vt:i4>1310774</vt:i4>
      </vt:variant>
      <vt:variant>
        <vt:i4>116</vt:i4>
      </vt:variant>
      <vt:variant>
        <vt:i4>0</vt:i4>
      </vt:variant>
      <vt:variant>
        <vt:i4>5</vt:i4>
      </vt:variant>
      <vt:variant>
        <vt:lpwstr/>
      </vt:variant>
      <vt:variant>
        <vt:lpwstr>_Toc533151503</vt:lpwstr>
      </vt:variant>
      <vt:variant>
        <vt:i4>1310774</vt:i4>
      </vt:variant>
      <vt:variant>
        <vt:i4>110</vt:i4>
      </vt:variant>
      <vt:variant>
        <vt:i4>0</vt:i4>
      </vt:variant>
      <vt:variant>
        <vt:i4>5</vt:i4>
      </vt:variant>
      <vt:variant>
        <vt:lpwstr/>
      </vt:variant>
      <vt:variant>
        <vt:lpwstr>_Toc533151502</vt:lpwstr>
      </vt:variant>
      <vt:variant>
        <vt:i4>1310774</vt:i4>
      </vt:variant>
      <vt:variant>
        <vt:i4>104</vt:i4>
      </vt:variant>
      <vt:variant>
        <vt:i4>0</vt:i4>
      </vt:variant>
      <vt:variant>
        <vt:i4>5</vt:i4>
      </vt:variant>
      <vt:variant>
        <vt:lpwstr/>
      </vt:variant>
      <vt:variant>
        <vt:lpwstr>_Toc533151501</vt:lpwstr>
      </vt:variant>
      <vt:variant>
        <vt:i4>1310774</vt:i4>
      </vt:variant>
      <vt:variant>
        <vt:i4>98</vt:i4>
      </vt:variant>
      <vt:variant>
        <vt:i4>0</vt:i4>
      </vt:variant>
      <vt:variant>
        <vt:i4>5</vt:i4>
      </vt:variant>
      <vt:variant>
        <vt:lpwstr/>
      </vt:variant>
      <vt:variant>
        <vt:lpwstr>_Toc533151500</vt:lpwstr>
      </vt:variant>
      <vt:variant>
        <vt:i4>1900599</vt:i4>
      </vt:variant>
      <vt:variant>
        <vt:i4>92</vt:i4>
      </vt:variant>
      <vt:variant>
        <vt:i4>0</vt:i4>
      </vt:variant>
      <vt:variant>
        <vt:i4>5</vt:i4>
      </vt:variant>
      <vt:variant>
        <vt:lpwstr/>
      </vt:variant>
      <vt:variant>
        <vt:lpwstr>_Toc533151499</vt:lpwstr>
      </vt:variant>
      <vt:variant>
        <vt:i4>1900599</vt:i4>
      </vt:variant>
      <vt:variant>
        <vt:i4>86</vt:i4>
      </vt:variant>
      <vt:variant>
        <vt:i4>0</vt:i4>
      </vt:variant>
      <vt:variant>
        <vt:i4>5</vt:i4>
      </vt:variant>
      <vt:variant>
        <vt:lpwstr/>
      </vt:variant>
      <vt:variant>
        <vt:lpwstr>_Toc533151498</vt:lpwstr>
      </vt:variant>
      <vt:variant>
        <vt:i4>1900599</vt:i4>
      </vt:variant>
      <vt:variant>
        <vt:i4>80</vt:i4>
      </vt:variant>
      <vt:variant>
        <vt:i4>0</vt:i4>
      </vt:variant>
      <vt:variant>
        <vt:i4>5</vt:i4>
      </vt:variant>
      <vt:variant>
        <vt:lpwstr/>
      </vt:variant>
      <vt:variant>
        <vt:lpwstr>_Toc533151497</vt:lpwstr>
      </vt:variant>
      <vt:variant>
        <vt:i4>1900599</vt:i4>
      </vt:variant>
      <vt:variant>
        <vt:i4>74</vt:i4>
      </vt:variant>
      <vt:variant>
        <vt:i4>0</vt:i4>
      </vt:variant>
      <vt:variant>
        <vt:i4>5</vt:i4>
      </vt:variant>
      <vt:variant>
        <vt:lpwstr/>
      </vt:variant>
      <vt:variant>
        <vt:lpwstr>_Toc533151496</vt:lpwstr>
      </vt:variant>
      <vt:variant>
        <vt:i4>1900599</vt:i4>
      </vt:variant>
      <vt:variant>
        <vt:i4>68</vt:i4>
      </vt:variant>
      <vt:variant>
        <vt:i4>0</vt:i4>
      </vt:variant>
      <vt:variant>
        <vt:i4>5</vt:i4>
      </vt:variant>
      <vt:variant>
        <vt:lpwstr/>
      </vt:variant>
      <vt:variant>
        <vt:lpwstr>_Toc533151495</vt:lpwstr>
      </vt:variant>
      <vt:variant>
        <vt:i4>1900599</vt:i4>
      </vt:variant>
      <vt:variant>
        <vt:i4>62</vt:i4>
      </vt:variant>
      <vt:variant>
        <vt:i4>0</vt:i4>
      </vt:variant>
      <vt:variant>
        <vt:i4>5</vt:i4>
      </vt:variant>
      <vt:variant>
        <vt:lpwstr/>
      </vt:variant>
      <vt:variant>
        <vt:lpwstr>_Toc533151494</vt:lpwstr>
      </vt:variant>
      <vt:variant>
        <vt:i4>1900599</vt:i4>
      </vt:variant>
      <vt:variant>
        <vt:i4>56</vt:i4>
      </vt:variant>
      <vt:variant>
        <vt:i4>0</vt:i4>
      </vt:variant>
      <vt:variant>
        <vt:i4>5</vt:i4>
      </vt:variant>
      <vt:variant>
        <vt:lpwstr/>
      </vt:variant>
      <vt:variant>
        <vt:lpwstr>_Toc533151493</vt:lpwstr>
      </vt:variant>
      <vt:variant>
        <vt:i4>1900599</vt:i4>
      </vt:variant>
      <vt:variant>
        <vt:i4>50</vt:i4>
      </vt:variant>
      <vt:variant>
        <vt:i4>0</vt:i4>
      </vt:variant>
      <vt:variant>
        <vt:i4>5</vt:i4>
      </vt:variant>
      <vt:variant>
        <vt:lpwstr/>
      </vt:variant>
      <vt:variant>
        <vt:lpwstr>_Toc533151492</vt:lpwstr>
      </vt:variant>
      <vt:variant>
        <vt:i4>1900599</vt:i4>
      </vt:variant>
      <vt:variant>
        <vt:i4>44</vt:i4>
      </vt:variant>
      <vt:variant>
        <vt:i4>0</vt:i4>
      </vt:variant>
      <vt:variant>
        <vt:i4>5</vt:i4>
      </vt:variant>
      <vt:variant>
        <vt:lpwstr/>
      </vt:variant>
      <vt:variant>
        <vt:lpwstr>_Toc533151491</vt:lpwstr>
      </vt:variant>
      <vt:variant>
        <vt:i4>1900599</vt:i4>
      </vt:variant>
      <vt:variant>
        <vt:i4>38</vt:i4>
      </vt:variant>
      <vt:variant>
        <vt:i4>0</vt:i4>
      </vt:variant>
      <vt:variant>
        <vt:i4>5</vt:i4>
      </vt:variant>
      <vt:variant>
        <vt:lpwstr/>
      </vt:variant>
      <vt:variant>
        <vt:lpwstr>_Toc533151490</vt:lpwstr>
      </vt:variant>
      <vt:variant>
        <vt:i4>1835063</vt:i4>
      </vt:variant>
      <vt:variant>
        <vt:i4>32</vt:i4>
      </vt:variant>
      <vt:variant>
        <vt:i4>0</vt:i4>
      </vt:variant>
      <vt:variant>
        <vt:i4>5</vt:i4>
      </vt:variant>
      <vt:variant>
        <vt:lpwstr/>
      </vt:variant>
      <vt:variant>
        <vt:lpwstr>_Toc533151489</vt:lpwstr>
      </vt:variant>
      <vt:variant>
        <vt:i4>1835063</vt:i4>
      </vt:variant>
      <vt:variant>
        <vt:i4>26</vt:i4>
      </vt:variant>
      <vt:variant>
        <vt:i4>0</vt:i4>
      </vt:variant>
      <vt:variant>
        <vt:i4>5</vt:i4>
      </vt:variant>
      <vt:variant>
        <vt:lpwstr/>
      </vt:variant>
      <vt:variant>
        <vt:lpwstr>_Toc533151488</vt:lpwstr>
      </vt:variant>
      <vt:variant>
        <vt:i4>1835063</vt:i4>
      </vt:variant>
      <vt:variant>
        <vt:i4>20</vt:i4>
      </vt:variant>
      <vt:variant>
        <vt:i4>0</vt:i4>
      </vt:variant>
      <vt:variant>
        <vt:i4>5</vt:i4>
      </vt:variant>
      <vt:variant>
        <vt:lpwstr/>
      </vt:variant>
      <vt:variant>
        <vt:lpwstr>_Toc533151487</vt:lpwstr>
      </vt:variant>
      <vt:variant>
        <vt:i4>1835063</vt:i4>
      </vt:variant>
      <vt:variant>
        <vt:i4>14</vt:i4>
      </vt:variant>
      <vt:variant>
        <vt:i4>0</vt:i4>
      </vt:variant>
      <vt:variant>
        <vt:i4>5</vt:i4>
      </vt:variant>
      <vt:variant>
        <vt:lpwstr/>
      </vt:variant>
      <vt:variant>
        <vt:lpwstr>_Toc533151486</vt:lpwstr>
      </vt:variant>
      <vt:variant>
        <vt:i4>1835063</vt:i4>
      </vt:variant>
      <vt:variant>
        <vt:i4>8</vt:i4>
      </vt:variant>
      <vt:variant>
        <vt:i4>0</vt:i4>
      </vt:variant>
      <vt:variant>
        <vt:i4>5</vt:i4>
      </vt:variant>
      <vt:variant>
        <vt:lpwstr/>
      </vt:variant>
      <vt:variant>
        <vt:lpwstr>_Toc533151485</vt:lpwstr>
      </vt:variant>
      <vt:variant>
        <vt:i4>1835063</vt:i4>
      </vt:variant>
      <vt:variant>
        <vt:i4>2</vt:i4>
      </vt:variant>
      <vt:variant>
        <vt:i4>0</vt:i4>
      </vt:variant>
      <vt:variant>
        <vt:i4>5</vt:i4>
      </vt:variant>
      <vt:variant>
        <vt:lpwstr/>
      </vt:variant>
      <vt:variant>
        <vt:lpwstr>_Toc533151484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 Brykman</dc:creator>
  <cp:keywords>EL4</cp:keywords>
  <cp:lastModifiedBy>Skārleta Dombrovska</cp:lastModifiedBy>
  <cp:revision>10</cp:revision>
  <cp:lastPrinted>2020-02-19T08:51:00Z</cp:lastPrinted>
  <dcterms:created xsi:type="dcterms:W3CDTF">2023-04-06T07:30:00Z</dcterms:created>
  <dcterms:modified xsi:type="dcterms:W3CDTF">2023-04-06T10:47:00Z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4.6.2.4290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rep.dot</vt:lpwstr>
  </property>
  <property fmtid="{D5CDD505-2E9C-101B-9397-08002B2CF9AE}" pid="6" name="Created using">
    <vt:lpwstr>EL 4.6 Build 34000</vt:lpwstr>
  </property>
  <property fmtid="{D5CDD505-2E9C-101B-9397-08002B2CF9AE}" pid="7" name="Formatting">
    <vt:lpwstr>4.1</vt:lpwstr>
  </property>
  <property fmtid="{D5CDD505-2E9C-101B-9397-08002B2CF9AE}" pid="8" name="Last edited using">
    <vt:lpwstr>EL 4.6 Build 50000</vt:lpwstr>
  </property>
  <property fmtid="{D5CDD505-2E9C-101B-9397-08002B2CF9AE}" pid="9" name="EL_Author">
    <vt:lpwstr>Liliana Brykman</vt:lpwstr>
  </property>
  <property fmtid="{D5CDD505-2E9C-101B-9397-08002B2CF9AE}" pid="10" name="Type">
    <vt:lpwstr>Eurolook Report</vt:lpwstr>
  </property>
  <property fmtid="{D5CDD505-2E9C-101B-9397-08002B2CF9AE}" pid="11" name="Language">
    <vt:lpwstr>EN</vt:lpwstr>
  </property>
  <property fmtid="{D5CDD505-2E9C-101B-9397-08002B2CF9AE}" pid="12" name="EL_Language">
    <vt:lpwstr>EN</vt:lpwstr>
  </property>
</Properties>
</file>