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865B" w14:textId="447A99FA" w:rsidR="00720FE0" w:rsidRDefault="00C11914" w:rsidP="00720FE0">
      <w:pPr>
        <w:spacing w:after="120"/>
        <w:jc w:val="center"/>
        <w:rPr>
          <w:rFonts w:ascii="Verdana Pro Cond Light" w:hAnsi="Verdana Pro Cond Light"/>
          <w:sz w:val="22"/>
        </w:rPr>
      </w:pPr>
      <w:r w:rsidRPr="00F57A96">
        <w:rPr>
          <w:rFonts w:ascii="Verdana Pro Cond Light" w:hAnsi="Verdana Pro Cond Light"/>
          <w:sz w:val="22"/>
        </w:rPr>
        <w:t>Par IKP 20</w:t>
      </w:r>
      <w:r w:rsidR="00D07071" w:rsidRPr="00F57A96">
        <w:rPr>
          <w:rFonts w:ascii="Verdana Pro Cond Light" w:hAnsi="Verdana Pro Cond Light"/>
          <w:sz w:val="22"/>
        </w:rPr>
        <w:t>2</w:t>
      </w:r>
      <w:r w:rsidR="00A727BF">
        <w:rPr>
          <w:rFonts w:ascii="Verdana Pro Cond Light" w:hAnsi="Verdana Pro Cond Light"/>
          <w:sz w:val="22"/>
        </w:rPr>
        <w:t>3</w:t>
      </w:r>
      <w:r w:rsidRPr="00F57A96">
        <w:rPr>
          <w:rFonts w:ascii="Verdana Pro Cond Light" w:hAnsi="Verdana Pro Cond Light"/>
          <w:sz w:val="22"/>
        </w:rPr>
        <w:t>.gad</w:t>
      </w:r>
      <w:r w:rsidR="00D07071" w:rsidRPr="00F57A96">
        <w:rPr>
          <w:rFonts w:ascii="Verdana Pro Cond Light" w:hAnsi="Verdana Pro Cond Light"/>
          <w:sz w:val="22"/>
        </w:rPr>
        <w:t xml:space="preserve">a </w:t>
      </w:r>
      <w:r w:rsidR="000E6078">
        <w:rPr>
          <w:rFonts w:ascii="Verdana Pro Cond Light" w:hAnsi="Verdana Pro Cond Light"/>
          <w:sz w:val="22"/>
        </w:rPr>
        <w:t>2</w:t>
      </w:r>
      <w:r w:rsidR="00D07071" w:rsidRPr="00F57A96">
        <w:rPr>
          <w:rFonts w:ascii="Verdana Pro Cond Light" w:hAnsi="Verdana Pro Cond Light"/>
          <w:sz w:val="22"/>
        </w:rPr>
        <w:t>.ceturksnī</w:t>
      </w:r>
      <w:bookmarkStart w:id="0" w:name="_Hlk531345177"/>
    </w:p>
    <w:p w14:paraId="1BFD315A" w14:textId="7BC6A664" w:rsidR="00815C5D" w:rsidRPr="00F57A96" w:rsidRDefault="000E6078" w:rsidP="00D668F0">
      <w:pPr>
        <w:spacing w:after="120"/>
        <w:jc w:val="center"/>
        <w:rPr>
          <w:rFonts w:ascii="Verdana Pro Cond Light" w:hAnsi="Verdana Pro Cond Light"/>
          <w:b/>
          <w:sz w:val="26"/>
          <w:szCs w:val="26"/>
        </w:rPr>
      </w:pPr>
      <w:bookmarkStart w:id="1" w:name="_Hlk120709762"/>
      <w:r>
        <w:rPr>
          <w:rFonts w:ascii="Garamond" w:hAnsi="Garamond"/>
          <w:b/>
          <w:sz w:val="28"/>
          <w:szCs w:val="24"/>
        </w:rPr>
        <w:t>Gada otrajā ceturksnī ekonomika sabremzējas</w:t>
      </w:r>
    </w:p>
    <w:bookmarkEnd w:id="0"/>
    <w:bookmarkEnd w:id="1"/>
    <w:p w14:paraId="6FC4A56D" w14:textId="77777777" w:rsidR="007E6CC3" w:rsidRPr="001E54E8" w:rsidRDefault="007E6CC3" w:rsidP="000A07A0">
      <w:pPr>
        <w:jc w:val="both"/>
        <w:rPr>
          <w:rFonts w:ascii="Verdana Pro Cond Light" w:hAnsi="Verdana Pro Cond Light"/>
          <w:sz w:val="16"/>
          <w:szCs w:val="24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5318"/>
      </w:tblGrid>
      <w:tr w:rsidR="00D3067F" w:rsidRPr="003D1329" w14:paraId="68BA4B88" w14:textId="77777777" w:rsidTr="00D3067F">
        <w:tc>
          <w:tcPr>
            <w:tcW w:w="5318" w:type="dxa"/>
            <w:shd w:val="clear" w:color="auto" w:fill="F2F2F2" w:themeFill="background1" w:themeFillShade="F2"/>
            <w:vAlign w:val="bottom"/>
          </w:tcPr>
          <w:p w14:paraId="1F144C28" w14:textId="6336B182" w:rsidR="00D3067F" w:rsidRPr="003D1329" w:rsidRDefault="00D3067F" w:rsidP="00D3067F">
            <w:pPr>
              <w:tabs>
                <w:tab w:val="center" w:pos="2409"/>
              </w:tabs>
              <w:spacing w:before="120" w:after="120"/>
              <w:jc w:val="center"/>
              <w:rPr>
                <w:rFonts w:ascii="Gill Sans Nova Cond Lt" w:eastAsia="Times New Roman" w:hAnsi="Gill Sans Nova Cond Lt"/>
                <w:bCs/>
                <w:color w:val="000000"/>
                <w:sz w:val="20"/>
                <w:szCs w:val="24"/>
              </w:rPr>
            </w:pPr>
            <w:r w:rsidRPr="003D1329">
              <w:rPr>
                <w:rFonts w:ascii="Gill Sans Nova Cond Lt" w:eastAsia="Times New Roman" w:hAnsi="Gill Sans Nova Cond Lt"/>
                <w:b/>
                <w:bCs/>
                <w:color w:val="000000"/>
                <w:sz w:val="28"/>
                <w:szCs w:val="28"/>
              </w:rPr>
              <w:t>IKP DINAMIKA</w:t>
            </w:r>
            <w:r w:rsidRPr="003D1329">
              <w:rPr>
                <w:rFonts w:ascii="Gill Sans Nova Cond Lt" w:eastAsia="Times New Roman" w:hAnsi="Gill Sans Nova Cond Lt"/>
                <w:b/>
                <w:bCs/>
                <w:color w:val="000000"/>
                <w:sz w:val="28"/>
                <w:szCs w:val="28"/>
              </w:rPr>
              <w:br/>
            </w:r>
            <w:r w:rsidR="000F0F6F">
              <w:rPr>
                <w:rFonts w:ascii="Gill Sans Nova Cond Lt" w:eastAsia="Times New Roman" w:hAnsi="Gill Sans Nova Cond Lt"/>
                <w:bCs/>
                <w:color w:val="000000"/>
                <w:szCs w:val="28"/>
              </w:rPr>
              <w:t xml:space="preserve">2015.gada salīdzināmās cenās, </w:t>
            </w:r>
            <w:r w:rsidRPr="003D1329">
              <w:rPr>
                <w:rFonts w:ascii="Gill Sans Nova Cond Lt" w:eastAsia="Times New Roman" w:hAnsi="Gill Sans Nova Cond Lt"/>
                <w:bCs/>
                <w:color w:val="000000"/>
                <w:szCs w:val="28"/>
              </w:rPr>
              <w:t xml:space="preserve">izmaiņas % pret iepriekšējā gada atbilstošo periodu </w:t>
            </w:r>
          </w:p>
        </w:tc>
      </w:tr>
      <w:tr w:rsidR="00D3067F" w:rsidRPr="003D1329" w14:paraId="221DA00E" w14:textId="77777777" w:rsidTr="00D3067F">
        <w:trPr>
          <w:trHeight w:val="2525"/>
        </w:trPr>
        <w:tc>
          <w:tcPr>
            <w:tcW w:w="5318" w:type="dxa"/>
            <w:shd w:val="clear" w:color="auto" w:fill="F2F2F2" w:themeFill="background1" w:themeFillShade="F2"/>
          </w:tcPr>
          <w:p w14:paraId="4DF098AA" w14:textId="77777777" w:rsidR="00D3067F" w:rsidRPr="003D1329" w:rsidRDefault="00D3067F" w:rsidP="00D3067F">
            <w:pPr>
              <w:spacing w:after="120"/>
              <w:rPr>
                <w:rFonts w:ascii="Gill Sans Nova Cond Lt" w:eastAsia="Times New Roman" w:hAnsi="Gill Sans Nova Cond Lt"/>
                <w:szCs w:val="24"/>
              </w:rPr>
            </w:pPr>
            <w:r w:rsidRPr="003D1329">
              <w:rPr>
                <w:rFonts w:ascii="Gill Sans Nova Cond Lt" w:eastAsia="Times New Roman" w:hAnsi="Gill Sans Nova Cond Lt"/>
                <w:noProof/>
                <w:sz w:val="32"/>
                <w:szCs w:val="32"/>
                <w:lang w:eastAsia="lv-LV"/>
              </w:rPr>
              <w:drawing>
                <wp:inline distT="0" distB="0" distL="0" distR="0" wp14:anchorId="6591FAF2" wp14:editId="5BC62CB5">
                  <wp:extent cx="3239770" cy="1904365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5DBD7010" w14:textId="7ABE4CE8" w:rsidR="00A727BF" w:rsidRDefault="00DA66E6" w:rsidP="00DA66E6">
      <w:pPr>
        <w:spacing w:before="80" w:after="80"/>
        <w:jc w:val="both"/>
        <w:rPr>
          <w:rFonts w:ascii="Garamond" w:hAnsi="Garamond"/>
          <w:szCs w:val="24"/>
        </w:rPr>
      </w:pPr>
      <w:r w:rsidRPr="00D05A48">
        <w:rPr>
          <w:rFonts w:ascii="Garamond" w:hAnsi="Garamond"/>
          <w:szCs w:val="24"/>
        </w:rPr>
        <w:t xml:space="preserve">Saskaņā ar Centrālās statistikas </w:t>
      </w:r>
      <w:r w:rsidR="00546108">
        <w:rPr>
          <w:rFonts w:ascii="Garamond" w:hAnsi="Garamond"/>
          <w:szCs w:val="24"/>
        </w:rPr>
        <w:t xml:space="preserve">pārvaldes </w:t>
      </w:r>
      <w:r w:rsidRPr="00D05A48">
        <w:rPr>
          <w:rFonts w:ascii="Garamond" w:hAnsi="Garamond"/>
          <w:szCs w:val="24"/>
        </w:rPr>
        <w:t xml:space="preserve">datiem </w:t>
      </w:r>
      <w:r w:rsidR="00A45B8D">
        <w:rPr>
          <w:rFonts w:ascii="Garamond" w:hAnsi="Garamond"/>
          <w:szCs w:val="24"/>
        </w:rPr>
        <w:t>šogad 2</w:t>
      </w:r>
      <w:r w:rsidRPr="00D05A48">
        <w:rPr>
          <w:rFonts w:ascii="Garamond" w:hAnsi="Garamond"/>
          <w:szCs w:val="24"/>
        </w:rPr>
        <w:t>.ceturksnī IKP salīdzināmās cenās bija par 0,</w:t>
      </w:r>
      <w:r w:rsidR="00A45B8D">
        <w:rPr>
          <w:rFonts w:ascii="Garamond" w:hAnsi="Garamond"/>
          <w:szCs w:val="24"/>
        </w:rPr>
        <w:t>5</w:t>
      </w:r>
      <w:r w:rsidRPr="00D05A48">
        <w:rPr>
          <w:rFonts w:ascii="Garamond" w:hAnsi="Garamond"/>
          <w:szCs w:val="24"/>
        </w:rPr>
        <w:t xml:space="preserve">% </w:t>
      </w:r>
      <w:r w:rsidR="00A45B8D">
        <w:rPr>
          <w:rFonts w:ascii="Garamond" w:hAnsi="Garamond"/>
          <w:szCs w:val="24"/>
        </w:rPr>
        <w:t xml:space="preserve">mazāks </w:t>
      </w:r>
      <w:r w:rsidRPr="00D05A48">
        <w:rPr>
          <w:rFonts w:ascii="Garamond" w:hAnsi="Garamond"/>
          <w:szCs w:val="24"/>
        </w:rPr>
        <w:t xml:space="preserve">nekā </w:t>
      </w:r>
      <w:r w:rsidR="007C03DF">
        <w:rPr>
          <w:rFonts w:ascii="Garamond" w:hAnsi="Garamond"/>
          <w:szCs w:val="24"/>
        </w:rPr>
        <w:t xml:space="preserve">pirms gada. </w:t>
      </w:r>
      <w:r w:rsidR="00A45B8D" w:rsidRPr="00A45B8D">
        <w:rPr>
          <w:rFonts w:ascii="Garamond" w:hAnsi="Garamond"/>
          <w:szCs w:val="24"/>
        </w:rPr>
        <w:t xml:space="preserve">Ekonomiku </w:t>
      </w:r>
      <w:r w:rsidR="00A45B8D">
        <w:rPr>
          <w:rFonts w:ascii="Garamond" w:hAnsi="Garamond"/>
          <w:szCs w:val="24"/>
        </w:rPr>
        <w:t xml:space="preserve">turpina </w:t>
      </w:r>
      <w:r w:rsidR="00A45B8D" w:rsidRPr="00A45B8D">
        <w:rPr>
          <w:rFonts w:ascii="Garamond" w:hAnsi="Garamond"/>
          <w:szCs w:val="24"/>
        </w:rPr>
        <w:t>ietekmē</w:t>
      </w:r>
      <w:r w:rsidR="00A45B8D">
        <w:rPr>
          <w:rFonts w:ascii="Garamond" w:hAnsi="Garamond"/>
          <w:szCs w:val="24"/>
        </w:rPr>
        <w:t>t</w:t>
      </w:r>
      <w:r w:rsidR="00A45B8D" w:rsidRPr="00A45B8D">
        <w:rPr>
          <w:rFonts w:ascii="Garamond" w:hAnsi="Garamond"/>
          <w:szCs w:val="24"/>
        </w:rPr>
        <w:t xml:space="preserve"> ģeopolitiskā situācija</w:t>
      </w:r>
      <w:r w:rsidR="00A45B8D">
        <w:rPr>
          <w:rFonts w:ascii="Garamond" w:hAnsi="Garamond"/>
          <w:szCs w:val="24"/>
        </w:rPr>
        <w:t xml:space="preserve"> un nenoteiktība</w:t>
      </w:r>
      <w:r w:rsidR="00A45B8D" w:rsidRPr="00A45B8D">
        <w:rPr>
          <w:rFonts w:ascii="Garamond" w:hAnsi="Garamond"/>
          <w:szCs w:val="24"/>
        </w:rPr>
        <w:t xml:space="preserve">, joprojām augstās cenas, </w:t>
      </w:r>
      <w:r w:rsidR="00A45B8D">
        <w:rPr>
          <w:rFonts w:ascii="Garamond" w:hAnsi="Garamond"/>
          <w:szCs w:val="24"/>
        </w:rPr>
        <w:t>kā arī procentu</w:t>
      </w:r>
      <w:r w:rsidR="00A45B8D" w:rsidRPr="00A45B8D">
        <w:rPr>
          <w:rFonts w:ascii="Garamond" w:hAnsi="Garamond"/>
          <w:szCs w:val="24"/>
        </w:rPr>
        <w:t xml:space="preserve"> likmju celšana </w:t>
      </w:r>
      <w:proofErr w:type="spellStart"/>
      <w:r w:rsidR="00A45B8D" w:rsidRPr="00A45B8D">
        <w:rPr>
          <w:rFonts w:ascii="Garamond" w:hAnsi="Garamond"/>
          <w:szCs w:val="24"/>
        </w:rPr>
        <w:t>Eirozonā</w:t>
      </w:r>
      <w:proofErr w:type="spellEnd"/>
      <w:r w:rsidR="0082018E">
        <w:rPr>
          <w:rFonts w:ascii="Garamond" w:hAnsi="Garamond"/>
          <w:szCs w:val="24"/>
        </w:rPr>
        <w:t>.</w:t>
      </w:r>
      <w:r w:rsidR="00A45B8D">
        <w:rPr>
          <w:rFonts w:ascii="Garamond" w:hAnsi="Garamond"/>
          <w:szCs w:val="24"/>
        </w:rPr>
        <w:t xml:space="preserve"> Kopumā šī gada 1.pusgadā IKP bija par 0,1% lielāks nekā pirms gada.</w:t>
      </w:r>
    </w:p>
    <w:p w14:paraId="574E143A" w14:textId="63F61057" w:rsidR="00477026" w:rsidRPr="00D05A48" w:rsidRDefault="001C71EE" w:rsidP="00477026">
      <w:pPr>
        <w:pStyle w:val="NormalWeb"/>
        <w:shd w:val="clear" w:color="auto" w:fill="FFFFFF"/>
        <w:spacing w:before="80" w:beforeAutospacing="0" w:after="80" w:afterAutospacing="0"/>
        <w:jc w:val="both"/>
        <w:rPr>
          <w:rFonts w:ascii="Garamond" w:eastAsiaTheme="minorHAnsi" w:hAnsi="Garamond" w:cstheme="minorBidi"/>
          <w:lang w:eastAsia="en-US"/>
        </w:rPr>
      </w:pPr>
      <w:r>
        <w:rPr>
          <w:rFonts w:ascii="Garamond" w:eastAsiaTheme="minorHAnsi" w:hAnsi="Garamond" w:cstheme="minorBidi"/>
          <w:lang w:eastAsia="en-US"/>
        </w:rPr>
        <w:t>Augstais cenu līmenis turpina ietekmēt mājsaimniecību patēriņu. Lai arī bruto darba samaksa šī gada 2.ceturksnī bija par 12% lielāka nekā pirms gada, tas vien par 0,1 procentpunktu apsteidza inflāciju. Šogad 2</w:t>
      </w:r>
      <w:r w:rsidR="00477026" w:rsidRPr="00D05A48">
        <w:rPr>
          <w:rFonts w:ascii="Garamond" w:eastAsiaTheme="minorHAnsi" w:hAnsi="Garamond" w:cstheme="minorBidi"/>
          <w:lang w:eastAsia="en-US"/>
        </w:rPr>
        <w:t xml:space="preserve">.ceturksnī </w:t>
      </w:r>
      <w:r w:rsidR="00FA63DA" w:rsidRPr="00D05A48">
        <w:rPr>
          <w:rFonts w:ascii="Garamond" w:eastAsiaTheme="minorHAnsi" w:hAnsi="Garamond" w:cstheme="minorBidi"/>
          <w:lang w:eastAsia="en-US"/>
        </w:rPr>
        <w:t xml:space="preserve">privātais </w:t>
      </w:r>
      <w:r w:rsidR="00477026" w:rsidRPr="00D05A48">
        <w:rPr>
          <w:rFonts w:ascii="Garamond" w:eastAsiaTheme="minorHAnsi" w:hAnsi="Garamond" w:cstheme="minorBidi"/>
          <w:lang w:eastAsia="en-US"/>
        </w:rPr>
        <w:t xml:space="preserve">patēriņš bija par </w:t>
      </w:r>
      <w:r>
        <w:rPr>
          <w:rFonts w:ascii="Garamond" w:eastAsiaTheme="minorHAnsi" w:hAnsi="Garamond" w:cstheme="minorBidi"/>
          <w:lang w:eastAsia="en-US"/>
        </w:rPr>
        <w:t>1</w:t>
      </w:r>
      <w:r w:rsidR="00477026" w:rsidRPr="00D05A48">
        <w:rPr>
          <w:rFonts w:ascii="Garamond" w:eastAsiaTheme="minorHAnsi" w:hAnsi="Garamond" w:cstheme="minorBidi"/>
          <w:lang w:eastAsia="en-US"/>
        </w:rPr>
        <w:t>,</w:t>
      </w:r>
      <w:r>
        <w:rPr>
          <w:rFonts w:ascii="Garamond" w:eastAsiaTheme="minorHAnsi" w:hAnsi="Garamond" w:cstheme="minorBidi"/>
          <w:lang w:eastAsia="en-US"/>
        </w:rPr>
        <w:t>2</w:t>
      </w:r>
      <w:r w:rsidR="00477026" w:rsidRPr="00D05A48">
        <w:rPr>
          <w:rFonts w:ascii="Garamond" w:eastAsiaTheme="minorHAnsi" w:hAnsi="Garamond" w:cstheme="minorBidi"/>
          <w:lang w:eastAsia="en-US"/>
        </w:rPr>
        <w:t xml:space="preserve">% </w:t>
      </w:r>
      <w:r>
        <w:rPr>
          <w:rFonts w:ascii="Garamond" w:eastAsiaTheme="minorHAnsi" w:hAnsi="Garamond" w:cstheme="minorBidi"/>
          <w:lang w:eastAsia="en-US"/>
        </w:rPr>
        <w:t xml:space="preserve">mazāks </w:t>
      </w:r>
      <w:r w:rsidR="00477026" w:rsidRPr="00D05A48">
        <w:rPr>
          <w:rFonts w:ascii="Garamond" w:eastAsiaTheme="minorHAnsi" w:hAnsi="Garamond" w:cstheme="minorBidi"/>
          <w:lang w:eastAsia="en-US"/>
        </w:rPr>
        <w:t>nekā pirms gada</w:t>
      </w:r>
      <w:r w:rsidR="007C03DF">
        <w:rPr>
          <w:rFonts w:ascii="Garamond" w:eastAsiaTheme="minorHAnsi" w:hAnsi="Garamond" w:cstheme="minorBidi"/>
          <w:lang w:eastAsia="en-US"/>
        </w:rPr>
        <w:t>.</w:t>
      </w:r>
    </w:p>
    <w:p w14:paraId="199EE8D4" w14:textId="6AA2113A" w:rsidR="007C03DF" w:rsidRDefault="001C71EE" w:rsidP="00D668F0">
      <w:pPr>
        <w:spacing w:before="80" w:after="8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Līdzīgi kā gada sākumā arī 2</w:t>
      </w:r>
      <w:r w:rsidR="006427E0">
        <w:rPr>
          <w:rFonts w:ascii="Garamond" w:hAnsi="Garamond"/>
          <w:szCs w:val="24"/>
        </w:rPr>
        <w:t>.ceturksnī</w:t>
      </w:r>
      <w:r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pieaugums</w:t>
      </w:r>
      <w:r w:rsidR="006427E0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b</w:t>
      </w:r>
      <w:r w:rsidR="006427E0">
        <w:rPr>
          <w:rFonts w:ascii="Garamond" w:hAnsi="Garamond"/>
          <w:szCs w:val="24"/>
        </w:rPr>
        <w:t>ij</w:t>
      </w:r>
      <w:r>
        <w:rPr>
          <w:rFonts w:ascii="Garamond" w:hAnsi="Garamond"/>
          <w:szCs w:val="24"/>
        </w:rPr>
        <w:t xml:space="preserve">a </w:t>
      </w:r>
      <w:r w:rsidR="00FA63DA" w:rsidRPr="00D05A48">
        <w:rPr>
          <w:rFonts w:ascii="Garamond" w:hAnsi="Garamond"/>
          <w:szCs w:val="24"/>
        </w:rPr>
        <w:t>investīcijā</w:t>
      </w:r>
      <w:r>
        <w:rPr>
          <w:rFonts w:ascii="Garamond" w:hAnsi="Garamond"/>
          <w:szCs w:val="24"/>
        </w:rPr>
        <w:t xml:space="preserve">m, ko noteica būvniecības nozares pieaugums. </w:t>
      </w:r>
      <w:r w:rsidR="00F56670">
        <w:rPr>
          <w:rFonts w:ascii="Garamond" w:hAnsi="Garamond"/>
          <w:szCs w:val="24"/>
        </w:rPr>
        <w:t xml:space="preserve">Ieguldījumi bruto pamatkapitāla veidošanā </w:t>
      </w:r>
      <w:r w:rsidR="00A727BF">
        <w:rPr>
          <w:rFonts w:ascii="Garamond" w:hAnsi="Garamond"/>
          <w:szCs w:val="24"/>
        </w:rPr>
        <w:t xml:space="preserve">gada griezumā </w:t>
      </w:r>
      <w:r w:rsidR="00477026" w:rsidRPr="00D05A48">
        <w:rPr>
          <w:rFonts w:ascii="Garamond" w:hAnsi="Garamond"/>
          <w:szCs w:val="24"/>
        </w:rPr>
        <w:t xml:space="preserve">palielinājās par </w:t>
      </w:r>
      <w:r>
        <w:rPr>
          <w:rFonts w:ascii="Garamond" w:hAnsi="Garamond"/>
          <w:szCs w:val="24"/>
        </w:rPr>
        <w:t>5</w:t>
      </w:r>
      <w:r w:rsidR="00477026" w:rsidRPr="00D05A48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>1</w:t>
      </w:r>
      <w:r w:rsidR="00477026" w:rsidRPr="00D05A48">
        <w:rPr>
          <w:rFonts w:ascii="Garamond" w:hAnsi="Garamond"/>
          <w:szCs w:val="24"/>
        </w:rPr>
        <w:t>%</w:t>
      </w:r>
      <w:r w:rsidR="00A727BF">
        <w:rPr>
          <w:rFonts w:ascii="Garamond" w:hAnsi="Garamond"/>
          <w:szCs w:val="24"/>
        </w:rPr>
        <w:t xml:space="preserve">. </w:t>
      </w:r>
      <w:r w:rsidR="007C03DF" w:rsidRPr="007C03DF">
        <w:rPr>
          <w:rFonts w:ascii="Garamond" w:hAnsi="Garamond"/>
          <w:szCs w:val="24"/>
        </w:rPr>
        <w:t xml:space="preserve">Mājokļos, ēkās un būvēs investīcijas </w:t>
      </w:r>
      <w:r w:rsidR="00F56670">
        <w:rPr>
          <w:rFonts w:ascii="Garamond" w:hAnsi="Garamond"/>
          <w:szCs w:val="24"/>
        </w:rPr>
        <w:t xml:space="preserve">pieauga </w:t>
      </w:r>
      <w:r w:rsidR="007C03DF" w:rsidRPr="007C03DF">
        <w:rPr>
          <w:rFonts w:ascii="Garamond" w:hAnsi="Garamond"/>
          <w:szCs w:val="24"/>
        </w:rPr>
        <w:t>par 1</w:t>
      </w:r>
      <w:r>
        <w:rPr>
          <w:rFonts w:ascii="Garamond" w:hAnsi="Garamond"/>
          <w:szCs w:val="24"/>
        </w:rPr>
        <w:t>5,3</w:t>
      </w:r>
      <w:r w:rsidR="007C03DF" w:rsidRPr="007C03DF">
        <w:rPr>
          <w:rFonts w:ascii="Garamond" w:hAnsi="Garamond"/>
          <w:szCs w:val="24"/>
        </w:rPr>
        <w:t>%</w:t>
      </w:r>
      <w:r w:rsidR="00F56670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szCs w:val="24"/>
        </w:rPr>
        <w:t xml:space="preserve">savukārt </w:t>
      </w:r>
      <w:r w:rsidR="007C03DF">
        <w:rPr>
          <w:rFonts w:ascii="Garamond" w:hAnsi="Garamond"/>
          <w:szCs w:val="24"/>
        </w:rPr>
        <w:t>ieguldījumi m</w:t>
      </w:r>
      <w:r w:rsidR="007C03DF" w:rsidRPr="007C03DF">
        <w:rPr>
          <w:rFonts w:ascii="Garamond" w:hAnsi="Garamond"/>
          <w:szCs w:val="24"/>
        </w:rPr>
        <w:t>ašīnās un iekārtās</w:t>
      </w:r>
      <w:r w:rsidR="007C03DF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saruka </w:t>
      </w:r>
      <w:r w:rsidR="007C03DF" w:rsidRPr="007C03DF">
        <w:rPr>
          <w:rFonts w:ascii="Garamond" w:hAnsi="Garamond"/>
          <w:szCs w:val="24"/>
        </w:rPr>
        <w:t xml:space="preserve">par </w:t>
      </w:r>
      <w:r>
        <w:rPr>
          <w:rFonts w:ascii="Garamond" w:hAnsi="Garamond"/>
          <w:szCs w:val="24"/>
        </w:rPr>
        <w:t>1</w:t>
      </w:r>
      <w:r w:rsidR="00F56670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>8</w:t>
      </w:r>
      <w:r w:rsidR="007C03DF" w:rsidRPr="007C03DF">
        <w:rPr>
          <w:rFonts w:ascii="Garamond" w:hAnsi="Garamond"/>
          <w:szCs w:val="24"/>
        </w:rPr>
        <w:t>%</w:t>
      </w:r>
      <w:r>
        <w:rPr>
          <w:rFonts w:ascii="Garamond" w:hAnsi="Garamond"/>
          <w:szCs w:val="24"/>
        </w:rPr>
        <w:t xml:space="preserve">, bet ieguldījumi </w:t>
      </w:r>
      <w:r w:rsidR="007C03DF">
        <w:rPr>
          <w:rFonts w:ascii="Garamond" w:hAnsi="Garamond"/>
          <w:szCs w:val="24"/>
        </w:rPr>
        <w:t xml:space="preserve"> </w:t>
      </w:r>
      <w:r w:rsidR="007C03DF" w:rsidRPr="007C03DF">
        <w:rPr>
          <w:rFonts w:ascii="Garamond" w:hAnsi="Garamond"/>
          <w:szCs w:val="24"/>
        </w:rPr>
        <w:t>intelektuālā īpašuma produktos</w:t>
      </w:r>
      <w:r>
        <w:rPr>
          <w:rFonts w:ascii="Garamond" w:hAnsi="Garamond"/>
          <w:szCs w:val="24"/>
        </w:rPr>
        <w:t xml:space="preserve"> pieauga vien par 0,1</w:t>
      </w:r>
      <w:r w:rsidR="007C03DF">
        <w:rPr>
          <w:rFonts w:ascii="Garamond" w:hAnsi="Garamond"/>
          <w:szCs w:val="24"/>
        </w:rPr>
        <w:t> procent</w:t>
      </w:r>
      <w:r>
        <w:rPr>
          <w:rFonts w:ascii="Garamond" w:hAnsi="Garamond"/>
          <w:szCs w:val="24"/>
        </w:rPr>
        <w:t>u</w:t>
      </w:r>
      <w:r w:rsidR="007C03DF">
        <w:rPr>
          <w:rFonts w:ascii="Garamond" w:hAnsi="Garamond"/>
          <w:szCs w:val="24"/>
        </w:rPr>
        <w:t>.</w:t>
      </w:r>
    </w:p>
    <w:p w14:paraId="09CC9856" w14:textId="2C46487E" w:rsidR="0023068A" w:rsidRDefault="00DE017D" w:rsidP="00D668F0">
      <w:pPr>
        <w:spacing w:before="80" w:after="80"/>
        <w:jc w:val="both"/>
        <w:rPr>
          <w:rFonts w:ascii="Garamond" w:hAnsi="Garamond"/>
          <w:szCs w:val="24"/>
        </w:rPr>
      </w:pPr>
      <w:r w:rsidRPr="00D05A48">
        <w:rPr>
          <w:rFonts w:ascii="Garamond" w:hAnsi="Garamond"/>
          <w:szCs w:val="24"/>
        </w:rPr>
        <w:t xml:space="preserve">Preču un pakalpojumu eksporta apjomi </w:t>
      </w:r>
      <w:r w:rsidR="001C71EE">
        <w:rPr>
          <w:rFonts w:ascii="Garamond" w:hAnsi="Garamond"/>
          <w:szCs w:val="24"/>
        </w:rPr>
        <w:t>2</w:t>
      </w:r>
      <w:r w:rsidRPr="00D05A48">
        <w:rPr>
          <w:rFonts w:ascii="Garamond" w:hAnsi="Garamond"/>
          <w:szCs w:val="24"/>
        </w:rPr>
        <w:t xml:space="preserve">.ceturksnī bija par </w:t>
      </w:r>
      <w:r w:rsidR="001C71EE">
        <w:rPr>
          <w:rFonts w:ascii="Garamond" w:hAnsi="Garamond"/>
          <w:szCs w:val="24"/>
        </w:rPr>
        <w:t>1</w:t>
      </w:r>
      <w:r w:rsidRPr="00D05A48">
        <w:rPr>
          <w:rFonts w:ascii="Garamond" w:hAnsi="Garamond"/>
          <w:szCs w:val="24"/>
        </w:rPr>
        <w:t>,</w:t>
      </w:r>
      <w:r w:rsidR="001C71EE">
        <w:rPr>
          <w:rFonts w:ascii="Garamond" w:hAnsi="Garamond"/>
          <w:szCs w:val="24"/>
        </w:rPr>
        <w:t>5</w:t>
      </w:r>
      <w:r w:rsidRPr="00D05A48">
        <w:rPr>
          <w:rFonts w:ascii="Garamond" w:hAnsi="Garamond"/>
          <w:szCs w:val="24"/>
        </w:rPr>
        <w:t xml:space="preserve">% </w:t>
      </w:r>
      <w:r w:rsidR="00F56670">
        <w:rPr>
          <w:rFonts w:ascii="Garamond" w:hAnsi="Garamond"/>
          <w:szCs w:val="24"/>
        </w:rPr>
        <w:t xml:space="preserve">mazāki </w:t>
      </w:r>
      <w:r w:rsidRPr="00D05A48">
        <w:rPr>
          <w:rFonts w:ascii="Garamond" w:hAnsi="Garamond"/>
          <w:szCs w:val="24"/>
        </w:rPr>
        <w:t xml:space="preserve">nekā </w:t>
      </w:r>
      <w:r w:rsidR="00A727BF">
        <w:rPr>
          <w:rFonts w:ascii="Garamond" w:hAnsi="Garamond"/>
          <w:szCs w:val="24"/>
        </w:rPr>
        <w:t>pirms gada</w:t>
      </w:r>
      <w:r w:rsidR="0023068A">
        <w:rPr>
          <w:rFonts w:ascii="Garamond" w:hAnsi="Garamond"/>
          <w:szCs w:val="24"/>
        </w:rPr>
        <w:t xml:space="preserve">. </w:t>
      </w:r>
      <w:r w:rsidR="001C71EE">
        <w:rPr>
          <w:rFonts w:ascii="Garamond" w:hAnsi="Garamond"/>
          <w:szCs w:val="24"/>
        </w:rPr>
        <w:t>T</w:t>
      </w:r>
      <w:r w:rsidR="00A727BF">
        <w:rPr>
          <w:rFonts w:ascii="Garamond" w:hAnsi="Garamond"/>
          <w:szCs w:val="24"/>
        </w:rPr>
        <w:t xml:space="preserve">urpina </w:t>
      </w:r>
      <w:r w:rsidRPr="00D05A48">
        <w:rPr>
          <w:rFonts w:ascii="Garamond" w:hAnsi="Garamond"/>
          <w:szCs w:val="24"/>
        </w:rPr>
        <w:t>atkop</w:t>
      </w:r>
      <w:r w:rsidR="00A727BF">
        <w:rPr>
          <w:rFonts w:ascii="Garamond" w:hAnsi="Garamond"/>
          <w:szCs w:val="24"/>
        </w:rPr>
        <w:t xml:space="preserve">ties </w:t>
      </w:r>
      <w:r w:rsidRPr="00D05A48">
        <w:rPr>
          <w:rFonts w:ascii="Garamond" w:hAnsi="Garamond"/>
          <w:szCs w:val="24"/>
        </w:rPr>
        <w:t xml:space="preserve">pakalpojumu eksports, kas </w:t>
      </w:r>
      <w:r w:rsidR="00A727BF">
        <w:rPr>
          <w:rFonts w:ascii="Garamond" w:hAnsi="Garamond"/>
          <w:szCs w:val="24"/>
        </w:rPr>
        <w:t xml:space="preserve">šogad </w:t>
      </w:r>
      <w:r w:rsidR="001C71EE">
        <w:rPr>
          <w:rFonts w:ascii="Garamond" w:hAnsi="Garamond"/>
          <w:szCs w:val="24"/>
        </w:rPr>
        <w:t>2</w:t>
      </w:r>
      <w:r w:rsidR="00A727BF">
        <w:rPr>
          <w:rFonts w:ascii="Garamond" w:hAnsi="Garamond"/>
          <w:szCs w:val="24"/>
        </w:rPr>
        <w:t xml:space="preserve">.ceturksnī </w:t>
      </w:r>
      <w:r w:rsidR="0023068A">
        <w:rPr>
          <w:rFonts w:ascii="Garamond" w:hAnsi="Garamond"/>
          <w:szCs w:val="24"/>
        </w:rPr>
        <w:t xml:space="preserve"> </w:t>
      </w:r>
      <w:r w:rsidRPr="00D05A48">
        <w:rPr>
          <w:rFonts w:ascii="Garamond" w:hAnsi="Garamond"/>
          <w:szCs w:val="24"/>
        </w:rPr>
        <w:t xml:space="preserve">bija par </w:t>
      </w:r>
      <w:r w:rsidR="001C71EE">
        <w:rPr>
          <w:rFonts w:ascii="Garamond" w:hAnsi="Garamond"/>
          <w:szCs w:val="24"/>
        </w:rPr>
        <w:t>9,8</w:t>
      </w:r>
      <w:r w:rsidR="0023068A">
        <w:rPr>
          <w:rFonts w:ascii="Garamond" w:hAnsi="Garamond"/>
          <w:szCs w:val="24"/>
        </w:rPr>
        <w:t>%</w:t>
      </w:r>
      <w:r w:rsidRPr="00D05A48">
        <w:rPr>
          <w:rFonts w:ascii="Garamond" w:hAnsi="Garamond"/>
          <w:szCs w:val="24"/>
        </w:rPr>
        <w:t xml:space="preserve"> lielāks nekā pirms gada.</w:t>
      </w:r>
      <w:r w:rsidR="001C71EE">
        <w:rPr>
          <w:rFonts w:ascii="Garamond" w:hAnsi="Garamond"/>
          <w:szCs w:val="24"/>
        </w:rPr>
        <w:t xml:space="preserve"> Pieaugumu sekmēja </w:t>
      </w:r>
      <w:r w:rsidR="00B0204D">
        <w:rPr>
          <w:rFonts w:ascii="Garamond" w:hAnsi="Garamond"/>
          <w:szCs w:val="24"/>
        </w:rPr>
        <w:t xml:space="preserve">gaisa </w:t>
      </w:r>
      <w:r w:rsidR="001C71EE" w:rsidRPr="001C71EE">
        <w:rPr>
          <w:rFonts w:ascii="Garamond" w:hAnsi="Garamond"/>
          <w:szCs w:val="24"/>
        </w:rPr>
        <w:t>transporta pakalpojumu</w:t>
      </w:r>
      <w:r w:rsidR="001C71EE">
        <w:rPr>
          <w:rFonts w:ascii="Garamond" w:hAnsi="Garamond"/>
          <w:szCs w:val="24"/>
        </w:rPr>
        <w:t xml:space="preserve">, kā arī </w:t>
      </w:r>
      <w:r w:rsidR="001C71EE" w:rsidRPr="001C71EE">
        <w:rPr>
          <w:rFonts w:ascii="Garamond" w:hAnsi="Garamond"/>
          <w:szCs w:val="24"/>
        </w:rPr>
        <w:t>profesionāl</w:t>
      </w:r>
      <w:r w:rsidR="001C71EE">
        <w:rPr>
          <w:rFonts w:ascii="Garamond" w:hAnsi="Garamond"/>
          <w:szCs w:val="24"/>
        </w:rPr>
        <w:t xml:space="preserve">o </w:t>
      </w:r>
      <w:r w:rsidR="001C71EE" w:rsidRPr="001C71EE">
        <w:rPr>
          <w:rFonts w:ascii="Garamond" w:hAnsi="Garamond"/>
          <w:szCs w:val="24"/>
        </w:rPr>
        <w:t>un tehnisk</w:t>
      </w:r>
      <w:r w:rsidR="001C71EE">
        <w:rPr>
          <w:rFonts w:ascii="Garamond" w:hAnsi="Garamond"/>
          <w:szCs w:val="24"/>
        </w:rPr>
        <w:t xml:space="preserve">o </w:t>
      </w:r>
      <w:r w:rsidR="001C71EE" w:rsidRPr="001C71EE">
        <w:rPr>
          <w:rFonts w:ascii="Garamond" w:hAnsi="Garamond"/>
          <w:szCs w:val="24"/>
        </w:rPr>
        <w:t>saimnieciskās darbības pakalpojum</w:t>
      </w:r>
      <w:r w:rsidR="001C71EE">
        <w:rPr>
          <w:rFonts w:ascii="Garamond" w:hAnsi="Garamond"/>
          <w:szCs w:val="24"/>
        </w:rPr>
        <w:t xml:space="preserve">u un </w:t>
      </w:r>
      <w:proofErr w:type="spellStart"/>
      <w:r w:rsidR="001C71EE" w:rsidRPr="001C71EE">
        <w:rPr>
          <w:rFonts w:ascii="Garamond" w:hAnsi="Garamond"/>
          <w:szCs w:val="24"/>
        </w:rPr>
        <w:t>datorpakalpojumu</w:t>
      </w:r>
      <w:proofErr w:type="spellEnd"/>
      <w:r w:rsidR="001C71EE" w:rsidRPr="001C71EE">
        <w:rPr>
          <w:rFonts w:ascii="Garamond" w:hAnsi="Garamond"/>
          <w:szCs w:val="24"/>
        </w:rPr>
        <w:t xml:space="preserve"> eksports</w:t>
      </w:r>
      <w:r w:rsidR="001C71EE">
        <w:rPr>
          <w:rFonts w:ascii="Garamond" w:hAnsi="Garamond"/>
          <w:szCs w:val="24"/>
        </w:rPr>
        <w:t>.</w:t>
      </w:r>
      <w:r w:rsidR="0023068A">
        <w:rPr>
          <w:rFonts w:ascii="Garamond" w:hAnsi="Garamond"/>
          <w:szCs w:val="24"/>
        </w:rPr>
        <w:t xml:space="preserve"> P</w:t>
      </w:r>
      <w:r w:rsidRPr="00D05A48">
        <w:rPr>
          <w:rFonts w:ascii="Garamond" w:hAnsi="Garamond"/>
          <w:szCs w:val="24"/>
        </w:rPr>
        <w:t>reču eksport</w:t>
      </w:r>
      <w:r w:rsidR="00A727BF">
        <w:rPr>
          <w:rFonts w:ascii="Garamond" w:hAnsi="Garamond"/>
          <w:szCs w:val="24"/>
        </w:rPr>
        <w:t xml:space="preserve">a apjomi salīdzināmās cenās </w:t>
      </w:r>
      <w:r w:rsidR="001C71EE">
        <w:rPr>
          <w:rFonts w:ascii="Garamond" w:hAnsi="Garamond"/>
          <w:szCs w:val="24"/>
        </w:rPr>
        <w:t>2</w:t>
      </w:r>
      <w:r w:rsidR="00A727BF">
        <w:rPr>
          <w:rFonts w:ascii="Garamond" w:hAnsi="Garamond"/>
          <w:szCs w:val="24"/>
        </w:rPr>
        <w:t xml:space="preserve">.ceturksnī </w:t>
      </w:r>
      <w:r w:rsidR="0082018E">
        <w:rPr>
          <w:rFonts w:ascii="Garamond" w:hAnsi="Garamond"/>
          <w:szCs w:val="24"/>
        </w:rPr>
        <w:t xml:space="preserve">saruka </w:t>
      </w:r>
      <w:r w:rsidR="0023068A">
        <w:rPr>
          <w:rFonts w:ascii="Garamond" w:hAnsi="Garamond"/>
          <w:szCs w:val="24"/>
        </w:rPr>
        <w:t xml:space="preserve">par </w:t>
      </w:r>
      <w:r w:rsidR="001C71EE">
        <w:rPr>
          <w:rFonts w:ascii="Garamond" w:hAnsi="Garamond"/>
          <w:szCs w:val="24"/>
        </w:rPr>
        <w:t>5</w:t>
      </w:r>
      <w:r w:rsidR="0023068A">
        <w:rPr>
          <w:rFonts w:ascii="Garamond" w:hAnsi="Garamond"/>
          <w:szCs w:val="24"/>
        </w:rPr>
        <w:t>,</w:t>
      </w:r>
      <w:r w:rsidR="001C71EE">
        <w:rPr>
          <w:rFonts w:ascii="Garamond" w:hAnsi="Garamond"/>
          <w:szCs w:val="24"/>
        </w:rPr>
        <w:t>4</w:t>
      </w:r>
      <w:r w:rsidR="0023068A">
        <w:rPr>
          <w:rFonts w:ascii="Garamond" w:hAnsi="Garamond"/>
          <w:szCs w:val="24"/>
        </w:rPr>
        <w:t xml:space="preserve">%. </w:t>
      </w:r>
      <w:r w:rsidR="0023068A" w:rsidRPr="0023068A">
        <w:rPr>
          <w:rFonts w:ascii="Garamond" w:hAnsi="Garamond"/>
          <w:szCs w:val="24"/>
        </w:rPr>
        <w:t>Galvenās eksporta preces bija koks un koka izstrādājumi</w:t>
      </w:r>
      <w:r w:rsidR="0023068A">
        <w:rPr>
          <w:rFonts w:ascii="Garamond" w:hAnsi="Garamond"/>
          <w:szCs w:val="24"/>
        </w:rPr>
        <w:t xml:space="preserve">, </w:t>
      </w:r>
      <w:r w:rsidR="00B0204D" w:rsidRPr="00B0204D">
        <w:rPr>
          <w:rFonts w:ascii="Garamond" w:hAnsi="Garamond"/>
          <w:szCs w:val="24"/>
        </w:rPr>
        <w:t>mehānismi un mehāniskas ierīces, kā arī elektroierīces un elektroiekārtas</w:t>
      </w:r>
      <w:r w:rsidR="00B0204D">
        <w:rPr>
          <w:rFonts w:ascii="Garamond" w:hAnsi="Garamond"/>
          <w:szCs w:val="24"/>
        </w:rPr>
        <w:t>.</w:t>
      </w:r>
      <w:r w:rsidR="0023068A">
        <w:rPr>
          <w:rFonts w:ascii="Garamond" w:hAnsi="Garamond"/>
          <w:szCs w:val="24"/>
        </w:rPr>
        <w:t xml:space="preserve"> </w:t>
      </w:r>
      <w:r w:rsidR="00B0204D">
        <w:rPr>
          <w:rFonts w:ascii="Garamond" w:hAnsi="Garamond"/>
          <w:szCs w:val="24"/>
        </w:rPr>
        <w:t>Jāatzīmē, ka preču un pakalpojumu importa apjomi 2.ceturksnī ir samazinājušies straujāk nekā eksports – par 2,9% un 2</w:t>
      </w:r>
      <w:r w:rsidR="00A727BF">
        <w:rPr>
          <w:rFonts w:ascii="Garamond" w:hAnsi="Garamond"/>
          <w:szCs w:val="24"/>
        </w:rPr>
        <w:t xml:space="preserve">.ceturksnī </w:t>
      </w:r>
      <w:r w:rsidR="0023068A">
        <w:rPr>
          <w:rFonts w:ascii="Garamond" w:hAnsi="Garamond"/>
          <w:szCs w:val="24"/>
        </w:rPr>
        <w:t>e</w:t>
      </w:r>
      <w:r w:rsidR="0023068A" w:rsidRPr="0023068A">
        <w:rPr>
          <w:rFonts w:ascii="Garamond" w:hAnsi="Garamond"/>
          <w:szCs w:val="24"/>
        </w:rPr>
        <w:t>ksporta-</w:t>
      </w:r>
      <w:r w:rsidR="0023068A">
        <w:rPr>
          <w:rFonts w:ascii="Garamond" w:hAnsi="Garamond"/>
          <w:szCs w:val="24"/>
        </w:rPr>
        <w:t>i</w:t>
      </w:r>
      <w:r w:rsidR="0023068A" w:rsidRPr="0023068A">
        <w:rPr>
          <w:rFonts w:ascii="Garamond" w:hAnsi="Garamond"/>
          <w:szCs w:val="24"/>
        </w:rPr>
        <w:t>mporta saldo</w:t>
      </w:r>
      <w:r w:rsidR="0023068A">
        <w:rPr>
          <w:rFonts w:ascii="Garamond" w:hAnsi="Garamond"/>
          <w:szCs w:val="24"/>
        </w:rPr>
        <w:t xml:space="preserve"> </w:t>
      </w:r>
      <w:r w:rsidR="00A34C63">
        <w:rPr>
          <w:rFonts w:ascii="Garamond" w:hAnsi="Garamond"/>
          <w:szCs w:val="24"/>
        </w:rPr>
        <w:t xml:space="preserve">faktiskajās cenās </w:t>
      </w:r>
      <w:r w:rsidR="0023068A">
        <w:rPr>
          <w:rFonts w:ascii="Garamond" w:hAnsi="Garamond"/>
          <w:szCs w:val="24"/>
        </w:rPr>
        <w:t xml:space="preserve">bija </w:t>
      </w:r>
      <w:r w:rsidR="0023068A" w:rsidRPr="00F61E28">
        <w:rPr>
          <w:rFonts w:ascii="Garamond" w:hAnsi="Garamond"/>
          <w:szCs w:val="24"/>
        </w:rPr>
        <w:t>-</w:t>
      </w:r>
      <w:r w:rsidR="00B0204D">
        <w:rPr>
          <w:rFonts w:ascii="Garamond" w:hAnsi="Garamond"/>
          <w:szCs w:val="24"/>
        </w:rPr>
        <w:t>3</w:t>
      </w:r>
      <w:r w:rsidR="0023068A" w:rsidRPr="00F61E28">
        <w:rPr>
          <w:rFonts w:ascii="Garamond" w:hAnsi="Garamond"/>
          <w:szCs w:val="24"/>
        </w:rPr>
        <w:t>,</w:t>
      </w:r>
      <w:r w:rsidR="00B0204D">
        <w:rPr>
          <w:rFonts w:ascii="Garamond" w:hAnsi="Garamond"/>
          <w:szCs w:val="24"/>
        </w:rPr>
        <w:t>8</w:t>
      </w:r>
      <w:r w:rsidR="0023068A" w:rsidRPr="00F61E28">
        <w:rPr>
          <w:rFonts w:ascii="Garamond" w:hAnsi="Garamond"/>
          <w:szCs w:val="24"/>
        </w:rPr>
        <w:t>%</w:t>
      </w:r>
      <w:r w:rsidR="0023068A">
        <w:rPr>
          <w:rFonts w:ascii="Garamond" w:hAnsi="Garamond"/>
          <w:szCs w:val="24"/>
        </w:rPr>
        <w:t xml:space="preserve"> no IKP. </w:t>
      </w:r>
    </w:p>
    <w:p w14:paraId="3B78A0F7" w14:textId="1BD595D0" w:rsidR="00B0204D" w:rsidRDefault="00547ECE" w:rsidP="00436D8F">
      <w:pPr>
        <w:spacing w:before="80" w:after="8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</w:t>
      </w:r>
      <w:r w:rsidR="00354F8B" w:rsidRPr="00D05A48">
        <w:rPr>
          <w:rFonts w:ascii="Garamond" w:hAnsi="Garamond"/>
          <w:szCs w:val="24"/>
        </w:rPr>
        <w:t xml:space="preserve">ozaru </w:t>
      </w:r>
      <w:r w:rsidR="005F7826" w:rsidRPr="00D05A48">
        <w:rPr>
          <w:rFonts w:ascii="Garamond" w:hAnsi="Garamond"/>
          <w:szCs w:val="24"/>
        </w:rPr>
        <w:t xml:space="preserve">griezumā kopējā pievienotā vērtība </w:t>
      </w:r>
      <w:r w:rsidR="00B0204D">
        <w:rPr>
          <w:rFonts w:ascii="Garamond" w:hAnsi="Garamond"/>
          <w:szCs w:val="24"/>
        </w:rPr>
        <w:t>2</w:t>
      </w:r>
      <w:r w:rsidR="00A727BF">
        <w:rPr>
          <w:rFonts w:ascii="Garamond" w:hAnsi="Garamond"/>
          <w:szCs w:val="24"/>
        </w:rPr>
        <w:t>. ceturksnī</w:t>
      </w:r>
      <w:r w:rsidR="00B0204D">
        <w:rPr>
          <w:rFonts w:ascii="Garamond" w:hAnsi="Garamond"/>
          <w:szCs w:val="24"/>
        </w:rPr>
        <w:t xml:space="preserve"> saglabājās </w:t>
      </w:r>
      <w:r w:rsidR="006427E0">
        <w:rPr>
          <w:rFonts w:ascii="Garamond" w:hAnsi="Garamond"/>
          <w:szCs w:val="24"/>
        </w:rPr>
        <w:t xml:space="preserve">pagājušā gada </w:t>
      </w:r>
      <w:r w:rsidR="00B0204D">
        <w:rPr>
          <w:rFonts w:ascii="Garamond" w:hAnsi="Garamond"/>
          <w:szCs w:val="24"/>
        </w:rPr>
        <w:t>2</w:t>
      </w:r>
      <w:r w:rsidR="006427E0">
        <w:rPr>
          <w:rFonts w:ascii="Garamond" w:hAnsi="Garamond"/>
          <w:szCs w:val="24"/>
        </w:rPr>
        <w:t>.ceturk</w:t>
      </w:r>
      <w:r w:rsidR="00B0204D">
        <w:rPr>
          <w:rFonts w:ascii="Garamond" w:hAnsi="Garamond"/>
          <w:szCs w:val="24"/>
        </w:rPr>
        <w:t xml:space="preserve">šņa līmenī. Tomēr nozaru griezumā tendences ir ļoti atšķirīgs. Apjomu samazinājums ir vērojams ražojošajās nozarēs, kas lielā mērā ir saistīts ar eksporta </w:t>
      </w:r>
      <w:proofErr w:type="spellStart"/>
      <w:r w:rsidR="00B0204D">
        <w:rPr>
          <w:rFonts w:ascii="Garamond" w:hAnsi="Garamond"/>
          <w:szCs w:val="24"/>
        </w:rPr>
        <w:t>ie</w:t>
      </w:r>
      <w:r w:rsidR="00F40895">
        <w:rPr>
          <w:rFonts w:ascii="Garamond" w:hAnsi="Garamond"/>
          <w:szCs w:val="24"/>
        </w:rPr>
        <w:t>p</w:t>
      </w:r>
      <w:r w:rsidR="00B0204D">
        <w:rPr>
          <w:rFonts w:ascii="Garamond" w:hAnsi="Garamond"/>
          <w:szCs w:val="24"/>
        </w:rPr>
        <w:t>sēju</w:t>
      </w:r>
      <w:proofErr w:type="spellEnd"/>
      <w:r w:rsidR="00B0204D">
        <w:rPr>
          <w:rFonts w:ascii="Garamond" w:hAnsi="Garamond"/>
          <w:szCs w:val="24"/>
        </w:rPr>
        <w:t xml:space="preserve"> pasliktināšanos. Šogad 2.ceturksnī apstrādes rūpniecība saruka par 7,9%. Savukārt lauksaimniecības un mežsaimniecības nozarē fiksēts kritums par 6%, ko lielā mērā ietekmēja samazinājums augkopības nozarē saistībā ar šīs vasaras nelabvēlīgajiem laikapstākļiem. </w:t>
      </w:r>
      <w:r w:rsidR="00B0204D" w:rsidRPr="00B0204D">
        <w:rPr>
          <w:rFonts w:ascii="Garamond" w:hAnsi="Garamond"/>
          <w:szCs w:val="24"/>
        </w:rPr>
        <w:t xml:space="preserve">Pārējā rūpniecībā </w:t>
      </w:r>
      <w:r w:rsidR="00B0204D">
        <w:rPr>
          <w:rFonts w:ascii="Garamond" w:hAnsi="Garamond"/>
          <w:szCs w:val="24"/>
        </w:rPr>
        <w:t xml:space="preserve">apjomu samazinājumu </w:t>
      </w:r>
      <w:r w:rsidR="00B0204D" w:rsidRPr="00B0204D">
        <w:rPr>
          <w:rFonts w:ascii="Garamond" w:hAnsi="Garamond"/>
          <w:szCs w:val="24"/>
        </w:rPr>
        <w:t xml:space="preserve"> (par 5,5%) ietekmēja </w:t>
      </w:r>
      <w:r w:rsidR="00B0204D">
        <w:rPr>
          <w:rFonts w:ascii="Garamond" w:hAnsi="Garamond"/>
          <w:szCs w:val="24"/>
        </w:rPr>
        <w:t xml:space="preserve">kritums </w:t>
      </w:r>
      <w:r w:rsidR="00B0204D" w:rsidRPr="00B0204D">
        <w:rPr>
          <w:rFonts w:ascii="Garamond" w:hAnsi="Garamond"/>
          <w:szCs w:val="24"/>
        </w:rPr>
        <w:t>elektroenerģijā, gāzes apgādē, siltumapgād</w:t>
      </w:r>
      <w:r w:rsidR="00B0204D">
        <w:rPr>
          <w:rFonts w:ascii="Garamond" w:hAnsi="Garamond"/>
          <w:szCs w:val="24"/>
        </w:rPr>
        <w:t xml:space="preserve">es nozarē, kā arī </w:t>
      </w:r>
      <w:r w:rsidR="00B0204D" w:rsidRPr="00B0204D">
        <w:rPr>
          <w:rFonts w:ascii="Garamond" w:hAnsi="Garamond"/>
          <w:szCs w:val="24"/>
        </w:rPr>
        <w:t>ieguves rūpniecībā</w:t>
      </w:r>
      <w:r w:rsidR="00B0204D">
        <w:rPr>
          <w:rFonts w:ascii="Garamond" w:hAnsi="Garamond"/>
          <w:szCs w:val="24"/>
        </w:rPr>
        <w:t xml:space="preserve">. Apjomu samazinājumu transporta un uzglabāšanas nozarē (par 4,9%) ietekmēja </w:t>
      </w:r>
      <w:r w:rsidR="00B0204D" w:rsidRPr="00B0204D">
        <w:rPr>
          <w:rFonts w:ascii="Garamond" w:hAnsi="Garamond"/>
          <w:szCs w:val="24"/>
        </w:rPr>
        <w:t>sauszemes transports</w:t>
      </w:r>
      <w:r w:rsidR="000E6078">
        <w:rPr>
          <w:rFonts w:ascii="Garamond" w:hAnsi="Garamond"/>
          <w:szCs w:val="24"/>
        </w:rPr>
        <w:t xml:space="preserve"> un</w:t>
      </w:r>
      <w:r w:rsidR="00B0204D" w:rsidRPr="00B0204D">
        <w:rPr>
          <w:rFonts w:ascii="Garamond" w:hAnsi="Garamond"/>
          <w:szCs w:val="24"/>
        </w:rPr>
        <w:t xml:space="preserve"> uzglabāšanas un transporta palīgdarbīb</w:t>
      </w:r>
      <w:r w:rsidR="000E6078">
        <w:rPr>
          <w:rFonts w:ascii="Garamond" w:hAnsi="Garamond"/>
          <w:szCs w:val="24"/>
        </w:rPr>
        <w:t>as. Apjomu kritums 2.ceturksnī gada griezumā bija arī tirdzniecības nozarē – par 1,6 procentiem.</w:t>
      </w:r>
    </w:p>
    <w:p w14:paraId="5F2B9DFA" w14:textId="10DE6B07" w:rsidR="00A727BF" w:rsidRDefault="000E6078" w:rsidP="00436D8F">
      <w:pPr>
        <w:spacing w:before="80" w:after="8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Savukārt kāpums 2.ceturksnī vērojams būvniecībā un vairumā pakalpojumu nozaru. Otro ceturksni pēc kārtas </w:t>
      </w:r>
      <w:proofErr w:type="spellStart"/>
      <w:r>
        <w:rPr>
          <w:rFonts w:ascii="Garamond" w:hAnsi="Garamond"/>
          <w:szCs w:val="24"/>
        </w:rPr>
        <w:t>divciparu</w:t>
      </w:r>
      <w:proofErr w:type="spellEnd"/>
      <w:r>
        <w:rPr>
          <w:rFonts w:ascii="Garamond" w:hAnsi="Garamond"/>
          <w:szCs w:val="24"/>
        </w:rPr>
        <w:t xml:space="preserve"> pieauguma tempi ir </w:t>
      </w:r>
      <w:r>
        <w:rPr>
          <w:rFonts w:ascii="Garamond" w:hAnsi="Garamond"/>
          <w:szCs w:val="24"/>
        </w:rPr>
        <w:t>būvniecības nozar</w:t>
      </w:r>
      <w:r>
        <w:rPr>
          <w:rFonts w:ascii="Garamond" w:hAnsi="Garamond"/>
          <w:szCs w:val="24"/>
        </w:rPr>
        <w:t>ē – pieaugums gada griezumā par 15,4% nodrošināja lielāko pozitīvo devumu ekonomikā 2.ceturksnī</w:t>
      </w:r>
      <w:r>
        <w:rPr>
          <w:rFonts w:ascii="Garamond" w:hAnsi="Garamond"/>
          <w:szCs w:val="24"/>
        </w:rPr>
        <w:t xml:space="preserve">. </w:t>
      </w:r>
      <w:r w:rsidR="006427E0" w:rsidRPr="00D05A48">
        <w:rPr>
          <w:rFonts w:ascii="Garamond" w:hAnsi="Garamond"/>
          <w:szCs w:val="24"/>
        </w:rPr>
        <w:t>St</w:t>
      </w:r>
      <w:r>
        <w:rPr>
          <w:rFonts w:ascii="Garamond" w:hAnsi="Garamond"/>
          <w:szCs w:val="24"/>
        </w:rPr>
        <w:t xml:space="preserve">abili </w:t>
      </w:r>
      <w:r w:rsidR="006427E0" w:rsidRPr="00D05A48">
        <w:rPr>
          <w:rFonts w:ascii="Garamond" w:hAnsi="Garamond"/>
          <w:szCs w:val="24"/>
        </w:rPr>
        <w:t>pieauguma tempi saglabājas nozarēs, kuras vissmagāk skāra Covid-19 ierobežojum</w:t>
      </w:r>
      <w:r w:rsidR="006427E0">
        <w:rPr>
          <w:rFonts w:ascii="Garamond" w:hAnsi="Garamond"/>
          <w:szCs w:val="24"/>
        </w:rPr>
        <w:t xml:space="preserve">i – </w:t>
      </w:r>
      <w:r>
        <w:rPr>
          <w:rFonts w:ascii="Garamond" w:hAnsi="Garamond"/>
          <w:szCs w:val="24"/>
        </w:rPr>
        <w:t>2</w:t>
      </w:r>
      <w:r w:rsidR="006427E0" w:rsidRPr="00D05A48">
        <w:rPr>
          <w:rFonts w:ascii="Garamond" w:hAnsi="Garamond"/>
          <w:szCs w:val="24"/>
        </w:rPr>
        <w:t>.ceturksnī izmitināšanas un ēdināšanas nozar</w:t>
      </w:r>
      <w:r w:rsidR="006427E0">
        <w:rPr>
          <w:rFonts w:ascii="Garamond" w:hAnsi="Garamond"/>
          <w:szCs w:val="24"/>
        </w:rPr>
        <w:t xml:space="preserve">e </w:t>
      </w:r>
      <w:r w:rsidR="006427E0" w:rsidRPr="00D05A48">
        <w:rPr>
          <w:rFonts w:ascii="Garamond" w:hAnsi="Garamond"/>
          <w:szCs w:val="24"/>
        </w:rPr>
        <w:t xml:space="preserve">gada griezumā pieauga par </w:t>
      </w:r>
      <w:r>
        <w:rPr>
          <w:rFonts w:ascii="Garamond" w:hAnsi="Garamond"/>
          <w:szCs w:val="24"/>
        </w:rPr>
        <w:t>4</w:t>
      </w:r>
      <w:r w:rsidR="006427E0">
        <w:rPr>
          <w:rFonts w:ascii="Garamond" w:hAnsi="Garamond"/>
          <w:szCs w:val="24"/>
        </w:rPr>
        <w:t>,3</w:t>
      </w:r>
      <w:r w:rsidR="006427E0" w:rsidRPr="00D05A48">
        <w:rPr>
          <w:rFonts w:ascii="Garamond" w:hAnsi="Garamond"/>
          <w:szCs w:val="24"/>
        </w:rPr>
        <w:t>%, mākslas izklaides un atpūtas nozar</w:t>
      </w:r>
      <w:r w:rsidR="006427E0">
        <w:rPr>
          <w:rFonts w:ascii="Garamond" w:hAnsi="Garamond"/>
          <w:szCs w:val="24"/>
        </w:rPr>
        <w:t>e</w:t>
      </w:r>
      <w:r w:rsidR="006427E0" w:rsidRPr="00D05A48">
        <w:rPr>
          <w:rFonts w:ascii="Garamond" w:hAnsi="Garamond"/>
          <w:szCs w:val="24"/>
        </w:rPr>
        <w:t xml:space="preserve"> – par </w:t>
      </w:r>
      <w:r>
        <w:rPr>
          <w:rFonts w:ascii="Garamond" w:hAnsi="Garamond"/>
          <w:szCs w:val="24"/>
        </w:rPr>
        <w:t>8</w:t>
      </w:r>
      <w:r w:rsidR="006427E0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>7</w:t>
      </w:r>
      <w:r w:rsidR="006427E0" w:rsidRPr="00D05A48">
        <w:rPr>
          <w:rFonts w:ascii="Garamond" w:hAnsi="Garamond"/>
          <w:szCs w:val="24"/>
        </w:rPr>
        <w:t>%</w:t>
      </w:r>
      <w:r>
        <w:rPr>
          <w:rFonts w:ascii="Garamond" w:hAnsi="Garamond"/>
          <w:szCs w:val="24"/>
        </w:rPr>
        <w:t>. Joprojām s</w:t>
      </w:r>
      <w:r w:rsidR="006427E0" w:rsidRPr="00D05A48">
        <w:rPr>
          <w:rFonts w:ascii="Garamond" w:hAnsi="Garamond"/>
          <w:szCs w:val="24"/>
        </w:rPr>
        <w:t xml:space="preserve">tabils </w:t>
      </w:r>
      <w:r w:rsidR="006427E0">
        <w:rPr>
          <w:rFonts w:ascii="Garamond" w:hAnsi="Garamond"/>
          <w:szCs w:val="24"/>
        </w:rPr>
        <w:t>kāpums</w:t>
      </w:r>
      <w:r w:rsidR="006427E0" w:rsidRPr="00D05A48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vērojams </w:t>
      </w:r>
      <w:r w:rsidR="006427E0" w:rsidRPr="00D05A48">
        <w:rPr>
          <w:rFonts w:ascii="Garamond" w:hAnsi="Garamond"/>
          <w:szCs w:val="24"/>
        </w:rPr>
        <w:t>IKT nozarē</w:t>
      </w:r>
      <w:r w:rsidR="006427E0">
        <w:rPr>
          <w:rFonts w:ascii="Garamond" w:hAnsi="Garamond"/>
          <w:szCs w:val="24"/>
        </w:rPr>
        <w:t xml:space="preserve"> –  </w:t>
      </w:r>
      <w:r>
        <w:rPr>
          <w:rFonts w:ascii="Garamond" w:hAnsi="Garamond"/>
          <w:szCs w:val="24"/>
        </w:rPr>
        <w:t>2</w:t>
      </w:r>
      <w:r w:rsidR="006427E0" w:rsidRPr="00D05A48">
        <w:rPr>
          <w:rFonts w:ascii="Garamond" w:hAnsi="Garamond"/>
          <w:szCs w:val="24"/>
        </w:rPr>
        <w:t xml:space="preserve">.ceturksnī </w:t>
      </w:r>
      <w:r w:rsidR="006427E0">
        <w:rPr>
          <w:rFonts w:ascii="Garamond" w:hAnsi="Garamond"/>
          <w:szCs w:val="24"/>
        </w:rPr>
        <w:t xml:space="preserve">pieaugums </w:t>
      </w:r>
      <w:r w:rsidR="006427E0" w:rsidRPr="00D05A48">
        <w:rPr>
          <w:rFonts w:ascii="Garamond" w:hAnsi="Garamond"/>
          <w:szCs w:val="24"/>
        </w:rPr>
        <w:t>par 1</w:t>
      </w:r>
      <w:r>
        <w:rPr>
          <w:rFonts w:ascii="Garamond" w:hAnsi="Garamond"/>
          <w:szCs w:val="24"/>
        </w:rPr>
        <w:t>0</w:t>
      </w:r>
      <w:r w:rsidR="006427E0" w:rsidRPr="00D05A48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>1 procentu</w:t>
      </w:r>
      <w:r w:rsidR="006427E0">
        <w:rPr>
          <w:rFonts w:ascii="Garamond" w:hAnsi="Garamond"/>
          <w:szCs w:val="24"/>
        </w:rPr>
        <w:t>.</w:t>
      </w:r>
      <w:r w:rsidR="00E51754">
        <w:rPr>
          <w:rFonts w:ascii="Garamond" w:hAnsi="Garamond"/>
          <w:szCs w:val="24"/>
        </w:rPr>
        <w:t xml:space="preserve"> </w:t>
      </w:r>
    </w:p>
    <w:p w14:paraId="2924DC1A" w14:textId="165E9002" w:rsidR="00424B7D" w:rsidRPr="00D05A48" w:rsidRDefault="00017619" w:rsidP="00D668F0">
      <w:pPr>
        <w:spacing w:before="80" w:after="8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Joprojām augstā inflācija turpinās ierobežot izaugsmi, bet nozaru griezumā saglabāsies ļoti atšķirīgā dinamika. </w:t>
      </w:r>
      <w:r w:rsidR="00436D8F" w:rsidRPr="00436D8F">
        <w:rPr>
          <w:rFonts w:ascii="Garamond" w:hAnsi="Garamond"/>
          <w:szCs w:val="24"/>
        </w:rPr>
        <w:t xml:space="preserve">Sagaidāms, ka </w:t>
      </w:r>
      <w:r w:rsidR="000E6078">
        <w:rPr>
          <w:rFonts w:ascii="Garamond" w:hAnsi="Garamond"/>
          <w:szCs w:val="24"/>
        </w:rPr>
        <w:t xml:space="preserve">arī gada otrajā pusē ekonomikas tempi </w:t>
      </w:r>
      <w:r>
        <w:rPr>
          <w:rFonts w:ascii="Garamond" w:hAnsi="Garamond"/>
          <w:szCs w:val="24"/>
        </w:rPr>
        <w:t xml:space="preserve">būs </w:t>
      </w:r>
      <w:r w:rsidRPr="00017619">
        <w:rPr>
          <w:rFonts w:ascii="Garamond" w:hAnsi="Garamond"/>
          <w:szCs w:val="24"/>
        </w:rPr>
        <w:t>ļoti mēreni</w:t>
      </w:r>
      <w:r>
        <w:rPr>
          <w:rFonts w:ascii="Garamond" w:hAnsi="Garamond"/>
          <w:szCs w:val="24"/>
        </w:rPr>
        <w:t xml:space="preserve"> -</w:t>
      </w:r>
      <w:r w:rsidRPr="00017619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līdzīgi pēdējos četros ceturkšņos vērotajiem</w:t>
      </w:r>
      <w:r w:rsidR="000E6078">
        <w:rPr>
          <w:rFonts w:ascii="Garamond" w:hAnsi="Garamond"/>
          <w:szCs w:val="24"/>
        </w:rPr>
        <w:t xml:space="preserve">. </w:t>
      </w:r>
      <w:r w:rsidR="00436D8F" w:rsidRPr="00436D8F">
        <w:rPr>
          <w:rFonts w:ascii="Garamond" w:hAnsi="Garamond"/>
          <w:szCs w:val="24"/>
        </w:rPr>
        <w:t xml:space="preserve"> </w:t>
      </w:r>
    </w:p>
    <w:sectPr w:rsidR="00424B7D" w:rsidRPr="00D05A48" w:rsidSect="00D668F0">
      <w:headerReference w:type="default" r:id="rId8"/>
      <w:type w:val="continuous"/>
      <w:pgSz w:w="11906" w:h="16838" w:code="9"/>
      <w:pgMar w:top="993" w:right="70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6D68" w14:textId="77777777" w:rsidR="004E72B4" w:rsidRDefault="004E72B4" w:rsidP="002D118D">
      <w:r>
        <w:separator/>
      </w:r>
    </w:p>
  </w:endnote>
  <w:endnote w:type="continuationSeparator" w:id="0">
    <w:p w14:paraId="25BA1006" w14:textId="77777777" w:rsidR="004E72B4" w:rsidRDefault="004E72B4" w:rsidP="002D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 Pro Cond Light">
    <w:altName w:val="Verdana Pro Cond Light"/>
    <w:charset w:val="00"/>
    <w:family w:val="swiss"/>
    <w:pitch w:val="variable"/>
    <w:sig w:usb0="80000287" w:usb1="00000043" w:usb2="00000000" w:usb3="00000000" w:csb0="0000009F" w:csb1="00000000"/>
  </w:font>
  <w:font w:name="Gill Sans Nova Cond Lt">
    <w:charset w:val="00"/>
    <w:family w:val="swiss"/>
    <w:pitch w:val="variable"/>
    <w:sig w:usb0="80000287" w:usb1="00000002" w:usb2="00000000" w:usb3="00000000" w:csb0="000000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B74F" w14:textId="77777777" w:rsidR="004E72B4" w:rsidRDefault="004E72B4" w:rsidP="002D118D">
      <w:r>
        <w:separator/>
      </w:r>
    </w:p>
  </w:footnote>
  <w:footnote w:type="continuationSeparator" w:id="0">
    <w:p w14:paraId="649C19A1" w14:textId="77777777" w:rsidR="004E72B4" w:rsidRDefault="004E72B4" w:rsidP="002D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0EF8" w14:textId="5413F3D6" w:rsidR="002D118D" w:rsidRPr="000D0187" w:rsidRDefault="00A727BF" w:rsidP="002D118D">
    <w:pPr>
      <w:pStyle w:val="Header"/>
      <w:jc w:val="right"/>
      <w:rPr>
        <w:rFonts w:ascii="Candara" w:hAnsi="Candara"/>
        <w:sz w:val="20"/>
        <w:szCs w:val="20"/>
      </w:rPr>
    </w:pPr>
    <w:r>
      <w:rPr>
        <w:rFonts w:ascii="Candara" w:hAnsi="Candara"/>
        <w:sz w:val="20"/>
        <w:szCs w:val="20"/>
      </w:rPr>
      <w:t>31</w:t>
    </w:r>
    <w:r w:rsidR="00C642E6">
      <w:rPr>
        <w:rFonts w:ascii="Candara" w:hAnsi="Candara"/>
        <w:sz w:val="20"/>
        <w:szCs w:val="20"/>
      </w:rPr>
      <w:t>.</w:t>
    </w:r>
    <w:r w:rsidR="001C3DD2">
      <w:rPr>
        <w:rFonts w:ascii="Candara" w:hAnsi="Candara"/>
        <w:sz w:val="20"/>
        <w:szCs w:val="20"/>
      </w:rPr>
      <w:t>0</w:t>
    </w:r>
    <w:r w:rsidR="004C07EB">
      <w:rPr>
        <w:rFonts w:ascii="Candara" w:hAnsi="Candara"/>
        <w:sz w:val="20"/>
        <w:szCs w:val="20"/>
      </w:rPr>
      <w:t>8</w:t>
    </w:r>
    <w:r w:rsidR="002D118D" w:rsidRPr="000D0187">
      <w:rPr>
        <w:rFonts w:ascii="Candara" w:hAnsi="Candara"/>
        <w:sz w:val="20"/>
        <w:szCs w:val="20"/>
      </w:rPr>
      <w:t>.20</w:t>
    </w:r>
    <w:r w:rsidR="00317374">
      <w:rPr>
        <w:rFonts w:ascii="Candara" w:hAnsi="Candara"/>
        <w:sz w:val="20"/>
        <w:szCs w:val="20"/>
      </w:rPr>
      <w:t>2</w:t>
    </w:r>
    <w:r w:rsidR="001C3DD2">
      <w:rPr>
        <w:rFonts w:ascii="Candara" w:hAnsi="Candara"/>
        <w:sz w:val="20"/>
        <w:szCs w:val="20"/>
      </w:rPr>
      <w:t>3</w:t>
    </w:r>
    <w:r w:rsidR="002D118D" w:rsidRPr="000D0187">
      <w:rPr>
        <w:rFonts w:ascii="Candara" w:hAnsi="Candara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34BED"/>
    <w:multiLevelType w:val="hybridMultilevel"/>
    <w:tmpl w:val="F64A251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4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7D"/>
    <w:rsid w:val="00004E38"/>
    <w:rsid w:val="00006EF2"/>
    <w:rsid w:val="000119C2"/>
    <w:rsid w:val="00011B6D"/>
    <w:rsid w:val="00017619"/>
    <w:rsid w:val="00017B8E"/>
    <w:rsid w:val="0002315B"/>
    <w:rsid w:val="000249EF"/>
    <w:rsid w:val="00026C22"/>
    <w:rsid w:val="00030768"/>
    <w:rsid w:val="00041179"/>
    <w:rsid w:val="00041E86"/>
    <w:rsid w:val="00042C43"/>
    <w:rsid w:val="000462DC"/>
    <w:rsid w:val="00046F0D"/>
    <w:rsid w:val="000474D0"/>
    <w:rsid w:val="00052C52"/>
    <w:rsid w:val="00054AF9"/>
    <w:rsid w:val="0006260B"/>
    <w:rsid w:val="00065B6E"/>
    <w:rsid w:val="00073297"/>
    <w:rsid w:val="00077208"/>
    <w:rsid w:val="00077CF6"/>
    <w:rsid w:val="000801A2"/>
    <w:rsid w:val="00080351"/>
    <w:rsid w:val="00080501"/>
    <w:rsid w:val="00082611"/>
    <w:rsid w:val="000977A3"/>
    <w:rsid w:val="000A07A0"/>
    <w:rsid w:val="000B70B5"/>
    <w:rsid w:val="000C42B4"/>
    <w:rsid w:val="000C7544"/>
    <w:rsid w:val="000D0CFE"/>
    <w:rsid w:val="000D1739"/>
    <w:rsid w:val="000E4347"/>
    <w:rsid w:val="000E6078"/>
    <w:rsid w:val="000F0F6F"/>
    <w:rsid w:val="000F1512"/>
    <w:rsid w:val="000F1FD1"/>
    <w:rsid w:val="000F5CD4"/>
    <w:rsid w:val="000F6071"/>
    <w:rsid w:val="00106D2E"/>
    <w:rsid w:val="00106FE3"/>
    <w:rsid w:val="00107110"/>
    <w:rsid w:val="001153EB"/>
    <w:rsid w:val="00115F7D"/>
    <w:rsid w:val="0013112A"/>
    <w:rsid w:val="00133DF7"/>
    <w:rsid w:val="00136AAA"/>
    <w:rsid w:val="001420B5"/>
    <w:rsid w:val="00142E98"/>
    <w:rsid w:val="001452DA"/>
    <w:rsid w:val="00145CA4"/>
    <w:rsid w:val="00146FEA"/>
    <w:rsid w:val="00147550"/>
    <w:rsid w:val="00151003"/>
    <w:rsid w:val="00153941"/>
    <w:rsid w:val="001544FC"/>
    <w:rsid w:val="00157952"/>
    <w:rsid w:val="00157FF2"/>
    <w:rsid w:val="00161A69"/>
    <w:rsid w:val="00162D12"/>
    <w:rsid w:val="00166937"/>
    <w:rsid w:val="00167B07"/>
    <w:rsid w:val="00170F41"/>
    <w:rsid w:val="001747FC"/>
    <w:rsid w:val="00180743"/>
    <w:rsid w:val="00183A05"/>
    <w:rsid w:val="001857D7"/>
    <w:rsid w:val="00194861"/>
    <w:rsid w:val="001A65EB"/>
    <w:rsid w:val="001B669A"/>
    <w:rsid w:val="001B6B08"/>
    <w:rsid w:val="001C17B4"/>
    <w:rsid w:val="001C326E"/>
    <w:rsid w:val="001C3DD2"/>
    <w:rsid w:val="001C71EE"/>
    <w:rsid w:val="001D775A"/>
    <w:rsid w:val="001E54E8"/>
    <w:rsid w:val="001E5699"/>
    <w:rsid w:val="001F11D5"/>
    <w:rsid w:val="001F1BE0"/>
    <w:rsid w:val="001F1FDE"/>
    <w:rsid w:val="001F33C2"/>
    <w:rsid w:val="001F3719"/>
    <w:rsid w:val="00200BAA"/>
    <w:rsid w:val="00206D5E"/>
    <w:rsid w:val="00206FE8"/>
    <w:rsid w:val="002072C6"/>
    <w:rsid w:val="00207F07"/>
    <w:rsid w:val="0021364C"/>
    <w:rsid w:val="00227317"/>
    <w:rsid w:val="0023068A"/>
    <w:rsid w:val="00234A04"/>
    <w:rsid w:val="002431BA"/>
    <w:rsid w:val="002439C7"/>
    <w:rsid w:val="00245A04"/>
    <w:rsid w:val="002502EB"/>
    <w:rsid w:val="00250547"/>
    <w:rsid w:val="00250CD1"/>
    <w:rsid w:val="00253A8A"/>
    <w:rsid w:val="00257FB9"/>
    <w:rsid w:val="002617F2"/>
    <w:rsid w:val="00261928"/>
    <w:rsid w:val="00267792"/>
    <w:rsid w:val="0027247D"/>
    <w:rsid w:val="0027604B"/>
    <w:rsid w:val="00277DF6"/>
    <w:rsid w:val="00281675"/>
    <w:rsid w:val="00282911"/>
    <w:rsid w:val="00292A61"/>
    <w:rsid w:val="002942C5"/>
    <w:rsid w:val="002A098F"/>
    <w:rsid w:val="002A7079"/>
    <w:rsid w:val="002B2989"/>
    <w:rsid w:val="002B3F23"/>
    <w:rsid w:val="002B5E51"/>
    <w:rsid w:val="002C5C59"/>
    <w:rsid w:val="002C6A21"/>
    <w:rsid w:val="002C6E31"/>
    <w:rsid w:val="002C7AD0"/>
    <w:rsid w:val="002D118D"/>
    <w:rsid w:val="002D49BB"/>
    <w:rsid w:val="002D4C6C"/>
    <w:rsid w:val="002D4DF8"/>
    <w:rsid w:val="002D649E"/>
    <w:rsid w:val="002E7180"/>
    <w:rsid w:val="002E74EC"/>
    <w:rsid w:val="002E7EDF"/>
    <w:rsid w:val="002F1376"/>
    <w:rsid w:val="002F3F87"/>
    <w:rsid w:val="002F5196"/>
    <w:rsid w:val="002F6B05"/>
    <w:rsid w:val="00300EFA"/>
    <w:rsid w:val="00302C2E"/>
    <w:rsid w:val="00311AF1"/>
    <w:rsid w:val="00313474"/>
    <w:rsid w:val="003155EA"/>
    <w:rsid w:val="00315C5C"/>
    <w:rsid w:val="00317374"/>
    <w:rsid w:val="00323DDB"/>
    <w:rsid w:val="00325734"/>
    <w:rsid w:val="0032624C"/>
    <w:rsid w:val="0033178A"/>
    <w:rsid w:val="00331893"/>
    <w:rsid w:val="00334B68"/>
    <w:rsid w:val="00334F71"/>
    <w:rsid w:val="00337725"/>
    <w:rsid w:val="00341119"/>
    <w:rsid w:val="00341A69"/>
    <w:rsid w:val="00350B83"/>
    <w:rsid w:val="003525A3"/>
    <w:rsid w:val="00354F8B"/>
    <w:rsid w:val="00357E59"/>
    <w:rsid w:val="00370195"/>
    <w:rsid w:val="0037062E"/>
    <w:rsid w:val="00370D5D"/>
    <w:rsid w:val="00373CF8"/>
    <w:rsid w:val="00374E07"/>
    <w:rsid w:val="003811EB"/>
    <w:rsid w:val="00387003"/>
    <w:rsid w:val="003959EB"/>
    <w:rsid w:val="003A12C8"/>
    <w:rsid w:val="003A130D"/>
    <w:rsid w:val="003A197A"/>
    <w:rsid w:val="003A75A9"/>
    <w:rsid w:val="003B5ECD"/>
    <w:rsid w:val="003B77BE"/>
    <w:rsid w:val="003C1D60"/>
    <w:rsid w:val="003C30CC"/>
    <w:rsid w:val="003C5860"/>
    <w:rsid w:val="003D010F"/>
    <w:rsid w:val="003D7F64"/>
    <w:rsid w:val="003E440F"/>
    <w:rsid w:val="003E6BFA"/>
    <w:rsid w:val="003F1AD3"/>
    <w:rsid w:val="003F3363"/>
    <w:rsid w:val="003F6D67"/>
    <w:rsid w:val="003F7222"/>
    <w:rsid w:val="003F7234"/>
    <w:rsid w:val="004006E0"/>
    <w:rsid w:val="00402D60"/>
    <w:rsid w:val="0041125F"/>
    <w:rsid w:val="00417E07"/>
    <w:rsid w:val="00423834"/>
    <w:rsid w:val="00424B7D"/>
    <w:rsid w:val="004265E3"/>
    <w:rsid w:val="00426B1E"/>
    <w:rsid w:val="0043267B"/>
    <w:rsid w:val="00432BA2"/>
    <w:rsid w:val="004347A5"/>
    <w:rsid w:val="00436032"/>
    <w:rsid w:val="00436D8F"/>
    <w:rsid w:val="0043770E"/>
    <w:rsid w:val="00443D7C"/>
    <w:rsid w:val="00460812"/>
    <w:rsid w:val="004634A9"/>
    <w:rsid w:val="00465FE4"/>
    <w:rsid w:val="0046727B"/>
    <w:rsid w:val="00467677"/>
    <w:rsid w:val="0047142D"/>
    <w:rsid w:val="004750D0"/>
    <w:rsid w:val="0047536B"/>
    <w:rsid w:val="00477026"/>
    <w:rsid w:val="004839CE"/>
    <w:rsid w:val="0048561D"/>
    <w:rsid w:val="00490C29"/>
    <w:rsid w:val="004918AA"/>
    <w:rsid w:val="00494162"/>
    <w:rsid w:val="0049626B"/>
    <w:rsid w:val="00496978"/>
    <w:rsid w:val="00496F57"/>
    <w:rsid w:val="004A498E"/>
    <w:rsid w:val="004A4D0B"/>
    <w:rsid w:val="004A6AE9"/>
    <w:rsid w:val="004B5F34"/>
    <w:rsid w:val="004B709D"/>
    <w:rsid w:val="004C0416"/>
    <w:rsid w:val="004C07EB"/>
    <w:rsid w:val="004C54E9"/>
    <w:rsid w:val="004D1F94"/>
    <w:rsid w:val="004D4E46"/>
    <w:rsid w:val="004D5D96"/>
    <w:rsid w:val="004E2DB1"/>
    <w:rsid w:val="004E5E73"/>
    <w:rsid w:val="004E72B4"/>
    <w:rsid w:val="00507BE8"/>
    <w:rsid w:val="005115D4"/>
    <w:rsid w:val="005124FF"/>
    <w:rsid w:val="00512567"/>
    <w:rsid w:val="005145D7"/>
    <w:rsid w:val="005234F9"/>
    <w:rsid w:val="005240F9"/>
    <w:rsid w:val="00527D95"/>
    <w:rsid w:val="00530DDA"/>
    <w:rsid w:val="00531366"/>
    <w:rsid w:val="005414E9"/>
    <w:rsid w:val="00545DA4"/>
    <w:rsid w:val="00545F9D"/>
    <w:rsid w:val="00546108"/>
    <w:rsid w:val="0054704B"/>
    <w:rsid w:val="00547ECE"/>
    <w:rsid w:val="005507AA"/>
    <w:rsid w:val="0055310C"/>
    <w:rsid w:val="00555441"/>
    <w:rsid w:val="00562D16"/>
    <w:rsid w:val="005635A4"/>
    <w:rsid w:val="0056633C"/>
    <w:rsid w:val="005721CD"/>
    <w:rsid w:val="005757C3"/>
    <w:rsid w:val="00577E55"/>
    <w:rsid w:val="005802F7"/>
    <w:rsid w:val="00581071"/>
    <w:rsid w:val="005811D2"/>
    <w:rsid w:val="00590EB5"/>
    <w:rsid w:val="00592F72"/>
    <w:rsid w:val="005A3087"/>
    <w:rsid w:val="005A36B5"/>
    <w:rsid w:val="005B6051"/>
    <w:rsid w:val="005B6783"/>
    <w:rsid w:val="005B6D95"/>
    <w:rsid w:val="005C073D"/>
    <w:rsid w:val="005C2826"/>
    <w:rsid w:val="005C62FB"/>
    <w:rsid w:val="005D1C02"/>
    <w:rsid w:val="005D6227"/>
    <w:rsid w:val="005E00E2"/>
    <w:rsid w:val="005E39F0"/>
    <w:rsid w:val="005E55D0"/>
    <w:rsid w:val="005F34AE"/>
    <w:rsid w:val="005F397D"/>
    <w:rsid w:val="005F5F8D"/>
    <w:rsid w:val="005F7826"/>
    <w:rsid w:val="0060271E"/>
    <w:rsid w:val="006044FD"/>
    <w:rsid w:val="00611126"/>
    <w:rsid w:val="00612262"/>
    <w:rsid w:val="0061655A"/>
    <w:rsid w:val="00620EBC"/>
    <w:rsid w:val="00624118"/>
    <w:rsid w:val="0063472B"/>
    <w:rsid w:val="006427E0"/>
    <w:rsid w:val="0064284E"/>
    <w:rsid w:val="006428F1"/>
    <w:rsid w:val="00642C1B"/>
    <w:rsid w:val="006441F0"/>
    <w:rsid w:val="006520B8"/>
    <w:rsid w:val="00660BDE"/>
    <w:rsid w:val="00661D93"/>
    <w:rsid w:val="006631FB"/>
    <w:rsid w:val="006673F8"/>
    <w:rsid w:val="0067012E"/>
    <w:rsid w:val="0067783B"/>
    <w:rsid w:val="00677BBD"/>
    <w:rsid w:val="00682748"/>
    <w:rsid w:val="00686C88"/>
    <w:rsid w:val="006947A5"/>
    <w:rsid w:val="00697CDB"/>
    <w:rsid w:val="006A380B"/>
    <w:rsid w:val="006A41C5"/>
    <w:rsid w:val="006A57C9"/>
    <w:rsid w:val="006A671B"/>
    <w:rsid w:val="006A7CBD"/>
    <w:rsid w:val="006B1297"/>
    <w:rsid w:val="006B266D"/>
    <w:rsid w:val="006B5E94"/>
    <w:rsid w:val="006C0B01"/>
    <w:rsid w:val="006C1FB2"/>
    <w:rsid w:val="006C2D2B"/>
    <w:rsid w:val="006D5322"/>
    <w:rsid w:val="006E0949"/>
    <w:rsid w:val="006E4333"/>
    <w:rsid w:val="006E485A"/>
    <w:rsid w:val="006E5827"/>
    <w:rsid w:val="006F12ED"/>
    <w:rsid w:val="00700521"/>
    <w:rsid w:val="00701533"/>
    <w:rsid w:val="00704450"/>
    <w:rsid w:val="007147F5"/>
    <w:rsid w:val="0071530C"/>
    <w:rsid w:val="00716CCC"/>
    <w:rsid w:val="00720659"/>
    <w:rsid w:val="00720FE0"/>
    <w:rsid w:val="00725637"/>
    <w:rsid w:val="00737128"/>
    <w:rsid w:val="0073788B"/>
    <w:rsid w:val="00741B9D"/>
    <w:rsid w:val="00744F5F"/>
    <w:rsid w:val="0075410F"/>
    <w:rsid w:val="00762EA2"/>
    <w:rsid w:val="007712B8"/>
    <w:rsid w:val="0078008F"/>
    <w:rsid w:val="00783F65"/>
    <w:rsid w:val="007A37E9"/>
    <w:rsid w:val="007B03EA"/>
    <w:rsid w:val="007B3082"/>
    <w:rsid w:val="007B770D"/>
    <w:rsid w:val="007B787F"/>
    <w:rsid w:val="007C03DF"/>
    <w:rsid w:val="007C46AE"/>
    <w:rsid w:val="007C602C"/>
    <w:rsid w:val="007D45A7"/>
    <w:rsid w:val="007D59CF"/>
    <w:rsid w:val="007D7BBB"/>
    <w:rsid w:val="007D7D8A"/>
    <w:rsid w:val="007E2BBC"/>
    <w:rsid w:val="007E30E4"/>
    <w:rsid w:val="007E6CC3"/>
    <w:rsid w:val="007F2CFB"/>
    <w:rsid w:val="007F3107"/>
    <w:rsid w:val="007F3782"/>
    <w:rsid w:val="007F6B7D"/>
    <w:rsid w:val="00801068"/>
    <w:rsid w:val="00806F45"/>
    <w:rsid w:val="00807013"/>
    <w:rsid w:val="008077CB"/>
    <w:rsid w:val="00815C5D"/>
    <w:rsid w:val="008171BB"/>
    <w:rsid w:val="0082018E"/>
    <w:rsid w:val="008232D0"/>
    <w:rsid w:val="008323D1"/>
    <w:rsid w:val="008340B4"/>
    <w:rsid w:val="00834AE3"/>
    <w:rsid w:val="00842F26"/>
    <w:rsid w:val="008534AC"/>
    <w:rsid w:val="0085581C"/>
    <w:rsid w:val="008604C8"/>
    <w:rsid w:val="00860683"/>
    <w:rsid w:val="00861994"/>
    <w:rsid w:val="00863254"/>
    <w:rsid w:val="0086567F"/>
    <w:rsid w:val="00867036"/>
    <w:rsid w:val="0088276B"/>
    <w:rsid w:val="00883E5F"/>
    <w:rsid w:val="00884E42"/>
    <w:rsid w:val="00887E65"/>
    <w:rsid w:val="0089090C"/>
    <w:rsid w:val="00890F29"/>
    <w:rsid w:val="00893199"/>
    <w:rsid w:val="008A1724"/>
    <w:rsid w:val="008B5A13"/>
    <w:rsid w:val="008B6294"/>
    <w:rsid w:val="008B6620"/>
    <w:rsid w:val="008C6896"/>
    <w:rsid w:val="008C69C7"/>
    <w:rsid w:val="008C6F8C"/>
    <w:rsid w:val="008C7A31"/>
    <w:rsid w:val="008D0D07"/>
    <w:rsid w:val="008D25D9"/>
    <w:rsid w:val="008D6E3D"/>
    <w:rsid w:val="008D6F82"/>
    <w:rsid w:val="008E03DD"/>
    <w:rsid w:val="008E0585"/>
    <w:rsid w:val="008E42E7"/>
    <w:rsid w:val="008F1615"/>
    <w:rsid w:val="008F43F7"/>
    <w:rsid w:val="008F5A24"/>
    <w:rsid w:val="00905FBF"/>
    <w:rsid w:val="00907467"/>
    <w:rsid w:val="00910511"/>
    <w:rsid w:val="00915204"/>
    <w:rsid w:val="009171D9"/>
    <w:rsid w:val="009232E9"/>
    <w:rsid w:val="009246CC"/>
    <w:rsid w:val="00924CCF"/>
    <w:rsid w:val="00925B52"/>
    <w:rsid w:val="00926145"/>
    <w:rsid w:val="00927D59"/>
    <w:rsid w:val="00927D65"/>
    <w:rsid w:val="00936BC9"/>
    <w:rsid w:val="00936C7D"/>
    <w:rsid w:val="009374DA"/>
    <w:rsid w:val="00942BCC"/>
    <w:rsid w:val="00943224"/>
    <w:rsid w:val="00943C05"/>
    <w:rsid w:val="009467D9"/>
    <w:rsid w:val="00953694"/>
    <w:rsid w:val="0095507D"/>
    <w:rsid w:val="00963428"/>
    <w:rsid w:val="0096438B"/>
    <w:rsid w:val="00967676"/>
    <w:rsid w:val="0097117A"/>
    <w:rsid w:val="00971B17"/>
    <w:rsid w:val="009839CE"/>
    <w:rsid w:val="00984AEA"/>
    <w:rsid w:val="009936BE"/>
    <w:rsid w:val="00994884"/>
    <w:rsid w:val="009954E1"/>
    <w:rsid w:val="00995E28"/>
    <w:rsid w:val="009A1A02"/>
    <w:rsid w:val="009A2B26"/>
    <w:rsid w:val="009A2C3C"/>
    <w:rsid w:val="009A5B73"/>
    <w:rsid w:val="009A62FC"/>
    <w:rsid w:val="009B14A9"/>
    <w:rsid w:val="009B1F1C"/>
    <w:rsid w:val="009B314E"/>
    <w:rsid w:val="009B79E9"/>
    <w:rsid w:val="009C093E"/>
    <w:rsid w:val="009C3682"/>
    <w:rsid w:val="009C57D3"/>
    <w:rsid w:val="009C581F"/>
    <w:rsid w:val="009D496F"/>
    <w:rsid w:val="009E0C45"/>
    <w:rsid w:val="009E5DBB"/>
    <w:rsid w:val="009E6754"/>
    <w:rsid w:val="009F0262"/>
    <w:rsid w:val="009F2911"/>
    <w:rsid w:val="009F2CFA"/>
    <w:rsid w:val="009F44FB"/>
    <w:rsid w:val="009F4EE9"/>
    <w:rsid w:val="00A003C7"/>
    <w:rsid w:val="00A034FA"/>
    <w:rsid w:val="00A04A63"/>
    <w:rsid w:val="00A07D9A"/>
    <w:rsid w:val="00A07E58"/>
    <w:rsid w:val="00A104C4"/>
    <w:rsid w:val="00A11AD7"/>
    <w:rsid w:val="00A1223B"/>
    <w:rsid w:val="00A2386F"/>
    <w:rsid w:val="00A23BB3"/>
    <w:rsid w:val="00A23FFA"/>
    <w:rsid w:val="00A2466D"/>
    <w:rsid w:val="00A26211"/>
    <w:rsid w:val="00A34C63"/>
    <w:rsid w:val="00A45B8D"/>
    <w:rsid w:val="00A46430"/>
    <w:rsid w:val="00A56644"/>
    <w:rsid w:val="00A57B59"/>
    <w:rsid w:val="00A63BD3"/>
    <w:rsid w:val="00A64A53"/>
    <w:rsid w:val="00A65050"/>
    <w:rsid w:val="00A676BD"/>
    <w:rsid w:val="00A71286"/>
    <w:rsid w:val="00A71BFE"/>
    <w:rsid w:val="00A727BF"/>
    <w:rsid w:val="00A7463D"/>
    <w:rsid w:val="00A748FE"/>
    <w:rsid w:val="00A7641A"/>
    <w:rsid w:val="00A8220E"/>
    <w:rsid w:val="00A85888"/>
    <w:rsid w:val="00A93020"/>
    <w:rsid w:val="00A9564D"/>
    <w:rsid w:val="00AA4132"/>
    <w:rsid w:val="00AB05A1"/>
    <w:rsid w:val="00AB0F07"/>
    <w:rsid w:val="00AB2DA7"/>
    <w:rsid w:val="00AB4ECC"/>
    <w:rsid w:val="00AB65E0"/>
    <w:rsid w:val="00AB6B3F"/>
    <w:rsid w:val="00AB7857"/>
    <w:rsid w:val="00AC38EE"/>
    <w:rsid w:val="00AC4A7A"/>
    <w:rsid w:val="00AC4AD3"/>
    <w:rsid w:val="00AD1554"/>
    <w:rsid w:val="00AD1772"/>
    <w:rsid w:val="00AE092F"/>
    <w:rsid w:val="00AE1217"/>
    <w:rsid w:val="00AE37D8"/>
    <w:rsid w:val="00AE5498"/>
    <w:rsid w:val="00AE6424"/>
    <w:rsid w:val="00AE64A8"/>
    <w:rsid w:val="00AE681E"/>
    <w:rsid w:val="00AE6A2F"/>
    <w:rsid w:val="00AE76FF"/>
    <w:rsid w:val="00AF180D"/>
    <w:rsid w:val="00B0204D"/>
    <w:rsid w:val="00B0280B"/>
    <w:rsid w:val="00B04289"/>
    <w:rsid w:val="00B0473B"/>
    <w:rsid w:val="00B04C0E"/>
    <w:rsid w:val="00B068EE"/>
    <w:rsid w:val="00B06AC5"/>
    <w:rsid w:val="00B11A0C"/>
    <w:rsid w:val="00B12691"/>
    <w:rsid w:val="00B13669"/>
    <w:rsid w:val="00B14308"/>
    <w:rsid w:val="00B16442"/>
    <w:rsid w:val="00B179B4"/>
    <w:rsid w:val="00B201B7"/>
    <w:rsid w:val="00B23E5E"/>
    <w:rsid w:val="00B268A3"/>
    <w:rsid w:val="00B310C8"/>
    <w:rsid w:val="00B348A3"/>
    <w:rsid w:val="00B474C3"/>
    <w:rsid w:val="00B52619"/>
    <w:rsid w:val="00B54834"/>
    <w:rsid w:val="00B570CA"/>
    <w:rsid w:val="00B571DD"/>
    <w:rsid w:val="00B619D1"/>
    <w:rsid w:val="00B61EC2"/>
    <w:rsid w:val="00B7323F"/>
    <w:rsid w:val="00B82C36"/>
    <w:rsid w:val="00B8384D"/>
    <w:rsid w:val="00B87740"/>
    <w:rsid w:val="00B90B9E"/>
    <w:rsid w:val="00B90D98"/>
    <w:rsid w:val="00B9230B"/>
    <w:rsid w:val="00BA45BE"/>
    <w:rsid w:val="00BA5504"/>
    <w:rsid w:val="00BA57FD"/>
    <w:rsid w:val="00BB002E"/>
    <w:rsid w:val="00BB3CE5"/>
    <w:rsid w:val="00BB7881"/>
    <w:rsid w:val="00BB79A6"/>
    <w:rsid w:val="00BC339D"/>
    <w:rsid w:val="00BE244D"/>
    <w:rsid w:val="00BF67C8"/>
    <w:rsid w:val="00C113FE"/>
    <w:rsid w:val="00C11914"/>
    <w:rsid w:val="00C12219"/>
    <w:rsid w:val="00C13EA9"/>
    <w:rsid w:val="00C15455"/>
    <w:rsid w:val="00C16733"/>
    <w:rsid w:val="00C17606"/>
    <w:rsid w:val="00C34625"/>
    <w:rsid w:val="00C34B05"/>
    <w:rsid w:val="00C36269"/>
    <w:rsid w:val="00C413DC"/>
    <w:rsid w:val="00C472CC"/>
    <w:rsid w:val="00C5630D"/>
    <w:rsid w:val="00C56EC5"/>
    <w:rsid w:val="00C642E6"/>
    <w:rsid w:val="00C657F3"/>
    <w:rsid w:val="00C65CD9"/>
    <w:rsid w:val="00C66F91"/>
    <w:rsid w:val="00C66FA3"/>
    <w:rsid w:val="00C70745"/>
    <w:rsid w:val="00C75A3A"/>
    <w:rsid w:val="00C81DBE"/>
    <w:rsid w:val="00C85330"/>
    <w:rsid w:val="00C86F36"/>
    <w:rsid w:val="00C92CDD"/>
    <w:rsid w:val="00C96F03"/>
    <w:rsid w:val="00C977D0"/>
    <w:rsid w:val="00CA4E90"/>
    <w:rsid w:val="00CA76C5"/>
    <w:rsid w:val="00CB0536"/>
    <w:rsid w:val="00CB075E"/>
    <w:rsid w:val="00CB4611"/>
    <w:rsid w:val="00CB5012"/>
    <w:rsid w:val="00CC0861"/>
    <w:rsid w:val="00CC12F6"/>
    <w:rsid w:val="00CC53B1"/>
    <w:rsid w:val="00CC75BD"/>
    <w:rsid w:val="00CD372D"/>
    <w:rsid w:val="00CE0891"/>
    <w:rsid w:val="00CF398C"/>
    <w:rsid w:val="00CF3E2A"/>
    <w:rsid w:val="00CF502A"/>
    <w:rsid w:val="00D03976"/>
    <w:rsid w:val="00D05A48"/>
    <w:rsid w:val="00D0628E"/>
    <w:rsid w:val="00D07071"/>
    <w:rsid w:val="00D168E1"/>
    <w:rsid w:val="00D24D37"/>
    <w:rsid w:val="00D2689D"/>
    <w:rsid w:val="00D304CB"/>
    <w:rsid w:val="00D304D2"/>
    <w:rsid w:val="00D3067F"/>
    <w:rsid w:val="00D3553F"/>
    <w:rsid w:val="00D35DC7"/>
    <w:rsid w:val="00D35F15"/>
    <w:rsid w:val="00D43D2B"/>
    <w:rsid w:val="00D46041"/>
    <w:rsid w:val="00D46FEE"/>
    <w:rsid w:val="00D5121F"/>
    <w:rsid w:val="00D544F7"/>
    <w:rsid w:val="00D5456F"/>
    <w:rsid w:val="00D668F0"/>
    <w:rsid w:val="00D67738"/>
    <w:rsid w:val="00D7126A"/>
    <w:rsid w:val="00D72519"/>
    <w:rsid w:val="00D8028E"/>
    <w:rsid w:val="00D81213"/>
    <w:rsid w:val="00D8303B"/>
    <w:rsid w:val="00D85BCE"/>
    <w:rsid w:val="00D924A3"/>
    <w:rsid w:val="00D942CA"/>
    <w:rsid w:val="00D96D1A"/>
    <w:rsid w:val="00D96D85"/>
    <w:rsid w:val="00DA3004"/>
    <w:rsid w:val="00DA66E6"/>
    <w:rsid w:val="00DB12F4"/>
    <w:rsid w:val="00DB3699"/>
    <w:rsid w:val="00DB5B80"/>
    <w:rsid w:val="00DC2040"/>
    <w:rsid w:val="00DC3DC6"/>
    <w:rsid w:val="00DC6DE5"/>
    <w:rsid w:val="00DD3BD5"/>
    <w:rsid w:val="00DE002E"/>
    <w:rsid w:val="00DE017D"/>
    <w:rsid w:val="00DE51AF"/>
    <w:rsid w:val="00DE6734"/>
    <w:rsid w:val="00DF5C8E"/>
    <w:rsid w:val="00DF6C89"/>
    <w:rsid w:val="00E0026A"/>
    <w:rsid w:val="00E03081"/>
    <w:rsid w:val="00E04E32"/>
    <w:rsid w:val="00E10157"/>
    <w:rsid w:val="00E10CDB"/>
    <w:rsid w:val="00E13C16"/>
    <w:rsid w:val="00E13D2E"/>
    <w:rsid w:val="00E1499D"/>
    <w:rsid w:val="00E172DF"/>
    <w:rsid w:val="00E22972"/>
    <w:rsid w:val="00E26D6E"/>
    <w:rsid w:val="00E30719"/>
    <w:rsid w:val="00E44DB6"/>
    <w:rsid w:val="00E469CF"/>
    <w:rsid w:val="00E47C64"/>
    <w:rsid w:val="00E51754"/>
    <w:rsid w:val="00E518E2"/>
    <w:rsid w:val="00E52744"/>
    <w:rsid w:val="00E55850"/>
    <w:rsid w:val="00E663E7"/>
    <w:rsid w:val="00E66531"/>
    <w:rsid w:val="00E716EC"/>
    <w:rsid w:val="00E72118"/>
    <w:rsid w:val="00E756FD"/>
    <w:rsid w:val="00E8359F"/>
    <w:rsid w:val="00E9123C"/>
    <w:rsid w:val="00E92290"/>
    <w:rsid w:val="00E9336E"/>
    <w:rsid w:val="00E95383"/>
    <w:rsid w:val="00EA02E7"/>
    <w:rsid w:val="00EA04EE"/>
    <w:rsid w:val="00EA11E5"/>
    <w:rsid w:val="00EA1874"/>
    <w:rsid w:val="00EA54E5"/>
    <w:rsid w:val="00EB2255"/>
    <w:rsid w:val="00EB4D93"/>
    <w:rsid w:val="00EB6FCA"/>
    <w:rsid w:val="00EC351F"/>
    <w:rsid w:val="00EC5161"/>
    <w:rsid w:val="00EC6554"/>
    <w:rsid w:val="00ED2705"/>
    <w:rsid w:val="00EE13BC"/>
    <w:rsid w:val="00EF116E"/>
    <w:rsid w:val="00EF2AE1"/>
    <w:rsid w:val="00F04E32"/>
    <w:rsid w:val="00F0735C"/>
    <w:rsid w:val="00F120F2"/>
    <w:rsid w:val="00F20E07"/>
    <w:rsid w:val="00F2304A"/>
    <w:rsid w:val="00F36880"/>
    <w:rsid w:val="00F40895"/>
    <w:rsid w:val="00F40DEE"/>
    <w:rsid w:val="00F4674B"/>
    <w:rsid w:val="00F50AF4"/>
    <w:rsid w:val="00F50DEF"/>
    <w:rsid w:val="00F51B83"/>
    <w:rsid w:val="00F52CE4"/>
    <w:rsid w:val="00F54523"/>
    <w:rsid w:val="00F54FC8"/>
    <w:rsid w:val="00F56670"/>
    <w:rsid w:val="00F57A96"/>
    <w:rsid w:val="00F6162F"/>
    <w:rsid w:val="00F61E28"/>
    <w:rsid w:val="00F65D35"/>
    <w:rsid w:val="00F753E4"/>
    <w:rsid w:val="00F76D58"/>
    <w:rsid w:val="00F81C7A"/>
    <w:rsid w:val="00F81E13"/>
    <w:rsid w:val="00F81E15"/>
    <w:rsid w:val="00F82C04"/>
    <w:rsid w:val="00F84051"/>
    <w:rsid w:val="00F847C4"/>
    <w:rsid w:val="00F918D5"/>
    <w:rsid w:val="00F97AB0"/>
    <w:rsid w:val="00FA21A6"/>
    <w:rsid w:val="00FA63DA"/>
    <w:rsid w:val="00FB0DA2"/>
    <w:rsid w:val="00FB12BA"/>
    <w:rsid w:val="00FB38D0"/>
    <w:rsid w:val="00FC0271"/>
    <w:rsid w:val="00FC08CC"/>
    <w:rsid w:val="00FC0F81"/>
    <w:rsid w:val="00FC76F9"/>
    <w:rsid w:val="00FD3233"/>
    <w:rsid w:val="00FD3CE8"/>
    <w:rsid w:val="00FD5B78"/>
    <w:rsid w:val="00FD7E20"/>
    <w:rsid w:val="00FE4718"/>
    <w:rsid w:val="00FE6498"/>
    <w:rsid w:val="00FF19D3"/>
    <w:rsid w:val="00FF52F9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6E80AF"/>
  <w15:docId w15:val="{E12F149B-6FEB-459E-B501-BD711CDE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4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D2B"/>
    <w:pPr>
      <w:keepNext/>
      <w:keepLines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D2B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BCE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D2B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D2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2D2B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C2D2B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85BCE"/>
    <w:rPr>
      <w:rFonts w:ascii="Times New Roman" w:eastAsiaTheme="majorEastAsia" w:hAnsi="Times New Roman" w:cstheme="majorBidi"/>
      <w:b/>
      <w:bCs/>
      <w:sz w:val="24"/>
    </w:rPr>
  </w:style>
  <w:style w:type="paragraph" w:styleId="BodyTextIndent">
    <w:name w:val="Body Text Indent"/>
    <w:basedOn w:val="Normal"/>
    <w:link w:val="BodyTextIndentChar"/>
    <w:uiPriority w:val="99"/>
    <w:rsid w:val="00D96D1A"/>
    <w:pPr>
      <w:spacing w:after="120"/>
      <w:ind w:left="283"/>
    </w:pPr>
    <w:rPr>
      <w:rFonts w:eastAsia="Times New Roman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6D1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05"/>
    <w:rPr>
      <w:rFonts w:ascii="Tahoma" w:hAnsi="Tahoma" w:cs="Tahoma"/>
      <w:sz w:val="16"/>
      <w:szCs w:val="16"/>
    </w:rPr>
  </w:style>
  <w:style w:type="paragraph" w:customStyle="1" w:styleId="tabulavirsraksts">
    <w:name w:val="tabula_virsraksts"/>
    <w:basedOn w:val="Title"/>
    <w:link w:val="tabulavirsrakstsChar"/>
    <w:qFormat/>
    <w:rsid w:val="00EC351F"/>
    <w:pPr>
      <w:pBdr>
        <w:bottom w:val="none" w:sz="0" w:space="0" w:color="auto"/>
      </w:pBdr>
      <w:spacing w:after="60"/>
      <w:contextualSpacing w:val="0"/>
      <w:jc w:val="center"/>
    </w:pPr>
    <w:rPr>
      <w:rFonts w:ascii="Garamond" w:eastAsia="Times New Roman" w:hAnsi="Garamond"/>
      <w:b/>
      <w:bCs/>
      <w:sz w:val="21"/>
      <w:szCs w:val="21"/>
      <w:lang w:val="en-GB"/>
    </w:rPr>
  </w:style>
  <w:style w:type="character" w:customStyle="1" w:styleId="tabulavirsrakstsChar">
    <w:name w:val="tabula_virsraksts Char"/>
    <w:basedOn w:val="TitleChar"/>
    <w:link w:val="tabulavirsraksts"/>
    <w:rsid w:val="00EC351F"/>
    <w:rPr>
      <w:rFonts w:ascii="Garamond" w:eastAsia="Times New Roman" w:hAnsi="Garamond" w:cstheme="majorBidi"/>
      <w:b/>
      <w:bCs/>
      <w:color w:val="17365D" w:themeColor="text2" w:themeShade="BF"/>
      <w:spacing w:val="5"/>
      <w:kern w:val="2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C35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3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2D11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118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D11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18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371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6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66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66D"/>
    <w:rPr>
      <w:rFonts w:ascii="Times New Roman" w:hAnsi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11B6D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styleId="Revision">
    <w:name w:val="Revision"/>
    <w:hidden/>
    <w:uiPriority w:val="99"/>
    <w:semiHidden/>
    <w:rsid w:val="00E0308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9651580204767625E-2"/>
          <c:y val="0.14620517681527839"/>
          <c:w val="0.94115940329097436"/>
          <c:h val="0.595701067462326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IKP</c:v>
                </c:pt>
              </c:strCache>
            </c:strRef>
          </c:tx>
          <c:spPr>
            <a:solidFill>
              <a:srgbClr val="C00000"/>
            </a:solidFill>
            <a:ln w="6350" cmpd="sng">
              <a:noFill/>
            </a:ln>
          </c:spPr>
          <c:invertIfNegative val="0"/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763-4949-940E-F1FC90022228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763-4949-940E-F1FC90022228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763-4949-940E-F1FC90022228}"/>
              </c:ext>
            </c:extLst>
          </c:dPt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Sheet1!$B$1:$S$2</c:f>
              <c:multiLvlStrCache>
                <c:ptCount val="1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Sheet1!$B$3:$S$3</c:f>
              <c:numCache>
                <c:formatCode>0.0</c:formatCode>
                <c:ptCount val="14"/>
                <c:pt idx="0">
                  <c:v>0.3</c:v>
                </c:pt>
                <c:pt idx="1">
                  <c:v>-7.5</c:v>
                </c:pt>
                <c:pt idx="2">
                  <c:v>-1.5</c:v>
                </c:pt>
                <c:pt idx="3">
                  <c:v>-0.3</c:v>
                </c:pt>
                <c:pt idx="4">
                  <c:v>-1.1000000000000001</c:v>
                </c:pt>
                <c:pt idx="5">
                  <c:v>9.4</c:v>
                </c:pt>
                <c:pt idx="6">
                  <c:v>4</c:v>
                </c:pt>
                <c:pt idx="7">
                  <c:v>4.5</c:v>
                </c:pt>
                <c:pt idx="8" formatCode="General">
                  <c:v>6.6</c:v>
                </c:pt>
                <c:pt idx="9">
                  <c:v>3.5</c:v>
                </c:pt>
                <c:pt idx="10" formatCode="General">
                  <c:v>0.6</c:v>
                </c:pt>
                <c:pt idx="11">
                  <c:v>1.2</c:v>
                </c:pt>
                <c:pt idx="12" formatCode="General">
                  <c:v>0.8</c:v>
                </c:pt>
                <c:pt idx="13" formatCode="General">
                  <c:v>-0.5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763-4949-940E-F1FC900222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265297168"/>
        <c:axId val="265297952"/>
      </c:barChart>
      <c:catAx>
        <c:axId val="265297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3175"/>
        </c:spPr>
        <c:txPr>
          <a:bodyPr rot="0" vert="horz"/>
          <a:lstStyle/>
          <a:p>
            <a:pPr>
              <a:defRPr sz="1100"/>
            </a:pPr>
            <a:endParaRPr lang="lv-LV"/>
          </a:p>
        </c:txPr>
        <c:crossAx val="265297952"/>
        <c:crosses val="autoZero"/>
        <c:auto val="1"/>
        <c:lblAlgn val="ctr"/>
        <c:lblOffset val="100"/>
        <c:tickLblSkip val="1"/>
        <c:noMultiLvlLbl val="1"/>
      </c:catAx>
      <c:valAx>
        <c:axId val="265297952"/>
        <c:scaling>
          <c:orientation val="minMax"/>
          <c:min val="-12"/>
        </c:scaling>
        <c:delete val="1"/>
        <c:axPos val="l"/>
        <c:numFmt formatCode="0" sourceLinked="0"/>
        <c:majorTickMark val="out"/>
        <c:minorTickMark val="none"/>
        <c:tickLblPos val="nextTo"/>
        <c:crossAx val="265297168"/>
        <c:crosses val="autoZero"/>
        <c:crossBetween val="between"/>
        <c:majorUnit val="2"/>
      </c:valAx>
      <c:spPr>
        <a:noFill/>
        <a:ln w="2475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Gill Sans Nova Cond Lt" panose="020B0306020104020203" pitchFamily="34" charset="0"/>
          <a:ea typeface="Arial"/>
          <a:cs typeface="Arial"/>
        </a:defRPr>
      </a:pPr>
      <a:endParaRPr lang="lv-L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2270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Ekonomikas ministrija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SalminsJ</dc:creator>
  <cp:lastModifiedBy>Jānis Salmiņš</cp:lastModifiedBy>
  <cp:revision>10</cp:revision>
  <cp:lastPrinted>2020-10-20T09:54:00Z</cp:lastPrinted>
  <dcterms:created xsi:type="dcterms:W3CDTF">2023-02-28T13:14:00Z</dcterms:created>
  <dcterms:modified xsi:type="dcterms:W3CDTF">2023-08-31T11:50:00Z</dcterms:modified>
</cp:coreProperties>
</file>