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F115E" w14:textId="77777777" w:rsidR="00BE6708" w:rsidRDefault="00D273DD" w:rsidP="0075703B">
      <w:pPr>
        <w:pStyle w:val="naislab"/>
        <w:spacing w:before="0" w:after="0"/>
        <w:jc w:val="center"/>
        <w:outlineLvl w:val="0"/>
        <w:rPr>
          <w:b/>
          <w:sz w:val="28"/>
          <w:szCs w:val="28"/>
        </w:rPr>
      </w:pPr>
      <w:r w:rsidRPr="00BE6708">
        <w:rPr>
          <w:sz w:val="28"/>
          <w:szCs w:val="28"/>
        </w:rPr>
        <w:t>Ministru kabineta noteikumu projekta</w:t>
      </w:r>
      <w:r w:rsidRPr="008D7E3C">
        <w:rPr>
          <w:b/>
          <w:sz w:val="28"/>
          <w:szCs w:val="28"/>
        </w:rPr>
        <w:t xml:space="preserve"> </w:t>
      </w:r>
    </w:p>
    <w:p w14:paraId="1F89BB1E" w14:textId="5B2C459D" w:rsidR="00D273DD" w:rsidRPr="008D7E3C" w:rsidRDefault="00D273DD" w:rsidP="0075703B">
      <w:pPr>
        <w:pStyle w:val="naislab"/>
        <w:spacing w:before="0" w:after="0"/>
        <w:jc w:val="center"/>
        <w:outlineLvl w:val="0"/>
        <w:rPr>
          <w:b/>
          <w:sz w:val="28"/>
          <w:szCs w:val="28"/>
        </w:rPr>
      </w:pPr>
      <w:r w:rsidRPr="008D7E3C">
        <w:rPr>
          <w:b/>
          <w:sz w:val="28"/>
          <w:szCs w:val="28"/>
        </w:rPr>
        <w:t>“</w:t>
      </w:r>
      <w:r w:rsidR="00BE6708">
        <w:rPr>
          <w:b/>
          <w:sz w:val="28"/>
          <w:szCs w:val="28"/>
        </w:rPr>
        <w:t>Grozījumi Ministru kabineta 20</w:t>
      </w:r>
      <w:r w:rsidR="0065500E">
        <w:rPr>
          <w:b/>
          <w:sz w:val="28"/>
          <w:szCs w:val="28"/>
        </w:rPr>
        <w:t>15</w:t>
      </w:r>
      <w:r w:rsidRPr="008D7E3C">
        <w:rPr>
          <w:b/>
          <w:sz w:val="28"/>
          <w:szCs w:val="28"/>
        </w:rPr>
        <w:t>.</w:t>
      </w:r>
      <w:r w:rsidR="00C677EC" w:rsidRPr="008D7E3C">
        <w:rPr>
          <w:b/>
          <w:sz w:val="28"/>
          <w:szCs w:val="28"/>
        </w:rPr>
        <w:t xml:space="preserve"> </w:t>
      </w:r>
      <w:r w:rsidR="00BE6708">
        <w:rPr>
          <w:b/>
          <w:sz w:val="28"/>
          <w:szCs w:val="28"/>
        </w:rPr>
        <w:t>gada 2</w:t>
      </w:r>
      <w:r w:rsidR="0065500E">
        <w:rPr>
          <w:b/>
          <w:sz w:val="28"/>
          <w:szCs w:val="28"/>
        </w:rPr>
        <w:t>2</w:t>
      </w:r>
      <w:r w:rsidRPr="008D7E3C">
        <w:rPr>
          <w:b/>
          <w:sz w:val="28"/>
          <w:szCs w:val="28"/>
        </w:rPr>
        <w:t>.</w:t>
      </w:r>
      <w:r w:rsidR="0065500E">
        <w:rPr>
          <w:b/>
          <w:sz w:val="28"/>
          <w:szCs w:val="28"/>
        </w:rPr>
        <w:t xml:space="preserve"> decembra</w:t>
      </w:r>
      <w:r w:rsidRPr="008D7E3C">
        <w:rPr>
          <w:b/>
          <w:sz w:val="28"/>
          <w:szCs w:val="28"/>
        </w:rPr>
        <w:t xml:space="preserve"> noteikumos Nr.</w:t>
      </w:r>
      <w:r w:rsidR="00C677EC" w:rsidRPr="008D7E3C">
        <w:rPr>
          <w:b/>
          <w:sz w:val="28"/>
          <w:szCs w:val="28"/>
        </w:rPr>
        <w:t xml:space="preserve"> </w:t>
      </w:r>
      <w:r w:rsidR="0065500E">
        <w:rPr>
          <w:b/>
          <w:sz w:val="28"/>
          <w:szCs w:val="28"/>
        </w:rPr>
        <w:t>755</w:t>
      </w:r>
      <w:r w:rsidRPr="008D7E3C">
        <w:rPr>
          <w:b/>
          <w:sz w:val="28"/>
          <w:szCs w:val="28"/>
        </w:rPr>
        <w:t xml:space="preserve"> “Noteikumi par </w:t>
      </w:r>
      <w:r w:rsidR="00BE6708">
        <w:rPr>
          <w:b/>
          <w:sz w:val="28"/>
          <w:szCs w:val="28"/>
        </w:rPr>
        <w:t>iedzīvotāju nodrošināšanu ar p</w:t>
      </w:r>
      <w:r w:rsidR="0065500E">
        <w:rPr>
          <w:b/>
          <w:sz w:val="28"/>
          <w:szCs w:val="28"/>
        </w:rPr>
        <w:t>irmās nepieciešamības rūpniecības precēm valsts apdraudējuma gadījumā</w:t>
      </w:r>
      <w:r w:rsidRPr="008D7E3C">
        <w:rPr>
          <w:b/>
          <w:sz w:val="28"/>
          <w:szCs w:val="28"/>
        </w:rPr>
        <w:t xml:space="preserve">”” </w:t>
      </w:r>
    </w:p>
    <w:p w14:paraId="62AD3C4E" w14:textId="35CDB94D" w:rsidR="009F38AE" w:rsidRDefault="00D273DD" w:rsidP="0075703B">
      <w:pPr>
        <w:pStyle w:val="naislab"/>
        <w:spacing w:before="0" w:after="0"/>
        <w:jc w:val="center"/>
        <w:outlineLvl w:val="0"/>
        <w:rPr>
          <w:sz w:val="28"/>
          <w:szCs w:val="28"/>
        </w:rPr>
      </w:pPr>
      <w:r w:rsidRPr="00BE6708">
        <w:rPr>
          <w:sz w:val="28"/>
          <w:szCs w:val="28"/>
        </w:rPr>
        <w:t>sākotnējās ietekmes novērtējuma ziņojums (anotācija)</w:t>
      </w:r>
    </w:p>
    <w:p w14:paraId="304A9FEE" w14:textId="39E648F3" w:rsidR="0065500E" w:rsidRDefault="0065500E" w:rsidP="0075703B">
      <w:pPr>
        <w:pStyle w:val="naislab"/>
        <w:spacing w:before="0" w:after="0"/>
        <w:jc w:val="center"/>
        <w:outlineLvl w:val="0"/>
        <w:rPr>
          <w:sz w:val="28"/>
          <w:szCs w:val="28"/>
        </w:rPr>
      </w:pPr>
    </w:p>
    <w:p w14:paraId="24DC15EC" w14:textId="77777777" w:rsidR="00D273DD" w:rsidRPr="008D7E3C" w:rsidRDefault="00D273DD" w:rsidP="0075703B">
      <w:pPr>
        <w:pStyle w:val="naislab"/>
        <w:spacing w:before="0" w:after="0"/>
        <w:jc w:val="center"/>
        <w:outlineLvl w:val="0"/>
        <w:rPr>
          <w:b/>
          <w:sz w:val="16"/>
          <w:szCs w:val="16"/>
        </w:rPr>
      </w:pPr>
    </w:p>
    <w:p w14:paraId="00A39486" w14:textId="259C2BC9" w:rsidR="00835034" w:rsidRPr="008D7E3C" w:rsidRDefault="00835034" w:rsidP="0075703B">
      <w:pPr>
        <w:pStyle w:val="naislab"/>
        <w:spacing w:before="0" w:after="0"/>
        <w:jc w:val="left"/>
        <w:outlineLvl w:val="0"/>
        <w:rPr>
          <w:b/>
          <w:sz w:val="16"/>
          <w:szCs w:val="16"/>
        </w:rPr>
      </w:pPr>
    </w:p>
    <w:tbl>
      <w:tblPr>
        <w:tblW w:w="5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995"/>
        <w:gridCol w:w="7353"/>
      </w:tblGrid>
      <w:tr w:rsidR="008D7E3C" w:rsidRPr="008D7E3C" w14:paraId="27FFECB7" w14:textId="77777777" w:rsidTr="00030020">
        <w:trPr>
          <w:jc w:val="center"/>
        </w:trPr>
        <w:tc>
          <w:tcPr>
            <w:tcW w:w="5000" w:type="pct"/>
            <w:gridSpan w:val="2"/>
            <w:vAlign w:val="center"/>
          </w:tcPr>
          <w:p w14:paraId="6BEE1747" w14:textId="77777777" w:rsidR="009C3192" w:rsidRPr="008D7E3C" w:rsidRDefault="009C3192" w:rsidP="00636B65">
            <w:pPr>
              <w:pStyle w:val="Parastais1"/>
              <w:spacing w:before="100" w:beforeAutospacing="1" w:after="100" w:afterAutospacing="1"/>
              <w:jc w:val="center"/>
              <w:rPr>
                <w:b/>
                <w:bCs/>
                <w:lang w:val="lv-LV" w:eastAsia="lv-LV"/>
              </w:rPr>
            </w:pPr>
            <w:r w:rsidRPr="008D7E3C">
              <w:rPr>
                <w:b/>
                <w:bCs/>
                <w:lang w:val="lv-LV" w:eastAsia="lv-LV"/>
              </w:rPr>
              <w:t>Tiesību akta projekta anotācijas kopsavilkums</w:t>
            </w:r>
          </w:p>
        </w:tc>
      </w:tr>
      <w:tr w:rsidR="009C3192" w:rsidRPr="008D7E3C" w14:paraId="071B6700" w14:textId="77777777" w:rsidTr="00030020">
        <w:trPr>
          <w:jc w:val="center"/>
        </w:trPr>
        <w:tc>
          <w:tcPr>
            <w:tcW w:w="1447" w:type="pct"/>
          </w:tcPr>
          <w:p w14:paraId="2028EDF1" w14:textId="417377C5" w:rsidR="009C3192" w:rsidRPr="008D7E3C" w:rsidRDefault="00736F45" w:rsidP="00636B65">
            <w:pPr>
              <w:pStyle w:val="Parastais1"/>
              <w:spacing w:before="100" w:beforeAutospacing="1" w:after="100" w:afterAutospacing="1"/>
              <w:jc w:val="both"/>
              <w:rPr>
                <w:b/>
                <w:bCs/>
                <w:sz w:val="22"/>
                <w:szCs w:val="22"/>
                <w:lang w:val="lv-LV" w:eastAsia="lv-LV"/>
              </w:rPr>
            </w:pPr>
            <w:r w:rsidRPr="00957718">
              <w:rPr>
                <w:lang w:val="lv-LV"/>
              </w:rPr>
              <w:t>Mērķis, risinājums un projekta spēkā stāšanās laiks (500 zīmes bez atstarpēm)</w:t>
            </w:r>
          </w:p>
        </w:tc>
        <w:tc>
          <w:tcPr>
            <w:tcW w:w="3553" w:type="pct"/>
          </w:tcPr>
          <w:p w14:paraId="5D3CF8A3" w14:textId="6E95140B" w:rsidR="009C3192" w:rsidRPr="00BE6708" w:rsidRDefault="00285948" w:rsidP="005D5BF9">
            <w:pPr>
              <w:ind w:left="137"/>
              <w:jc w:val="both"/>
            </w:pPr>
            <w:r>
              <w:t>Ministru kabineta noteikumu projekta “G</w:t>
            </w:r>
            <w:r w:rsidR="00BE6708" w:rsidRPr="00BE6708">
              <w:t>rozījum</w:t>
            </w:r>
            <w:r>
              <w:t>i</w:t>
            </w:r>
            <w:r w:rsidR="00BE6708" w:rsidRPr="00BE6708">
              <w:t xml:space="preserve"> Ministru kabineta 20</w:t>
            </w:r>
            <w:r w:rsidR="00EE150B">
              <w:t>15</w:t>
            </w:r>
            <w:r w:rsidR="00BE6708" w:rsidRPr="00BE6708">
              <w:t>. gada 2</w:t>
            </w:r>
            <w:r w:rsidR="00EE150B">
              <w:t>2</w:t>
            </w:r>
            <w:r w:rsidR="00BE6708" w:rsidRPr="00BE6708">
              <w:t>.</w:t>
            </w:r>
            <w:r w:rsidR="00EE150B">
              <w:t xml:space="preserve"> decembra</w:t>
            </w:r>
            <w:r w:rsidR="00BE6708" w:rsidRPr="00BE6708">
              <w:t xml:space="preserve"> noteikumos Nr.</w:t>
            </w:r>
            <w:r w:rsidR="00EE150B">
              <w:t>755</w:t>
            </w:r>
            <w:r w:rsidR="00BE6708" w:rsidRPr="00BE6708">
              <w:t xml:space="preserve"> “Noteikumi par iedzīvotāju nodrošināšanu ar p</w:t>
            </w:r>
            <w:r w:rsidR="00EE150B">
              <w:t>irmās nepieciešamības rūpniecības precēm valsts apdraudējuma gadījumā</w:t>
            </w:r>
            <w:r w:rsidR="00BE6708" w:rsidRPr="00BE6708">
              <w:t>”</w:t>
            </w:r>
            <w:r>
              <w:t>”</w:t>
            </w:r>
            <w:r w:rsidR="002F067B">
              <w:t xml:space="preserve"> (turpmāk – noteikumu projekts)</w:t>
            </w:r>
            <w:r>
              <w:t xml:space="preserve"> mērķis </w:t>
            </w:r>
            <w:r w:rsidR="00557826">
              <w:t xml:space="preserve">ir </w:t>
            </w:r>
            <w:r w:rsidR="00EE150B">
              <w:t>precizēt</w:t>
            </w:r>
            <w:r w:rsidR="00557826">
              <w:t xml:space="preserve"> spēkā esošo </w:t>
            </w:r>
            <w:r w:rsidR="00BE6708" w:rsidRPr="00BE6708">
              <w:t>tiesisko regulējumu</w:t>
            </w:r>
            <w:r w:rsidR="005F57BD">
              <w:t>,</w:t>
            </w:r>
            <w:r w:rsidR="00557826">
              <w:t xml:space="preserve"> </w:t>
            </w:r>
            <w:r w:rsidR="008414C5">
              <w:t>lai nodrošinātu iedzīvotāju</w:t>
            </w:r>
            <w:r w:rsidR="00EE150B">
              <w:t>s</w:t>
            </w:r>
            <w:r w:rsidR="008414C5">
              <w:t xml:space="preserve"> ar p</w:t>
            </w:r>
            <w:r w:rsidR="00EE150B">
              <w:t>irmās nepieciešamības rūpniecības precēm</w:t>
            </w:r>
            <w:r w:rsidR="00641B06">
              <w:t xml:space="preserve"> (turpmāk – pirmās nepieciešamības preces)</w:t>
            </w:r>
            <w:r w:rsidR="008414C5">
              <w:t xml:space="preserve"> valsts apdraudējuma gadījumā.</w:t>
            </w:r>
          </w:p>
        </w:tc>
      </w:tr>
    </w:tbl>
    <w:p w14:paraId="734887F9" w14:textId="77777777" w:rsidR="009C3192" w:rsidRPr="008D7E3C" w:rsidRDefault="009C3192" w:rsidP="0075703B">
      <w:pPr>
        <w:pStyle w:val="naislab"/>
        <w:spacing w:before="0" w:after="0"/>
        <w:jc w:val="left"/>
        <w:outlineLvl w:val="0"/>
        <w:rPr>
          <w:b/>
          <w:sz w:val="16"/>
          <w:szCs w:val="16"/>
        </w:rPr>
      </w:pPr>
    </w:p>
    <w:tbl>
      <w:tblPr>
        <w:tblpPr w:leftFromText="180" w:rightFromText="180" w:vertAnchor="text" w:horzAnchor="margin" w:tblpXSpec="center" w:tblpY="149"/>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551"/>
        <w:gridCol w:w="7361"/>
      </w:tblGrid>
      <w:tr w:rsidR="008D7E3C" w:rsidRPr="008D7E3C" w14:paraId="442FAE3A" w14:textId="77777777" w:rsidTr="00657939">
        <w:tc>
          <w:tcPr>
            <w:tcW w:w="10338" w:type="dxa"/>
            <w:gridSpan w:val="3"/>
            <w:vAlign w:val="center"/>
          </w:tcPr>
          <w:p w14:paraId="26C3E4DD" w14:textId="77777777" w:rsidR="00D42F6E" w:rsidRPr="008D7E3C" w:rsidRDefault="00D42F6E" w:rsidP="0075703B">
            <w:pPr>
              <w:pStyle w:val="naisnod"/>
              <w:spacing w:before="0" w:after="0"/>
            </w:pPr>
            <w:r w:rsidRPr="008D7E3C">
              <w:t>I. Tiesību akta projekta izstrādes nepieciešamība</w:t>
            </w:r>
          </w:p>
        </w:tc>
      </w:tr>
      <w:tr w:rsidR="008D7E3C" w:rsidRPr="008D7E3C" w14:paraId="7A6DFABD" w14:textId="77777777" w:rsidTr="00657939">
        <w:trPr>
          <w:trHeight w:val="274"/>
        </w:trPr>
        <w:tc>
          <w:tcPr>
            <w:tcW w:w="426" w:type="dxa"/>
          </w:tcPr>
          <w:p w14:paraId="743BCCE5" w14:textId="77777777" w:rsidR="00D42F6E" w:rsidRPr="00957718" w:rsidRDefault="00D42F6E" w:rsidP="0075703B">
            <w:pPr>
              <w:pStyle w:val="naiskr"/>
              <w:spacing w:before="0" w:after="0"/>
              <w:jc w:val="center"/>
            </w:pPr>
            <w:r w:rsidRPr="00957718">
              <w:t>1.</w:t>
            </w:r>
          </w:p>
        </w:tc>
        <w:tc>
          <w:tcPr>
            <w:tcW w:w="2551" w:type="dxa"/>
          </w:tcPr>
          <w:p w14:paraId="353067A0" w14:textId="77710E56" w:rsidR="001D0C20" w:rsidRPr="00957718" w:rsidRDefault="00D42F6E" w:rsidP="0075703B">
            <w:pPr>
              <w:pStyle w:val="naiskr"/>
              <w:spacing w:before="0" w:after="0"/>
              <w:ind w:left="164"/>
            </w:pPr>
            <w:r w:rsidRPr="00957718">
              <w:t>Pamatojums</w:t>
            </w:r>
          </w:p>
        </w:tc>
        <w:tc>
          <w:tcPr>
            <w:tcW w:w="7361" w:type="dxa"/>
          </w:tcPr>
          <w:p w14:paraId="45D0E856" w14:textId="1F003BFD" w:rsidR="007A7695" w:rsidRPr="00ED3F25" w:rsidRDefault="007A7695" w:rsidP="00ED3F25">
            <w:pPr>
              <w:spacing w:after="120"/>
              <w:ind w:left="141"/>
              <w:jc w:val="both"/>
              <w:rPr>
                <w:sz w:val="22"/>
                <w:szCs w:val="22"/>
              </w:rPr>
            </w:pPr>
            <w:r>
              <w:t xml:space="preserve">Ministru kabineta 2018. gada 30. oktobra sēdes </w:t>
            </w:r>
            <w:proofErr w:type="spellStart"/>
            <w:r>
              <w:t>protokollēmuma</w:t>
            </w:r>
            <w:proofErr w:type="spellEnd"/>
            <w:r>
              <w:t xml:space="preserve"> Nr.</w:t>
            </w:r>
            <w:r w:rsidR="005F0171">
              <w:t> </w:t>
            </w:r>
            <w:r>
              <w:t>50 52.</w:t>
            </w:r>
            <w:r w:rsidR="00ED3F25">
              <w:t>§</w:t>
            </w:r>
            <w:r>
              <w:t xml:space="preserve"> </w:t>
            </w:r>
            <w:r w:rsidR="00ED3F25">
              <w:t>“I</w:t>
            </w:r>
            <w:r>
              <w:t>nformatīvais ziņojums “Par mācību KRISTAPS 2018 secinājumiem”</w:t>
            </w:r>
            <w:r w:rsidR="00ED3F25">
              <w:t xml:space="preserve"> (TA-2170-DV)</w:t>
            </w:r>
            <w:r>
              <w:t xml:space="preserve"> </w:t>
            </w:r>
            <w:r w:rsidR="00443018">
              <w:t>5</w:t>
            </w:r>
            <w:r>
              <w:t>.</w:t>
            </w:r>
            <w:r w:rsidR="00ED3F25">
              <w:t xml:space="preserve"> punkts</w:t>
            </w:r>
            <w:r w:rsidR="002471E5">
              <w:t>.</w:t>
            </w:r>
          </w:p>
        </w:tc>
      </w:tr>
      <w:tr w:rsidR="008D7E3C" w:rsidRPr="008D7E3C" w14:paraId="29FB04EB" w14:textId="77777777" w:rsidTr="00657939">
        <w:trPr>
          <w:trHeight w:val="472"/>
        </w:trPr>
        <w:tc>
          <w:tcPr>
            <w:tcW w:w="426" w:type="dxa"/>
          </w:tcPr>
          <w:p w14:paraId="68391A25" w14:textId="77777777" w:rsidR="00D42F6E" w:rsidRPr="00957718" w:rsidRDefault="00D42F6E" w:rsidP="0075703B">
            <w:pPr>
              <w:pStyle w:val="naiskr"/>
              <w:spacing w:before="0" w:after="0"/>
              <w:jc w:val="center"/>
            </w:pPr>
            <w:r w:rsidRPr="00957718">
              <w:t>2.</w:t>
            </w:r>
          </w:p>
        </w:tc>
        <w:tc>
          <w:tcPr>
            <w:tcW w:w="2551" w:type="dxa"/>
          </w:tcPr>
          <w:p w14:paraId="71ACF673" w14:textId="77777777" w:rsidR="00D42F6E" w:rsidRPr="00957718" w:rsidRDefault="00D42F6E" w:rsidP="0075703B">
            <w:pPr>
              <w:tabs>
                <w:tab w:val="left" w:pos="-168"/>
              </w:tabs>
              <w:ind w:left="164" w:right="57"/>
              <w:rPr>
                <w:rFonts w:eastAsia="Calibri"/>
              </w:rPr>
            </w:pPr>
            <w:r w:rsidRPr="00957718">
              <w:rPr>
                <w:rFonts w:eastAsia="Calibri"/>
              </w:rPr>
              <w:t>Pašreizējā situācija un problēmas, kuru risināšanai tiesību akta projekts izstrādāts, tiesiskā regulējuma mērķis un būtība</w:t>
            </w:r>
          </w:p>
          <w:p w14:paraId="13778108" w14:textId="77777777" w:rsidR="00D42F6E" w:rsidRPr="00957718" w:rsidRDefault="00D42F6E" w:rsidP="0075703B">
            <w:pPr>
              <w:tabs>
                <w:tab w:val="left" w:pos="-168"/>
              </w:tabs>
              <w:ind w:left="164" w:right="57"/>
              <w:rPr>
                <w:rFonts w:eastAsia="Calibri"/>
              </w:rPr>
            </w:pPr>
          </w:p>
          <w:p w14:paraId="6A9DCF12" w14:textId="77777777" w:rsidR="00D42F6E" w:rsidRPr="00957718" w:rsidRDefault="00D42F6E" w:rsidP="0075703B">
            <w:pPr>
              <w:pStyle w:val="naiskr"/>
              <w:tabs>
                <w:tab w:val="left" w:pos="170"/>
              </w:tabs>
              <w:spacing w:before="0" w:after="0"/>
              <w:ind w:left="164"/>
              <w:jc w:val="center"/>
            </w:pPr>
          </w:p>
        </w:tc>
        <w:tc>
          <w:tcPr>
            <w:tcW w:w="7361" w:type="dxa"/>
          </w:tcPr>
          <w:p w14:paraId="3F5D0AB8" w14:textId="568EB2E8" w:rsidR="00D92978" w:rsidRPr="00002EFB" w:rsidRDefault="00BE1BCB" w:rsidP="005716A4">
            <w:pPr>
              <w:spacing w:after="120"/>
              <w:ind w:left="136"/>
              <w:jc w:val="both"/>
              <w:rPr>
                <w:color w:val="000000"/>
                <w:u w:val="single"/>
              </w:rPr>
            </w:pPr>
            <w:r w:rsidRPr="00002EFB">
              <w:t>Atbilstoši Mobilizācijas likum</w:t>
            </w:r>
            <w:r w:rsidR="00E73991" w:rsidRPr="00002EFB">
              <w:t>a</w:t>
            </w:r>
            <w:r w:rsidRPr="00002EFB">
              <w:t xml:space="preserve"> </w:t>
            </w:r>
            <w:r w:rsidR="00E73991" w:rsidRPr="00002EFB">
              <w:rPr>
                <w:color w:val="000000"/>
              </w:rPr>
              <w:t>9. panta 6</w:t>
            </w:r>
            <w:r w:rsidR="00641B06" w:rsidRPr="00002EFB">
              <w:rPr>
                <w:color w:val="000000"/>
                <w:vertAlign w:val="superscript"/>
              </w:rPr>
              <w:t>1</w:t>
            </w:r>
            <w:r w:rsidR="00E73991" w:rsidRPr="00002EFB">
              <w:rPr>
                <w:color w:val="000000"/>
              </w:rPr>
              <w:t xml:space="preserve">.punktā </w:t>
            </w:r>
            <w:r w:rsidRPr="00002EFB">
              <w:t xml:space="preserve">dotajam deleģējumam </w:t>
            </w:r>
            <w:r w:rsidR="00134036" w:rsidRPr="00002EFB">
              <w:t>ir izdoti</w:t>
            </w:r>
            <w:r w:rsidR="00641B06" w:rsidRPr="00002EFB">
              <w:t xml:space="preserve"> Ministru kabineta 2015. gada 22. decembra noteikumi Nr.755 “Noteikumi par iedzīvotāju nodrošināšanu ar pirmās nepieciešamības rūpniecības precēm valsts apdraudējuma gadījumā”</w:t>
            </w:r>
            <w:r w:rsidR="004D4F44" w:rsidRPr="00002EFB">
              <w:t xml:space="preserve"> (turpmāk – noteikumi)</w:t>
            </w:r>
            <w:r w:rsidR="00893F44" w:rsidRPr="00002EFB">
              <w:t xml:space="preserve"> </w:t>
            </w:r>
            <w:r w:rsidR="00447860" w:rsidRPr="00002EFB">
              <w:t>iedzīvotāju normēt</w:t>
            </w:r>
            <w:r w:rsidR="00893F44" w:rsidRPr="00002EFB">
              <w:t>a</w:t>
            </w:r>
            <w:r w:rsidR="00641B06" w:rsidRPr="00002EFB">
              <w:t>s</w:t>
            </w:r>
            <w:r w:rsidR="00447860" w:rsidRPr="00002EFB">
              <w:t xml:space="preserve"> apgād</w:t>
            </w:r>
            <w:r w:rsidR="00893F44" w:rsidRPr="00002EFB">
              <w:t>es</w:t>
            </w:r>
            <w:r w:rsidR="00447860" w:rsidRPr="00002EFB">
              <w:t xml:space="preserve"> </w:t>
            </w:r>
            <w:r w:rsidR="00134036" w:rsidRPr="00002EFB">
              <w:t>ar p</w:t>
            </w:r>
            <w:r w:rsidR="007A4A96" w:rsidRPr="00002EFB">
              <w:t>irmās nepieciešamības precēm</w:t>
            </w:r>
            <w:r w:rsidR="00134036" w:rsidRPr="00002EFB">
              <w:t xml:space="preserve"> </w:t>
            </w:r>
            <w:r w:rsidR="00893F44" w:rsidRPr="00002EFB">
              <w:t xml:space="preserve">nodrošināšanai </w:t>
            </w:r>
            <w:r w:rsidR="00447860" w:rsidRPr="00002EFB">
              <w:t>valsts apdraudējuma gadījumā</w:t>
            </w:r>
            <w:bookmarkStart w:id="0" w:name="_Hlk31356533"/>
            <w:r w:rsidR="00447860" w:rsidRPr="00002EFB">
              <w:t xml:space="preserve">, ja </w:t>
            </w:r>
            <w:r w:rsidR="00447860" w:rsidRPr="00002EFB">
              <w:rPr>
                <w:color w:val="000000"/>
              </w:rPr>
              <w:t>ā</w:t>
            </w:r>
            <w:r w:rsidR="004D4F44" w:rsidRPr="00002EFB">
              <w:rPr>
                <w:color w:val="000000"/>
              </w:rPr>
              <w:t>rkārtējās situācijas un izņēmuma stāvokļa gadījumā</w:t>
            </w:r>
            <w:r w:rsidR="00447860" w:rsidRPr="00002EFB">
              <w:rPr>
                <w:color w:val="000000"/>
              </w:rPr>
              <w:t xml:space="preserve"> ir izsludināta mobilizācija</w:t>
            </w:r>
            <w:bookmarkEnd w:id="0"/>
            <w:r w:rsidR="00E73991" w:rsidRPr="00002EFB">
              <w:rPr>
                <w:color w:val="000000"/>
              </w:rPr>
              <w:t xml:space="preserve"> saskaņā ar Nacionālās drošības likuma 22. pantā noteikto</w:t>
            </w:r>
            <w:r w:rsidR="00893F44" w:rsidRPr="00002EFB">
              <w:rPr>
                <w:color w:val="000000"/>
              </w:rPr>
              <w:t>.</w:t>
            </w:r>
          </w:p>
          <w:p w14:paraId="1350D083" w14:textId="0372C20F" w:rsidR="006F0189" w:rsidRDefault="00A827DD" w:rsidP="006F0189">
            <w:pPr>
              <w:spacing w:after="120"/>
              <w:ind w:left="136"/>
              <w:jc w:val="both"/>
            </w:pPr>
            <w:r>
              <w:rPr>
                <w:iCs/>
              </w:rPr>
              <w:t>Grozījumi</w:t>
            </w:r>
            <w:r w:rsidR="00DA310C" w:rsidRPr="00895B2D">
              <w:rPr>
                <w:iCs/>
              </w:rPr>
              <w:t xml:space="preserve"> noteikum</w:t>
            </w:r>
            <w:r w:rsidR="007A4A96">
              <w:rPr>
                <w:iCs/>
              </w:rPr>
              <w:t>os</w:t>
            </w:r>
            <w:r>
              <w:rPr>
                <w:iCs/>
              </w:rPr>
              <w:t xml:space="preserve"> ir </w:t>
            </w:r>
            <w:r w:rsidR="00DA310C" w:rsidRPr="00895B2D">
              <w:rPr>
                <w:iCs/>
              </w:rPr>
              <w:t>izstrādāt</w:t>
            </w:r>
            <w:r>
              <w:rPr>
                <w:iCs/>
              </w:rPr>
              <w:t>i</w:t>
            </w:r>
            <w:r w:rsidR="00DA310C" w:rsidRPr="00895B2D">
              <w:rPr>
                <w:iCs/>
              </w:rPr>
              <w:t xml:space="preserve">, lai </w:t>
            </w:r>
            <w:r w:rsidR="006F0189">
              <w:rPr>
                <w:iCs/>
              </w:rPr>
              <w:t xml:space="preserve">precizēto noteikumos norādīto pirmās nepieciešamības preču sarakstu. </w:t>
            </w:r>
            <w:r w:rsidR="006F0189" w:rsidRPr="006F0189">
              <w:rPr>
                <w:bCs/>
                <w:iCs/>
              </w:rPr>
              <w:t>Pārskatot pirmās nepieciešamības  preču sarakstu (Pielikums Nr.1), ir secināts, ka preču dalījums ir pārāk plašs, detalizēts un ne</w:t>
            </w:r>
            <w:r w:rsidR="006F0189">
              <w:rPr>
                <w:bCs/>
                <w:iCs/>
              </w:rPr>
              <w:t>lietderīgi</w:t>
            </w:r>
            <w:r w:rsidR="006F0189" w:rsidRPr="006F0189">
              <w:rPr>
                <w:bCs/>
                <w:iCs/>
              </w:rPr>
              <w:t xml:space="preserve"> sadalīts pa vecuma grupām, tādēļ ir sagatavo</w:t>
            </w:r>
            <w:r w:rsidR="006F0189">
              <w:rPr>
                <w:bCs/>
                <w:iCs/>
              </w:rPr>
              <w:t xml:space="preserve">ts </w:t>
            </w:r>
            <w:r w:rsidR="006F0189" w:rsidRPr="006F0189">
              <w:rPr>
                <w:bCs/>
                <w:iCs/>
              </w:rPr>
              <w:t>jaun</w:t>
            </w:r>
            <w:r w:rsidR="006F0189">
              <w:rPr>
                <w:bCs/>
                <w:iCs/>
              </w:rPr>
              <w:t>s</w:t>
            </w:r>
            <w:r w:rsidR="006F0189" w:rsidRPr="006F0189">
              <w:rPr>
                <w:bCs/>
                <w:iCs/>
              </w:rPr>
              <w:t xml:space="preserve"> sarakst</w:t>
            </w:r>
            <w:r w:rsidR="006F0189">
              <w:rPr>
                <w:bCs/>
                <w:iCs/>
              </w:rPr>
              <w:t>s, kurā norādītas</w:t>
            </w:r>
            <w:r w:rsidR="006F0189" w:rsidRPr="006F0189">
              <w:rPr>
                <w:bCs/>
                <w:iCs/>
              </w:rPr>
              <w:t xml:space="preserve"> tikai tās pirmās nepieciešamības preces, </w:t>
            </w:r>
            <w:r w:rsidR="00002EFB">
              <w:rPr>
                <w:bCs/>
                <w:iCs/>
              </w:rPr>
              <w:t xml:space="preserve">lai nodrošinātu minimālās higiēnas prasības un </w:t>
            </w:r>
            <w:r w:rsidR="006F0189" w:rsidRPr="006F0189">
              <w:rPr>
                <w:bCs/>
                <w:iCs/>
              </w:rPr>
              <w:t xml:space="preserve">kuru krājumi, ieilgstot krīzes situācijai vai valsts apdraudējumam, civiliedzīvotājiem varētu izbeigties un tos būtu nepieciešams atjaunot, piemēram, ziepes, tualetes papīrs, mitrās salvetes, sveces, utt. Savukārt, nodrošinājumā ar pirmās nepieciešamības rūpniecības precēm, kuras ir izmantojamas vairākkārt un ilgtermiņā, kā piemēram, sega, virsdrēbes, apakšveļa, zeķes, apavi, krūze, šķīvis, galda piederumi, radio ar bateriju, utt., būtu jāpielieto  </w:t>
            </w:r>
            <w:bookmarkStart w:id="1" w:name="_Hlk57721139"/>
            <w:r w:rsidR="006F0189" w:rsidRPr="006F0189">
              <w:rPr>
                <w:bCs/>
                <w:iCs/>
              </w:rPr>
              <w:t>Skandināvu valstu un Igaunijas pieeja, kas ar informatīva materiāla (bukleta) palīdzību iesaka katrai mājsaimniecībai nodrošināties ar attiecīgiem produktiem un precēm</w:t>
            </w:r>
            <w:bookmarkEnd w:id="1"/>
            <w:r w:rsidR="006F0189" w:rsidRPr="006F0189">
              <w:rPr>
                <w:bCs/>
                <w:iCs/>
              </w:rPr>
              <w:t xml:space="preserve">, </w:t>
            </w:r>
            <w:bookmarkStart w:id="2" w:name="_Hlk57721037"/>
            <w:r w:rsidR="006F0189" w:rsidRPr="006F0189">
              <w:rPr>
                <w:bCs/>
                <w:iCs/>
              </w:rPr>
              <w:t>ja nu pēkšņi drošības situāciju valstī destabilizētu terorakti, kiberuzbrukumi, dabas kataklizmas vai pat karš</w:t>
            </w:r>
            <w:bookmarkEnd w:id="2"/>
            <w:r w:rsidR="006F0189" w:rsidRPr="006F0189">
              <w:rPr>
                <w:bCs/>
                <w:iCs/>
              </w:rPr>
              <w:t>. Ekonomikas ministrija uzskata, ka šāda pieeja atbilst Aizsardzības ministrijas izstrādātajai Visaptverošas valsts aizsardzības sistēmai, kas balstās uz visu valsts iedzīvotāju plašu iesaisti valsts aizsardzības spēju uzturēšanā.</w:t>
            </w:r>
            <w:r w:rsidR="006F0189">
              <w:rPr>
                <w:bCs/>
                <w:iCs/>
              </w:rPr>
              <w:t xml:space="preserve"> </w:t>
            </w:r>
          </w:p>
          <w:p w14:paraId="4D860858" w14:textId="4DAA1A30" w:rsidR="00727167" w:rsidRPr="00F604CA" w:rsidRDefault="00727167" w:rsidP="005716A4">
            <w:pPr>
              <w:spacing w:after="120"/>
              <w:ind w:left="136"/>
              <w:jc w:val="both"/>
              <w:rPr>
                <w:iCs/>
              </w:rPr>
            </w:pPr>
          </w:p>
        </w:tc>
      </w:tr>
      <w:tr w:rsidR="008D7E3C" w:rsidRPr="008D7E3C" w14:paraId="0BD07AF0" w14:textId="77777777" w:rsidTr="00657939">
        <w:trPr>
          <w:trHeight w:val="558"/>
        </w:trPr>
        <w:tc>
          <w:tcPr>
            <w:tcW w:w="426" w:type="dxa"/>
          </w:tcPr>
          <w:p w14:paraId="1DF862E5" w14:textId="4E11CB02" w:rsidR="00D42F6E" w:rsidRPr="00957718" w:rsidRDefault="00D42F6E" w:rsidP="0075703B">
            <w:pPr>
              <w:pStyle w:val="naiskr"/>
              <w:spacing w:before="0" w:after="0"/>
              <w:jc w:val="center"/>
            </w:pPr>
            <w:r w:rsidRPr="00957718">
              <w:lastRenderedPageBreak/>
              <w:t>3.</w:t>
            </w:r>
          </w:p>
        </w:tc>
        <w:tc>
          <w:tcPr>
            <w:tcW w:w="2551" w:type="dxa"/>
          </w:tcPr>
          <w:p w14:paraId="7BF713E1" w14:textId="4EC872F5" w:rsidR="00D42F6E" w:rsidRPr="00957718" w:rsidRDefault="00230DA0" w:rsidP="0075703B">
            <w:pPr>
              <w:pStyle w:val="naiskr"/>
              <w:spacing w:before="0" w:after="0"/>
              <w:ind w:left="164"/>
            </w:pPr>
            <w:r w:rsidRPr="00957718">
              <w:t>Projekta izstrādē iesaistītās institūcijas un publiskas personas kapitālsabiedrības</w:t>
            </w:r>
          </w:p>
        </w:tc>
        <w:tc>
          <w:tcPr>
            <w:tcW w:w="7361" w:type="dxa"/>
          </w:tcPr>
          <w:p w14:paraId="011488CB" w14:textId="4202D07E" w:rsidR="00D42F6E" w:rsidRPr="00957718" w:rsidRDefault="00BE6708" w:rsidP="005716A4">
            <w:pPr>
              <w:pStyle w:val="naiskr"/>
              <w:spacing w:before="0" w:after="120"/>
              <w:ind w:left="136" w:right="81"/>
              <w:jc w:val="both"/>
            </w:pPr>
            <w:r w:rsidRPr="00957718">
              <w:t>Nav</w:t>
            </w:r>
            <w:r w:rsidR="000B66D7" w:rsidRPr="00957718">
              <w:t>.</w:t>
            </w:r>
          </w:p>
        </w:tc>
      </w:tr>
      <w:tr w:rsidR="008D7E3C" w:rsidRPr="008D7E3C" w14:paraId="67CA98DE" w14:textId="77777777" w:rsidTr="00657939">
        <w:trPr>
          <w:trHeight w:val="384"/>
        </w:trPr>
        <w:tc>
          <w:tcPr>
            <w:tcW w:w="426" w:type="dxa"/>
          </w:tcPr>
          <w:p w14:paraId="5808FC97" w14:textId="77777777" w:rsidR="00D42F6E" w:rsidRPr="00957718" w:rsidRDefault="00D42F6E" w:rsidP="0075703B">
            <w:pPr>
              <w:pStyle w:val="naiskr"/>
              <w:spacing w:before="0" w:after="0"/>
              <w:jc w:val="center"/>
            </w:pPr>
            <w:r w:rsidRPr="00957718">
              <w:t>4.</w:t>
            </w:r>
          </w:p>
        </w:tc>
        <w:tc>
          <w:tcPr>
            <w:tcW w:w="2551" w:type="dxa"/>
          </w:tcPr>
          <w:p w14:paraId="6BCF030F" w14:textId="77777777" w:rsidR="00D42F6E" w:rsidRPr="00957718" w:rsidRDefault="00D42F6E" w:rsidP="0075703B">
            <w:pPr>
              <w:pStyle w:val="naiskr"/>
              <w:spacing w:before="0" w:after="0"/>
            </w:pPr>
            <w:r w:rsidRPr="00957718">
              <w:t>Cita informācija</w:t>
            </w:r>
          </w:p>
        </w:tc>
        <w:tc>
          <w:tcPr>
            <w:tcW w:w="7361" w:type="dxa"/>
          </w:tcPr>
          <w:p w14:paraId="7FB542A4" w14:textId="406F9943" w:rsidR="00D42F6E" w:rsidRPr="00957718" w:rsidRDefault="00D42F6E" w:rsidP="00BE0AA7">
            <w:pPr>
              <w:ind w:left="137"/>
              <w:jc w:val="both"/>
            </w:pPr>
            <w:r w:rsidRPr="00957718">
              <w:t>Nav</w:t>
            </w:r>
            <w:r w:rsidR="004C7C02" w:rsidRPr="00957718">
              <w:t>.</w:t>
            </w:r>
          </w:p>
        </w:tc>
      </w:tr>
    </w:tbl>
    <w:p w14:paraId="110659CC" w14:textId="77777777" w:rsidR="0082484A" w:rsidRPr="008D7E3C" w:rsidRDefault="0082484A" w:rsidP="0075703B">
      <w:pPr>
        <w:pStyle w:val="naisf"/>
        <w:spacing w:before="0" w:after="0"/>
        <w:ind w:firstLine="0"/>
        <w:rPr>
          <w:sz w:val="16"/>
          <w:szCs w:val="16"/>
        </w:rPr>
      </w:pPr>
    </w:p>
    <w:tbl>
      <w:tblPr>
        <w:tblStyle w:val="TableGrid"/>
        <w:tblW w:w="10343" w:type="dxa"/>
        <w:jc w:val="center"/>
        <w:tblLook w:val="04A0" w:firstRow="1" w:lastRow="0" w:firstColumn="1" w:lastColumn="0" w:noHBand="0" w:noVBand="1"/>
      </w:tblPr>
      <w:tblGrid>
        <w:gridCol w:w="396"/>
        <w:gridCol w:w="2658"/>
        <w:gridCol w:w="7289"/>
      </w:tblGrid>
      <w:tr w:rsidR="008D7E3C" w:rsidRPr="008D7E3C" w14:paraId="2B733F96" w14:textId="77777777" w:rsidTr="00735D9B">
        <w:trPr>
          <w:jc w:val="center"/>
        </w:trPr>
        <w:tc>
          <w:tcPr>
            <w:tcW w:w="10343" w:type="dxa"/>
            <w:gridSpan w:val="3"/>
          </w:tcPr>
          <w:p w14:paraId="3BAF9CAF" w14:textId="77777777" w:rsidR="0082484A" w:rsidRPr="008D7E3C" w:rsidRDefault="0082484A" w:rsidP="0075703B">
            <w:pPr>
              <w:ind w:right="57"/>
              <w:jc w:val="center"/>
              <w:rPr>
                <w:rFonts w:eastAsia="Calibri"/>
                <w:b/>
              </w:rPr>
            </w:pPr>
            <w:r w:rsidRPr="008D7E3C">
              <w:rPr>
                <w:b/>
                <w:bCs/>
              </w:rPr>
              <w:t>II. Tiesību akta projekta ietekme uz sabiedrību</w:t>
            </w:r>
            <w:r w:rsidRPr="008D7E3C">
              <w:rPr>
                <w:rFonts w:eastAsia="Calibri"/>
                <w:b/>
              </w:rPr>
              <w:t>, tautsaimniecības attīstību</w:t>
            </w:r>
          </w:p>
          <w:p w14:paraId="5B1ABA8B" w14:textId="77777777" w:rsidR="0082484A" w:rsidRPr="008D7E3C" w:rsidRDefault="0082484A" w:rsidP="0075703B">
            <w:pPr>
              <w:pStyle w:val="naisf"/>
              <w:spacing w:before="0" w:after="0"/>
              <w:ind w:firstLine="0"/>
              <w:jc w:val="center"/>
              <w:rPr>
                <w:b/>
              </w:rPr>
            </w:pPr>
            <w:r w:rsidRPr="008D7E3C">
              <w:rPr>
                <w:rFonts w:eastAsia="Calibri"/>
                <w:b/>
                <w:lang w:eastAsia="en-US"/>
              </w:rPr>
              <w:t>un administratīvo slogu</w:t>
            </w:r>
          </w:p>
        </w:tc>
      </w:tr>
      <w:tr w:rsidR="008D7E3C" w:rsidRPr="008D7E3C" w14:paraId="7BC8E516" w14:textId="77777777" w:rsidTr="00A1709F">
        <w:trPr>
          <w:trHeight w:val="1515"/>
          <w:jc w:val="center"/>
        </w:trPr>
        <w:tc>
          <w:tcPr>
            <w:tcW w:w="396" w:type="dxa"/>
          </w:tcPr>
          <w:p w14:paraId="7F5B3634" w14:textId="77777777" w:rsidR="0082484A" w:rsidRPr="00957718" w:rsidRDefault="0082484A" w:rsidP="0075703B">
            <w:pPr>
              <w:pStyle w:val="naisf"/>
              <w:spacing w:before="0" w:after="0"/>
              <w:ind w:firstLine="0"/>
            </w:pPr>
            <w:r w:rsidRPr="00957718">
              <w:t>1.</w:t>
            </w:r>
          </w:p>
        </w:tc>
        <w:tc>
          <w:tcPr>
            <w:tcW w:w="2658" w:type="dxa"/>
          </w:tcPr>
          <w:p w14:paraId="693B6B7D" w14:textId="5B8E6454" w:rsidR="00EB7AED" w:rsidRPr="00957718" w:rsidRDefault="0082484A" w:rsidP="0075703B">
            <w:pPr>
              <w:pStyle w:val="naisf"/>
              <w:spacing w:before="0" w:after="0"/>
              <w:ind w:firstLine="0"/>
            </w:pPr>
            <w:r w:rsidRPr="00957718">
              <w:t xml:space="preserve">Sabiedrības </w:t>
            </w:r>
            <w:proofErr w:type="spellStart"/>
            <w:r w:rsidRPr="00957718">
              <w:t>mērķgrupa</w:t>
            </w:r>
            <w:r w:rsidR="00D16F90" w:rsidRPr="00957718">
              <w:t>s</w:t>
            </w:r>
            <w:proofErr w:type="spellEnd"/>
            <w:r w:rsidRPr="00957718">
              <w:t>, kuras tiesiskais regulējums ietekmē vai varētu ietekmēt</w:t>
            </w:r>
          </w:p>
          <w:p w14:paraId="6931A741" w14:textId="77777777" w:rsidR="00EB7AED" w:rsidRPr="00957718" w:rsidRDefault="00EB7AED" w:rsidP="00EB7AED"/>
          <w:p w14:paraId="00ABD8F7" w14:textId="74DABEC0" w:rsidR="009F38AE" w:rsidRPr="00957718" w:rsidRDefault="009F38AE" w:rsidP="00A1709F"/>
        </w:tc>
        <w:tc>
          <w:tcPr>
            <w:tcW w:w="7289" w:type="dxa"/>
          </w:tcPr>
          <w:p w14:paraId="3BF83311" w14:textId="77777777" w:rsidR="00BE6708" w:rsidRDefault="000B66D7" w:rsidP="003340D4">
            <w:pPr>
              <w:pStyle w:val="naisf"/>
              <w:spacing w:before="0" w:after="0"/>
              <w:ind w:firstLine="0"/>
              <w:rPr>
                <w:szCs w:val="22"/>
              </w:rPr>
            </w:pPr>
            <w:r w:rsidRPr="008D7E3C">
              <w:rPr>
                <w:szCs w:val="22"/>
              </w:rPr>
              <w:t xml:space="preserve">Noteikumu projekts </w:t>
            </w:r>
            <w:r w:rsidR="00BE6708">
              <w:rPr>
                <w:szCs w:val="22"/>
              </w:rPr>
              <w:t>attiecas uz:</w:t>
            </w:r>
          </w:p>
          <w:p w14:paraId="12E1D0E1" w14:textId="624F8CE0" w:rsidR="00A20CCA" w:rsidRDefault="001B3E56" w:rsidP="00BE6708">
            <w:pPr>
              <w:pStyle w:val="naisf"/>
              <w:numPr>
                <w:ilvl w:val="0"/>
                <w:numId w:val="22"/>
              </w:numPr>
              <w:spacing w:before="0" w:after="0"/>
              <w:rPr>
                <w:szCs w:val="22"/>
              </w:rPr>
            </w:pPr>
            <w:r w:rsidRPr="008D7E3C">
              <w:rPr>
                <w:szCs w:val="22"/>
              </w:rPr>
              <w:t>V</w:t>
            </w:r>
            <w:r w:rsidR="00BE6708">
              <w:rPr>
                <w:szCs w:val="22"/>
              </w:rPr>
              <w:t>ides aizsardzības un reģionālās attīstības ministriju,</w:t>
            </w:r>
            <w:r w:rsidR="00F66551">
              <w:rPr>
                <w:szCs w:val="22"/>
              </w:rPr>
              <w:t xml:space="preserve"> </w:t>
            </w:r>
            <w:r w:rsidR="00BE6708">
              <w:rPr>
                <w:szCs w:val="22"/>
              </w:rPr>
              <w:t>Latvijas Republikas</w:t>
            </w:r>
            <w:r w:rsidR="00A20CCA">
              <w:rPr>
                <w:szCs w:val="22"/>
              </w:rPr>
              <w:t xml:space="preserve"> pilsētas pašvaldībām un novada pašvaldībām;</w:t>
            </w:r>
          </w:p>
          <w:p w14:paraId="2BFEA249" w14:textId="77777777" w:rsidR="0082484A" w:rsidRDefault="002471E5" w:rsidP="00104106">
            <w:pPr>
              <w:pStyle w:val="naisf"/>
              <w:numPr>
                <w:ilvl w:val="0"/>
                <w:numId w:val="22"/>
              </w:numPr>
              <w:spacing w:before="0" w:after="0"/>
              <w:rPr>
                <w:szCs w:val="22"/>
              </w:rPr>
            </w:pPr>
            <w:r>
              <w:rPr>
                <w:szCs w:val="22"/>
              </w:rPr>
              <w:t>Pirmās nepieciešamības preču</w:t>
            </w:r>
            <w:r w:rsidR="00A20CCA">
              <w:rPr>
                <w:szCs w:val="22"/>
              </w:rPr>
              <w:t xml:space="preserve"> ražotājiem un piegādātājiem</w:t>
            </w:r>
            <w:r w:rsidR="00104106">
              <w:rPr>
                <w:szCs w:val="22"/>
              </w:rPr>
              <w:t>.</w:t>
            </w:r>
          </w:p>
          <w:p w14:paraId="27978B54" w14:textId="1FE5CB04" w:rsidR="00063FB6" w:rsidRPr="008D7E3C" w:rsidRDefault="00063FB6" w:rsidP="00104106">
            <w:pPr>
              <w:pStyle w:val="naisf"/>
              <w:numPr>
                <w:ilvl w:val="0"/>
                <w:numId w:val="22"/>
              </w:numPr>
              <w:spacing w:before="0" w:after="0"/>
              <w:rPr>
                <w:szCs w:val="22"/>
              </w:rPr>
            </w:pPr>
            <w:r>
              <w:rPr>
                <w:szCs w:val="22"/>
              </w:rPr>
              <w:t>Valsts apdraudējuma gadījumā cietušie iedzīvotāji</w:t>
            </w:r>
          </w:p>
        </w:tc>
      </w:tr>
      <w:tr w:rsidR="008D7E3C" w:rsidRPr="008D7E3C" w14:paraId="1594E246" w14:textId="77777777" w:rsidTr="00735D9B">
        <w:trPr>
          <w:jc w:val="center"/>
        </w:trPr>
        <w:tc>
          <w:tcPr>
            <w:tcW w:w="396" w:type="dxa"/>
          </w:tcPr>
          <w:p w14:paraId="65097972" w14:textId="77777777" w:rsidR="0082484A" w:rsidRPr="00957718" w:rsidRDefault="0082484A" w:rsidP="0075703B">
            <w:pPr>
              <w:pStyle w:val="naisf"/>
              <w:spacing w:before="0" w:after="0"/>
              <w:ind w:firstLine="0"/>
            </w:pPr>
            <w:r w:rsidRPr="00957718">
              <w:t>2.</w:t>
            </w:r>
          </w:p>
        </w:tc>
        <w:tc>
          <w:tcPr>
            <w:tcW w:w="2658" w:type="dxa"/>
          </w:tcPr>
          <w:p w14:paraId="3784FF61" w14:textId="77777777" w:rsidR="0082484A" w:rsidRPr="00957718" w:rsidRDefault="0082484A" w:rsidP="0075703B">
            <w:pPr>
              <w:pStyle w:val="naisf"/>
              <w:spacing w:before="0" w:after="0"/>
              <w:ind w:firstLine="0"/>
            </w:pPr>
            <w:r w:rsidRPr="00957718">
              <w:t>Tiesiskā regulējuma ietekme uz tautsaimniecību un administratīvo slogu</w:t>
            </w:r>
          </w:p>
        </w:tc>
        <w:tc>
          <w:tcPr>
            <w:tcW w:w="7289" w:type="dxa"/>
          </w:tcPr>
          <w:p w14:paraId="0AC07D55" w14:textId="29FAB48E" w:rsidR="009A2025" w:rsidRPr="008D7E3C" w:rsidRDefault="00C76455" w:rsidP="003340D4">
            <w:pPr>
              <w:jc w:val="both"/>
            </w:pPr>
            <w:r>
              <w:rPr>
                <w:szCs w:val="22"/>
              </w:rPr>
              <w:t>Ietekme nav nosakāma</w:t>
            </w:r>
            <w:r w:rsidR="00592C7A">
              <w:rPr>
                <w:szCs w:val="22"/>
              </w:rPr>
              <w:t xml:space="preserve">, jo </w:t>
            </w:r>
            <w:r w:rsidR="00AF3CEE">
              <w:rPr>
                <w:szCs w:val="22"/>
              </w:rPr>
              <w:t xml:space="preserve">tā </w:t>
            </w:r>
            <w:r w:rsidR="00592C7A">
              <w:rPr>
                <w:szCs w:val="22"/>
              </w:rPr>
              <w:t>atkarīga no valsts apdraudējuma veida un ilguma</w:t>
            </w:r>
            <w:r>
              <w:rPr>
                <w:szCs w:val="22"/>
              </w:rPr>
              <w:t>.</w:t>
            </w:r>
          </w:p>
        </w:tc>
      </w:tr>
      <w:tr w:rsidR="008D7E3C" w:rsidRPr="008D7E3C" w14:paraId="17F17BE7" w14:textId="77777777" w:rsidTr="00735D9B">
        <w:trPr>
          <w:jc w:val="center"/>
        </w:trPr>
        <w:tc>
          <w:tcPr>
            <w:tcW w:w="396" w:type="dxa"/>
          </w:tcPr>
          <w:p w14:paraId="0BB95A58" w14:textId="77777777" w:rsidR="0082484A" w:rsidRPr="00957718" w:rsidRDefault="0082484A" w:rsidP="0075703B">
            <w:pPr>
              <w:pStyle w:val="naisf"/>
              <w:spacing w:before="0" w:after="0"/>
              <w:ind w:firstLine="0"/>
            </w:pPr>
            <w:r w:rsidRPr="00957718">
              <w:t>3.</w:t>
            </w:r>
          </w:p>
        </w:tc>
        <w:tc>
          <w:tcPr>
            <w:tcW w:w="2658" w:type="dxa"/>
          </w:tcPr>
          <w:p w14:paraId="60CB9D4F" w14:textId="5BB16530" w:rsidR="009F38AE" w:rsidRPr="00957718" w:rsidRDefault="0082484A" w:rsidP="0075703B">
            <w:pPr>
              <w:pStyle w:val="naisf"/>
              <w:spacing w:before="0" w:after="0"/>
              <w:ind w:firstLine="0"/>
            </w:pPr>
            <w:r w:rsidRPr="00957718">
              <w:t>Administratīvo izmaksu monetārs novērtējums</w:t>
            </w:r>
          </w:p>
        </w:tc>
        <w:tc>
          <w:tcPr>
            <w:tcW w:w="7289" w:type="dxa"/>
          </w:tcPr>
          <w:p w14:paraId="5203713D" w14:textId="7F83D03E" w:rsidR="00F20147" w:rsidRPr="008D7E3C" w:rsidRDefault="0082484A" w:rsidP="0075703B">
            <w:pPr>
              <w:pStyle w:val="naisf"/>
              <w:spacing w:before="0" w:after="0"/>
              <w:ind w:firstLine="0"/>
            </w:pPr>
            <w:r w:rsidRPr="008D7E3C">
              <w:t>Projekts šo jomu neskar</w:t>
            </w:r>
            <w:r w:rsidR="004C7C02" w:rsidRPr="008D7E3C">
              <w:t>.</w:t>
            </w:r>
            <w:r w:rsidR="006D497F" w:rsidRPr="008D7E3C">
              <w:t xml:space="preserve"> </w:t>
            </w:r>
          </w:p>
          <w:p w14:paraId="7E5EDA81" w14:textId="1257F285" w:rsidR="00615B31" w:rsidRPr="008D7E3C" w:rsidRDefault="00615B31" w:rsidP="0075703B">
            <w:pPr>
              <w:pStyle w:val="naisf"/>
              <w:spacing w:before="0" w:after="0"/>
              <w:ind w:firstLine="0"/>
            </w:pPr>
          </w:p>
        </w:tc>
      </w:tr>
      <w:tr w:rsidR="008D7E3C" w:rsidRPr="008D7E3C" w14:paraId="726F71BE" w14:textId="77777777" w:rsidTr="00735D9B">
        <w:trPr>
          <w:jc w:val="center"/>
        </w:trPr>
        <w:tc>
          <w:tcPr>
            <w:tcW w:w="396" w:type="dxa"/>
          </w:tcPr>
          <w:p w14:paraId="35ADE3AF" w14:textId="6FC534D6" w:rsidR="000350D0" w:rsidRPr="00957718" w:rsidRDefault="000350D0" w:rsidP="0075703B">
            <w:pPr>
              <w:pStyle w:val="naisf"/>
              <w:spacing w:before="0" w:after="0"/>
              <w:ind w:firstLine="0"/>
            </w:pPr>
            <w:r w:rsidRPr="00957718">
              <w:t>4.</w:t>
            </w:r>
          </w:p>
        </w:tc>
        <w:tc>
          <w:tcPr>
            <w:tcW w:w="2658" w:type="dxa"/>
          </w:tcPr>
          <w:p w14:paraId="6B047D00" w14:textId="3F83BA41" w:rsidR="009F38AE" w:rsidRPr="00957718" w:rsidRDefault="000350D0" w:rsidP="0075703B">
            <w:pPr>
              <w:pStyle w:val="naisf"/>
              <w:spacing w:before="0" w:after="0"/>
              <w:ind w:firstLine="0"/>
            </w:pPr>
            <w:r w:rsidRPr="00957718">
              <w:t>Atbilstības izmaksu monetārs novērtējums</w:t>
            </w:r>
          </w:p>
        </w:tc>
        <w:tc>
          <w:tcPr>
            <w:tcW w:w="7289" w:type="dxa"/>
          </w:tcPr>
          <w:p w14:paraId="7F2EC661" w14:textId="43CDBEDA" w:rsidR="00F20147" w:rsidRPr="008D7E3C" w:rsidRDefault="00C76455" w:rsidP="0075703B">
            <w:pPr>
              <w:pStyle w:val="naisf"/>
              <w:spacing w:before="0" w:after="0"/>
              <w:ind w:firstLine="0"/>
            </w:pPr>
            <w:r>
              <w:t>Nav</w:t>
            </w:r>
            <w:r w:rsidR="004C7C02" w:rsidRPr="008D7E3C">
              <w:t>.</w:t>
            </w:r>
            <w:r w:rsidR="00F20147" w:rsidRPr="008D7E3C">
              <w:t xml:space="preserve"> </w:t>
            </w:r>
          </w:p>
          <w:p w14:paraId="263C4D55" w14:textId="4904B1FD" w:rsidR="000350D0" w:rsidRPr="008D7E3C" w:rsidRDefault="000350D0" w:rsidP="0075703B">
            <w:pPr>
              <w:pStyle w:val="naisf"/>
              <w:spacing w:before="0" w:after="0"/>
              <w:ind w:firstLine="0"/>
              <w:rPr>
                <w:highlight w:val="yellow"/>
              </w:rPr>
            </w:pPr>
          </w:p>
        </w:tc>
      </w:tr>
      <w:tr w:rsidR="0082484A" w:rsidRPr="008D7E3C" w14:paraId="0776B101" w14:textId="77777777" w:rsidTr="00BE0AA7">
        <w:trPr>
          <w:trHeight w:val="53"/>
          <w:jc w:val="center"/>
        </w:trPr>
        <w:tc>
          <w:tcPr>
            <w:tcW w:w="396" w:type="dxa"/>
          </w:tcPr>
          <w:p w14:paraId="262B1C45" w14:textId="2D40BFB3" w:rsidR="0082484A" w:rsidRPr="00957718" w:rsidRDefault="00D16F90" w:rsidP="0075703B">
            <w:pPr>
              <w:pStyle w:val="naisf"/>
              <w:spacing w:before="0" w:after="0"/>
              <w:ind w:firstLine="0"/>
            </w:pPr>
            <w:r w:rsidRPr="00957718">
              <w:t>5</w:t>
            </w:r>
            <w:r w:rsidR="0082484A" w:rsidRPr="00957718">
              <w:t>.</w:t>
            </w:r>
          </w:p>
        </w:tc>
        <w:tc>
          <w:tcPr>
            <w:tcW w:w="2658" w:type="dxa"/>
          </w:tcPr>
          <w:p w14:paraId="5EE84441" w14:textId="3B8D306C" w:rsidR="009F38AE" w:rsidRPr="00957718" w:rsidRDefault="0082484A" w:rsidP="0075703B">
            <w:pPr>
              <w:pStyle w:val="naisf"/>
              <w:spacing w:before="0" w:after="0"/>
              <w:ind w:firstLine="0"/>
            </w:pPr>
            <w:r w:rsidRPr="00957718">
              <w:t>Cita informācija</w:t>
            </w:r>
          </w:p>
        </w:tc>
        <w:tc>
          <w:tcPr>
            <w:tcW w:w="7289" w:type="dxa"/>
          </w:tcPr>
          <w:p w14:paraId="0F8F4C81" w14:textId="78FCF4EA" w:rsidR="0082484A" w:rsidRPr="008D7E3C" w:rsidRDefault="0082484A" w:rsidP="0075703B">
            <w:pPr>
              <w:pStyle w:val="naisf"/>
              <w:spacing w:before="0" w:after="0"/>
              <w:ind w:firstLine="0"/>
            </w:pPr>
            <w:r w:rsidRPr="008D7E3C">
              <w:t>Nav</w:t>
            </w:r>
            <w:r w:rsidR="004C7C02" w:rsidRPr="008D7E3C">
              <w:t>.</w:t>
            </w:r>
          </w:p>
        </w:tc>
      </w:tr>
    </w:tbl>
    <w:p w14:paraId="73FC0E95" w14:textId="77777777" w:rsidR="002F0A18" w:rsidRPr="008D7E3C" w:rsidRDefault="002F0A18" w:rsidP="002F0A18"/>
    <w:p w14:paraId="26A97AEA" w14:textId="0880826D" w:rsidR="000B66D7" w:rsidRDefault="000B66D7" w:rsidP="0075703B">
      <w:pPr>
        <w:pStyle w:val="naisf"/>
        <w:spacing w:before="0" w:after="0"/>
        <w:ind w:firstLine="0"/>
        <w:rPr>
          <w:sz w:val="16"/>
          <w:szCs w:val="16"/>
        </w:rPr>
      </w:pPr>
    </w:p>
    <w:tbl>
      <w:tblPr>
        <w:tblStyle w:val="TableGrid"/>
        <w:tblW w:w="10348" w:type="dxa"/>
        <w:tblInd w:w="-714" w:type="dxa"/>
        <w:tblLook w:val="04A0" w:firstRow="1" w:lastRow="0" w:firstColumn="1" w:lastColumn="0" w:noHBand="0" w:noVBand="1"/>
      </w:tblPr>
      <w:tblGrid>
        <w:gridCol w:w="1711"/>
        <w:gridCol w:w="1056"/>
        <w:gridCol w:w="2105"/>
        <w:gridCol w:w="996"/>
        <w:gridCol w:w="1150"/>
        <w:gridCol w:w="963"/>
        <w:gridCol w:w="1150"/>
        <w:gridCol w:w="1217"/>
      </w:tblGrid>
      <w:tr w:rsidR="002C0004" w:rsidRPr="002C0004" w14:paraId="06A08D95" w14:textId="77777777" w:rsidTr="002C0004">
        <w:tc>
          <w:tcPr>
            <w:tcW w:w="10348" w:type="dxa"/>
            <w:gridSpan w:val="8"/>
            <w:hideMark/>
          </w:tcPr>
          <w:p w14:paraId="5402B32C" w14:textId="77777777" w:rsidR="002C0004" w:rsidRPr="00213AFF" w:rsidRDefault="002C0004" w:rsidP="005D32C0">
            <w:pPr>
              <w:jc w:val="center"/>
              <w:rPr>
                <w:b/>
                <w:bCs/>
                <w:iCs/>
              </w:rPr>
            </w:pPr>
            <w:bookmarkStart w:id="3" w:name="_GoBack"/>
            <w:r w:rsidRPr="00213AFF">
              <w:rPr>
                <w:b/>
                <w:bCs/>
                <w:iCs/>
              </w:rPr>
              <w:t>III. Tiesību akta projekta ietekme uz valsts budžetu un pašvaldību budžetiem</w:t>
            </w:r>
            <w:bookmarkEnd w:id="3"/>
          </w:p>
        </w:tc>
      </w:tr>
      <w:tr w:rsidR="002C0004" w:rsidRPr="002C0004" w14:paraId="11DCE12D" w14:textId="77777777" w:rsidTr="00544450">
        <w:tc>
          <w:tcPr>
            <w:tcW w:w="1719" w:type="dxa"/>
            <w:vMerge w:val="restart"/>
            <w:hideMark/>
          </w:tcPr>
          <w:p w14:paraId="58644480" w14:textId="77777777" w:rsidR="002C0004" w:rsidRPr="00213AFF" w:rsidRDefault="002C0004" w:rsidP="005D32C0">
            <w:pPr>
              <w:rPr>
                <w:iCs/>
              </w:rPr>
            </w:pPr>
            <w:r w:rsidRPr="00213AFF">
              <w:rPr>
                <w:iCs/>
              </w:rPr>
              <w:t>Rādītāji</w:t>
            </w:r>
          </w:p>
        </w:tc>
        <w:tc>
          <w:tcPr>
            <w:tcW w:w="3085" w:type="dxa"/>
            <w:gridSpan w:val="2"/>
            <w:vMerge w:val="restart"/>
            <w:hideMark/>
          </w:tcPr>
          <w:p w14:paraId="19A4C542" w14:textId="77777777" w:rsidR="002C0004" w:rsidRPr="00213AFF" w:rsidRDefault="002C0004" w:rsidP="005D32C0">
            <w:pPr>
              <w:jc w:val="center"/>
              <w:rPr>
                <w:iCs/>
              </w:rPr>
            </w:pPr>
            <w:r w:rsidRPr="00213AFF">
              <w:rPr>
                <w:iCs/>
              </w:rPr>
              <w:t>2020.gads</w:t>
            </w:r>
          </w:p>
        </w:tc>
        <w:tc>
          <w:tcPr>
            <w:tcW w:w="5544" w:type="dxa"/>
            <w:gridSpan w:val="5"/>
            <w:hideMark/>
          </w:tcPr>
          <w:p w14:paraId="613037E3" w14:textId="77777777" w:rsidR="002C0004" w:rsidRPr="00213AFF" w:rsidRDefault="002C0004" w:rsidP="005D32C0">
            <w:pPr>
              <w:rPr>
                <w:iCs/>
              </w:rPr>
            </w:pPr>
            <w:r w:rsidRPr="00213AFF">
              <w:rPr>
                <w:iCs/>
              </w:rPr>
              <w:t>Turpmākie trīs gadi (</w:t>
            </w:r>
            <w:proofErr w:type="spellStart"/>
            <w:r w:rsidRPr="00213AFF">
              <w:rPr>
                <w:i/>
                <w:iCs/>
              </w:rPr>
              <w:t>euro</w:t>
            </w:r>
            <w:proofErr w:type="spellEnd"/>
            <w:r w:rsidRPr="00213AFF">
              <w:rPr>
                <w:iCs/>
              </w:rPr>
              <w:t>)</w:t>
            </w:r>
          </w:p>
        </w:tc>
      </w:tr>
      <w:tr w:rsidR="002C0004" w:rsidRPr="002C0004" w14:paraId="63FC7114" w14:textId="77777777" w:rsidTr="00544450">
        <w:tc>
          <w:tcPr>
            <w:tcW w:w="1719" w:type="dxa"/>
            <w:vMerge/>
            <w:hideMark/>
          </w:tcPr>
          <w:p w14:paraId="61B7296D" w14:textId="77777777" w:rsidR="002C0004" w:rsidRPr="00213AFF" w:rsidRDefault="002C0004" w:rsidP="005D32C0">
            <w:pPr>
              <w:rPr>
                <w:iCs/>
              </w:rPr>
            </w:pPr>
          </w:p>
        </w:tc>
        <w:tc>
          <w:tcPr>
            <w:tcW w:w="3085" w:type="dxa"/>
            <w:gridSpan w:val="2"/>
            <w:vMerge/>
            <w:hideMark/>
          </w:tcPr>
          <w:p w14:paraId="4ABD2FA3" w14:textId="77777777" w:rsidR="002C0004" w:rsidRPr="00213AFF" w:rsidRDefault="002C0004" w:rsidP="005D32C0">
            <w:pPr>
              <w:rPr>
                <w:iCs/>
              </w:rPr>
            </w:pPr>
          </w:p>
        </w:tc>
        <w:tc>
          <w:tcPr>
            <w:tcW w:w="0" w:type="auto"/>
            <w:gridSpan w:val="2"/>
            <w:hideMark/>
          </w:tcPr>
          <w:p w14:paraId="56D94F6A" w14:textId="77777777" w:rsidR="002C0004" w:rsidRPr="00213AFF" w:rsidRDefault="002C0004" w:rsidP="005D32C0">
            <w:pPr>
              <w:jc w:val="center"/>
              <w:rPr>
                <w:iCs/>
              </w:rPr>
            </w:pPr>
            <w:r w:rsidRPr="00213AFF">
              <w:rPr>
                <w:iCs/>
              </w:rPr>
              <w:t>2021.gads</w:t>
            </w:r>
          </w:p>
        </w:tc>
        <w:tc>
          <w:tcPr>
            <w:tcW w:w="0" w:type="auto"/>
            <w:gridSpan w:val="2"/>
            <w:hideMark/>
          </w:tcPr>
          <w:p w14:paraId="69C86F1F" w14:textId="40661C58" w:rsidR="002C0004" w:rsidRPr="00213AFF" w:rsidRDefault="002C0004" w:rsidP="005D32C0">
            <w:pPr>
              <w:jc w:val="center"/>
              <w:rPr>
                <w:iCs/>
              </w:rPr>
            </w:pPr>
            <w:r w:rsidRPr="00213AFF">
              <w:rPr>
                <w:iCs/>
              </w:rPr>
              <w:t>2022.gads</w:t>
            </w:r>
          </w:p>
        </w:tc>
        <w:tc>
          <w:tcPr>
            <w:tcW w:w="1318" w:type="dxa"/>
            <w:hideMark/>
          </w:tcPr>
          <w:p w14:paraId="495BDB64" w14:textId="285A21BB" w:rsidR="002C0004" w:rsidRPr="00213AFF" w:rsidRDefault="002C0004" w:rsidP="005D32C0">
            <w:pPr>
              <w:rPr>
                <w:iCs/>
              </w:rPr>
            </w:pPr>
            <w:r w:rsidRPr="00213AFF">
              <w:rPr>
                <w:iCs/>
              </w:rPr>
              <w:t>2023.gads</w:t>
            </w:r>
          </w:p>
        </w:tc>
      </w:tr>
      <w:tr w:rsidR="002C0004" w:rsidRPr="002C0004" w14:paraId="199E3079" w14:textId="77777777" w:rsidTr="00544450">
        <w:tc>
          <w:tcPr>
            <w:tcW w:w="1719" w:type="dxa"/>
            <w:vMerge/>
            <w:hideMark/>
          </w:tcPr>
          <w:p w14:paraId="668AFFBA" w14:textId="77777777" w:rsidR="002C0004" w:rsidRPr="00213AFF" w:rsidRDefault="002C0004" w:rsidP="005D32C0">
            <w:pPr>
              <w:rPr>
                <w:iCs/>
              </w:rPr>
            </w:pPr>
          </w:p>
        </w:tc>
        <w:tc>
          <w:tcPr>
            <w:tcW w:w="1056" w:type="dxa"/>
            <w:hideMark/>
          </w:tcPr>
          <w:p w14:paraId="7D817F3F" w14:textId="77777777" w:rsidR="002C0004" w:rsidRPr="00213AFF" w:rsidRDefault="002C0004" w:rsidP="005D32C0">
            <w:pPr>
              <w:rPr>
                <w:iCs/>
              </w:rPr>
            </w:pPr>
            <w:r w:rsidRPr="00213AFF">
              <w:rPr>
                <w:iCs/>
              </w:rPr>
              <w:t>saskaņā ar valsts budžetu kārtējam gadam</w:t>
            </w:r>
          </w:p>
        </w:tc>
        <w:tc>
          <w:tcPr>
            <w:tcW w:w="0" w:type="auto"/>
            <w:hideMark/>
          </w:tcPr>
          <w:p w14:paraId="6BFB9DAD" w14:textId="77777777" w:rsidR="002C0004" w:rsidRPr="00213AFF" w:rsidRDefault="002C0004" w:rsidP="005D32C0">
            <w:pPr>
              <w:rPr>
                <w:iCs/>
              </w:rPr>
            </w:pPr>
            <w:r w:rsidRPr="00213AFF">
              <w:rPr>
                <w:iCs/>
              </w:rPr>
              <w:t>izmaiņas kārtējā gadā, salīdzinot ar valsts budžetu kārtējam gadam</w:t>
            </w:r>
          </w:p>
        </w:tc>
        <w:tc>
          <w:tcPr>
            <w:tcW w:w="1150" w:type="dxa"/>
            <w:hideMark/>
          </w:tcPr>
          <w:p w14:paraId="2EDCF78D" w14:textId="77777777" w:rsidR="002C0004" w:rsidRPr="00213AFF" w:rsidRDefault="002C0004" w:rsidP="005D32C0">
            <w:pPr>
              <w:rPr>
                <w:iCs/>
              </w:rPr>
            </w:pPr>
            <w:r w:rsidRPr="00213AFF">
              <w:rPr>
                <w:iCs/>
              </w:rPr>
              <w:t>saskaņā ar vidēja termiņa budžeta ietvaru</w:t>
            </w:r>
          </w:p>
        </w:tc>
        <w:tc>
          <w:tcPr>
            <w:tcW w:w="963" w:type="dxa"/>
            <w:hideMark/>
          </w:tcPr>
          <w:p w14:paraId="6E119FE1" w14:textId="00E84316" w:rsidR="002C0004" w:rsidRPr="00213AFF" w:rsidRDefault="002C0004" w:rsidP="005D32C0">
            <w:pPr>
              <w:rPr>
                <w:iCs/>
              </w:rPr>
            </w:pPr>
            <w:r w:rsidRPr="00213AFF">
              <w:rPr>
                <w:iCs/>
              </w:rPr>
              <w:t>izmaiņas, salīdzinot ar vidēja termiņa b</w:t>
            </w:r>
            <w:r w:rsidR="00866044" w:rsidRPr="00213AFF">
              <w:rPr>
                <w:iCs/>
              </w:rPr>
              <w:t xml:space="preserve"> </w:t>
            </w:r>
            <w:proofErr w:type="spellStart"/>
            <w:r w:rsidRPr="00213AFF">
              <w:rPr>
                <w:iCs/>
              </w:rPr>
              <w:t>udžeta</w:t>
            </w:r>
            <w:proofErr w:type="spellEnd"/>
            <w:r w:rsidRPr="00213AFF">
              <w:rPr>
                <w:iCs/>
              </w:rPr>
              <w:t xml:space="preserve"> ietvaru 2021 gadam</w:t>
            </w:r>
          </w:p>
        </w:tc>
        <w:tc>
          <w:tcPr>
            <w:tcW w:w="0" w:type="auto"/>
            <w:hideMark/>
          </w:tcPr>
          <w:p w14:paraId="352F7BC4" w14:textId="77777777" w:rsidR="002C0004" w:rsidRPr="00213AFF" w:rsidRDefault="002C0004" w:rsidP="005D32C0">
            <w:pPr>
              <w:rPr>
                <w:iCs/>
              </w:rPr>
            </w:pPr>
            <w:r w:rsidRPr="00213AFF">
              <w:rPr>
                <w:iCs/>
              </w:rPr>
              <w:t>saskaņā ar vidēja termiņa budžeta ietvaru</w:t>
            </w:r>
          </w:p>
        </w:tc>
        <w:tc>
          <w:tcPr>
            <w:tcW w:w="0" w:type="auto"/>
            <w:hideMark/>
          </w:tcPr>
          <w:p w14:paraId="79ABDFF2" w14:textId="77777777" w:rsidR="002C0004" w:rsidRPr="00213AFF" w:rsidRDefault="002C0004" w:rsidP="005D32C0">
            <w:pPr>
              <w:rPr>
                <w:iCs/>
              </w:rPr>
            </w:pPr>
            <w:r w:rsidRPr="00213AFF">
              <w:rPr>
                <w:iCs/>
              </w:rPr>
              <w:t>izmaiņas, salīdzinot ar vidēja termiņa budžeta ietvaru 2022 gadam</w:t>
            </w:r>
          </w:p>
        </w:tc>
        <w:tc>
          <w:tcPr>
            <w:tcW w:w="1318" w:type="dxa"/>
            <w:hideMark/>
          </w:tcPr>
          <w:p w14:paraId="51BB4DA2" w14:textId="77777777" w:rsidR="002C0004" w:rsidRPr="00213AFF" w:rsidRDefault="002C0004" w:rsidP="005D32C0">
            <w:pPr>
              <w:rPr>
                <w:iCs/>
              </w:rPr>
            </w:pPr>
            <w:r w:rsidRPr="00213AFF">
              <w:rPr>
                <w:iCs/>
              </w:rPr>
              <w:t>izmaiņas, salīdzinot ar vidēja termiņa budžeta ietvaru 2022 gadam</w:t>
            </w:r>
          </w:p>
        </w:tc>
      </w:tr>
      <w:tr w:rsidR="002C0004" w:rsidRPr="002C0004" w14:paraId="6CEFC8A0" w14:textId="77777777" w:rsidTr="00544450">
        <w:tc>
          <w:tcPr>
            <w:tcW w:w="1719" w:type="dxa"/>
            <w:hideMark/>
          </w:tcPr>
          <w:p w14:paraId="64B645A8" w14:textId="77777777" w:rsidR="002C0004" w:rsidRPr="00213AFF" w:rsidRDefault="002C0004" w:rsidP="005D32C0">
            <w:pPr>
              <w:rPr>
                <w:iCs/>
              </w:rPr>
            </w:pPr>
            <w:r w:rsidRPr="00213AFF">
              <w:rPr>
                <w:iCs/>
              </w:rPr>
              <w:t>1</w:t>
            </w:r>
          </w:p>
        </w:tc>
        <w:tc>
          <w:tcPr>
            <w:tcW w:w="1056" w:type="dxa"/>
            <w:hideMark/>
          </w:tcPr>
          <w:p w14:paraId="3F9B249C" w14:textId="77777777" w:rsidR="002C0004" w:rsidRPr="00213AFF" w:rsidRDefault="002C0004" w:rsidP="005D32C0">
            <w:pPr>
              <w:rPr>
                <w:iCs/>
              </w:rPr>
            </w:pPr>
            <w:r w:rsidRPr="00213AFF">
              <w:rPr>
                <w:iCs/>
              </w:rPr>
              <w:t>2</w:t>
            </w:r>
          </w:p>
        </w:tc>
        <w:tc>
          <w:tcPr>
            <w:tcW w:w="0" w:type="auto"/>
            <w:hideMark/>
          </w:tcPr>
          <w:p w14:paraId="3DD841B3" w14:textId="77777777" w:rsidR="002C0004" w:rsidRPr="00213AFF" w:rsidRDefault="002C0004" w:rsidP="005D32C0">
            <w:pPr>
              <w:rPr>
                <w:iCs/>
              </w:rPr>
            </w:pPr>
            <w:r w:rsidRPr="00213AFF">
              <w:rPr>
                <w:iCs/>
              </w:rPr>
              <w:t>3</w:t>
            </w:r>
          </w:p>
        </w:tc>
        <w:tc>
          <w:tcPr>
            <w:tcW w:w="1150" w:type="dxa"/>
            <w:hideMark/>
          </w:tcPr>
          <w:p w14:paraId="2C5D3F61" w14:textId="77777777" w:rsidR="002C0004" w:rsidRPr="00213AFF" w:rsidRDefault="002C0004" w:rsidP="005D32C0">
            <w:pPr>
              <w:rPr>
                <w:iCs/>
              </w:rPr>
            </w:pPr>
            <w:r w:rsidRPr="00213AFF">
              <w:rPr>
                <w:iCs/>
              </w:rPr>
              <w:t>4</w:t>
            </w:r>
          </w:p>
        </w:tc>
        <w:tc>
          <w:tcPr>
            <w:tcW w:w="963" w:type="dxa"/>
            <w:hideMark/>
          </w:tcPr>
          <w:p w14:paraId="10552D6E" w14:textId="77777777" w:rsidR="002C0004" w:rsidRPr="00213AFF" w:rsidRDefault="002C0004" w:rsidP="005D32C0">
            <w:pPr>
              <w:rPr>
                <w:iCs/>
              </w:rPr>
            </w:pPr>
            <w:r w:rsidRPr="00213AFF">
              <w:rPr>
                <w:iCs/>
              </w:rPr>
              <w:t>5</w:t>
            </w:r>
          </w:p>
        </w:tc>
        <w:tc>
          <w:tcPr>
            <w:tcW w:w="0" w:type="auto"/>
            <w:hideMark/>
          </w:tcPr>
          <w:p w14:paraId="2EBC897D" w14:textId="77777777" w:rsidR="002C0004" w:rsidRPr="00213AFF" w:rsidRDefault="002C0004" w:rsidP="005D32C0">
            <w:pPr>
              <w:rPr>
                <w:iCs/>
              </w:rPr>
            </w:pPr>
            <w:r w:rsidRPr="00213AFF">
              <w:rPr>
                <w:iCs/>
              </w:rPr>
              <w:t>6</w:t>
            </w:r>
          </w:p>
        </w:tc>
        <w:tc>
          <w:tcPr>
            <w:tcW w:w="0" w:type="auto"/>
            <w:hideMark/>
          </w:tcPr>
          <w:p w14:paraId="11F3408D" w14:textId="77777777" w:rsidR="002C0004" w:rsidRPr="00213AFF" w:rsidRDefault="002C0004" w:rsidP="005D32C0">
            <w:pPr>
              <w:rPr>
                <w:iCs/>
              </w:rPr>
            </w:pPr>
            <w:r w:rsidRPr="00213AFF">
              <w:rPr>
                <w:iCs/>
              </w:rPr>
              <w:t>7</w:t>
            </w:r>
          </w:p>
        </w:tc>
        <w:tc>
          <w:tcPr>
            <w:tcW w:w="1318" w:type="dxa"/>
            <w:hideMark/>
          </w:tcPr>
          <w:p w14:paraId="3C002748" w14:textId="77777777" w:rsidR="002C0004" w:rsidRPr="00213AFF" w:rsidRDefault="002C0004" w:rsidP="005D32C0">
            <w:pPr>
              <w:rPr>
                <w:iCs/>
              </w:rPr>
            </w:pPr>
            <w:r w:rsidRPr="00213AFF">
              <w:rPr>
                <w:iCs/>
              </w:rPr>
              <w:t>8</w:t>
            </w:r>
          </w:p>
        </w:tc>
      </w:tr>
      <w:tr w:rsidR="002C0004" w:rsidRPr="002C0004" w14:paraId="71367692" w14:textId="77777777" w:rsidTr="00544450">
        <w:tc>
          <w:tcPr>
            <w:tcW w:w="1719" w:type="dxa"/>
            <w:hideMark/>
          </w:tcPr>
          <w:p w14:paraId="45F0894D" w14:textId="77777777" w:rsidR="002C0004" w:rsidRPr="00213AFF" w:rsidRDefault="002C0004" w:rsidP="005D32C0">
            <w:pPr>
              <w:rPr>
                <w:iCs/>
              </w:rPr>
            </w:pPr>
            <w:r w:rsidRPr="00213AFF">
              <w:rPr>
                <w:iCs/>
              </w:rPr>
              <w:t>1. Budžeta ieņēmumi</w:t>
            </w:r>
          </w:p>
        </w:tc>
        <w:tc>
          <w:tcPr>
            <w:tcW w:w="1056" w:type="dxa"/>
            <w:hideMark/>
          </w:tcPr>
          <w:p w14:paraId="37D02D75" w14:textId="3D555101" w:rsidR="002C0004" w:rsidRPr="00213AFF" w:rsidRDefault="00957718" w:rsidP="005D32C0">
            <w:pPr>
              <w:jc w:val="center"/>
              <w:rPr>
                <w:iCs/>
              </w:rPr>
            </w:pPr>
            <w:r w:rsidRPr="00213AFF">
              <w:t>0</w:t>
            </w:r>
          </w:p>
        </w:tc>
        <w:tc>
          <w:tcPr>
            <w:tcW w:w="0" w:type="auto"/>
            <w:hideMark/>
          </w:tcPr>
          <w:p w14:paraId="486CBD37" w14:textId="77777777" w:rsidR="002C0004" w:rsidRPr="00213AFF" w:rsidRDefault="002C0004" w:rsidP="005D32C0">
            <w:pPr>
              <w:jc w:val="center"/>
              <w:rPr>
                <w:iCs/>
              </w:rPr>
            </w:pPr>
            <w:r w:rsidRPr="00213AFF">
              <w:rPr>
                <w:iCs/>
              </w:rPr>
              <w:t>0</w:t>
            </w:r>
          </w:p>
        </w:tc>
        <w:tc>
          <w:tcPr>
            <w:tcW w:w="1150" w:type="dxa"/>
            <w:hideMark/>
          </w:tcPr>
          <w:p w14:paraId="0EA3CD69" w14:textId="6FFEDC6A" w:rsidR="002C0004" w:rsidRPr="00213AFF" w:rsidRDefault="00957718" w:rsidP="005D32C0">
            <w:pPr>
              <w:jc w:val="center"/>
              <w:rPr>
                <w:bCs/>
              </w:rPr>
            </w:pPr>
            <w:r w:rsidRPr="00213AFF">
              <w:t>0</w:t>
            </w:r>
          </w:p>
          <w:p w14:paraId="3D0BF43C" w14:textId="77777777" w:rsidR="002C0004" w:rsidRPr="00213AFF" w:rsidRDefault="002C0004" w:rsidP="005D32C0">
            <w:pPr>
              <w:jc w:val="center"/>
              <w:rPr>
                <w:iCs/>
              </w:rPr>
            </w:pPr>
          </w:p>
        </w:tc>
        <w:tc>
          <w:tcPr>
            <w:tcW w:w="963" w:type="dxa"/>
            <w:hideMark/>
          </w:tcPr>
          <w:p w14:paraId="0EA57964" w14:textId="77777777" w:rsidR="002C0004" w:rsidRPr="00213AFF" w:rsidRDefault="002C0004" w:rsidP="005D32C0">
            <w:pPr>
              <w:jc w:val="center"/>
              <w:rPr>
                <w:iCs/>
              </w:rPr>
            </w:pPr>
            <w:r w:rsidRPr="00213AFF">
              <w:rPr>
                <w:iCs/>
              </w:rPr>
              <w:t>0</w:t>
            </w:r>
          </w:p>
        </w:tc>
        <w:tc>
          <w:tcPr>
            <w:tcW w:w="0" w:type="auto"/>
            <w:hideMark/>
          </w:tcPr>
          <w:p w14:paraId="7D2EB1C3" w14:textId="77E462DE" w:rsidR="002C0004" w:rsidRPr="00213AFF" w:rsidRDefault="00957718" w:rsidP="005D32C0">
            <w:pPr>
              <w:jc w:val="center"/>
              <w:rPr>
                <w:iCs/>
              </w:rPr>
            </w:pPr>
            <w:r w:rsidRPr="00213AFF">
              <w:rPr>
                <w:iCs/>
              </w:rPr>
              <w:t>0</w:t>
            </w:r>
          </w:p>
        </w:tc>
        <w:tc>
          <w:tcPr>
            <w:tcW w:w="0" w:type="auto"/>
            <w:hideMark/>
          </w:tcPr>
          <w:p w14:paraId="03668E23" w14:textId="77777777" w:rsidR="002C0004" w:rsidRPr="00213AFF" w:rsidRDefault="002C0004" w:rsidP="005D32C0">
            <w:pPr>
              <w:jc w:val="center"/>
              <w:rPr>
                <w:iCs/>
              </w:rPr>
            </w:pPr>
            <w:r w:rsidRPr="00213AFF">
              <w:rPr>
                <w:iCs/>
              </w:rPr>
              <w:t>0</w:t>
            </w:r>
          </w:p>
        </w:tc>
        <w:tc>
          <w:tcPr>
            <w:tcW w:w="1318" w:type="dxa"/>
            <w:hideMark/>
          </w:tcPr>
          <w:p w14:paraId="106797C7" w14:textId="77777777" w:rsidR="002C0004" w:rsidRPr="00213AFF" w:rsidRDefault="002C0004" w:rsidP="005D32C0">
            <w:pPr>
              <w:jc w:val="center"/>
              <w:rPr>
                <w:iCs/>
              </w:rPr>
            </w:pPr>
            <w:r w:rsidRPr="00213AFF">
              <w:rPr>
                <w:iCs/>
              </w:rPr>
              <w:t>0</w:t>
            </w:r>
          </w:p>
        </w:tc>
      </w:tr>
      <w:tr w:rsidR="002C0004" w:rsidRPr="002C0004" w14:paraId="6640A835" w14:textId="77777777" w:rsidTr="00544450">
        <w:tc>
          <w:tcPr>
            <w:tcW w:w="1719" w:type="dxa"/>
            <w:hideMark/>
          </w:tcPr>
          <w:p w14:paraId="516FB19B" w14:textId="77777777" w:rsidR="002C0004" w:rsidRPr="00213AFF" w:rsidRDefault="002C0004" w:rsidP="005D32C0">
            <w:pPr>
              <w:rPr>
                <w:iCs/>
              </w:rPr>
            </w:pPr>
            <w:r w:rsidRPr="00213AFF">
              <w:rPr>
                <w:iCs/>
              </w:rPr>
              <w:t>1.1. valsts pamatbudžets, tai skaitā ieņēmumi no maksas pakalpojumiem un citi pašu ieņēmumi</w:t>
            </w:r>
          </w:p>
        </w:tc>
        <w:tc>
          <w:tcPr>
            <w:tcW w:w="1056" w:type="dxa"/>
            <w:hideMark/>
          </w:tcPr>
          <w:p w14:paraId="44FD56CF" w14:textId="32DC6441" w:rsidR="002C0004" w:rsidRPr="00213AFF" w:rsidRDefault="00957718" w:rsidP="005D32C0">
            <w:pPr>
              <w:jc w:val="center"/>
              <w:rPr>
                <w:iCs/>
              </w:rPr>
            </w:pPr>
            <w:r w:rsidRPr="00213AFF">
              <w:t>0</w:t>
            </w:r>
          </w:p>
        </w:tc>
        <w:tc>
          <w:tcPr>
            <w:tcW w:w="0" w:type="auto"/>
            <w:hideMark/>
          </w:tcPr>
          <w:p w14:paraId="45F81253" w14:textId="77777777" w:rsidR="002C0004" w:rsidRPr="00213AFF" w:rsidRDefault="002C0004" w:rsidP="005D32C0">
            <w:pPr>
              <w:jc w:val="center"/>
              <w:rPr>
                <w:iCs/>
              </w:rPr>
            </w:pPr>
            <w:r w:rsidRPr="00213AFF">
              <w:rPr>
                <w:iCs/>
              </w:rPr>
              <w:t>0</w:t>
            </w:r>
          </w:p>
        </w:tc>
        <w:tc>
          <w:tcPr>
            <w:tcW w:w="1150" w:type="dxa"/>
            <w:hideMark/>
          </w:tcPr>
          <w:p w14:paraId="58E3CCCC" w14:textId="0D5F3588" w:rsidR="002C0004" w:rsidRPr="00213AFF" w:rsidRDefault="00957718" w:rsidP="005D32C0">
            <w:pPr>
              <w:jc w:val="center"/>
              <w:rPr>
                <w:iCs/>
              </w:rPr>
            </w:pPr>
            <w:r w:rsidRPr="00213AFF">
              <w:t>0</w:t>
            </w:r>
          </w:p>
        </w:tc>
        <w:tc>
          <w:tcPr>
            <w:tcW w:w="963" w:type="dxa"/>
            <w:hideMark/>
          </w:tcPr>
          <w:p w14:paraId="3634955D" w14:textId="77777777" w:rsidR="002C0004" w:rsidRPr="00213AFF" w:rsidRDefault="002C0004" w:rsidP="005D32C0">
            <w:pPr>
              <w:jc w:val="center"/>
              <w:rPr>
                <w:iCs/>
              </w:rPr>
            </w:pPr>
            <w:r w:rsidRPr="00213AFF">
              <w:rPr>
                <w:iCs/>
              </w:rPr>
              <w:t>0</w:t>
            </w:r>
          </w:p>
        </w:tc>
        <w:tc>
          <w:tcPr>
            <w:tcW w:w="0" w:type="auto"/>
            <w:hideMark/>
          </w:tcPr>
          <w:p w14:paraId="1A52CFCD" w14:textId="3573E09C" w:rsidR="002C0004" w:rsidRPr="00213AFF" w:rsidRDefault="00957718" w:rsidP="005D32C0">
            <w:pPr>
              <w:jc w:val="center"/>
              <w:rPr>
                <w:iCs/>
              </w:rPr>
            </w:pPr>
            <w:r w:rsidRPr="00213AFF">
              <w:rPr>
                <w:iCs/>
              </w:rPr>
              <w:t>0</w:t>
            </w:r>
          </w:p>
        </w:tc>
        <w:tc>
          <w:tcPr>
            <w:tcW w:w="0" w:type="auto"/>
            <w:hideMark/>
          </w:tcPr>
          <w:p w14:paraId="75FABC18" w14:textId="77777777" w:rsidR="002C0004" w:rsidRPr="00213AFF" w:rsidRDefault="002C0004" w:rsidP="005D32C0">
            <w:pPr>
              <w:jc w:val="center"/>
              <w:rPr>
                <w:iCs/>
              </w:rPr>
            </w:pPr>
            <w:r w:rsidRPr="00213AFF">
              <w:rPr>
                <w:iCs/>
              </w:rPr>
              <w:t>0</w:t>
            </w:r>
          </w:p>
        </w:tc>
        <w:tc>
          <w:tcPr>
            <w:tcW w:w="1318" w:type="dxa"/>
            <w:hideMark/>
          </w:tcPr>
          <w:p w14:paraId="2F0ECFA5" w14:textId="77777777" w:rsidR="002C0004" w:rsidRPr="00213AFF" w:rsidRDefault="002C0004" w:rsidP="005D32C0">
            <w:pPr>
              <w:jc w:val="center"/>
              <w:rPr>
                <w:iCs/>
              </w:rPr>
            </w:pPr>
            <w:r w:rsidRPr="00213AFF">
              <w:rPr>
                <w:iCs/>
              </w:rPr>
              <w:t>0</w:t>
            </w:r>
          </w:p>
        </w:tc>
      </w:tr>
      <w:tr w:rsidR="002C0004" w:rsidRPr="002C0004" w14:paraId="1410425E" w14:textId="77777777" w:rsidTr="00544450">
        <w:tc>
          <w:tcPr>
            <w:tcW w:w="1719" w:type="dxa"/>
            <w:hideMark/>
          </w:tcPr>
          <w:p w14:paraId="5981ED18" w14:textId="77777777" w:rsidR="002C0004" w:rsidRPr="00213AFF" w:rsidRDefault="002C0004" w:rsidP="005D32C0">
            <w:pPr>
              <w:rPr>
                <w:iCs/>
              </w:rPr>
            </w:pPr>
            <w:r w:rsidRPr="00213AFF">
              <w:rPr>
                <w:iCs/>
              </w:rPr>
              <w:lastRenderedPageBreak/>
              <w:t>1.2. valsts speciālais budžets</w:t>
            </w:r>
          </w:p>
        </w:tc>
        <w:tc>
          <w:tcPr>
            <w:tcW w:w="1056" w:type="dxa"/>
            <w:hideMark/>
          </w:tcPr>
          <w:p w14:paraId="68718483" w14:textId="77777777" w:rsidR="002C0004" w:rsidRPr="00213AFF" w:rsidRDefault="002C0004" w:rsidP="005D32C0">
            <w:pPr>
              <w:jc w:val="center"/>
              <w:rPr>
                <w:iCs/>
              </w:rPr>
            </w:pPr>
            <w:r w:rsidRPr="00213AFF">
              <w:rPr>
                <w:iCs/>
              </w:rPr>
              <w:t>0</w:t>
            </w:r>
          </w:p>
        </w:tc>
        <w:tc>
          <w:tcPr>
            <w:tcW w:w="0" w:type="auto"/>
            <w:hideMark/>
          </w:tcPr>
          <w:p w14:paraId="65F58AC7" w14:textId="77777777" w:rsidR="002C0004" w:rsidRPr="00213AFF" w:rsidRDefault="002C0004" w:rsidP="005D32C0">
            <w:pPr>
              <w:jc w:val="center"/>
              <w:rPr>
                <w:iCs/>
              </w:rPr>
            </w:pPr>
            <w:r w:rsidRPr="00213AFF">
              <w:rPr>
                <w:iCs/>
              </w:rPr>
              <w:t>0</w:t>
            </w:r>
          </w:p>
        </w:tc>
        <w:tc>
          <w:tcPr>
            <w:tcW w:w="1150" w:type="dxa"/>
            <w:hideMark/>
          </w:tcPr>
          <w:p w14:paraId="17D9D16E" w14:textId="77777777" w:rsidR="002C0004" w:rsidRPr="00213AFF" w:rsidRDefault="002C0004" w:rsidP="005D32C0">
            <w:pPr>
              <w:jc w:val="center"/>
              <w:rPr>
                <w:iCs/>
              </w:rPr>
            </w:pPr>
            <w:r w:rsidRPr="00213AFF">
              <w:rPr>
                <w:iCs/>
              </w:rPr>
              <w:t>0</w:t>
            </w:r>
          </w:p>
        </w:tc>
        <w:tc>
          <w:tcPr>
            <w:tcW w:w="963" w:type="dxa"/>
            <w:hideMark/>
          </w:tcPr>
          <w:p w14:paraId="1A443A56" w14:textId="77777777" w:rsidR="002C0004" w:rsidRPr="00213AFF" w:rsidRDefault="002C0004" w:rsidP="005D32C0">
            <w:pPr>
              <w:jc w:val="center"/>
              <w:rPr>
                <w:iCs/>
              </w:rPr>
            </w:pPr>
            <w:r w:rsidRPr="00213AFF">
              <w:rPr>
                <w:iCs/>
              </w:rPr>
              <w:t>0</w:t>
            </w:r>
          </w:p>
        </w:tc>
        <w:tc>
          <w:tcPr>
            <w:tcW w:w="0" w:type="auto"/>
            <w:hideMark/>
          </w:tcPr>
          <w:p w14:paraId="467EB2C2" w14:textId="77777777" w:rsidR="002C0004" w:rsidRPr="00213AFF" w:rsidRDefault="002C0004" w:rsidP="005D32C0">
            <w:pPr>
              <w:jc w:val="center"/>
              <w:rPr>
                <w:iCs/>
              </w:rPr>
            </w:pPr>
            <w:r w:rsidRPr="00213AFF">
              <w:rPr>
                <w:iCs/>
              </w:rPr>
              <w:t>0</w:t>
            </w:r>
          </w:p>
        </w:tc>
        <w:tc>
          <w:tcPr>
            <w:tcW w:w="0" w:type="auto"/>
            <w:hideMark/>
          </w:tcPr>
          <w:p w14:paraId="059C9B31" w14:textId="77777777" w:rsidR="002C0004" w:rsidRPr="00213AFF" w:rsidRDefault="002C0004" w:rsidP="005D32C0">
            <w:pPr>
              <w:jc w:val="center"/>
              <w:rPr>
                <w:iCs/>
              </w:rPr>
            </w:pPr>
            <w:r w:rsidRPr="00213AFF">
              <w:rPr>
                <w:iCs/>
              </w:rPr>
              <w:t>0</w:t>
            </w:r>
          </w:p>
        </w:tc>
        <w:tc>
          <w:tcPr>
            <w:tcW w:w="1318" w:type="dxa"/>
            <w:hideMark/>
          </w:tcPr>
          <w:p w14:paraId="63FA4AB1" w14:textId="77777777" w:rsidR="002C0004" w:rsidRPr="00213AFF" w:rsidRDefault="002C0004" w:rsidP="005D32C0">
            <w:pPr>
              <w:jc w:val="center"/>
              <w:rPr>
                <w:iCs/>
              </w:rPr>
            </w:pPr>
            <w:r w:rsidRPr="00213AFF">
              <w:rPr>
                <w:iCs/>
              </w:rPr>
              <w:t>0</w:t>
            </w:r>
          </w:p>
        </w:tc>
      </w:tr>
      <w:tr w:rsidR="002C0004" w:rsidRPr="002C0004" w14:paraId="4BD9A896" w14:textId="77777777" w:rsidTr="00544450">
        <w:tc>
          <w:tcPr>
            <w:tcW w:w="1719" w:type="dxa"/>
            <w:hideMark/>
          </w:tcPr>
          <w:p w14:paraId="4ECED05D" w14:textId="77777777" w:rsidR="002C0004" w:rsidRPr="00213AFF" w:rsidRDefault="002C0004" w:rsidP="005D32C0">
            <w:pPr>
              <w:rPr>
                <w:iCs/>
              </w:rPr>
            </w:pPr>
            <w:r w:rsidRPr="00213AFF">
              <w:rPr>
                <w:iCs/>
              </w:rPr>
              <w:t>1.3. pašvaldību budžets</w:t>
            </w:r>
          </w:p>
        </w:tc>
        <w:tc>
          <w:tcPr>
            <w:tcW w:w="1056" w:type="dxa"/>
            <w:hideMark/>
          </w:tcPr>
          <w:p w14:paraId="6F1C4CCF" w14:textId="77777777" w:rsidR="002C0004" w:rsidRPr="00213AFF" w:rsidRDefault="002C0004" w:rsidP="005D32C0">
            <w:pPr>
              <w:jc w:val="center"/>
              <w:rPr>
                <w:iCs/>
              </w:rPr>
            </w:pPr>
            <w:r w:rsidRPr="00213AFF">
              <w:rPr>
                <w:iCs/>
              </w:rPr>
              <w:t>0</w:t>
            </w:r>
          </w:p>
        </w:tc>
        <w:tc>
          <w:tcPr>
            <w:tcW w:w="0" w:type="auto"/>
            <w:hideMark/>
          </w:tcPr>
          <w:p w14:paraId="2BBB96EA" w14:textId="77777777" w:rsidR="002C0004" w:rsidRPr="00213AFF" w:rsidRDefault="002C0004" w:rsidP="005D32C0">
            <w:pPr>
              <w:jc w:val="center"/>
              <w:rPr>
                <w:iCs/>
              </w:rPr>
            </w:pPr>
            <w:r w:rsidRPr="00213AFF">
              <w:rPr>
                <w:iCs/>
              </w:rPr>
              <w:t>0</w:t>
            </w:r>
          </w:p>
        </w:tc>
        <w:tc>
          <w:tcPr>
            <w:tcW w:w="1150" w:type="dxa"/>
            <w:hideMark/>
          </w:tcPr>
          <w:p w14:paraId="56995045" w14:textId="77777777" w:rsidR="002C0004" w:rsidRPr="00213AFF" w:rsidRDefault="002C0004" w:rsidP="005D32C0">
            <w:pPr>
              <w:jc w:val="center"/>
              <w:rPr>
                <w:iCs/>
              </w:rPr>
            </w:pPr>
            <w:r w:rsidRPr="00213AFF">
              <w:rPr>
                <w:iCs/>
              </w:rPr>
              <w:t>0</w:t>
            </w:r>
          </w:p>
        </w:tc>
        <w:tc>
          <w:tcPr>
            <w:tcW w:w="963" w:type="dxa"/>
            <w:hideMark/>
          </w:tcPr>
          <w:p w14:paraId="52A948EC" w14:textId="77777777" w:rsidR="002C0004" w:rsidRPr="00213AFF" w:rsidRDefault="002C0004" w:rsidP="005D32C0">
            <w:pPr>
              <w:jc w:val="center"/>
              <w:rPr>
                <w:iCs/>
              </w:rPr>
            </w:pPr>
            <w:r w:rsidRPr="00213AFF">
              <w:rPr>
                <w:iCs/>
              </w:rPr>
              <w:t>0</w:t>
            </w:r>
          </w:p>
        </w:tc>
        <w:tc>
          <w:tcPr>
            <w:tcW w:w="0" w:type="auto"/>
            <w:hideMark/>
          </w:tcPr>
          <w:p w14:paraId="435F681E" w14:textId="77777777" w:rsidR="002C0004" w:rsidRPr="00213AFF" w:rsidRDefault="002C0004" w:rsidP="005D32C0">
            <w:pPr>
              <w:jc w:val="center"/>
              <w:rPr>
                <w:iCs/>
              </w:rPr>
            </w:pPr>
            <w:r w:rsidRPr="00213AFF">
              <w:rPr>
                <w:iCs/>
              </w:rPr>
              <w:t>0</w:t>
            </w:r>
          </w:p>
        </w:tc>
        <w:tc>
          <w:tcPr>
            <w:tcW w:w="0" w:type="auto"/>
            <w:hideMark/>
          </w:tcPr>
          <w:p w14:paraId="3E2A0D55" w14:textId="77777777" w:rsidR="002C0004" w:rsidRPr="00213AFF" w:rsidRDefault="002C0004" w:rsidP="005D32C0">
            <w:pPr>
              <w:jc w:val="center"/>
              <w:rPr>
                <w:iCs/>
              </w:rPr>
            </w:pPr>
            <w:r w:rsidRPr="00213AFF">
              <w:rPr>
                <w:iCs/>
              </w:rPr>
              <w:t>0</w:t>
            </w:r>
          </w:p>
        </w:tc>
        <w:tc>
          <w:tcPr>
            <w:tcW w:w="1318" w:type="dxa"/>
            <w:hideMark/>
          </w:tcPr>
          <w:p w14:paraId="6E4E45D3" w14:textId="77777777" w:rsidR="002C0004" w:rsidRPr="00213AFF" w:rsidRDefault="002C0004" w:rsidP="005D32C0">
            <w:pPr>
              <w:jc w:val="center"/>
              <w:rPr>
                <w:iCs/>
              </w:rPr>
            </w:pPr>
            <w:r w:rsidRPr="00213AFF">
              <w:rPr>
                <w:iCs/>
              </w:rPr>
              <w:t>0</w:t>
            </w:r>
          </w:p>
        </w:tc>
      </w:tr>
      <w:tr w:rsidR="002C0004" w:rsidRPr="002C0004" w14:paraId="3E170C66" w14:textId="77777777" w:rsidTr="00544450">
        <w:tc>
          <w:tcPr>
            <w:tcW w:w="1719" w:type="dxa"/>
            <w:hideMark/>
          </w:tcPr>
          <w:p w14:paraId="782562EC" w14:textId="77777777" w:rsidR="002C0004" w:rsidRPr="00213AFF" w:rsidRDefault="002C0004" w:rsidP="005D32C0">
            <w:pPr>
              <w:rPr>
                <w:iCs/>
              </w:rPr>
            </w:pPr>
            <w:r w:rsidRPr="00213AFF">
              <w:rPr>
                <w:iCs/>
              </w:rPr>
              <w:t>2. Budžeta izdevumi</w:t>
            </w:r>
          </w:p>
        </w:tc>
        <w:tc>
          <w:tcPr>
            <w:tcW w:w="1056" w:type="dxa"/>
            <w:hideMark/>
          </w:tcPr>
          <w:p w14:paraId="4D50EF2B" w14:textId="3E539DF8" w:rsidR="002C0004" w:rsidRPr="00213AFF" w:rsidRDefault="00213AFF" w:rsidP="005D32C0">
            <w:pPr>
              <w:jc w:val="center"/>
              <w:rPr>
                <w:iCs/>
              </w:rPr>
            </w:pPr>
            <w:r>
              <w:rPr>
                <w:iCs/>
              </w:rPr>
              <w:t>0</w:t>
            </w:r>
          </w:p>
        </w:tc>
        <w:tc>
          <w:tcPr>
            <w:tcW w:w="0" w:type="auto"/>
            <w:hideMark/>
          </w:tcPr>
          <w:p w14:paraId="34F43324" w14:textId="77777777" w:rsidR="002C0004" w:rsidRPr="00213AFF" w:rsidRDefault="002C0004" w:rsidP="005D32C0">
            <w:pPr>
              <w:jc w:val="center"/>
              <w:rPr>
                <w:iCs/>
              </w:rPr>
            </w:pPr>
            <w:r w:rsidRPr="00213AFF">
              <w:rPr>
                <w:iCs/>
              </w:rPr>
              <w:t>0</w:t>
            </w:r>
          </w:p>
        </w:tc>
        <w:tc>
          <w:tcPr>
            <w:tcW w:w="1150" w:type="dxa"/>
            <w:hideMark/>
          </w:tcPr>
          <w:p w14:paraId="175AC2D9" w14:textId="3B22A92A" w:rsidR="002C0004" w:rsidRPr="00213AFF" w:rsidRDefault="00213AFF" w:rsidP="005D32C0">
            <w:pPr>
              <w:jc w:val="center"/>
              <w:rPr>
                <w:iCs/>
              </w:rPr>
            </w:pPr>
            <w:r>
              <w:rPr>
                <w:bCs/>
              </w:rPr>
              <w:t>0</w:t>
            </w:r>
            <w:r w:rsidR="00957718" w:rsidRPr="00213AFF">
              <w:rPr>
                <w:bCs/>
              </w:rPr>
              <w:t> </w:t>
            </w:r>
          </w:p>
        </w:tc>
        <w:tc>
          <w:tcPr>
            <w:tcW w:w="963" w:type="dxa"/>
            <w:hideMark/>
          </w:tcPr>
          <w:p w14:paraId="0FF1BF59" w14:textId="77777777" w:rsidR="002C0004" w:rsidRPr="00213AFF" w:rsidRDefault="002C0004" w:rsidP="005D32C0">
            <w:pPr>
              <w:jc w:val="center"/>
              <w:rPr>
                <w:iCs/>
              </w:rPr>
            </w:pPr>
            <w:r w:rsidRPr="00213AFF">
              <w:rPr>
                <w:iCs/>
              </w:rPr>
              <w:t>0</w:t>
            </w:r>
          </w:p>
        </w:tc>
        <w:tc>
          <w:tcPr>
            <w:tcW w:w="0" w:type="auto"/>
            <w:hideMark/>
          </w:tcPr>
          <w:p w14:paraId="48467BDE" w14:textId="7285A69C" w:rsidR="002C0004" w:rsidRPr="00213AFF" w:rsidRDefault="00213AFF" w:rsidP="005D32C0">
            <w:pPr>
              <w:jc w:val="center"/>
              <w:rPr>
                <w:iCs/>
              </w:rPr>
            </w:pPr>
            <w:r>
              <w:rPr>
                <w:bCs/>
              </w:rPr>
              <w:t>0</w:t>
            </w:r>
            <w:r w:rsidR="00957718" w:rsidRPr="00213AFF">
              <w:rPr>
                <w:bCs/>
              </w:rPr>
              <w:t> </w:t>
            </w:r>
          </w:p>
        </w:tc>
        <w:tc>
          <w:tcPr>
            <w:tcW w:w="0" w:type="auto"/>
            <w:hideMark/>
          </w:tcPr>
          <w:p w14:paraId="530AD8E0" w14:textId="77777777" w:rsidR="002C0004" w:rsidRPr="00213AFF" w:rsidRDefault="002C0004" w:rsidP="005D32C0">
            <w:pPr>
              <w:jc w:val="center"/>
              <w:rPr>
                <w:iCs/>
              </w:rPr>
            </w:pPr>
            <w:r w:rsidRPr="00213AFF">
              <w:rPr>
                <w:iCs/>
              </w:rPr>
              <w:t>0</w:t>
            </w:r>
          </w:p>
        </w:tc>
        <w:tc>
          <w:tcPr>
            <w:tcW w:w="1318" w:type="dxa"/>
            <w:hideMark/>
          </w:tcPr>
          <w:p w14:paraId="622EF26C" w14:textId="70B436B2" w:rsidR="002C0004" w:rsidRPr="00213AFF" w:rsidRDefault="00213AFF" w:rsidP="005D32C0">
            <w:pPr>
              <w:jc w:val="center"/>
              <w:rPr>
                <w:iCs/>
              </w:rPr>
            </w:pPr>
            <w:r>
              <w:rPr>
                <w:bCs/>
              </w:rPr>
              <w:t>0</w:t>
            </w:r>
            <w:r w:rsidR="00F618DA" w:rsidRPr="00213AFF">
              <w:rPr>
                <w:bCs/>
              </w:rPr>
              <w:t> </w:t>
            </w:r>
          </w:p>
        </w:tc>
      </w:tr>
      <w:tr w:rsidR="002C0004" w:rsidRPr="002C0004" w14:paraId="5B008EE9" w14:textId="77777777" w:rsidTr="00544450">
        <w:tc>
          <w:tcPr>
            <w:tcW w:w="1719" w:type="dxa"/>
            <w:hideMark/>
          </w:tcPr>
          <w:p w14:paraId="154385DD" w14:textId="77777777" w:rsidR="002C0004" w:rsidRPr="00213AFF" w:rsidRDefault="002C0004" w:rsidP="005D32C0">
            <w:pPr>
              <w:rPr>
                <w:iCs/>
              </w:rPr>
            </w:pPr>
            <w:r w:rsidRPr="00213AFF">
              <w:rPr>
                <w:iCs/>
              </w:rPr>
              <w:t>2.1. valsts pamatbudžets</w:t>
            </w:r>
          </w:p>
        </w:tc>
        <w:tc>
          <w:tcPr>
            <w:tcW w:w="1056" w:type="dxa"/>
            <w:hideMark/>
          </w:tcPr>
          <w:p w14:paraId="5A733CD6" w14:textId="02FCD253" w:rsidR="002C0004" w:rsidRPr="00213AFF" w:rsidRDefault="00213AFF" w:rsidP="00F618DA">
            <w:pPr>
              <w:jc w:val="center"/>
              <w:rPr>
                <w:iCs/>
              </w:rPr>
            </w:pPr>
            <w:r>
              <w:rPr>
                <w:iCs/>
              </w:rPr>
              <w:t>0</w:t>
            </w:r>
          </w:p>
        </w:tc>
        <w:tc>
          <w:tcPr>
            <w:tcW w:w="0" w:type="auto"/>
            <w:hideMark/>
          </w:tcPr>
          <w:p w14:paraId="11F1B782" w14:textId="77777777" w:rsidR="002C0004" w:rsidRPr="00213AFF" w:rsidRDefault="002C0004" w:rsidP="005D32C0">
            <w:pPr>
              <w:jc w:val="center"/>
              <w:rPr>
                <w:iCs/>
              </w:rPr>
            </w:pPr>
            <w:r w:rsidRPr="00213AFF">
              <w:rPr>
                <w:iCs/>
              </w:rPr>
              <w:t>0</w:t>
            </w:r>
          </w:p>
        </w:tc>
        <w:tc>
          <w:tcPr>
            <w:tcW w:w="1150" w:type="dxa"/>
            <w:hideMark/>
          </w:tcPr>
          <w:p w14:paraId="0119C0EF" w14:textId="6CCDF233" w:rsidR="002C0004" w:rsidRPr="00213AFF" w:rsidRDefault="00213AFF" w:rsidP="005D32C0">
            <w:pPr>
              <w:jc w:val="center"/>
              <w:rPr>
                <w:iCs/>
              </w:rPr>
            </w:pPr>
            <w:r>
              <w:rPr>
                <w:bCs/>
              </w:rPr>
              <w:t>0</w:t>
            </w:r>
            <w:r w:rsidR="00F618DA" w:rsidRPr="00213AFF">
              <w:rPr>
                <w:bCs/>
              </w:rPr>
              <w:t> </w:t>
            </w:r>
          </w:p>
        </w:tc>
        <w:tc>
          <w:tcPr>
            <w:tcW w:w="963" w:type="dxa"/>
            <w:hideMark/>
          </w:tcPr>
          <w:p w14:paraId="540B47F8" w14:textId="77777777" w:rsidR="002C0004" w:rsidRPr="00213AFF" w:rsidRDefault="002C0004" w:rsidP="005D32C0">
            <w:pPr>
              <w:jc w:val="center"/>
              <w:rPr>
                <w:iCs/>
              </w:rPr>
            </w:pPr>
            <w:r w:rsidRPr="00213AFF">
              <w:rPr>
                <w:iCs/>
              </w:rPr>
              <w:t>0</w:t>
            </w:r>
          </w:p>
        </w:tc>
        <w:tc>
          <w:tcPr>
            <w:tcW w:w="0" w:type="auto"/>
            <w:hideMark/>
          </w:tcPr>
          <w:p w14:paraId="4FD4E94F" w14:textId="3433D9E6" w:rsidR="002C0004" w:rsidRPr="00213AFF" w:rsidRDefault="00213AFF" w:rsidP="005D32C0">
            <w:pPr>
              <w:jc w:val="center"/>
              <w:rPr>
                <w:iCs/>
              </w:rPr>
            </w:pPr>
            <w:r>
              <w:rPr>
                <w:bCs/>
              </w:rPr>
              <w:t>0</w:t>
            </w:r>
            <w:r w:rsidR="00F618DA" w:rsidRPr="00213AFF">
              <w:rPr>
                <w:bCs/>
              </w:rPr>
              <w:t> </w:t>
            </w:r>
          </w:p>
        </w:tc>
        <w:tc>
          <w:tcPr>
            <w:tcW w:w="0" w:type="auto"/>
            <w:hideMark/>
          </w:tcPr>
          <w:p w14:paraId="36075670" w14:textId="77777777" w:rsidR="002C0004" w:rsidRPr="00213AFF" w:rsidRDefault="002C0004" w:rsidP="005D32C0">
            <w:pPr>
              <w:jc w:val="center"/>
              <w:rPr>
                <w:iCs/>
              </w:rPr>
            </w:pPr>
            <w:r w:rsidRPr="00213AFF">
              <w:rPr>
                <w:iCs/>
              </w:rPr>
              <w:t>0</w:t>
            </w:r>
          </w:p>
        </w:tc>
        <w:tc>
          <w:tcPr>
            <w:tcW w:w="1318" w:type="dxa"/>
            <w:hideMark/>
          </w:tcPr>
          <w:p w14:paraId="528BDF40" w14:textId="20412B8D" w:rsidR="002C0004" w:rsidRPr="00213AFF" w:rsidRDefault="00213AFF" w:rsidP="005D32C0">
            <w:pPr>
              <w:jc w:val="center"/>
              <w:rPr>
                <w:iCs/>
              </w:rPr>
            </w:pPr>
            <w:r>
              <w:rPr>
                <w:iCs/>
              </w:rPr>
              <w:t>0</w:t>
            </w:r>
          </w:p>
        </w:tc>
      </w:tr>
      <w:tr w:rsidR="002C0004" w:rsidRPr="002C0004" w14:paraId="232807FF" w14:textId="77777777" w:rsidTr="00544450">
        <w:tc>
          <w:tcPr>
            <w:tcW w:w="1719" w:type="dxa"/>
            <w:hideMark/>
          </w:tcPr>
          <w:p w14:paraId="3F7779BB" w14:textId="77777777" w:rsidR="002C0004" w:rsidRPr="00213AFF" w:rsidRDefault="002C0004" w:rsidP="005D32C0">
            <w:pPr>
              <w:rPr>
                <w:iCs/>
              </w:rPr>
            </w:pPr>
            <w:r w:rsidRPr="00213AFF">
              <w:rPr>
                <w:iCs/>
              </w:rPr>
              <w:t>2.2. valsts speciālais budžets</w:t>
            </w:r>
          </w:p>
        </w:tc>
        <w:tc>
          <w:tcPr>
            <w:tcW w:w="1056" w:type="dxa"/>
            <w:hideMark/>
          </w:tcPr>
          <w:p w14:paraId="6585C2CA" w14:textId="77777777" w:rsidR="002C0004" w:rsidRPr="00213AFF" w:rsidRDefault="002C0004" w:rsidP="005D32C0">
            <w:pPr>
              <w:jc w:val="center"/>
              <w:rPr>
                <w:iCs/>
              </w:rPr>
            </w:pPr>
            <w:r w:rsidRPr="00213AFF">
              <w:rPr>
                <w:iCs/>
              </w:rPr>
              <w:t>0</w:t>
            </w:r>
          </w:p>
        </w:tc>
        <w:tc>
          <w:tcPr>
            <w:tcW w:w="0" w:type="auto"/>
            <w:hideMark/>
          </w:tcPr>
          <w:p w14:paraId="578EA0A3" w14:textId="77777777" w:rsidR="002C0004" w:rsidRPr="00213AFF" w:rsidRDefault="002C0004" w:rsidP="005D32C0">
            <w:pPr>
              <w:jc w:val="center"/>
              <w:rPr>
                <w:iCs/>
              </w:rPr>
            </w:pPr>
            <w:r w:rsidRPr="00213AFF">
              <w:rPr>
                <w:iCs/>
              </w:rPr>
              <w:t>0</w:t>
            </w:r>
          </w:p>
        </w:tc>
        <w:tc>
          <w:tcPr>
            <w:tcW w:w="1150" w:type="dxa"/>
            <w:hideMark/>
          </w:tcPr>
          <w:p w14:paraId="15B58494" w14:textId="77777777" w:rsidR="002C0004" w:rsidRPr="00213AFF" w:rsidRDefault="002C0004" w:rsidP="005D32C0">
            <w:pPr>
              <w:jc w:val="center"/>
              <w:rPr>
                <w:iCs/>
              </w:rPr>
            </w:pPr>
            <w:r w:rsidRPr="00213AFF">
              <w:rPr>
                <w:iCs/>
              </w:rPr>
              <w:t>0</w:t>
            </w:r>
          </w:p>
        </w:tc>
        <w:tc>
          <w:tcPr>
            <w:tcW w:w="963" w:type="dxa"/>
            <w:hideMark/>
          </w:tcPr>
          <w:p w14:paraId="6FABE2CD" w14:textId="77777777" w:rsidR="002C0004" w:rsidRPr="00213AFF" w:rsidRDefault="002C0004" w:rsidP="005D32C0">
            <w:pPr>
              <w:jc w:val="center"/>
              <w:rPr>
                <w:iCs/>
              </w:rPr>
            </w:pPr>
            <w:r w:rsidRPr="00213AFF">
              <w:rPr>
                <w:iCs/>
              </w:rPr>
              <w:t>0</w:t>
            </w:r>
          </w:p>
        </w:tc>
        <w:tc>
          <w:tcPr>
            <w:tcW w:w="0" w:type="auto"/>
            <w:hideMark/>
          </w:tcPr>
          <w:p w14:paraId="3028C5CA" w14:textId="77777777" w:rsidR="002C0004" w:rsidRPr="00213AFF" w:rsidRDefault="002C0004" w:rsidP="005D32C0">
            <w:pPr>
              <w:jc w:val="center"/>
              <w:rPr>
                <w:iCs/>
              </w:rPr>
            </w:pPr>
            <w:r w:rsidRPr="00213AFF">
              <w:rPr>
                <w:iCs/>
              </w:rPr>
              <w:t>0</w:t>
            </w:r>
          </w:p>
        </w:tc>
        <w:tc>
          <w:tcPr>
            <w:tcW w:w="0" w:type="auto"/>
            <w:hideMark/>
          </w:tcPr>
          <w:p w14:paraId="27389ED7" w14:textId="77777777" w:rsidR="002C0004" w:rsidRPr="00213AFF" w:rsidRDefault="002C0004" w:rsidP="005D32C0">
            <w:pPr>
              <w:jc w:val="center"/>
              <w:rPr>
                <w:iCs/>
              </w:rPr>
            </w:pPr>
            <w:r w:rsidRPr="00213AFF">
              <w:rPr>
                <w:iCs/>
              </w:rPr>
              <w:t>0</w:t>
            </w:r>
          </w:p>
        </w:tc>
        <w:tc>
          <w:tcPr>
            <w:tcW w:w="1318" w:type="dxa"/>
            <w:hideMark/>
          </w:tcPr>
          <w:p w14:paraId="42326A62" w14:textId="77777777" w:rsidR="002C0004" w:rsidRPr="00213AFF" w:rsidRDefault="002C0004" w:rsidP="005D32C0">
            <w:pPr>
              <w:jc w:val="center"/>
              <w:rPr>
                <w:iCs/>
              </w:rPr>
            </w:pPr>
            <w:r w:rsidRPr="00213AFF">
              <w:rPr>
                <w:iCs/>
              </w:rPr>
              <w:t>0</w:t>
            </w:r>
          </w:p>
        </w:tc>
      </w:tr>
      <w:tr w:rsidR="002C0004" w:rsidRPr="002C0004" w14:paraId="044CF25F" w14:textId="77777777" w:rsidTr="00544450">
        <w:tc>
          <w:tcPr>
            <w:tcW w:w="1719" w:type="dxa"/>
            <w:hideMark/>
          </w:tcPr>
          <w:p w14:paraId="51C785AC" w14:textId="77777777" w:rsidR="002C0004" w:rsidRPr="00213AFF" w:rsidRDefault="002C0004" w:rsidP="005D32C0">
            <w:pPr>
              <w:rPr>
                <w:iCs/>
              </w:rPr>
            </w:pPr>
            <w:r w:rsidRPr="00213AFF">
              <w:rPr>
                <w:iCs/>
              </w:rPr>
              <w:t>2.3. pašvaldību budžets</w:t>
            </w:r>
          </w:p>
        </w:tc>
        <w:tc>
          <w:tcPr>
            <w:tcW w:w="1056" w:type="dxa"/>
            <w:hideMark/>
          </w:tcPr>
          <w:p w14:paraId="6E5FEEA0" w14:textId="77777777" w:rsidR="002C0004" w:rsidRPr="00213AFF" w:rsidRDefault="002C0004" w:rsidP="005D32C0">
            <w:pPr>
              <w:jc w:val="center"/>
              <w:rPr>
                <w:iCs/>
              </w:rPr>
            </w:pPr>
            <w:r w:rsidRPr="00213AFF">
              <w:rPr>
                <w:iCs/>
              </w:rPr>
              <w:t>0</w:t>
            </w:r>
          </w:p>
        </w:tc>
        <w:tc>
          <w:tcPr>
            <w:tcW w:w="0" w:type="auto"/>
            <w:hideMark/>
          </w:tcPr>
          <w:p w14:paraId="7152537A" w14:textId="77777777" w:rsidR="002C0004" w:rsidRPr="00213AFF" w:rsidRDefault="002C0004" w:rsidP="005D32C0">
            <w:pPr>
              <w:jc w:val="center"/>
              <w:rPr>
                <w:iCs/>
              </w:rPr>
            </w:pPr>
            <w:r w:rsidRPr="00213AFF">
              <w:rPr>
                <w:iCs/>
              </w:rPr>
              <w:t>0</w:t>
            </w:r>
          </w:p>
        </w:tc>
        <w:tc>
          <w:tcPr>
            <w:tcW w:w="1150" w:type="dxa"/>
            <w:hideMark/>
          </w:tcPr>
          <w:p w14:paraId="7E596A20" w14:textId="77777777" w:rsidR="002C0004" w:rsidRPr="00213AFF" w:rsidRDefault="002C0004" w:rsidP="005D32C0">
            <w:pPr>
              <w:jc w:val="center"/>
              <w:rPr>
                <w:iCs/>
              </w:rPr>
            </w:pPr>
            <w:r w:rsidRPr="00213AFF">
              <w:rPr>
                <w:iCs/>
              </w:rPr>
              <w:t>0</w:t>
            </w:r>
          </w:p>
        </w:tc>
        <w:tc>
          <w:tcPr>
            <w:tcW w:w="963" w:type="dxa"/>
            <w:hideMark/>
          </w:tcPr>
          <w:p w14:paraId="474942BD" w14:textId="77777777" w:rsidR="002C0004" w:rsidRPr="00213AFF" w:rsidRDefault="002C0004" w:rsidP="005D32C0">
            <w:pPr>
              <w:jc w:val="center"/>
              <w:rPr>
                <w:iCs/>
              </w:rPr>
            </w:pPr>
            <w:r w:rsidRPr="00213AFF">
              <w:rPr>
                <w:iCs/>
              </w:rPr>
              <w:t>0</w:t>
            </w:r>
          </w:p>
        </w:tc>
        <w:tc>
          <w:tcPr>
            <w:tcW w:w="0" w:type="auto"/>
            <w:hideMark/>
          </w:tcPr>
          <w:p w14:paraId="609222E7" w14:textId="77777777" w:rsidR="002C0004" w:rsidRPr="00213AFF" w:rsidRDefault="002C0004" w:rsidP="005D32C0">
            <w:pPr>
              <w:jc w:val="center"/>
              <w:rPr>
                <w:iCs/>
              </w:rPr>
            </w:pPr>
            <w:r w:rsidRPr="00213AFF">
              <w:rPr>
                <w:iCs/>
              </w:rPr>
              <w:t>0</w:t>
            </w:r>
          </w:p>
        </w:tc>
        <w:tc>
          <w:tcPr>
            <w:tcW w:w="0" w:type="auto"/>
            <w:hideMark/>
          </w:tcPr>
          <w:p w14:paraId="6151D461" w14:textId="77777777" w:rsidR="002C0004" w:rsidRPr="00213AFF" w:rsidRDefault="002C0004" w:rsidP="005D32C0">
            <w:pPr>
              <w:jc w:val="center"/>
              <w:rPr>
                <w:iCs/>
              </w:rPr>
            </w:pPr>
            <w:r w:rsidRPr="00213AFF">
              <w:rPr>
                <w:iCs/>
              </w:rPr>
              <w:t>0</w:t>
            </w:r>
          </w:p>
        </w:tc>
        <w:tc>
          <w:tcPr>
            <w:tcW w:w="1318" w:type="dxa"/>
            <w:hideMark/>
          </w:tcPr>
          <w:p w14:paraId="1B4D6CA0" w14:textId="77777777" w:rsidR="002C0004" w:rsidRPr="00213AFF" w:rsidRDefault="002C0004" w:rsidP="005D32C0">
            <w:pPr>
              <w:jc w:val="center"/>
              <w:rPr>
                <w:iCs/>
              </w:rPr>
            </w:pPr>
            <w:r w:rsidRPr="00213AFF">
              <w:rPr>
                <w:iCs/>
              </w:rPr>
              <w:t>0</w:t>
            </w:r>
          </w:p>
        </w:tc>
      </w:tr>
      <w:tr w:rsidR="002C0004" w:rsidRPr="002C0004" w14:paraId="5CF2487E" w14:textId="77777777" w:rsidTr="00544450">
        <w:tc>
          <w:tcPr>
            <w:tcW w:w="1719" w:type="dxa"/>
            <w:hideMark/>
          </w:tcPr>
          <w:p w14:paraId="16FADB7D" w14:textId="77777777" w:rsidR="002C0004" w:rsidRPr="00213AFF" w:rsidRDefault="002C0004" w:rsidP="005D32C0">
            <w:pPr>
              <w:rPr>
                <w:iCs/>
              </w:rPr>
            </w:pPr>
            <w:r w:rsidRPr="00213AFF">
              <w:rPr>
                <w:iCs/>
              </w:rPr>
              <w:t>3. Finansiālā ietekme</w:t>
            </w:r>
          </w:p>
        </w:tc>
        <w:tc>
          <w:tcPr>
            <w:tcW w:w="1056" w:type="dxa"/>
            <w:hideMark/>
          </w:tcPr>
          <w:p w14:paraId="30C30DFF" w14:textId="77777777" w:rsidR="002C0004" w:rsidRPr="00213AFF" w:rsidRDefault="002C0004" w:rsidP="005D32C0">
            <w:pPr>
              <w:jc w:val="center"/>
              <w:rPr>
                <w:iCs/>
              </w:rPr>
            </w:pPr>
            <w:r w:rsidRPr="00213AFF">
              <w:rPr>
                <w:iCs/>
              </w:rPr>
              <w:t>0</w:t>
            </w:r>
          </w:p>
        </w:tc>
        <w:tc>
          <w:tcPr>
            <w:tcW w:w="0" w:type="auto"/>
            <w:hideMark/>
          </w:tcPr>
          <w:p w14:paraId="45FCC355" w14:textId="77777777" w:rsidR="002C0004" w:rsidRPr="00213AFF" w:rsidRDefault="002C0004" w:rsidP="005D32C0">
            <w:pPr>
              <w:jc w:val="center"/>
              <w:rPr>
                <w:iCs/>
              </w:rPr>
            </w:pPr>
            <w:r w:rsidRPr="00213AFF">
              <w:rPr>
                <w:iCs/>
              </w:rPr>
              <w:t>0</w:t>
            </w:r>
          </w:p>
        </w:tc>
        <w:tc>
          <w:tcPr>
            <w:tcW w:w="1150" w:type="dxa"/>
            <w:hideMark/>
          </w:tcPr>
          <w:p w14:paraId="0CDE699A" w14:textId="77777777" w:rsidR="002C0004" w:rsidRPr="00213AFF" w:rsidRDefault="002C0004" w:rsidP="005D32C0">
            <w:pPr>
              <w:jc w:val="center"/>
              <w:rPr>
                <w:iCs/>
              </w:rPr>
            </w:pPr>
            <w:r w:rsidRPr="00213AFF">
              <w:rPr>
                <w:iCs/>
              </w:rPr>
              <w:t>0</w:t>
            </w:r>
          </w:p>
        </w:tc>
        <w:tc>
          <w:tcPr>
            <w:tcW w:w="963" w:type="dxa"/>
            <w:hideMark/>
          </w:tcPr>
          <w:p w14:paraId="4B85E4A1" w14:textId="77777777" w:rsidR="002C0004" w:rsidRPr="00213AFF" w:rsidRDefault="002C0004" w:rsidP="005D32C0">
            <w:pPr>
              <w:jc w:val="center"/>
              <w:rPr>
                <w:iCs/>
              </w:rPr>
            </w:pPr>
            <w:r w:rsidRPr="00213AFF">
              <w:rPr>
                <w:iCs/>
              </w:rPr>
              <w:t>0</w:t>
            </w:r>
          </w:p>
        </w:tc>
        <w:tc>
          <w:tcPr>
            <w:tcW w:w="0" w:type="auto"/>
            <w:hideMark/>
          </w:tcPr>
          <w:p w14:paraId="6AA0CA5B" w14:textId="77777777" w:rsidR="002C0004" w:rsidRPr="00213AFF" w:rsidRDefault="002C0004" w:rsidP="005D32C0">
            <w:pPr>
              <w:jc w:val="center"/>
              <w:rPr>
                <w:iCs/>
              </w:rPr>
            </w:pPr>
            <w:r w:rsidRPr="00213AFF">
              <w:rPr>
                <w:iCs/>
              </w:rPr>
              <w:t>0</w:t>
            </w:r>
          </w:p>
        </w:tc>
        <w:tc>
          <w:tcPr>
            <w:tcW w:w="0" w:type="auto"/>
            <w:hideMark/>
          </w:tcPr>
          <w:p w14:paraId="357FE50B" w14:textId="77777777" w:rsidR="002C0004" w:rsidRPr="00213AFF" w:rsidRDefault="002C0004" w:rsidP="005D32C0">
            <w:pPr>
              <w:jc w:val="center"/>
              <w:rPr>
                <w:iCs/>
              </w:rPr>
            </w:pPr>
            <w:r w:rsidRPr="00213AFF">
              <w:rPr>
                <w:iCs/>
              </w:rPr>
              <w:t>0</w:t>
            </w:r>
          </w:p>
        </w:tc>
        <w:tc>
          <w:tcPr>
            <w:tcW w:w="1318" w:type="dxa"/>
            <w:hideMark/>
          </w:tcPr>
          <w:p w14:paraId="0682A4A0" w14:textId="77777777" w:rsidR="002C0004" w:rsidRPr="00213AFF" w:rsidRDefault="002C0004" w:rsidP="005D32C0">
            <w:pPr>
              <w:jc w:val="center"/>
              <w:rPr>
                <w:iCs/>
              </w:rPr>
            </w:pPr>
            <w:r w:rsidRPr="00213AFF">
              <w:rPr>
                <w:iCs/>
              </w:rPr>
              <w:t>0</w:t>
            </w:r>
          </w:p>
        </w:tc>
      </w:tr>
      <w:tr w:rsidR="002C0004" w:rsidRPr="002C0004" w14:paraId="1977489D" w14:textId="77777777" w:rsidTr="00544450">
        <w:tc>
          <w:tcPr>
            <w:tcW w:w="1719" w:type="dxa"/>
            <w:hideMark/>
          </w:tcPr>
          <w:p w14:paraId="55D3F6B8" w14:textId="77777777" w:rsidR="002C0004" w:rsidRPr="00213AFF" w:rsidRDefault="002C0004" w:rsidP="005D32C0">
            <w:pPr>
              <w:rPr>
                <w:iCs/>
              </w:rPr>
            </w:pPr>
            <w:r w:rsidRPr="00213AFF">
              <w:rPr>
                <w:iCs/>
              </w:rPr>
              <w:t>3.1. valsts pamatbudžets</w:t>
            </w:r>
          </w:p>
        </w:tc>
        <w:tc>
          <w:tcPr>
            <w:tcW w:w="1056" w:type="dxa"/>
            <w:hideMark/>
          </w:tcPr>
          <w:p w14:paraId="3FACCEBB" w14:textId="77777777" w:rsidR="002C0004" w:rsidRPr="00213AFF" w:rsidRDefault="002C0004" w:rsidP="005D32C0">
            <w:pPr>
              <w:jc w:val="center"/>
              <w:rPr>
                <w:iCs/>
              </w:rPr>
            </w:pPr>
            <w:r w:rsidRPr="00213AFF">
              <w:rPr>
                <w:iCs/>
              </w:rPr>
              <w:t>0</w:t>
            </w:r>
          </w:p>
        </w:tc>
        <w:tc>
          <w:tcPr>
            <w:tcW w:w="0" w:type="auto"/>
            <w:hideMark/>
          </w:tcPr>
          <w:p w14:paraId="6383A643" w14:textId="77777777" w:rsidR="002C0004" w:rsidRPr="00213AFF" w:rsidRDefault="002C0004" w:rsidP="005D32C0">
            <w:pPr>
              <w:jc w:val="center"/>
              <w:rPr>
                <w:iCs/>
              </w:rPr>
            </w:pPr>
            <w:r w:rsidRPr="00213AFF">
              <w:rPr>
                <w:iCs/>
              </w:rPr>
              <w:t>0</w:t>
            </w:r>
          </w:p>
        </w:tc>
        <w:tc>
          <w:tcPr>
            <w:tcW w:w="1150" w:type="dxa"/>
            <w:hideMark/>
          </w:tcPr>
          <w:p w14:paraId="4C8E395F" w14:textId="77777777" w:rsidR="002C0004" w:rsidRPr="00213AFF" w:rsidRDefault="002C0004" w:rsidP="005D32C0">
            <w:pPr>
              <w:jc w:val="center"/>
              <w:rPr>
                <w:iCs/>
              </w:rPr>
            </w:pPr>
            <w:r w:rsidRPr="00213AFF">
              <w:rPr>
                <w:iCs/>
              </w:rPr>
              <w:t>0</w:t>
            </w:r>
          </w:p>
        </w:tc>
        <w:tc>
          <w:tcPr>
            <w:tcW w:w="963" w:type="dxa"/>
            <w:hideMark/>
          </w:tcPr>
          <w:p w14:paraId="073BD3F9" w14:textId="77777777" w:rsidR="002C0004" w:rsidRPr="00213AFF" w:rsidRDefault="002C0004" w:rsidP="005D32C0">
            <w:pPr>
              <w:jc w:val="center"/>
              <w:rPr>
                <w:iCs/>
              </w:rPr>
            </w:pPr>
            <w:r w:rsidRPr="00213AFF">
              <w:rPr>
                <w:iCs/>
              </w:rPr>
              <w:t>0</w:t>
            </w:r>
          </w:p>
        </w:tc>
        <w:tc>
          <w:tcPr>
            <w:tcW w:w="0" w:type="auto"/>
            <w:hideMark/>
          </w:tcPr>
          <w:p w14:paraId="1D3F9E7F" w14:textId="77777777" w:rsidR="002C0004" w:rsidRPr="00213AFF" w:rsidRDefault="002C0004" w:rsidP="005D32C0">
            <w:pPr>
              <w:jc w:val="center"/>
              <w:rPr>
                <w:iCs/>
              </w:rPr>
            </w:pPr>
            <w:r w:rsidRPr="00213AFF">
              <w:rPr>
                <w:iCs/>
              </w:rPr>
              <w:t>0</w:t>
            </w:r>
          </w:p>
        </w:tc>
        <w:tc>
          <w:tcPr>
            <w:tcW w:w="0" w:type="auto"/>
            <w:hideMark/>
          </w:tcPr>
          <w:p w14:paraId="2CB039F7" w14:textId="77777777" w:rsidR="002C0004" w:rsidRPr="00213AFF" w:rsidRDefault="002C0004" w:rsidP="005D32C0">
            <w:pPr>
              <w:jc w:val="center"/>
              <w:rPr>
                <w:iCs/>
              </w:rPr>
            </w:pPr>
            <w:r w:rsidRPr="00213AFF">
              <w:rPr>
                <w:iCs/>
              </w:rPr>
              <w:t>0</w:t>
            </w:r>
          </w:p>
        </w:tc>
        <w:tc>
          <w:tcPr>
            <w:tcW w:w="1318" w:type="dxa"/>
            <w:hideMark/>
          </w:tcPr>
          <w:p w14:paraId="7FAC8BAC" w14:textId="77777777" w:rsidR="002C0004" w:rsidRPr="00213AFF" w:rsidRDefault="002C0004" w:rsidP="005D32C0">
            <w:pPr>
              <w:jc w:val="center"/>
              <w:rPr>
                <w:iCs/>
              </w:rPr>
            </w:pPr>
            <w:r w:rsidRPr="00213AFF">
              <w:rPr>
                <w:iCs/>
              </w:rPr>
              <w:t>0</w:t>
            </w:r>
          </w:p>
        </w:tc>
      </w:tr>
      <w:tr w:rsidR="002C0004" w:rsidRPr="002C0004" w14:paraId="0BCE1DF5" w14:textId="77777777" w:rsidTr="00544450">
        <w:tc>
          <w:tcPr>
            <w:tcW w:w="1719" w:type="dxa"/>
            <w:hideMark/>
          </w:tcPr>
          <w:p w14:paraId="10295DB8" w14:textId="77777777" w:rsidR="002C0004" w:rsidRPr="00213AFF" w:rsidRDefault="002C0004" w:rsidP="005D32C0">
            <w:pPr>
              <w:rPr>
                <w:iCs/>
              </w:rPr>
            </w:pPr>
            <w:r w:rsidRPr="00213AFF">
              <w:rPr>
                <w:iCs/>
              </w:rPr>
              <w:t>3.2. speciālais budžets</w:t>
            </w:r>
          </w:p>
        </w:tc>
        <w:tc>
          <w:tcPr>
            <w:tcW w:w="1056" w:type="dxa"/>
            <w:hideMark/>
          </w:tcPr>
          <w:p w14:paraId="1DFD158A" w14:textId="77777777" w:rsidR="002C0004" w:rsidRPr="00213AFF" w:rsidRDefault="002C0004" w:rsidP="005D32C0">
            <w:pPr>
              <w:jc w:val="center"/>
              <w:rPr>
                <w:iCs/>
              </w:rPr>
            </w:pPr>
            <w:r w:rsidRPr="00213AFF">
              <w:rPr>
                <w:iCs/>
              </w:rPr>
              <w:t>0</w:t>
            </w:r>
          </w:p>
        </w:tc>
        <w:tc>
          <w:tcPr>
            <w:tcW w:w="0" w:type="auto"/>
            <w:hideMark/>
          </w:tcPr>
          <w:p w14:paraId="113023BB" w14:textId="77777777" w:rsidR="002C0004" w:rsidRPr="00213AFF" w:rsidRDefault="002C0004" w:rsidP="005D32C0">
            <w:pPr>
              <w:jc w:val="center"/>
              <w:rPr>
                <w:iCs/>
              </w:rPr>
            </w:pPr>
            <w:r w:rsidRPr="00213AFF">
              <w:rPr>
                <w:iCs/>
              </w:rPr>
              <w:t>0</w:t>
            </w:r>
          </w:p>
        </w:tc>
        <w:tc>
          <w:tcPr>
            <w:tcW w:w="1150" w:type="dxa"/>
            <w:hideMark/>
          </w:tcPr>
          <w:p w14:paraId="7ED7732E" w14:textId="77777777" w:rsidR="002C0004" w:rsidRPr="00213AFF" w:rsidRDefault="002C0004" w:rsidP="005D32C0">
            <w:pPr>
              <w:jc w:val="center"/>
              <w:rPr>
                <w:iCs/>
              </w:rPr>
            </w:pPr>
            <w:r w:rsidRPr="00213AFF">
              <w:rPr>
                <w:iCs/>
              </w:rPr>
              <w:t>0</w:t>
            </w:r>
          </w:p>
        </w:tc>
        <w:tc>
          <w:tcPr>
            <w:tcW w:w="963" w:type="dxa"/>
            <w:hideMark/>
          </w:tcPr>
          <w:p w14:paraId="2A6A9908" w14:textId="77777777" w:rsidR="002C0004" w:rsidRPr="00213AFF" w:rsidRDefault="002C0004" w:rsidP="005D32C0">
            <w:pPr>
              <w:jc w:val="center"/>
              <w:rPr>
                <w:iCs/>
              </w:rPr>
            </w:pPr>
            <w:r w:rsidRPr="00213AFF">
              <w:rPr>
                <w:iCs/>
              </w:rPr>
              <w:t>0</w:t>
            </w:r>
          </w:p>
        </w:tc>
        <w:tc>
          <w:tcPr>
            <w:tcW w:w="0" w:type="auto"/>
            <w:hideMark/>
          </w:tcPr>
          <w:p w14:paraId="567DA258" w14:textId="77777777" w:rsidR="002C0004" w:rsidRPr="00213AFF" w:rsidRDefault="002C0004" w:rsidP="005D32C0">
            <w:pPr>
              <w:jc w:val="center"/>
              <w:rPr>
                <w:iCs/>
              </w:rPr>
            </w:pPr>
            <w:r w:rsidRPr="00213AFF">
              <w:rPr>
                <w:iCs/>
              </w:rPr>
              <w:t>0</w:t>
            </w:r>
          </w:p>
        </w:tc>
        <w:tc>
          <w:tcPr>
            <w:tcW w:w="0" w:type="auto"/>
            <w:hideMark/>
          </w:tcPr>
          <w:p w14:paraId="2CC9ED07" w14:textId="77777777" w:rsidR="002C0004" w:rsidRPr="00213AFF" w:rsidRDefault="002C0004" w:rsidP="005D32C0">
            <w:pPr>
              <w:jc w:val="center"/>
              <w:rPr>
                <w:iCs/>
              </w:rPr>
            </w:pPr>
            <w:r w:rsidRPr="00213AFF">
              <w:rPr>
                <w:iCs/>
              </w:rPr>
              <w:t>0</w:t>
            </w:r>
          </w:p>
        </w:tc>
        <w:tc>
          <w:tcPr>
            <w:tcW w:w="1318" w:type="dxa"/>
            <w:hideMark/>
          </w:tcPr>
          <w:p w14:paraId="5996DDF6" w14:textId="77777777" w:rsidR="002C0004" w:rsidRPr="00213AFF" w:rsidRDefault="002C0004" w:rsidP="005D32C0">
            <w:pPr>
              <w:jc w:val="center"/>
              <w:rPr>
                <w:iCs/>
              </w:rPr>
            </w:pPr>
            <w:r w:rsidRPr="00213AFF">
              <w:rPr>
                <w:iCs/>
              </w:rPr>
              <w:t>0</w:t>
            </w:r>
          </w:p>
        </w:tc>
      </w:tr>
      <w:tr w:rsidR="002C0004" w:rsidRPr="002C0004" w14:paraId="4AE35F8C" w14:textId="77777777" w:rsidTr="00544450">
        <w:tc>
          <w:tcPr>
            <w:tcW w:w="1719" w:type="dxa"/>
            <w:hideMark/>
          </w:tcPr>
          <w:p w14:paraId="7D5FEF94" w14:textId="77777777" w:rsidR="002C0004" w:rsidRPr="00213AFF" w:rsidRDefault="002C0004" w:rsidP="005D32C0">
            <w:pPr>
              <w:rPr>
                <w:iCs/>
              </w:rPr>
            </w:pPr>
            <w:r w:rsidRPr="00213AFF">
              <w:rPr>
                <w:iCs/>
              </w:rPr>
              <w:t>3.3. pašvaldību budžets</w:t>
            </w:r>
          </w:p>
        </w:tc>
        <w:tc>
          <w:tcPr>
            <w:tcW w:w="1056" w:type="dxa"/>
            <w:hideMark/>
          </w:tcPr>
          <w:p w14:paraId="64770E14" w14:textId="77777777" w:rsidR="002C0004" w:rsidRPr="00213AFF" w:rsidRDefault="002C0004" w:rsidP="005D32C0">
            <w:pPr>
              <w:jc w:val="center"/>
              <w:rPr>
                <w:iCs/>
              </w:rPr>
            </w:pPr>
            <w:r w:rsidRPr="00213AFF">
              <w:rPr>
                <w:iCs/>
              </w:rPr>
              <w:t>0</w:t>
            </w:r>
          </w:p>
        </w:tc>
        <w:tc>
          <w:tcPr>
            <w:tcW w:w="0" w:type="auto"/>
            <w:hideMark/>
          </w:tcPr>
          <w:p w14:paraId="46640549" w14:textId="77777777" w:rsidR="002C0004" w:rsidRPr="00213AFF" w:rsidRDefault="002C0004" w:rsidP="005D32C0">
            <w:pPr>
              <w:jc w:val="center"/>
              <w:rPr>
                <w:iCs/>
              </w:rPr>
            </w:pPr>
            <w:r w:rsidRPr="00213AFF">
              <w:rPr>
                <w:iCs/>
              </w:rPr>
              <w:t>0</w:t>
            </w:r>
          </w:p>
        </w:tc>
        <w:tc>
          <w:tcPr>
            <w:tcW w:w="1150" w:type="dxa"/>
            <w:hideMark/>
          </w:tcPr>
          <w:p w14:paraId="062B8A34" w14:textId="77777777" w:rsidR="002C0004" w:rsidRPr="00213AFF" w:rsidRDefault="002C0004" w:rsidP="005D32C0">
            <w:pPr>
              <w:jc w:val="center"/>
              <w:rPr>
                <w:iCs/>
              </w:rPr>
            </w:pPr>
            <w:r w:rsidRPr="00213AFF">
              <w:rPr>
                <w:iCs/>
              </w:rPr>
              <w:t>0</w:t>
            </w:r>
          </w:p>
        </w:tc>
        <w:tc>
          <w:tcPr>
            <w:tcW w:w="963" w:type="dxa"/>
            <w:hideMark/>
          </w:tcPr>
          <w:p w14:paraId="4F61A7B5" w14:textId="77777777" w:rsidR="002C0004" w:rsidRPr="00213AFF" w:rsidRDefault="002C0004" w:rsidP="005D32C0">
            <w:pPr>
              <w:jc w:val="center"/>
              <w:rPr>
                <w:iCs/>
              </w:rPr>
            </w:pPr>
            <w:r w:rsidRPr="00213AFF">
              <w:rPr>
                <w:iCs/>
              </w:rPr>
              <w:t>0</w:t>
            </w:r>
          </w:p>
        </w:tc>
        <w:tc>
          <w:tcPr>
            <w:tcW w:w="0" w:type="auto"/>
            <w:hideMark/>
          </w:tcPr>
          <w:p w14:paraId="706BBB25" w14:textId="77777777" w:rsidR="002C0004" w:rsidRPr="00213AFF" w:rsidRDefault="002C0004" w:rsidP="005D32C0">
            <w:pPr>
              <w:jc w:val="center"/>
              <w:rPr>
                <w:iCs/>
              </w:rPr>
            </w:pPr>
            <w:r w:rsidRPr="00213AFF">
              <w:rPr>
                <w:iCs/>
              </w:rPr>
              <w:t>0</w:t>
            </w:r>
          </w:p>
        </w:tc>
        <w:tc>
          <w:tcPr>
            <w:tcW w:w="0" w:type="auto"/>
            <w:hideMark/>
          </w:tcPr>
          <w:p w14:paraId="6FF765F6" w14:textId="77777777" w:rsidR="002C0004" w:rsidRPr="00213AFF" w:rsidRDefault="002C0004" w:rsidP="005D32C0">
            <w:pPr>
              <w:jc w:val="center"/>
              <w:rPr>
                <w:iCs/>
              </w:rPr>
            </w:pPr>
            <w:r w:rsidRPr="00213AFF">
              <w:rPr>
                <w:iCs/>
              </w:rPr>
              <w:t>0</w:t>
            </w:r>
          </w:p>
        </w:tc>
        <w:tc>
          <w:tcPr>
            <w:tcW w:w="1318" w:type="dxa"/>
            <w:hideMark/>
          </w:tcPr>
          <w:p w14:paraId="010F8163" w14:textId="77777777" w:rsidR="002C0004" w:rsidRPr="00213AFF" w:rsidRDefault="002C0004" w:rsidP="005D32C0">
            <w:pPr>
              <w:jc w:val="center"/>
              <w:rPr>
                <w:iCs/>
              </w:rPr>
            </w:pPr>
            <w:r w:rsidRPr="00213AFF">
              <w:rPr>
                <w:iCs/>
              </w:rPr>
              <w:t>0</w:t>
            </w:r>
          </w:p>
        </w:tc>
      </w:tr>
      <w:tr w:rsidR="002C0004" w:rsidRPr="002C0004" w14:paraId="04C0E77E" w14:textId="77777777" w:rsidTr="00544450">
        <w:tc>
          <w:tcPr>
            <w:tcW w:w="1719" w:type="dxa"/>
            <w:hideMark/>
          </w:tcPr>
          <w:p w14:paraId="0FD55AA0" w14:textId="77777777" w:rsidR="002C0004" w:rsidRPr="00213AFF" w:rsidRDefault="002C0004" w:rsidP="005D32C0">
            <w:pPr>
              <w:rPr>
                <w:iCs/>
              </w:rPr>
            </w:pPr>
            <w:r w:rsidRPr="00213AFF">
              <w:rPr>
                <w:iCs/>
              </w:rPr>
              <w:t>4. Finanšu līdzekļi papildu izdevumu finansēšanai (kompensējošu izdevumu samazinājumu norāda ar "+" zīmi)</w:t>
            </w:r>
          </w:p>
        </w:tc>
        <w:tc>
          <w:tcPr>
            <w:tcW w:w="1056" w:type="dxa"/>
            <w:hideMark/>
          </w:tcPr>
          <w:p w14:paraId="07026620" w14:textId="77777777" w:rsidR="002C0004" w:rsidRPr="00213AFF" w:rsidRDefault="002C0004" w:rsidP="005D32C0">
            <w:pPr>
              <w:jc w:val="center"/>
              <w:rPr>
                <w:iCs/>
              </w:rPr>
            </w:pPr>
            <w:r w:rsidRPr="00213AFF">
              <w:rPr>
                <w:iCs/>
              </w:rPr>
              <w:t>X</w:t>
            </w:r>
          </w:p>
        </w:tc>
        <w:tc>
          <w:tcPr>
            <w:tcW w:w="0" w:type="auto"/>
            <w:hideMark/>
          </w:tcPr>
          <w:p w14:paraId="02147D5F" w14:textId="77777777" w:rsidR="002C0004" w:rsidRPr="00213AFF" w:rsidRDefault="002C0004" w:rsidP="005D32C0">
            <w:pPr>
              <w:jc w:val="center"/>
              <w:rPr>
                <w:iCs/>
              </w:rPr>
            </w:pPr>
            <w:r w:rsidRPr="00213AFF">
              <w:rPr>
                <w:iCs/>
              </w:rPr>
              <w:t>0</w:t>
            </w:r>
          </w:p>
        </w:tc>
        <w:tc>
          <w:tcPr>
            <w:tcW w:w="1150" w:type="dxa"/>
            <w:hideMark/>
          </w:tcPr>
          <w:p w14:paraId="671A4B46" w14:textId="77777777" w:rsidR="002C0004" w:rsidRPr="00213AFF" w:rsidRDefault="002C0004" w:rsidP="005D32C0">
            <w:pPr>
              <w:jc w:val="center"/>
              <w:rPr>
                <w:iCs/>
              </w:rPr>
            </w:pPr>
            <w:r w:rsidRPr="00213AFF">
              <w:rPr>
                <w:iCs/>
              </w:rPr>
              <w:t>X</w:t>
            </w:r>
          </w:p>
        </w:tc>
        <w:tc>
          <w:tcPr>
            <w:tcW w:w="963" w:type="dxa"/>
            <w:hideMark/>
          </w:tcPr>
          <w:p w14:paraId="76C6AB3F" w14:textId="77777777" w:rsidR="002C0004" w:rsidRPr="00213AFF" w:rsidRDefault="002C0004" w:rsidP="005D32C0">
            <w:pPr>
              <w:jc w:val="center"/>
              <w:rPr>
                <w:iCs/>
              </w:rPr>
            </w:pPr>
            <w:r w:rsidRPr="00213AFF">
              <w:rPr>
                <w:iCs/>
              </w:rPr>
              <w:t>0</w:t>
            </w:r>
          </w:p>
        </w:tc>
        <w:tc>
          <w:tcPr>
            <w:tcW w:w="0" w:type="auto"/>
            <w:hideMark/>
          </w:tcPr>
          <w:p w14:paraId="3EA49988" w14:textId="77777777" w:rsidR="002C0004" w:rsidRPr="00213AFF" w:rsidRDefault="002C0004" w:rsidP="005D32C0">
            <w:pPr>
              <w:jc w:val="center"/>
              <w:rPr>
                <w:iCs/>
              </w:rPr>
            </w:pPr>
            <w:r w:rsidRPr="00213AFF">
              <w:rPr>
                <w:iCs/>
              </w:rPr>
              <w:t>X</w:t>
            </w:r>
          </w:p>
        </w:tc>
        <w:tc>
          <w:tcPr>
            <w:tcW w:w="0" w:type="auto"/>
            <w:hideMark/>
          </w:tcPr>
          <w:p w14:paraId="4BA2C3CF" w14:textId="77777777" w:rsidR="002C0004" w:rsidRPr="00213AFF" w:rsidRDefault="002C0004" w:rsidP="005D32C0">
            <w:pPr>
              <w:jc w:val="center"/>
              <w:rPr>
                <w:iCs/>
              </w:rPr>
            </w:pPr>
            <w:r w:rsidRPr="00213AFF">
              <w:rPr>
                <w:iCs/>
              </w:rPr>
              <w:t>0</w:t>
            </w:r>
          </w:p>
        </w:tc>
        <w:tc>
          <w:tcPr>
            <w:tcW w:w="1318" w:type="dxa"/>
            <w:hideMark/>
          </w:tcPr>
          <w:p w14:paraId="3E3EA807" w14:textId="77777777" w:rsidR="002C0004" w:rsidRPr="00213AFF" w:rsidRDefault="002C0004" w:rsidP="005D32C0">
            <w:pPr>
              <w:jc w:val="center"/>
              <w:rPr>
                <w:iCs/>
              </w:rPr>
            </w:pPr>
            <w:r w:rsidRPr="00213AFF">
              <w:rPr>
                <w:iCs/>
              </w:rPr>
              <w:t>0</w:t>
            </w:r>
          </w:p>
        </w:tc>
      </w:tr>
      <w:tr w:rsidR="002C0004" w:rsidRPr="002C0004" w14:paraId="1A858253" w14:textId="77777777" w:rsidTr="00544450">
        <w:tc>
          <w:tcPr>
            <w:tcW w:w="1719" w:type="dxa"/>
            <w:hideMark/>
          </w:tcPr>
          <w:p w14:paraId="777D832B" w14:textId="77777777" w:rsidR="002C0004" w:rsidRPr="00213AFF" w:rsidRDefault="002C0004" w:rsidP="005D32C0">
            <w:pPr>
              <w:rPr>
                <w:iCs/>
              </w:rPr>
            </w:pPr>
            <w:r w:rsidRPr="00213AFF">
              <w:rPr>
                <w:iCs/>
              </w:rPr>
              <w:t>5. Precizēta finansiālā ietekme</w:t>
            </w:r>
          </w:p>
        </w:tc>
        <w:tc>
          <w:tcPr>
            <w:tcW w:w="1056" w:type="dxa"/>
            <w:vMerge w:val="restart"/>
            <w:hideMark/>
          </w:tcPr>
          <w:p w14:paraId="251E03E1" w14:textId="77777777" w:rsidR="002C0004" w:rsidRPr="00213AFF" w:rsidRDefault="002C0004" w:rsidP="005D32C0">
            <w:pPr>
              <w:jc w:val="center"/>
              <w:rPr>
                <w:iCs/>
              </w:rPr>
            </w:pPr>
          </w:p>
          <w:p w14:paraId="0B87A0F0" w14:textId="77777777" w:rsidR="002C0004" w:rsidRPr="00213AFF" w:rsidRDefault="002C0004" w:rsidP="005D32C0">
            <w:pPr>
              <w:jc w:val="center"/>
              <w:rPr>
                <w:iCs/>
              </w:rPr>
            </w:pPr>
          </w:p>
          <w:p w14:paraId="6D35D4A0" w14:textId="77777777" w:rsidR="002C0004" w:rsidRPr="00213AFF" w:rsidRDefault="002C0004" w:rsidP="005D32C0">
            <w:pPr>
              <w:jc w:val="center"/>
              <w:rPr>
                <w:iCs/>
              </w:rPr>
            </w:pPr>
          </w:p>
          <w:p w14:paraId="452AFC3B" w14:textId="77777777" w:rsidR="002C0004" w:rsidRPr="00213AFF" w:rsidRDefault="002C0004" w:rsidP="005D32C0">
            <w:pPr>
              <w:jc w:val="center"/>
              <w:rPr>
                <w:iCs/>
              </w:rPr>
            </w:pPr>
          </w:p>
          <w:p w14:paraId="1D1B31E3" w14:textId="77777777" w:rsidR="002C0004" w:rsidRPr="00213AFF" w:rsidRDefault="002C0004" w:rsidP="005D32C0">
            <w:pPr>
              <w:jc w:val="center"/>
              <w:rPr>
                <w:iCs/>
              </w:rPr>
            </w:pPr>
          </w:p>
          <w:p w14:paraId="37558BC3" w14:textId="77777777" w:rsidR="002C0004" w:rsidRPr="00213AFF" w:rsidRDefault="002C0004" w:rsidP="005D32C0">
            <w:pPr>
              <w:jc w:val="center"/>
              <w:rPr>
                <w:iCs/>
              </w:rPr>
            </w:pPr>
            <w:r w:rsidRPr="00213AFF">
              <w:rPr>
                <w:iCs/>
              </w:rPr>
              <w:t>X</w:t>
            </w:r>
          </w:p>
        </w:tc>
        <w:tc>
          <w:tcPr>
            <w:tcW w:w="0" w:type="auto"/>
            <w:hideMark/>
          </w:tcPr>
          <w:p w14:paraId="67DF7774" w14:textId="77777777" w:rsidR="002C0004" w:rsidRPr="00213AFF" w:rsidRDefault="002C0004" w:rsidP="005D32C0">
            <w:pPr>
              <w:jc w:val="center"/>
              <w:rPr>
                <w:iCs/>
              </w:rPr>
            </w:pPr>
            <w:r w:rsidRPr="00213AFF">
              <w:rPr>
                <w:iCs/>
              </w:rPr>
              <w:t>0</w:t>
            </w:r>
          </w:p>
        </w:tc>
        <w:tc>
          <w:tcPr>
            <w:tcW w:w="1150" w:type="dxa"/>
            <w:vMerge w:val="restart"/>
            <w:hideMark/>
          </w:tcPr>
          <w:p w14:paraId="02F67F27" w14:textId="77777777" w:rsidR="002C0004" w:rsidRPr="00213AFF" w:rsidRDefault="002C0004" w:rsidP="005D32C0">
            <w:pPr>
              <w:jc w:val="center"/>
              <w:rPr>
                <w:iCs/>
              </w:rPr>
            </w:pPr>
          </w:p>
          <w:p w14:paraId="45789EC2" w14:textId="77777777" w:rsidR="002C0004" w:rsidRPr="00213AFF" w:rsidRDefault="002C0004" w:rsidP="005D32C0">
            <w:pPr>
              <w:jc w:val="center"/>
              <w:rPr>
                <w:iCs/>
              </w:rPr>
            </w:pPr>
          </w:p>
          <w:p w14:paraId="3F6F5D08" w14:textId="77777777" w:rsidR="002C0004" w:rsidRPr="00213AFF" w:rsidRDefault="002C0004" w:rsidP="005D32C0">
            <w:pPr>
              <w:jc w:val="center"/>
              <w:rPr>
                <w:iCs/>
              </w:rPr>
            </w:pPr>
          </w:p>
          <w:p w14:paraId="2E50E39C" w14:textId="77777777" w:rsidR="002C0004" w:rsidRPr="00213AFF" w:rsidRDefault="002C0004" w:rsidP="005D32C0">
            <w:pPr>
              <w:jc w:val="center"/>
              <w:rPr>
                <w:iCs/>
              </w:rPr>
            </w:pPr>
          </w:p>
          <w:p w14:paraId="70389A21" w14:textId="77777777" w:rsidR="002C0004" w:rsidRPr="00213AFF" w:rsidRDefault="002C0004" w:rsidP="005D32C0">
            <w:pPr>
              <w:jc w:val="center"/>
              <w:rPr>
                <w:iCs/>
              </w:rPr>
            </w:pPr>
          </w:p>
          <w:p w14:paraId="467DE89C" w14:textId="77777777" w:rsidR="002C0004" w:rsidRPr="00213AFF" w:rsidRDefault="002C0004" w:rsidP="005D32C0">
            <w:pPr>
              <w:jc w:val="center"/>
              <w:rPr>
                <w:iCs/>
              </w:rPr>
            </w:pPr>
            <w:r w:rsidRPr="00213AFF">
              <w:rPr>
                <w:iCs/>
              </w:rPr>
              <w:t>X</w:t>
            </w:r>
          </w:p>
        </w:tc>
        <w:tc>
          <w:tcPr>
            <w:tcW w:w="963" w:type="dxa"/>
            <w:hideMark/>
          </w:tcPr>
          <w:p w14:paraId="675195FD" w14:textId="77777777" w:rsidR="002C0004" w:rsidRPr="00213AFF" w:rsidRDefault="002C0004" w:rsidP="005D32C0">
            <w:pPr>
              <w:jc w:val="center"/>
              <w:rPr>
                <w:iCs/>
              </w:rPr>
            </w:pPr>
            <w:r w:rsidRPr="00213AFF">
              <w:rPr>
                <w:iCs/>
              </w:rPr>
              <w:t>0</w:t>
            </w:r>
          </w:p>
        </w:tc>
        <w:tc>
          <w:tcPr>
            <w:tcW w:w="0" w:type="auto"/>
            <w:vMerge w:val="restart"/>
            <w:hideMark/>
          </w:tcPr>
          <w:p w14:paraId="3FF40BA3" w14:textId="77777777" w:rsidR="002C0004" w:rsidRPr="00213AFF" w:rsidRDefault="002C0004" w:rsidP="005D32C0">
            <w:pPr>
              <w:jc w:val="center"/>
              <w:rPr>
                <w:iCs/>
              </w:rPr>
            </w:pPr>
          </w:p>
          <w:p w14:paraId="106F484E" w14:textId="77777777" w:rsidR="002C0004" w:rsidRPr="00213AFF" w:rsidRDefault="002C0004" w:rsidP="005D32C0">
            <w:pPr>
              <w:jc w:val="center"/>
              <w:rPr>
                <w:iCs/>
              </w:rPr>
            </w:pPr>
          </w:p>
          <w:p w14:paraId="183594E1" w14:textId="77777777" w:rsidR="002C0004" w:rsidRPr="00213AFF" w:rsidRDefault="002C0004" w:rsidP="005D32C0">
            <w:pPr>
              <w:jc w:val="center"/>
              <w:rPr>
                <w:iCs/>
              </w:rPr>
            </w:pPr>
          </w:p>
          <w:p w14:paraId="5A9D4C96" w14:textId="77777777" w:rsidR="002C0004" w:rsidRPr="00213AFF" w:rsidRDefault="002C0004" w:rsidP="005D32C0">
            <w:pPr>
              <w:jc w:val="center"/>
              <w:rPr>
                <w:iCs/>
              </w:rPr>
            </w:pPr>
          </w:p>
          <w:p w14:paraId="5F8FEFF4" w14:textId="77777777" w:rsidR="002C0004" w:rsidRPr="00213AFF" w:rsidRDefault="002C0004" w:rsidP="005D32C0">
            <w:pPr>
              <w:jc w:val="center"/>
              <w:rPr>
                <w:iCs/>
              </w:rPr>
            </w:pPr>
          </w:p>
          <w:p w14:paraId="2FF55F33" w14:textId="77777777" w:rsidR="002C0004" w:rsidRPr="00213AFF" w:rsidRDefault="002C0004" w:rsidP="005D32C0">
            <w:pPr>
              <w:jc w:val="center"/>
              <w:rPr>
                <w:iCs/>
              </w:rPr>
            </w:pPr>
            <w:r w:rsidRPr="00213AFF">
              <w:rPr>
                <w:iCs/>
              </w:rPr>
              <w:t>X</w:t>
            </w:r>
          </w:p>
        </w:tc>
        <w:tc>
          <w:tcPr>
            <w:tcW w:w="0" w:type="auto"/>
            <w:hideMark/>
          </w:tcPr>
          <w:p w14:paraId="7351EF28" w14:textId="77777777" w:rsidR="002C0004" w:rsidRPr="00213AFF" w:rsidRDefault="002C0004" w:rsidP="005D32C0">
            <w:pPr>
              <w:jc w:val="center"/>
              <w:rPr>
                <w:iCs/>
              </w:rPr>
            </w:pPr>
            <w:r w:rsidRPr="00213AFF">
              <w:rPr>
                <w:iCs/>
              </w:rPr>
              <w:t>0</w:t>
            </w:r>
          </w:p>
        </w:tc>
        <w:tc>
          <w:tcPr>
            <w:tcW w:w="1318" w:type="dxa"/>
            <w:hideMark/>
          </w:tcPr>
          <w:p w14:paraId="2950C440" w14:textId="77777777" w:rsidR="002C0004" w:rsidRPr="00213AFF" w:rsidRDefault="002C0004" w:rsidP="005D32C0">
            <w:pPr>
              <w:jc w:val="center"/>
              <w:rPr>
                <w:iCs/>
              </w:rPr>
            </w:pPr>
            <w:r w:rsidRPr="00213AFF">
              <w:rPr>
                <w:iCs/>
              </w:rPr>
              <w:t>0</w:t>
            </w:r>
          </w:p>
        </w:tc>
      </w:tr>
      <w:tr w:rsidR="002C0004" w:rsidRPr="002C0004" w14:paraId="0BE0D3B0" w14:textId="77777777" w:rsidTr="00544450">
        <w:tc>
          <w:tcPr>
            <w:tcW w:w="1719" w:type="dxa"/>
            <w:hideMark/>
          </w:tcPr>
          <w:p w14:paraId="0EE5710A" w14:textId="77777777" w:rsidR="002C0004" w:rsidRPr="00213AFF" w:rsidRDefault="002C0004" w:rsidP="005D32C0">
            <w:pPr>
              <w:rPr>
                <w:iCs/>
              </w:rPr>
            </w:pPr>
            <w:r w:rsidRPr="00213AFF">
              <w:rPr>
                <w:iCs/>
              </w:rPr>
              <w:t>5.1. valsts pamatbudžets</w:t>
            </w:r>
          </w:p>
        </w:tc>
        <w:tc>
          <w:tcPr>
            <w:tcW w:w="1056" w:type="dxa"/>
            <w:vMerge/>
            <w:hideMark/>
          </w:tcPr>
          <w:p w14:paraId="132E39AB" w14:textId="77777777" w:rsidR="002C0004" w:rsidRPr="00213AFF" w:rsidRDefault="002C0004" w:rsidP="005D32C0">
            <w:pPr>
              <w:jc w:val="center"/>
              <w:rPr>
                <w:iCs/>
              </w:rPr>
            </w:pPr>
          </w:p>
        </w:tc>
        <w:tc>
          <w:tcPr>
            <w:tcW w:w="0" w:type="auto"/>
            <w:hideMark/>
          </w:tcPr>
          <w:p w14:paraId="6F670EF7" w14:textId="77777777" w:rsidR="002C0004" w:rsidRPr="00213AFF" w:rsidRDefault="002C0004" w:rsidP="005D32C0">
            <w:pPr>
              <w:jc w:val="center"/>
              <w:rPr>
                <w:iCs/>
              </w:rPr>
            </w:pPr>
            <w:r w:rsidRPr="00213AFF">
              <w:rPr>
                <w:iCs/>
              </w:rPr>
              <w:t>0</w:t>
            </w:r>
          </w:p>
        </w:tc>
        <w:tc>
          <w:tcPr>
            <w:tcW w:w="1150" w:type="dxa"/>
            <w:vMerge/>
            <w:hideMark/>
          </w:tcPr>
          <w:p w14:paraId="5FB5FC42" w14:textId="77777777" w:rsidR="002C0004" w:rsidRPr="00213AFF" w:rsidRDefault="002C0004" w:rsidP="005D32C0">
            <w:pPr>
              <w:jc w:val="center"/>
              <w:rPr>
                <w:iCs/>
              </w:rPr>
            </w:pPr>
          </w:p>
        </w:tc>
        <w:tc>
          <w:tcPr>
            <w:tcW w:w="963" w:type="dxa"/>
            <w:hideMark/>
          </w:tcPr>
          <w:p w14:paraId="639B6AC8" w14:textId="77777777" w:rsidR="002C0004" w:rsidRPr="00213AFF" w:rsidRDefault="002C0004" w:rsidP="005D32C0">
            <w:pPr>
              <w:jc w:val="center"/>
              <w:rPr>
                <w:iCs/>
              </w:rPr>
            </w:pPr>
            <w:r w:rsidRPr="00213AFF">
              <w:rPr>
                <w:iCs/>
              </w:rPr>
              <w:t>0</w:t>
            </w:r>
          </w:p>
        </w:tc>
        <w:tc>
          <w:tcPr>
            <w:tcW w:w="0" w:type="auto"/>
            <w:vMerge/>
            <w:hideMark/>
          </w:tcPr>
          <w:p w14:paraId="5C5C6FB1" w14:textId="77777777" w:rsidR="002C0004" w:rsidRPr="00213AFF" w:rsidRDefault="002C0004" w:rsidP="005D32C0">
            <w:pPr>
              <w:jc w:val="center"/>
              <w:rPr>
                <w:iCs/>
              </w:rPr>
            </w:pPr>
          </w:p>
        </w:tc>
        <w:tc>
          <w:tcPr>
            <w:tcW w:w="0" w:type="auto"/>
            <w:hideMark/>
          </w:tcPr>
          <w:p w14:paraId="6135CEDD" w14:textId="77777777" w:rsidR="002C0004" w:rsidRPr="00213AFF" w:rsidRDefault="002C0004" w:rsidP="005D32C0">
            <w:pPr>
              <w:jc w:val="center"/>
              <w:rPr>
                <w:iCs/>
              </w:rPr>
            </w:pPr>
            <w:r w:rsidRPr="00213AFF">
              <w:rPr>
                <w:iCs/>
              </w:rPr>
              <w:t>0</w:t>
            </w:r>
          </w:p>
        </w:tc>
        <w:tc>
          <w:tcPr>
            <w:tcW w:w="1318" w:type="dxa"/>
            <w:hideMark/>
          </w:tcPr>
          <w:p w14:paraId="684DCDE6" w14:textId="77777777" w:rsidR="002C0004" w:rsidRPr="00213AFF" w:rsidRDefault="002C0004" w:rsidP="005D32C0">
            <w:pPr>
              <w:jc w:val="center"/>
              <w:rPr>
                <w:iCs/>
              </w:rPr>
            </w:pPr>
            <w:r w:rsidRPr="00213AFF">
              <w:rPr>
                <w:iCs/>
              </w:rPr>
              <w:t>0</w:t>
            </w:r>
          </w:p>
        </w:tc>
      </w:tr>
      <w:tr w:rsidR="002C0004" w:rsidRPr="002C0004" w14:paraId="42C9C16D" w14:textId="77777777" w:rsidTr="00544450">
        <w:tc>
          <w:tcPr>
            <w:tcW w:w="1719" w:type="dxa"/>
            <w:hideMark/>
          </w:tcPr>
          <w:p w14:paraId="4B25C654" w14:textId="77777777" w:rsidR="002C0004" w:rsidRPr="00213AFF" w:rsidRDefault="002C0004" w:rsidP="005D32C0">
            <w:pPr>
              <w:rPr>
                <w:iCs/>
              </w:rPr>
            </w:pPr>
            <w:r w:rsidRPr="00213AFF">
              <w:rPr>
                <w:iCs/>
              </w:rPr>
              <w:t>5.2. speciālais budžets</w:t>
            </w:r>
          </w:p>
        </w:tc>
        <w:tc>
          <w:tcPr>
            <w:tcW w:w="1056" w:type="dxa"/>
            <w:vMerge/>
            <w:hideMark/>
          </w:tcPr>
          <w:p w14:paraId="0336519F" w14:textId="77777777" w:rsidR="002C0004" w:rsidRPr="00213AFF" w:rsidRDefault="002C0004" w:rsidP="005D32C0">
            <w:pPr>
              <w:jc w:val="center"/>
              <w:rPr>
                <w:iCs/>
              </w:rPr>
            </w:pPr>
          </w:p>
        </w:tc>
        <w:tc>
          <w:tcPr>
            <w:tcW w:w="0" w:type="auto"/>
            <w:hideMark/>
          </w:tcPr>
          <w:p w14:paraId="55E5F0B7" w14:textId="77777777" w:rsidR="002C0004" w:rsidRPr="00213AFF" w:rsidRDefault="002C0004" w:rsidP="005D32C0">
            <w:pPr>
              <w:jc w:val="center"/>
              <w:rPr>
                <w:iCs/>
              </w:rPr>
            </w:pPr>
            <w:r w:rsidRPr="00213AFF">
              <w:rPr>
                <w:iCs/>
              </w:rPr>
              <w:t>0</w:t>
            </w:r>
          </w:p>
        </w:tc>
        <w:tc>
          <w:tcPr>
            <w:tcW w:w="1150" w:type="dxa"/>
            <w:vMerge/>
            <w:hideMark/>
          </w:tcPr>
          <w:p w14:paraId="71507FE9" w14:textId="77777777" w:rsidR="002C0004" w:rsidRPr="00213AFF" w:rsidRDefault="002C0004" w:rsidP="005D32C0">
            <w:pPr>
              <w:jc w:val="center"/>
              <w:rPr>
                <w:iCs/>
              </w:rPr>
            </w:pPr>
          </w:p>
        </w:tc>
        <w:tc>
          <w:tcPr>
            <w:tcW w:w="963" w:type="dxa"/>
            <w:hideMark/>
          </w:tcPr>
          <w:p w14:paraId="3847FFE9" w14:textId="77777777" w:rsidR="002C0004" w:rsidRPr="00213AFF" w:rsidRDefault="002C0004" w:rsidP="005D32C0">
            <w:pPr>
              <w:jc w:val="center"/>
              <w:rPr>
                <w:iCs/>
              </w:rPr>
            </w:pPr>
            <w:r w:rsidRPr="00213AFF">
              <w:rPr>
                <w:iCs/>
              </w:rPr>
              <w:t>0</w:t>
            </w:r>
          </w:p>
        </w:tc>
        <w:tc>
          <w:tcPr>
            <w:tcW w:w="0" w:type="auto"/>
            <w:vMerge/>
            <w:hideMark/>
          </w:tcPr>
          <w:p w14:paraId="3D3167A2" w14:textId="77777777" w:rsidR="002C0004" w:rsidRPr="00213AFF" w:rsidRDefault="002C0004" w:rsidP="005D32C0">
            <w:pPr>
              <w:jc w:val="center"/>
              <w:rPr>
                <w:iCs/>
              </w:rPr>
            </w:pPr>
          </w:p>
        </w:tc>
        <w:tc>
          <w:tcPr>
            <w:tcW w:w="0" w:type="auto"/>
            <w:hideMark/>
          </w:tcPr>
          <w:p w14:paraId="2B619176" w14:textId="77777777" w:rsidR="002C0004" w:rsidRPr="00213AFF" w:rsidRDefault="002C0004" w:rsidP="005D32C0">
            <w:pPr>
              <w:jc w:val="center"/>
              <w:rPr>
                <w:iCs/>
              </w:rPr>
            </w:pPr>
            <w:r w:rsidRPr="00213AFF">
              <w:rPr>
                <w:iCs/>
              </w:rPr>
              <w:t>0</w:t>
            </w:r>
          </w:p>
        </w:tc>
        <w:tc>
          <w:tcPr>
            <w:tcW w:w="1318" w:type="dxa"/>
            <w:hideMark/>
          </w:tcPr>
          <w:p w14:paraId="59162D03" w14:textId="77777777" w:rsidR="002C0004" w:rsidRPr="00213AFF" w:rsidRDefault="002C0004" w:rsidP="005D32C0">
            <w:pPr>
              <w:jc w:val="center"/>
              <w:rPr>
                <w:iCs/>
              </w:rPr>
            </w:pPr>
            <w:r w:rsidRPr="00213AFF">
              <w:rPr>
                <w:iCs/>
              </w:rPr>
              <w:t>0</w:t>
            </w:r>
          </w:p>
        </w:tc>
      </w:tr>
      <w:tr w:rsidR="002C0004" w:rsidRPr="002C0004" w14:paraId="7EEDCC5C" w14:textId="77777777" w:rsidTr="00544450">
        <w:tc>
          <w:tcPr>
            <w:tcW w:w="1719" w:type="dxa"/>
            <w:hideMark/>
          </w:tcPr>
          <w:p w14:paraId="510E5DAB" w14:textId="77777777" w:rsidR="002C0004" w:rsidRPr="00213AFF" w:rsidRDefault="002C0004" w:rsidP="005D32C0">
            <w:pPr>
              <w:rPr>
                <w:iCs/>
              </w:rPr>
            </w:pPr>
            <w:r w:rsidRPr="00213AFF">
              <w:rPr>
                <w:iCs/>
              </w:rPr>
              <w:t>5.3. pašvaldību budžets</w:t>
            </w:r>
          </w:p>
        </w:tc>
        <w:tc>
          <w:tcPr>
            <w:tcW w:w="1056" w:type="dxa"/>
            <w:vMerge/>
            <w:hideMark/>
          </w:tcPr>
          <w:p w14:paraId="2F2C589E" w14:textId="77777777" w:rsidR="002C0004" w:rsidRPr="00213AFF" w:rsidRDefault="002C0004" w:rsidP="005D32C0">
            <w:pPr>
              <w:jc w:val="center"/>
              <w:rPr>
                <w:iCs/>
              </w:rPr>
            </w:pPr>
          </w:p>
        </w:tc>
        <w:tc>
          <w:tcPr>
            <w:tcW w:w="0" w:type="auto"/>
            <w:hideMark/>
          </w:tcPr>
          <w:p w14:paraId="535063AA" w14:textId="77777777" w:rsidR="002C0004" w:rsidRPr="00213AFF" w:rsidRDefault="002C0004" w:rsidP="005D32C0">
            <w:pPr>
              <w:jc w:val="center"/>
              <w:rPr>
                <w:iCs/>
              </w:rPr>
            </w:pPr>
            <w:r w:rsidRPr="00213AFF">
              <w:rPr>
                <w:iCs/>
              </w:rPr>
              <w:t>0</w:t>
            </w:r>
          </w:p>
        </w:tc>
        <w:tc>
          <w:tcPr>
            <w:tcW w:w="1150" w:type="dxa"/>
            <w:vMerge/>
            <w:hideMark/>
          </w:tcPr>
          <w:p w14:paraId="4E0C486C" w14:textId="77777777" w:rsidR="002C0004" w:rsidRPr="00213AFF" w:rsidRDefault="002C0004" w:rsidP="005D32C0">
            <w:pPr>
              <w:jc w:val="center"/>
              <w:rPr>
                <w:iCs/>
              </w:rPr>
            </w:pPr>
          </w:p>
        </w:tc>
        <w:tc>
          <w:tcPr>
            <w:tcW w:w="963" w:type="dxa"/>
            <w:hideMark/>
          </w:tcPr>
          <w:p w14:paraId="48434501" w14:textId="77777777" w:rsidR="002C0004" w:rsidRPr="00213AFF" w:rsidRDefault="002C0004" w:rsidP="005D32C0">
            <w:pPr>
              <w:jc w:val="center"/>
              <w:rPr>
                <w:iCs/>
              </w:rPr>
            </w:pPr>
            <w:r w:rsidRPr="00213AFF">
              <w:rPr>
                <w:iCs/>
              </w:rPr>
              <w:t>0</w:t>
            </w:r>
          </w:p>
        </w:tc>
        <w:tc>
          <w:tcPr>
            <w:tcW w:w="0" w:type="auto"/>
            <w:vMerge/>
            <w:hideMark/>
          </w:tcPr>
          <w:p w14:paraId="57BB152C" w14:textId="77777777" w:rsidR="002C0004" w:rsidRPr="00213AFF" w:rsidRDefault="002C0004" w:rsidP="005D32C0">
            <w:pPr>
              <w:jc w:val="center"/>
              <w:rPr>
                <w:iCs/>
              </w:rPr>
            </w:pPr>
          </w:p>
        </w:tc>
        <w:tc>
          <w:tcPr>
            <w:tcW w:w="0" w:type="auto"/>
            <w:hideMark/>
          </w:tcPr>
          <w:p w14:paraId="3F2822B5" w14:textId="77777777" w:rsidR="002C0004" w:rsidRPr="00213AFF" w:rsidRDefault="002C0004" w:rsidP="005D32C0">
            <w:pPr>
              <w:jc w:val="center"/>
              <w:rPr>
                <w:iCs/>
              </w:rPr>
            </w:pPr>
            <w:r w:rsidRPr="00213AFF">
              <w:rPr>
                <w:iCs/>
              </w:rPr>
              <w:t>0</w:t>
            </w:r>
          </w:p>
        </w:tc>
        <w:tc>
          <w:tcPr>
            <w:tcW w:w="1318" w:type="dxa"/>
            <w:hideMark/>
          </w:tcPr>
          <w:p w14:paraId="01C85EE9" w14:textId="77777777" w:rsidR="002C0004" w:rsidRPr="00213AFF" w:rsidRDefault="002C0004" w:rsidP="005D32C0">
            <w:pPr>
              <w:jc w:val="center"/>
              <w:rPr>
                <w:iCs/>
              </w:rPr>
            </w:pPr>
            <w:r w:rsidRPr="00213AFF">
              <w:rPr>
                <w:iCs/>
              </w:rPr>
              <w:t>0</w:t>
            </w:r>
          </w:p>
        </w:tc>
      </w:tr>
      <w:tr w:rsidR="002C0004" w:rsidRPr="002C0004" w14:paraId="34ED0DEA" w14:textId="77777777" w:rsidTr="00544450">
        <w:tc>
          <w:tcPr>
            <w:tcW w:w="1719" w:type="dxa"/>
            <w:hideMark/>
          </w:tcPr>
          <w:p w14:paraId="03C5DCB7" w14:textId="77777777" w:rsidR="002C0004" w:rsidRPr="00213AFF" w:rsidRDefault="002C0004" w:rsidP="005D32C0">
            <w:pPr>
              <w:rPr>
                <w:iCs/>
              </w:rPr>
            </w:pPr>
            <w:r w:rsidRPr="00213AFF">
              <w:rPr>
                <w:iCs/>
              </w:rPr>
              <w:t xml:space="preserve">6. Detalizēts ieņēmumu un izdevumu aprēķins (ja nepieciešams, detalizētu ieņēmumu un izdevumu aprēķinu var pievienot </w:t>
            </w:r>
            <w:r w:rsidRPr="00213AFF">
              <w:rPr>
                <w:iCs/>
              </w:rPr>
              <w:lastRenderedPageBreak/>
              <w:t>anotācijas pielikumā)</w:t>
            </w:r>
          </w:p>
        </w:tc>
        <w:tc>
          <w:tcPr>
            <w:tcW w:w="8629" w:type="dxa"/>
            <w:gridSpan w:val="7"/>
            <w:vMerge w:val="restart"/>
            <w:hideMark/>
          </w:tcPr>
          <w:p w14:paraId="3B5487DD" w14:textId="7F307B90" w:rsidR="002C0004" w:rsidRPr="00213AFF" w:rsidRDefault="002C0004" w:rsidP="002514E8">
            <w:pPr>
              <w:pStyle w:val="naisf"/>
              <w:ind w:firstLine="0"/>
            </w:pPr>
          </w:p>
        </w:tc>
      </w:tr>
      <w:tr w:rsidR="002C0004" w:rsidRPr="002C0004" w14:paraId="778C686C" w14:textId="77777777" w:rsidTr="00544450">
        <w:tc>
          <w:tcPr>
            <w:tcW w:w="1719" w:type="dxa"/>
            <w:hideMark/>
          </w:tcPr>
          <w:p w14:paraId="053BA1AE" w14:textId="77777777" w:rsidR="002C0004" w:rsidRPr="00213AFF" w:rsidRDefault="002C0004" w:rsidP="005D32C0">
            <w:pPr>
              <w:rPr>
                <w:iCs/>
              </w:rPr>
            </w:pPr>
            <w:r w:rsidRPr="00213AFF">
              <w:rPr>
                <w:iCs/>
              </w:rPr>
              <w:t>6.1. detalizēts ieņēmumu aprēķins</w:t>
            </w:r>
          </w:p>
        </w:tc>
        <w:tc>
          <w:tcPr>
            <w:tcW w:w="8629" w:type="dxa"/>
            <w:gridSpan w:val="7"/>
            <w:vMerge/>
            <w:hideMark/>
          </w:tcPr>
          <w:p w14:paraId="5BB63141" w14:textId="77777777" w:rsidR="002C0004" w:rsidRPr="00213AFF" w:rsidRDefault="002C0004" w:rsidP="005D32C0">
            <w:pPr>
              <w:rPr>
                <w:iCs/>
              </w:rPr>
            </w:pPr>
          </w:p>
        </w:tc>
      </w:tr>
      <w:tr w:rsidR="002C0004" w:rsidRPr="002C0004" w14:paraId="44D14C7C" w14:textId="77777777" w:rsidTr="00544450">
        <w:tc>
          <w:tcPr>
            <w:tcW w:w="1719" w:type="dxa"/>
            <w:hideMark/>
          </w:tcPr>
          <w:p w14:paraId="608EE0F5" w14:textId="77777777" w:rsidR="002C0004" w:rsidRPr="00213AFF" w:rsidRDefault="002C0004" w:rsidP="005D32C0">
            <w:pPr>
              <w:rPr>
                <w:iCs/>
              </w:rPr>
            </w:pPr>
            <w:r w:rsidRPr="00213AFF">
              <w:rPr>
                <w:iCs/>
              </w:rPr>
              <w:t>6.2. detalizēts izdevumu aprēķins</w:t>
            </w:r>
          </w:p>
        </w:tc>
        <w:tc>
          <w:tcPr>
            <w:tcW w:w="8629" w:type="dxa"/>
            <w:gridSpan w:val="7"/>
            <w:vMerge/>
            <w:hideMark/>
          </w:tcPr>
          <w:p w14:paraId="6458FC3B" w14:textId="77777777" w:rsidR="002C0004" w:rsidRPr="00213AFF" w:rsidRDefault="002C0004" w:rsidP="005D32C0">
            <w:pPr>
              <w:rPr>
                <w:iCs/>
              </w:rPr>
            </w:pPr>
          </w:p>
        </w:tc>
      </w:tr>
      <w:tr w:rsidR="002C0004" w:rsidRPr="002C0004" w14:paraId="0C57B722" w14:textId="77777777" w:rsidTr="00544450">
        <w:tc>
          <w:tcPr>
            <w:tcW w:w="1719" w:type="dxa"/>
            <w:hideMark/>
          </w:tcPr>
          <w:p w14:paraId="2C6FFDDA" w14:textId="77777777" w:rsidR="002C0004" w:rsidRPr="00213AFF" w:rsidRDefault="002C0004" w:rsidP="005D32C0">
            <w:pPr>
              <w:rPr>
                <w:iCs/>
              </w:rPr>
            </w:pPr>
            <w:r w:rsidRPr="00213AFF">
              <w:rPr>
                <w:iCs/>
              </w:rPr>
              <w:t>7. Amata vietu skaita izmaiņas</w:t>
            </w:r>
          </w:p>
        </w:tc>
        <w:tc>
          <w:tcPr>
            <w:tcW w:w="8629" w:type="dxa"/>
            <w:gridSpan w:val="7"/>
            <w:hideMark/>
          </w:tcPr>
          <w:p w14:paraId="5F6A4EA3" w14:textId="77777777" w:rsidR="002C0004" w:rsidRPr="00213AFF" w:rsidRDefault="002C0004" w:rsidP="005D32C0">
            <w:pPr>
              <w:rPr>
                <w:iCs/>
              </w:rPr>
            </w:pPr>
            <w:r w:rsidRPr="00213AFF">
              <w:rPr>
                <w:iCs/>
              </w:rPr>
              <w:t>Nav plānotas.</w:t>
            </w:r>
          </w:p>
        </w:tc>
      </w:tr>
      <w:tr w:rsidR="002C0004" w:rsidRPr="002C0004" w14:paraId="5A559668" w14:textId="77777777" w:rsidTr="00544450">
        <w:tc>
          <w:tcPr>
            <w:tcW w:w="1719" w:type="dxa"/>
            <w:hideMark/>
          </w:tcPr>
          <w:p w14:paraId="1C1946C1" w14:textId="77777777" w:rsidR="002C0004" w:rsidRPr="00213AFF" w:rsidRDefault="002C0004" w:rsidP="005D32C0">
            <w:pPr>
              <w:rPr>
                <w:iCs/>
              </w:rPr>
            </w:pPr>
            <w:r w:rsidRPr="00213AFF">
              <w:rPr>
                <w:iCs/>
              </w:rPr>
              <w:t>8. Cita informācija</w:t>
            </w:r>
          </w:p>
        </w:tc>
        <w:tc>
          <w:tcPr>
            <w:tcW w:w="8629" w:type="dxa"/>
            <w:gridSpan w:val="7"/>
            <w:hideMark/>
          </w:tcPr>
          <w:p w14:paraId="6F70ED89" w14:textId="26716E8E" w:rsidR="00544450" w:rsidRPr="00213AFF" w:rsidRDefault="00063FB6" w:rsidP="00B47CA8">
            <w:pPr>
              <w:pStyle w:val="naisf"/>
              <w:tabs>
                <w:tab w:val="left" w:pos="4644"/>
              </w:tabs>
              <w:spacing w:before="0" w:after="0"/>
              <w:ind w:firstLine="0"/>
            </w:pPr>
            <w:r>
              <w:t xml:space="preserve">Pirmās nepieciešamības </w:t>
            </w:r>
            <w:r w:rsidR="0050581F">
              <w:t>rūpniecības preču iegāde tiek organizēta ar atliktajām piegādēm</w:t>
            </w:r>
          </w:p>
        </w:tc>
      </w:tr>
    </w:tbl>
    <w:p w14:paraId="45184326" w14:textId="4ED4E172" w:rsidR="002C0004" w:rsidRDefault="002C0004" w:rsidP="0075703B">
      <w:pPr>
        <w:pStyle w:val="naisf"/>
        <w:spacing w:before="0" w:after="0"/>
        <w:ind w:firstLine="0"/>
        <w:rPr>
          <w:sz w:val="16"/>
          <w:szCs w:val="16"/>
        </w:rPr>
      </w:pPr>
    </w:p>
    <w:p w14:paraId="57D9A7AE" w14:textId="77777777" w:rsidR="002C0004" w:rsidRPr="008D7E3C" w:rsidRDefault="002C0004" w:rsidP="0075703B">
      <w:pPr>
        <w:pStyle w:val="naisf"/>
        <w:spacing w:before="0" w:after="0"/>
        <w:ind w:firstLine="0"/>
        <w:rPr>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8D7E3C" w:rsidRPr="008D7E3C" w14:paraId="4A6036EB" w14:textId="77777777" w:rsidTr="00735D9B">
        <w:trPr>
          <w:trHeight w:val="212"/>
          <w:jc w:val="center"/>
        </w:trPr>
        <w:tc>
          <w:tcPr>
            <w:tcW w:w="10343" w:type="dxa"/>
            <w:tcBorders>
              <w:top w:val="single" w:sz="4" w:space="0" w:color="auto"/>
              <w:left w:val="single" w:sz="4" w:space="0" w:color="auto"/>
              <w:bottom w:val="single" w:sz="4" w:space="0" w:color="auto"/>
              <w:right w:val="single" w:sz="4" w:space="0" w:color="auto"/>
            </w:tcBorders>
            <w:hideMark/>
          </w:tcPr>
          <w:p w14:paraId="0C58EBF1" w14:textId="77777777" w:rsidR="00664DA7" w:rsidRPr="008D7E3C" w:rsidRDefault="00664DA7" w:rsidP="0075703B">
            <w:pPr>
              <w:jc w:val="center"/>
              <w:rPr>
                <w:b/>
                <w:bCs/>
              </w:rPr>
            </w:pPr>
            <w:r w:rsidRPr="008D7E3C">
              <w:rPr>
                <w:b/>
                <w:bCs/>
              </w:rPr>
              <w:t>IV. Tiesību akta projekta ietekme uz spēkā esošo tiesību normu sistēmu</w:t>
            </w:r>
          </w:p>
        </w:tc>
      </w:tr>
      <w:tr w:rsidR="00664DA7" w:rsidRPr="008D7E3C" w14:paraId="58567B4F" w14:textId="77777777" w:rsidTr="00735D9B">
        <w:trPr>
          <w:trHeight w:val="212"/>
          <w:jc w:val="center"/>
        </w:trPr>
        <w:tc>
          <w:tcPr>
            <w:tcW w:w="10343" w:type="dxa"/>
            <w:tcBorders>
              <w:top w:val="single" w:sz="4" w:space="0" w:color="auto"/>
              <w:left w:val="single" w:sz="4" w:space="0" w:color="auto"/>
              <w:bottom w:val="single" w:sz="4" w:space="0" w:color="auto"/>
              <w:right w:val="single" w:sz="4" w:space="0" w:color="auto"/>
            </w:tcBorders>
            <w:hideMark/>
          </w:tcPr>
          <w:p w14:paraId="6827C251" w14:textId="77777777" w:rsidR="00664DA7" w:rsidRPr="008D7E3C" w:rsidRDefault="00664DA7" w:rsidP="0075703B">
            <w:pPr>
              <w:jc w:val="center"/>
              <w:rPr>
                <w:bCs/>
              </w:rPr>
            </w:pPr>
            <w:r w:rsidRPr="008D7E3C">
              <w:rPr>
                <w:bCs/>
              </w:rPr>
              <w:t>Projekts šo jomu neskar.</w:t>
            </w:r>
          </w:p>
        </w:tc>
      </w:tr>
    </w:tbl>
    <w:p w14:paraId="4E6E165B" w14:textId="77777777" w:rsidR="00D16F90" w:rsidRPr="008D7E3C" w:rsidRDefault="00D16F90" w:rsidP="0075703B">
      <w:pPr>
        <w:pStyle w:val="naisc"/>
        <w:spacing w:before="0" w:after="0"/>
        <w:jc w:val="both"/>
        <w:rPr>
          <w:bCs/>
          <w:i/>
        </w:rPr>
      </w:pPr>
    </w:p>
    <w:tbl>
      <w:tblPr>
        <w:tblW w:w="571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0341"/>
      </w:tblGrid>
      <w:tr w:rsidR="008D7E3C" w:rsidRPr="008D7E3C" w14:paraId="69C4A164" w14:textId="77777777" w:rsidTr="00735D9B">
        <w:trPr>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BDD7455" w14:textId="77777777" w:rsidR="00F8075E" w:rsidRPr="008D7E3C" w:rsidRDefault="00F8075E" w:rsidP="0075703B">
            <w:pPr>
              <w:jc w:val="center"/>
              <w:rPr>
                <w:b/>
                <w:bCs/>
              </w:rPr>
            </w:pPr>
            <w:r w:rsidRPr="008D7E3C">
              <w:rPr>
                <w:b/>
                <w:bCs/>
              </w:rPr>
              <w:t>V. Tiesību akta projekta atbilstība Latvijas Republikas starptautiskajām saistībām</w:t>
            </w:r>
          </w:p>
        </w:tc>
      </w:tr>
      <w:tr w:rsidR="00DD02C2" w:rsidRPr="008D7E3C" w14:paraId="08E6D1EA" w14:textId="77777777" w:rsidTr="00735D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12"/>
          <w:jc w:val="center"/>
        </w:trPr>
        <w:tc>
          <w:tcPr>
            <w:tcW w:w="5000" w:type="pct"/>
            <w:tcBorders>
              <w:top w:val="single" w:sz="4" w:space="0" w:color="auto"/>
              <w:left w:val="single" w:sz="4" w:space="0" w:color="auto"/>
              <w:bottom w:val="single" w:sz="4" w:space="0" w:color="auto"/>
              <w:right w:val="single" w:sz="4" w:space="0" w:color="auto"/>
            </w:tcBorders>
            <w:hideMark/>
          </w:tcPr>
          <w:p w14:paraId="5484E234" w14:textId="77777777" w:rsidR="00DD02C2" w:rsidRPr="008D7E3C" w:rsidRDefault="00DD02C2" w:rsidP="0075703B">
            <w:pPr>
              <w:jc w:val="center"/>
              <w:rPr>
                <w:bCs/>
              </w:rPr>
            </w:pPr>
            <w:r w:rsidRPr="008D7E3C">
              <w:rPr>
                <w:bCs/>
              </w:rPr>
              <w:t>Projekts šo jomu neskar.</w:t>
            </w:r>
          </w:p>
        </w:tc>
      </w:tr>
    </w:tbl>
    <w:p w14:paraId="2870C8B6" w14:textId="77777777" w:rsidR="00E42037" w:rsidRPr="008D7E3C" w:rsidRDefault="00E42037" w:rsidP="0075703B">
      <w:pPr>
        <w:pStyle w:val="naisc"/>
        <w:spacing w:before="0" w:after="0"/>
        <w:jc w:val="both"/>
        <w:rPr>
          <w:bCs/>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
        <w:gridCol w:w="2804"/>
        <w:gridCol w:w="7229"/>
      </w:tblGrid>
      <w:tr w:rsidR="008D7E3C" w:rsidRPr="008D7E3C" w14:paraId="7E5F707A" w14:textId="77777777" w:rsidTr="00735D9B">
        <w:trPr>
          <w:jc w:val="center"/>
        </w:trPr>
        <w:tc>
          <w:tcPr>
            <w:tcW w:w="10343" w:type="dxa"/>
            <w:gridSpan w:val="3"/>
          </w:tcPr>
          <w:p w14:paraId="4A3C1787" w14:textId="77777777" w:rsidR="00D42F6E" w:rsidRPr="008D7E3C" w:rsidRDefault="00D42F6E" w:rsidP="0075703B">
            <w:pPr>
              <w:pStyle w:val="naisnod"/>
              <w:spacing w:before="0" w:after="0"/>
              <w:ind w:left="57" w:right="57"/>
            </w:pPr>
            <w:r w:rsidRPr="008D7E3C">
              <w:t>VI. Sabiedrības līdzdalība un komunikācijas aktivitātes</w:t>
            </w:r>
          </w:p>
        </w:tc>
      </w:tr>
      <w:tr w:rsidR="008D7E3C" w:rsidRPr="008D7E3C" w14:paraId="611622F0" w14:textId="77777777" w:rsidTr="00343D5C">
        <w:trPr>
          <w:trHeight w:val="553"/>
          <w:jc w:val="center"/>
        </w:trPr>
        <w:tc>
          <w:tcPr>
            <w:tcW w:w="310" w:type="dxa"/>
          </w:tcPr>
          <w:p w14:paraId="2E6B01BD" w14:textId="77777777" w:rsidR="00D42F6E" w:rsidRPr="008D7E3C" w:rsidRDefault="00D42F6E" w:rsidP="0075703B">
            <w:pPr>
              <w:pStyle w:val="naiskr"/>
              <w:spacing w:before="0" w:after="0"/>
              <w:ind w:left="57" w:right="57"/>
              <w:rPr>
                <w:bCs/>
                <w:sz w:val="22"/>
                <w:szCs w:val="22"/>
              </w:rPr>
            </w:pPr>
            <w:r w:rsidRPr="008D7E3C">
              <w:rPr>
                <w:bCs/>
                <w:sz w:val="22"/>
                <w:szCs w:val="22"/>
              </w:rPr>
              <w:t>1.</w:t>
            </w:r>
          </w:p>
        </w:tc>
        <w:tc>
          <w:tcPr>
            <w:tcW w:w="2804" w:type="dxa"/>
          </w:tcPr>
          <w:p w14:paraId="5A2E8E98" w14:textId="77777777" w:rsidR="00D42F6E" w:rsidRPr="008D7E3C" w:rsidRDefault="00D42F6E" w:rsidP="0075703B">
            <w:pPr>
              <w:rPr>
                <w:sz w:val="22"/>
                <w:szCs w:val="22"/>
              </w:rPr>
            </w:pPr>
            <w:r w:rsidRPr="008D7E3C">
              <w:rPr>
                <w:sz w:val="22"/>
                <w:szCs w:val="22"/>
              </w:rPr>
              <w:t>Plānotās sabiedrības līdzdalības un komunikācijas aktivitātes saistībā ar projektu</w:t>
            </w:r>
          </w:p>
        </w:tc>
        <w:tc>
          <w:tcPr>
            <w:tcW w:w="7229" w:type="dxa"/>
          </w:tcPr>
          <w:p w14:paraId="47213C61" w14:textId="04B8FA04" w:rsidR="00C822AD" w:rsidRPr="000345B2" w:rsidRDefault="000345B2" w:rsidP="000345B2">
            <w:pPr>
              <w:pStyle w:val="naisnod"/>
              <w:spacing w:before="0" w:after="0"/>
              <w:ind w:left="57" w:right="57"/>
              <w:jc w:val="both"/>
              <w:rPr>
                <w:b w:val="0"/>
              </w:rPr>
            </w:pPr>
            <w:r w:rsidRPr="000345B2">
              <w:rPr>
                <w:b w:val="0"/>
              </w:rPr>
              <w:t>.</w:t>
            </w:r>
          </w:p>
        </w:tc>
      </w:tr>
      <w:tr w:rsidR="008D7E3C" w:rsidRPr="008D7E3C" w14:paraId="6B19803F" w14:textId="77777777" w:rsidTr="00343D5C">
        <w:trPr>
          <w:trHeight w:val="339"/>
          <w:jc w:val="center"/>
        </w:trPr>
        <w:tc>
          <w:tcPr>
            <w:tcW w:w="310" w:type="dxa"/>
          </w:tcPr>
          <w:p w14:paraId="294738E4" w14:textId="77777777" w:rsidR="00D42F6E" w:rsidRPr="008D7E3C" w:rsidRDefault="00D42F6E" w:rsidP="0075703B">
            <w:pPr>
              <w:pStyle w:val="naiskr"/>
              <w:spacing w:before="0" w:after="0"/>
              <w:ind w:left="57" w:right="57"/>
              <w:rPr>
                <w:bCs/>
                <w:sz w:val="22"/>
                <w:szCs w:val="22"/>
              </w:rPr>
            </w:pPr>
            <w:r w:rsidRPr="008D7E3C">
              <w:rPr>
                <w:bCs/>
                <w:sz w:val="22"/>
                <w:szCs w:val="22"/>
              </w:rPr>
              <w:t>2.</w:t>
            </w:r>
          </w:p>
        </w:tc>
        <w:tc>
          <w:tcPr>
            <w:tcW w:w="2804" w:type="dxa"/>
          </w:tcPr>
          <w:p w14:paraId="2C5E454B" w14:textId="77777777" w:rsidR="00D42F6E" w:rsidRPr="008D7E3C" w:rsidRDefault="00D42F6E" w:rsidP="0075703B">
            <w:pPr>
              <w:pStyle w:val="naiskr"/>
              <w:spacing w:before="0" w:after="0"/>
              <w:ind w:left="57" w:right="57"/>
              <w:rPr>
                <w:sz w:val="22"/>
                <w:szCs w:val="22"/>
              </w:rPr>
            </w:pPr>
            <w:r w:rsidRPr="008D7E3C">
              <w:rPr>
                <w:sz w:val="22"/>
                <w:szCs w:val="22"/>
              </w:rPr>
              <w:t>Sabiedrības līdzdalība projekta izstrādē</w:t>
            </w:r>
          </w:p>
        </w:tc>
        <w:tc>
          <w:tcPr>
            <w:tcW w:w="7229" w:type="dxa"/>
          </w:tcPr>
          <w:p w14:paraId="37950625" w14:textId="475C1B42" w:rsidR="000345B2" w:rsidRPr="00D44A91" w:rsidRDefault="000345B2" w:rsidP="00D44A91">
            <w:pPr>
              <w:pStyle w:val="naisnod"/>
              <w:spacing w:before="0" w:after="0"/>
              <w:ind w:left="57" w:right="57"/>
              <w:jc w:val="both"/>
              <w:rPr>
                <w:b w:val="0"/>
              </w:rPr>
            </w:pPr>
          </w:p>
        </w:tc>
      </w:tr>
      <w:tr w:rsidR="008D7E3C" w:rsidRPr="008D7E3C" w14:paraId="13E1D4C2" w14:textId="77777777" w:rsidTr="00343D5C">
        <w:trPr>
          <w:trHeight w:val="375"/>
          <w:jc w:val="center"/>
        </w:trPr>
        <w:tc>
          <w:tcPr>
            <w:tcW w:w="310" w:type="dxa"/>
          </w:tcPr>
          <w:p w14:paraId="4C59E3AD" w14:textId="77777777" w:rsidR="00D42F6E" w:rsidRPr="008D7E3C" w:rsidRDefault="00D42F6E" w:rsidP="0075703B">
            <w:pPr>
              <w:pStyle w:val="naiskr"/>
              <w:spacing w:before="0" w:after="0"/>
              <w:ind w:left="57" w:right="57"/>
              <w:rPr>
                <w:bCs/>
                <w:sz w:val="22"/>
                <w:szCs w:val="22"/>
              </w:rPr>
            </w:pPr>
            <w:r w:rsidRPr="008D7E3C">
              <w:rPr>
                <w:bCs/>
                <w:sz w:val="22"/>
                <w:szCs w:val="22"/>
              </w:rPr>
              <w:t>3.</w:t>
            </w:r>
          </w:p>
        </w:tc>
        <w:tc>
          <w:tcPr>
            <w:tcW w:w="2804" w:type="dxa"/>
          </w:tcPr>
          <w:p w14:paraId="2F80482E" w14:textId="77777777" w:rsidR="00D42F6E" w:rsidRPr="008D7E3C" w:rsidRDefault="00D42F6E" w:rsidP="0075703B">
            <w:pPr>
              <w:pStyle w:val="naiskr"/>
              <w:spacing w:before="0" w:after="0"/>
              <w:ind w:left="57" w:right="57"/>
              <w:rPr>
                <w:sz w:val="22"/>
                <w:szCs w:val="22"/>
              </w:rPr>
            </w:pPr>
            <w:r w:rsidRPr="008D7E3C">
              <w:rPr>
                <w:sz w:val="22"/>
                <w:szCs w:val="22"/>
              </w:rPr>
              <w:t>Sabiedrības līdzdalības rezultāti</w:t>
            </w:r>
          </w:p>
        </w:tc>
        <w:tc>
          <w:tcPr>
            <w:tcW w:w="7229" w:type="dxa"/>
          </w:tcPr>
          <w:p w14:paraId="675DC880" w14:textId="338E9F77" w:rsidR="00403507" w:rsidRPr="008D7E3C" w:rsidRDefault="00403507" w:rsidP="00B373D9">
            <w:pPr>
              <w:pStyle w:val="naiskr"/>
              <w:spacing w:before="0" w:after="0"/>
              <w:ind w:left="57" w:right="142"/>
              <w:jc w:val="both"/>
              <w:rPr>
                <w:iCs/>
              </w:rPr>
            </w:pPr>
          </w:p>
        </w:tc>
      </w:tr>
      <w:tr w:rsidR="00D42F6E" w:rsidRPr="008D7E3C" w14:paraId="1D41240F" w14:textId="77777777" w:rsidTr="00343D5C">
        <w:trPr>
          <w:trHeight w:val="343"/>
          <w:jc w:val="center"/>
        </w:trPr>
        <w:tc>
          <w:tcPr>
            <w:tcW w:w="310" w:type="dxa"/>
          </w:tcPr>
          <w:p w14:paraId="59ABCC6C" w14:textId="77777777" w:rsidR="00D42F6E" w:rsidRPr="008D7E3C" w:rsidRDefault="00D42F6E" w:rsidP="0075703B">
            <w:pPr>
              <w:pStyle w:val="naiskr"/>
              <w:spacing w:before="0" w:after="0"/>
              <w:ind w:left="57" w:right="57"/>
              <w:rPr>
                <w:bCs/>
                <w:sz w:val="22"/>
                <w:szCs w:val="22"/>
              </w:rPr>
            </w:pPr>
            <w:r w:rsidRPr="008D7E3C">
              <w:rPr>
                <w:bCs/>
                <w:sz w:val="22"/>
                <w:szCs w:val="22"/>
              </w:rPr>
              <w:t>4.</w:t>
            </w:r>
          </w:p>
        </w:tc>
        <w:tc>
          <w:tcPr>
            <w:tcW w:w="2804" w:type="dxa"/>
          </w:tcPr>
          <w:p w14:paraId="2ECE430C" w14:textId="77777777" w:rsidR="00D42F6E" w:rsidRPr="008D7E3C" w:rsidRDefault="00D42F6E" w:rsidP="0075703B">
            <w:pPr>
              <w:pStyle w:val="naiskr"/>
              <w:spacing w:before="0" w:after="0"/>
              <w:ind w:left="57" w:right="57"/>
              <w:rPr>
                <w:sz w:val="22"/>
                <w:szCs w:val="22"/>
              </w:rPr>
            </w:pPr>
            <w:r w:rsidRPr="008D7E3C">
              <w:rPr>
                <w:sz w:val="22"/>
                <w:szCs w:val="22"/>
              </w:rPr>
              <w:t>Cita informācija</w:t>
            </w:r>
          </w:p>
        </w:tc>
        <w:tc>
          <w:tcPr>
            <w:tcW w:w="7229" w:type="dxa"/>
          </w:tcPr>
          <w:p w14:paraId="39EEE7D8" w14:textId="77777777" w:rsidR="00D42F6E" w:rsidRPr="008D7E3C" w:rsidRDefault="00D42F6E" w:rsidP="0075703B">
            <w:pPr>
              <w:pStyle w:val="naiskr"/>
              <w:spacing w:before="0" w:after="0"/>
              <w:ind w:left="57" w:right="57"/>
              <w:jc w:val="both"/>
            </w:pPr>
            <w:r w:rsidRPr="008D7E3C">
              <w:t>Nav.</w:t>
            </w:r>
          </w:p>
        </w:tc>
      </w:tr>
    </w:tbl>
    <w:p w14:paraId="67111E13" w14:textId="77777777" w:rsidR="005073F4" w:rsidRPr="008D7E3C" w:rsidRDefault="005073F4" w:rsidP="0075703B">
      <w:pPr>
        <w:pStyle w:val="naisc"/>
        <w:spacing w:before="0" w:after="0"/>
        <w:ind w:firstLine="720"/>
        <w:jc w:val="both"/>
        <w:rPr>
          <w:bCs/>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74"/>
        <w:gridCol w:w="2740"/>
        <w:gridCol w:w="7229"/>
      </w:tblGrid>
      <w:tr w:rsidR="008D7E3C" w:rsidRPr="008D7E3C" w14:paraId="735F54E2" w14:textId="77777777" w:rsidTr="00343D5C">
        <w:trPr>
          <w:jc w:val="center"/>
        </w:trPr>
        <w:tc>
          <w:tcPr>
            <w:tcW w:w="10343" w:type="dxa"/>
            <w:gridSpan w:val="3"/>
            <w:tcBorders>
              <w:top w:val="single" w:sz="4" w:space="0" w:color="auto"/>
            </w:tcBorders>
          </w:tcPr>
          <w:p w14:paraId="3B20C62C" w14:textId="77777777" w:rsidR="00D42F6E" w:rsidRPr="008D7E3C" w:rsidRDefault="00D42F6E" w:rsidP="0075703B">
            <w:pPr>
              <w:pStyle w:val="naisnod"/>
              <w:spacing w:before="0" w:after="0"/>
              <w:ind w:left="57" w:right="57"/>
            </w:pPr>
            <w:r w:rsidRPr="008D7E3C">
              <w:t>VII. Tiesību akta projekta izpildes nodrošināšana un tās ietekme uz institūcijām</w:t>
            </w:r>
          </w:p>
        </w:tc>
      </w:tr>
      <w:tr w:rsidR="008D7E3C" w:rsidRPr="008D7E3C" w14:paraId="14E49B17" w14:textId="77777777" w:rsidTr="00055A12">
        <w:trPr>
          <w:trHeight w:val="427"/>
          <w:jc w:val="center"/>
        </w:trPr>
        <w:tc>
          <w:tcPr>
            <w:tcW w:w="374" w:type="dxa"/>
          </w:tcPr>
          <w:p w14:paraId="2B484635" w14:textId="77777777" w:rsidR="00D42F6E" w:rsidRPr="008D7E3C" w:rsidRDefault="00D42F6E" w:rsidP="0075703B">
            <w:pPr>
              <w:pStyle w:val="naisnod"/>
              <w:spacing w:before="0" w:after="0"/>
              <w:ind w:left="57" w:right="57"/>
              <w:jc w:val="left"/>
              <w:rPr>
                <w:b w:val="0"/>
                <w:sz w:val="22"/>
                <w:szCs w:val="22"/>
              </w:rPr>
            </w:pPr>
            <w:r w:rsidRPr="008D7E3C">
              <w:rPr>
                <w:b w:val="0"/>
                <w:sz w:val="22"/>
                <w:szCs w:val="22"/>
              </w:rPr>
              <w:t>1.</w:t>
            </w:r>
          </w:p>
        </w:tc>
        <w:tc>
          <w:tcPr>
            <w:tcW w:w="2740" w:type="dxa"/>
          </w:tcPr>
          <w:p w14:paraId="0EBA2C82" w14:textId="77777777" w:rsidR="00D42F6E" w:rsidRPr="008D7E3C" w:rsidRDefault="00D42F6E" w:rsidP="000A4B76">
            <w:pPr>
              <w:pStyle w:val="naisf"/>
              <w:spacing w:before="0" w:after="0"/>
              <w:ind w:left="57" w:right="57" w:firstLine="0"/>
              <w:jc w:val="left"/>
              <w:rPr>
                <w:sz w:val="22"/>
                <w:szCs w:val="22"/>
              </w:rPr>
            </w:pPr>
            <w:r w:rsidRPr="008D7E3C">
              <w:rPr>
                <w:sz w:val="22"/>
                <w:szCs w:val="22"/>
              </w:rPr>
              <w:t xml:space="preserve">Projekta izpildē iesaistītās institūcijas </w:t>
            </w:r>
          </w:p>
        </w:tc>
        <w:tc>
          <w:tcPr>
            <w:tcW w:w="7229" w:type="dxa"/>
          </w:tcPr>
          <w:p w14:paraId="429F5665" w14:textId="508D493C" w:rsidR="00D42F6E" w:rsidRDefault="005E3FA2" w:rsidP="0060642D">
            <w:pPr>
              <w:pStyle w:val="naisnod"/>
              <w:spacing w:before="0" w:after="0"/>
              <w:ind w:left="57" w:right="57"/>
              <w:jc w:val="both"/>
              <w:rPr>
                <w:b w:val="0"/>
              </w:rPr>
            </w:pPr>
            <w:r w:rsidRPr="008D7E3C">
              <w:rPr>
                <w:b w:val="0"/>
              </w:rPr>
              <w:t>No</w:t>
            </w:r>
            <w:r w:rsidR="0060642D">
              <w:rPr>
                <w:b w:val="0"/>
              </w:rPr>
              <w:t xml:space="preserve">teikuma projekta izpildi nodrošinās </w:t>
            </w:r>
            <w:r w:rsidR="00EA3D56">
              <w:rPr>
                <w:b w:val="0"/>
              </w:rPr>
              <w:t>Ekonomikas</w:t>
            </w:r>
            <w:r w:rsidR="0060642D">
              <w:rPr>
                <w:b w:val="0"/>
              </w:rPr>
              <w:t xml:space="preserve"> ministrija sadarbībā</w:t>
            </w:r>
            <w:r w:rsidR="00356511">
              <w:rPr>
                <w:b w:val="0"/>
              </w:rPr>
              <w:t xml:space="preserve"> ar Latvijas Republikas pilsētu</w:t>
            </w:r>
            <w:r w:rsidR="0060642D">
              <w:rPr>
                <w:b w:val="0"/>
              </w:rPr>
              <w:t xml:space="preserve"> un novada pašvaldībām, piesaistot Vides aizsardzības un reģionālās attīstības ministriju</w:t>
            </w:r>
            <w:r w:rsidRPr="008D7E3C">
              <w:rPr>
                <w:b w:val="0"/>
              </w:rPr>
              <w:t>.</w:t>
            </w:r>
          </w:p>
          <w:p w14:paraId="174A351F" w14:textId="11590C36" w:rsidR="0060642D" w:rsidRPr="008D7E3C" w:rsidRDefault="00BB5DBC" w:rsidP="00BB5DBC">
            <w:pPr>
              <w:pStyle w:val="naisnod"/>
              <w:spacing w:before="0" w:after="0"/>
              <w:ind w:right="57"/>
              <w:jc w:val="both"/>
              <w:rPr>
                <w:b w:val="0"/>
              </w:rPr>
            </w:pPr>
            <w:r>
              <w:rPr>
                <w:b w:val="0"/>
              </w:rPr>
              <w:t xml:space="preserve"> </w:t>
            </w:r>
            <w:r w:rsidR="0060642D">
              <w:rPr>
                <w:b w:val="0"/>
              </w:rPr>
              <w:t>Pilsonīb</w:t>
            </w:r>
            <w:r>
              <w:rPr>
                <w:b w:val="0"/>
              </w:rPr>
              <w:t>as un migrācijas lietu pārvalde</w:t>
            </w:r>
            <w:r w:rsidR="0060642D">
              <w:rPr>
                <w:b w:val="0"/>
              </w:rPr>
              <w:t xml:space="preserve"> </w:t>
            </w:r>
            <w:r>
              <w:rPr>
                <w:b w:val="0"/>
              </w:rPr>
              <w:t>sniegs informāciju</w:t>
            </w:r>
            <w:r w:rsidR="0060642D">
              <w:rPr>
                <w:b w:val="0"/>
              </w:rPr>
              <w:t xml:space="preserve"> par iedzīvotāju skaitu</w:t>
            </w:r>
            <w:r w:rsidR="00356511">
              <w:rPr>
                <w:b w:val="0"/>
              </w:rPr>
              <w:t xml:space="preserve"> un to sadalījumu pa novadu un pilsētu administratīvajām teritorijām </w:t>
            </w:r>
            <w:r w:rsidR="00666B4F">
              <w:rPr>
                <w:b w:val="0"/>
              </w:rPr>
              <w:t>pēc stāvokļa</w:t>
            </w:r>
            <w:r w:rsidR="00356511">
              <w:rPr>
                <w:b w:val="0"/>
              </w:rPr>
              <w:t xml:space="preserve"> katra gada 1. janvār</w:t>
            </w:r>
            <w:r w:rsidR="00666B4F">
              <w:rPr>
                <w:b w:val="0"/>
              </w:rPr>
              <w:t>ī</w:t>
            </w:r>
            <w:r w:rsidR="0060642D">
              <w:rPr>
                <w:b w:val="0"/>
              </w:rPr>
              <w:t>.</w:t>
            </w:r>
          </w:p>
        </w:tc>
      </w:tr>
      <w:tr w:rsidR="008D7E3C" w:rsidRPr="008D7E3C" w14:paraId="7FC414A5" w14:textId="77777777" w:rsidTr="00055A12">
        <w:trPr>
          <w:trHeight w:val="463"/>
          <w:jc w:val="center"/>
        </w:trPr>
        <w:tc>
          <w:tcPr>
            <w:tcW w:w="374" w:type="dxa"/>
          </w:tcPr>
          <w:p w14:paraId="211E7702" w14:textId="77777777" w:rsidR="00D42F6E" w:rsidRPr="008D7E3C" w:rsidRDefault="00D42F6E" w:rsidP="0075703B">
            <w:pPr>
              <w:pStyle w:val="naisnod"/>
              <w:spacing w:before="0" w:after="0"/>
              <w:ind w:left="57" w:right="57"/>
              <w:jc w:val="left"/>
              <w:rPr>
                <w:b w:val="0"/>
                <w:sz w:val="22"/>
                <w:szCs w:val="22"/>
              </w:rPr>
            </w:pPr>
            <w:r w:rsidRPr="008D7E3C">
              <w:rPr>
                <w:b w:val="0"/>
                <w:sz w:val="22"/>
                <w:szCs w:val="22"/>
              </w:rPr>
              <w:t>2.</w:t>
            </w:r>
          </w:p>
        </w:tc>
        <w:tc>
          <w:tcPr>
            <w:tcW w:w="2740" w:type="dxa"/>
          </w:tcPr>
          <w:p w14:paraId="28C83D4D" w14:textId="77777777" w:rsidR="00D42F6E" w:rsidRPr="008D7E3C" w:rsidRDefault="00D42F6E" w:rsidP="000A4B76">
            <w:pPr>
              <w:rPr>
                <w:rFonts w:eastAsia="Calibri"/>
                <w:sz w:val="22"/>
                <w:szCs w:val="22"/>
                <w:lang w:eastAsia="en-US"/>
              </w:rPr>
            </w:pPr>
            <w:r w:rsidRPr="008D7E3C">
              <w:rPr>
                <w:rFonts w:eastAsia="Calibri"/>
                <w:sz w:val="22"/>
                <w:szCs w:val="22"/>
                <w:lang w:eastAsia="en-US"/>
              </w:rPr>
              <w:t xml:space="preserve">Projekta izpildes ietekme uz pārvaldes funkcijām un institucionālo struktūru. </w:t>
            </w:r>
          </w:p>
          <w:p w14:paraId="24E487F1" w14:textId="753670A4" w:rsidR="009F38AE" w:rsidRPr="008D7E3C" w:rsidRDefault="00D42F6E" w:rsidP="000A4B76">
            <w:pPr>
              <w:pStyle w:val="naisf"/>
              <w:spacing w:before="0" w:after="0"/>
              <w:ind w:left="57" w:right="57" w:firstLine="0"/>
              <w:jc w:val="left"/>
              <w:rPr>
                <w:rFonts w:eastAsia="Calibri"/>
                <w:sz w:val="22"/>
                <w:szCs w:val="22"/>
                <w:lang w:eastAsia="en-US"/>
              </w:rPr>
            </w:pPr>
            <w:r w:rsidRPr="008D7E3C">
              <w:rPr>
                <w:rFonts w:eastAsia="Calibri"/>
                <w:sz w:val="22"/>
                <w:szCs w:val="22"/>
                <w:lang w:eastAsia="en-US"/>
              </w:rPr>
              <w:t>Jaunu institūciju izveide, esošu institūciju likvidācija vai reorganizācija, to ietekme uz institūcijas cilvēkresursiem</w:t>
            </w:r>
          </w:p>
        </w:tc>
        <w:tc>
          <w:tcPr>
            <w:tcW w:w="7229" w:type="dxa"/>
          </w:tcPr>
          <w:p w14:paraId="06BC4588" w14:textId="6D84EB3B" w:rsidR="00D42F6E" w:rsidRPr="008D7E3C" w:rsidRDefault="00343D5C" w:rsidP="005D5BF9">
            <w:pPr>
              <w:pStyle w:val="naisnod"/>
              <w:spacing w:before="0" w:after="0"/>
              <w:ind w:left="57" w:right="57"/>
              <w:jc w:val="both"/>
            </w:pPr>
            <w:r w:rsidRPr="005D5BF9">
              <w:rPr>
                <w:b w:val="0"/>
              </w:rPr>
              <w:t>P</w:t>
            </w:r>
            <w:r w:rsidR="00792050" w:rsidRPr="005D5BF9">
              <w:rPr>
                <w:b w:val="0"/>
              </w:rPr>
              <w:t>rojekt</w:t>
            </w:r>
            <w:r w:rsidR="00666B4F" w:rsidRPr="005D5BF9">
              <w:rPr>
                <w:b w:val="0"/>
              </w:rPr>
              <w:t>s</w:t>
            </w:r>
            <w:r w:rsidR="00792050" w:rsidRPr="005D5BF9">
              <w:rPr>
                <w:b w:val="0"/>
              </w:rPr>
              <w:t xml:space="preserve"> </w:t>
            </w:r>
            <w:r w:rsidR="006C0761" w:rsidRPr="005D5BF9">
              <w:rPr>
                <w:b w:val="0"/>
              </w:rPr>
              <w:t xml:space="preserve">tiks </w:t>
            </w:r>
            <w:r w:rsidR="00666B4F" w:rsidRPr="005D5BF9">
              <w:rPr>
                <w:b w:val="0"/>
              </w:rPr>
              <w:t xml:space="preserve">izpildīts atbilstoši </w:t>
            </w:r>
            <w:r w:rsidR="006C0761" w:rsidRPr="005D5BF9">
              <w:rPr>
                <w:b w:val="0"/>
              </w:rPr>
              <w:t>esoš</w:t>
            </w:r>
            <w:r w:rsidR="00666B4F" w:rsidRPr="005D5BF9">
              <w:rPr>
                <w:b w:val="0"/>
              </w:rPr>
              <w:t>ajām</w:t>
            </w:r>
            <w:r w:rsidR="006C0761" w:rsidRPr="005D5BF9">
              <w:rPr>
                <w:b w:val="0"/>
              </w:rPr>
              <w:t xml:space="preserve"> pārvaldes funkcij</w:t>
            </w:r>
            <w:r w:rsidR="00666B4F" w:rsidRPr="005D5BF9">
              <w:rPr>
                <w:b w:val="0"/>
              </w:rPr>
              <w:t>ām</w:t>
            </w:r>
            <w:r w:rsidR="00792050" w:rsidRPr="005D5BF9">
              <w:rPr>
                <w:b w:val="0"/>
              </w:rPr>
              <w:t>.</w:t>
            </w:r>
          </w:p>
        </w:tc>
      </w:tr>
      <w:tr w:rsidR="00D42F6E" w:rsidRPr="008D7E3C" w14:paraId="4373AB56" w14:textId="77777777" w:rsidTr="00055A12">
        <w:trPr>
          <w:trHeight w:val="211"/>
          <w:jc w:val="center"/>
        </w:trPr>
        <w:tc>
          <w:tcPr>
            <w:tcW w:w="374" w:type="dxa"/>
          </w:tcPr>
          <w:p w14:paraId="2058FE85" w14:textId="77777777" w:rsidR="00D42F6E" w:rsidRPr="008D7E3C" w:rsidRDefault="00D42F6E" w:rsidP="0075703B">
            <w:pPr>
              <w:pStyle w:val="naiskr"/>
              <w:spacing w:before="0" w:after="0"/>
              <w:ind w:left="57" w:right="57"/>
              <w:rPr>
                <w:sz w:val="22"/>
                <w:szCs w:val="22"/>
              </w:rPr>
            </w:pPr>
            <w:r w:rsidRPr="008D7E3C">
              <w:rPr>
                <w:sz w:val="22"/>
                <w:szCs w:val="22"/>
              </w:rPr>
              <w:t>3.</w:t>
            </w:r>
          </w:p>
        </w:tc>
        <w:tc>
          <w:tcPr>
            <w:tcW w:w="2740" w:type="dxa"/>
          </w:tcPr>
          <w:p w14:paraId="11290278" w14:textId="77777777" w:rsidR="00D42F6E" w:rsidRPr="008D7E3C" w:rsidRDefault="00D42F6E" w:rsidP="0075703B">
            <w:pPr>
              <w:pStyle w:val="naiskr"/>
              <w:spacing w:before="0" w:after="0"/>
              <w:ind w:left="57" w:right="57"/>
              <w:rPr>
                <w:sz w:val="22"/>
                <w:szCs w:val="22"/>
              </w:rPr>
            </w:pPr>
            <w:r w:rsidRPr="008D7E3C">
              <w:rPr>
                <w:sz w:val="22"/>
                <w:szCs w:val="22"/>
              </w:rPr>
              <w:t>Cita informācija</w:t>
            </w:r>
          </w:p>
        </w:tc>
        <w:tc>
          <w:tcPr>
            <w:tcW w:w="7229" w:type="dxa"/>
          </w:tcPr>
          <w:p w14:paraId="6D507A60" w14:textId="2855B8A9" w:rsidR="00D42F6E" w:rsidRPr="008D7E3C" w:rsidRDefault="006C0761" w:rsidP="0075703B">
            <w:pPr>
              <w:pStyle w:val="naiskr"/>
              <w:spacing w:before="0" w:after="0"/>
              <w:ind w:left="57" w:right="57"/>
              <w:rPr>
                <w:szCs w:val="22"/>
              </w:rPr>
            </w:pPr>
            <w:r>
              <w:rPr>
                <w:szCs w:val="22"/>
              </w:rPr>
              <w:t>N</w:t>
            </w:r>
            <w:r w:rsidR="005959C2">
              <w:rPr>
                <w:szCs w:val="22"/>
              </w:rPr>
              <w:t>av</w:t>
            </w:r>
            <w:r w:rsidR="005E3FA2" w:rsidRPr="008D7E3C">
              <w:rPr>
                <w:szCs w:val="22"/>
              </w:rPr>
              <w:t>.</w:t>
            </w:r>
          </w:p>
        </w:tc>
      </w:tr>
    </w:tbl>
    <w:p w14:paraId="4780E2D3" w14:textId="6970AA7D" w:rsidR="00D42F6E" w:rsidRDefault="00D42F6E" w:rsidP="0075703B">
      <w:pPr>
        <w:rPr>
          <w:sz w:val="28"/>
          <w:szCs w:val="28"/>
        </w:rPr>
      </w:pPr>
    </w:p>
    <w:p w14:paraId="224973CD" w14:textId="77777777" w:rsidR="003E74B2" w:rsidRPr="008D7E3C" w:rsidRDefault="003E74B2" w:rsidP="0075703B">
      <w:pPr>
        <w:rPr>
          <w:sz w:val="28"/>
          <w:szCs w:val="28"/>
        </w:rPr>
      </w:pPr>
    </w:p>
    <w:tbl>
      <w:tblPr>
        <w:tblStyle w:val="TableGrid"/>
        <w:tblW w:w="9924" w:type="dxa"/>
        <w:tblInd w:w="-426" w:type="dxa"/>
        <w:tblLook w:val="04A0" w:firstRow="1" w:lastRow="0" w:firstColumn="1" w:lastColumn="0" w:noHBand="0" w:noVBand="1"/>
      </w:tblPr>
      <w:tblGrid>
        <w:gridCol w:w="5321"/>
        <w:gridCol w:w="4603"/>
      </w:tblGrid>
      <w:tr w:rsidR="003E74B2" w14:paraId="796A3F05" w14:textId="77777777" w:rsidTr="003E74B2">
        <w:tc>
          <w:tcPr>
            <w:tcW w:w="5321" w:type="dxa"/>
            <w:tcBorders>
              <w:top w:val="nil"/>
              <w:left w:val="nil"/>
              <w:bottom w:val="nil"/>
              <w:right w:val="nil"/>
            </w:tcBorders>
          </w:tcPr>
          <w:p w14:paraId="2F66FAAD" w14:textId="77777777" w:rsidR="003E74B2" w:rsidRDefault="003E74B2">
            <w:pPr>
              <w:pStyle w:val="ListParagraph"/>
              <w:ind w:left="0"/>
              <w:rPr>
                <w:sz w:val="28"/>
                <w:szCs w:val="28"/>
                <w:lang w:eastAsia="en-US"/>
              </w:rPr>
            </w:pPr>
          </w:p>
        </w:tc>
        <w:tc>
          <w:tcPr>
            <w:tcW w:w="4603" w:type="dxa"/>
            <w:tcBorders>
              <w:top w:val="nil"/>
              <w:left w:val="nil"/>
              <w:bottom w:val="nil"/>
              <w:right w:val="nil"/>
            </w:tcBorders>
          </w:tcPr>
          <w:p w14:paraId="1CAB79BE" w14:textId="77777777" w:rsidR="003E74B2" w:rsidRDefault="003E74B2">
            <w:pPr>
              <w:tabs>
                <w:tab w:val="left" w:pos="6521"/>
              </w:tabs>
              <w:jc w:val="right"/>
              <w:rPr>
                <w:sz w:val="28"/>
                <w:szCs w:val="28"/>
                <w:lang w:eastAsia="en-US"/>
              </w:rPr>
            </w:pPr>
          </w:p>
        </w:tc>
      </w:tr>
      <w:tr w:rsidR="003E74B2" w14:paraId="17027F75" w14:textId="77777777" w:rsidTr="003E74B2">
        <w:tc>
          <w:tcPr>
            <w:tcW w:w="5321" w:type="dxa"/>
            <w:tcBorders>
              <w:top w:val="nil"/>
              <w:left w:val="nil"/>
              <w:bottom w:val="nil"/>
              <w:right w:val="nil"/>
            </w:tcBorders>
            <w:hideMark/>
          </w:tcPr>
          <w:p w14:paraId="7C008A37" w14:textId="7657CE0F" w:rsidR="003E74B2" w:rsidRDefault="00213AFF">
            <w:pPr>
              <w:pStyle w:val="ListParagraph"/>
              <w:ind w:left="0"/>
              <w:rPr>
                <w:sz w:val="28"/>
                <w:szCs w:val="28"/>
                <w:lang w:eastAsia="en-US"/>
              </w:rPr>
            </w:pPr>
            <w:r>
              <w:rPr>
                <w:sz w:val="28"/>
                <w:szCs w:val="28"/>
                <w:lang w:eastAsia="en-US"/>
              </w:rPr>
              <w:t>Ekonomikas</w:t>
            </w:r>
            <w:r w:rsidR="003E74B2">
              <w:rPr>
                <w:sz w:val="28"/>
                <w:szCs w:val="28"/>
                <w:lang w:eastAsia="en-US"/>
              </w:rPr>
              <w:t xml:space="preserve"> ministrs                                               </w:t>
            </w:r>
          </w:p>
        </w:tc>
        <w:tc>
          <w:tcPr>
            <w:tcW w:w="4603" w:type="dxa"/>
            <w:tcBorders>
              <w:top w:val="nil"/>
              <w:left w:val="nil"/>
              <w:bottom w:val="nil"/>
              <w:right w:val="nil"/>
            </w:tcBorders>
          </w:tcPr>
          <w:p w14:paraId="3BC3534C" w14:textId="7F5B39A2" w:rsidR="003E74B2" w:rsidRDefault="00213AFF">
            <w:pPr>
              <w:tabs>
                <w:tab w:val="left" w:pos="6521"/>
              </w:tabs>
              <w:jc w:val="right"/>
              <w:rPr>
                <w:sz w:val="28"/>
                <w:szCs w:val="28"/>
                <w:lang w:eastAsia="en-US"/>
              </w:rPr>
            </w:pPr>
            <w:proofErr w:type="spellStart"/>
            <w:r>
              <w:rPr>
                <w:sz w:val="28"/>
                <w:szCs w:val="28"/>
              </w:rPr>
              <w:t>J.Vitenbergs</w:t>
            </w:r>
            <w:proofErr w:type="spellEnd"/>
          </w:p>
          <w:p w14:paraId="4F5F5310" w14:textId="77777777" w:rsidR="003E74B2" w:rsidRDefault="003E74B2">
            <w:pPr>
              <w:pStyle w:val="ListParagraph"/>
              <w:ind w:left="0"/>
              <w:rPr>
                <w:sz w:val="28"/>
                <w:szCs w:val="28"/>
                <w:lang w:eastAsia="en-US"/>
              </w:rPr>
            </w:pPr>
          </w:p>
        </w:tc>
      </w:tr>
    </w:tbl>
    <w:p w14:paraId="0BD44F81" w14:textId="76EC32A5" w:rsidR="0060642D" w:rsidRDefault="0060642D" w:rsidP="0096795C">
      <w:pPr>
        <w:tabs>
          <w:tab w:val="left" w:pos="6237"/>
        </w:tabs>
        <w:ind w:hanging="142"/>
        <w:rPr>
          <w:sz w:val="28"/>
          <w:szCs w:val="28"/>
        </w:rPr>
      </w:pPr>
    </w:p>
    <w:p w14:paraId="5E5FE677" w14:textId="20194D42" w:rsidR="003E74B2" w:rsidRDefault="003E74B2" w:rsidP="0096795C">
      <w:pPr>
        <w:tabs>
          <w:tab w:val="left" w:pos="6237"/>
        </w:tabs>
        <w:ind w:hanging="142"/>
        <w:rPr>
          <w:sz w:val="28"/>
          <w:szCs w:val="28"/>
        </w:rPr>
      </w:pPr>
    </w:p>
    <w:p w14:paraId="05B59148" w14:textId="21932264" w:rsidR="003E74B2" w:rsidRDefault="003E74B2" w:rsidP="0096795C">
      <w:pPr>
        <w:tabs>
          <w:tab w:val="left" w:pos="6237"/>
        </w:tabs>
        <w:ind w:hanging="142"/>
        <w:rPr>
          <w:sz w:val="28"/>
          <w:szCs w:val="28"/>
        </w:rPr>
      </w:pPr>
    </w:p>
    <w:p w14:paraId="249B28C0" w14:textId="6F772018" w:rsidR="003E74B2" w:rsidRDefault="003E74B2" w:rsidP="0096795C">
      <w:pPr>
        <w:tabs>
          <w:tab w:val="left" w:pos="6237"/>
        </w:tabs>
        <w:ind w:hanging="142"/>
        <w:rPr>
          <w:sz w:val="28"/>
          <w:szCs w:val="28"/>
        </w:rPr>
      </w:pPr>
    </w:p>
    <w:p w14:paraId="48172A76" w14:textId="3BC4C084" w:rsidR="003E74B2" w:rsidRDefault="003E74B2" w:rsidP="0096795C">
      <w:pPr>
        <w:tabs>
          <w:tab w:val="left" w:pos="6237"/>
        </w:tabs>
        <w:ind w:hanging="142"/>
        <w:rPr>
          <w:sz w:val="28"/>
          <w:szCs w:val="28"/>
        </w:rPr>
      </w:pPr>
    </w:p>
    <w:p w14:paraId="061A6505" w14:textId="77777777" w:rsidR="003E74B2" w:rsidRDefault="003E74B2" w:rsidP="0096795C">
      <w:pPr>
        <w:tabs>
          <w:tab w:val="left" w:pos="6237"/>
        </w:tabs>
        <w:ind w:hanging="142"/>
        <w:rPr>
          <w:sz w:val="28"/>
          <w:szCs w:val="28"/>
        </w:rPr>
      </w:pPr>
    </w:p>
    <w:p w14:paraId="4297077C" w14:textId="56F86429" w:rsidR="00FF115F" w:rsidRDefault="00FF115F" w:rsidP="0075703B">
      <w:pPr>
        <w:ind w:firstLine="720"/>
      </w:pPr>
    </w:p>
    <w:p w14:paraId="1227629F" w14:textId="77777777" w:rsidR="00055A12" w:rsidRPr="008D7E3C" w:rsidRDefault="00055A12" w:rsidP="0075703B">
      <w:pPr>
        <w:ind w:firstLine="720"/>
      </w:pPr>
    </w:p>
    <w:p w14:paraId="1B1788DE" w14:textId="3D3A3F37" w:rsidR="00FF115F" w:rsidRPr="008D7E3C" w:rsidRDefault="00063FB6" w:rsidP="0075703B">
      <w:pPr>
        <w:tabs>
          <w:tab w:val="left" w:pos="6237"/>
        </w:tabs>
      </w:pPr>
      <w:bookmarkStart w:id="4" w:name="_Hlk500403611"/>
      <w:proofErr w:type="spellStart"/>
      <w:r>
        <w:t>A.Vlads</w:t>
      </w:r>
      <w:proofErr w:type="spellEnd"/>
      <w:r w:rsidR="00213AFF">
        <w:t xml:space="preserve"> 670131</w:t>
      </w:r>
      <w:r>
        <w:t>32</w:t>
      </w:r>
    </w:p>
    <w:bookmarkEnd w:id="4"/>
    <w:p w14:paraId="70EA6F2F" w14:textId="4E70CB5E" w:rsidR="00FF115F" w:rsidRPr="008D7E3C" w:rsidRDefault="00063FB6" w:rsidP="0075703B">
      <w:pPr>
        <w:tabs>
          <w:tab w:val="left" w:pos="6237"/>
        </w:tabs>
      </w:pPr>
      <w:r>
        <w:fldChar w:fldCharType="begin"/>
      </w:r>
      <w:r>
        <w:instrText xml:space="preserve"> HYPERLINK "mailto:</w:instrText>
      </w:r>
      <w:r w:rsidRPr="00063FB6">
        <w:instrText>aleksandrs.vlads@em.gov.lv</w:instrText>
      </w:r>
      <w:r>
        <w:instrText xml:space="preserve">" </w:instrText>
      </w:r>
      <w:r>
        <w:fldChar w:fldCharType="separate"/>
      </w:r>
      <w:r w:rsidRPr="00CF124B">
        <w:rPr>
          <w:rStyle w:val="Hyperlink"/>
        </w:rPr>
        <w:t>aleksandrs.vlads@em.gov.lv</w:t>
      </w:r>
      <w:r>
        <w:fldChar w:fldCharType="end"/>
      </w:r>
      <w:r w:rsidR="00213AFF">
        <w:t xml:space="preserve"> </w:t>
      </w:r>
    </w:p>
    <w:sectPr w:rsidR="00FF115F" w:rsidRPr="008D7E3C" w:rsidSect="0096795C">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F2004" w14:textId="77777777" w:rsidR="00715B3C" w:rsidRDefault="00715B3C">
      <w:r>
        <w:separator/>
      </w:r>
    </w:p>
  </w:endnote>
  <w:endnote w:type="continuationSeparator" w:id="0">
    <w:p w14:paraId="4973A844" w14:textId="77777777" w:rsidR="00715B3C" w:rsidRDefault="0071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8F7F6" w14:textId="3B3C7092" w:rsidR="004B1D1D" w:rsidRPr="004B1D1D" w:rsidRDefault="00213AFF" w:rsidP="00162DAE">
    <w:pPr>
      <w:pStyle w:val="Footer"/>
      <w:rPr>
        <w:sz w:val="20"/>
        <w:szCs w:val="20"/>
      </w:rPr>
    </w:pPr>
    <w:r>
      <w:rPr>
        <w:sz w:val="20"/>
        <w:szCs w:val="20"/>
      </w:rPr>
      <w:t>E</w:t>
    </w:r>
    <w:r w:rsidR="00162DAE" w:rsidRPr="00162DAE">
      <w:rPr>
        <w:sz w:val="20"/>
        <w:szCs w:val="20"/>
      </w:rPr>
      <w:t>M</w:t>
    </w:r>
    <w:r w:rsidR="00063FB6">
      <w:rPr>
        <w:sz w:val="20"/>
        <w:szCs w:val="20"/>
      </w:rPr>
      <w:t>A</w:t>
    </w:r>
    <w:r w:rsidR="00162DAE" w:rsidRPr="00162DAE">
      <w:rPr>
        <w:sz w:val="20"/>
        <w:szCs w:val="20"/>
      </w:rPr>
      <w:t>not_</w:t>
    </w:r>
    <w:r w:rsidR="00063FB6">
      <w:rPr>
        <w:sz w:val="20"/>
        <w:szCs w:val="20"/>
      </w:rPr>
      <w:t>3</w:t>
    </w:r>
    <w:r>
      <w:rPr>
        <w:sz w:val="20"/>
        <w:szCs w:val="20"/>
      </w:rPr>
      <w:t>011</w:t>
    </w:r>
    <w:r w:rsidR="000A77CC">
      <w:rPr>
        <w:sz w:val="20"/>
        <w:szCs w:val="20"/>
      </w:rPr>
      <w:t>20</w:t>
    </w:r>
    <w:r w:rsidR="00162DAE" w:rsidRPr="00162DAE">
      <w:rPr>
        <w:sz w:val="20"/>
        <w:szCs w:val="20"/>
      </w:rPr>
      <w:t>_</w:t>
    </w:r>
    <w:r w:rsidR="00063FB6">
      <w:rPr>
        <w:sz w:val="20"/>
        <w:szCs w:val="20"/>
      </w:rPr>
      <w: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DABE" w14:textId="4FF526B6" w:rsidR="00EB7AED" w:rsidRPr="00EB7AED" w:rsidRDefault="00162DAE" w:rsidP="00162DAE">
    <w:pPr>
      <w:pStyle w:val="Footer"/>
      <w:rPr>
        <w:sz w:val="20"/>
        <w:szCs w:val="20"/>
      </w:rPr>
    </w:pPr>
    <w:r w:rsidRPr="00162DAE">
      <w:rPr>
        <w:sz w:val="20"/>
        <w:szCs w:val="20"/>
      </w:rPr>
      <w:t>ZManot_</w:t>
    </w:r>
    <w:r w:rsidR="0077668F">
      <w:rPr>
        <w:sz w:val="20"/>
        <w:szCs w:val="20"/>
      </w:rPr>
      <w:t>02</w:t>
    </w:r>
    <w:r w:rsidR="000A77CC">
      <w:rPr>
        <w:sz w:val="20"/>
        <w:szCs w:val="20"/>
      </w:rPr>
      <w:t>0</w:t>
    </w:r>
    <w:r w:rsidR="0077668F">
      <w:rPr>
        <w:sz w:val="20"/>
        <w:szCs w:val="20"/>
      </w:rPr>
      <w:t>7</w:t>
    </w:r>
    <w:r w:rsidR="000A77CC">
      <w:rPr>
        <w:sz w:val="20"/>
        <w:szCs w:val="20"/>
      </w:rPr>
      <w:t>20</w:t>
    </w:r>
    <w:r w:rsidRPr="00162DAE">
      <w:rPr>
        <w:sz w:val="20"/>
        <w:szCs w:val="20"/>
      </w:rPr>
      <w:t>_</w:t>
    </w:r>
    <w:r w:rsidR="00EB7AED">
      <w:rPr>
        <w:sz w:val="20"/>
        <w:szCs w:val="20"/>
      </w:rPr>
      <w:t>partika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02DD1" w14:textId="77777777" w:rsidR="00715B3C" w:rsidRDefault="00715B3C">
      <w:r>
        <w:separator/>
      </w:r>
    </w:p>
  </w:footnote>
  <w:footnote w:type="continuationSeparator" w:id="0">
    <w:p w14:paraId="267972A4" w14:textId="77777777" w:rsidR="00715B3C" w:rsidRDefault="00715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1C08" w14:textId="77777777" w:rsidR="00735F01" w:rsidRDefault="00735F01" w:rsidP="00CB10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6A42A4" w14:textId="77777777" w:rsidR="00735F01" w:rsidRDefault="00735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29748" w14:textId="073DF952" w:rsidR="00735F01" w:rsidRDefault="00735F01" w:rsidP="00CB10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F30">
      <w:rPr>
        <w:rStyle w:val="PageNumber"/>
        <w:noProof/>
      </w:rPr>
      <w:t>3</w:t>
    </w:r>
    <w:r>
      <w:rPr>
        <w:rStyle w:val="PageNumber"/>
      </w:rPr>
      <w:fldChar w:fldCharType="end"/>
    </w:r>
  </w:p>
  <w:p w14:paraId="52A253FC" w14:textId="77777777" w:rsidR="00735F01" w:rsidRDefault="00735F01" w:rsidP="00571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5F8"/>
    <w:multiLevelType w:val="hybridMultilevel"/>
    <w:tmpl w:val="FC340E3E"/>
    <w:lvl w:ilvl="0" w:tplc="0426000F">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1" w15:restartNumberingAfterBreak="0">
    <w:nsid w:val="02693077"/>
    <w:multiLevelType w:val="hybridMultilevel"/>
    <w:tmpl w:val="E910D0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032814"/>
    <w:multiLevelType w:val="hybridMultilevel"/>
    <w:tmpl w:val="EA904D2C"/>
    <w:lvl w:ilvl="0" w:tplc="F90E3B8C">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3" w15:restartNumberingAfterBreak="0">
    <w:nsid w:val="07EA5A6B"/>
    <w:multiLevelType w:val="hybridMultilevel"/>
    <w:tmpl w:val="F762236C"/>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4" w15:restartNumberingAfterBreak="0">
    <w:nsid w:val="0E741BF3"/>
    <w:multiLevelType w:val="hybridMultilevel"/>
    <w:tmpl w:val="7A5A3AD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AD5E3E"/>
    <w:multiLevelType w:val="hybridMultilevel"/>
    <w:tmpl w:val="C5C257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1D139B"/>
    <w:multiLevelType w:val="multilevel"/>
    <w:tmpl w:val="6D76AC5E"/>
    <w:lvl w:ilvl="0">
      <w:start w:val="1"/>
      <w:numFmt w:val="decimal"/>
      <w:lvlText w:val="%1."/>
      <w:lvlJc w:val="left"/>
      <w:pPr>
        <w:ind w:left="495" w:hanging="495"/>
      </w:pPr>
      <w:rPr>
        <w:rFonts w:ascii="Times New Roman" w:hAnsi="Times New Roman" w:cs="Times New Roman"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2894F31"/>
    <w:multiLevelType w:val="hybridMultilevel"/>
    <w:tmpl w:val="888E4DA6"/>
    <w:lvl w:ilvl="0" w:tplc="43964E7E">
      <w:start w:val="1"/>
      <w:numFmt w:val="decimal"/>
      <w:lvlText w:val="%1)"/>
      <w:lvlJc w:val="left"/>
      <w:pPr>
        <w:ind w:left="576" w:hanging="435"/>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8" w15:restartNumberingAfterBreak="0">
    <w:nsid w:val="12D06F37"/>
    <w:multiLevelType w:val="hybridMultilevel"/>
    <w:tmpl w:val="9562761E"/>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5121699"/>
    <w:multiLevelType w:val="hybridMultilevel"/>
    <w:tmpl w:val="4D82DC16"/>
    <w:lvl w:ilvl="0" w:tplc="04260001">
      <w:start w:val="1"/>
      <w:numFmt w:val="bullet"/>
      <w:lvlText w:val=""/>
      <w:lvlJc w:val="left"/>
      <w:pPr>
        <w:ind w:left="788" w:hanging="360"/>
      </w:pPr>
      <w:rPr>
        <w:rFonts w:ascii="Symbol" w:hAnsi="Symbol"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10" w15:restartNumberingAfterBreak="0">
    <w:nsid w:val="15F640BC"/>
    <w:multiLevelType w:val="hybridMultilevel"/>
    <w:tmpl w:val="9CA84AB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C27753"/>
    <w:multiLevelType w:val="hybridMultilevel"/>
    <w:tmpl w:val="D4E4DFD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2FBA3180"/>
    <w:multiLevelType w:val="hybridMultilevel"/>
    <w:tmpl w:val="717C16A8"/>
    <w:lvl w:ilvl="0" w:tplc="1D44357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15:restartNumberingAfterBreak="0">
    <w:nsid w:val="3146794B"/>
    <w:multiLevelType w:val="hybridMultilevel"/>
    <w:tmpl w:val="0FCED2F2"/>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3AE17ABF"/>
    <w:multiLevelType w:val="hybridMultilevel"/>
    <w:tmpl w:val="A61649DC"/>
    <w:lvl w:ilvl="0" w:tplc="A3486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D7F70FC"/>
    <w:multiLevelType w:val="hybridMultilevel"/>
    <w:tmpl w:val="D48A5786"/>
    <w:lvl w:ilvl="0" w:tplc="FDC401C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F752B0B"/>
    <w:multiLevelType w:val="hybridMultilevel"/>
    <w:tmpl w:val="C9E6F7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A6F5546"/>
    <w:multiLevelType w:val="hybridMultilevel"/>
    <w:tmpl w:val="8B8E5882"/>
    <w:lvl w:ilvl="0" w:tplc="5A026378">
      <w:start w:val="1"/>
      <w:numFmt w:val="decimal"/>
      <w:lvlText w:val="%1)"/>
      <w:lvlJc w:val="left"/>
      <w:pPr>
        <w:ind w:left="1035" w:hanging="1035"/>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8" w15:restartNumberingAfterBreak="0">
    <w:nsid w:val="59F024CE"/>
    <w:multiLevelType w:val="hybridMultilevel"/>
    <w:tmpl w:val="46463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9058EF"/>
    <w:multiLevelType w:val="hybridMultilevel"/>
    <w:tmpl w:val="3AE03766"/>
    <w:lvl w:ilvl="0" w:tplc="EC7CE90E">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0" w15:restartNumberingAfterBreak="0">
    <w:nsid w:val="5E693095"/>
    <w:multiLevelType w:val="multilevel"/>
    <w:tmpl w:val="CC28D600"/>
    <w:lvl w:ilvl="0">
      <w:start w:val="1"/>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FC7A8A"/>
    <w:multiLevelType w:val="hybridMultilevel"/>
    <w:tmpl w:val="B9BC1632"/>
    <w:lvl w:ilvl="0" w:tplc="5C520882">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22" w15:restartNumberingAfterBreak="0">
    <w:nsid w:val="6E881FD7"/>
    <w:multiLevelType w:val="hybridMultilevel"/>
    <w:tmpl w:val="5CB87AC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79DB0E07"/>
    <w:multiLevelType w:val="hybridMultilevel"/>
    <w:tmpl w:val="B2A62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CD2144"/>
    <w:multiLevelType w:val="hybridMultilevel"/>
    <w:tmpl w:val="777C3EE8"/>
    <w:lvl w:ilvl="0" w:tplc="04260011">
      <w:start w:val="1"/>
      <w:numFmt w:val="decimal"/>
      <w:lvlText w:val="%1)"/>
      <w:lvlJc w:val="left"/>
      <w:pPr>
        <w:ind w:left="50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7"/>
  </w:num>
  <w:num w:numId="3">
    <w:abstractNumId w:val="23"/>
  </w:num>
  <w:num w:numId="4">
    <w:abstractNumId w:val="0"/>
  </w:num>
  <w:num w:numId="5">
    <w:abstractNumId w:val="5"/>
  </w:num>
  <w:num w:numId="6">
    <w:abstractNumId w:val="7"/>
  </w:num>
  <w:num w:numId="7">
    <w:abstractNumId w:val="16"/>
  </w:num>
  <w:num w:numId="8">
    <w:abstractNumId w:val="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4"/>
  </w:num>
  <w:num w:numId="13">
    <w:abstractNumId w:val="14"/>
  </w:num>
  <w:num w:numId="14">
    <w:abstractNumId w:val="24"/>
  </w:num>
  <w:num w:numId="15">
    <w:abstractNumId w:val="12"/>
  </w:num>
  <w:num w:numId="16">
    <w:abstractNumId w:val="11"/>
  </w:num>
  <w:num w:numId="17">
    <w:abstractNumId w:val="1"/>
  </w:num>
  <w:num w:numId="18">
    <w:abstractNumId w:val="10"/>
  </w:num>
  <w:num w:numId="19">
    <w:abstractNumId w:val="15"/>
  </w:num>
  <w:num w:numId="20">
    <w:abstractNumId w:val="13"/>
  </w:num>
  <w:num w:numId="21">
    <w:abstractNumId w:val="2"/>
  </w:num>
  <w:num w:numId="22">
    <w:abstractNumId w:val="22"/>
  </w:num>
  <w:num w:numId="23">
    <w:abstractNumId w:val="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6E"/>
    <w:rsid w:val="00001CED"/>
    <w:rsid w:val="00002EFB"/>
    <w:rsid w:val="00003C42"/>
    <w:rsid w:val="00005376"/>
    <w:rsid w:val="000150FD"/>
    <w:rsid w:val="00025FF8"/>
    <w:rsid w:val="00026252"/>
    <w:rsid w:val="00030020"/>
    <w:rsid w:val="00034552"/>
    <w:rsid w:val="000345B2"/>
    <w:rsid w:val="000350D0"/>
    <w:rsid w:val="00042467"/>
    <w:rsid w:val="00050598"/>
    <w:rsid w:val="00052DFA"/>
    <w:rsid w:val="00054A1E"/>
    <w:rsid w:val="00055A12"/>
    <w:rsid w:val="00063FB6"/>
    <w:rsid w:val="000657FB"/>
    <w:rsid w:val="000735D2"/>
    <w:rsid w:val="00077903"/>
    <w:rsid w:val="00090935"/>
    <w:rsid w:val="00096430"/>
    <w:rsid w:val="00096EF3"/>
    <w:rsid w:val="0009728B"/>
    <w:rsid w:val="000A0C35"/>
    <w:rsid w:val="000A2081"/>
    <w:rsid w:val="000A20CA"/>
    <w:rsid w:val="000A371F"/>
    <w:rsid w:val="000A4B76"/>
    <w:rsid w:val="000A671A"/>
    <w:rsid w:val="000A77CC"/>
    <w:rsid w:val="000B3B9A"/>
    <w:rsid w:val="000B66D7"/>
    <w:rsid w:val="000C1423"/>
    <w:rsid w:val="000C397F"/>
    <w:rsid w:val="000C44E0"/>
    <w:rsid w:val="000D2B78"/>
    <w:rsid w:val="000D5EE6"/>
    <w:rsid w:val="000D688D"/>
    <w:rsid w:val="000D724F"/>
    <w:rsid w:val="000E0F61"/>
    <w:rsid w:val="000E3950"/>
    <w:rsid w:val="000F28BB"/>
    <w:rsid w:val="000F3C8C"/>
    <w:rsid w:val="000F688A"/>
    <w:rsid w:val="0010226D"/>
    <w:rsid w:val="00104106"/>
    <w:rsid w:val="00104E33"/>
    <w:rsid w:val="00107AB0"/>
    <w:rsid w:val="00107BA0"/>
    <w:rsid w:val="0011330D"/>
    <w:rsid w:val="00117C55"/>
    <w:rsid w:val="00121771"/>
    <w:rsid w:val="00126D93"/>
    <w:rsid w:val="00132523"/>
    <w:rsid w:val="00134036"/>
    <w:rsid w:val="00136F8D"/>
    <w:rsid w:val="0014219B"/>
    <w:rsid w:val="00145550"/>
    <w:rsid w:val="001466FB"/>
    <w:rsid w:val="001469EA"/>
    <w:rsid w:val="00147710"/>
    <w:rsid w:val="001551BB"/>
    <w:rsid w:val="00156C34"/>
    <w:rsid w:val="00161569"/>
    <w:rsid w:val="00162DAE"/>
    <w:rsid w:val="001632C7"/>
    <w:rsid w:val="00164E31"/>
    <w:rsid w:val="001879E9"/>
    <w:rsid w:val="00190320"/>
    <w:rsid w:val="0019227E"/>
    <w:rsid w:val="00195907"/>
    <w:rsid w:val="001A2A9A"/>
    <w:rsid w:val="001A2EDE"/>
    <w:rsid w:val="001A4168"/>
    <w:rsid w:val="001A4894"/>
    <w:rsid w:val="001A6800"/>
    <w:rsid w:val="001B3E56"/>
    <w:rsid w:val="001B5565"/>
    <w:rsid w:val="001C40F4"/>
    <w:rsid w:val="001C4C71"/>
    <w:rsid w:val="001D0C20"/>
    <w:rsid w:val="001D39A7"/>
    <w:rsid w:val="001D4554"/>
    <w:rsid w:val="001D50B1"/>
    <w:rsid w:val="001D7523"/>
    <w:rsid w:val="001E2B61"/>
    <w:rsid w:val="001E7597"/>
    <w:rsid w:val="0020784B"/>
    <w:rsid w:val="00213161"/>
    <w:rsid w:val="00213AFF"/>
    <w:rsid w:val="00221DBF"/>
    <w:rsid w:val="00226F48"/>
    <w:rsid w:val="00230DA0"/>
    <w:rsid w:val="002369A5"/>
    <w:rsid w:val="002428F2"/>
    <w:rsid w:val="002442C8"/>
    <w:rsid w:val="002443A3"/>
    <w:rsid w:val="002471E5"/>
    <w:rsid w:val="002471FB"/>
    <w:rsid w:val="002514E8"/>
    <w:rsid w:val="00256F58"/>
    <w:rsid w:val="002645F6"/>
    <w:rsid w:val="00265995"/>
    <w:rsid w:val="00266CC9"/>
    <w:rsid w:val="00267204"/>
    <w:rsid w:val="002755F2"/>
    <w:rsid w:val="0028528E"/>
    <w:rsid w:val="00285948"/>
    <w:rsid w:val="00285A0F"/>
    <w:rsid w:val="002A2B41"/>
    <w:rsid w:val="002A36DD"/>
    <w:rsid w:val="002A7F30"/>
    <w:rsid w:val="002B0ED4"/>
    <w:rsid w:val="002B26BC"/>
    <w:rsid w:val="002B2A1F"/>
    <w:rsid w:val="002B3639"/>
    <w:rsid w:val="002B3674"/>
    <w:rsid w:val="002B40FD"/>
    <w:rsid w:val="002B4D86"/>
    <w:rsid w:val="002B5405"/>
    <w:rsid w:val="002B5662"/>
    <w:rsid w:val="002B6485"/>
    <w:rsid w:val="002B6D2A"/>
    <w:rsid w:val="002C0004"/>
    <w:rsid w:val="002C1594"/>
    <w:rsid w:val="002D3E72"/>
    <w:rsid w:val="002D57A2"/>
    <w:rsid w:val="002E11F8"/>
    <w:rsid w:val="002E3800"/>
    <w:rsid w:val="002F05F0"/>
    <w:rsid w:val="002F067B"/>
    <w:rsid w:val="002F0A18"/>
    <w:rsid w:val="002F1BEA"/>
    <w:rsid w:val="002F6189"/>
    <w:rsid w:val="00303E29"/>
    <w:rsid w:val="003073D6"/>
    <w:rsid w:val="003116FB"/>
    <w:rsid w:val="0031261E"/>
    <w:rsid w:val="00317C38"/>
    <w:rsid w:val="00322216"/>
    <w:rsid w:val="00331C8D"/>
    <w:rsid w:val="00331DEF"/>
    <w:rsid w:val="003324F3"/>
    <w:rsid w:val="00333D56"/>
    <w:rsid w:val="003340D4"/>
    <w:rsid w:val="0033487E"/>
    <w:rsid w:val="003374A5"/>
    <w:rsid w:val="00342BF7"/>
    <w:rsid w:val="003435FD"/>
    <w:rsid w:val="00343D5C"/>
    <w:rsid w:val="00344509"/>
    <w:rsid w:val="00352202"/>
    <w:rsid w:val="003526C8"/>
    <w:rsid w:val="00356511"/>
    <w:rsid w:val="003640B4"/>
    <w:rsid w:val="00370156"/>
    <w:rsid w:val="0037762B"/>
    <w:rsid w:val="00382E39"/>
    <w:rsid w:val="00385A7E"/>
    <w:rsid w:val="00385F35"/>
    <w:rsid w:val="00391E43"/>
    <w:rsid w:val="00397F45"/>
    <w:rsid w:val="003A218D"/>
    <w:rsid w:val="003A2802"/>
    <w:rsid w:val="003A466F"/>
    <w:rsid w:val="003B55F7"/>
    <w:rsid w:val="003C12B0"/>
    <w:rsid w:val="003C23E3"/>
    <w:rsid w:val="003C5752"/>
    <w:rsid w:val="003C5E95"/>
    <w:rsid w:val="003C6BC4"/>
    <w:rsid w:val="003D14EB"/>
    <w:rsid w:val="003D2C4F"/>
    <w:rsid w:val="003D301E"/>
    <w:rsid w:val="003D4070"/>
    <w:rsid w:val="003E5F8F"/>
    <w:rsid w:val="003E74B2"/>
    <w:rsid w:val="003F1B58"/>
    <w:rsid w:val="003F59ED"/>
    <w:rsid w:val="0040052E"/>
    <w:rsid w:val="00400FF4"/>
    <w:rsid w:val="00403507"/>
    <w:rsid w:val="004133D5"/>
    <w:rsid w:val="004144A5"/>
    <w:rsid w:val="00414A3E"/>
    <w:rsid w:val="004156A4"/>
    <w:rsid w:val="004212EF"/>
    <w:rsid w:val="00421608"/>
    <w:rsid w:val="004253CE"/>
    <w:rsid w:val="0042691F"/>
    <w:rsid w:val="004308B8"/>
    <w:rsid w:val="00431831"/>
    <w:rsid w:val="00431FE7"/>
    <w:rsid w:val="00432B97"/>
    <w:rsid w:val="0043346B"/>
    <w:rsid w:val="00436791"/>
    <w:rsid w:val="00437609"/>
    <w:rsid w:val="00442DEC"/>
    <w:rsid w:val="00443018"/>
    <w:rsid w:val="00447860"/>
    <w:rsid w:val="00447D42"/>
    <w:rsid w:val="00450F39"/>
    <w:rsid w:val="004517E5"/>
    <w:rsid w:val="00453DAC"/>
    <w:rsid w:val="004610A6"/>
    <w:rsid w:val="00461A7F"/>
    <w:rsid w:val="00463B0E"/>
    <w:rsid w:val="004653AB"/>
    <w:rsid w:val="00470692"/>
    <w:rsid w:val="0047419D"/>
    <w:rsid w:val="004760BB"/>
    <w:rsid w:val="00481E8B"/>
    <w:rsid w:val="0048328F"/>
    <w:rsid w:val="00483ABE"/>
    <w:rsid w:val="0048484C"/>
    <w:rsid w:val="0049307E"/>
    <w:rsid w:val="004A385E"/>
    <w:rsid w:val="004A6849"/>
    <w:rsid w:val="004B1D1D"/>
    <w:rsid w:val="004C2E8F"/>
    <w:rsid w:val="004C3C10"/>
    <w:rsid w:val="004C4B9D"/>
    <w:rsid w:val="004C554D"/>
    <w:rsid w:val="004C7C02"/>
    <w:rsid w:val="004D10AF"/>
    <w:rsid w:val="004D2147"/>
    <w:rsid w:val="004D4254"/>
    <w:rsid w:val="004D4A2A"/>
    <w:rsid w:val="004D4F44"/>
    <w:rsid w:val="004E2A04"/>
    <w:rsid w:val="004E6573"/>
    <w:rsid w:val="004F006B"/>
    <w:rsid w:val="004F4E5C"/>
    <w:rsid w:val="00501B58"/>
    <w:rsid w:val="00501DD7"/>
    <w:rsid w:val="0050581F"/>
    <w:rsid w:val="00505AA6"/>
    <w:rsid w:val="005073F4"/>
    <w:rsid w:val="0051134C"/>
    <w:rsid w:val="00513117"/>
    <w:rsid w:val="005140F4"/>
    <w:rsid w:val="00517791"/>
    <w:rsid w:val="00522382"/>
    <w:rsid w:val="0052238D"/>
    <w:rsid w:val="00523041"/>
    <w:rsid w:val="005274C0"/>
    <w:rsid w:val="005341EE"/>
    <w:rsid w:val="00541D6A"/>
    <w:rsid w:val="00544450"/>
    <w:rsid w:val="0054567A"/>
    <w:rsid w:val="005456C4"/>
    <w:rsid w:val="00551AD6"/>
    <w:rsid w:val="00556AF6"/>
    <w:rsid w:val="00557826"/>
    <w:rsid w:val="005612F7"/>
    <w:rsid w:val="005716A4"/>
    <w:rsid w:val="005731FC"/>
    <w:rsid w:val="0057360A"/>
    <w:rsid w:val="0057469B"/>
    <w:rsid w:val="005752D0"/>
    <w:rsid w:val="00591417"/>
    <w:rsid w:val="00592C7A"/>
    <w:rsid w:val="005959C2"/>
    <w:rsid w:val="00595F40"/>
    <w:rsid w:val="005A19E9"/>
    <w:rsid w:val="005A1C7C"/>
    <w:rsid w:val="005B048D"/>
    <w:rsid w:val="005B0D08"/>
    <w:rsid w:val="005B459B"/>
    <w:rsid w:val="005B595C"/>
    <w:rsid w:val="005C3C1C"/>
    <w:rsid w:val="005C5594"/>
    <w:rsid w:val="005D49F9"/>
    <w:rsid w:val="005D5BF9"/>
    <w:rsid w:val="005D7DEB"/>
    <w:rsid w:val="005E283D"/>
    <w:rsid w:val="005E28DF"/>
    <w:rsid w:val="005E3FA2"/>
    <w:rsid w:val="005E5794"/>
    <w:rsid w:val="005E705C"/>
    <w:rsid w:val="005F0171"/>
    <w:rsid w:val="005F1F6F"/>
    <w:rsid w:val="005F2C51"/>
    <w:rsid w:val="005F4965"/>
    <w:rsid w:val="005F57BD"/>
    <w:rsid w:val="005F644D"/>
    <w:rsid w:val="006023C9"/>
    <w:rsid w:val="0060496A"/>
    <w:rsid w:val="0060642D"/>
    <w:rsid w:val="00615B31"/>
    <w:rsid w:val="00617009"/>
    <w:rsid w:val="0061762C"/>
    <w:rsid w:val="00627B8C"/>
    <w:rsid w:val="006352F4"/>
    <w:rsid w:val="006377DC"/>
    <w:rsid w:val="00641B06"/>
    <w:rsid w:val="00650784"/>
    <w:rsid w:val="006526A4"/>
    <w:rsid w:val="0065354D"/>
    <w:rsid w:val="00653D9E"/>
    <w:rsid w:val="0065500E"/>
    <w:rsid w:val="00657939"/>
    <w:rsid w:val="00657A74"/>
    <w:rsid w:val="00664AC8"/>
    <w:rsid w:val="00664DA7"/>
    <w:rsid w:val="00665133"/>
    <w:rsid w:val="00666B4F"/>
    <w:rsid w:val="006722DA"/>
    <w:rsid w:val="00675D81"/>
    <w:rsid w:val="00676399"/>
    <w:rsid w:val="00680EB7"/>
    <w:rsid w:val="006822D3"/>
    <w:rsid w:val="00684362"/>
    <w:rsid w:val="006A00AC"/>
    <w:rsid w:val="006A0621"/>
    <w:rsid w:val="006A481A"/>
    <w:rsid w:val="006A547C"/>
    <w:rsid w:val="006B1D30"/>
    <w:rsid w:val="006B7A4E"/>
    <w:rsid w:val="006C0761"/>
    <w:rsid w:val="006C1133"/>
    <w:rsid w:val="006C2FCA"/>
    <w:rsid w:val="006C641B"/>
    <w:rsid w:val="006D0A6C"/>
    <w:rsid w:val="006D497F"/>
    <w:rsid w:val="006E7D65"/>
    <w:rsid w:val="006F0189"/>
    <w:rsid w:val="006F24F7"/>
    <w:rsid w:val="00700930"/>
    <w:rsid w:val="007028BF"/>
    <w:rsid w:val="0070498F"/>
    <w:rsid w:val="00704AF6"/>
    <w:rsid w:val="00715B3C"/>
    <w:rsid w:val="00720DE8"/>
    <w:rsid w:val="00727167"/>
    <w:rsid w:val="007272C8"/>
    <w:rsid w:val="00731647"/>
    <w:rsid w:val="00735D9B"/>
    <w:rsid w:val="00735F01"/>
    <w:rsid w:val="00736F45"/>
    <w:rsid w:val="00737E27"/>
    <w:rsid w:val="00742C13"/>
    <w:rsid w:val="007503C4"/>
    <w:rsid w:val="0075325D"/>
    <w:rsid w:val="0075703B"/>
    <w:rsid w:val="007578DA"/>
    <w:rsid w:val="007608E4"/>
    <w:rsid w:val="00761083"/>
    <w:rsid w:val="007647BA"/>
    <w:rsid w:val="00764CB3"/>
    <w:rsid w:val="00764EBD"/>
    <w:rsid w:val="007671B8"/>
    <w:rsid w:val="0077668F"/>
    <w:rsid w:val="007767A9"/>
    <w:rsid w:val="00780C06"/>
    <w:rsid w:val="00781364"/>
    <w:rsid w:val="00786CFB"/>
    <w:rsid w:val="00792050"/>
    <w:rsid w:val="00797584"/>
    <w:rsid w:val="00797FF9"/>
    <w:rsid w:val="007A32A1"/>
    <w:rsid w:val="007A4A96"/>
    <w:rsid w:val="007A4F66"/>
    <w:rsid w:val="007A7695"/>
    <w:rsid w:val="007B371E"/>
    <w:rsid w:val="007B4783"/>
    <w:rsid w:val="007B4891"/>
    <w:rsid w:val="007B5C98"/>
    <w:rsid w:val="007C06E7"/>
    <w:rsid w:val="007C2A8B"/>
    <w:rsid w:val="007C3A3A"/>
    <w:rsid w:val="007C4499"/>
    <w:rsid w:val="007C53B0"/>
    <w:rsid w:val="007C6368"/>
    <w:rsid w:val="007C6476"/>
    <w:rsid w:val="007D577B"/>
    <w:rsid w:val="007E49E4"/>
    <w:rsid w:val="007E7D3E"/>
    <w:rsid w:val="007F2548"/>
    <w:rsid w:val="007F550B"/>
    <w:rsid w:val="00803131"/>
    <w:rsid w:val="0080353D"/>
    <w:rsid w:val="00807DC1"/>
    <w:rsid w:val="00815A39"/>
    <w:rsid w:val="00815D0E"/>
    <w:rsid w:val="00820BAA"/>
    <w:rsid w:val="0082279B"/>
    <w:rsid w:val="0082484A"/>
    <w:rsid w:val="008300C1"/>
    <w:rsid w:val="00830EAA"/>
    <w:rsid w:val="00832D8F"/>
    <w:rsid w:val="00835034"/>
    <w:rsid w:val="00836E43"/>
    <w:rsid w:val="008377AD"/>
    <w:rsid w:val="008414C5"/>
    <w:rsid w:val="00851E5F"/>
    <w:rsid w:val="0085209E"/>
    <w:rsid w:val="00866044"/>
    <w:rsid w:val="0087722B"/>
    <w:rsid w:val="0087732E"/>
    <w:rsid w:val="00893F44"/>
    <w:rsid w:val="00894D6A"/>
    <w:rsid w:val="0089520A"/>
    <w:rsid w:val="008A311F"/>
    <w:rsid w:val="008B5CEC"/>
    <w:rsid w:val="008C1A40"/>
    <w:rsid w:val="008C6D7D"/>
    <w:rsid w:val="008D0DF3"/>
    <w:rsid w:val="008D2A61"/>
    <w:rsid w:val="008D2F56"/>
    <w:rsid w:val="008D7E3C"/>
    <w:rsid w:val="008E39AE"/>
    <w:rsid w:val="008E6F37"/>
    <w:rsid w:val="008F2C7D"/>
    <w:rsid w:val="008F6253"/>
    <w:rsid w:val="0090337A"/>
    <w:rsid w:val="00905D07"/>
    <w:rsid w:val="00906E4E"/>
    <w:rsid w:val="00911F4E"/>
    <w:rsid w:val="00916544"/>
    <w:rsid w:val="009167C1"/>
    <w:rsid w:val="0092226F"/>
    <w:rsid w:val="00922726"/>
    <w:rsid w:val="009305DB"/>
    <w:rsid w:val="00931ECF"/>
    <w:rsid w:val="00950A3E"/>
    <w:rsid w:val="00952FF9"/>
    <w:rsid w:val="00953811"/>
    <w:rsid w:val="00957718"/>
    <w:rsid w:val="009607DB"/>
    <w:rsid w:val="00961B69"/>
    <w:rsid w:val="0096795C"/>
    <w:rsid w:val="009732FC"/>
    <w:rsid w:val="009837F5"/>
    <w:rsid w:val="00986F95"/>
    <w:rsid w:val="00987600"/>
    <w:rsid w:val="00994F63"/>
    <w:rsid w:val="009974CA"/>
    <w:rsid w:val="009A022A"/>
    <w:rsid w:val="009A2025"/>
    <w:rsid w:val="009A2E7C"/>
    <w:rsid w:val="009A5E5C"/>
    <w:rsid w:val="009A6109"/>
    <w:rsid w:val="009B4FAF"/>
    <w:rsid w:val="009C0E6E"/>
    <w:rsid w:val="009C3192"/>
    <w:rsid w:val="009C56ED"/>
    <w:rsid w:val="009C58B6"/>
    <w:rsid w:val="009D3B4B"/>
    <w:rsid w:val="009D495C"/>
    <w:rsid w:val="009D6EE5"/>
    <w:rsid w:val="009E0E35"/>
    <w:rsid w:val="009E1655"/>
    <w:rsid w:val="009E4000"/>
    <w:rsid w:val="009F0385"/>
    <w:rsid w:val="009F2494"/>
    <w:rsid w:val="009F38AE"/>
    <w:rsid w:val="009F42D3"/>
    <w:rsid w:val="00A076CA"/>
    <w:rsid w:val="00A1709F"/>
    <w:rsid w:val="00A171AD"/>
    <w:rsid w:val="00A20CCA"/>
    <w:rsid w:val="00A240CC"/>
    <w:rsid w:val="00A27AEF"/>
    <w:rsid w:val="00A50F49"/>
    <w:rsid w:val="00A5161B"/>
    <w:rsid w:val="00A55886"/>
    <w:rsid w:val="00A61913"/>
    <w:rsid w:val="00A622D2"/>
    <w:rsid w:val="00A7379B"/>
    <w:rsid w:val="00A73FA4"/>
    <w:rsid w:val="00A765AA"/>
    <w:rsid w:val="00A827DD"/>
    <w:rsid w:val="00A84A1B"/>
    <w:rsid w:val="00A948D3"/>
    <w:rsid w:val="00A95ADA"/>
    <w:rsid w:val="00AA02F3"/>
    <w:rsid w:val="00AA154B"/>
    <w:rsid w:val="00AA192E"/>
    <w:rsid w:val="00AA4ACF"/>
    <w:rsid w:val="00AA585F"/>
    <w:rsid w:val="00AA60AD"/>
    <w:rsid w:val="00AA7733"/>
    <w:rsid w:val="00AB200B"/>
    <w:rsid w:val="00AB3C5A"/>
    <w:rsid w:val="00AB3DA5"/>
    <w:rsid w:val="00AB57DA"/>
    <w:rsid w:val="00AB66D8"/>
    <w:rsid w:val="00AB7E64"/>
    <w:rsid w:val="00AC13F9"/>
    <w:rsid w:val="00AC16F8"/>
    <w:rsid w:val="00AC5237"/>
    <w:rsid w:val="00AD7940"/>
    <w:rsid w:val="00AE0C12"/>
    <w:rsid w:val="00AE30C2"/>
    <w:rsid w:val="00AE3464"/>
    <w:rsid w:val="00AE4BB0"/>
    <w:rsid w:val="00AE6144"/>
    <w:rsid w:val="00AE6AEC"/>
    <w:rsid w:val="00AF06C6"/>
    <w:rsid w:val="00AF0FE2"/>
    <w:rsid w:val="00AF14E7"/>
    <w:rsid w:val="00AF3CEE"/>
    <w:rsid w:val="00AF3F28"/>
    <w:rsid w:val="00AF6E5A"/>
    <w:rsid w:val="00B00642"/>
    <w:rsid w:val="00B0147E"/>
    <w:rsid w:val="00B1320F"/>
    <w:rsid w:val="00B154D3"/>
    <w:rsid w:val="00B16AD4"/>
    <w:rsid w:val="00B22E2D"/>
    <w:rsid w:val="00B25490"/>
    <w:rsid w:val="00B266EF"/>
    <w:rsid w:val="00B26ED9"/>
    <w:rsid w:val="00B30C5D"/>
    <w:rsid w:val="00B3260A"/>
    <w:rsid w:val="00B339A0"/>
    <w:rsid w:val="00B33C19"/>
    <w:rsid w:val="00B352A1"/>
    <w:rsid w:val="00B3642D"/>
    <w:rsid w:val="00B37027"/>
    <w:rsid w:val="00B373D9"/>
    <w:rsid w:val="00B37CF6"/>
    <w:rsid w:val="00B40C94"/>
    <w:rsid w:val="00B432A4"/>
    <w:rsid w:val="00B44093"/>
    <w:rsid w:val="00B46A8E"/>
    <w:rsid w:val="00B47868"/>
    <w:rsid w:val="00B47CA8"/>
    <w:rsid w:val="00B52502"/>
    <w:rsid w:val="00B52809"/>
    <w:rsid w:val="00B56DDA"/>
    <w:rsid w:val="00B604ED"/>
    <w:rsid w:val="00B604FE"/>
    <w:rsid w:val="00B639C4"/>
    <w:rsid w:val="00B642F5"/>
    <w:rsid w:val="00B66B09"/>
    <w:rsid w:val="00B70D92"/>
    <w:rsid w:val="00B72DEF"/>
    <w:rsid w:val="00B823E1"/>
    <w:rsid w:val="00B849DC"/>
    <w:rsid w:val="00B9346C"/>
    <w:rsid w:val="00B94C63"/>
    <w:rsid w:val="00B95433"/>
    <w:rsid w:val="00BA11BC"/>
    <w:rsid w:val="00BA7339"/>
    <w:rsid w:val="00BA79F5"/>
    <w:rsid w:val="00BB08AD"/>
    <w:rsid w:val="00BB39D2"/>
    <w:rsid w:val="00BB3E35"/>
    <w:rsid w:val="00BB5DBC"/>
    <w:rsid w:val="00BB7C6C"/>
    <w:rsid w:val="00BC3252"/>
    <w:rsid w:val="00BC4DAE"/>
    <w:rsid w:val="00BC51A5"/>
    <w:rsid w:val="00BD365A"/>
    <w:rsid w:val="00BD5DFD"/>
    <w:rsid w:val="00BE0AA7"/>
    <w:rsid w:val="00BE1BCB"/>
    <w:rsid w:val="00BE302B"/>
    <w:rsid w:val="00BE59DF"/>
    <w:rsid w:val="00BE6005"/>
    <w:rsid w:val="00BE6708"/>
    <w:rsid w:val="00BF1618"/>
    <w:rsid w:val="00BF425D"/>
    <w:rsid w:val="00BF45D4"/>
    <w:rsid w:val="00BF7E60"/>
    <w:rsid w:val="00C079D6"/>
    <w:rsid w:val="00C13B86"/>
    <w:rsid w:val="00C13CB2"/>
    <w:rsid w:val="00C14AEA"/>
    <w:rsid w:val="00C154DB"/>
    <w:rsid w:val="00C20A1E"/>
    <w:rsid w:val="00C24812"/>
    <w:rsid w:val="00C26096"/>
    <w:rsid w:val="00C357B8"/>
    <w:rsid w:val="00C35EEE"/>
    <w:rsid w:val="00C3648A"/>
    <w:rsid w:val="00C42294"/>
    <w:rsid w:val="00C42A79"/>
    <w:rsid w:val="00C447EC"/>
    <w:rsid w:val="00C44C50"/>
    <w:rsid w:val="00C4772F"/>
    <w:rsid w:val="00C64A54"/>
    <w:rsid w:val="00C677EC"/>
    <w:rsid w:val="00C71869"/>
    <w:rsid w:val="00C75BAE"/>
    <w:rsid w:val="00C76455"/>
    <w:rsid w:val="00C81FCF"/>
    <w:rsid w:val="00C822AD"/>
    <w:rsid w:val="00C830D6"/>
    <w:rsid w:val="00C83CBD"/>
    <w:rsid w:val="00C93094"/>
    <w:rsid w:val="00CA16A3"/>
    <w:rsid w:val="00CA16D8"/>
    <w:rsid w:val="00CA29C3"/>
    <w:rsid w:val="00CA7F4C"/>
    <w:rsid w:val="00CB108D"/>
    <w:rsid w:val="00CB1AA4"/>
    <w:rsid w:val="00CB416E"/>
    <w:rsid w:val="00CB6D82"/>
    <w:rsid w:val="00CC08B7"/>
    <w:rsid w:val="00CC2D3C"/>
    <w:rsid w:val="00CC36D6"/>
    <w:rsid w:val="00CC6CAA"/>
    <w:rsid w:val="00CC7A0F"/>
    <w:rsid w:val="00CD0006"/>
    <w:rsid w:val="00CD147E"/>
    <w:rsid w:val="00CD4BA3"/>
    <w:rsid w:val="00CD6130"/>
    <w:rsid w:val="00CD7326"/>
    <w:rsid w:val="00CE0E21"/>
    <w:rsid w:val="00CE0FFB"/>
    <w:rsid w:val="00CE35BF"/>
    <w:rsid w:val="00CE6292"/>
    <w:rsid w:val="00D00287"/>
    <w:rsid w:val="00D01A13"/>
    <w:rsid w:val="00D0215A"/>
    <w:rsid w:val="00D04FB3"/>
    <w:rsid w:val="00D0550A"/>
    <w:rsid w:val="00D07D7E"/>
    <w:rsid w:val="00D16F90"/>
    <w:rsid w:val="00D206D2"/>
    <w:rsid w:val="00D20988"/>
    <w:rsid w:val="00D22016"/>
    <w:rsid w:val="00D24306"/>
    <w:rsid w:val="00D2650F"/>
    <w:rsid w:val="00D273DD"/>
    <w:rsid w:val="00D317A9"/>
    <w:rsid w:val="00D4047D"/>
    <w:rsid w:val="00D42020"/>
    <w:rsid w:val="00D42F6E"/>
    <w:rsid w:val="00D44A91"/>
    <w:rsid w:val="00D52AF4"/>
    <w:rsid w:val="00D646A9"/>
    <w:rsid w:val="00D64A4A"/>
    <w:rsid w:val="00D657C7"/>
    <w:rsid w:val="00D6670A"/>
    <w:rsid w:val="00D67890"/>
    <w:rsid w:val="00D7054C"/>
    <w:rsid w:val="00D71E16"/>
    <w:rsid w:val="00D71EBA"/>
    <w:rsid w:val="00D81D3E"/>
    <w:rsid w:val="00D82E41"/>
    <w:rsid w:val="00D85629"/>
    <w:rsid w:val="00D92978"/>
    <w:rsid w:val="00D95BDE"/>
    <w:rsid w:val="00DA1271"/>
    <w:rsid w:val="00DA2513"/>
    <w:rsid w:val="00DA310C"/>
    <w:rsid w:val="00DB00EF"/>
    <w:rsid w:val="00DB2250"/>
    <w:rsid w:val="00DB5678"/>
    <w:rsid w:val="00DC1C68"/>
    <w:rsid w:val="00DC2C24"/>
    <w:rsid w:val="00DC4486"/>
    <w:rsid w:val="00DC49C9"/>
    <w:rsid w:val="00DC542A"/>
    <w:rsid w:val="00DD02C2"/>
    <w:rsid w:val="00DD0815"/>
    <w:rsid w:val="00DD0B5C"/>
    <w:rsid w:val="00DD6F3B"/>
    <w:rsid w:val="00DE4FF3"/>
    <w:rsid w:val="00DE51A9"/>
    <w:rsid w:val="00DE7866"/>
    <w:rsid w:val="00DF5B17"/>
    <w:rsid w:val="00DF5D71"/>
    <w:rsid w:val="00DF7C3B"/>
    <w:rsid w:val="00E01135"/>
    <w:rsid w:val="00E05598"/>
    <w:rsid w:val="00E136CB"/>
    <w:rsid w:val="00E156F9"/>
    <w:rsid w:val="00E16EB5"/>
    <w:rsid w:val="00E16F82"/>
    <w:rsid w:val="00E17C0F"/>
    <w:rsid w:val="00E22F49"/>
    <w:rsid w:val="00E23A0F"/>
    <w:rsid w:val="00E31E3B"/>
    <w:rsid w:val="00E4070A"/>
    <w:rsid w:val="00E41BC8"/>
    <w:rsid w:val="00E42037"/>
    <w:rsid w:val="00E4426A"/>
    <w:rsid w:val="00E44D8D"/>
    <w:rsid w:val="00E50BEA"/>
    <w:rsid w:val="00E522C7"/>
    <w:rsid w:val="00E56C7A"/>
    <w:rsid w:val="00E56CC0"/>
    <w:rsid w:val="00E56FED"/>
    <w:rsid w:val="00E67622"/>
    <w:rsid w:val="00E7090D"/>
    <w:rsid w:val="00E73991"/>
    <w:rsid w:val="00E81C80"/>
    <w:rsid w:val="00E87B62"/>
    <w:rsid w:val="00E93FA5"/>
    <w:rsid w:val="00EA26D0"/>
    <w:rsid w:val="00EA2FA6"/>
    <w:rsid w:val="00EA3D56"/>
    <w:rsid w:val="00EB0027"/>
    <w:rsid w:val="00EB4A7F"/>
    <w:rsid w:val="00EB505C"/>
    <w:rsid w:val="00EB6B0B"/>
    <w:rsid w:val="00EB7AED"/>
    <w:rsid w:val="00EC083B"/>
    <w:rsid w:val="00EC0AAB"/>
    <w:rsid w:val="00EC3C3A"/>
    <w:rsid w:val="00ED0C2A"/>
    <w:rsid w:val="00ED3AA3"/>
    <w:rsid w:val="00ED3F25"/>
    <w:rsid w:val="00ED68B9"/>
    <w:rsid w:val="00EE150B"/>
    <w:rsid w:val="00EE4B8C"/>
    <w:rsid w:val="00EE6AD2"/>
    <w:rsid w:val="00F0338F"/>
    <w:rsid w:val="00F075DF"/>
    <w:rsid w:val="00F128E2"/>
    <w:rsid w:val="00F133A1"/>
    <w:rsid w:val="00F1559C"/>
    <w:rsid w:val="00F1595B"/>
    <w:rsid w:val="00F1746C"/>
    <w:rsid w:val="00F17A54"/>
    <w:rsid w:val="00F20147"/>
    <w:rsid w:val="00F207BD"/>
    <w:rsid w:val="00F242BD"/>
    <w:rsid w:val="00F323CF"/>
    <w:rsid w:val="00F3375D"/>
    <w:rsid w:val="00F41A9C"/>
    <w:rsid w:val="00F42854"/>
    <w:rsid w:val="00F436CC"/>
    <w:rsid w:val="00F461E9"/>
    <w:rsid w:val="00F501C7"/>
    <w:rsid w:val="00F503DE"/>
    <w:rsid w:val="00F50F9B"/>
    <w:rsid w:val="00F54110"/>
    <w:rsid w:val="00F55B49"/>
    <w:rsid w:val="00F568C6"/>
    <w:rsid w:val="00F5720A"/>
    <w:rsid w:val="00F604CA"/>
    <w:rsid w:val="00F618DA"/>
    <w:rsid w:val="00F63C76"/>
    <w:rsid w:val="00F66551"/>
    <w:rsid w:val="00F7150E"/>
    <w:rsid w:val="00F72CD8"/>
    <w:rsid w:val="00F8075E"/>
    <w:rsid w:val="00F8722C"/>
    <w:rsid w:val="00F90CD9"/>
    <w:rsid w:val="00FA0514"/>
    <w:rsid w:val="00FA11D6"/>
    <w:rsid w:val="00FA232D"/>
    <w:rsid w:val="00FB1DAE"/>
    <w:rsid w:val="00FB321E"/>
    <w:rsid w:val="00FB3D4A"/>
    <w:rsid w:val="00FB7942"/>
    <w:rsid w:val="00FB7D1F"/>
    <w:rsid w:val="00FD2E29"/>
    <w:rsid w:val="00FD2F3D"/>
    <w:rsid w:val="00FE250A"/>
    <w:rsid w:val="00FE2818"/>
    <w:rsid w:val="00FE6B64"/>
    <w:rsid w:val="00FF115F"/>
    <w:rsid w:val="00FF75E9"/>
    <w:rsid w:val="00FF76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1FA57"/>
  <w15:docId w15:val="{3B63DE03-0A35-446E-B6E7-03452D89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6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link w:val="Heading1Char"/>
    <w:uiPriority w:val="9"/>
    <w:qFormat/>
    <w:rsid w:val="004D4F4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F6E"/>
    <w:pPr>
      <w:tabs>
        <w:tab w:val="center" w:pos="4153"/>
        <w:tab w:val="right" w:pos="8306"/>
      </w:tabs>
    </w:pPr>
  </w:style>
  <w:style w:type="character" w:customStyle="1" w:styleId="HeaderChar">
    <w:name w:val="Header Char"/>
    <w:basedOn w:val="DefaultParagraphFont"/>
    <w:link w:val="Header"/>
    <w:uiPriority w:val="99"/>
    <w:rsid w:val="00D42F6E"/>
    <w:rPr>
      <w:rFonts w:ascii="Times New Roman" w:eastAsia="Times New Roman" w:hAnsi="Times New Roman" w:cs="Times New Roman"/>
      <w:sz w:val="24"/>
      <w:szCs w:val="24"/>
      <w:lang w:eastAsia="lv-LV"/>
    </w:rPr>
  </w:style>
  <w:style w:type="character" w:styleId="PageNumber">
    <w:name w:val="page number"/>
    <w:basedOn w:val="DefaultParagraphFont"/>
    <w:rsid w:val="00D42F6E"/>
  </w:style>
  <w:style w:type="paragraph" w:customStyle="1" w:styleId="naisf">
    <w:name w:val="naisf"/>
    <w:basedOn w:val="Normal"/>
    <w:rsid w:val="00D42F6E"/>
    <w:pPr>
      <w:spacing w:before="75" w:after="75"/>
      <w:ind w:firstLine="375"/>
      <w:jc w:val="both"/>
    </w:pPr>
  </w:style>
  <w:style w:type="paragraph" w:customStyle="1" w:styleId="naisnod">
    <w:name w:val="naisnod"/>
    <w:basedOn w:val="Normal"/>
    <w:rsid w:val="00D42F6E"/>
    <w:pPr>
      <w:spacing w:before="150" w:after="150"/>
      <w:jc w:val="center"/>
    </w:pPr>
    <w:rPr>
      <w:b/>
      <w:bCs/>
    </w:rPr>
  </w:style>
  <w:style w:type="paragraph" w:customStyle="1" w:styleId="naislab">
    <w:name w:val="naislab"/>
    <w:basedOn w:val="Normal"/>
    <w:rsid w:val="00D42F6E"/>
    <w:pPr>
      <w:spacing w:before="75" w:after="75"/>
      <w:jc w:val="right"/>
    </w:pPr>
  </w:style>
  <w:style w:type="paragraph" w:customStyle="1" w:styleId="naiskr">
    <w:name w:val="naiskr"/>
    <w:basedOn w:val="Normal"/>
    <w:rsid w:val="00D42F6E"/>
    <w:pPr>
      <w:spacing w:before="75" w:after="75"/>
    </w:pPr>
  </w:style>
  <w:style w:type="table" w:styleId="TableGrid">
    <w:name w:val="Table Grid"/>
    <w:basedOn w:val="TableNormal"/>
    <w:uiPriority w:val="39"/>
    <w:rsid w:val="00D42F6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D42F6E"/>
    <w:rPr>
      <w:sz w:val="20"/>
      <w:szCs w:val="20"/>
    </w:rPr>
  </w:style>
  <w:style w:type="character" w:customStyle="1" w:styleId="FootnoteTextChar">
    <w:name w:val="Footnote Text Char"/>
    <w:basedOn w:val="DefaultParagraphFont"/>
    <w:link w:val="FootnoteText"/>
    <w:uiPriority w:val="99"/>
    <w:semiHidden/>
    <w:rsid w:val="00D42F6E"/>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D42F6E"/>
    <w:pPr>
      <w:tabs>
        <w:tab w:val="center" w:pos="4153"/>
        <w:tab w:val="right" w:pos="8306"/>
      </w:tabs>
    </w:pPr>
  </w:style>
  <w:style w:type="character" w:customStyle="1" w:styleId="FooterChar">
    <w:name w:val="Footer Char"/>
    <w:basedOn w:val="DefaultParagraphFont"/>
    <w:link w:val="Footer"/>
    <w:uiPriority w:val="99"/>
    <w:rsid w:val="00D42F6E"/>
    <w:rPr>
      <w:rFonts w:ascii="Times New Roman" w:eastAsia="Times New Roman" w:hAnsi="Times New Roman" w:cs="Times New Roman"/>
      <w:sz w:val="24"/>
      <w:szCs w:val="24"/>
      <w:lang w:eastAsia="lv-LV"/>
    </w:rPr>
  </w:style>
  <w:style w:type="paragraph" w:styleId="NormalWeb">
    <w:name w:val="Normal (Web)"/>
    <w:basedOn w:val="Normal"/>
    <w:uiPriority w:val="99"/>
    <w:rsid w:val="00D42F6E"/>
    <w:pPr>
      <w:spacing w:before="75" w:after="75"/>
    </w:pPr>
  </w:style>
  <w:style w:type="paragraph" w:customStyle="1" w:styleId="naispant">
    <w:name w:val="naispant"/>
    <w:basedOn w:val="Normal"/>
    <w:rsid w:val="00D42F6E"/>
    <w:pPr>
      <w:spacing w:before="75" w:after="75"/>
      <w:ind w:left="375" w:firstLine="375"/>
      <w:jc w:val="both"/>
    </w:pPr>
    <w:rPr>
      <w:b/>
      <w:bCs/>
    </w:rPr>
  </w:style>
  <w:style w:type="paragraph" w:customStyle="1" w:styleId="naisc">
    <w:name w:val="naisc"/>
    <w:basedOn w:val="Normal"/>
    <w:rsid w:val="00D42F6E"/>
    <w:pPr>
      <w:spacing w:before="75" w:after="75"/>
      <w:jc w:val="center"/>
    </w:pPr>
  </w:style>
  <w:style w:type="paragraph" w:customStyle="1" w:styleId="CharChar">
    <w:name w:val="Char Char"/>
    <w:basedOn w:val="Normal"/>
    <w:rsid w:val="00D42F6E"/>
    <w:pPr>
      <w:spacing w:before="40"/>
    </w:pPr>
    <w:rPr>
      <w:lang w:val="pl-PL" w:eastAsia="pl-PL"/>
    </w:rPr>
  </w:style>
  <w:style w:type="character" w:styleId="CommentReference">
    <w:name w:val="annotation reference"/>
    <w:rsid w:val="00D42F6E"/>
    <w:rPr>
      <w:sz w:val="16"/>
      <w:szCs w:val="16"/>
    </w:rPr>
  </w:style>
  <w:style w:type="paragraph" w:styleId="CommentText">
    <w:name w:val="annotation text"/>
    <w:basedOn w:val="Normal"/>
    <w:link w:val="CommentTextChar"/>
    <w:rsid w:val="00D42F6E"/>
    <w:rPr>
      <w:sz w:val="20"/>
      <w:szCs w:val="20"/>
    </w:rPr>
  </w:style>
  <w:style w:type="character" w:customStyle="1" w:styleId="CommentTextChar">
    <w:name w:val="Comment Text Char"/>
    <w:basedOn w:val="DefaultParagraphFont"/>
    <w:link w:val="CommentText"/>
    <w:rsid w:val="00D42F6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D42F6E"/>
    <w:rPr>
      <w:b/>
      <w:bCs/>
    </w:rPr>
  </w:style>
  <w:style w:type="character" w:customStyle="1" w:styleId="CommentSubjectChar">
    <w:name w:val="Comment Subject Char"/>
    <w:basedOn w:val="CommentTextChar"/>
    <w:link w:val="CommentSubject"/>
    <w:rsid w:val="00D42F6E"/>
    <w:rPr>
      <w:rFonts w:ascii="Times New Roman" w:eastAsia="Times New Roman" w:hAnsi="Times New Roman" w:cs="Times New Roman"/>
      <w:b/>
      <w:bCs/>
      <w:sz w:val="20"/>
      <w:szCs w:val="20"/>
      <w:lang w:eastAsia="lv-LV"/>
    </w:rPr>
  </w:style>
  <w:style w:type="paragraph" w:styleId="BalloonText">
    <w:name w:val="Balloon Text"/>
    <w:basedOn w:val="Normal"/>
    <w:link w:val="BalloonTextChar"/>
    <w:rsid w:val="00D42F6E"/>
    <w:rPr>
      <w:rFonts w:ascii="Tahoma" w:hAnsi="Tahoma" w:cs="Tahoma"/>
      <w:sz w:val="16"/>
      <w:szCs w:val="16"/>
    </w:rPr>
  </w:style>
  <w:style w:type="character" w:customStyle="1" w:styleId="BalloonTextChar">
    <w:name w:val="Balloon Text Char"/>
    <w:basedOn w:val="DefaultParagraphFont"/>
    <w:link w:val="BalloonText"/>
    <w:rsid w:val="00D42F6E"/>
    <w:rPr>
      <w:rFonts w:ascii="Tahoma" w:eastAsia="Times New Roman" w:hAnsi="Tahoma" w:cs="Tahoma"/>
      <w:sz w:val="16"/>
      <w:szCs w:val="16"/>
      <w:lang w:eastAsia="lv-LV"/>
    </w:rPr>
  </w:style>
  <w:style w:type="paragraph" w:styleId="BodyTextIndent">
    <w:name w:val="Body Text Indent"/>
    <w:basedOn w:val="Normal"/>
    <w:link w:val="BodyTextIndentChar"/>
    <w:rsid w:val="00D42F6E"/>
    <w:pPr>
      <w:ind w:firstLine="720"/>
      <w:jc w:val="both"/>
    </w:pPr>
    <w:rPr>
      <w:sz w:val="28"/>
      <w:szCs w:val="20"/>
    </w:rPr>
  </w:style>
  <w:style w:type="character" w:customStyle="1" w:styleId="BodyTextIndentChar">
    <w:name w:val="Body Text Indent Char"/>
    <w:basedOn w:val="DefaultParagraphFont"/>
    <w:link w:val="BodyTextIndent"/>
    <w:rsid w:val="00D42F6E"/>
    <w:rPr>
      <w:rFonts w:ascii="Times New Roman" w:eastAsia="Times New Roman" w:hAnsi="Times New Roman" w:cs="Times New Roman"/>
      <w:sz w:val="28"/>
      <w:szCs w:val="20"/>
      <w:lang w:eastAsia="lv-LV"/>
    </w:rPr>
  </w:style>
  <w:style w:type="paragraph" w:styleId="NoSpacing">
    <w:name w:val="No Spacing"/>
    <w:uiPriority w:val="99"/>
    <w:qFormat/>
    <w:rsid w:val="00D42F6E"/>
    <w:pPr>
      <w:spacing w:after="0" w:line="240" w:lineRule="auto"/>
    </w:pPr>
    <w:rPr>
      <w:rFonts w:ascii="Calibri" w:eastAsia="Calibri" w:hAnsi="Calibri" w:cs="Times New Roman"/>
    </w:rPr>
  </w:style>
  <w:style w:type="character" w:customStyle="1" w:styleId="tvhtml">
    <w:name w:val="tv_html"/>
    <w:rsid w:val="00D42F6E"/>
  </w:style>
  <w:style w:type="character" w:styleId="Hyperlink">
    <w:name w:val="Hyperlink"/>
    <w:uiPriority w:val="99"/>
    <w:rsid w:val="00D42F6E"/>
    <w:rPr>
      <w:color w:val="0000FF"/>
      <w:u w:val="single"/>
    </w:rPr>
  </w:style>
  <w:style w:type="paragraph" w:styleId="ListParagraph">
    <w:name w:val="List Paragraph"/>
    <w:aliases w:val="2,Saraksta rindkopa1,Numbered Para 1,Dot pt,No Spacing1,List Paragraph Char Char Char,Indicator Text,Bullet 1,Bullet Points,MAIN CONTENT,IFCL - List Paragraph,List Paragraph12,OBC Bullet,F5 List Paragraph,Colorful List - Accent 11,Stri"/>
    <w:basedOn w:val="Normal"/>
    <w:link w:val="ListParagraphChar"/>
    <w:uiPriority w:val="99"/>
    <w:qFormat/>
    <w:rsid w:val="00C71869"/>
    <w:pPr>
      <w:ind w:left="720"/>
      <w:contextualSpacing/>
    </w:pPr>
  </w:style>
  <w:style w:type="character" w:styleId="PlaceholderText">
    <w:name w:val="Placeholder Text"/>
    <w:basedOn w:val="DefaultParagraphFont"/>
    <w:uiPriority w:val="99"/>
    <w:semiHidden/>
    <w:rsid w:val="00F8075E"/>
    <w:rPr>
      <w:color w:val="808080"/>
    </w:rPr>
  </w:style>
  <w:style w:type="character" w:styleId="Emphasis">
    <w:name w:val="Emphasis"/>
    <w:uiPriority w:val="20"/>
    <w:qFormat/>
    <w:rsid w:val="00D646A9"/>
    <w:rPr>
      <w:i/>
      <w:iCs/>
    </w:rPr>
  </w:style>
  <w:style w:type="paragraph" w:styleId="Revision">
    <w:name w:val="Revision"/>
    <w:hidden/>
    <w:uiPriority w:val="99"/>
    <w:semiHidden/>
    <w:rsid w:val="00DE7866"/>
    <w:pPr>
      <w:spacing w:after="0"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835034"/>
    <w:pPr>
      <w:spacing w:after="120"/>
    </w:pPr>
  </w:style>
  <w:style w:type="character" w:customStyle="1" w:styleId="BodyTextChar">
    <w:name w:val="Body Text Char"/>
    <w:basedOn w:val="DefaultParagraphFont"/>
    <w:link w:val="BodyText"/>
    <w:uiPriority w:val="99"/>
    <w:semiHidden/>
    <w:rsid w:val="00835034"/>
    <w:rPr>
      <w:rFonts w:ascii="Times New Roman" w:eastAsia="Times New Roman" w:hAnsi="Times New Roman" w:cs="Times New Roman"/>
      <w:sz w:val="24"/>
      <w:szCs w:val="24"/>
      <w:lang w:eastAsia="lv-LV"/>
    </w:rPr>
  </w:style>
  <w:style w:type="table" w:customStyle="1" w:styleId="TableGrid1">
    <w:name w:val="Table Grid1"/>
    <w:basedOn w:val="TableNormal"/>
    <w:next w:val="TableGrid"/>
    <w:rsid w:val="00835034"/>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rsid w:val="009C3192"/>
    <w:pPr>
      <w:spacing w:after="0" w:line="240" w:lineRule="auto"/>
    </w:pPr>
    <w:rPr>
      <w:rFonts w:ascii="Times New Roman" w:eastAsia="Times New Roman" w:hAnsi="Times New Roman" w:cs="Times New Roman"/>
      <w:sz w:val="24"/>
      <w:szCs w:val="24"/>
      <w:lang w:val="en-GB"/>
    </w:rPr>
  </w:style>
  <w:style w:type="paragraph" w:customStyle="1" w:styleId="RakstzRakstzRakstzCharChar">
    <w:name w:val="Rakstz. Rakstz. Rakstz. Char Char"/>
    <w:basedOn w:val="Normal"/>
    <w:rsid w:val="00DC4486"/>
    <w:pPr>
      <w:spacing w:before="40"/>
    </w:pPr>
    <w:rPr>
      <w:lang w:val="pl-PL" w:eastAsia="pl-PL"/>
    </w:rPr>
  </w:style>
  <w:style w:type="character" w:customStyle="1" w:styleId="UnresolvedMention1">
    <w:name w:val="Unresolved Mention1"/>
    <w:basedOn w:val="DefaultParagraphFont"/>
    <w:uiPriority w:val="99"/>
    <w:semiHidden/>
    <w:unhideWhenUsed/>
    <w:rsid w:val="00450F39"/>
    <w:rPr>
      <w:color w:val="605E5C"/>
      <w:shd w:val="clear" w:color="auto" w:fill="E1DFDD"/>
    </w:rPr>
  </w:style>
  <w:style w:type="character" w:customStyle="1" w:styleId="Heading1Char">
    <w:name w:val="Heading 1 Char"/>
    <w:basedOn w:val="DefaultParagraphFont"/>
    <w:link w:val="Heading1"/>
    <w:uiPriority w:val="9"/>
    <w:rsid w:val="004D4F44"/>
    <w:rPr>
      <w:rFonts w:ascii="Times New Roman" w:eastAsia="Times New Roman" w:hAnsi="Times New Roman" w:cs="Times New Roman"/>
      <w:b/>
      <w:bCs/>
      <w:kern w:val="36"/>
      <w:sz w:val="48"/>
      <w:szCs w:val="48"/>
      <w:lang w:eastAsia="lv-LV"/>
    </w:rPr>
  </w:style>
  <w:style w:type="character" w:styleId="FootnoteReference">
    <w:name w:val="footnote reference"/>
    <w:basedOn w:val="DefaultParagraphFont"/>
    <w:uiPriority w:val="99"/>
    <w:semiHidden/>
    <w:unhideWhenUsed/>
    <w:rsid w:val="002E11F8"/>
    <w:rPr>
      <w:vertAlign w:val="superscript"/>
    </w:rPr>
  </w:style>
  <w:style w:type="paragraph" w:customStyle="1" w:styleId="tv213">
    <w:name w:val="tv213"/>
    <w:basedOn w:val="Normal"/>
    <w:rsid w:val="002E11F8"/>
    <w:pPr>
      <w:spacing w:before="100" w:beforeAutospacing="1" w:after="100" w:afterAutospacing="1"/>
    </w:pPr>
  </w:style>
  <w:style w:type="character" w:styleId="Strong">
    <w:name w:val="Strong"/>
    <w:basedOn w:val="DefaultParagraphFont"/>
    <w:uiPriority w:val="22"/>
    <w:qFormat/>
    <w:rsid w:val="00676399"/>
    <w:rPr>
      <w:b/>
      <w:bCs/>
    </w:rPr>
  </w:style>
  <w:style w:type="character" w:customStyle="1" w:styleId="ListParagraphChar">
    <w:name w:val="List Paragraph Char"/>
    <w:aliases w:val="2 Char,Saraksta rindkopa1 Char,Numbered Para 1 Char,Dot pt Char,No Spacing1 Char,List Paragraph Char Char Char Char,Indicator Text Char,Bullet 1 Char,Bullet Points Char,MAIN CONTENT Char,IFCL - List Paragraph Char,OBC Bullet Char"/>
    <w:basedOn w:val="DefaultParagraphFont"/>
    <w:link w:val="ListParagraph"/>
    <w:uiPriority w:val="34"/>
    <w:locked/>
    <w:rsid w:val="002C0004"/>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21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6837">
      <w:bodyDiv w:val="1"/>
      <w:marLeft w:val="0"/>
      <w:marRight w:val="0"/>
      <w:marTop w:val="0"/>
      <w:marBottom w:val="0"/>
      <w:divBdr>
        <w:top w:val="none" w:sz="0" w:space="0" w:color="auto"/>
        <w:left w:val="none" w:sz="0" w:space="0" w:color="auto"/>
        <w:bottom w:val="none" w:sz="0" w:space="0" w:color="auto"/>
        <w:right w:val="none" w:sz="0" w:space="0" w:color="auto"/>
      </w:divBdr>
    </w:div>
    <w:div w:id="205334401">
      <w:bodyDiv w:val="1"/>
      <w:marLeft w:val="0"/>
      <w:marRight w:val="0"/>
      <w:marTop w:val="0"/>
      <w:marBottom w:val="0"/>
      <w:divBdr>
        <w:top w:val="none" w:sz="0" w:space="0" w:color="auto"/>
        <w:left w:val="none" w:sz="0" w:space="0" w:color="auto"/>
        <w:bottom w:val="none" w:sz="0" w:space="0" w:color="auto"/>
        <w:right w:val="none" w:sz="0" w:space="0" w:color="auto"/>
      </w:divBdr>
    </w:div>
    <w:div w:id="460881468">
      <w:bodyDiv w:val="1"/>
      <w:marLeft w:val="0"/>
      <w:marRight w:val="0"/>
      <w:marTop w:val="0"/>
      <w:marBottom w:val="0"/>
      <w:divBdr>
        <w:top w:val="none" w:sz="0" w:space="0" w:color="auto"/>
        <w:left w:val="none" w:sz="0" w:space="0" w:color="auto"/>
        <w:bottom w:val="none" w:sz="0" w:space="0" w:color="auto"/>
        <w:right w:val="none" w:sz="0" w:space="0" w:color="auto"/>
      </w:divBdr>
    </w:div>
    <w:div w:id="477693773">
      <w:bodyDiv w:val="1"/>
      <w:marLeft w:val="0"/>
      <w:marRight w:val="0"/>
      <w:marTop w:val="0"/>
      <w:marBottom w:val="0"/>
      <w:divBdr>
        <w:top w:val="none" w:sz="0" w:space="0" w:color="auto"/>
        <w:left w:val="none" w:sz="0" w:space="0" w:color="auto"/>
        <w:bottom w:val="none" w:sz="0" w:space="0" w:color="auto"/>
        <w:right w:val="none" w:sz="0" w:space="0" w:color="auto"/>
      </w:divBdr>
    </w:div>
    <w:div w:id="603684178">
      <w:bodyDiv w:val="1"/>
      <w:marLeft w:val="0"/>
      <w:marRight w:val="0"/>
      <w:marTop w:val="0"/>
      <w:marBottom w:val="0"/>
      <w:divBdr>
        <w:top w:val="none" w:sz="0" w:space="0" w:color="auto"/>
        <w:left w:val="none" w:sz="0" w:space="0" w:color="auto"/>
        <w:bottom w:val="none" w:sz="0" w:space="0" w:color="auto"/>
        <w:right w:val="none" w:sz="0" w:space="0" w:color="auto"/>
      </w:divBdr>
    </w:div>
    <w:div w:id="873276876">
      <w:bodyDiv w:val="1"/>
      <w:marLeft w:val="0"/>
      <w:marRight w:val="0"/>
      <w:marTop w:val="0"/>
      <w:marBottom w:val="0"/>
      <w:divBdr>
        <w:top w:val="none" w:sz="0" w:space="0" w:color="auto"/>
        <w:left w:val="none" w:sz="0" w:space="0" w:color="auto"/>
        <w:bottom w:val="none" w:sz="0" w:space="0" w:color="auto"/>
        <w:right w:val="none" w:sz="0" w:space="0" w:color="auto"/>
      </w:divBdr>
    </w:div>
    <w:div w:id="1024133653">
      <w:bodyDiv w:val="1"/>
      <w:marLeft w:val="0"/>
      <w:marRight w:val="0"/>
      <w:marTop w:val="0"/>
      <w:marBottom w:val="0"/>
      <w:divBdr>
        <w:top w:val="none" w:sz="0" w:space="0" w:color="auto"/>
        <w:left w:val="none" w:sz="0" w:space="0" w:color="auto"/>
        <w:bottom w:val="none" w:sz="0" w:space="0" w:color="auto"/>
        <w:right w:val="none" w:sz="0" w:space="0" w:color="auto"/>
      </w:divBdr>
      <w:divsChild>
        <w:div w:id="60905169">
          <w:marLeft w:val="0"/>
          <w:marRight w:val="0"/>
          <w:marTop w:val="0"/>
          <w:marBottom w:val="0"/>
          <w:divBdr>
            <w:top w:val="none" w:sz="0" w:space="0" w:color="auto"/>
            <w:left w:val="none" w:sz="0" w:space="0" w:color="auto"/>
            <w:bottom w:val="none" w:sz="0" w:space="0" w:color="auto"/>
            <w:right w:val="none" w:sz="0" w:space="0" w:color="auto"/>
          </w:divBdr>
          <w:divsChild>
            <w:div w:id="2089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6378">
      <w:bodyDiv w:val="1"/>
      <w:marLeft w:val="0"/>
      <w:marRight w:val="0"/>
      <w:marTop w:val="0"/>
      <w:marBottom w:val="0"/>
      <w:divBdr>
        <w:top w:val="none" w:sz="0" w:space="0" w:color="auto"/>
        <w:left w:val="none" w:sz="0" w:space="0" w:color="auto"/>
        <w:bottom w:val="none" w:sz="0" w:space="0" w:color="auto"/>
        <w:right w:val="none" w:sz="0" w:space="0" w:color="auto"/>
      </w:divBdr>
    </w:div>
    <w:div w:id="1204170369">
      <w:bodyDiv w:val="1"/>
      <w:marLeft w:val="0"/>
      <w:marRight w:val="0"/>
      <w:marTop w:val="0"/>
      <w:marBottom w:val="0"/>
      <w:divBdr>
        <w:top w:val="none" w:sz="0" w:space="0" w:color="auto"/>
        <w:left w:val="none" w:sz="0" w:space="0" w:color="auto"/>
        <w:bottom w:val="none" w:sz="0" w:space="0" w:color="auto"/>
        <w:right w:val="none" w:sz="0" w:space="0" w:color="auto"/>
      </w:divBdr>
    </w:div>
    <w:div w:id="1214152052">
      <w:bodyDiv w:val="1"/>
      <w:marLeft w:val="0"/>
      <w:marRight w:val="0"/>
      <w:marTop w:val="0"/>
      <w:marBottom w:val="0"/>
      <w:divBdr>
        <w:top w:val="none" w:sz="0" w:space="0" w:color="auto"/>
        <w:left w:val="none" w:sz="0" w:space="0" w:color="auto"/>
        <w:bottom w:val="none" w:sz="0" w:space="0" w:color="auto"/>
        <w:right w:val="none" w:sz="0" w:space="0" w:color="auto"/>
      </w:divBdr>
    </w:div>
    <w:div w:id="1329409735">
      <w:bodyDiv w:val="1"/>
      <w:marLeft w:val="0"/>
      <w:marRight w:val="0"/>
      <w:marTop w:val="0"/>
      <w:marBottom w:val="0"/>
      <w:divBdr>
        <w:top w:val="none" w:sz="0" w:space="0" w:color="auto"/>
        <w:left w:val="none" w:sz="0" w:space="0" w:color="auto"/>
        <w:bottom w:val="none" w:sz="0" w:space="0" w:color="auto"/>
        <w:right w:val="none" w:sz="0" w:space="0" w:color="auto"/>
      </w:divBdr>
    </w:div>
    <w:div w:id="1889996596">
      <w:bodyDiv w:val="1"/>
      <w:marLeft w:val="0"/>
      <w:marRight w:val="0"/>
      <w:marTop w:val="0"/>
      <w:marBottom w:val="0"/>
      <w:divBdr>
        <w:top w:val="none" w:sz="0" w:space="0" w:color="auto"/>
        <w:left w:val="none" w:sz="0" w:space="0" w:color="auto"/>
        <w:bottom w:val="none" w:sz="0" w:space="0" w:color="auto"/>
        <w:right w:val="none" w:sz="0" w:space="0" w:color="auto"/>
      </w:divBdr>
    </w:div>
    <w:div w:id="2014985675">
      <w:bodyDiv w:val="1"/>
      <w:marLeft w:val="0"/>
      <w:marRight w:val="0"/>
      <w:marTop w:val="0"/>
      <w:marBottom w:val="0"/>
      <w:divBdr>
        <w:top w:val="none" w:sz="0" w:space="0" w:color="auto"/>
        <w:left w:val="none" w:sz="0" w:space="0" w:color="auto"/>
        <w:bottom w:val="none" w:sz="0" w:space="0" w:color="auto"/>
        <w:right w:val="none" w:sz="0" w:space="0" w:color="auto"/>
      </w:divBdr>
      <w:divsChild>
        <w:div w:id="2002195807">
          <w:marLeft w:val="0"/>
          <w:marRight w:val="0"/>
          <w:marTop w:val="0"/>
          <w:marBottom w:val="0"/>
          <w:divBdr>
            <w:top w:val="none" w:sz="0" w:space="0" w:color="auto"/>
            <w:left w:val="none" w:sz="0" w:space="0" w:color="auto"/>
            <w:bottom w:val="none" w:sz="0" w:space="0" w:color="auto"/>
            <w:right w:val="none" w:sz="0" w:space="0" w:color="auto"/>
          </w:divBdr>
          <w:divsChild>
            <w:div w:id="1567641118">
              <w:marLeft w:val="0"/>
              <w:marRight w:val="0"/>
              <w:marTop w:val="0"/>
              <w:marBottom w:val="0"/>
              <w:divBdr>
                <w:top w:val="none" w:sz="0" w:space="0" w:color="auto"/>
                <w:left w:val="none" w:sz="0" w:space="0" w:color="auto"/>
                <w:bottom w:val="none" w:sz="0" w:space="0" w:color="auto"/>
                <w:right w:val="none" w:sz="0" w:space="0" w:color="auto"/>
              </w:divBdr>
              <w:divsChild>
                <w:div w:id="1960213812">
                  <w:marLeft w:val="0"/>
                  <w:marRight w:val="0"/>
                  <w:marTop w:val="0"/>
                  <w:marBottom w:val="0"/>
                  <w:divBdr>
                    <w:top w:val="none" w:sz="0" w:space="0" w:color="auto"/>
                    <w:left w:val="none" w:sz="0" w:space="0" w:color="auto"/>
                    <w:bottom w:val="none" w:sz="0" w:space="0" w:color="auto"/>
                    <w:right w:val="none" w:sz="0" w:space="0" w:color="auto"/>
                  </w:divBdr>
                  <w:divsChild>
                    <w:div w:id="135807521">
                      <w:marLeft w:val="0"/>
                      <w:marRight w:val="0"/>
                      <w:marTop w:val="0"/>
                      <w:marBottom w:val="0"/>
                      <w:divBdr>
                        <w:top w:val="none" w:sz="0" w:space="0" w:color="auto"/>
                        <w:left w:val="none" w:sz="0" w:space="0" w:color="auto"/>
                        <w:bottom w:val="none" w:sz="0" w:space="0" w:color="auto"/>
                        <w:right w:val="none" w:sz="0" w:space="0" w:color="auto"/>
                      </w:divBdr>
                      <w:divsChild>
                        <w:div w:id="1977635116">
                          <w:marLeft w:val="0"/>
                          <w:marRight w:val="0"/>
                          <w:marTop w:val="0"/>
                          <w:marBottom w:val="0"/>
                          <w:divBdr>
                            <w:top w:val="none" w:sz="0" w:space="0" w:color="auto"/>
                            <w:left w:val="none" w:sz="0" w:space="0" w:color="auto"/>
                            <w:bottom w:val="none" w:sz="0" w:space="0" w:color="auto"/>
                            <w:right w:val="none" w:sz="0" w:space="0" w:color="auto"/>
                          </w:divBdr>
                          <w:divsChild>
                            <w:div w:id="109544477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2E40-615B-47DA-8B1E-19D344EE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4610</Words>
  <Characters>2629</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2014. gada 23.decembra noteikumos Nr. 796 “Noteikumi par rūpnieciskās zvejas limitiem un to izmantošanas kārtību iekšējos ūdeņos”” sākotnējās ietekmes novērtējuma ziņojums (anotācija)</vt:lpstr>
      <vt:lpstr>Ministru kabineta noteikumu projekta “Grozījumi Ministru kabineta 2014. gada 23.decembra noteikumos Nr. 796 “Noteikumi par rūpnieciskās zvejas limitiem un to izmantošanas kārtību iekšējos ūdeņos”” sākotnējās ietekmes novērtējuma ziņojums (anotācija)</vt:lpstr>
    </vt:vector>
  </TitlesOfParts>
  <Company>Zemkopības Ministrija</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2014. gada 23.decembra noteikumos Nr. 796 “Noteikumi par rūpnieciskās zvejas limitiem un to izmantošanas kārtību iekšējos ūdeņos”” sākotnējās ietekmes novērtējuma ziņojums (anotācija)</dc:title>
  <dc:subject>MK noteikumu projekta anotācija</dc:subject>
  <dc:creator>Liga.Sejane@zm.gov.lv</dc:creator>
  <dc:description>Sējāne 67027162
Liga.Sejane@zm.gov.lv</dc:description>
  <cp:lastModifiedBy>Aleksandrs Vlads</cp:lastModifiedBy>
  <cp:revision>3</cp:revision>
  <cp:lastPrinted>2019-10-10T07:47:00Z</cp:lastPrinted>
  <dcterms:created xsi:type="dcterms:W3CDTF">2020-12-04T17:20:00Z</dcterms:created>
  <dcterms:modified xsi:type="dcterms:W3CDTF">2020-12-04T17:38:00Z</dcterms:modified>
</cp:coreProperties>
</file>