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AD4D" w14:textId="12B5DEEC" w:rsidR="008B5C29" w:rsidRPr="00FF0ED6" w:rsidRDefault="0003751C" w:rsidP="009A2C61">
      <w:pPr>
        <w:shd w:val="clear" w:color="auto" w:fill="BDD6EE" w:themeFill="accent5" w:themeFillTint="66"/>
        <w:jc w:val="center"/>
        <w:rPr>
          <w:rFonts w:ascii="Times New Roman" w:hAnsi="Times New Roman" w:cs="Times New Roman"/>
          <w:b/>
          <w:bCs/>
          <w:sz w:val="24"/>
          <w:szCs w:val="24"/>
        </w:rPr>
      </w:pPr>
      <w:r w:rsidRPr="00FF0ED6">
        <w:rPr>
          <w:rFonts w:ascii="Times New Roman" w:hAnsi="Times New Roman" w:cs="Times New Roman"/>
          <w:b/>
          <w:bCs/>
          <w:sz w:val="24"/>
          <w:szCs w:val="24"/>
        </w:rPr>
        <w:t>Ekonomikas ministrijas būtiskāk</w:t>
      </w:r>
      <w:r w:rsidR="00E24F15">
        <w:rPr>
          <w:rFonts w:ascii="Times New Roman" w:hAnsi="Times New Roman" w:cs="Times New Roman"/>
          <w:b/>
          <w:bCs/>
          <w:sz w:val="24"/>
          <w:szCs w:val="24"/>
        </w:rPr>
        <w:t>ais</w:t>
      </w:r>
      <w:r w:rsidRPr="00FF0ED6">
        <w:rPr>
          <w:rFonts w:ascii="Times New Roman" w:hAnsi="Times New Roman" w:cs="Times New Roman"/>
          <w:b/>
          <w:bCs/>
          <w:sz w:val="24"/>
          <w:szCs w:val="24"/>
        </w:rPr>
        <w:t xml:space="preserve"> paveikt</w:t>
      </w:r>
      <w:r w:rsidR="00E24F15">
        <w:rPr>
          <w:rFonts w:ascii="Times New Roman" w:hAnsi="Times New Roman" w:cs="Times New Roman"/>
          <w:b/>
          <w:bCs/>
          <w:sz w:val="24"/>
          <w:szCs w:val="24"/>
        </w:rPr>
        <w:t>ais</w:t>
      </w:r>
      <w:r w:rsidRPr="00FF0ED6">
        <w:rPr>
          <w:rFonts w:ascii="Times New Roman" w:hAnsi="Times New Roman" w:cs="Times New Roman"/>
          <w:b/>
          <w:bCs/>
          <w:sz w:val="24"/>
          <w:szCs w:val="24"/>
        </w:rPr>
        <w:t xml:space="preserve"> 2020. gadā</w:t>
      </w:r>
    </w:p>
    <w:p w14:paraId="7DBCFCE8" w14:textId="6D8A63A3" w:rsidR="004B4047" w:rsidRPr="00FF0ED6" w:rsidRDefault="003C1911" w:rsidP="00097F5D">
      <w:pPr>
        <w:shd w:val="clear" w:color="auto" w:fill="DEEAF6" w:themeFill="accent5" w:themeFillTint="33"/>
        <w:jc w:val="both"/>
        <w:rPr>
          <w:rFonts w:ascii="Times New Roman" w:hAnsi="Times New Roman" w:cs="Times New Roman"/>
          <w:b/>
          <w:bCs/>
          <w:sz w:val="24"/>
          <w:szCs w:val="24"/>
        </w:rPr>
      </w:pPr>
      <w:r w:rsidRPr="00FF0ED6">
        <w:rPr>
          <w:rFonts w:ascii="Times New Roman" w:hAnsi="Times New Roman" w:cs="Times New Roman"/>
          <w:b/>
          <w:bCs/>
          <w:sz w:val="24"/>
          <w:szCs w:val="24"/>
        </w:rPr>
        <w:t xml:space="preserve">Atbalsta programmu izstrādes un </w:t>
      </w:r>
      <w:r w:rsidR="004B4047" w:rsidRPr="00FF0ED6">
        <w:rPr>
          <w:rFonts w:ascii="Times New Roman" w:hAnsi="Times New Roman" w:cs="Times New Roman"/>
          <w:b/>
          <w:bCs/>
          <w:sz w:val="24"/>
          <w:szCs w:val="24"/>
        </w:rPr>
        <w:t>Covid-19 krīzes pārvarēšan</w:t>
      </w:r>
      <w:r w:rsidRPr="00FF0ED6">
        <w:rPr>
          <w:rFonts w:ascii="Times New Roman" w:hAnsi="Times New Roman" w:cs="Times New Roman"/>
          <w:b/>
          <w:bCs/>
          <w:sz w:val="24"/>
          <w:szCs w:val="24"/>
        </w:rPr>
        <w:t>as jomā</w:t>
      </w:r>
    </w:p>
    <w:p w14:paraId="1537B60C" w14:textId="4E465D49" w:rsidR="00F64741" w:rsidRPr="004D666B" w:rsidRDefault="00F64741" w:rsidP="00097F5D">
      <w:pPr>
        <w:pStyle w:val="ListParagraph"/>
        <w:numPr>
          <w:ilvl w:val="0"/>
          <w:numId w:val="3"/>
        </w:numPr>
        <w:spacing w:after="0" w:line="240" w:lineRule="auto"/>
        <w:jc w:val="both"/>
      </w:pPr>
      <w:r w:rsidRPr="00FF0ED6">
        <w:t xml:space="preserve">Uzņēmēju un darbinieku atbalstam Covid-19 seku pārvarēšanai izstrādātas vairāk kā 20 atbalsta programmas. Plašāk - </w:t>
      </w:r>
      <w:hyperlink r:id="rId7" w:history="1">
        <w:r w:rsidRPr="00FF0ED6">
          <w:rPr>
            <w:rStyle w:val="Hyperlink"/>
          </w:rPr>
          <w:t>https://www.em.gov.lv/lv/atbalsta-pasakumi-uznemejiem</w:t>
        </w:r>
      </w:hyperlink>
      <w:r w:rsidR="00CF7C93" w:rsidRPr="00FF0ED6">
        <w:rPr>
          <w:color w:val="000000" w:themeColor="text1"/>
        </w:rPr>
        <w:t>;</w:t>
      </w:r>
    </w:p>
    <w:p w14:paraId="7C75868B" w14:textId="482A4E69" w:rsidR="00E24F15" w:rsidRPr="00FF0ED6" w:rsidRDefault="00E24F15" w:rsidP="00DE09B9">
      <w:pPr>
        <w:pStyle w:val="ListParagraph"/>
        <w:numPr>
          <w:ilvl w:val="0"/>
          <w:numId w:val="3"/>
        </w:numPr>
        <w:spacing w:after="0" w:line="240" w:lineRule="auto"/>
        <w:jc w:val="both"/>
      </w:pPr>
      <w:r w:rsidRPr="00FF0ED6">
        <w:rPr>
          <w:rFonts w:eastAsia="Times New Roman"/>
        </w:rPr>
        <w:t xml:space="preserve">Ciešā dialogā ar tūrisma nozari izstrādāti un īstenoti trīs specializēti finanšu atbalsta instrumenti 20M EUR apmērā (Repatriācija, Algu subsīdijas, Operacionālās izmaksu segšana), kā arī nepārtraukti meklēti risinājumi dažādiem </w:t>
      </w:r>
      <w:proofErr w:type="spellStart"/>
      <w:r w:rsidRPr="00FF0ED6">
        <w:rPr>
          <w:rFonts w:eastAsia="Times New Roman"/>
        </w:rPr>
        <w:t>nefinanšu</w:t>
      </w:r>
      <w:proofErr w:type="spellEnd"/>
      <w:r w:rsidRPr="00FF0ED6">
        <w:rPr>
          <w:rFonts w:eastAsia="Times New Roman"/>
        </w:rPr>
        <w:t xml:space="preserve"> atbalsta instrumentiem, kā piem. ārējā tūrisma pārorientēšanā uz vietējo tirgu, Baltijas burbuļa iniciatīva, u.c..</w:t>
      </w:r>
    </w:p>
    <w:p w14:paraId="03F9BB41" w14:textId="7C4BEAC3" w:rsidR="00CF7C93" w:rsidRDefault="00CF7C93" w:rsidP="00097F5D">
      <w:pPr>
        <w:pStyle w:val="ListParagraph"/>
        <w:numPr>
          <w:ilvl w:val="0"/>
          <w:numId w:val="3"/>
        </w:numPr>
        <w:spacing w:after="0" w:line="240" w:lineRule="auto"/>
        <w:jc w:val="both"/>
      </w:pPr>
      <w:r w:rsidRPr="00FF0ED6">
        <w:rPr>
          <w:color w:val="000000"/>
        </w:rPr>
        <w:t>Sadarbībā ar uzņēmējiem, nozaru ekspertiem un uzņēmējus pārstāvošajām organizācijām izstrādāts Latvijas ekonomikas atjaunošanas plāns “</w:t>
      </w:r>
      <w:r w:rsidRPr="00FF0ED6">
        <w:rPr>
          <w:rStyle w:val="eop"/>
        </w:rPr>
        <w:t xml:space="preserve">Stratēģija Latvijai Covid-19 krīzes radīto seku mazināšanai”, kas </w:t>
      </w:r>
      <w:r w:rsidRPr="00FF0ED6">
        <w:t xml:space="preserve">ietver 5 rīcības virzienus – </w:t>
      </w:r>
      <w:proofErr w:type="spellStart"/>
      <w:r w:rsidRPr="00FF0ED6">
        <w:t>cilvēkkapitāls</w:t>
      </w:r>
      <w:proofErr w:type="spellEnd"/>
      <w:r w:rsidRPr="00FF0ED6">
        <w:t xml:space="preserve">, inovācija, biznesa vide eksportspējai, finanšu pieejamība un infrastruktūra, kuros pasākumi plānoti trīs secīgos soļos un attiecīgi laika posmos. Plašāk par to: </w:t>
      </w:r>
      <w:hyperlink r:id="rId8" w:history="1">
        <w:r w:rsidRPr="00FF0ED6">
          <w:rPr>
            <w:rStyle w:val="Hyperlink"/>
          </w:rPr>
          <w:t>https://www.em.gov.lv/lv/strategija-latvijai-0</w:t>
        </w:r>
      </w:hyperlink>
      <w:r w:rsidRPr="00FF0ED6">
        <w:t xml:space="preserve"> ; </w:t>
      </w:r>
    </w:p>
    <w:p w14:paraId="077A332E" w14:textId="1A0EF07B" w:rsidR="00E24F15" w:rsidRPr="00FF0ED6" w:rsidRDefault="00E24F15" w:rsidP="004D666B">
      <w:pPr>
        <w:pStyle w:val="ListParagraph"/>
        <w:numPr>
          <w:ilvl w:val="0"/>
          <w:numId w:val="3"/>
        </w:numPr>
        <w:jc w:val="both"/>
      </w:pPr>
      <w:r w:rsidRPr="00FF0ED6">
        <w:rPr>
          <w:rFonts w:eastAsia="Times New Roman"/>
        </w:rPr>
        <w:t xml:space="preserve">Izstrādāts COVID-19 pandēmijas atveseļošanās reformu piedāvājums Eiropas Atveseļošanās un noturības mehānisma ietvaros </w:t>
      </w:r>
      <w:r w:rsidRPr="00FF0ED6">
        <w:t>(</w:t>
      </w:r>
      <w:hyperlink r:id="rId9" w:history="1">
        <w:r w:rsidRPr="00FF0ED6">
          <w:rPr>
            <w:rStyle w:val="Hyperlink"/>
            <w:u w:val="none"/>
          </w:rPr>
          <w:t>https://www.esfondi.lv/atveselosanas-un-noturibas-mehanisms</w:t>
        </w:r>
      </w:hyperlink>
      <w:r w:rsidRPr="00FF0ED6">
        <w:t xml:space="preserve">) </w:t>
      </w:r>
      <w:r w:rsidRPr="00FF0ED6">
        <w:rPr>
          <w:rFonts w:eastAsia="Times New Roman"/>
        </w:rPr>
        <w:t xml:space="preserve">- izstrādāti dažādi atbalsta instrumenti klimata pārmaiņu seku mazināšanai (213M), uzņēmumu </w:t>
      </w:r>
      <w:proofErr w:type="spellStart"/>
      <w:r w:rsidRPr="00FF0ED6">
        <w:rPr>
          <w:rFonts w:eastAsia="Times New Roman"/>
        </w:rPr>
        <w:t>digitalizācijai</w:t>
      </w:r>
      <w:proofErr w:type="spellEnd"/>
      <w:r w:rsidRPr="00FF0ED6">
        <w:rPr>
          <w:rFonts w:eastAsia="Times New Roman"/>
        </w:rPr>
        <w:t xml:space="preserve"> (140M), ekonomikas transformācijai un produktivitātei (82.5M), nevienlīdzības mazināšanai (42.9M);</w:t>
      </w:r>
    </w:p>
    <w:p w14:paraId="334DE884" w14:textId="22CDFE29" w:rsidR="003C1911" w:rsidRPr="00FF0ED6" w:rsidRDefault="002427DC" w:rsidP="00097F5D">
      <w:pPr>
        <w:pStyle w:val="ListParagraph"/>
        <w:numPr>
          <w:ilvl w:val="0"/>
          <w:numId w:val="3"/>
        </w:numPr>
        <w:jc w:val="both"/>
      </w:pPr>
      <w:r>
        <w:rPr>
          <w:rFonts w:eastAsia="Times New Roman"/>
        </w:rPr>
        <w:t>Sadarbībā ar citām iestādēm līdzdalība</w:t>
      </w:r>
      <w:r w:rsidR="003C1911" w:rsidRPr="002427DC">
        <w:rPr>
          <w:rFonts w:eastAsia="Times New Roman"/>
        </w:rPr>
        <w:t xml:space="preserve"> darbības programma</w:t>
      </w:r>
      <w:r w:rsidRPr="002427DC">
        <w:rPr>
          <w:rFonts w:eastAsia="Times New Roman"/>
        </w:rPr>
        <w:t>s izstrādē</w:t>
      </w:r>
      <w:r w:rsidR="003C1911" w:rsidRPr="002427DC">
        <w:rPr>
          <w:rFonts w:eastAsia="Times New Roman"/>
        </w:rPr>
        <w:t xml:space="preserve"> </w:t>
      </w:r>
      <w:r w:rsidR="00E24F15" w:rsidRPr="002427DC">
        <w:rPr>
          <w:rFonts w:eastAsia="Times New Roman"/>
        </w:rPr>
        <w:t xml:space="preserve">ES fondu plānošanas periodam </w:t>
      </w:r>
      <w:r w:rsidR="003C1911" w:rsidRPr="002427DC">
        <w:rPr>
          <w:rFonts w:eastAsia="Times New Roman"/>
        </w:rPr>
        <w:t>2021.-2027.gadam par kopējo ERAF līdzekļu apjomu 925 680 000 EUR vērtībā, paredzot līdzekļus inovāciju, eksporta,</w:t>
      </w:r>
      <w:r w:rsidR="003C1911" w:rsidRPr="00FF0ED6">
        <w:rPr>
          <w:rFonts w:eastAsia="Times New Roman"/>
        </w:rPr>
        <w:t xml:space="preserve"> energoefektivitātes paaugstināšanai u.c. EM mērķu sasniegšanai.</w:t>
      </w:r>
    </w:p>
    <w:p w14:paraId="26456EE6" w14:textId="4A2C6C75" w:rsidR="00F345CF" w:rsidRPr="00FF0ED6" w:rsidRDefault="00F345CF" w:rsidP="00097F5D">
      <w:pPr>
        <w:numPr>
          <w:ilvl w:val="0"/>
          <w:numId w:val="3"/>
        </w:numPr>
        <w:spacing w:after="0" w:line="240" w:lineRule="auto"/>
        <w:jc w:val="both"/>
        <w:rPr>
          <w:rFonts w:ascii="Times New Roman" w:eastAsia="Times New Roman" w:hAnsi="Times New Roman" w:cs="Times New Roman"/>
          <w:sz w:val="24"/>
          <w:szCs w:val="24"/>
        </w:rPr>
      </w:pPr>
      <w:r w:rsidRPr="00FF0ED6">
        <w:rPr>
          <w:rFonts w:ascii="Times New Roman" w:eastAsia="Times New Roman" w:hAnsi="Times New Roman" w:cs="Times New Roman"/>
          <w:sz w:val="24"/>
          <w:szCs w:val="24"/>
        </w:rPr>
        <w:t>COVID-19 pirmajā vilnī īstenoti pasākumi valsts nodrošināšanai ar dezinfekcijas līdzekļiem</w:t>
      </w:r>
      <w:r w:rsidR="00E24F15">
        <w:rPr>
          <w:rFonts w:ascii="Times New Roman" w:eastAsia="Times New Roman" w:hAnsi="Times New Roman" w:cs="Times New Roman"/>
          <w:sz w:val="24"/>
          <w:szCs w:val="24"/>
        </w:rPr>
        <w:t xml:space="preserve"> un sejas </w:t>
      </w:r>
      <w:proofErr w:type="spellStart"/>
      <w:r w:rsidR="00E24F15">
        <w:rPr>
          <w:rFonts w:ascii="Times New Roman" w:eastAsia="Times New Roman" w:hAnsi="Times New Roman" w:cs="Times New Roman"/>
          <w:sz w:val="24"/>
          <w:szCs w:val="24"/>
        </w:rPr>
        <w:t>aizsargmasku</w:t>
      </w:r>
      <w:proofErr w:type="spellEnd"/>
      <w:r w:rsidR="00E24F15">
        <w:rPr>
          <w:rFonts w:ascii="Times New Roman" w:eastAsia="Times New Roman" w:hAnsi="Times New Roman" w:cs="Times New Roman"/>
          <w:sz w:val="24"/>
          <w:szCs w:val="24"/>
        </w:rPr>
        <w:t xml:space="preserve"> ražošanas veicināšanai.</w:t>
      </w:r>
    </w:p>
    <w:p w14:paraId="79C46D3D" w14:textId="6CFD0ABB" w:rsidR="004B4047" w:rsidRPr="00FF0ED6" w:rsidRDefault="004B4047" w:rsidP="00097F5D">
      <w:pPr>
        <w:jc w:val="both"/>
        <w:rPr>
          <w:rFonts w:ascii="Times New Roman" w:hAnsi="Times New Roman" w:cs="Times New Roman"/>
          <w:sz w:val="24"/>
          <w:szCs w:val="24"/>
        </w:rPr>
      </w:pPr>
    </w:p>
    <w:p w14:paraId="2E1760BA" w14:textId="7374121E" w:rsidR="0003751C" w:rsidRPr="00FF0ED6" w:rsidRDefault="0003751C" w:rsidP="00097F5D">
      <w:pPr>
        <w:shd w:val="clear" w:color="auto" w:fill="DEEAF6" w:themeFill="accent5" w:themeFillTint="33"/>
        <w:jc w:val="both"/>
        <w:rPr>
          <w:rFonts w:ascii="Times New Roman" w:hAnsi="Times New Roman" w:cs="Times New Roman"/>
          <w:b/>
          <w:bCs/>
          <w:sz w:val="24"/>
          <w:szCs w:val="24"/>
        </w:rPr>
      </w:pPr>
      <w:r w:rsidRPr="00FF0ED6">
        <w:rPr>
          <w:rFonts w:ascii="Times New Roman" w:hAnsi="Times New Roman" w:cs="Times New Roman"/>
          <w:b/>
          <w:bCs/>
          <w:sz w:val="24"/>
          <w:szCs w:val="24"/>
        </w:rPr>
        <w:t>Inovāciju veicināšanas jomā</w:t>
      </w:r>
    </w:p>
    <w:p w14:paraId="13920D43" w14:textId="3A2FF156" w:rsidR="004B4047" w:rsidRPr="00FF0ED6" w:rsidRDefault="009648DF" w:rsidP="00097F5D">
      <w:pPr>
        <w:pStyle w:val="ListParagraph"/>
        <w:numPr>
          <w:ilvl w:val="0"/>
          <w:numId w:val="3"/>
        </w:numPr>
        <w:jc w:val="both"/>
      </w:pPr>
      <w:r>
        <w:rPr>
          <w:color w:val="000000"/>
        </w:rPr>
        <w:t>Ieviesta</w:t>
      </w:r>
      <w:r w:rsidR="001E7C3A" w:rsidRPr="00FF0ED6">
        <w:rPr>
          <w:color w:val="000000"/>
        </w:rPr>
        <w:t xml:space="preserve"> Norvēģijas finanšu instrumenta 2014.-2021. gada perioda programma “Uzņēmējdarbības attīstība, inovācijas un mazie un vidējie uzņēmumi”, </w:t>
      </w:r>
      <w:r>
        <w:rPr>
          <w:color w:val="000000"/>
        </w:rPr>
        <w:t xml:space="preserve">sagatavotas </w:t>
      </w:r>
      <w:r w:rsidR="001E7C3A" w:rsidRPr="00FF0ED6">
        <w:rPr>
          <w:color w:val="000000"/>
        </w:rPr>
        <w:t>izmaiņ</w:t>
      </w:r>
      <w:r>
        <w:rPr>
          <w:color w:val="000000"/>
        </w:rPr>
        <w:t>as</w:t>
      </w:r>
      <w:r w:rsidR="001E7C3A" w:rsidRPr="00FF0ED6">
        <w:rPr>
          <w:color w:val="000000"/>
        </w:rPr>
        <w:t xml:space="preserve"> tajā un parakstī</w:t>
      </w:r>
      <w:r>
        <w:rPr>
          <w:color w:val="000000"/>
        </w:rPr>
        <w:t>ts</w:t>
      </w:r>
      <w:r w:rsidR="00177516">
        <w:rPr>
          <w:color w:val="000000"/>
        </w:rPr>
        <w:t xml:space="preserve"> programmas īstenošanas</w:t>
      </w:r>
      <w:r>
        <w:rPr>
          <w:color w:val="000000"/>
        </w:rPr>
        <w:t xml:space="preserve"> līgums</w:t>
      </w:r>
      <w:r w:rsidR="001E7C3A" w:rsidRPr="00FF0ED6">
        <w:rPr>
          <w:color w:val="000000"/>
        </w:rPr>
        <w:t xml:space="preserve"> starp Latviju un Norvēģiju. </w:t>
      </w:r>
    </w:p>
    <w:p w14:paraId="18E335E9" w14:textId="1022BC7D" w:rsidR="001E7C3A" w:rsidRPr="00FF0ED6" w:rsidRDefault="001E7C3A" w:rsidP="00097F5D">
      <w:pPr>
        <w:pStyle w:val="ListParagraph"/>
        <w:numPr>
          <w:ilvl w:val="0"/>
          <w:numId w:val="3"/>
        </w:numPr>
        <w:jc w:val="both"/>
      </w:pPr>
      <w:r w:rsidRPr="00FF0ED6">
        <w:t xml:space="preserve">Uzsākts </w:t>
      </w:r>
      <w:proofErr w:type="spellStart"/>
      <w:r w:rsidRPr="00FF0ED6">
        <w:t>Interreg</w:t>
      </w:r>
      <w:proofErr w:type="spellEnd"/>
      <w:r w:rsidRPr="00FF0ED6">
        <w:t xml:space="preserve"> </w:t>
      </w:r>
      <w:proofErr w:type="spellStart"/>
      <w:r w:rsidRPr="00FF0ED6">
        <w:t>Europe</w:t>
      </w:r>
      <w:proofErr w:type="spellEnd"/>
      <w:r w:rsidRPr="00FF0ED6">
        <w:t xml:space="preserve"> projekts «</w:t>
      </w:r>
      <w:proofErr w:type="spellStart"/>
      <w:r w:rsidRPr="00FF0ED6">
        <w:t>iBuy</w:t>
      </w:r>
      <w:proofErr w:type="spellEnd"/>
      <w:r w:rsidRPr="00FF0ED6">
        <w:t xml:space="preserve">» inovatīvā publiskā iepirkuma popularizēšanai, kura ietvaros izstrādāti priekšlikumi tiesiskā regulējuma pilnveidei, </w:t>
      </w:r>
      <w:r w:rsidRPr="00FF0ED6">
        <w:rPr>
          <w:rFonts w:eastAsia="Times New Roman"/>
        </w:rPr>
        <w:t>atbalsta instrumenta izveidei un inovāciju iepirkuma īstenošanas vadlīniju izstrādei.</w:t>
      </w:r>
    </w:p>
    <w:p w14:paraId="1FA5BC3D" w14:textId="04096F74" w:rsidR="001E7C3A" w:rsidRPr="00FF0ED6" w:rsidRDefault="001E7C3A" w:rsidP="00097F5D">
      <w:pPr>
        <w:pStyle w:val="ListParagraph"/>
        <w:numPr>
          <w:ilvl w:val="0"/>
          <w:numId w:val="3"/>
        </w:numPr>
        <w:jc w:val="both"/>
      </w:pPr>
      <w:r w:rsidRPr="00FF0ED6">
        <w:t xml:space="preserve">sadarbībā ar Latvijas Investīciju un attīstības aģentūru un Latvijas Institūtu </w:t>
      </w:r>
      <w:r w:rsidR="00F64741" w:rsidRPr="00FF0ED6">
        <w:t>izstrādāts</w:t>
      </w:r>
      <w:r w:rsidRPr="00FF0ED6">
        <w:t xml:space="preserve"> pasākumu kopum</w:t>
      </w:r>
      <w:r w:rsidR="00F64741" w:rsidRPr="00FF0ED6">
        <w:t>s</w:t>
      </w:r>
      <w:r w:rsidRPr="00FF0ED6">
        <w:t xml:space="preserve"> vienota Latvijas valsts tēla </w:t>
      </w:r>
      <w:r w:rsidR="00F64741" w:rsidRPr="00FF0ED6">
        <w:t>izveidei</w:t>
      </w:r>
      <w:r w:rsidRPr="00FF0ED6">
        <w:t>, kas ir apstiprināts MK sēdē</w:t>
      </w:r>
      <w:r w:rsidR="00F64741" w:rsidRPr="00FF0ED6">
        <w:t>, paredzot arī finansējumu pasākumu īstenošanai.</w:t>
      </w:r>
    </w:p>
    <w:p w14:paraId="79056B63" w14:textId="77777777" w:rsidR="00F64741" w:rsidRPr="00FF0ED6" w:rsidRDefault="00F64741" w:rsidP="004D666B">
      <w:pPr>
        <w:pStyle w:val="ListParagraph"/>
        <w:jc w:val="both"/>
      </w:pPr>
    </w:p>
    <w:p w14:paraId="73A6F234" w14:textId="4A5CCEE8" w:rsidR="0003751C" w:rsidRPr="00FF0ED6" w:rsidRDefault="0003751C" w:rsidP="00097F5D">
      <w:pPr>
        <w:shd w:val="clear" w:color="auto" w:fill="DEEAF6" w:themeFill="accent5" w:themeFillTint="33"/>
        <w:jc w:val="both"/>
        <w:rPr>
          <w:rFonts w:ascii="Times New Roman" w:hAnsi="Times New Roman" w:cs="Times New Roman"/>
          <w:b/>
          <w:bCs/>
          <w:sz w:val="24"/>
          <w:szCs w:val="24"/>
        </w:rPr>
      </w:pPr>
      <w:r w:rsidRPr="00FF0ED6">
        <w:rPr>
          <w:rFonts w:ascii="Times New Roman" w:hAnsi="Times New Roman" w:cs="Times New Roman"/>
          <w:b/>
          <w:bCs/>
          <w:sz w:val="24"/>
          <w:szCs w:val="24"/>
        </w:rPr>
        <w:t xml:space="preserve">Uzņēmējdarbības vides uzlabošanas </w:t>
      </w:r>
      <w:r w:rsidR="009648DF">
        <w:rPr>
          <w:rFonts w:ascii="Times New Roman" w:hAnsi="Times New Roman" w:cs="Times New Roman"/>
          <w:b/>
          <w:bCs/>
          <w:sz w:val="24"/>
          <w:szCs w:val="24"/>
        </w:rPr>
        <w:t xml:space="preserve">un investīciju </w:t>
      </w:r>
      <w:r w:rsidRPr="00FF0ED6">
        <w:rPr>
          <w:rFonts w:ascii="Times New Roman" w:hAnsi="Times New Roman" w:cs="Times New Roman"/>
          <w:b/>
          <w:bCs/>
          <w:sz w:val="24"/>
          <w:szCs w:val="24"/>
        </w:rPr>
        <w:t>jomā</w:t>
      </w:r>
    </w:p>
    <w:p w14:paraId="3EC2E5F0" w14:textId="351B5D47" w:rsidR="00C61DB2" w:rsidRPr="00177516" w:rsidRDefault="00C61DB2" w:rsidP="00097F5D">
      <w:pPr>
        <w:pStyle w:val="ListParagraph"/>
        <w:numPr>
          <w:ilvl w:val="0"/>
          <w:numId w:val="3"/>
        </w:numPr>
        <w:shd w:val="clear" w:color="auto" w:fill="FFFFFF" w:themeFill="background1"/>
        <w:ind w:left="630"/>
        <w:jc w:val="both"/>
        <w:rPr>
          <w:rFonts w:eastAsia="Verdana"/>
          <w:bCs/>
        </w:rPr>
      </w:pPr>
      <w:r w:rsidRPr="00FF0ED6">
        <w:lastRenderedPageBreak/>
        <w:t>Izstrādāts</w:t>
      </w:r>
      <w:r w:rsidR="00275DEC" w:rsidRPr="00FF0ED6">
        <w:t xml:space="preserve">, </w:t>
      </w:r>
      <w:bookmarkStart w:id="0" w:name="_Hlk61364675"/>
      <w:r w:rsidR="00275DEC" w:rsidRPr="00FF0ED6">
        <w:t>plaši diskutējot ar sadarbības partneriem,</w:t>
      </w:r>
      <w:r w:rsidRPr="00FF0ED6">
        <w:t xml:space="preserve"> </w:t>
      </w:r>
      <w:r w:rsidRPr="00FF0ED6">
        <w:rPr>
          <w:color w:val="2A2A2A"/>
          <w:shd w:val="clear" w:color="auto" w:fill="FFFFFF"/>
        </w:rPr>
        <w:t>Nacionālās industriālās politikas pamatnostādņu projekts 2021.-2027.gadam</w:t>
      </w:r>
      <w:r w:rsidR="00275DEC" w:rsidRPr="00FF0ED6">
        <w:rPr>
          <w:color w:val="2A2A2A"/>
          <w:shd w:val="clear" w:color="auto" w:fill="FFFFFF"/>
        </w:rPr>
        <w:t>, kas iezīmē tautsaimniecības attīstību nākamajiem 7 gadiem un nepieciešamās</w:t>
      </w:r>
      <w:r w:rsidR="00D27E4F">
        <w:rPr>
          <w:color w:val="2A2A2A"/>
          <w:shd w:val="clear" w:color="auto" w:fill="FFFFFF"/>
        </w:rPr>
        <w:t xml:space="preserve"> investīcijas</w:t>
      </w:r>
      <w:r w:rsidR="00275DEC" w:rsidRPr="00FF0ED6">
        <w:rPr>
          <w:color w:val="2A2A2A"/>
          <w:shd w:val="clear" w:color="auto" w:fill="FFFFFF"/>
        </w:rPr>
        <w:t xml:space="preserve">. </w:t>
      </w:r>
      <w:bookmarkEnd w:id="0"/>
      <w:r w:rsidR="00707CD4" w:rsidRPr="00FF0ED6">
        <w:rPr>
          <w:rFonts w:eastAsia="Verdana"/>
          <w:bCs/>
          <w:shd w:val="clear" w:color="auto" w:fill="FFFFFF" w:themeFill="background1"/>
        </w:rPr>
        <w:t xml:space="preserve">Vairāk ar projektu var iepazīties šeit: </w:t>
      </w:r>
      <w:hyperlink r:id="rId10" w:history="1">
        <w:r w:rsidR="00707CD4" w:rsidRPr="00FF0ED6">
          <w:rPr>
            <w:rStyle w:val="Hyperlink"/>
            <w:rFonts w:eastAsia="Verdana"/>
            <w:bCs/>
            <w:shd w:val="clear" w:color="auto" w:fill="FFFFFF" w:themeFill="background1"/>
          </w:rPr>
          <w:t>http://tap.mk.gov.lv/mk/tap/?pid=40489298</w:t>
        </w:r>
      </w:hyperlink>
      <w:r w:rsidR="00707CD4" w:rsidRPr="00FF0ED6">
        <w:rPr>
          <w:rFonts w:eastAsia="Verdana"/>
          <w:bCs/>
          <w:shd w:val="clear" w:color="auto" w:fill="FFFFFF" w:themeFill="background1"/>
        </w:rPr>
        <w:t xml:space="preserve"> </w:t>
      </w:r>
    </w:p>
    <w:p w14:paraId="22808B86" w14:textId="1876F6B8" w:rsidR="009648DF" w:rsidRPr="00177516" w:rsidRDefault="009648DF" w:rsidP="00177516">
      <w:pPr>
        <w:pStyle w:val="ListParagraph"/>
        <w:numPr>
          <w:ilvl w:val="0"/>
          <w:numId w:val="3"/>
        </w:numPr>
        <w:shd w:val="clear" w:color="auto" w:fill="FFFFFF" w:themeFill="background1"/>
        <w:ind w:left="630"/>
        <w:jc w:val="both"/>
        <w:rPr>
          <w:rFonts w:eastAsia="Verdana"/>
          <w:bCs/>
        </w:rPr>
      </w:pPr>
      <w:r>
        <w:t xml:space="preserve">gūti nozīmīgi sasniegumi investīciju piesaistē - </w:t>
      </w:r>
      <w:r w:rsidRPr="009648DF">
        <w:t xml:space="preserve">2020. gada 9 mēnešos piesaistīto investīciju apjoms ir lielākais pēdējo septiņu gadu laikā, proti, šajā periodā </w:t>
      </w:r>
      <w:r>
        <w:t xml:space="preserve">LIAA </w:t>
      </w:r>
      <w:r w:rsidRPr="009648DF">
        <w:t xml:space="preserve">investīcijās ir izdevies piesaistīt vismaz 205 miljonus eiro un izveidot 2304 jaunas darbavietas. Salīdzinot ar 2019. gadu, jaunradīto darbavietu skaits ir dubultojies. </w:t>
      </w:r>
    </w:p>
    <w:p w14:paraId="5B1A6B9D" w14:textId="3F0A0E04" w:rsidR="009648DF" w:rsidRPr="00E4778D" w:rsidRDefault="009648DF" w:rsidP="00177516">
      <w:pPr>
        <w:pStyle w:val="ListParagraph"/>
        <w:numPr>
          <w:ilvl w:val="0"/>
          <w:numId w:val="3"/>
        </w:numPr>
        <w:spacing w:after="0" w:line="240" w:lineRule="auto"/>
        <w:contextualSpacing w:val="0"/>
        <w:jc w:val="both"/>
        <w:rPr>
          <w:rFonts w:eastAsia="Times New Roman"/>
        </w:rPr>
      </w:pPr>
      <w:r w:rsidRPr="00E4778D">
        <w:rPr>
          <w:rFonts w:eastAsia="Times New Roman"/>
        </w:rPr>
        <w:t xml:space="preserve">uzsākts darbs pie “Zaļā koridora” izveides stratēģiskajiem investīciju projektiem. </w:t>
      </w:r>
      <w:r w:rsidRPr="00E4778D">
        <w:rPr>
          <w:shd w:val="clear" w:color="auto" w:fill="FFFFFF"/>
        </w:rPr>
        <w:t>Vietējo un ārvalstu investoru efektīvai piesaistei plānots izveidot “Zaļo koridoru” birokrātijas un administratīvo procesu mazināšanai</w:t>
      </w:r>
      <w:r w:rsidR="001505BD" w:rsidRPr="00E4778D">
        <w:rPr>
          <w:shd w:val="clear" w:color="auto" w:fill="FFFFFF"/>
        </w:rPr>
        <w:t xml:space="preserve"> </w:t>
      </w:r>
      <w:r w:rsidRPr="00E4778D">
        <w:rPr>
          <w:shd w:val="clear" w:color="auto" w:fill="FFFFFF"/>
        </w:rPr>
        <w:t>augstas pievienotās vērtības investīciju projektiem.</w:t>
      </w:r>
    </w:p>
    <w:p w14:paraId="35CACCB8" w14:textId="55FC0FF6" w:rsidR="004B4047" w:rsidRPr="00FF0ED6" w:rsidRDefault="004B4047" w:rsidP="00097F5D">
      <w:pPr>
        <w:pStyle w:val="ListParagraph"/>
        <w:jc w:val="both"/>
      </w:pPr>
    </w:p>
    <w:p w14:paraId="401330A0" w14:textId="133F8309" w:rsidR="0003751C" w:rsidRPr="00FF0ED6" w:rsidRDefault="0003751C" w:rsidP="00097F5D">
      <w:pPr>
        <w:shd w:val="clear" w:color="auto" w:fill="DEEAF6" w:themeFill="accent5" w:themeFillTint="33"/>
        <w:jc w:val="both"/>
        <w:rPr>
          <w:rFonts w:ascii="Times New Roman" w:hAnsi="Times New Roman" w:cs="Times New Roman"/>
          <w:b/>
          <w:bCs/>
          <w:sz w:val="24"/>
          <w:szCs w:val="24"/>
        </w:rPr>
      </w:pPr>
      <w:r w:rsidRPr="00FF0ED6">
        <w:rPr>
          <w:rFonts w:ascii="Times New Roman" w:hAnsi="Times New Roman" w:cs="Times New Roman"/>
          <w:b/>
          <w:bCs/>
          <w:sz w:val="24"/>
          <w:szCs w:val="24"/>
        </w:rPr>
        <w:t>Enerģētikas politikas jomā</w:t>
      </w:r>
    </w:p>
    <w:p w14:paraId="3239397E" w14:textId="77777777" w:rsidR="00BE725F" w:rsidRPr="00BE725F" w:rsidRDefault="00B35755" w:rsidP="00BE725F">
      <w:pPr>
        <w:pStyle w:val="ListParagraph"/>
        <w:numPr>
          <w:ilvl w:val="0"/>
          <w:numId w:val="2"/>
        </w:numPr>
        <w:jc w:val="both"/>
      </w:pPr>
      <w:r w:rsidRPr="00FF0ED6">
        <w:rPr>
          <w:rFonts w:eastAsia="Times New Roman"/>
          <w:color w:val="000000"/>
        </w:rPr>
        <w:t>Apstiprināts Nacionālais enerģētikas un klimata plāns 2021. - 2030. gadam</w:t>
      </w:r>
      <w:r w:rsidR="001505BD">
        <w:rPr>
          <w:rFonts w:eastAsia="Times New Roman"/>
          <w:color w:val="000000"/>
        </w:rPr>
        <w:t xml:space="preserve">, kas ir </w:t>
      </w:r>
      <w:r w:rsidR="001505BD" w:rsidRPr="00177516">
        <w:t>galvenais dokuments ilgtermiņa enerģētikas un klimata politikas formulēšanai</w:t>
      </w:r>
      <w:r w:rsidR="001505BD" w:rsidRPr="001505BD">
        <w:t>.</w:t>
      </w:r>
      <w:r w:rsidR="001505BD">
        <w:t xml:space="preserve"> Plāna </w:t>
      </w:r>
      <w:r w:rsidR="001505BD" w:rsidRPr="00177516">
        <w:t>mērķis ir ilgtermiņā sekmēt klimata neitrālas un starptautiski konkurētspējīgas mūsu valsts tautsaimniecības attīstību</w:t>
      </w:r>
      <w:r w:rsidRPr="001505BD">
        <w:rPr>
          <w:rFonts w:eastAsia="Times New Roman"/>
          <w:color w:val="000000"/>
        </w:rPr>
        <w:t>;</w:t>
      </w:r>
    </w:p>
    <w:p w14:paraId="51435863" w14:textId="5345A78A" w:rsidR="00B35755" w:rsidRPr="00BE725F" w:rsidRDefault="00B35755" w:rsidP="00BE725F">
      <w:pPr>
        <w:pStyle w:val="ListParagraph"/>
        <w:numPr>
          <w:ilvl w:val="0"/>
          <w:numId w:val="2"/>
        </w:numPr>
        <w:jc w:val="both"/>
      </w:pPr>
      <w:r w:rsidRPr="00BE725F">
        <w:rPr>
          <w:rFonts w:eastAsia="Times New Roman"/>
          <w:color w:val="000000"/>
        </w:rPr>
        <w:t>Izstrādāts Transporta enerģijas likumprojekts</w:t>
      </w:r>
      <w:r w:rsidR="001505BD" w:rsidRPr="00BE725F">
        <w:rPr>
          <w:rFonts w:eastAsia="Times New Roman"/>
          <w:color w:val="000000"/>
        </w:rPr>
        <w:t xml:space="preserve">, </w:t>
      </w:r>
      <w:r w:rsidR="00BE725F" w:rsidRPr="00BE725F">
        <w:rPr>
          <w:rFonts w:eastAsia="Times New Roman"/>
          <w:color w:val="000000"/>
        </w:rPr>
        <w:t xml:space="preserve">kura </w:t>
      </w:r>
      <w:r w:rsidR="00BE725F" w:rsidRPr="00BE725F">
        <w:rPr>
          <w:rFonts w:eastAsia="Times New Roman"/>
          <w:lang w:eastAsia="lv-LV"/>
        </w:rPr>
        <w:t>mērķis ir veicināt cilvēku veselībai un apkārtējai videi drošu transporta enerģijas apriti, nodrošināt alternatīvo degvielu infrastruktūras attīstību un sabiedrības informētību par transporta enerģijas veidiem, kā arī lai sekmētu ilgtspējīgu tautsaimniecības attīstību, atjaunojamo energoresursu plašāku izmantošanu, siltumnīcefekta gāzu un gaisa piesārņojošo vielu emisiju samazināšanu;</w:t>
      </w:r>
    </w:p>
    <w:p w14:paraId="64A85D5F" w14:textId="1DB95ADB" w:rsidR="00B35755" w:rsidRDefault="00B35755" w:rsidP="00097F5D">
      <w:pPr>
        <w:pStyle w:val="ListParagraph"/>
        <w:numPr>
          <w:ilvl w:val="0"/>
          <w:numId w:val="2"/>
        </w:numPr>
        <w:jc w:val="both"/>
      </w:pPr>
      <w:r w:rsidRPr="00FF0ED6">
        <w:rPr>
          <w:rFonts w:eastAsia="Times New Roman"/>
        </w:rPr>
        <w:t>Izstrādāti un MK pieņemti 2 jauni noteikumi, kuri attiecas uz OIK regulējumu - “</w:t>
      </w:r>
      <w:r w:rsidRPr="00FF0ED6">
        <w:rPr>
          <w:rFonts w:eastAsia="Times New Roman"/>
          <w:color w:val="000000"/>
          <w:shd w:val="clear" w:color="auto" w:fill="FFFFFF"/>
        </w:rPr>
        <w:t>Noteikumi par elektroenerģijas ražošanu, uzraudzību un cenu noteikšanu, ražojot elektroenerģiju koģenerācijā” un g</w:t>
      </w:r>
      <w:r w:rsidRPr="00FF0ED6">
        <w:rPr>
          <w:rFonts w:eastAsia="Times New Roman"/>
        </w:rPr>
        <w:t>rozījumi Ministru kabineta 2020.gada 2.septembra noteikumos Nr.560 “Noteikumi par elektroenerģijas ražošanu, izmantojot atjaunojamos energoresursus, kā arī par cenu noteikšanas kārtību un uzraudzību”. Noteikumi nosaka</w:t>
      </w:r>
      <w:r w:rsidR="001505BD">
        <w:rPr>
          <w:rFonts w:eastAsia="Times New Roman"/>
        </w:rPr>
        <w:t>,</w:t>
      </w:r>
      <w:r w:rsidRPr="00FF0ED6">
        <w:rPr>
          <w:rFonts w:eastAsia="Times New Roman"/>
        </w:rPr>
        <w:t xml:space="preserve"> </w:t>
      </w:r>
      <w:r w:rsidRPr="00FF0ED6">
        <w:t>kā darbosies tās elektrostacijas, kurām jau ir iepriekš piešķirtas obligātā iepirkuma tiesības vai garantētās maksas tiesības par uzstādīto jaudu, to kontroles un uzraudzības mehānismu, kā arī noteikti gadījumi, kādos minētās tiesības tiek zaudētas un obligātais iepirkums izbeigts.</w:t>
      </w:r>
    </w:p>
    <w:p w14:paraId="6ADF517B" w14:textId="7A418603" w:rsidR="009A2C61" w:rsidRPr="00FF0ED6" w:rsidRDefault="009A2C61" w:rsidP="00097F5D">
      <w:pPr>
        <w:pStyle w:val="ListParagraph"/>
        <w:numPr>
          <w:ilvl w:val="0"/>
          <w:numId w:val="2"/>
        </w:numPr>
        <w:jc w:val="both"/>
      </w:pPr>
      <w:r>
        <w:t>P</w:t>
      </w:r>
      <w:bookmarkStart w:id="1" w:name="_GoBack"/>
      <w:bookmarkEnd w:id="1"/>
      <w:r w:rsidRPr="009A2C61">
        <w:t>anākta vienošanās par mehānismu pakāpeniskai OIK samazināšanai iedzīvotāju un uzņēmumu maksājumos, šim mērķim novirzot AS</w:t>
      </w:r>
      <w:r w:rsidRPr="00707C66">
        <w:t xml:space="preserve"> “Latvenergo” dividendes.</w:t>
      </w:r>
    </w:p>
    <w:p w14:paraId="6E08E744" w14:textId="4CCADE27" w:rsidR="00B35755" w:rsidRPr="00FF0ED6" w:rsidRDefault="009A2C61" w:rsidP="00097F5D">
      <w:pPr>
        <w:pStyle w:val="ListParagraph"/>
        <w:numPr>
          <w:ilvl w:val="0"/>
          <w:numId w:val="2"/>
        </w:numPr>
        <w:jc w:val="both"/>
      </w:pPr>
      <w:r>
        <w:t>A</w:t>
      </w:r>
      <w:r w:rsidR="009B1DF1" w:rsidRPr="00FF0ED6">
        <w:t xml:space="preserve">pstiprināti </w:t>
      </w:r>
      <w:r w:rsidR="001505BD">
        <w:rPr>
          <w:rFonts w:eastAsia="Times New Roman"/>
          <w:color w:val="000000"/>
        </w:rPr>
        <w:t>g</w:t>
      </w:r>
      <w:r w:rsidR="009B1DF1" w:rsidRPr="00FF0ED6">
        <w:rPr>
          <w:rFonts w:eastAsia="Times New Roman"/>
          <w:color w:val="000000"/>
        </w:rPr>
        <w:t>rozījumi Ministru kabineta 2014. gada 21. janvāra noteikumos Nr. 50 "</w:t>
      </w:r>
      <w:hyperlink r:id="rId11" w:tgtFrame="_blank" w:history="1">
        <w:r w:rsidR="009B1DF1" w:rsidRPr="00FF0ED6">
          <w:rPr>
            <w:rStyle w:val="Hyperlink"/>
            <w:rFonts w:eastAsia="Times New Roman"/>
            <w:color w:val="000000"/>
            <w:u w:val="none"/>
          </w:rPr>
          <w:t>Elektroenerģijas tirdzniecības un lietošanas noteikumi</w:t>
        </w:r>
      </w:hyperlink>
      <w:r w:rsidR="009B1DF1" w:rsidRPr="00FF0ED6">
        <w:rPr>
          <w:rFonts w:eastAsia="Times New Roman"/>
          <w:color w:val="000000"/>
        </w:rPr>
        <w:t xml:space="preserve">", ar kuriem </w:t>
      </w:r>
      <w:r w:rsidR="009B1DF1" w:rsidRPr="00FF0ED6">
        <w:rPr>
          <w:rFonts w:eastAsia="Times New Roman"/>
          <w:lang w:eastAsia="lv-LV"/>
        </w:rPr>
        <w:t>neto sistēmas lietotāji tiek atbrīvoti no maksājumiem par obligātā iepirkuma elektroenerģijas (mainīgās) komponentes daļu neto sistēmas ietvaros u.c. jautājumi;</w:t>
      </w:r>
    </w:p>
    <w:p w14:paraId="5877FAD8" w14:textId="064C6391" w:rsidR="00F00EBA" w:rsidRPr="00FF0ED6" w:rsidRDefault="00A414AF" w:rsidP="00097F5D">
      <w:pPr>
        <w:pStyle w:val="ListParagraph"/>
        <w:numPr>
          <w:ilvl w:val="0"/>
          <w:numId w:val="2"/>
        </w:numPr>
        <w:jc w:val="both"/>
      </w:pPr>
      <w:r w:rsidRPr="00FF0ED6">
        <w:t xml:space="preserve">Īstenots </w:t>
      </w:r>
      <w:proofErr w:type="spellStart"/>
      <w:r w:rsidRPr="00FF0ED6">
        <w:rPr>
          <w:rFonts w:eastAsia="Times New Roman"/>
        </w:rPr>
        <w:t>Conexus</w:t>
      </w:r>
      <w:proofErr w:type="spellEnd"/>
      <w:r w:rsidRPr="00FF0ED6">
        <w:rPr>
          <w:rFonts w:eastAsia="Times New Roman"/>
        </w:rPr>
        <w:t xml:space="preserve"> akciju atsavināšanas darījums;</w:t>
      </w:r>
    </w:p>
    <w:p w14:paraId="132495F8" w14:textId="00226280" w:rsidR="00A414AF" w:rsidRPr="00FF0ED6" w:rsidRDefault="00A414AF" w:rsidP="00097F5D">
      <w:pPr>
        <w:pStyle w:val="ListParagraph"/>
        <w:numPr>
          <w:ilvl w:val="0"/>
          <w:numId w:val="2"/>
        </w:numPr>
        <w:spacing w:after="0" w:line="240" w:lineRule="auto"/>
        <w:jc w:val="both"/>
        <w:rPr>
          <w:rFonts w:eastAsia="Times New Roman"/>
        </w:rPr>
      </w:pPr>
      <w:r w:rsidRPr="00FF0ED6">
        <w:rPr>
          <w:rFonts w:eastAsia="Times New Roman"/>
        </w:rPr>
        <w:t>Risināts jautājums  par elektroenerģijas tirdzniecību ar trešajām valstīm;</w:t>
      </w:r>
    </w:p>
    <w:p w14:paraId="7D9A0037" w14:textId="3F232F77" w:rsidR="00A414AF" w:rsidRPr="00FF0ED6" w:rsidRDefault="00A414AF" w:rsidP="00097F5D">
      <w:pPr>
        <w:pStyle w:val="ListParagraph"/>
        <w:numPr>
          <w:ilvl w:val="0"/>
          <w:numId w:val="2"/>
        </w:numPr>
        <w:spacing w:after="0" w:line="240" w:lineRule="auto"/>
        <w:jc w:val="both"/>
        <w:rPr>
          <w:rFonts w:eastAsia="Times New Roman"/>
        </w:rPr>
      </w:pPr>
      <w:r w:rsidRPr="00FF0ED6">
        <w:rPr>
          <w:rFonts w:eastAsia="Times New Roman"/>
        </w:rPr>
        <w:t xml:space="preserve">Izstrādāti uz apstiprināti grozījumi MK noteikumus Nr. 50 “Elektroenerģijas tirdzniecības un lietošanas noteikumi”, ar kuriem ieviests mehānisms, kādos </w:t>
      </w:r>
      <w:r w:rsidRPr="00FF0ED6">
        <w:rPr>
          <w:rFonts w:eastAsia="Times New Roman"/>
        </w:rPr>
        <w:lastRenderedPageBreak/>
        <w:t>gadījumos sadales sistēmas operators sedz zaudējumus elektroenerģijas piegādes pārtraukuma gadījumā u.c. jautājumi;</w:t>
      </w:r>
    </w:p>
    <w:p w14:paraId="180735DE" w14:textId="618EA306" w:rsidR="00A414AF" w:rsidRPr="00FF0ED6" w:rsidRDefault="00A414AF" w:rsidP="00097F5D">
      <w:pPr>
        <w:pStyle w:val="ListParagraph"/>
        <w:numPr>
          <w:ilvl w:val="0"/>
          <w:numId w:val="2"/>
        </w:numPr>
        <w:spacing w:after="0" w:line="240" w:lineRule="auto"/>
        <w:jc w:val="both"/>
        <w:rPr>
          <w:rFonts w:eastAsia="Times New Roman"/>
        </w:rPr>
      </w:pPr>
      <w:r w:rsidRPr="00FF0ED6">
        <w:rPr>
          <w:rFonts w:eastAsia="Times New Roman"/>
        </w:rPr>
        <w:t>Izstrādāti Enerģētikas likuma grozījumi, kas izveido enerģētiskās nabadzības definīciju, kā arī nosaka īsāku laiku elektroenerģijas pieslēguma</w:t>
      </w:r>
      <w:r w:rsidR="002D1D3E">
        <w:rPr>
          <w:rFonts w:eastAsia="Times New Roman"/>
        </w:rPr>
        <w:t xml:space="preserve"> izveidei</w:t>
      </w:r>
      <w:r w:rsidRPr="00FF0ED6">
        <w:rPr>
          <w:rFonts w:eastAsia="Times New Roman"/>
        </w:rPr>
        <w:t xml:space="preserve"> vienā no posmiem;</w:t>
      </w:r>
    </w:p>
    <w:p w14:paraId="67AA5119" w14:textId="3497C75F" w:rsidR="00A414AF" w:rsidRPr="00FF0ED6" w:rsidRDefault="00A414AF" w:rsidP="00097F5D">
      <w:pPr>
        <w:pStyle w:val="ListParagraph"/>
        <w:numPr>
          <w:ilvl w:val="0"/>
          <w:numId w:val="2"/>
        </w:numPr>
        <w:spacing w:after="0" w:line="240" w:lineRule="auto"/>
        <w:jc w:val="both"/>
        <w:rPr>
          <w:rFonts w:eastAsia="Times New Roman"/>
        </w:rPr>
      </w:pPr>
      <w:r w:rsidRPr="00FF0ED6">
        <w:rPr>
          <w:rFonts w:eastAsia="Times New Roman"/>
        </w:rPr>
        <w:t>Izstrādāti un apstiprināti 2020. gada 24. marta noteikumi Nr. 157 “</w:t>
      </w:r>
      <w:proofErr w:type="spellStart"/>
      <w:r w:rsidRPr="00FF0ED6">
        <w:rPr>
          <w:rFonts w:eastAsia="Times New Roman"/>
        </w:rPr>
        <w:t>Agregatoru</w:t>
      </w:r>
      <w:proofErr w:type="spellEnd"/>
      <w:r w:rsidRPr="00FF0ED6">
        <w:rPr>
          <w:rFonts w:eastAsia="Times New Roman"/>
        </w:rPr>
        <w:t xml:space="preserve"> noteikumi”;</w:t>
      </w:r>
    </w:p>
    <w:p w14:paraId="1D70AF3B" w14:textId="662E7357" w:rsidR="003E7F51" w:rsidRPr="00FF0ED6" w:rsidRDefault="003E7F51" w:rsidP="00097F5D">
      <w:pPr>
        <w:jc w:val="both"/>
        <w:rPr>
          <w:rFonts w:ascii="Times New Roman" w:hAnsi="Times New Roman" w:cs="Times New Roman"/>
          <w:sz w:val="24"/>
          <w:szCs w:val="24"/>
        </w:rPr>
      </w:pPr>
    </w:p>
    <w:p w14:paraId="1F0BC56C" w14:textId="71B35BBD" w:rsidR="00F00EBA" w:rsidRPr="00FF0ED6" w:rsidRDefault="00F00EBA" w:rsidP="00097F5D">
      <w:pPr>
        <w:shd w:val="clear" w:color="auto" w:fill="DEEAF6" w:themeFill="accent5" w:themeFillTint="33"/>
        <w:jc w:val="both"/>
        <w:rPr>
          <w:rFonts w:ascii="Times New Roman" w:hAnsi="Times New Roman" w:cs="Times New Roman"/>
          <w:b/>
          <w:bCs/>
          <w:sz w:val="24"/>
          <w:szCs w:val="24"/>
        </w:rPr>
      </w:pPr>
      <w:r w:rsidRPr="00FF0ED6">
        <w:rPr>
          <w:rFonts w:ascii="Times New Roman" w:hAnsi="Times New Roman" w:cs="Times New Roman"/>
          <w:b/>
          <w:bCs/>
          <w:sz w:val="24"/>
          <w:szCs w:val="24"/>
        </w:rPr>
        <w:t>Energoefektivitātes veicināšanas jomā</w:t>
      </w:r>
    </w:p>
    <w:p w14:paraId="40AC1A5A" w14:textId="7B86846B" w:rsidR="00B63D66" w:rsidRPr="00FF0ED6" w:rsidRDefault="00B63D66" w:rsidP="00097F5D">
      <w:pPr>
        <w:numPr>
          <w:ilvl w:val="0"/>
          <w:numId w:val="2"/>
        </w:numPr>
        <w:spacing w:after="0" w:line="240" w:lineRule="auto"/>
        <w:jc w:val="both"/>
        <w:rPr>
          <w:rFonts w:ascii="Times New Roman" w:eastAsia="Times New Roman" w:hAnsi="Times New Roman" w:cs="Times New Roman"/>
          <w:sz w:val="24"/>
          <w:szCs w:val="24"/>
        </w:rPr>
      </w:pPr>
      <w:r w:rsidRPr="00FF0ED6">
        <w:rPr>
          <w:rFonts w:ascii="Times New Roman" w:eastAsia="Times New Roman" w:hAnsi="Times New Roman" w:cs="Times New Roman"/>
          <w:sz w:val="24"/>
          <w:szCs w:val="24"/>
        </w:rPr>
        <w:t>Panākts papildus 35 milj. eiro finansējums daudzdzīvokļu dzīvojamo ēku atjaunošanas programmai, kā arī veikti būtiski uzlabojumi šajā programmā;</w:t>
      </w:r>
    </w:p>
    <w:p w14:paraId="14154E0C" w14:textId="5486FFA9" w:rsidR="00B63D66" w:rsidRPr="00FF0ED6" w:rsidRDefault="00B63D66" w:rsidP="00097F5D">
      <w:pPr>
        <w:pStyle w:val="ListParagraph"/>
        <w:numPr>
          <w:ilvl w:val="0"/>
          <w:numId w:val="2"/>
        </w:numPr>
        <w:jc w:val="both"/>
        <w:rPr>
          <w:rFonts w:eastAsia="Times New Roman"/>
        </w:rPr>
      </w:pPr>
      <w:r w:rsidRPr="00FF0ED6">
        <w:rPr>
          <w:rFonts w:eastAsia="Times New Roman"/>
        </w:rPr>
        <w:t xml:space="preserve">Darbs pie jaunā ES fondu plānošanas perioda 2021.-2027. gadam darbības programmas izstrādes, kur plānots īstenot sešas programmas – energoefektivitātes uzlabošana dzīvojamās ēkās, energoefektivitātes uzlabošana valsts ēkās, </w:t>
      </w:r>
      <w:proofErr w:type="spellStart"/>
      <w:r w:rsidRPr="00FF0ED6">
        <w:rPr>
          <w:rFonts w:eastAsia="Times New Roman"/>
        </w:rPr>
        <w:t>biometāna</w:t>
      </w:r>
      <w:proofErr w:type="spellEnd"/>
      <w:r w:rsidRPr="00FF0ED6">
        <w:rPr>
          <w:rFonts w:eastAsia="Times New Roman"/>
        </w:rPr>
        <w:t xml:space="preserve"> ražošanas un izmantošanas veicināšana, AER izmantošanas elektroenerģijas ražošanā veicināšana, AER izmantošana un energoefektivitātes paaugstināšana rūpniecībā un komersantos, AER izmantošana un energoefektivitātes paaugstināšana lokālajā un individuālajā siltumapgādē un </w:t>
      </w:r>
      <w:proofErr w:type="spellStart"/>
      <w:r w:rsidRPr="00FF0ED6">
        <w:rPr>
          <w:rFonts w:eastAsia="Times New Roman"/>
        </w:rPr>
        <w:t>aukstumapgādē</w:t>
      </w:r>
      <w:proofErr w:type="spellEnd"/>
      <w:r w:rsidR="00BF5760" w:rsidRPr="00FF0ED6">
        <w:rPr>
          <w:rFonts w:eastAsia="Times New Roman"/>
        </w:rPr>
        <w:t>;</w:t>
      </w:r>
    </w:p>
    <w:p w14:paraId="50735B53" w14:textId="0F849D92" w:rsidR="00B63D66" w:rsidRPr="00FF0ED6" w:rsidRDefault="00B63D66" w:rsidP="00097F5D">
      <w:pPr>
        <w:pStyle w:val="ListParagraph"/>
        <w:numPr>
          <w:ilvl w:val="0"/>
          <w:numId w:val="2"/>
        </w:numPr>
        <w:jc w:val="both"/>
      </w:pPr>
      <w:r w:rsidRPr="00FF0ED6">
        <w:rPr>
          <w:rFonts w:eastAsia="Times New Roman"/>
        </w:rPr>
        <w:t xml:space="preserve">COVID-19 pandēmijas atveseļošanās reformu piedāvājuma Eiropas Atveseļošanās un noturības mehānisma ietvaros </w:t>
      </w:r>
      <w:r w:rsidRPr="00FF0ED6">
        <w:t>(</w:t>
      </w:r>
      <w:hyperlink r:id="rId12" w:history="1">
        <w:r w:rsidRPr="00FF0ED6">
          <w:rPr>
            <w:rStyle w:val="Hyperlink"/>
            <w:u w:val="none"/>
          </w:rPr>
          <w:t>https://www.esfondi.lv/atveselosanas-un-noturibas-mehanisms</w:t>
        </w:r>
      </w:hyperlink>
      <w:r w:rsidRPr="00FF0ED6">
        <w:t>)</w:t>
      </w:r>
      <w:r w:rsidRPr="00FF0ED6">
        <w:rPr>
          <w:rFonts w:eastAsia="Times New Roman"/>
        </w:rPr>
        <w:t xml:space="preserve"> izstrādāti dažādi atbalsta instrumenti klimata pārmaiņu seku mazināšanai (213 </w:t>
      </w:r>
      <w:proofErr w:type="spellStart"/>
      <w:r w:rsidRPr="00FF0ED6">
        <w:rPr>
          <w:rFonts w:eastAsia="Times New Roman"/>
        </w:rPr>
        <w:t>milj.</w:t>
      </w:r>
      <w:r w:rsidR="00BF5760" w:rsidRPr="00FF0ED6">
        <w:rPr>
          <w:rFonts w:eastAsia="Times New Roman"/>
        </w:rPr>
        <w:t>eiro</w:t>
      </w:r>
      <w:proofErr w:type="spellEnd"/>
      <w:r w:rsidRPr="00FF0ED6">
        <w:rPr>
          <w:rFonts w:eastAsia="Times New Roman"/>
        </w:rPr>
        <w:t>), kura ietvaros paredzēts finansējums arī daudzdzīvokļu dzīvojamo ēku atjaunošanai;</w:t>
      </w:r>
    </w:p>
    <w:p w14:paraId="558E48C2" w14:textId="721B388E" w:rsidR="003F27AC" w:rsidRPr="00FF0ED6" w:rsidRDefault="003F27AC" w:rsidP="00097F5D">
      <w:pPr>
        <w:pStyle w:val="ListParagraph"/>
        <w:numPr>
          <w:ilvl w:val="0"/>
          <w:numId w:val="2"/>
        </w:numPr>
        <w:jc w:val="both"/>
      </w:pPr>
      <w:r w:rsidRPr="00FF0ED6">
        <w:t>I</w:t>
      </w:r>
      <w:r w:rsidR="00B63D66" w:rsidRPr="00FF0ED6">
        <w:t xml:space="preserve">nformatīvās kampaņas “Dzīvo siltāk” ietvaros 2020.gadā ir organizējusi vairāk kā 30 informatīvus pasākumus (klātienē un e-vidē), kuru mērķis bija informēt par iespējām saņem </w:t>
      </w:r>
      <w:r w:rsidRPr="00FF0ED6">
        <w:t>ES</w:t>
      </w:r>
      <w:r w:rsidR="00B63D66" w:rsidRPr="00FF0ED6">
        <w:t xml:space="preserve"> līdzfinansējumu daudzdzīvokļu, valsts un ražošanas ēku energoefektivitātes paaugstināšanai, par kvalitatīvu projektu īstenošanu un arī ēku uzturēšanu pēc to atjaunošanas. </w:t>
      </w:r>
      <w:r w:rsidRPr="00FF0ED6">
        <w:t>Šogad</w:t>
      </w:r>
      <w:r w:rsidR="00B63D66" w:rsidRPr="00FF0ED6">
        <w:t xml:space="preserve"> tika organizēti arī pasākumi par mikroklimatu un citām aktuālām tēmām</w:t>
      </w:r>
      <w:r w:rsidR="00097F5D" w:rsidRPr="00FF0ED6">
        <w:t>;</w:t>
      </w:r>
      <w:r w:rsidR="00B63D66" w:rsidRPr="00FF0ED6">
        <w:t xml:space="preserve"> </w:t>
      </w:r>
    </w:p>
    <w:p w14:paraId="4C8BA7AA" w14:textId="7C9E54BA" w:rsidR="00097F5D" w:rsidRPr="00FF0ED6" w:rsidRDefault="00B63D66" w:rsidP="00097F5D">
      <w:pPr>
        <w:pStyle w:val="ListParagraph"/>
        <w:numPr>
          <w:ilvl w:val="0"/>
          <w:numId w:val="2"/>
        </w:numPr>
        <w:jc w:val="both"/>
      </w:pPr>
      <w:r w:rsidRPr="00FF0ED6">
        <w:t>2020.gadā Ekonomikas ministrija parakstīja Sadarbības memorandu par energoefektivitātes veicināšanu ar Vides aizsardzības un reģionālās attīstības ministriju un vēl 41 nevalstiskajām organizācijām un valsts pārvaldes iestādēm</w:t>
      </w:r>
      <w:r w:rsidR="00097F5D" w:rsidRPr="00FF0ED6">
        <w:t>;</w:t>
      </w:r>
    </w:p>
    <w:p w14:paraId="7292F6ED" w14:textId="4D29F6B6" w:rsidR="00B63D66" w:rsidRPr="00FF0ED6" w:rsidRDefault="00097F5D" w:rsidP="00097F5D">
      <w:pPr>
        <w:pStyle w:val="ListParagraph"/>
        <w:numPr>
          <w:ilvl w:val="0"/>
          <w:numId w:val="2"/>
        </w:numPr>
        <w:jc w:val="both"/>
      </w:pPr>
      <w:r w:rsidRPr="00FF0ED6">
        <w:t>O</w:t>
      </w:r>
      <w:r w:rsidR="00B63D66" w:rsidRPr="00FF0ED6">
        <w:t>rganizēts konkurss “Energoefektīvākā ēka Latvijā 2020” un organizēta dalība divās izstādēs</w:t>
      </w:r>
      <w:r w:rsidRPr="00FF0ED6">
        <w:t xml:space="preserve"> par būvniecības un mājokļa tēmām</w:t>
      </w:r>
      <w:r w:rsidR="00BF5760" w:rsidRPr="00FF0ED6">
        <w:t>;</w:t>
      </w:r>
      <w:r w:rsidR="00B63D66" w:rsidRPr="00FF0ED6">
        <w:t xml:space="preserve"> </w:t>
      </w:r>
    </w:p>
    <w:p w14:paraId="647D7D0F" w14:textId="020CABDF" w:rsidR="00F345CF" w:rsidRPr="00FF0ED6" w:rsidRDefault="00F345CF" w:rsidP="00097F5D">
      <w:pPr>
        <w:numPr>
          <w:ilvl w:val="0"/>
          <w:numId w:val="2"/>
        </w:numPr>
        <w:spacing w:after="0" w:line="240" w:lineRule="auto"/>
        <w:jc w:val="both"/>
        <w:rPr>
          <w:rFonts w:ascii="Times New Roman" w:eastAsia="Times New Roman" w:hAnsi="Times New Roman" w:cs="Times New Roman"/>
          <w:sz w:val="24"/>
          <w:szCs w:val="24"/>
        </w:rPr>
      </w:pPr>
      <w:r w:rsidRPr="00FF0ED6">
        <w:rPr>
          <w:rFonts w:ascii="Times New Roman" w:eastAsia="Times New Roman" w:hAnsi="Times New Roman" w:cs="Times New Roman"/>
          <w:sz w:val="24"/>
          <w:szCs w:val="24"/>
        </w:rPr>
        <w:t>CAMS (pielāgošanās klimata pārmaiņām un to seku mazināšanas sinerģija energoefektivitātes projektos) projekta sekmīga koordinēšana un īstenošana</w:t>
      </w:r>
      <w:r w:rsidR="00BF5760" w:rsidRPr="00FF0ED6">
        <w:rPr>
          <w:rFonts w:ascii="Times New Roman" w:eastAsia="Times New Roman" w:hAnsi="Times New Roman" w:cs="Times New Roman"/>
          <w:sz w:val="24"/>
          <w:szCs w:val="24"/>
        </w:rPr>
        <w:t>.</w:t>
      </w:r>
    </w:p>
    <w:p w14:paraId="452C1334" w14:textId="7D3230D2" w:rsidR="00F00EBA" w:rsidRPr="00FF0ED6" w:rsidRDefault="00F00EBA" w:rsidP="00097F5D">
      <w:pPr>
        <w:jc w:val="both"/>
        <w:rPr>
          <w:rFonts w:ascii="Times New Roman" w:hAnsi="Times New Roman" w:cs="Times New Roman"/>
          <w:sz w:val="24"/>
          <w:szCs w:val="24"/>
        </w:rPr>
      </w:pPr>
    </w:p>
    <w:p w14:paraId="7AE9B02A" w14:textId="4241CC54" w:rsidR="0003751C" w:rsidRPr="00FF0ED6" w:rsidRDefault="0003751C" w:rsidP="00097F5D">
      <w:pPr>
        <w:shd w:val="clear" w:color="auto" w:fill="DEEAF6" w:themeFill="accent5" w:themeFillTint="33"/>
        <w:jc w:val="both"/>
        <w:rPr>
          <w:rFonts w:ascii="Times New Roman" w:hAnsi="Times New Roman" w:cs="Times New Roman"/>
          <w:b/>
          <w:bCs/>
          <w:sz w:val="24"/>
          <w:szCs w:val="24"/>
        </w:rPr>
      </w:pPr>
      <w:r w:rsidRPr="00FF0ED6">
        <w:rPr>
          <w:rFonts w:ascii="Times New Roman" w:hAnsi="Times New Roman" w:cs="Times New Roman"/>
          <w:b/>
          <w:bCs/>
          <w:sz w:val="24"/>
          <w:szCs w:val="24"/>
        </w:rPr>
        <w:t>Mājokļu politikas jomā</w:t>
      </w:r>
    </w:p>
    <w:p w14:paraId="4D9B7F29" w14:textId="61DB115E" w:rsidR="003E7F51" w:rsidRPr="000B6C85" w:rsidRDefault="003E7F51" w:rsidP="00097F5D">
      <w:pPr>
        <w:pStyle w:val="ListParagraph"/>
        <w:numPr>
          <w:ilvl w:val="0"/>
          <w:numId w:val="2"/>
        </w:numPr>
        <w:tabs>
          <w:tab w:val="left" w:pos="851"/>
        </w:tabs>
        <w:spacing w:after="0"/>
        <w:jc w:val="both"/>
        <w:rPr>
          <w:bCs/>
        </w:rPr>
      </w:pPr>
      <w:r w:rsidRPr="00FF0ED6">
        <w:rPr>
          <w:bCs/>
        </w:rPr>
        <w:t xml:space="preserve">Īstenots </w:t>
      </w:r>
      <w:r w:rsidRPr="00FF0ED6">
        <w:t>Latvijas un OECD divpusējais sadarbības projekts “Mājokļu pieejamība Latvijā”, kurā iegūtie dati un OECD rekomendācijas tiks ņemtas par pamatu mājokļu politikas stratēģijas izstrādei 2021. gadā;</w:t>
      </w:r>
    </w:p>
    <w:p w14:paraId="2C3633FE" w14:textId="20D17403" w:rsidR="000B6C85" w:rsidRPr="002D1D3E" w:rsidRDefault="000B6C85" w:rsidP="002D1D3E">
      <w:pPr>
        <w:pStyle w:val="ListParagraph"/>
        <w:numPr>
          <w:ilvl w:val="0"/>
          <w:numId w:val="2"/>
        </w:numPr>
        <w:spacing w:before="60" w:after="60" w:line="240" w:lineRule="auto"/>
        <w:jc w:val="both"/>
        <w:rPr>
          <w:rFonts w:eastAsia="Times New Roman"/>
          <w:sz w:val="26"/>
          <w:szCs w:val="26"/>
        </w:rPr>
      </w:pPr>
      <w:r>
        <w:rPr>
          <w:rFonts w:eastAsia="Times New Roman"/>
          <w:sz w:val="26"/>
          <w:szCs w:val="26"/>
        </w:rPr>
        <w:lastRenderedPageBreak/>
        <w:t xml:space="preserve">Panākts, ka </w:t>
      </w:r>
      <w:r w:rsidRPr="000B6C85">
        <w:rPr>
          <w:rFonts w:eastAsia="Times New Roman"/>
          <w:sz w:val="26"/>
          <w:szCs w:val="26"/>
        </w:rPr>
        <w:t xml:space="preserve">2021. gadā valsts budžetā </w:t>
      </w:r>
      <w:r>
        <w:rPr>
          <w:rFonts w:eastAsia="Times New Roman"/>
          <w:sz w:val="26"/>
          <w:szCs w:val="26"/>
        </w:rPr>
        <w:t>tiek paredzēti</w:t>
      </w:r>
      <w:r w:rsidRPr="000B6C85">
        <w:rPr>
          <w:rFonts w:eastAsia="Times New Roman"/>
          <w:sz w:val="26"/>
          <w:szCs w:val="26"/>
        </w:rPr>
        <w:t xml:space="preserve"> </w:t>
      </w:r>
      <w:r w:rsidRPr="002D1D3E">
        <w:rPr>
          <w:rFonts w:eastAsia="Times New Roman"/>
          <w:sz w:val="26"/>
          <w:szCs w:val="26"/>
        </w:rPr>
        <w:t>2</w:t>
      </w:r>
      <w:r>
        <w:rPr>
          <w:rFonts w:eastAsia="Times New Roman"/>
          <w:sz w:val="26"/>
          <w:szCs w:val="26"/>
        </w:rPr>
        <w:t>,</w:t>
      </w:r>
      <w:r w:rsidRPr="002D1D3E">
        <w:rPr>
          <w:rFonts w:eastAsia="Times New Roman"/>
          <w:sz w:val="26"/>
          <w:szCs w:val="26"/>
        </w:rPr>
        <w:t>78</w:t>
      </w:r>
      <w:r>
        <w:rPr>
          <w:rFonts w:eastAsia="Times New Roman"/>
          <w:sz w:val="26"/>
          <w:szCs w:val="26"/>
        </w:rPr>
        <w:t xml:space="preserve"> milj.</w:t>
      </w:r>
      <w:r w:rsidRPr="002D1D3E">
        <w:rPr>
          <w:rFonts w:eastAsia="Times New Roman"/>
          <w:sz w:val="26"/>
          <w:szCs w:val="26"/>
        </w:rPr>
        <w:t> eiro valsts līdzfinansējumam dzīvojamās telpas atbrīvošanas pabalsta nodrošināšanai denacionalizēto namu īrniekiem.</w:t>
      </w:r>
      <w:r w:rsidRPr="000B6C85">
        <w:rPr>
          <w:rFonts w:eastAsia="Times New Roman"/>
          <w:sz w:val="26"/>
          <w:szCs w:val="26"/>
        </w:rPr>
        <w:t xml:space="preserve"> </w:t>
      </w:r>
    </w:p>
    <w:p w14:paraId="1547E56F" w14:textId="08D34565" w:rsidR="006B5B35" w:rsidRPr="00FF0ED6" w:rsidRDefault="006B5B35" w:rsidP="00097F5D">
      <w:pPr>
        <w:pStyle w:val="ListParagraph"/>
        <w:numPr>
          <w:ilvl w:val="0"/>
          <w:numId w:val="2"/>
        </w:numPr>
        <w:spacing w:after="0" w:line="240" w:lineRule="auto"/>
        <w:jc w:val="both"/>
      </w:pPr>
      <w:r w:rsidRPr="00FF0ED6">
        <w:t>Apstiprināti Ministru kabineta 2020. gada 10. decembra noteikumi Nr. 730 “Ekspluatējamu ēku energoefektivitātes minimālās prasības”, kas stā</w:t>
      </w:r>
      <w:r w:rsidR="001505BD">
        <w:t>jušies</w:t>
      </w:r>
      <w:r w:rsidRPr="00FF0ED6">
        <w:t xml:space="preserve"> spēkā 2021. gada 1. janvārī. Vairāk par noteikumiem: </w:t>
      </w:r>
      <w:hyperlink r:id="rId13" w:history="1">
        <w:r w:rsidR="00F60506" w:rsidRPr="00FF0ED6">
          <w:rPr>
            <w:rStyle w:val="Hyperlink"/>
          </w:rPr>
          <w:t>https://www.em.gov.lv/lv/jaunums/nosaka-ekspluatejamu-eku-minimalas-energoefektivitates-prasibas</w:t>
        </w:r>
      </w:hyperlink>
      <w:r w:rsidR="00F60506" w:rsidRPr="00FF0ED6">
        <w:t xml:space="preserve"> ;</w:t>
      </w:r>
    </w:p>
    <w:p w14:paraId="44456DEB" w14:textId="5FD7CAF5" w:rsidR="006B5B35" w:rsidRPr="00FF0ED6" w:rsidRDefault="00F60506" w:rsidP="00097F5D">
      <w:pPr>
        <w:pStyle w:val="ListParagraph"/>
        <w:numPr>
          <w:ilvl w:val="0"/>
          <w:numId w:val="2"/>
        </w:numPr>
        <w:tabs>
          <w:tab w:val="left" w:pos="851"/>
        </w:tabs>
        <w:spacing w:after="0"/>
        <w:jc w:val="both"/>
        <w:rPr>
          <w:bCs/>
        </w:rPr>
      </w:pPr>
      <w:r w:rsidRPr="00FF0ED6">
        <w:rPr>
          <w:bCs/>
        </w:rPr>
        <w:t xml:space="preserve">Paplašināta atbalsta programma ģimenēm ar bērniem, pirmo reizi paredzot </w:t>
      </w:r>
      <w:r w:rsidRPr="00FF0ED6">
        <w:t>valsts garantijas mājokļa iegādei ģimenēm, kurās bērns vēl tiek gaidīts</w:t>
      </w:r>
      <w:r w:rsidR="001505BD">
        <w:t>,</w:t>
      </w:r>
      <w:r w:rsidRPr="00FF0ED6">
        <w:t xml:space="preserve"> un daudzbērnu ģimenes atbalstu lielākā apmērā, paredzot tiesības uz valsts garantiju līdz 30% apmērā no aizdevuma summas, kā arī valsts subsīdiju “Balsts”;</w:t>
      </w:r>
    </w:p>
    <w:p w14:paraId="43F04A3B" w14:textId="20158067" w:rsidR="00F60506" w:rsidRPr="00FF0ED6" w:rsidRDefault="00F60506" w:rsidP="00097F5D">
      <w:pPr>
        <w:pStyle w:val="ListParagraph"/>
        <w:numPr>
          <w:ilvl w:val="0"/>
          <w:numId w:val="2"/>
        </w:numPr>
        <w:tabs>
          <w:tab w:val="left" w:pos="851"/>
        </w:tabs>
        <w:spacing w:after="0"/>
        <w:jc w:val="both"/>
      </w:pPr>
      <w:r w:rsidRPr="00FF0ED6">
        <w:t>Izstrādāta Ēku atjaunošanas ilgtermiņa stratēģija, kas ir vērsta uz energoefektivitātes veicināšanu dzīvojamā un nedzīvojamā ēku sektorā, un sevī ietver Latvijas kopējā ēku fonda šī brīža raksturojumu, pārskatu par politiku un darbībām, kas vērstas uz ēku fonda atjaunošanu, veicinot tā energoefektivitāti un sasniedzamos energoefektivitātes mērķus periodā līdz 2050. gadam;</w:t>
      </w:r>
    </w:p>
    <w:p w14:paraId="73EBC37C" w14:textId="0F972F0E" w:rsidR="001342DF" w:rsidRPr="00FF0ED6" w:rsidRDefault="001342DF" w:rsidP="00097F5D">
      <w:pPr>
        <w:pStyle w:val="ListParagraph"/>
        <w:numPr>
          <w:ilvl w:val="0"/>
          <w:numId w:val="2"/>
        </w:numPr>
        <w:tabs>
          <w:tab w:val="left" w:pos="851"/>
        </w:tabs>
        <w:spacing w:after="0"/>
        <w:jc w:val="both"/>
      </w:pPr>
      <w:r w:rsidRPr="00FF0ED6">
        <w:t xml:space="preserve">Izstrādāts rīcības plāns </w:t>
      </w:r>
      <w:r w:rsidR="00B96E4B" w:rsidRPr="00FF0ED6">
        <w:t xml:space="preserve">ar 11 </w:t>
      </w:r>
      <w:r w:rsidRPr="00FF0ED6">
        <w:t xml:space="preserve">pasākumiem dzīvojamā fonda tehniskā stāvokļa pilnveidošanai ekspluatācijas laikā. Plašāk: </w:t>
      </w:r>
      <w:hyperlink r:id="rId14" w:history="1">
        <w:r w:rsidRPr="00FF0ED6">
          <w:rPr>
            <w:rStyle w:val="Hyperlink"/>
          </w:rPr>
          <w:t>https://www.em.gov.lv/lv/jaunums/apstiprina-planu-ar-nepieciesamajiem-pasakumiem-dzivojama-fonda-uzlabosanai</w:t>
        </w:r>
      </w:hyperlink>
      <w:r w:rsidRPr="00FF0ED6">
        <w:t xml:space="preserve"> </w:t>
      </w:r>
      <w:r w:rsidR="00B96E4B" w:rsidRPr="00FF0ED6">
        <w:t>;</w:t>
      </w:r>
    </w:p>
    <w:p w14:paraId="50EFA7A7" w14:textId="558A099C" w:rsidR="003E7F51" w:rsidRPr="00FF0ED6" w:rsidRDefault="003E7F51" w:rsidP="00097F5D">
      <w:pPr>
        <w:pStyle w:val="ListParagraph"/>
        <w:numPr>
          <w:ilvl w:val="0"/>
          <w:numId w:val="2"/>
        </w:numPr>
        <w:tabs>
          <w:tab w:val="left" w:pos="851"/>
        </w:tabs>
        <w:spacing w:after="0"/>
        <w:jc w:val="both"/>
        <w:rPr>
          <w:bCs/>
        </w:rPr>
      </w:pPr>
      <w:r w:rsidRPr="00FF0ED6">
        <w:rPr>
          <w:bCs/>
        </w:rPr>
        <w:t xml:space="preserve">Jaunu daudzdzīvokļu ēku būvniecības sekmēšanai </w:t>
      </w:r>
      <w:r w:rsidR="00163BC2" w:rsidRPr="00FF0ED6">
        <w:rPr>
          <w:bCs/>
        </w:rPr>
        <w:t xml:space="preserve">izstrādāts daudzdzīvokļu dzīvojamās mājas </w:t>
      </w:r>
      <w:r w:rsidRPr="00FF0ED6">
        <w:rPr>
          <w:bCs/>
        </w:rPr>
        <w:t>tipveida būvprojekt</w:t>
      </w:r>
      <w:r w:rsidR="00163BC2" w:rsidRPr="00FF0ED6">
        <w:rPr>
          <w:bCs/>
        </w:rPr>
        <w:t>s, kas būs brīvi pieejams ikvienam interesentam;</w:t>
      </w:r>
    </w:p>
    <w:p w14:paraId="71487A72" w14:textId="071CBBA0" w:rsidR="004B4047" w:rsidRPr="00FF0ED6" w:rsidRDefault="00163BC2" w:rsidP="00097F5D">
      <w:pPr>
        <w:pStyle w:val="ListParagraph"/>
        <w:numPr>
          <w:ilvl w:val="0"/>
          <w:numId w:val="2"/>
        </w:numPr>
        <w:jc w:val="both"/>
        <w:rPr>
          <w:bCs/>
        </w:rPr>
      </w:pPr>
      <w:r w:rsidRPr="00FF0ED6">
        <w:rPr>
          <w:bCs/>
        </w:rPr>
        <w:t xml:space="preserve">Saeimā aktīvi virzījās uz priekšu nozīmīgi likumprojekti mājokļu politikas jomā - </w:t>
      </w:r>
      <w:r w:rsidRPr="00FF0ED6">
        <w:rPr>
          <w:rFonts w:eastAsia="Times New Roman"/>
        </w:rPr>
        <w:t xml:space="preserve">Grozījumi Dzīvojamo māju pavaldīšanas likumā, Grozījumi Dzīvokļa īpašuma likumā. </w:t>
      </w:r>
    </w:p>
    <w:p w14:paraId="7456903C" w14:textId="77777777" w:rsidR="00163BC2" w:rsidRPr="00FF0ED6" w:rsidRDefault="00163BC2" w:rsidP="00097F5D">
      <w:pPr>
        <w:jc w:val="both"/>
        <w:rPr>
          <w:rFonts w:ascii="Times New Roman" w:hAnsi="Times New Roman" w:cs="Times New Roman"/>
          <w:bCs/>
          <w:sz w:val="24"/>
          <w:szCs w:val="24"/>
        </w:rPr>
      </w:pPr>
    </w:p>
    <w:p w14:paraId="7D77983A" w14:textId="77777777" w:rsidR="004B4047" w:rsidRPr="00FF0ED6" w:rsidRDefault="004B4047" w:rsidP="00097F5D">
      <w:pPr>
        <w:shd w:val="clear" w:color="auto" w:fill="DEEAF6" w:themeFill="accent5" w:themeFillTint="33"/>
        <w:jc w:val="both"/>
        <w:rPr>
          <w:rFonts w:ascii="Times New Roman" w:hAnsi="Times New Roman" w:cs="Times New Roman"/>
          <w:b/>
          <w:bCs/>
          <w:sz w:val="24"/>
          <w:szCs w:val="24"/>
        </w:rPr>
      </w:pPr>
      <w:r w:rsidRPr="00FF0ED6">
        <w:rPr>
          <w:rFonts w:ascii="Times New Roman" w:hAnsi="Times New Roman" w:cs="Times New Roman"/>
          <w:b/>
          <w:bCs/>
          <w:sz w:val="24"/>
          <w:szCs w:val="24"/>
        </w:rPr>
        <w:t>Būvniecības politikas jomā</w:t>
      </w:r>
    </w:p>
    <w:p w14:paraId="7BDB1D9E" w14:textId="2C19F51B" w:rsidR="00F519D4" w:rsidRPr="00FF0ED6" w:rsidRDefault="00F519D4" w:rsidP="00097F5D">
      <w:pPr>
        <w:pStyle w:val="ListParagraph"/>
        <w:numPr>
          <w:ilvl w:val="0"/>
          <w:numId w:val="2"/>
        </w:numPr>
        <w:spacing w:after="0" w:line="240" w:lineRule="auto"/>
        <w:jc w:val="both"/>
        <w:rPr>
          <w:rFonts w:eastAsia="Times New Roman"/>
        </w:rPr>
      </w:pPr>
      <w:r w:rsidRPr="00FF0ED6">
        <w:t xml:space="preserve">Saeimā pieņemti un 2020. gada nogalē stājas spēkā grozījumi Būvniecības likumā, kas paredz </w:t>
      </w:r>
      <w:r w:rsidRPr="00FF0ED6">
        <w:rPr>
          <w:rFonts w:eastAsia="Times New Roman"/>
        </w:rPr>
        <w:t>atcelt ierobežojumu būvspeciālistiem ar būvtehniķa profesionālo kvalifikāciju turpināt strādāt būvdarbu vadītāja un būvuzrauga profesijā pēc 2020. gada 31. decembra; uzlabojumus būvniecības procesa regulējumā amata meistariem un restauratoriem, kuri veic vai vada būvamatniecības vai restaurācijas darbus, skaidri nosakot tiem patstāvīgās prakses tiesības būvniecībā; tiesības veikt izmaiņas būves lietošanas veidā projektēšanas un būvdarbu laikā, kā arī lietošanas veida maiņas nosacījumus</w:t>
      </w:r>
      <w:r w:rsidR="000B6C85">
        <w:rPr>
          <w:rFonts w:eastAsia="Times New Roman"/>
        </w:rPr>
        <w:t>;</w:t>
      </w:r>
    </w:p>
    <w:p w14:paraId="3B7B1F96" w14:textId="0513BC4E" w:rsidR="004B4047" w:rsidRPr="00FF0ED6" w:rsidRDefault="000B6C85" w:rsidP="00097F5D">
      <w:pPr>
        <w:pStyle w:val="ListParagraph"/>
        <w:numPr>
          <w:ilvl w:val="0"/>
          <w:numId w:val="2"/>
        </w:numPr>
        <w:spacing w:after="0" w:line="240" w:lineRule="auto"/>
        <w:jc w:val="both"/>
      </w:pPr>
      <w:r>
        <w:t>v</w:t>
      </w:r>
      <w:r w:rsidR="00F519D4" w:rsidRPr="00FF0ED6">
        <w:t xml:space="preserve">irzību Saeimā uzsāka grozījumi Būvniecības likumā, kas paredz </w:t>
      </w:r>
      <w:r w:rsidR="00F519D4" w:rsidRPr="00FF0ED6">
        <w:rPr>
          <w:rFonts w:eastAsia="Times New Roman"/>
        </w:rPr>
        <w:t xml:space="preserve">būtiski uzlabot regulējumu attiecībā uz būvniecības procesa dalībnieku atbildību, nošķirt būvniecības procesa dalībnieka kā juridiskās personas un sertificētā </w:t>
      </w:r>
      <w:proofErr w:type="spellStart"/>
      <w:r w:rsidR="00F519D4" w:rsidRPr="00FF0ED6">
        <w:rPr>
          <w:rFonts w:eastAsia="Times New Roman"/>
        </w:rPr>
        <w:t>būvspeciālista</w:t>
      </w:r>
      <w:proofErr w:type="spellEnd"/>
      <w:r w:rsidR="00F519D4" w:rsidRPr="00FF0ED6">
        <w:rPr>
          <w:rFonts w:eastAsia="Times New Roman"/>
        </w:rPr>
        <w:t xml:space="preserve"> kā fiziskās personas atbildību, skaidro katra būvniecības procesa dalībnieka,  tai skaitā būvniecības ierosinātāja, atbildības tvērumu, novēršot atbildību pārklāšanos; precizēt būvniecību kontrolējošo institūciju kompetenci, tiesības un pienākumus; </w:t>
      </w:r>
      <w:proofErr w:type="spellStart"/>
      <w:r w:rsidR="00F519D4" w:rsidRPr="00FF0ED6">
        <w:rPr>
          <w:rFonts w:eastAsia="Times New Roman"/>
        </w:rPr>
        <w:t>būvprojektēšanas</w:t>
      </w:r>
      <w:proofErr w:type="spellEnd"/>
      <w:r w:rsidR="00F519D4" w:rsidRPr="00FF0ED6">
        <w:rPr>
          <w:rFonts w:eastAsia="Times New Roman"/>
        </w:rPr>
        <w:t xml:space="preserve"> veikšanai nepieciešamās informācijas iegūšanas regulējumu un atbildība par informācijas pietiekamību; klusēšanas-piekrišanas principa ieviešanu</w:t>
      </w:r>
      <w:r>
        <w:rPr>
          <w:rFonts w:eastAsia="Times New Roman"/>
        </w:rPr>
        <w:t>;</w:t>
      </w:r>
    </w:p>
    <w:p w14:paraId="0724A5EB" w14:textId="613BB04E" w:rsidR="00F519D4" w:rsidRPr="00FF0ED6" w:rsidRDefault="000B6C85" w:rsidP="00097F5D">
      <w:pPr>
        <w:pStyle w:val="ListParagraph"/>
        <w:numPr>
          <w:ilvl w:val="0"/>
          <w:numId w:val="2"/>
        </w:numPr>
        <w:spacing w:after="0" w:line="240" w:lineRule="auto"/>
        <w:jc w:val="both"/>
      </w:pPr>
      <w:r>
        <w:rPr>
          <w:rFonts w:eastAsia="Times New Roman"/>
        </w:rPr>
        <w:lastRenderedPageBreak/>
        <w:t>s</w:t>
      </w:r>
      <w:r w:rsidR="00F519D4" w:rsidRPr="00FF0ED6">
        <w:rPr>
          <w:rFonts w:eastAsia="Times New Roman"/>
        </w:rPr>
        <w:t xml:space="preserve">tājās spēkā </w:t>
      </w:r>
      <w:r w:rsidR="003B15DC" w:rsidRPr="00FF0ED6">
        <w:t>g</w:t>
      </w:r>
      <w:r w:rsidR="00F519D4" w:rsidRPr="00FF0ED6">
        <w:t xml:space="preserve">rozījumi Ministru kabineta 2014.gada 19.augusta noteikumos Nr.499 </w:t>
      </w:r>
      <w:r w:rsidR="00F519D4" w:rsidRPr="002D1D3E">
        <w:t>"Noteikumi par būvinspektoriem</w:t>
      </w:r>
      <w:r w:rsidR="00F519D4" w:rsidRPr="000B6C85">
        <w:t>"</w:t>
      </w:r>
      <w:r>
        <w:t>,</w:t>
      </w:r>
      <w:r w:rsidR="003B15DC" w:rsidRPr="00FF0ED6">
        <w:t xml:space="preserve"> ar kuriem tiek</w:t>
      </w:r>
      <w:r w:rsidR="00F519D4" w:rsidRPr="00FF0ED6">
        <w:t xml:space="preserve"> pilnveido</w:t>
      </w:r>
      <w:r w:rsidR="003B15DC" w:rsidRPr="00FF0ED6">
        <w:t>ti</w:t>
      </w:r>
      <w:r w:rsidR="00F519D4" w:rsidRPr="00FF0ED6">
        <w:t xml:space="preserve"> būvinspektoru kvalifikācijas kritērij</w:t>
      </w:r>
      <w:r w:rsidR="003B15DC" w:rsidRPr="00FF0ED6">
        <w:t>i</w:t>
      </w:r>
      <w:r w:rsidR="00F519D4" w:rsidRPr="00FF0ED6">
        <w:t>, paplašinot profesionālās darbības pārkāpumu loku, kas liedz personai iegūt būvinspektora tiesības, vienlaicīgi atvieglojot profesionālās pieredzes prasības kandidātiem. Tāpat noteikumi maina būvinspektoru uzraudzības kārtību, deleģējot būvinspektoru uzraudzības tiesības tā darba devējam</w:t>
      </w:r>
      <w:r>
        <w:t>;</w:t>
      </w:r>
    </w:p>
    <w:p w14:paraId="3BDB605B" w14:textId="7EEAE3FF" w:rsidR="00F519D4" w:rsidRPr="00FF0ED6" w:rsidRDefault="000B6C85" w:rsidP="00097F5D">
      <w:pPr>
        <w:pStyle w:val="ListParagraph"/>
        <w:numPr>
          <w:ilvl w:val="0"/>
          <w:numId w:val="2"/>
        </w:numPr>
        <w:spacing w:after="0" w:line="240" w:lineRule="auto"/>
        <w:jc w:val="both"/>
      </w:pPr>
      <w:r>
        <w:t>p</w:t>
      </w:r>
      <w:r w:rsidR="009568DB" w:rsidRPr="00FF0ED6">
        <w:t xml:space="preserve">apildus tiek turpināts darbs pie </w:t>
      </w:r>
      <w:r>
        <w:t xml:space="preserve">vairāku </w:t>
      </w:r>
      <w:r w:rsidR="009568DB" w:rsidRPr="00FF0ED6">
        <w:t>būvnoteikumu pilnveides - “Vispārīgie būvnoteikumi”, "Ēku būvnoteikumi", "Atsevišķu inženierbūvju būvnoteikumi", kā arī darbs pie būvnormatīvu pilnveides, piemēram, Latvijas būvnormatīvs LBN 200-20 "Vispārīgas prasības būvēm", LBN 405-21 “Būvju tehniskā apsekošana”, “Noteikumi par publisko būvdarbu līgumos obligāti iekļaujamiem nosacījumiem un to saturu”</w:t>
      </w:r>
      <w:r>
        <w:t>;</w:t>
      </w:r>
    </w:p>
    <w:p w14:paraId="350AFC09" w14:textId="1439A7C6" w:rsidR="009568DB" w:rsidRPr="00FF0ED6" w:rsidRDefault="009568DB" w:rsidP="00097F5D">
      <w:pPr>
        <w:pStyle w:val="ListParagraph"/>
        <w:numPr>
          <w:ilvl w:val="0"/>
          <w:numId w:val="2"/>
        </w:numPr>
        <w:spacing w:after="0" w:line="240" w:lineRule="auto"/>
        <w:jc w:val="both"/>
      </w:pPr>
      <w:r w:rsidRPr="00FF0ED6">
        <w:t>sadarbībā ar LVS un RTU veiktas apmācībās 264 būvniecības speciālistiem par tādām tēmām kā BIM modelēšana, BIM vadība un BIM koordinēšana. Sadarbībā ar LVS izstrādāts pētījums par BIM labo praksi un ieguvumu novērtēšanu no BIM izmantošanas projektos, kā arī sadarbībā VNĪ arī veiktas 47 publisko pasūtītāju apmācības par BIM prasību izvirzīšanu publiskos iepirkumos un izstrādātas vadlīnijas aktīvu informācijas prasībām un BIM modeļu izstrādei un uzturēšanai apsaimniekošanas laikā</w:t>
      </w:r>
      <w:r w:rsidR="000B6C85">
        <w:t>;</w:t>
      </w:r>
    </w:p>
    <w:p w14:paraId="22FF8998" w14:textId="3B009383" w:rsidR="009568DB" w:rsidRPr="00FF0ED6" w:rsidRDefault="009568DB" w:rsidP="00097F5D">
      <w:pPr>
        <w:pStyle w:val="ListParagraph"/>
        <w:numPr>
          <w:ilvl w:val="0"/>
          <w:numId w:val="2"/>
        </w:numPr>
        <w:spacing w:after="0" w:line="240" w:lineRule="auto"/>
        <w:jc w:val="both"/>
      </w:pPr>
      <w:r w:rsidRPr="00FF0ED6">
        <w:t>uzsākta būvniecības profesijas standartu “Būvinženieris”, “Ēku būvinženieris” un “Inženierkomunikāciju būvinženieris” pārskatīšana un aktualizēšana, lai pilnveidotu ar būvniecību saistītas studiju programmas.</w:t>
      </w:r>
    </w:p>
    <w:p w14:paraId="2027D325" w14:textId="77777777" w:rsidR="009568DB" w:rsidRPr="00FF0ED6" w:rsidRDefault="009568DB" w:rsidP="00097F5D">
      <w:pPr>
        <w:spacing w:after="0" w:line="240" w:lineRule="auto"/>
        <w:jc w:val="both"/>
        <w:rPr>
          <w:rFonts w:ascii="Times New Roman" w:hAnsi="Times New Roman" w:cs="Times New Roman"/>
          <w:sz w:val="24"/>
          <w:szCs w:val="24"/>
        </w:rPr>
      </w:pPr>
    </w:p>
    <w:p w14:paraId="48E504CA" w14:textId="048E4FA5" w:rsidR="0003751C" w:rsidRPr="00FF0ED6" w:rsidRDefault="0003751C" w:rsidP="00097F5D">
      <w:pPr>
        <w:shd w:val="clear" w:color="auto" w:fill="DEEAF6" w:themeFill="accent5" w:themeFillTint="33"/>
        <w:jc w:val="both"/>
        <w:rPr>
          <w:rFonts w:ascii="Times New Roman" w:hAnsi="Times New Roman" w:cs="Times New Roman"/>
          <w:b/>
          <w:bCs/>
          <w:sz w:val="24"/>
          <w:szCs w:val="24"/>
        </w:rPr>
      </w:pPr>
      <w:r w:rsidRPr="00FF0ED6">
        <w:rPr>
          <w:rFonts w:ascii="Times New Roman" w:hAnsi="Times New Roman" w:cs="Times New Roman"/>
          <w:b/>
          <w:bCs/>
          <w:sz w:val="24"/>
          <w:szCs w:val="24"/>
        </w:rPr>
        <w:t>Iekšējā tirgus darbības jomā</w:t>
      </w:r>
    </w:p>
    <w:p w14:paraId="309B3073" w14:textId="309D7199" w:rsidR="000B6C85" w:rsidRDefault="000B6C85" w:rsidP="00FF0ED6">
      <w:pPr>
        <w:pStyle w:val="ListParagraph"/>
        <w:numPr>
          <w:ilvl w:val="0"/>
          <w:numId w:val="2"/>
        </w:numPr>
        <w:jc w:val="both"/>
      </w:pPr>
      <w:r>
        <w:t xml:space="preserve">Covid-19 pandēmijas laikā sagatavoti priekšlikumi </w:t>
      </w:r>
      <w:r w:rsidR="002D1D3E">
        <w:t xml:space="preserve">drošības pasākumiem </w:t>
      </w:r>
      <w:r>
        <w:t>tirdzniecības procesa organizēšanai, lai sekmētu drošu iepirkšanos un drošus darba apstākļus nodarbinātajiem;</w:t>
      </w:r>
    </w:p>
    <w:p w14:paraId="62921387" w14:textId="7C1BB723" w:rsidR="004B4047" w:rsidRPr="00FF0ED6" w:rsidRDefault="000B6C85" w:rsidP="00FF0ED6">
      <w:pPr>
        <w:pStyle w:val="ListParagraph"/>
        <w:numPr>
          <w:ilvl w:val="0"/>
          <w:numId w:val="2"/>
        </w:numPr>
        <w:jc w:val="both"/>
      </w:pPr>
      <w:r>
        <w:t>t</w:t>
      </w:r>
      <w:r w:rsidR="00FF0ED6" w:rsidRPr="00FF0ED6">
        <w:t xml:space="preserve">urpināta iniciatīvas “Konsultē vispirms” ieviešana ar mērķi uzlabot uzņēmējdarbības vidi Latvijā, </w:t>
      </w:r>
      <w:r w:rsidR="00FF0ED6" w:rsidRPr="00FF0ED6">
        <w:rPr>
          <w:rFonts w:eastAsia="Times New Roman"/>
          <w:color w:val="414142"/>
          <w:shd w:val="clear" w:color="auto" w:fill="FFFFFF"/>
          <w:lang w:eastAsia="lv-LV"/>
        </w:rPr>
        <w:t xml:space="preserve">mainot inspicējošo un kontrolējošo institūciju uzvedības kultūru no primāri represīvas uz atbalstošu. 2020. gada aptaujas dati </w:t>
      </w:r>
      <w:r w:rsidR="00FF0ED6" w:rsidRPr="00FF0ED6">
        <w:rPr>
          <w:rFonts w:eastAsia="Times New Roman"/>
          <w:lang w:eastAsia="lv-LV"/>
        </w:rPr>
        <w:t>rāda pozitīvas tendences klientu viedoklī par valsts iestādēm gandrīz visos jautājumos</w:t>
      </w:r>
      <w:r>
        <w:rPr>
          <w:rFonts w:eastAsia="Times New Roman"/>
          <w:lang w:eastAsia="lv-LV"/>
        </w:rPr>
        <w:t>;</w:t>
      </w:r>
    </w:p>
    <w:p w14:paraId="6583736C" w14:textId="4E4DBF16" w:rsidR="00FF0ED6" w:rsidRPr="00FF0ED6" w:rsidRDefault="000B6C85" w:rsidP="00FF0ED6">
      <w:pPr>
        <w:pStyle w:val="ListParagraph"/>
        <w:numPr>
          <w:ilvl w:val="0"/>
          <w:numId w:val="2"/>
        </w:numPr>
        <w:jc w:val="both"/>
      </w:pPr>
      <w:r>
        <w:rPr>
          <w:rFonts w:eastAsia="Times New Roman"/>
          <w:lang w:eastAsia="lv-LV"/>
        </w:rPr>
        <w:t>ī</w:t>
      </w:r>
      <w:r w:rsidR="00FF0ED6" w:rsidRPr="00FF0ED6">
        <w:rPr>
          <w:rFonts w:eastAsia="Times New Roman"/>
          <w:lang w:eastAsia="lv-LV"/>
        </w:rPr>
        <w:t xml:space="preserve">stenots darbs pie Konkurences padomes finansiālās un profesionālās kapacitātes stiprināšanas, un pilnvaru pilnveidošanas atbilstoši </w:t>
      </w:r>
      <w:r w:rsidR="00FF0ED6" w:rsidRPr="00FF0ED6">
        <w:t>ECN + Direktīvas (</w:t>
      </w:r>
      <w:r w:rsidR="00FF0ED6" w:rsidRPr="00FF0ED6">
        <w:rPr>
          <w:i/>
          <w:iCs/>
        </w:rPr>
        <w:t>par apstākļu nodrošināšanu nolūkā dot dalībvalstu konkurences iestādēm iespēju efektīvāk izpildīt konkurences noteikumus un par iekšējā tirgus pienācīgas darbības nodrošināšanu)</w:t>
      </w:r>
      <w:r w:rsidR="00FF0ED6" w:rsidRPr="00FF0ED6">
        <w:t xml:space="preserve"> prasībām un OECD rekomendācijām</w:t>
      </w:r>
      <w:r w:rsidR="00FF0ED6" w:rsidRPr="00FF0ED6">
        <w:rPr>
          <w:rFonts w:eastAsia="Times New Roman"/>
          <w:lang w:eastAsia="lv-LV"/>
        </w:rPr>
        <w:t>;</w:t>
      </w:r>
    </w:p>
    <w:p w14:paraId="3C9E7E1D" w14:textId="17A8951F" w:rsidR="00FF0ED6" w:rsidRPr="00FF0ED6" w:rsidRDefault="000B6C85" w:rsidP="007A7E52">
      <w:pPr>
        <w:pStyle w:val="ListParagraph"/>
        <w:numPr>
          <w:ilvl w:val="0"/>
          <w:numId w:val="2"/>
        </w:numPr>
        <w:jc w:val="both"/>
        <w:rPr>
          <w:b/>
          <w:bCs/>
        </w:rPr>
      </w:pPr>
      <w:r>
        <w:rPr>
          <w:rStyle w:val="Strong"/>
          <w:rFonts w:eastAsia="Calibri"/>
          <w:b w:val="0"/>
          <w:bCs w:val="0"/>
          <w:color w:val="212529"/>
        </w:rPr>
        <w:t>l</w:t>
      </w:r>
      <w:r w:rsidR="00FF0ED6" w:rsidRPr="00FF0ED6">
        <w:rPr>
          <w:rStyle w:val="Strong"/>
          <w:rFonts w:eastAsia="Calibri"/>
          <w:b w:val="0"/>
          <w:bCs w:val="0"/>
          <w:color w:val="212529"/>
        </w:rPr>
        <w:t>ai nodrošinātu Latvijas iedzīvotājiem dzīvībai, veselībai un īpašumam nekaitīgu liftu un vertikālo cēlējplatformu lietošanu un uzturēšanu, kā arī atvieglotu normatīvā regulējuma izpratni un piemērošanu iesaistītajām pusēm, MK apstiprināts jauns regulējums, kas definē drošuma prasības liftiem, kas uzstādīti līdz 2000. gada 1. septembrim.</w:t>
      </w:r>
    </w:p>
    <w:p w14:paraId="7EC3EE1A" w14:textId="2758EC50" w:rsidR="00FF0ED6" w:rsidRPr="00FF0ED6" w:rsidRDefault="00FF0ED6" w:rsidP="00FF0ED6">
      <w:pPr>
        <w:pStyle w:val="ListParagraph"/>
        <w:jc w:val="both"/>
        <w:rPr>
          <w:b/>
          <w:bCs/>
        </w:rPr>
      </w:pPr>
    </w:p>
    <w:p w14:paraId="779738B3" w14:textId="6C99BB26" w:rsidR="0003751C" w:rsidRPr="00FF0ED6" w:rsidRDefault="0003751C" w:rsidP="00097F5D">
      <w:pPr>
        <w:shd w:val="clear" w:color="auto" w:fill="DEEAF6" w:themeFill="accent5" w:themeFillTint="33"/>
        <w:jc w:val="both"/>
        <w:rPr>
          <w:rFonts w:ascii="Times New Roman" w:hAnsi="Times New Roman" w:cs="Times New Roman"/>
          <w:b/>
          <w:bCs/>
          <w:sz w:val="24"/>
          <w:szCs w:val="24"/>
        </w:rPr>
      </w:pPr>
      <w:r w:rsidRPr="00FF0ED6">
        <w:rPr>
          <w:rFonts w:ascii="Times New Roman" w:hAnsi="Times New Roman" w:cs="Times New Roman"/>
          <w:b/>
          <w:bCs/>
          <w:sz w:val="24"/>
          <w:szCs w:val="24"/>
        </w:rPr>
        <w:t>ES un ārējo ekonomisko attiecību jomā</w:t>
      </w:r>
    </w:p>
    <w:p w14:paraId="60AD826F" w14:textId="043F371F" w:rsidR="0003751C" w:rsidRPr="00FF0ED6" w:rsidRDefault="00097F5D" w:rsidP="00097F5D">
      <w:pPr>
        <w:pStyle w:val="ListParagraph"/>
        <w:numPr>
          <w:ilvl w:val="0"/>
          <w:numId w:val="2"/>
        </w:numPr>
        <w:jc w:val="both"/>
      </w:pPr>
      <w:r w:rsidRPr="002D1D3E">
        <w:rPr>
          <w:rFonts w:eastAsia="Times New Roman"/>
        </w:rPr>
        <w:t>Ārējo ekonomisko attiecību intensificēšana un stiprināšana</w:t>
      </w:r>
      <w:r w:rsidRPr="00FF0ED6">
        <w:rPr>
          <w:rFonts w:eastAsia="Times New Roman"/>
        </w:rPr>
        <w:t xml:space="preserve"> ar Japānu, Ukrainu, ES valstīm (Vācija, Igaunija), </w:t>
      </w:r>
      <w:proofErr w:type="spellStart"/>
      <w:r w:rsidRPr="00FF0ED6">
        <w:rPr>
          <w:rFonts w:eastAsia="Times New Roman"/>
        </w:rPr>
        <w:t>Centrālāzijas</w:t>
      </w:r>
      <w:proofErr w:type="spellEnd"/>
      <w:r w:rsidRPr="00FF0ED6">
        <w:rPr>
          <w:rFonts w:eastAsia="Times New Roman"/>
        </w:rPr>
        <w:t xml:space="preserve"> valstīm (Uzbekistāna, </w:t>
      </w:r>
      <w:r w:rsidRPr="00FF0ED6">
        <w:rPr>
          <w:rFonts w:eastAsia="Times New Roman"/>
        </w:rPr>
        <w:lastRenderedPageBreak/>
        <w:t xml:space="preserve">Turkmenistāna), Turciju, Moldovu. Organizētas </w:t>
      </w:r>
      <w:proofErr w:type="spellStart"/>
      <w:r w:rsidRPr="00FF0ED6">
        <w:rPr>
          <w:rFonts w:eastAsia="Times New Roman"/>
        </w:rPr>
        <w:t>online</w:t>
      </w:r>
      <w:proofErr w:type="spellEnd"/>
      <w:r w:rsidRPr="00FF0ED6">
        <w:rPr>
          <w:rFonts w:eastAsia="Times New Roman"/>
        </w:rPr>
        <w:t xml:space="preserve"> Starpvaldību komisijas (SVK) sēdes ar Ukrainu un Turciju, kā arī SVK ekspertu </w:t>
      </w:r>
      <w:proofErr w:type="spellStart"/>
      <w:r w:rsidRPr="00FF0ED6">
        <w:rPr>
          <w:rFonts w:eastAsia="Times New Roman"/>
        </w:rPr>
        <w:t>online</w:t>
      </w:r>
      <w:proofErr w:type="spellEnd"/>
      <w:r w:rsidRPr="00FF0ED6">
        <w:rPr>
          <w:rFonts w:eastAsia="Times New Roman"/>
        </w:rPr>
        <w:t xml:space="preserve"> tikšanās ar Turkmenistānu, Moldovu un Uzbekistānu. Tāpat notika virkne augsta līmeņa tikšanās ar ārvalstu amatpersonām un uzņēmējiem. Iepriekšminēto tikšanos ietvaros tika pārrunātas ekonomiskās sadarbības iespējas un </w:t>
      </w:r>
      <w:proofErr w:type="spellStart"/>
      <w:r w:rsidRPr="00FF0ED6">
        <w:rPr>
          <w:rFonts w:eastAsia="Times New Roman"/>
        </w:rPr>
        <w:t>līgumtiesiskās</w:t>
      </w:r>
      <w:proofErr w:type="spellEnd"/>
      <w:r w:rsidRPr="00FF0ED6">
        <w:rPr>
          <w:rFonts w:eastAsia="Times New Roman"/>
        </w:rPr>
        <w:t xml:space="preserve"> bāzes paplašināšanas nepieciešamība;</w:t>
      </w:r>
    </w:p>
    <w:p w14:paraId="083248CD" w14:textId="396D8FD8" w:rsidR="003507F7" w:rsidRPr="00FF0ED6" w:rsidRDefault="00DE09B9" w:rsidP="00964821">
      <w:pPr>
        <w:pStyle w:val="ListParagraph"/>
        <w:numPr>
          <w:ilvl w:val="0"/>
          <w:numId w:val="2"/>
        </w:numPr>
        <w:ind w:right="81"/>
        <w:jc w:val="both"/>
        <w:outlineLvl w:val="0"/>
      </w:pPr>
      <w:r>
        <w:rPr>
          <w:color w:val="000000" w:themeColor="text1"/>
        </w:rPr>
        <w:t>ī</w:t>
      </w:r>
      <w:r w:rsidR="003507F7" w:rsidRPr="00FF0ED6">
        <w:rPr>
          <w:color w:val="000000" w:themeColor="text1"/>
        </w:rPr>
        <w:t>stenota ES Padomes un OECD rekomendāciju izpildes koordinācija un uzraudzība;</w:t>
      </w:r>
    </w:p>
    <w:p w14:paraId="1CB5723B" w14:textId="3B34132E" w:rsidR="00097F5D" w:rsidRPr="00FF0ED6" w:rsidRDefault="00DE09B9" w:rsidP="00097F5D">
      <w:pPr>
        <w:pStyle w:val="ListParagraph"/>
        <w:numPr>
          <w:ilvl w:val="0"/>
          <w:numId w:val="2"/>
        </w:numPr>
        <w:jc w:val="both"/>
      </w:pPr>
      <w:r>
        <w:t>i</w:t>
      </w:r>
      <w:r w:rsidR="00097F5D" w:rsidRPr="00FF0ED6">
        <w:t>eviešot ES 2018/1724 Vienotā</w:t>
      </w:r>
      <w:r w:rsidR="0084166D" w:rsidRPr="00FF0ED6">
        <w:t>s</w:t>
      </w:r>
      <w:r w:rsidR="00097F5D" w:rsidRPr="00FF0ED6">
        <w:t xml:space="preserve"> digitālā</w:t>
      </w:r>
      <w:r w:rsidR="0084166D" w:rsidRPr="00FF0ED6">
        <w:t>s</w:t>
      </w:r>
      <w:r w:rsidR="00097F5D" w:rsidRPr="00FF0ED6">
        <w:t xml:space="preserve"> vārtejas regula</w:t>
      </w:r>
      <w:r w:rsidR="0084166D" w:rsidRPr="00FF0ED6">
        <w:t>s</w:t>
      </w:r>
      <w:r w:rsidR="00097F5D" w:rsidRPr="00FF0ED6">
        <w:t xml:space="preserve"> prasības, tika nodrošināta informācijas sagatavošana publicēšanai valsts pārvaldes pakalpojumu portālā </w:t>
      </w:r>
      <w:hyperlink r:id="rId15" w:history="1">
        <w:r w:rsidR="00097F5D" w:rsidRPr="00FF0ED6">
          <w:rPr>
            <w:rStyle w:val="Hyperlink"/>
          </w:rPr>
          <w:t>www.latvija.lv</w:t>
        </w:r>
      </w:hyperlink>
      <w:r w:rsidR="00097F5D" w:rsidRPr="00FF0ED6">
        <w:t>;</w:t>
      </w:r>
    </w:p>
    <w:p w14:paraId="7D6AA869" w14:textId="7C23B01B" w:rsidR="00097F5D" w:rsidRPr="00FF0ED6" w:rsidRDefault="00DE09B9" w:rsidP="00097F5D">
      <w:pPr>
        <w:pStyle w:val="ListParagraph"/>
        <w:numPr>
          <w:ilvl w:val="0"/>
          <w:numId w:val="2"/>
        </w:numPr>
        <w:jc w:val="both"/>
      </w:pPr>
      <w:r>
        <w:rPr>
          <w:rFonts w:eastAsia="Times New Roman"/>
        </w:rPr>
        <w:t>l</w:t>
      </w:r>
      <w:r w:rsidR="00097F5D" w:rsidRPr="00FF0ED6">
        <w:rPr>
          <w:noProof/>
        </w:rPr>
        <w:t xml:space="preserve">ai nodrošinātu pakalpojumu sniedzējiem draudzīgas informācijas pieejamību valsts pārvaldes pakalpojumu portālā </w:t>
      </w:r>
      <w:hyperlink r:id="rId16" w:history="1">
        <w:r w:rsidR="00097F5D" w:rsidRPr="00FF0ED6">
          <w:rPr>
            <w:rStyle w:val="Hyperlink"/>
            <w:noProof/>
          </w:rPr>
          <w:t>www.latvija.lv</w:t>
        </w:r>
      </w:hyperlink>
      <w:r>
        <w:rPr>
          <w:rStyle w:val="Hyperlink"/>
          <w:noProof/>
        </w:rPr>
        <w:t>,</w:t>
      </w:r>
      <w:r w:rsidR="00097F5D" w:rsidRPr="00FF0ED6">
        <w:rPr>
          <w:noProof/>
        </w:rPr>
        <w:t xml:space="preserve"> sadarbībā ar citām valsts pārvaldes iestādēm pārskatītas portālā publicētās pakalpojumu kartītes;</w:t>
      </w:r>
    </w:p>
    <w:p w14:paraId="37E95A07" w14:textId="6029C24D" w:rsidR="00097F5D" w:rsidRPr="00FF0ED6" w:rsidRDefault="0084166D" w:rsidP="00097F5D">
      <w:pPr>
        <w:pStyle w:val="ListParagraph"/>
        <w:numPr>
          <w:ilvl w:val="0"/>
          <w:numId w:val="2"/>
        </w:numPr>
        <w:jc w:val="both"/>
      </w:pPr>
      <w:r w:rsidRPr="00FF0ED6">
        <w:rPr>
          <w:rFonts w:eastAsia="Times New Roman"/>
        </w:rPr>
        <w:t>Covid-19 krīzes pārvarēšanas kontekstā, 2020. gada martā tika ieviesti pasākumi, kas paredzēja atļauju izsniegšanu etilspirta izvešanai;</w:t>
      </w:r>
    </w:p>
    <w:p w14:paraId="3D0FEDC6" w14:textId="0027EADB" w:rsidR="0084166D" w:rsidRPr="00FF0ED6" w:rsidRDefault="00DE09B9" w:rsidP="00097F5D">
      <w:pPr>
        <w:pStyle w:val="ListParagraph"/>
        <w:numPr>
          <w:ilvl w:val="0"/>
          <w:numId w:val="2"/>
        </w:numPr>
        <w:jc w:val="both"/>
      </w:pPr>
      <w:r>
        <w:rPr>
          <w:rFonts w:eastAsia="Times New Roman"/>
        </w:rPr>
        <w:t>s</w:t>
      </w:r>
      <w:r w:rsidR="0084166D" w:rsidRPr="00FF0ED6">
        <w:rPr>
          <w:rFonts w:eastAsia="Times New Roman"/>
        </w:rPr>
        <w:t>niegts ieguldījums Satiksmes ministrijas izstrādā l</w:t>
      </w:r>
      <w:r w:rsidR="0084166D" w:rsidRPr="00FF0ED6">
        <w:rPr>
          <w:rFonts w:eastAsia="Times New Roman"/>
          <w:color w:val="000000" w:themeColor="text1"/>
          <w:lang w:eastAsia="lv-LV"/>
        </w:rPr>
        <w:t>ikumprojekta "Par Latvijas Republikas valdības un Eiropas Elektronisko sakaru regulatoru iestādes atbalsta aģentūras mītnes līgumu" izstrādē.</w:t>
      </w:r>
    </w:p>
    <w:p w14:paraId="5F500453" w14:textId="77777777" w:rsidR="00FF0ED6" w:rsidRPr="00FF0ED6" w:rsidRDefault="00FF0ED6" w:rsidP="00FF0ED6">
      <w:pPr>
        <w:jc w:val="both"/>
      </w:pPr>
    </w:p>
    <w:p w14:paraId="698B9CFF" w14:textId="755CE09D" w:rsidR="0084166D" w:rsidRPr="00FF0ED6" w:rsidRDefault="0084166D" w:rsidP="0084166D">
      <w:pPr>
        <w:shd w:val="clear" w:color="auto" w:fill="DEEAF6" w:themeFill="accent5" w:themeFillTint="33"/>
        <w:ind w:right="81"/>
        <w:jc w:val="both"/>
        <w:outlineLvl w:val="0"/>
        <w:rPr>
          <w:rFonts w:ascii="Times New Roman" w:eastAsia="Times New Roman" w:hAnsi="Times New Roman" w:cs="Times New Roman"/>
          <w:b/>
          <w:bCs/>
          <w:sz w:val="24"/>
          <w:szCs w:val="24"/>
          <w:lang w:eastAsia="lv-LV"/>
        </w:rPr>
      </w:pPr>
      <w:r w:rsidRPr="00FF0ED6">
        <w:rPr>
          <w:rFonts w:ascii="Times New Roman" w:eastAsia="Times New Roman" w:hAnsi="Times New Roman" w:cs="Times New Roman"/>
          <w:b/>
          <w:bCs/>
          <w:sz w:val="24"/>
          <w:szCs w:val="24"/>
          <w:lang w:eastAsia="lv-LV"/>
        </w:rPr>
        <w:t>Latvijas un pasaules ekonomikas attīstības analīze</w:t>
      </w:r>
    </w:p>
    <w:p w14:paraId="0672C84E" w14:textId="3A6CDB92" w:rsidR="00DE09B9" w:rsidRPr="002D1D3E" w:rsidRDefault="00DE09B9" w:rsidP="003507F7">
      <w:pPr>
        <w:pStyle w:val="ListParagraph"/>
        <w:numPr>
          <w:ilvl w:val="0"/>
          <w:numId w:val="2"/>
        </w:numPr>
        <w:ind w:right="81"/>
        <w:jc w:val="both"/>
        <w:outlineLvl w:val="0"/>
        <w:rPr>
          <w:rFonts w:eastAsia="Times New Roman"/>
          <w:lang w:eastAsia="lv-LV"/>
        </w:rPr>
      </w:pPr>
      <w:r>
        <w:rPr>
          <w:rFonts w:eastAsia="Times New Roman"/>
          <w:lang w:eastAsia="lv-LV"/>
        </w:rPr>
        <w:t xml:space="preserve">Sagatavots ikgadējais </w:t>
      </w:r>
      <w:r>
        <w:rPr>
          <w:rStyle w:val="Emphasis"/>
          <w:rFonts w:ascii="RobustaTLPro-Medium" w:hAnsi="RobustaTLPro-Medium"/>
          <w:color w:val="212529"/>
          <w:sz w:val="23"/>
          <w:szCs w:val="23"/>
          <w:shd w:val="clear" w:color="auto" w:fill="FFFFFF"/>
        </w:rPr>
        <w:t>Latvijas ekonomikas attīstības pārskata, </w:t>
      </w:r>
      <w:r>
        <w:rPr>
          <w:rStyle w:val="Strong"/>
          <w:rFonts w:ascii="RobustaTLPro-Medium" w:hAnsi="RobustaTLPro-Medium"/>
          <w:b w:val="0"/>
          <w:bCs w:val="0"/>
          <w:color w:val="212529"/>
          <w:sz w:val="23"/>
          <w:szCs w:val="23"/>
          <w:shd w:val="clear" w:color="auto" w:fill="FFFFFF"/>
        </w:rPr>
        <w:t>kurā apkopoti un analizēti nozīmīgākie ekonomiskie un sociālie rādītāji, nozaru attīstība un ārējā ekonomiskā vide, valdības ekonomiskā politika un tās īstenošanas galvenie instrumenti.</w:t>
      </w:r>
      <w:r>
        <w:rPr>
          <w:rFonts w:ascii="RobustaTLPro-Regular" w:hAnsi="RobustaTLPro-Regular"/>
          <w:color w:val="212529"/>
          <w:sz w:val="23"/>
          <w:szCs w:val="23"/>
          <w:shd w:val="clear" w:color="auto" w:fill="FFFFFF"/>
        </w:rPr>
        <w:t xml:space="preserve"> Papildu informācija: </w:t>
      </w:r>
      <w:hyperlink r:id="rId17" w:history="1">
        <w:r w:rsidRPr="0032746E">
          <w:rPr>
            <w:rStyle w:val="Hyperlink"/>
            <w:rFonts w:ascii="RobustaTLPro-Regular" w:hAnsi="RobustaTLPro-Regular"/>
            <w:sz w:val="23"/>
            <w:szCs w:val="23"/>
            <w:shd w:val="clear" w:color="auto" w:fill="FFFFFF"/>
          </w:rPr>
          <w:t>https://www.em.gov.lv/lv/latvijas-ekonomikas-attistibas-parskats</w:t>
        </w:r>
      </w:hyperlink>
      <w:r>
        <w:rPr>
          <w:rFonts w:ascii="RobustaTLPro-Regular" w:hAnsi="RobustaTLPro-Regular"/>
          <w:color w:val="212529"/>
          <w:sz w:val="23"/>
          <w:szCs w:val="23"/>
          <w:shd w:val="clear" w:color="auto" w:fill="FFFFFF"/>
        </w:rPr>
        <w:t xml:space="preserve">; </w:t>
      </w:r>
    </w:p>
    <w:p w14:paraId="0721D003" w14:textId="4A99B99E" w:rsidR="0084166D" w:rsidRPr="00FF0ED6" w:rsidRDefault="003507F7" w:rsidP="003507F7">
      <w:pPr>
        <w:pStyle w:val="ListParagraph"/>
        <w:numPr>
          <w:ilvl w:val="0"/>
          <w:numId w:val="2"/>
        </w:numPr>
        <w:ind w:right="81"/>
        <w:jc w:val="both"/>
        <w:outlineLvl w:val="0"/>
        <w:rPr>
          <w:rFonts w:eastAsia="Times New Roman"/>
          <w:lang w:eastAsia="lv-LV"/>
        </w:rPr>
      </w:pPr>
      <w:r w:rsidRPr="00FF0ED6">
        <w:rPr>
          <w:lang w:eastAsia="en-GB"/>
        </w:rPr>
        <w:t xml:space="preserve">Izstrādātas darba tirgus prognozes līdz 2040. gadam un iesniegts MK Informatīvais ziņojums par vidēja un ilgtermiņa darba tirgus prognozēm, kas ietver arī </w:t>
      </w:r>
      <w:r w:rsidRPr="00FF0ED6">
        <w:t>priekšlikumus risinājumiem darba tirgus pārkārtojumu realizācijai vidējā termiņā, lai sekmētu stabilu un sabalansētu valsts ekonomisko izaugsmi</w:t>
      </w:r>
      <w:r w:rsidRPr="00FF0ED6">
        <w:rPr>
          <w:lang w:eastAsia="en-GB"/>
        </w:rPr>
        <w:t>;</w:t>
      </w:r>
    </w:p>
    <w:p w14:paraId="13D3B966" w14:textId="16698E88" w:rsidR="003507F7" w:rsidRPr="00FF0ED6" w:rsidRDefault="00DE09B9" w:rsidP="003507F7">
      <w:pPr>
        <w:pStyle w:val="ListParagraph"/>
        <w:numPr>
          <w:ilvl w:val="0"/>
          <w:numId w:val="12"/>
        </w:numPr>
        <w:spacing w:after="0" w:line="240" w:lineRule="auto"/>
        <w:jc w:val="both"/>
        <w:rPr>
          <w:color w:val="000000" w:themeColor="text1"/>
        </w:rPr>
      </w:pPr>
      <w:r>
        <w:rPr>
          <w:rFonts w:eastAsia="Times New Roman"/>
          <w:lang w:eastAsia="lv-LV"/>
        </w:rPr>
        <w:t>a</w:t>
      </w:r>
      <w:r w:rsidR="003507F7" w:rsidRPr="00FF0ED6">
        <w:rPr>
          <w:rFonts w:eastAsia="Times New Roman"/>
          <w:lang w:eastAsia="lv-LV"/>
        </w:rPr>
        <w:t xml:space="preserve">pstiprināti </w:t>
      </w:r>
      <w:r w:rsidR="003507F7" w:rsidRPr="00FF0ED6">
        <w:t xml:space="preserve">Ministru kabineta 2020. gada 24. novembra noteikumi Nr. 691 “Noteikumi par Oficiālās statistikas programmu 2021.–2023. gadam”, kas </w:t>
      </w:r>
      <w:r w:rsidR="003507F7" w:rsidRPr="00FF0ED6">
        <w:rPr>
          <w:color w:val="000000"/>
          <w:lang w:eastAsia="lv-LV"/>
        </w:rPr>
        <w:t>ietver valstī nodrošināmās oficiālās statistikas sarakstu un to veido trīs gadu plānošanas periodam;</w:t>
      </w:r>
    </w:p>
    <w:p w14:paraId="5416066F" w14:textId="4FC177CC" w:rsidR="003507F7" w:rsidRPr="00FF0ED6" w:rsidRDefault="00DE09B9" w:rsidP="003507F7">
      <w:pPr>
        <w:pStyle w:val="ListParagraph"/>
        <w:numPr>
          <w:ilvl w:val="0"/>
          <w:numId w:val="2"/>
        </w:numPr>
        <w:ind w:right="81"/>
        <w:jc w:val="both"/>
        <w:outlineLvl w:val="0"/>
        <w:rPr>
          <w:rFonts w:eastAsia="Times New Roman"/>
          <w:lang w:eastAsia="lv-LV"/>
        </w:rPr>
      </w:pPr>
      <w:r>
        <w:t>l</w:t>
      </w:r>
      <w:r w:rsidR="003507F7" w:rsidRPr="00FF0ED6">
        <w:t xml:space="preserve">ai rosinātu diskusiju un rastu efektīvākos risinājumus produktivitātes kāpināšanai, EM 2020. gadā turpināja sadarbību ar Latvijas Universitātes </w:t>
      </w:r>
      <w:proofErr w:type="spellStart"/>
      <w:r w:rsidR="003507F7" w:rsidRPr="00FF0ED6">
        <w:t>domnīcu</w:t>
      </w:r>
      <w:proofErr w:type="spellEnd"/>
      <w:r w:rsidR="003507F7" w:rsidRPr="00FF0ED6">
        <w:t xml:space="preserve"> LV PEAK</w:t>
      </w:r>
      <w:r>
        <w:t>.</w:t>
      </w:r>
    </w:p>
    <w:p w14:paraId="52857B5E" w14:textId="77777777" w:rsidR="0003751C" w:rsidRPr="00FF0ED6" w:rsidRDefault="0003751C" w:rsidP="00097F5D">
      <w:pPr>
        <w:jc w:val="both"/>
        <w:rPr>
          <w:rFonts w:ascii="Times New Roman" w:hAnsi="Times New Roman" w:cs="Times New Roman"/>
          <w:sz w:val="24"/>
          <w:szCs w:val="24"/>
        </w:rPr>
      </w:pPr>
    </w:p>
    <w:sectPr w:rsidR="0003751C" w:rsidRPr="00FF0E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6128C" w14:textId="77777777" w:rsidR="00661F68" w:rsidRDefault="00661F68" w:rsidP="009B1DF1">
      <w:pPr>
        <w:spacing w:after="0" w:line="240" w:lineRule="auto"/>
      </w:pPr>
      <w:r>
        <w:separator/>
      </w:r>
    </w:p>
  </w:endnote>
  <w:endnote w:type="continuationSeparator" w:id="0">
    <w:p w14:paraId="0C71FA68" w14:textId="77777777" w:rsidR="00661F68" w:rsidRDefault="00661F68" w:rsidP="009B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obustaTLPro-Medium">
    <w:altName w:val="Cambria"/>
    <w:panose1 w:val="00000000000000000000"/>
    <w:charset w:val="00"/>
    <w:family w:val="roman"/>
    <w:notTrueType/>
    <w:pitch w:val="default"/>
  </w:font>
  <w:font w:name="RobustaTLPro-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6A95B" w14:textId="77777777" w:rsidR="00661F68" w:rsidRDefault="00661F68" w:rsidP="009B1DF1">
      <w:pPr>
        <w:spacing w:after="0" w:line="240" w:lineRule="auto"/>
      </w:pPr>
      <w:r>
        <w:separator/>
      </w:r>
    </w:p>
  </w:footnote>
  <w:footnote w:type="continuationSeparator" w:id="0">
    <w:p w14:paraId="09710515" w14:textId="77777777" w:rsidR="00661F68" w:rsidRDefault="00661F68" w:rsidP="009B1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35617"/>
    <w:multiLevelType w:val="hybridMultilevel"/>
    <w:tmpl w:val="786EAFC4"/>
    <w:lvl w:ilvl="0" w:tplc="941EB260">
      <w:numFmt w:val="bullet"/>
      <w:lvlText w:val=""/>
      <w:lvlJc w:val="left"/>
      <w:pPr>
        <w:ind w:left="720" w:hanging="360"/>
      </w:pPr>
      <w:rPr>
        <w:rFonts w:ascii="Symbol" w:eastAsia="Calibr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3611B7B"/>
    <w:multiLevelType w:val="hybridMultilevel"/>
    <w:tmpl w:val="AA785A1E"/>
    <w:lvl w:ilvl="0" w:tplc="EFCADD34">
      <w:start w:val="1"/>
      <w:numFmt w:val="decimal"/>
      <w:lvlText w:val="%1."/>
      <w:lvlJc w:val="left"/>
      <w:pPr>
        <w:ind w:left="720" w:hanging="360"/>
      </w:pPr>
      <w:rPr>
        <w:rFonts w:ascii="Calibri" w:eastAsia="Calibri" w:hAnsi="Calibri"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43F59B8"/>
    <w:multiLevelType w:val="hybridMultilevel"/>
    <w:tmpl w:val="0D0CE2F0"/>
    <w:lvl w:ilvl="0" w:tplc="3EFCB80A">
      <w:numFmt w:val="bullet"/>
      <w:lvlText w:val=""/>
      <w:lvlJc w:val="left"/>
      <w:pPr>
        <w:ind w:left="720" w:hanging="360"/>
      </w:pPr>
      <w:rPr>
        <w:rFonts w:ascii="Symbol" w:eastAsia="Calibr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76A7A40"/>
    <w:multiLevelType w:val="hybridMultilevel"/>
    <w:tmpl w:val="A95254AC"/>
    <w:lvl w:ilvl="0" w:tplc="7A245322">
      <w:start w:val="2020"/>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F6D4474"/>
    <w:multiLevelType w:val="hybridMultilevel"/>
    <w:tmpl w:val="DE1C56FA"/>
    <w:lvl w:ilvl="0" w:tplc="8DD83D30">
      <w:start w:val="1"/>
      <w:numFmt w:val="decimal"/>
      <w:lvlText w:val="%1)"/>
      <w:lvlJc w:val="left"/>
      <w:pPr>
        <w:ind w:left="405" w:hanging="360"/>
      </w:pPr>
    </w:lvl>
    <w:lvl w:ilvl="1" w:tplc="04260019">
      <w:start w:val="1"/>
      <w:numFmt w:val="lowerLetter"/>
      <w:lvlText w:val="%2."/>
      <w:lvlJc w:val="left"/>
      <w:pPr>
        <w:ind w:left="1125" w:hanging="360"/>
      </w:pPr>
    </w:lvl>
    <w:lvl w:ilvl="2" w:tplc="0426001B">
      <w:start w:val="1"/>
      <w:numFmt w:val="lowerRoman"/>
      <w:lvlText w:val="%3."/>
      <w:lvlJc w:val="right"/>
      <w:pPr>
        <w:ind w:left="1845" w:hanging="180"/>
      </w:pPr>
    </w:lvl>
    <w:lvl w:ilvl="3" w:tplc="0426000F">
      <w:start w:val="1"/>
      <w:numFmt w:val="decimal"/>
      <w:lvlText w:val="%4."/>
      <w:lvlJc w:val="left"/>
      <w:pPr>
        <w:ind w:left="2565" w:hanging="360"/>
      </w:pPr>
    </w:lvl>
    <w:lvl w:ilvl="4" w:tplc="04260019">
      <w:start w:val="1"/>
      <w:numFmt w:val="lowerLetter"/>
      <w:lvlText w:val="%5."/>
      <w:lvlJc w:val="left"/>
      <w:pPr>
        <w:ind w:left="3285" w:hanging="360"/>
      </w:pPr>
    </w:lvl>
    <w:lvl w:ilvl="5" w:tplc="0426001B">
      <w:start w:val="1"/>
      <w:numFmt w:val="lowerRoman"/>
      <w:lvlText w:val="%6."/>
      <w:lvlJc w:val="right"/>
      <w:pPr>
        <w:ind w:left="4005" w:hanging="180"/>
      </w:pPr>
    </w:lvl>
    <w:lvl w:ilvl="6" w:tplc="0426000F">
      <w:start w:val="1"/>
      <w:numFmt w:val="decimal"/>
      <w:lvlText w:val="%7."/>
      <w:lvlJc w:val="left"/>
      <w:pPr>
        <w:ind w:left="4725" w:hanging="360"/>
      </w:pPr>
    </w:lvl>
    <w:lvl w:ilvl="7" w:tplc="04260019">
      <w:start w:val="1"/>
      <w:numFmt w:val="lowerLetter"/>
      <w:lvlText w:val="%8."/>
      <w:lvlJc w:val="left"/>
      <w:pPr>
        <w:ind w:left="5445" w:hanging="360"/>
      </w:pPr>
    </w:lvl>
    <w:lvl w:ilvl="8" w:tplc="0426001B">
      <w:start w:val="1"/>
      <w:numFmt w:val="lowerRoman"/>
      <w:lvlText w:val="%9."/>
      <w:lvlJc w:val="right"/>
      <w:pPr>
        <w:ind w:left="6165" w:hanging="180"/>
      </w:pPr>
    </w:lvl>
  </w:abstractNum>
  <w:abstractNum w:abstractNumId="5" w15:restartNumberingAfterBreak="0">
    <w:nsid w:val="215C78DF"/>
    <w:multiLevelType w:val="hybridMultilevel"/>
    <w:tmpl w:val="A7BEB8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20D7EC8"/>
    <w:multiLevelType w:val="hybridMultilevel"/>
    <w:tmpl w:val="AA6A4CD6"/>
    <w:lvl w:ilvl="0" w:tplc="53AC7BD2">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BBD0F7D"/>
    <w:multiLevelType w:val="hybridMultilevel"/>
    <w:tmpl w:val="599AC2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0720FEB"/>
    <w:multiLevelType w:val="hybridMultilevel"/>
    <w:tmpl w:val="E9D676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F524594"/>
    <w:multiLevelType w:val="hybridMultilevel"/>
    <w:tmpl w:val="675EF630"/>
    <w:lvl w:ilvl="0" w:tplc="D43A4DB4">
      <w:start w:val="19"/>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4C546F7"/>
    <w:multiLevelType w:val="hybridMultilevel"/>
    <w:tmpl w:val="98DE29B8"/>
    <w:lvl w:ilvl="0" w:tplc="C152E15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C5712BB"/>
    <w:multiLevelType w:val="hybridMultilevel"/>
    <w:tmpl w:val="C96CDDB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F1011DB"/>
    <w:multiLevelType w:val="hybridMultilevel"/>
    <w:tmpl w:val="615EB1D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1C"/>
    <w:rsid w:val="0003751C"/>
    <w:rsid w:val="00097F5D"/>
    <w:rsid w:val="000B6C85"/>
    <w:rsid w:val="00132BCC"/>
    <w:rsid w:val="001342DF"/>
    <w:rsid w:val="001505BD"/>
    <w:rsid w:val="00163BC2"/>
    <w:rsid w:val="00177516"/>
    <w:rsid w:val="001D1254"/>
    <w:rsid w:val="001E7C3A"/>
    <w:rsid w:val="002427DC"/>
    <w:rsid w:val="00275DEC"/>
    <w:rsid w:val="002D1D3E"/>
    <w:rsid w:val="00326780"/>
    <w:rsid w:val="003507F7"/>
    <w:rsid w:val="003B15DC"/>
    <w:rsid w:val="003C1911"/>
    <w:rsid w:val="003E7F51"/>
    <w:rsid w:val="003F27AC"/>
    <w:rsid w:val="004B4047"/>
    <w:rsid w:val="004D666B"/>
    <w:rsid w:val="00661F68"/>
    <w:rsid w:val="006B5B35"/>
    <w:rsid w:val="00707CD4"/>
    <w:rsid w:val="0084166D"/>
    <w:rsid w:val="009568DB"/>
    <w:rsid w:val="009648DF"/>
    <w:rsid w:val="009656BB"/>
    <w:rsid w:val="009A2C61"/>
    <w:rsid w:val="009B1DF1"/>
    <w:rsid w:val="009D3A44"/>
    <w:rsid w:val="00A414AF"/>
    <w:rsid w:val="00B35755"/>
    <w:rsid w:val="00B41BDA"/>
    <w:rsid w:val="00B63D66"/>
    <w:rsid w:val="00B86218"/>
    <w:rsid w:val="00B96E4B"/>
    <w:rsid w:val="00BE725F"/>
    <w:rsid w:val="00BF5760"/>
    <w:rsid w:val="00C61DB2"/>
    <w:rsid w:val="00CF7C93"/>
    <w:rsid w:val="00D27E4F"/>
    <w:rsid w:val="00DB2F16"/>
    <w:rsid w:val="00DE09B9"/>
    <w:rsid w:val="00E24F15"/>
    <w:rsid w:val="00E4778D"/>
    <w:rsid w:val="00E90C20"/>
    <w:rsid w:val="00F0088D"/>
    <w:rsid w:val="00F00EBA"/>
    <w:rsid w:val="00F345CF"/>
    <w:rsid w:val="00F519D4"/>
    <w:rsid w:val="00F60506"/>
    <w:rsid w:val="00F64741"/>
    <w:rsid w:val="00F84B1D"/>
    <w:rsid w:val="00F958F5"/>
    <w:rsid w:val="00FF0E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0168"/>
  <w15:chartTrackingRefBased/>
  <w15:docId w15:val="{3BFD3056-2F78-4DD9-B44B-896AC5C3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rsid w:val="00C61DB2"/>
    <w:pPr>
      <w:keepNext/>
      <w:keepLines/>
      <w:tabs>
        <w:tab w:val="left" w:pos="850"/>
        <w:tab w:val="left" w:pos="1191"/>
        <w:tab w:val="left" w:pos="1531"/>
      </w:tabs>
      <w:spacing w:before="240" w:after="40" w:line="240" w:lineRule="auto"/>
      <w:outlineLvl w:val="3"/>
    </w:pPr>
    <w:rPr>
      <w:rFonts w:ascii="Calibri Light" w:eastAsia="Times New Roman" w:hAnsi="Calibri Light" w:cs="Times New Roman"/>
      <w:b/>
      <w:sz w:val="24"/>
      <w:szCs w:val="24"/>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911"/>
    <w:pPr>
      <w:spacing w:line="252"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F64741"/>
    <w:rPr>
      <w:color w:val="0563C1"/>
      <w:u w:val="single"/>
    </w:rPr>
  </w:style>
  <w:style w:type="character" w:customStyle="1" w:styleId="Heading4Char">
    <w:name w:val="Heading 4 Char"/>
    <w:basedOn w:val="DefaultParagraphFont"/>
    <w:link w:val="Heading4"/>
    <w:rsid w:val="00C61DB2"/>
    <w:rPr>
      <w:rFonts w:ascii="Calibri Light" w:eastAsia="Times New Roman" w:hAnsi="Calibri Light" w:cs="Times New Roman"/>
      <w:b/>
      <w:sz w:val="24"/>
      <w:szCs w:val="24"/>
      <w:lang w:val="en-GB" w:eastAsia="lv-LV"/>
    </w:rPr>
  </w:style>
  <w:style w:type="character" w:styleId="UnresolvedMention">
    <w:name w:val="Unresolved Mention"/>
    <w:basedOn w:val="DefaultParagraphFont"/>
    <w:uiPriority w:val="99"/>
    <w:semiHidden/>
    <w:unhideWhenUsed/>
    <w:rsid w:val="00707CD4"/>
    <w:rPr>
      <w:color w:val="605E5C"/>
      <w:shd w:val="clear" w:color="auto" w:fill="E1DFDD"/>
    </w:rPr>
  </w:style>
  <w:style w:type="character" w:customStyle="1" w:styleId="eop">
    <w:name w:val="eop"/>
    <w:basedOn w:val="DefaultParagraphFont"/>
    <w:rsid w:val="00CF7C93"/>
  </w:style>
  <w:style w:type="paragraph" w:styleId="FootnoteText">
    <w:name w:val="footnote text"/>
    <w:basedOn w:val="Normal"/>
    <w:link w:val="FootnoteTextChar"/>
    <w:uiPriority w:val="99"/>
    <w:unhideWhenUsed/>
    <w:rsid w:val="009B1DF1"/>
    <w:pPr>
      <w:spacing w:after="0" w:line="240" w:lineRule="auto"/>
    </w:pPr>
    <w:rPr>
      <w:sz w:val="20"/>
      <w:szCs w:val="20"/>
    </w:rPr>
  </w:style>
  <w:style w:type="character" w:customStyle="1" w:styleId="FootnoteTextChar">
    <w:name w:val="Footnote Text Char"/>
    <w:basedOn w:val="DefaultParagraphFont"/>
    <w:link w:val="FootnoteText"/>
    <w:uiPriority w:val="99"/>
    <w:rsid w:val="009B1DF1"/>
    <w:rPr>
      <w:sz w:val="20"/>
      <w:szCs w:val="20"/>
    </w:rPr>
  </w:style>
  <w:style w:type="character" w:styleId="FootnoteReference">
    <w:name w:val="footnote reference"/>
    <w:aliases w:val="(Footnote Reference),BVI fnr,EN Footnote Reference,Exposant 3 Point,Footnote,Footnote Reference Superscript,Footnote call,Footnote reference number,Footnote symbol,Ref,SUPERS,Times 10 Point,Voetnootverwijzing,de nota al pie,note TESI"/>
    <w:basedOn w:val="DefaultParagraphFont"/>
    <w:uiPriority w:val="99"/>
    <w:unhideWhenUsed/>
    <w:rsid w:val="009B1DF1"/>
    <w:rPr>
      <w:spacing w:val="0"/>
      <w:vertAlign w:val="superscript"/>
    </w:rPr>
  </w:style>
  <w:style w:type="character" w:styleId="Strong">
    <w:name w:val="Strong"/>
    <w:basedOn w:val="DefaultParagraphFont"/>
    <w:uiPriority w:val="22"/>
    <w:qFormat/>
    <w:rsid w:val="00FF0ED6"/>
    <w:rPr>
      <w:b/>
      <w:bCs/>
    </w:rPr>
  </w:style>
  <w:style w:type="paragraph" w:styleId="NormalWeb">
    <w:name w:val="Normal (Web)"/>
    <w:basedOn w:val="Normal"/>
    <w:uiPriority w:val="99"/>
    <w:semiHidden/>
    <w:unhideWhenUsed/>
    <w:rsid w:val="00FF0ED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24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F15"/>
    <w:rPr>
      <w:rFonts w:ascii="Segoe UI" w:hAnsi="Segoe UI" w:cs="Segoe UI"/>
      <w:sz w:val="18"/>
      <w:szCs w:val="18"/>
    </w:rPr>
  </w:style>
  <w:style w:type="character" w:styleId="CommentReference">
    <w:name w:val="annotation reference"/>
    <w:basedOn w:val="DefaultParagraphFont"/>
    <w:uiPriority w:val="99"/>
    <w:semiHidden/>
    <w:unhideWhenUsed/>
    <w:rsid w:val="00E24F15"/>
    <w:rPr>
      <w:sz w:val="16"/>
      <w:szCs w:val="16"/>
    </w:rPr>
  </w:style>
  <w:style w:type="paragraph" w:styleId="CommentText">
    <w:name w:val="annotation text"/>
    <w:basedOn w:val="Normal"/>
    <w:link w:val="CommentTextChar"/>
    <w:uiPriority w:val="99"/>
    <w:semiHidden/>
    <w:unhideWhenUsed/>
    <w:rsid w:val="00E24F15"/>
    <w:pPr>
      <w:spacing w:line="240" w:lineRule="auto"/>
    </w:pPr>
    <w:rPr>
      <w:sz w:val="20"/>
      <w:szCs w:val="20"/>
    </w:rPr>
  </w:style>
  <w:style w:type="character" w:customStyle="1" w:styleId="CommentTextChar">
    <w:name w:val="Comment Text Char"/>
    <w:basedOn w:val="DefaultParagraphFont"/>
    <w:link w:val="CommentText"/>
    <w:uiPriority w:val="99"/>
    <w:semiHidden/>
    <w:rsid w:val="00E24F15"/>
    <w:rPr>
      <w:sz w:val="20"/>
      <w:szCs w:val="20"/>
    </w:rPr>
  </w:style>
  <w:style w:type="paragraph" w:styleId="CommentSubject">
    <w:name w:val="annotation subject"/>
    <w:basedOn w:val="CommentText"/>
    <w:next w:val="CommentText"/>
    <w:link w:val="CommentSubjectChar"/>
    <w:uiPriority w:val="99"/>
    <w:semiHidden/>
    <w:unhideWhenUsed/>
    <w:rsid w:val="00E24F15"/>
    <w:rPr>
      <w:b/>
      <w:bCs/>
    </w:rPr>
  </w:style>
  <w:style w:type="character" w:customStyle="1" w:styleId="CommentSubjectChar">
    <w:name w:val="Comment Subject Char"/>
    <w:basedOn w:val="CommentTextChar"/>
    <w:link w:val="CommentSubject"/>
    <w:uiPriority w:val="99"/>
    <w:semiHidden/>
    <w:rsid w:val="00E24F15"/>
    <w:rPr>
      <w:b/>
      <w:bCs/>
      <w:sz w:val="20"/>
      <w:szCs w:val="20"/>
    </w:rPr>
  </w:style>
  <w:style w:type="character" w:styleId="Emphasis">
    <w:name w:val="Emphasis"/>
    <w:basedOn w:val="DefaultParagraphFont"/>
    <w:uiPriority w:val="20"/>
    <w:qFormat/>
    <w:rsid w:val="009648DF"/>
    <w:rPr>
      <w:i/>
      <w:iCs/>
    </w:rPr>
  </w:style>
  <w:style w:type="paragraph" w:customStyle="1" w:styleId="xmsonormal">
    <w:name w:val="x_msonormal"/>
    <w:basedOn w:val="Normal"/>
    <w:rsid w:val="000B6C85"/>
    <w:pPr>
      <w:spacing w:after="0"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E477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20137">
      <w:bodyDiv w:val="1"/>
      <w:marLeft w:val="0"/>
      <w:marRight w:val="0"/>
      <w:marTop w:val="0"/>
      <w:marBottom w:val="0"/>
      <w:divBdr>
        <w:top w:val="none" w:sz="0" w:space="0" w:color="auto"/>
        <w:left w:val="none" w:sz="0" w:space="0" w:color="auto"/>
        <w:bottom w:val="none" w:sz="0" w:space="0" w:color="auto"/>
        <w:right w:val="none" w:sz="0" w:space="0" w:color="auto"/>
      </w:divBdr>
    </w:div>
    <w:div w:id="1115753768">
      <w:bodyDiv w:val="1"/>
      <w:marLeft w:val="0"/>
      <w:marRight w:val="0"/>
      <w:marTop w:val="0"/>
      <w:marBottom w:val="0"/>
      <w:divBdr>
        <w:top w:val="none" w:sz="0" w:space="0" w:color="auto"/>
        <w:left w:val="none" w:sz="0" w:space="0" w:color="auto"/>
        <w:bottom w:val="none" w:sz="0" w:space="0" w:color="auto"/>
        <w:right w:val="none" w:sz="0" w:space="0" w:color="auto"/>
      </w:divBdr>
    </w:div>
    <w:div w:id="1920603119">
      <w:bodyDiv w:val="1"/>
      <w:marLeft w:val="0"/>
      <w:marRight w:val="0"/>
      <w:marTop w:val="0"/>
      <w:marBottom w:val="0"/>
      <w:divBdr>
        <w:top w:val="none" w:sz="0" w:space="0" w:color="auto"/>
        <w:left w:val="none" w:sz="0" w:space="0" w:color="auto"/>
        <w:bottom w:val="none" w:sz="0" w:space="0" w:color="auto"/>
        <w:right w:val="none" w:sz="0" w:space="0" w:color="auto"/>
      </w:divBdr>
      <w:divsChild>
        <w:div w:id="520509619">
          <w:marLeft w:val="0"/>
          <w:marRight w:val="0"/>
          <w:marTop w:val="0"/>
          <w:marBottom w:val="0"/>
          <w:divBdr>
            <w:top w:val="none" w:sz="0" w:space="0" w:color="auto"/>
            <w:left w:val="none" w:sz="0" w:space="0" w:color="auto"/>
            <w:bottom w:val="none" w:sz="0" w:space="0" w:color="auto"/>
            <w:right w:val="none" w:sz="0" w:space="0" w:color="auto"/>
          </w:divBdr>
        </w:div>
      </w:divsChild>
    </w:div>
    <w:div w:id="1933514971">
      <w:bodyDiv w:val="1"/>
      <w:marLeft w:val="0"/>
      <w:marRight w:val="0"/>
      <w:marTop w:val="0"/>
      <w:marBottom w:val="0"/>
      <w:divBdr>
        <w:top w:val="none" w:sz="0" w:space="0" w:color="auto"/>
        <w:left w:val="none" w:sz="0" w:space="0" w:color="auto"/>
        <w:bottom w:val="none" w:sz="0" w:space="0" w:color="auto"/>
        <w:right w:val="none" w:sz="0" w:space="0" w:color="auto"/>
      </w:divBdr>
    </w:div>
    <w:div w:id="2036806690">
      <w:bodyDiv w:val="1"/>
      <w:marLeft w:val="0"/>
      <w:marRight w:val="0"/>
      <w:marTop w:val="0"/>
      <w:marBottom w:val="0"/>
      <w:divBdr>
        <w:top w:val="none" w:sz="0" w:space="0" w:color="auto"/>
        <w:left w:val="none" w:sz="0" w:space="0" w:color="auto"/>
        <w:bottom w:val="none" w:sz="0" w:space="0" w:color="auto"/>
        <w:right w:val="none" w:sz="0" w:space="0" w:color="auto"/>
      </w:divBdr>
    </w:div>
    <w:div w:id="20425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strategija-latvijai-0" TargetMode="External"/><Relationship Id="rId13" Type="http://schemas.openxmlformats.org/officeDocument/2006/relationships/hyperlink" Target="https://www.em.gov.lv/lv/jaunums/nosaka-ekspluatejamu-eku-minimalas-energoefektivitates-prasib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m.gov.lv/lv/atbalsta-pasakumi-uznemejiem" TargetMode="External"/><Relationship Id="rId12" Type="http://schemas.openxmlformats.org/officeDocument/2006/relationships/hyperlink" Target="https://www.esfondi.lv/atveselosanas-un-noturibas-mehanisms" TargetMode="External"/><Relationship Id="rId17" Type="http://schemas.openxmlformats.org/officeDocument/2006/relationships/hyperlink" Target="https://www.em.gov.lv/lv/latvijas-ekonomikas-attistibas-parskats" TargetMode="External"/><Relationship Id="rId2" Type="http://schemas.openxmlformats.org/officeDocument/2006/relationships/styles" Target="styles.xml"/><Relationship Id="rId16" Type="http://schemas.openxmlformats.org/officeDocument/2006/relationships/hyperlink" Target="http://www.latvij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63945-elektroenergijas-tirdzniecibas-un-lietosanas-noteikumi" TargetMode="External"/><Relationship Id="rId5" Type="http://schemas.openxmlformats.org/officeDocument/2006/relationships/footnotes" Target="footnotes.xml"/><Relationship Id="rId15" Type="http://schemas.openxmlformats.org/officeDocument/2006/relationships/hyperlink" Target="http://www.latvija.lv" TargetMode="External"/><Relationship Id="rId10" Type="http://schemas.openxmlformats.org/officeDocument/2006/relationships/hyperlink" Target="http://tap.mk.gov.lv/mk/tap/?pid=4048929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sfondi.lv/atveselosanas-un-noturibas-mehanisms" TargetMode="External"/><Relationship Id="rId14" Type="http://schemas.openxmlformats.org/officeDocument/2006/relationships/hyperlink" Target="https://www.em.gov.lv/lv/jaunums/apstiprina-planu-ar-nepieciesamajiem-pasakumiem-dzivojama-fonda-uzlab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6</Pages>
  <Words>11131</Words>
  <Characters>6346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9</cp:revision>
  <dcterms:created xsi:type="dcterms:W3CDTF">2021-01-05T15:39:00Z</dcterms:created>
  <dcterms:modified xsi:type="dcterms:W3CDTF">2021-01-13T15:16:00Z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