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0237" w14:textId="138803AC" w:rsidR="00894C55" w:rsidRPr="001258F2" w:rsidRDefault="008823F9" w:rsidP="00105350">
      <w:pPr>
        <w:shd w:val="clear" w:color="auto" w:fill="FFFFFF"/>
        <w:spacing w:line="240" w:lineRule="auto"/>
        <w:jc w:val="center"/>
        <w:rPr>
          <w:rFonts w:ascii="Times New Roman" w:eastAsia="Times New Roman" w:hAnsi="Times New Roman" w:cs="Times New Roman"/>
          <w:b/>
          <w:bCs/>
          <w:sz w:val="28"/>
          <w:szCs w:val="24"/>
          <w:lang w:eastAsia="lv-LV"/>
        </w:rPr>
      </w:pPr>
      <w:r w:rsidRPr="001258F2">
        <w:rPr>
          <w:rFonts w:ascii="Times New Roman" w:eastAsia="Times New Roman" w:hAnsi="Times New Roman" w:cs="Times New Roman"/>
          <w:b/>
          <w:bCs/>
          <w:sz w:val="28"/>
          <w:szCs w:val="24"/>
          <w:lang w:eastAsia="lv-LV"/>
        </w:rPr>
        <w:t>Ministru kabineta noteikumu projekta „</w:t>
      </w:r>
      <w:r w:rsidR="00105350" w:rsidRPr="00105350">
        <w:rPr>
          <w:rFonts w:ascii="Times New Roman" w:eastAsia="Times New Roman" w:hAnsi="Times New Roman" w:cs="Times New Roman"/>
          <w:b/>
          <w:bCs/>
          <w:sz w:val="28"/>
          <w:szCs w:val="24"/>
          <w:lang w:eastAsia="lv-LV"/>
        </w:rPr>
        <w:t xml:space="preserve"> Grozījumi Ministru kabineta 2016. gada 15. jūlija noteikumos Nr. 469 "Noteikumi par paralēlajiem aizdevumiem saimnieciskās darbības veicējiem konkurētspējas uzlabošanai"</w:t>
      </w:r>
      <w:r w:rsidRPr="001258F2">
        <w:rPr>
          <w:rFonts w:ascii="Times New Roman" w:eastAsia="Times New Roman" w:hAnsi="Times New Roman" w:cs="Times New Roman"/>
          <w:b/>
          <w:bCs/>
          <w:sz w:val="28"/>
          <w:szCs w:val="24"/>
          <w:lang w:eastAsia="lv-LV"/>
        </w:rPr>
        <w:t>”</w:t>
      </w:r>
      <w:r w:rsidRPr="001258F2">
        <w:rPr>
          <w:b/>
        </w:rPr>
        <w:t xml:space="preserve"> </w:t>
      </w:r>
      <w:r w:rsidR="00894C55" w:rsidRPr="001258F2">
        <w:rPr>
          <w:rFonts w:ascii="Times New Roman" w:eastAsia="Times New Roman" w:hAnsi="Times New Roman" w:cs="Times New Roman"/>
          <w:b/>
          <w:bCs/>
          <w:sz w:val="28"/>
          <w:szCs w:val="24"/>
          <w:lang w:eastAsia="lv-LV"/>
        </w:rPr>
        <w:t>projekta</w:t>
      </w:r>
      <w:r w:rsidR="00105350">
        <w:rPr>
          <w:rFonts w:ascii="Times New Roman" w:eastAsia="Times New Roman" w:hAnsi="Times New Roman" w:cs="Times New Roman"/>
          <w:b/>
          <w:bCs/>
          <w:sz w:val="28"/>
          <w:szCs w:val="24"/>
          <w:lang w:eastAsia="lv-LV"/>
        </w:rPr>
        <w:t xml:space="preserve"> </w:t>
      </w:r>
      <w:r w:rsidR="00894C55" w:rsidRPr="001258F2">
        <w:rPr>
          <w:rFonts w:ascii="Times New Roman" w:eastAsia="Times New Roman" w:hAnsi="Times New Roman" w:cs="Times New Roman"/>
          <w:b/>
          <w:bCs/>
          <w:sz w:val="28"/>
          <w:szCs w:val="24"/>
          <w:lang w:eastAsia="lv-LV"/>
        </w:rPr>
        <w:t>sākotnējās ietekmes novērtējuma ziņojums (anotācija)</w:t>
      </w:r>
    </w:p>
    <w:p w14:paraId="35D1EE71" w14:textId="77777777" w:rsidR="00E5323B" w:rsidRPr="001258F2" w:rsidRDefault="00E5323B" w:rsidP="00894C55">
      <w:pPr>
        <w:shd w:val="clear" w:color="auto" w:fill="FFFFFF"/>
        <w:spacing w:after="0" w:line="240" w:lineRule="auto"/>
        <w:jc w:val="center"/>
        <w:rPr>
          <w:rFonts w:ascii="Times New Roman" w:eastAsia="Times New Roman" w:hAnsi="Times New Roman" w:cs="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1258F2" w:rsidRPr="001258F2" w14:paraId="323D36DD"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B545A2"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sv-SE" w:eastAsia="lv-LV"/>
              </w:rPr>
            </w:pPr>
            <w:r w:rsidRPr="001258F2">
              <w:rPr>
                <w:rFonts w:ascii="Times New Roman" w:eastAsia="Times New Roman" w:hAnsi="Times New Roman" w:cs="Times New Roman"/>
                <w:b/>
                <w:bCs/>
                <w:iCs/>
                <w:sz w:val="24"/>
                <w:szCs w:val="24"/>
                <w:lang w:val="sv-SE" w:eastAsia="lv-LV"/>
              </w:rPr>
              <w:t>Tiesību akta projekta anotācijas kopsavilkums</w:t>
            </w:r>
          </w:p>
        </w:tc>
      </w:tr>
      <w:tr w:rsidR="001258F2" w:rsidRPr="001258F2" w14:paraId="3347E368"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16E7C0C" w14:textId="77777777" w:rsidR="00E5323B" w:rsidRPr="001258F2" w:rsidRDefault="00E5323B" w:rsidP="00E5323B">
            <w:pPr>
              <w:spacing w:after="0" w:line="240" w:lineRule="auto"/>
              <w:rPr>
                <w:rFonts w:ascii="Times New Roman" w:eastAsia="Times New Roman" w:hAnsi="Times New Roman" w:cs="Times New Roman"/>
                <w:iCs/>
                <w:sz w:val="24"/>
                <w:szCs w:val="24"/>
                <w:lang w:val="sv-SE" w:eastAsia="lv-LV"/>
              </w:rPr>
            </w:pPr>
            <w:r w:rsidRPr="001258F2">
              <w:rPr>
                <w:rFonts w:ascii="Times New Roman" w:eastAsia="Times New Roman" w:hAnsi="Times New Roman" w:cs="Times New Roman"/>
                <w:iCs/>
                <w:sz w:val="24"/>
                <w:szCs w:val="24"/>
                <w:lang w:val="sv-SE"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42407352" w14:textId="5F38C964" w:rsidR="00105350" w:rsidRPr="00105350" w:rsidRDefault="00105350" w:rsidP="00105350">
            <w:pPr>
              <w:contextualSpacing/>
              <w:jc w:val="both"/>
              <w:rPr>
                <w:rFonts w:ascii="Times New Roman" w:eastAsia="Times New Roman" w:hAnsi="Times New Roman" w:cs="Times New Roman"/>
                <w:iCs/>
                <w:sz w:val="24"/>
                <w:szCs w:val="24"/>
                <w:lang w:val="sv-SE" w:eastAsia="lv-LV"/>
              </w:rPr>
            </w:pPr>
            <w:r w:rsidRPr="00105350">
              <w:rPr>
                <w:rFonts w:ascii="Times New Roman" w:eastAsia="Times New Roman" w:hAnsi="Times New Roman" w:cs="Times New Roman"/>
                <w:iCs/>
                <w:sz w:val="24"/>
                <w:szCs w:val="24"/>
                <w:lang w:val="sv-SE" w:eastAsia="lv-LV"/>
              </w:rPr>
              <w:t>Ministru kabineta noteikumu projekta ,,Grozījumi Ministru kabineta 2016. gada 15. jūlija noteikumos Nr. 469 „Noteikumi par paralēlajiem aizdevumiem saimnieciskās darbības veicējiem konkurētspējas uzlabošanai”” (turpmāk -  MK noteikumu projekts) mērķis ir precizēt paralēlo aizdevumu piešķiršanas nosacījumu</w:t>
            </w:r>
            <w:r>
              <w:rPr>
                <w:rFonts w:ascii="Times New Roman" w:eastAsia="Times New Roman" w:hAnsi="Times New Roman" w:cs="Times New Roman"/>
                <w:iCs/>
                <w:sz w:val="24"/>
                <w:szCs w:val="24"/>
                <w:lang w:val="sv-SE" w:eastAsia="lv-LV"/>
              </w:rPr>
              <w:t>s</w:t>
            </w:r>
            <w:r w:rsidRPr="00105350">
              <w:rPr>
                <w:rFonts w:ascii="Times New Roman" w:eastAsia="Times New Roman" w:hAnsi="Times New Roman" w:cs="Times New Roman"/>
                <w:iCs/>
                <w:sz w:val="24"/>
                <w:szCs w:val="24"/>
                <w:lang w:val="sv-SE" w:eastAsia="lv-LV"/>
              </w:rPr>
              <w:t xml:space="preserve"> saimnieciskās darbības veicējiem.</w:t>
            </w:r>
          </w:p>
          <w:p w14:paraId="44A61A33" w14:textId="77777777" w:rsidR="00E5323B" w:rsidRPr="001258F2" w:rsidRDefault="008823F9" w:rsidP="00105350">
            <w:pPr>
              <w:spacing w:after="0" w:line="240" w:lineRule="auto"/>
              <w:jc w:val="both"/>
              <w:rPr>
                <w:rFonts w:ascii="Times New Roman" w:eastAsia="Times New Roman" w:hAnsi="Times New Roman" w:cs="Times New Roman"/>
                <w:iCs/>
                <w:sz w:val="24"/>
                <w:szCs w:val="24"/>
                <w:lang w:val="sv-SE" w:eastAsia="lv-LV"/>
              </w:rPr>
            </w:pPr>
            <w:r w:rsidRPr="001258F2">
              <w:rPr>
                <w:rFonts w:ascii="Times New Roman" w:eastAsia="Times New Roman" w:hAnsi="Times New Roman" w:cs="Times New Roman"/>
                <w:iCs/>
                <w:sz w:val="24"/>
                <w:szCs w:val="24"/>
                <w:lang w:val="sv-SE" w:eastAsia="lv-LV"/>
              </w:rPr>
              <w:t>Noteikumu projekts stāsies spēkā nākamajā dienā  pēc tā publicēšanas oficiālajā izdevumā “Latvijas Vēstnesis”.</w:t>
            </w:r>
          </w:p>
        </w:tc>
      </w:tr>
    </w:tbl>
    <w:p w14:paraId="67EBCE31" w14:textId="77777777" w:rsidR="00E5323B" w:rsidRPr="001258F2" w:rsidRDefault="00E5323B" w:rsidP="00E5323B">
      <w:pPr>
        <w:spacing w:after="0" w:line="240" w:lineRule="auto"/>
        <w:rPr>
          <w:rFonts w:ascii="Times New Roman" w:eastAsia="Times New Roman" w:hAnsi="Times New Roman" w:cs="Times New Roman"/>
          <w:iCs/>
          <w:sz w:val="24"/>
          <w:szCs w:val="24"/>
          <w:lang w:val="sv-SE" w:eastAsia="lv-LV"/>
        </w:rPr>
      </w:pPr>
      <w:r w:rsidRPr="001258F2">
        <w:rPr>
          <w:rFonts w:ascii="Times New Roman" w:eastAsia="Times New Roman" w:hAnsi="Times New Roman" w:cs="Times New Roman"/>
          <w:iCs/>
          <w:sz w:val="24"/>
          <w:szCs w:val="24"/>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1258F2" w:rsidRPr="001258F2" w14:paraId="55462A5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521D98"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sv-SE" w:eastAsia="lv-LV"/>
              </w:rPr>
            </w:pPr>
            <w:r w:rsidRPr="001258F2">
              <w:rPr>
                <w:rFonts w:ascii="Times New Roman" w:eastAsia="Times New Roman" w:hAnsi="Times New Roman" w:cs="Times New Roman"/>
                <w:b/>
                <w:bCs/>
                <w:iCs/>
                <w:sz w:val="24"/>
                <w:szCs w:val="24"/>
                <w:lang w:val="sv-SE" w:eastAsia="lv-LV"/>
              </w:rPr>
              <w:t>I. Tiesību akta projekta izstrādes nepieciešamība</w:t>
            </w:r>
          </w:p>
        </w:tc>
      </w:tr>
      <w:tr w:rsidR="001258F2" w:rsidRPr="001258F2" w14:paraId="456EEB5E" w14:textId="77777777" w:rsidTr="008823F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FD3D29A"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C434D36"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3CF606C8" w14:textId="00A2F368" w:rsidR="00E5323B" w:rsidRPr="001258F2" w:rsidRDefault="00105350" w:rsidP="008823F9">
            <w:pPr>
              <w:spacing w:after="0" w:line="240" w:lineRule="auto"/>
              <w:jc w:val="both"/>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sv-SE" w:eastAsia="lv-LV"/>
              </w:rPr>
              <w:t>MK n</w:t>
            </w:r>
            <w:r w:rsidRPr="00105350">
              <w:rPr>
                <w:rFonts w:ascii="Times New Roman" w:eastAsia="Times New Roman" w:hAnsi="Times New Roman" w:cs="Times New Roman"/>
                <w:iCs/>
                <w:sz w:val="24"/>
                <w:szCs w:val="24"/>
                <w:lang w:val="sv-SE" w:eastAsia="lv-LV"/>
              </w:rPr>
              <w:t xml:space="preserve">oteikumu projekts izstrādāts </w:t>
            </w:r>
            <w:r w:rsidR="00F1193A">
              <w:rPr>
                <w:rFonts w:ascii="Times New Roman" w:eastAsia="Times New Roman" w:hAnsi="Times New Roman" w:cs="Times New Roman"/>
                <w:iCs/>
                <w:sz w:val="24"/>
                <w:szCs w:val="24"/>
                <w:lang w:val="sv-SE" w:eastAsia="lv-LV"/>
              </w:rPr>
              <w:t>pēc Ekonomikas ministrijas iniciatīvas.</w:t>
            </w:r>
          </w:p>
        </w:tc>
      </w:tr>
      <w:tr w:rsidR="001258F2" w:rsidRPr="001258F2" w14:paraId="5D2E6734" w14:textId="77777777" w:rsidTr="008823F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483E47"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D8A0E6C"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Pašreizējā</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situācija</w:t>
            </w:r>
            <w:proofErr w:type="spellEnd"/>
            <w:r w:rsidRPr="001258F2">
              <w:rPr>
                <w:rFonts w:ascii="Times New Roman" w:eastAsia="Times New Roman" w:hAnsi="Times New Roman" w:cs="Times New Roman"/>
                <w:iCs/>
                <w:sz w:val="24"/>
                <w:szCs w:val="24"/>
                <w:lang w:val="en-US" w:eastAsia="lv-LV"/>
              </w:rPr>
              <w:t xml:space="preserve"> un </w:t>
            </w:r>
            <w:proofErr w:type="spellStart"/>
            <w:r w:rsidRPr="001258F2">
              <w:rPr>
                <w:rFonts w:ascii="Times New Roman" w:eastAsia="Times New Roman" w:hAnsi="Times New Roman" w:cs="Times New Roman"/>
                <w:iCs/>
                <w:sz w:val="24"/>
                <w:szCs w:val="24"/>
                <w:lang w:val="en-US" w:eastAsia="lv-LV"/>
              </w:rPr>
              <w:t>problēmas</w:t>
            </w:r>
            <w:proofErr w:type="spellEnd"/>
            <w:r w:rsidRPr="001258F2">
              <w:rPr>
                <w:rFonts w:ascii="Times New Roman" w:eastAsia="Times New Roman" w:hAnsi="Times New Roman" w:cs="Times New Roman"/>
                <w:iCs/>
                <w:sz w:val="24"/>
                <w:szCs w:val="24"/>
                <w:lang w:val="en-US" w:eastAsia="lv-LV"/>
              </w:rPr>
              <w:t>, kuru risināšanai tiesību akta projekts izstrādāts, tiesiskā regulējuma mērķis un būtība</w:t>
            </w:r>
          </w:p>
        </w:tc>
        <w:tc>
          <w:tcPr>
            <w:tcW w:w="2960" w:type="pct"/>
            <w:tcBorders>
              <w:top w:val="outset" w:sz="6" w:space="0" w:color="auto"/>
              <w:left w:val="outset" w:sz="6" w:space="0" w:color="auto"/>
              <w:bottom w:val="outset" w:sz="6" w:space="0" w:color="auto"/>
              <w:right w:val="outset" w:sz="6" w:space="0" w:color="auto"/>
            </w:tcBorders>
            <w:hideMark/>
          </w:tcPr>
          <w:p w14:paraId="220AA060" w14:textId="77777777" w:rsidR="00BE5AA1" w:rsidRDefault="00A32534" w:rsidP="00A32534">
            <w:pPr>
              <w:spacing w:after="0"/>
              <w:ind w:left="37"/>
              <w:jc w:val="both"/>
              <w:rPr>
                <w:rFonts w:ascii="Times New Roman" w:eastAsia="Times New Roman" w:hAnsi="Times New Roman" w:cs="Times New Roman"/>
                <w:sz w:val="24"/>
                <w:szCs w:val="24"/>
                <w:lang w:eastAsia="lv-LV"/>
              </w:rPr>
            </w:pPr>
            <w:r w:rsidRPr="00DF2725">
              <w:rPr>
                <w:rFonts w:ascii="Times New Roman" w:hAnsi="Times New Roman" w:cs="Times New Roman"/>
                <w:sz w:val="24"/>
                <w:szCs w:val="24"/>
              </w:rPr>
              <w:t>Paralēlie aizdevumi ir</w:t>
            </w:r>
            <w:r w:rsidRPr="002E6262">
              <w:rPr>
                <w:rFonts w:ascii="Times New Roman" w:hAnsi="Times New Roman" w:cs="Times New Roman"/>
                <w:sz w:val="24"/>
                <w:szCs w:val="24"/>
              </w:rPr>
              <w:t xml:space="preserve"> </w:t>
            </w:r>
            <w:r w:rsidRPr="00BE5AA1">
              <w:rPr>
                <w:rFonts w:ascii="Times New Roman" w:hAnsi="Times New Roman" w:cs="Times New Roman"/>
                <w:sz w:val="24"/>
                <w:szCs w:val="24"/>
              </w:rPr>
              <w:t xml:space="preserve">ilgtermiņa investīciju </w:t>
            </w:r>
            <w:r w:rsidRPr="00DF2725">
              <w:rPr>
                <w:rFonts w:ascii="Times New Roman" w:hAnsi="Times New Roman" w:cs="Times New Roman"/>
                <w:sz w:val="24"/>
                <w:szCs w:val="24"/>
              </w:rPr>
              <w:t xml:space="preserve">aizdevumi, ko </w:t>
            </w:r>
            <w:r w:rsidR="00BE5AA1">
              <w:rPr>
                <w:rFonts w:ascii="Times New Roman" w:hAnsi="Times New Roman" w:cs="Times New Roman"/>
                <w:sz w:val="24"/>
                <w:szCs w:val="24"/>
              </w:rPr>
              <w:t>a</w:t>
            </w:r>
            <w:r w:rsidRPr="00BE5AA1">
              <w:rPr>
                <w:rFonts w:ascii="Times New Roman" w:hAnsi="Times New Roman" w:cs="Times New Roman"/>
                <w:sz w:val="24"/>
                <w:szCs w:val="24"/>
              </w:rPr>
              <w:t>kciju sabiedrība "Attīstības finanšu</w:t>
            </w:r>
            <w:r w:rsidRPr="00DF2725">
              <w:rPr>
                <w:rFonts w:ascii="Times New Roman" w:eastAsia="Times New Roman" w:hAnsi="Times New Roman" w:cs="Times New Roman"/>
                <w:sz w:val="24"/>
                <w:szCs w:val="24"/>
                <w:lang w:eastAsia="lv-LV"/>
              </w:rPr>
              <w:t xml:space="preserve"> institūcija </w:t>
            </w:r>
            <w:proofErr w:type="spellStart"/>
            <w:r w:rsidRPr="00DF2725">
              <w:rPr>
                <w:rFonts w:ascii="Times New Roman" w:eastAsia="Times New Roman" w:hAnsi="Times New Roman" w:cs="Times New Roman"/>
                <w:sz w:val="24"/>
                <w:szCs w:val="24"/>
                <w:lang w:eastAsia="lv-LV"/>
              </w:rPr>
              <w:t>Altum</w:t>
            </w:r>
            <w:proofErr w:type="spellEnd"/>
            <w:r w:rsidRPr="00DF2725">
              <w:rPr>
                <w:rFonts w:ascii="Times New Roman" w:eastAsia="Times New Roman" w:hAnsi="Times New Roman" w:cs="Times New Roman"/>
                <w:sz w:val="24"/>
                <w:szCs w:val="24"/>
                <w:lang w:eastAsia="lv-LV"/>
              </w:rPr>
              <w:t xml:space="preserve">" (turpmāk – </w:t>
            </w:r>
            <w:proofErr w:type="spellStart"/>
            <w:r w:rsidRPr="00DF2725">
              <w:rPr>
                <w:rFonts w:ascii="Times New Roman" w:eastAsia="Times New Roman" w:hAnsi="Times New Roman" w:cs="Times New Roman"/>
                <w:sz w:val="24"/>
                <w:szCs w:val="24"/>
                <w:lang w:eastAsia="lv-LV"/>
              </w:rPr>
              <w:t>Altum</w:t>
            </w:r>
            <w:proofErr w:type="spellEnd"/>
            <w:r w:rsidRPr="00DF2725">
              <w:rPr>
                <w:rFonts w:ascii="Times New Roman" w:eastAsia="Times New Roman" w:hAnsi="Times New Roman" w:cs="Times New Roman"/>
                <w:sz w:val="24"/>
                <w:szCs w:val="24"/>
                <w:lang w:eastAsia="lv-LV"/>
              </w:rPr>
              <w:t xml:space="preserve">) </w:t>
            </w:r>
            <w:r w:rsidRPr="002E6262">
              <w:rPr>
                <w:rFonts w:ascii="Times New Roman" w:eastAsia="Times New Roman" w:hAnsi="Times New Roman" w:cs="Times New Roman"/>
                <w:sz w:val="24"/>
                <w:szCs w:val="24"/>
                <w:lang w:eastAsia="lv-LV"/>
              </w:rPr>
              <w:t xml:space="preserve">sniedz kopā ar </w:t>
            </w:r>
            <w:r w:rsidRPr="006111D5">
              <w:rPr>
                <w:rFonts w:ascii="Times New Roman" w:eastAsia="Times New Roman" w:hAnsi="Times New Roman" w:cs="Times New Roman"/>
                <w:sz w:val="24"/>
                <w:szCs w:val="24"/>
                <w:lang w:eastAsia="lv-LV"/>
              </w:rPr>
              <w:t>kredītiestādes ilgtermiņa aizdevumu.</w:t>
            </w:r>
            <w:r w:rsidR="0076724F" w:rsidRPr="00DF2725">
              <w:rPr>
                <w:rFonts w:ascii="Times New Roman" w:hAnsi="Times New Roman" w:cs="Times New Roman"/>
                <w:sz w:val="24"/>
                <w:szCs w:val="24"/>
              </w:rPr>
              <w:t xml:space="preserve"> </w:t>
            </w:r>
            <w:r w:rsidR="006A4720" w:rsidRPr="00BE5AA1">
              <w:rPr>
                <w:rFonts w:ascii="Times New Roman" w:hAnsi="Times New Roman" w:cs="Times New Roman"/>
                <w:sz w:val="24"/>
                <w:szCs w:val="24"/>
              </w:rPr>
              <w:t xml:space="preserve">Šobrīd paralēlie aizdevumi netiek izsniegti tādā apjomā, lai līdz programmas beigām būtu </w:t>
            </w:r>
            <w:r w:rsidRPr="00BE5AA1">
              <w:rPr>
                <w:rFonts w:ascii="Times New Roman" w:hAnsi="Times New Roman" w:cs="Times New Roman"/>
                <w:sz w:val="24"/>
                <w:szCs w:val="24"/>
              </w:rPr>
              <w:t>pilna</w:t>
            </w:r>
            <w:r w:rsidR="006A4720" w:rsidRPr="00BE5AA1">
              <w:rPr>
                <w:rFonts w:ascii="Times New Roman" w:hAnsi="Times New Roman" w:cs="Times New Roman"/>
                <w:sz w:val="24"/>
                <w:szCs w:val="24"/>
              </w:rPr>
              <w:t xml:space="preserve"> </w:t>
            </w:r>
            <w:r w:rsidRPr="00BE5AA1">
              <w:rPr>
                <w:rFonts w:ascii="Times New Roman" w:hAnsi="Times New Roman" w:cs="Times New Roman"/>
                <w:sz w:val="24"/>
                <w:szCs w:val="24"/>
              </w:rPr>
              <w:t>finansējuma</w:t>
            </w:r>
            <w:r w:rsidR="006A4720" w:rsidRPr="00BE5AA1">
              <w:rPr>
                <w:rFonts w:ascii="Times New Roman" w:hAnsi="Times New Roman" w:cs="Times New Roman"/>
                <w:sz w:val="24"/>
                <w:szCs w:val="24"/>
              </w:rPr>
              <w:t xml:space="preserve"> </w:t>
            </w:r>
            <w:r w:rsidRPr="00BE5AA1">
              <w:rPr>
                <w:rFonts w:ascii="Times New Roman" w:hAnsi="Times New Roman" w:cs="Times New Roman"/>
                <w:sz w:val="24"/>
                <w:szCs w:val="24"/>
              </w:rPr>
              <w:t xml:space="preserve">apguve. </w:t>
            </w:r>
            <w:r w:rsidR="006A4720" w:rsidRPr="00BE5AA1">
              <w:rPr>
                <w:rFonts w:ascii="Times New Roman" w:hAnsi="Times New Roman" w:cs="Times New Roman"/>
                <w:sz w:val="24"/>
                <w:szCs w:val="24"/>
              </w:rPr>
              <w:t xml:space="preserve"> </w:t>
            </w:r>
            <w:r w:rsidRPr="00DF2725">
              <w:rPr>
                <w:rFonts w:ascii="Times New Roman" w:eastAsia="Times New Roman" w:hAnsi="Times New Roman" w:cs="Times New Roman"/>
                <w:sz w:val="24"/>
                <w:szCs w:val="24"/>
                <w:lang w:eastAsia="lv-LV"/>
              </w:rPr>
              <w:t>Lai veicinātu paralēlo aizdevumu pieejamību un nodrošinātu savlaicīgu Eiropas Reģionālā fonda finansējuma</w:t>
            </w:r>
            <w:r w:rsidR="00BE5AA1">
              <w:rPr>
                <w:rFonts w:ascii="Times New Roman" w:eastAsia="Times New Roman" w:hAnsi="Times New Roman" w:cs="Times New Roman"/>
                <w:sz w:val="24"/>
                <w:szCs w:val="24"/>
                <w:lang w:eastAsia="lv-LV"/>
              </w:rPr>
              <w:t xml:space="preserve"> (turpmāk – ERAF)</w:t>
            </w:r>
            <w:r w:rsidRPr="00DF2725">
              <w:rPr>
                <w:rFonts w:ascii="Times New Roman" w:eastAsia="Times New Roman" w:hAnsi="Times New Roman" w:cs="Times New Roman"/>
                <w:sz w:val="24"/>
                <w:szCs w:val="24"/>
                <w:lang w:eastAsia="lv-LV"/>
              </w:rPr>
              <w:t xml:space="preserve"> apguvi plānošanas perioda ietvaros,</w:t>
            </w:r>
            <w:r w:rsidRPr="002E6262">
              <w:rPr>
                <w:rFonts w:ascii="Times New Roman" w:eastAsia="Times New Roman" w:hAnsi="Times New Roman" w:cs="Times New Roman"/>
                <w:sz w:val="24"/>
                <w:szCs w:val="24"/>
                <w:lang w:eastAsia="lv-LV"/>
              </w:rPr>
              <w:t xml:space="preserve"> Ekonomikas ministrija sadarbībā ar </w:t>
            </w:r>
            <w:proofErr w:type="spellStart"/>
            <w:r w:rsidRPr="002E6262">
              <w:rPr>
                <w:rFonts w:ascii="Times New Roman" w:eastAsia="Times New Roman" w:hAnsi="Times New Roman" w:cs="Times New Roman"/>
                <w:sz w:val="24"/>
                <w:szCs w:val="24"/>
                <w:lang w:eastAsia="lv-LV"/>
              </w:rPr>
              <w:t>Altum</w:t>
            </w:r>
            <w:proofErr w:type="spellEnd"/>
            <w:r w:rsidRPr="006111D5">
              <w:rPr>
                <w:rFonts w:ascii="Times New Roman" w:eastAsia="Times New Roman" w:hAnsi="Times New Roman" w:cs="Times New Roman"/>
                <w:sz w:val="24"/>
                <w:szCs w:val="24"/>
                <w:lang w:eastAsia="lv-LV"/>
              </w:rPr>
              <w:t xml:space="preserve"> ierosina veikt grozījumus paralēlo aizdevumu programmas nosacījum</w:t>
            </w:r>
            <w:r w:rsidR="00DF2725">
              <w:rPr>
                <w:rFonts w:ascii="Times New Roman" w:eastAsia="Times New Roman" w:hAnsi="Times New Roman" w:cs="Times New Roman"/>
                <w:sz w:val="24"/>
                <w:szCs w:val="24"/>
                <w:lang w:eastAsia="lv-LV"/>
              </w:rPr>
              <w:t>o</w:t>
            </w:r>
            <w:r w:rsidRPr="00DF2725">
              <w:rPr>
                <w:rFonts w:ascii="Times New Roman" w:eastAsia="Times New Roman" w:hAnsi="Times New Roman" w:cs="Times New Roman"/>
                <w:sz w:val="24"/>
                <w:szCs w:val="24"/>
                <w:lang w:eastAsia="lv-LV"/>
              </w:rPr>
              <w:t>s, lai veicinātu lielāku noslēgto darījumu skaitu.</w:t>
            </w:r>
            <w:r w:rsidR="00BE5AA1">
              <w:rPr>
                <w:rFonts w:ascii="Times New Roman" w:eastAsia="Times New Roman" w:hAnsi="Times New Roman" w:cs="Times New Roman"/>
                <w:sz w:val="24"/>
                <w:szCs w:val="24"/>
                <w:lang w:eastAsia="lv-LV"/>
              </w:rPr>
              <w:t xml:space="preserve"> </w:t>
            </w:r>
          </w:p>
          <w:p w14:paraId="4CD25DF0" w14:textId="5D80675F" w:rsidR="00A32534" w:rsidRPr="00BE5AA1" w:rsidRDefault="00A32534" w:rsidP="00A32534">
            <w:pPr>
              <w:spacing w:after="0"/>
              <w:ind w:left="37"/>
              <w:jc w:val="both"/>
              <w:rPr>
                <w:rFonts w:ascii="Times New Roman" w:hAnsi="Times New Roman" w:cs="Times New Roman"/>
                <w:sz w:val="24"/>
                <w:szCs w:val="24"/>
                <w:u w:val="single"/>
              </w:rPr>
            </w:pPr>
            <w:r w:rsidRPr="00BE5AA1">
              <w:rPr>
                <w:rFonts w:ascii="Times New Roman" w:hAnsi="Times New Roman" w:cs="Times New Roman"/>
                <w:sz w:val="24"/>
                <w:szCs w:val="24"/>
                <w:u w:val="single"/>
              </w:rPr>
              <w:t>MK noteikumu projekts paredz šādas izmaiņas:</w:t>
            </w:r>
          </w:p>
          <w:p w14:paraId="37540692" w14:textId="5BD05DC3" w:rsidR="00A32534" w:rsidRPr="00A32534" w:rsidRDefault="00A32534" w:rsidP="00A32534">
            <w:pPr>
              <w:pStyle w:val="ListParagraph"/>
              <w:numPr>
                <w:ilvl w:val="0"/>
                <w:numId w:val="9"/>
              </w:numPr>
              <w:tabs>
                <w:tab w:val="left" w:pos="320"/>
              </w:tabs>
              <w:spacing w:before="100" w:beforeAutospacing="1" w:after="60"/>
              <w:ind w:right="40"/>
              <w:jc w:val="both"/>
              <w:rPr>
                <w:sz w:val="24"/>
                <w:szCs w:val="26"/>
              </w:rPr>
            </w:pPr>
            <w:r w:rsidRPr="00A32534">
              <w:rPr>
                <w:sz w:val="24"/>
                <w:szCs w:val="26"/>
              </w:rPr>
              <w:t>Šobrīd paralēlo aizdevumu sniedz kā reģionālo atbalstu saskaņā ar Komisijas regulas Nr.  </w:t>
            </w:r>
            <w:hyperlink r:id="rId7" w:tgtFrame="_blank" w:history="1">
              <w:r w:rsidRPr="00A32534">
                <w:rPr>
                  <w:sz w:val="24"/>
                  <w:szCs w:val="26"/>
                </w:rPr>
                <w:t>651/2014</w:t>
              </w:r>
            </w:hyperlink>
            <w:r w:rsidRPr="00A32534">
              <w:rPr>
                <w:sz w:val="24"/>
                <w:szCs w:val="26"/>
              </w:rPr>
              <w:t xml:space="preserve"> 13. un 14. pantu. Lai palielinātu potenciālo atbalsta saņēmēju loku kā arī dotu iespēju atbalsta saņēmējam saņemts lielāku atbalstu </w:t>
            </w:r>
            <w:r w:rsidRPr="00A32534">
              <w:rPr>
                <w:b/>
                <w:bCs/>
                <w:sz w:val="24"/>
                <w:szCs w:val="26"/>
              </w:rPr>
              <w:t xml:space="preserve">Ekonomikas ministrija ierosina </w:t>
            </w:r>
            <w:r w:rsidR="00BE5AA1">
              <w:rPr>
                <w:b/>
                <w:bCs/>
                <w:sz w:val="24"/>
                <w:szCs w:val="26"/>
              </w:rPr>
              <w:t>n</w:t>
            </w:r>
            <w:r w:rsidRPr="00A32534">
              <w:rPr>
                <w:b/>
                <w:bCs/>
                <w:sz w:val="24"/>
                <w:szCs w:val="26"/>
              </w:rPr>
              <w:t xml:space="preserve">oteikt, ka paralēlais aizdevums tiek sniegts arī kā </w:t>
            </w:r>
            <w:proofErr w:type="spellStart"/>
            <w:r w:rsidRPr="00BE5AA1">
              <w:rPr>
                <w:b/>
                <w:bCs/>
                <w:i/>
                <w:iCs/>
                <w:sz w:val="24"/>
                <w:szCs w:val="26"/>
              </w:rPr>
              <w:t>de</w:t>
            </w:r>
            <w:proofErr w:type="spellEnd"/>
            <w:r w:rsidRPr="00BE5AA1">
              <w:rPr>
                <w:b/>
                <w:bCs/>
                <w:i/>
                <w:iCs/>
                <w:sz w:val="24"/>
                <w:szCs w:val="26"/>
              </w:rPr>
              <w:t xml:space="preserve"> </w:t>
            </w:r>
            <w:proofErr w:type="spellStart"/>
            <w:r w:rsidRPr="00BE5AA1">
              <w:rPr>
                <w:b/>
                <w:bCs/>
                <w:i/>
                <w:iCs/>
                <w:sz w:val="24"/>
                <w:szCs w:val="26"/>
              </w:rPr>
              <w:t>minimis</w:t>
            </w:r>
            <w:proofErr w:type="spellEnd"/>
            <w:r w:rsidRPr="00A32534">
              <w:rPr>
                <w:b/>
                <w:bCs/>
                <w:sz w:val="24"/>
                <w:szCs w:val="26"/>
              </w:rPr>
              <w:t xml:space="preserve"> atbalsts saskaņā ar Komisijas 2013. gada 18. decembra Regulu (ES) Nr. 1407/2013 </w:t>
            </w:r>
            <w:r w:rsidRPr="00A32534">
              <w:rPr>
                <w:b/>
                <w:bCs/>
                <w:sz w:val="24"/>
                <w:szCs w:val="26"/>
              </w:rPr>
              <w:lastRenderedPageBreak/>
              <w:t xml:space="preserve">par Līguma par Eiropas Savienības darbību 107. un 108. panta piemērošanu </w:t>
            </w:r>
            <w:proofErr w:type="spellStart"/>
            <w:r w:rsidRPr="00A32534">
              <w:rPr>
                <w:b/>
                <w:bCs/>
                <w:i/>
                <w:iCs/>
                <w:sz w:val="24"/>
                <w:szCs w:val="26"/>
              </w:rPr>
              <w:t>de</w:t>
            </w:r>
            <w:proofErr w:type="spellEnd"/>
            <w:r w:rsidRPr="00A32534">
              <w:rPr>
                <w:b/>
                <w:bCs/>
                <w:i/>
                <w:iCs/>
                <w:sz w:val="24"/>
                <w:szCs w:val="26"/>
              </w:rPr>
              <w:t xml:space="preserve"> </w:t>
            </w:r>
            <w:proofErr w:type="spellStart"/>
            <w:r w:rsidRPr="00A32534">
              <w:rPr>
                <w:b/>
                <w:bCs/>
                <w:i/>
                <w:iCs/>
                <w:sz w:val="24"/>
                <w:szCs w:val="26"/>
              </w:rPr>
              <w:t>minimis</w:t>
            </w:r>
            <w:proofErr w:type="spellEnd"/>
            <w:r w:rsidRPr="00A32534">
              <w:rPr>
                <w:b/>
                <w:bCs/>
                <w:sz w:val="24"/>
                <w:szCs w:val="26"/>
              </w:rPr>
              <w:t xml:space="preserve"> atbalstam (turpmāk - Komisijas regula Nr. 1407/2013).</w:t>
            </w:r>
            <w:r w:rsidRPr="00A32534">
              <w:rPr>
                <w:sz w:val="24"/>
                <w:szCs w:val="26"/>
              </w:rPr>
              <w:t xml:space="preserve"> </w:t>
            </w:r>
          </w:p>
          <w:p w14:paraId="74DE4037" w14:textId="175CCE9C" w:rsidR="002E5F54" w:rsidRDefault="00DC2A25" w:rsidP="002E5F54">
            <w:pPr>
              <w:tabs>
                <w:tab w:val="left" w:pos="320"/>
              </w:tabs>
              <w:spacing w:after="60"/>
              <w:ind w:right="40"/>
              <w:jc w:val="both"/>
              <w:rPr>
                <w:rFonts w:ascii="Times New Roman" w:eastAsia="Times New Roman" w:hAnsi="Times New Roman" w:cs="Times New Roman"/>
                <w:sz w:val="24"/>
                <w:szCs w:val="26"/>
                <w:lang w:eastAsia="lv-LV"/>
              </w:rPr>
            </w:pPr>
            <w:r w:rsidRPr="002E5F54">
              <w:rPr>
                <w:rFonts w:ascii="Times New Roman" w:eastAsia="Times New Roman" w:hAnsi="Times New Roman" w:cs="Times New Roman"/>
                <w:sz w:val="24"/>
                <w:szCs w:val="26"/>
                <w:lang w:eastAsia="lv-LV"/>
              </w:rPr>
              <w:t>Attiecīgi MK noteikumu projekt</w:t>
            </w:r>
            <w:r w:rsidR="00232A12" w:rsidRPr="002E5F54">
              <w:rPr>
                <w:rFonts w:ascii="Times New Roman" w:eastAsia="Times New Roman" w:hAnsi="Times New Roman" w:cs="Times New Roman"/>
                <w:sz w:val="24"/>
                <w:szCs w:val="26"/>
                <w:lang w:eastAsia="lv-LV"/>
              </w:rPr>
              <w:t>s</w:t>
            </w:r>
            <w:r w:rsidRPr="002E5F54">
              <w:rPr>
                <w:rFonts w:ascii="Times New Roman" w:eastAsia="Times New Roman" w:hAnsi="Times New Roman" w:cs="Times New Roman"/>
                <w:sz w:val="24"/>
                <w:szCs w:val="26"/>
                <w:lang w:eastAsia="lv-LV"/>
              </w:rPr>
              <w:t xml:space="preserve"> tiek </w:t>
            </w:r>
            <w:r w:rsidR="00232A12" w:rsidRPr="002E5F54">
              <w:rPr>
                <w:rFonts w:ascii="Times New Roman" w:eastAsia="Times New Roman" w:hAnsi="Times New Roman" w:cs="Times New Roman"/>
                <w:sz w:val="24"/>
                <w:szCs w:val="26"/>
                <w:lang w:eastAsia="lv-LV"/>
              </w:rPr>
              <w:t>papildināts ar punktiem</w:t>
            </w:r>
            <w:r w:rsidRPr="002E5F54">
              <w:rPr>
                <w:rFonts w:ascii="Times New Roman" w:eastAsia="Times New Roman" w:hAnsi="Times New Roman" w:cs="Times New Roman"/>
                <w:sz w:val="24"/>
                <w:szCs w:val="26"/>
                <w:lang w:eastAsia="lv-LV"/>
              </w:rPr>
              <w:t xml:space="preserve">, kas attiecas uz </w:t>
            </w:r>
            <w:proofErr w:type="spellStart"/>
            <w:r w:rsidRPr="002E5F54">
              <w:rPr>
                <w:rFonts w:ascii="Times New Roman" w:eastAsia="Times New Roman" w:hAnsi="Times New Roman" w:cs="Times New Roman"/>
                <w:i/>
                <w:iCs/>
                <w:sz w:val="24"/>
                <w:szCs w:val="26"/>
                <w:lang w:eastAsia="lv-LV"/>
              </w:rPr>
              <w:t>de</w:t>
            </w:r>
            <w:proofErr w:type="spellEnd"/>
            <w:r w:rsidRPr="002E5F54">
              <w:rPr>
                <w:rFonts w:ascii="Times New Roman" w:eastAsia="Times New Roman" w:hAnsi="Times New Roman" w:cs="Times New Roman"/>
                <w:i/>
                <w:iCs/>
                <w:sz w:val="24"/>
                <w:szCs w:val="26"/>
                <w:lang w:eastAsia="lv-LV"/>
              </w:rPr>
              <w:t xml:space="preserve"> </w:t>
            </w:r>
            <w:proofErr w:type="spellStart"/>
            <w:r w:rsidRPr="002E5F54">
              <w:rPr>
                <w:rFonts w:ascii="Times New Roman" w:eastAsia="Times New Roman" w:hAnsi="Times New Roman" w:cs="Times New Roman"/>
                <w:i/>
                <w:iCs/>
                <w:sz w:val="24"/>
                <w:szCs w:val="26"/>
                <w:lang w:eastAsia="lv-LV"/>
              </w:rPr>
              <w:t>minimis</w:t>
            </w:r>
            <w:proofErr w:type="spellEnd"/>
            <w:r w:rsidRPr="002E5F54">
              <w:rPr>
                <w:rFonts w:ascii="Times New Roman" w:eastAsia="Times New Roman" w:hAnsi="Times New Roman" w:cs="Times New Roman"/>
                <w:sz w:val="24"/>
                <w:szCs w:val="26"/>
                <w:lang w:eastAsia="lv-LV"/>
              </w:rPr>
              <w:t xml:space="preserve"> atbalsta sniegšanu</w:t>
            </w:r>
            <w:r w:rsidR="001045EC">
              <w:rPr>
                <w:rFonts w:ascii="Times New Roman" w:eastAsia="Times New Roman" w:hAnsi="Times New Roman" w:cs="Times New Roman"/>
                <w:sz w:val="24"/>
                <w:szCs w:val="26"/>
                <w:lang w:eastAsia="lv-LV"/>
              </w:rPr>
              <w:t xml:space="preserve"> un tiek veikti šādi tehniski precizējumi</w:t>
            </w:r>
            <w:r w:rsidR="002E5F54">
              <w:rPr>
                <w:rFonts w:ascii="Times New Roman" w:eastAsia="Times New Roman" w:hAnsi="Times New Roman" w:cs="Times New Roman"/>
                <w:sz w:val="24"/>
                <w:szCs w:val="26"/>
                <w:lang w:eastAsia="lv-LV"/>
              </w:rPr>
              <w:t>:</w:t>
            </w:r>
          </w:p>
          <w:p w14:paraId="507A3704" w14:textId="63A9D66F" w:rsidR="002E5F54" w:rsidRPr="002E5F54" w:rsidRDefault="002E5F54" w:rsidP="002E5F54">
            <w:pPr>
              <w:pStyle w:val="ListParagraph"/>
              <w:numPr>
                <w:ilvl w:val="0"/>
                <w:numId w:val="6"/>
              </w:numPr>
              <w:tabs>
                <w:tab w:val="left" w:pos="320"/>
              </w:tabs>
              <w:spacing w:after="60"/>
              <w:ind w:right="40"/>
              <w:jc w:val="both"/>
              <w:rPr>
                <w:sz w:val="24"/>
                <w:szCs w:val="26"/>
              </w:rPr>
            </w:pPr>
            <w:r>
              <w:rPr>
                <w:sz w:val="24"/>
                <w:szCs w:val="26"/>
              </w:rPr>
              <w:t xml:space="preserve">tiek </w:t>
            </w:r>
            <w:r w:rsidR="00092865">
              <w:rPr>
                <w:sz w:val="24"/>
                <w:szCs w:val="26"/>
              </w:rPr>
              <w:t>papildināta</w:t>
            </w:r>
            <w:r>
              <w:rPr>
                <w:sz w:val="24"/>
                <w:szCs w:val="26"/>
              </w:rPr>
              <w:t xml:space="preserve"> definīcija par v</w:t>
            </w:r>
            <w:r w:rsidRPr="00092865">
              <w:rPr>
                <w:sz w:val="24"/>
                <w:szCs w:val="26"/>
              </w:rPr>
              <w:t>ienu vienotu uzņēmum</w:t>
            </w:r>
            <w:r w:rsidR="00E321E2">
              <w:rPr>
                <w:sz w:val="24"/>
                <w:szCs w:val="26"/>
              </w:rPr>
              <w:t>u</w:t>
            </w:r>
            <w:r w:rsidRPr="00092865">
              <w:rPr>
                <w:sz w:val="24"/>
                <w:szCs w:val="26"/>
              </w:rPr>
              <w:t>, kas</w:t>
            </w:r>
            <w:r w:rsidR="00092865">
              <w:rPr>
                <w:sz w:val="24"/>
                <w:szCs w:val="26"/>
              </w:rPr>
              <w:t xml:space="preserve"> arī</w:t>
            </w:r>
            <w:r w:rsidRPr="00092865">
              <w:rPr>
                <w:sz w:val="24"/>
                <w:szCs w:val="26"/>
              </w:rPr>
              <w:t xml:space="preserve"> ir tāds uzņēmums, kas atbilst Komisijas regulas Nr. 1407/2013 2. panta 2. punktā noteiktajai definīcijai;</w:t>
            </w:r>
          </w:p>
          <w:p w14:paraId="5292F144" w14:textId="654CC65C" w:rsidR="00102470" w:rsidRPr="00102470" w:rsidRDefault="002E5F54" w:rsidP="002E5F54">
            <w:pPr>
              <w:pStyle w:val="ListParagraph"/>
              <w:numPr>
                <w:ilvl w:val="0"/>
                <w:numId w:val="6"/>
              </w:numPr>
              <w:tabs>
                <w:tab w:val="left" w:pos="320"/>
              </w:tabs>
              <w:spacing w:after="60"/>
              <w:ind w:right="40"/>
              <w:jc w:val="both"/>
              <w:rPr>
                <w:rFonts w:ascii="Arial" w:hAnsi="Arial" w:cs="Arial"/>
                <w:color w:val="414142"/>
                <w:sz w:val="20"/>
                <w:szCs w:val="20"/>
              </w:rPr>
            </w:pPr>
            <w:r w:rsidRPr="002E5F54">
              <w:rPr>
                <w:sz w:val="24"/>
                <w:szCs w:val="26"/>
              </w:rPr>
              <w:t>precizētas normas par</w:t>
            </w:r>
            <w:r w:rsidR="00A45732">
              <w:rPr>
                <w:sz w:val="24"/>
                <w:szCs w:val="26"/>
              </w:rPr>
              <w:t xml:space="preserve"> p</w:t>
            </w:r>
            <w:r w:rsidRPr="002E5F54">
              <w:rPr>
                <w:sz w:val="24"/>
                <w:szCs w:val="26"/>
              </w:rPr>
              <w:t xml:space="preserve">aralēlo aizdevumu piešķiršanas nosacījumiem, ja to sniedz kā </w:t>
            </w:r>
            <w:proofErr w:type="spellStart"/>
            <w:r>
              <w:rPr>
                <w:i/>
                <w:iCs/>
                <w:sz w:val="24"/>
                <w:szCs w:val="26"/>
              </w:rPr>
              <w:t>de</w:t>
            </w:r>
            <w:proofErr w:type="spellEnd"/>
            <w:r>
              <w:rPr>
                <w:i/>
                <w:iCs/>
                <w:sz w:val="24"/>
                <w:szCs w:val="26"/>
              </w:rPr>
              <w:t xml:space="preserve"> </w:t>
            </w:r>
            <w:proofErr w:type="spellStart"/>
            <w:r>
              <w:rPr>
                <w:i/>
                <w:iCs/>
                <w:sz w:val="24"/>
                <w:szCs w:val="26"/>
              </w:rPr>
              <w:t>minimis</w:t>
            </w:r>
            <w:proofErr w:type="spellEnd"/>
            <w:r>
              <w:rPr>
                <w:i/>
                <w:iCs/>
                <w:sz w:val="24"/>
                <w:szCs w:val="26"/>
              </w:rPr>
              <w:t xml:space="preserve"> atbalstu</w:t>
            </w:r>
            <w:r w:rsidR="00102470">
              <w:rPr>
                <w:i/>
                <w:iCs/>
                <w:sz w:val="24"/>
                <w:szCs w:val="26"/>
              </w:rPr>
              <w:t>:</w:t>
            </w:r>
            <w:r>
              <w:rPr>
                <w:i/>
                <w:iCs/>
                <w:sz w:val="24"/>
                <w:szCs w:val="26"/>
              </w:rPr>
              <w:t xml:space="preserve"> </w:t>
            </w:r>
          </w:p>
          <w:p w14:paraId="2881F7EF" w14:textId="77777777" w:rsidR="00102470" w:rsidRPr="00A45732" w:rsidRDefault="002E5F54" w:rsidP="00102470">
            <w:pPr>
              <w:pStyle w:val="ListParagraph"/>
              <w:numPr>
                <w:ilvl w:val="0"/>
                <w:numId w:val="7"/>
              </w:numPr>
              <w:tabs>
                <w:tab w:val="left" w:pos="320"/>
              </w:tabs>
              <w:spacing w:after="60"/>
              <w:ind w:right="40"/>
              <w:jc w:val="both"/>
              <w:rPr>
                <w:sz w:val="24"/>
                <w:szCs w:val="26"/>
              </w:rPr>
            </w:pPr>
            <w:r>
              <w:rPr>
                <w:sz w:val="24"/>
                <w:szCs w:val="26"/>
              </w:rPr>
              <w:t>atbalsta piešķiršanas brīdis</w:t>
            </w:r>
            <w:r w:rsidRPr="00A45732">
              <w:rPr>
                <w:sz w:val="24"/>
                <w:szCs w:val="26"/>
              </w:rPr>
              <w:t xml:space="preserve"> ir  </w:t>
            </w:r>
            <w:proofErr w:type="spellStart"/>
            <w:r w:rsidRPr="00A45732">
              <w:rPr>
                <w:sz w:val="24"/>
                <w:szCs w:val="26"/>
              </w:rPr>
              <w:t>Altum</w:t>
            </w:r>
            <w:proofErr w:type="spellEnd"/>
            <w:r w:rsidR="001B343C" w:rsidRPr="00A45732">
              <w:rPr>
                <w:sz w:val="24"/>
                <w:szCs w:val="26"/>
              </w:rPr>
              <w:t xml:space="preserve"> lēmuma pieņemšanas brīdis par </w:t>
            </w:r>
            <w:r w:rsidRPr="00A45732">
              <w:rPr>
                <w:sz w:val="24"/>
                <w:szCs w:val="26"/>
              </w:rPr>
              <w:t>paralēlā aizdevuma piešķiršanu</w:t>
            </w:r>
            <w:r w:rsidR="00102470" w:rsidRPr="00A45732">
              <w:rPr>
                <w:sz w:val="24"/>
                <w:szCs w:val="26"/>
              </w:rPr>
              <w:t>;</w:t>
            </w:r>
          </w:p>
          <w:p w14:paraId="587D5A42" w14:textId="77777777" w:rsidR="00102470" w:rsidRPr="00A45732" w:rsidRDefault="00102470" w:rsidP="00102470">
            <w:pPr>
              <w:pStyle w:val="ListParagraph"/>
              <w:numPr>
                <w:ilvl w:val="0"/>
                <w:numId w:val="7"/>
              </w:numPr>
              <w:tabs>
                <w:tab w:val="left" w:pos="320"/>
              </w:tabs>
              <w:spacing w:after="60"/>
              <w:ind w:right="40"/>
              <w:jc w:val="both"/>
              <w:rPr>
                <w:sz w:val="24"/>
                <w:szCs w:val="26"/>
              </w:rPr>
            </w:pPr>
            <w:r w:rsidRPr="00A45732">
              <w:rPr>
                <w:sz w:val="24"/>
                <w:szCs w:val="26"/>
              </w:rPr>
              <w:t>paralēlo aizdevumu nepiešķir darbībām un nozarēm, kas noteiktas Komisijas regulas Nr. 1407/2013 1. pantā;</w:t>
            </w:r>
          </w:p>
          <w:p w14:paraId="08A5DE66" w14:textId="2D7ED165" w:rsidR="002E5F54" w:rsidRPr="00A45732" w:rsidRDefault="00102470" w:rsidP="00102470">
            <w:pPr>
              <w:pStyle w:val="ListParagraph"/>
              <w:numPr>
                <w:ilvl w:val="0"/>
                <w:numId w:val="7"/>
              </w:numPr>
              <w:tabs>
                <w:tab w:val="left" w:pos="320"/>
              </w:tabs>
              <w:spacing w:after="60"/>
              <w:ind w:right="40"/>
              <w:jc w:val="both"/>
              <w:rPr>
                <w:sz w:val="24"/>
                <w:szCs w:val="26"/>
              </w:rPr>
            </w:pPr>
            <w:r w:rsidRPr="00A45732">
              <w:rPr>
                <w:sz w:val="24"/>
                <w:szCs w:val="26"/>
              </w:rPr>
              <w:t xml:space="preserve">precizēti punkti MK noteikumos Nr.469 uz kuriem attiecas Izslēgtās nozares un darbības Komisijas regulas Nr. 1407/2013 un </w:t>
            </w:r>
            <w:r w:rsidR="008F5B53" w:rsidRPr="008F5B53">
              <w:rPr>
                <w:sz w:val="24"/>
                <w:szCs w:val="26"/>
              </w:rPr>
              <w:t>Komisijas 2014. gada 17. jūnija Regulas (ES) Nr.  </w:t>
            </w:r>
            <w:hyperlink r:id="rId8" w:tgtFrame="_blank" w:history="1">
              <w:r w:rsidR="008F5B53" w:rsidRPr="008F5B53">
                <w:rPr>
                  <w:sz w:val="24"/>
                  <w:szCs w:val="26"/>
                </w:rPr>
                <w:t>651/2014</w:t>
              </w:r>
            </w:hyperlink>
            <w:r w:rsidR="008F5B53" w:rsidRPr="008F5B53">
              <w:rPr>
                <w:sz w:val="24"/>
                <w:szCs w:val="26"/>
              </w:rPr>
              <w:t>, ar ko noteiktas atbalsta kategorijas atzīst par saderīgām ar iekšējo tirgu, piemērojot Līguma 107. un 108. pantu (turpmāk – Komisijas regula Nr.  </w:t>
            </w:r>
            <w:hyperlink r:id="rId9" w:tgtFrame="_blank" w:history="1">
              <w:r w:rsidR="008F5B53" w:rsidRPr="008F5B53">
                <w:rPr>
                  <w:sz w:val="24"/>
                  <w:szCs w:val="26"/>
                </w:rPr>
                <w:t>651/2014</w:t>
              </w:r>
            </w:hyperlink>
            <w:r w:rsidR="008F5B53">
              <w:rPr>
                <w:sz w:val="24"/>
                <w:szCs w:val="26"/>
              </w:rPr>
              <w:t xml:space="preserve">) </w:t>
            </w:r>
            <w:r w:rsidRPr="00A45732">
              <w:rPr>
                <w:sz w:val="24"/>
                <w:szCs w:val="26"/>
              </w:rPr>
              <w:t>ietvaros;</w:t>
            </w:r>
          </w:p>
          <w:p w14:paraId="13581C70" w14:textId="57928D6E" w:rsidR="004628D3" w:rsidRPr="00A45732" w:rsidRDefault="00102470" w:rsidP="00102470">
            <w:pPr>
              <w:pStyle w:val="ListParagraph"/>
              <w:numPr>
                <w:ilvl w:val="0"/>
                <w:numId w:val="7"/>
              </w:numPr>
              <w:tabs>
                <w:tab w:val="left" w:pos="320"/>
              </w:tabs>
              <w:spacing w:after="60"/>
              <w:ind w:right="40"/>
              <w:jc w:val="both"/>
              <w:rPr>
                <w:sz w:val="24"/>
                <w:szCs w:val="26"/>
              </w:rPr>
            </w:pPr>
            <w:r w:rsidRPr="00A45732">
              <w:rPr>
                <w:sz w:val="24"/>
                <w:szCs w:val="26"/>
              </w:rPr>
              <w:t>paralēlo aizdevumu nepiešķir saimnieciskās darbības veicējam, kur</w:t>
            </w:r>
            <w:r w:rsidR="004628D3" w:rsidRPr="00A45732">
              <w:rPr>
                <w:sz w:val="24"/>
                <w:szCs w:val="26"/>
              </w:rPr>
              <w:t>am</w:t>
            </w:r>
            <w:r w:rsidRPr="00A45732">
              <w:rPr>
                <w:sz w:val="24"/>
                <w:szCs w:val="26"/>
              </w:rPr>
              <w:t xml:space="preserve"> lēmuma pieņemšanas brīdī par atbalsta piešķiršanu</w:t>
            </w:r>
            <w:r w:rsidR="004628D3" w:rsidRPr="00A45732">
              <w:rPr>
                <w:sz w:val="24"/>
                <w:szCs w:val="26"/>
              </w:rPr>
              <w:t>, tam</w:t>
            </w:r>
            <w:r w:rsidRPr="00A45732">
              <w:rPr>
                <w:sz w:val="24"/>
                <w:szCs w:val="26"/>
              </w:rPr>
              <w:t xml:space="preserve"> </w:t>
            </w:r>
            <w:r w:rsidR="004628D3" w:rsidRPr="00A45732">
              <w:rPr>
                <w:sz w:val="24"/>
                <w:szCs w:val="26"/>
              </w:rPr>
              <w:t>ar tiesas spriedumu ir pasludināts maksātnespējas process, ir ierosināts vai tiek īstenots tiesiskās aizsardzības process vai ja saimnieciskās darbības veicējs atbilst normatīvajos aktos noteiktajiem kritērijiem, uz kuriem pamatojoties kreditors var pieprasīt maksātnespējas procedūru</w:t>
            </w:r>
            <w:r w:rsidR="00BE5AA1">
              <w:rPr>
                <w:sz w:val="24"/>
                <w:szCs w:val="26"/>
              </w:rPr>
              <w:t xml:space="preserve">. </w:t>
            </w:r>
            <w:r w:rsidR="00BE5AA1" w:rsidRPr="00C27DCA">
              <w:rPr>
                <w:sz w:val="24"/>
                <w:szCs w:val="26"/>
              </w:rPr>
              <w:t>Atbilstoši Tieslietu ministrijas skaidrojumam ar jēdzienu „maksātnespējas process” ir jāsaprot arī šie maksātnespējas procesa veidi – bankrota procedūra, sanācija, mierizlīgums un saimnieciskās darbības izbeigšanas procedūra, piešķirot atbalstu, sabiedrība „</w:t>
            </w:r>
            <w:proofErr w:type="spellStart"/>
            <w:r w:rsidR="00BE5AA1" w:rsidRPr="00C27DCA">
              <w:rPr>
                <w:sz w:val="24"/>
                <w:szCs w:val="26"/>
              </w:rPr>
              <w:t>Altum</w:t>
            </w:r>
            <w:proofErr w:type="spellEnd"/>
            <w:r w:rsidR="00BE5AA1" w:rsidRPr="00C27DCA">
              <w:rPr>
                <w:sz w:val="24"/>
                <w:szCs w:val="26"/>
              </w:rPr>
              <w:t xml:space="preserve">” </w:t>
            </w:r>
            <w:r w:rsidR="00BE5AA1" w:rsidRPr="00C27DCA">
              <w:rPr>
                <w:sz w:val="24"/>
                <w:szCs w:val="26"/>
              </w:rPr>
              <w:lastRenderedPageBreak/>
              <w:t>pārliecinās vai atbalsta pretendentam nav spēkā bankrota procedūra, sanācija, mierizlīgums un saimnieciskās darbības izbeigšanas procedūra saskaņā ar likumu „Par uzņēmumu un uzņēmējsabiedrību maksātnespēju” vai Maksātnespējas likumu, kas bija spēkā līdz 2010.gada 31.oktobrim.</w:t>
            </w:r>
          </w:p>
          <w:p w14:paraId="6F988654" w14:textId="77777777" w:rsidR="004628D3" w:rsidRPr="00A45732" w:rsidRDefault="004628D3" w:rsidP="00102470">
            <w:pPr>
              <w:pStyle w:val="ListParagraph"/>
              <w:numPr>
                <w:ilvl w:val="0"/>
                <w:numId w:val="7"/>
              </w:numPr>
              <w:tabs>
                <w:tab w:val="left" w:pos="320"/>
              </w:tabs>
              <w:spacing w:after="60"/>
              <w:ind w:right="40"/>
              <w:jc w:val="both"/>
              <w:rPr>
                <w:sz w:val="24"/>
                <w:szCs w:val="26"/>
              </w:rPr>
            </w:pPr>
            <w:r w:rsidRPr="00A45732">
              <w:rPr>
                <w:sz w:val="24"/>
                <w:szCs w:val="26"/>
              </w:rPr>
              <w:t>valsts atbalsta atmaksas nosacījumi;</w:t>
            </w:r>
          </w:p>
          <w:p w14:paraId="00C1C6A8" w14:textId="2C48A428" w:rsidR="00102470" w:rsidRDefault="004628D3" w:rsidP="00102470">
            <w:pPr>
              <w:pStyle w:val="ListParagraph"/>
              <w:numPr>
                <w:ilvl w:val="0"/>
                <w:numId w:val="7"/>
              </w:numPr>
              <w:tabs>
                <w:tab w:val="left" w:pos="320"/>
              </w:tabs>
              <w:spacing w:after="60"/>
              <w:ind w:right="40"/>
              <w:jc w:val="both"/>
              <w:rPr>
                <w:rFonts w:ascii="Arial" w:hAnsi="Arial" w:cs="Arial"/>
                <w:color w:val="414142"/>
                <w:sz w:val="20"/>
                <w:szCs w:val="20"/>
              </w:rPr>
            </w:pPr>
            <w:r w:rsidRPr="002E5F54">
              <w:rPr>
                <w:rFonts w:eastAsiaTheme="minorHAnsi"/>
                <w:sz w:val="24"/>
                <w:szCs w:val="24"/>
                <w:lang w:eastAsia="en-US"/>
              </w:rPr>
              <w:t xml:space="preserve">papildus noteikts, ja paralēlo aizdevumu sniedz kā </w:t>
            </w:r>
            <w:proofErr w:type="spellStart"/>
            <w:r w:rsidRPr="002E5F54">
              <w:rPr>
                <w:rFonts w:eastAsiaTheme="minorHAnsi"/>
                <w:i/>
                <w:iCs/>
                <w:sz w:val="24"/>
                <w:szCs w:val="24"/>
                <w:lang w:eastAsia="en-US"/>
              </w:rPr>
              <w:t>de</w:t>
            </w:r>
            <w:proofErr w:type="spellEnd"/>
            <w:r w:rsidRPr="002E5F54">
              <w:rPr>
                <w:rFonts w:eastAsiaTheme="minorHAnsi"/>
                <w:i/>
                <w:iCs/>
                <w:sz w:val="24"/>
                <w:szCs w:val="24"/>
                <w:lang w:eastAsia="en-US"/>
              </w:rPr>
              <w:t xml:space="preserve"> </w:t>
            </w:r>
            <w:proofErr w:type="spellStart"/>
            <w:r w:rsidRPr="002E5F54">
              <w:rPr>
                <w:rFonts w:eastAsiaTheme="minorHAnsi"/>
                <w:i/>
                <w:iCs/>
                <w:sz w:val="24"/>
                <w:szCs w:val="24"/>
                <w:lang w:eastAsia="en-US"/>
              </w:rPr>
              <w:t>minimis</w:t>
            </w:r>
            <w:proofErr w:type="spellEnd"/>
            <w:r w:rsidRPr="00751038">
              <w:rPr>
                <w:rFonts w:eastAsiaTheme="minorHAnsi"/>
                <w:sz w:val="24"/>
                <w:szCs w:val="24"/>
                <w:lang w:eastAsia="en-US"/>
              </w:rPr>
              <w:t xml:space="preserve"> atbalstu, tad saimnieciskās darbības veicējs nodrošina līdzfinansējumu vismaz 10% apmērā no projekta attiecināmajām izmaksām, izmantojot pašu līdzekļus vai ārējo finansējumu (tai skaitā kredītiestādes izsniegtu ilgtermiņa kredītu vai finanšu līzingu) un par šo līdzfinansējumu nav saņemts nekāds publiskais atbalsts, tai skaitā </w:t>
            </w:r>
            <w:proofErr w:type="spellStart"/>
            <w:r w:rsidRPr="00751038">
              <w:rPr>
                <w:rFonts w:eastAsiaTheme="minorHAnsi"/>
                <w:i/>
                <w:iCs/>
                <w:sz w:val="24"/>
                <w:szCs w:val="24"/>
                <w:lang w:eastAsia="en-US"/>
              </w:rPr>
              <w:t>de</w:t>
            </w:r>
            <w:proofErr w:type="spellEnd"/>
            <w:r w:rsidRPr="00751038">
              <w:rPr>
                <w:rFonts w:eastAsiaTheme="minorHAnsi"/>
                <w:i/>
                <w:iCs/>
                <w:sz w:val="24"/>
                <w:szCs w:val="24"/>
                <w:lang w:eastAsia="en-US"/>
              </w:rPr>
              <w:t xml:space="preserve"> </w:t>
            </w:r>
            <w:proofErr w:type="spellStart"/>
            <w:r w:rsidRPr="00751038">
              <w:rPr>
                <w:rFonts w:eastAsiaTheme="minorHAnsi"/>
                <w:i/>
                <w:iCs/>
                <w:sz w:val="24"/>
                <w:szCs w:val="24"/>
                <w:lang w:eastAsia="en-US"/>
              </w:rPr>
              <w:t>minimis</w:t>
            </w:r>
            <w:proofErr w:type="spellEnd"/>
            <w:r w:rsidRPr="00751038">
              <w:rPr>
                <w:rFonts w:eastAsiaTheme="minorHAnsi"/>
                <w:sz w:val="24"/>
                <w:szCs w:val="24"/>
                <w:lang w:eastAsia="en-US"/>
              </w:rPr>
              <w:t> atbalsts</w:t>
            </w:r>
            <w:r>
              <w:rPr>
                <w:rFonts w:eastAsiaTheme="minorHAnsi"/>
                <w:sz w:val="24"/>
                <w:szCs w:val="24"/>
                <w:lang w:eastAsia="en-US"/>
              </w:rPr>
              <w:t>;</w:t>
            </w:r>
            <w:r>
              <w:rPr>
                <w:rFonts w:ascii="Arial" w:hAnsi="Arial" w:cs="Arial"/>
                <w:color w:val="414142"/>
                <w:sz w:val="20"/>
                <w:szCs w:val="20"/>
                <w:highlight w:val="yellow"/>
              </w:rPr>
              <w:t xml:space="preserve"> </w:t>
            </w:r>
          </w:p>
          <w:p w14:paraId="224F8DB5" w14:textId="369B58E5" w:rsidR="004628D3" w:rsidRPr="00A45732" w:rsidRDefault="004628D3" w:rsidP="00102470">
            <w:pPr>
              <w:pStyle w:val="ListParagraph"/>
              <w:numPr>
                <w:ilvl w:val="0"/>
                <w:numId w:val="7"/>
              </w:numPr>
              <w:tabs>
                <w:tab w:val="left" w:pos="320"/>
              </w:tabs>
              <w:spacing w:after="60"/>
              <w:ind w:right="40"/>
              <w:jc w:val="both"/>
              <w:rPr>
                <w:rFonts w:eastAsiaTheme="minorHAnsi"/>
                <w:sz w:val="24"/>
                <w:szCs w:val="24"/>
                <w:lang w:eastAsia="en-US"/>
              </w:rPr>
            </w:pPr>
            <w:r w:rsidRPr="00A45732">
              <w:rPr>
                <w:rFonts w:eastAsiaTheme="minorHAnsi"/>
                <w:sz w:val="24"/>
                <w:szCs w:val="24"/>
                <w:lang w:eastAsia="en-US"/>
              </w:rPr>
              <w:t xml:space="preserve">papildināts punkts ar normu, ka pirms tiek pieņemts lēmums par paralēlā aizdevuma piešķiršanu tiek ievēroti normatīvie akti par </w:t>
            </w:r>
            <w:proofErr w:type="spellStart"/>
            <w:r w:rsidRPr="00A45732">
              <w:rPr>
                <w:rFonts w:eastAsiaTheme="minorHAnsi"/>
                <w:i/>
                <w:iCs/>
                <w:sz w:val="24"/>
                <w:szCs w:val="24"/>
                <w:lang w:eastAsia="en-US"/>
              </w:rPr>
              <w:t>de</w:t>
            </w:r>
            <w:proofErr w:type="spellEnd"/>
            <w:r w:rsidRPr="00A45732">
              <w:rPr>
                <w:rFonts w:eastAsiaTheme="minorHAnsi"/>
                <w:i/>
                <w:iCs/>
                <w:sz w:val="24"/>
                <w:szCs w:val="24"/>
                <w:lang w:eastAsia="en-US"/>
              </w:rPr>
              <w:t xml:space="preserve"> </w:t>
            </w:r>
            <w:proofErr w:type="spellStart"/>
            <w:r w:rsidRPr="00A45732">
              <w:rPr>
                <w:rFonts w:eastAsiaTheme="minorHAnsi"/>
                <w:i/>
                <w:iCs/>
                <w:sz w:val="24"/>
                <w:szCs w:val="24"/>
                <w:lang w:eastAsia="en-US"/>
              </w:rPr>
              <w:t>minimis</w:t>
            </w:r>
            <w:proofErr w:type="spellEnd"/>
            <w:r w:rsidRPr="00A45732">
              <w:rPr>
                <w:rFonts w:eastAsiaTheme="minorHAnsi"/>
                <w:sz w:val="24"/>
                <w:szCs w:val="24"/>
                <w:lang w:eastAsia="en-US"/>
              </w:rPr>
              <w:t xml:space="preserve"> atbalsta uzskaites un piešķiršanas kārtību un </w:t>
            </w:r>
            <w:proofErr w:type="spellStart"/>
            <w:r w:rsidRPr="00A45732">
              <w:rPr>
                <w:rFonts w:eastAsiaTheme="minorHAnsi"/>
                <w:i/>
                <w:iCs/>
                <w:sz w:val="24"/>
                <w:szCs w:val="24"/>
                <w:lang w:eastAsia="en-US"/>
              </w:rPr>
              <w:t>de</w:t>
            </w:r>
            <w:proofErr w:type="spellEnd"/>
            <w:r w:rsidRPr="00A45732">
              <w:rPr>
                <w:rFonts w:eastAsiaTheme="minorHAnsi"/>
                <w:i/>
                <w:iCs/>
                <w:sz w:val="24"/>
                <w:szCs w:val="24"/>
                <w:lang w:eastAsia="en-US"/>
              </w:rPr>
              <w:t xml:space="preserve"> </w:t>
            </w:r>
            <w:proofErr w:type="spellStart"/>
            <w:r w:rsidRPr="00A45732">
              <w:rPr>
                <w:rFonts w:eastAsiaTheme="minorHAnsi"/>
                <w:i/>
                <w:iCs/>
                <w:sz w:val="24"/>
                <w:szCs w:val="24"/>
                <w:lang w:eastAsia="en-US"/>
              </w:rPr>
              <w:t>minimis</w:t>
            </w:r>
            <w:proofErr w:type="spellEnd"/>
            <w:r w:rsidRPr="00A45732">
              <w:rPr>
                <w:rFonts w:eastAsiaTheme="minorHAnsi"/>
                <w:sz w:val="24"/>
                <w:szCs w:val="24"/>
                <w:lang w:eastAsia="en-US"/>
              </w:rPr>
              <w:t xml:space="preserve"> atbalsta uzskaites veidlapu paraugiem, norādot ziņas par fiskālo gadu un diviem iepriekšējiem fiskālajiem gadiem;</w:t>
            </w:r>
          </w:p>
          <w:p w14:paraId="00AE25A8" w14:textId="0C1F96C6" w:rsidR="004628D3" w:rsidRPr="00A45732" w:rsidRDefault="004628D3" w:rsidP="00102470">
            <w:pPr>
              <w:pStyle w:val="ListParagraph"/>
              <w:numPr>
                <w:ilvl w:val="0"/>
                <w:numId w:val="7"/>
              </w:numPr>
              <w:tabs>
                <w:tab w:val="left" w:pos="320"/>
              </w:tabs>
              <w:spacing w:after="60"/>
              <w:ind w:right="40"/>
              <w:jc w:val="both"/>
              <w:rPr>
                <w:rFonts w:eastAsiaTheme="minorHAnsi"/>
                <w:sz w:val="24"/>
                <w:szCs w:val="24"/>
                <w:lang w:eastAsia="en-US"/>
              </w:rPr>
            </w:pPr>
            <w:r w:rsidRPr="00A45732">
              <w:rPr>
                <w:rFonts w:eastAsiaTheme="minorHAnsi"/>
                <w:sz w:val="24"/>
                <w:szCs w:val="24"/>
                <w:lang w:eastAsia="en-US"/>
              </w:rPr>
              <w:t xml:space="preserve">papildināts </w:t>
            </w:r>
            <w:r w:rsidR="00A45732">
              <w:rPr>
                <w:rFonts w:eastAsiaTheme="minorHAnsi"/>
                <w:sz w:val="24"/>
                <w:szCs w:val="24"/>
                <w:lang w:eastAsia="en-US"/>
              </w:rPr>
              <w:t>s</w:t>
            </w:r>
            <w:r w:rsidRPr="00A45732">
              <w:rPr>
                <w:rFonts w:eastAsiaTheme="minorHAnsi"/>
                <w:sz w:val="24"/>
                <w:szCs w:val="24"/>
                <w:lang w:eastAsia="en-US"/>
              </w:rPr>
              <w:t xml:space="preserve">ubsīdijas ekvivalenta aprēķina </w:t>
            </w:r>
            <w:r w:rsidR="00E86064" w:rsidRPr="00A45732">
              <w:rPr>
                <w:rFonts w:eastAsiaTheme="minorHAnsi"/>
                <w:sz w:val="24"/>
                <w:szCs w:val="24"/>
                <w:lang w:eastAsia="en-US"/>
              </w:rPr>
              <w:t>nosacījumi ar punktu, ja</w:t>
            </w:r>
            <w:r w:rsidRPr="00A45732">
              <w:rPr>
                <w:rFonts w:eastAsiaTheme="minorHAnsi"/>
                <w:sz w:val="24"/>
                <w:szCs w:val="24"/>
                <w:lang w:eastAsia="en-US"/>
              </w:rPr>
              <w:t xml:space="preserve"> paralēlajiem aizdevumiem, ko sniedz saskaņā </w:t>
            </w:r>
            <w:r w:rsidR="00E86064" w:rsidRPr="00A45732">
              <w:rPr>
                <w:rFonts w:eastAsiaTheme="minorHAnsi"/>
                <w:sz w:val="24"/>
                <w:szCs w:val="24"/>
                <w:lang w:eastAsia="en-US"/>
              </w:rPr>
              <w:t>Komisijas regulu Nr. 1407/2013</w:t>
            </w:r>
            <w:r w:rsidRPr="00A45732">
              <w:rPr>
                <w:rFonts w:eastAsiaTheme="minorHAnsi"/>
                <w:sz w:val="24"/>
                <w:szCs w:val="24"/>
                <w:lang w:eastAsia="en-US"/>
              </w:rPr>
              <w:t>, atbilstoši Komisijas regulas Nr. Nr.1407/2013 4. panta 3.punkta c) apakšpunktam visam atbalsta periodam aprēķina kā pozitīvu starpību starp atbilstošās kredīta kvalitātes klases atsauces likmi, kura jāmaksā saskaņā ar Eiropas Komisijas konkrētajam periodam noteikto bāzes likmi, kā arī riska likmi, kuras procentuālais apmērs tiek noteikts atbilstoši sabiedrības "</w:t>
            </w:r>
            <w:proofErr w:type="spellStart"/>
            <w:r w:rsidRPr="00A45732">
              <w:rPr>
                <w:rFonts w:eastAsiaTheme="minorHAnsi"/>
                <w:sz w:val="24"/>
                <w:szCs w:val="24"/>
                <w:lang w:eastAsia="en-US"/>
              </w:rPr>
              <w:t>Altum</w:t>
            </w:r>
            <w:proofErr w:type="spellEnd"/>
            <w:r w:rsidRPr="00A45732">
              <w:rPr>
                <w:rFonts w:eastAsiaTheme="minorHAnsi"/>
                <w:sz w:val="24"/>
                <w:szCs w:val="24"/>
                <w:lang w:eastAsia="en-US"/>
              </w:rPr>
              <w:t xml:space="preserve">" izsniegtajam aizdevuma saņēmēja reitingam un piedāvātajam nodrošinājumam (bāzes un risku likmes publicētas Eiropas Komisijas Konkurences ģenerāldirektorāta tīmekļvietnēm; riska likmi nosaka </w:t>
            </w:r>
            <w:r w:rsidRPr="00A45732">
              <w:rPr>
                <w:rFonts w:eastAsiaTheme="minorHAnsi"/>
                <w:sz w:val="24"/>
                <w:szCs w:val="24"/>
                <w:lang w:eastAsia="en-US"/>
              </w:rPr>
              <w:lastRenderedPageBreak/>
              <w:t>vismaz 650 bāzes punktu apmērā), un faktiski piemēroto gada prēmijas likmi</w:t>
            </w:r>
            <w:r w:rsidR="00E86064" w:rsidRPr="00A45732">
              <w:rPr>
                <w:rFonts w:eastAsiaTheme="minorHAnsi"/>
                <w:sz w:val="24"/>
                <w:szCs w:val="24"/>
                <w:lang w:eastAsia="en-US"/>
              </w:rPr>
              <w:t>;</w:t>
            </w:r>
          </w:p>
          <w:p w14:paraId="2612EC50" w14:textId="4EDFE36E" w:rsidR="00E86064" w:rsidRPr="00A45732" w:rsidRDefault="00E86064" w:rsidP="00102470">
            <w:pPr>
              <w:pStyle w:val="ListParagraph"/>
              <w:numPr>
                <w:ilvl w:val="0"/>
                <w:numId w:val="7"/>
              </w:numPr>
              <w:tabs>
                <w:tab w:val="left" w:pos="320"/>
              </w:tabs>
              <w:spacing w:after="60"/>
              <w:ind w:right="40"/>
              <w:jc w:val="both"/>
              <w:rPr>
                <w:rFonts w:eastAsiaTheme="minorHAnsi"/>
                <w:sz w:val="24"/>
                <w:szCs w:val="24"/>
                <w:lang w:eastAsia="en-US"/>
              </w:rPr>
            </w:pPr>
            <w:r w:rsidRPr="00A45732">
              <w:rPr>
                <w:rFonts w:eastAsiaTheme="minorHAnsi"/>
                <w:sz w:val="24"/>
                <w:szCs w:val="24"/>
                <w:lang w:eastAsia="en-US"/>
              </w:rPr>
              <w:t xml:space="preserve">papildināts, ka piešķirto finansējumu var apvienot ar citas atbalsta programmas vai individuālā atbalsta projekta ietvaros piešķirto finansējumu, tai skaitā ar </w:t>
            </w:r>
            <w:proofErr w:type="spellStart"/>
            <w:r w:rsidRPr="00A45732">
              <w:rPr>
                <w:rFonts w:eastAsiaTheme="minorHAnsi"/>
                <w:i/>
                <w:iCs/>
                <w:sz w:val="24"/>
                <w:szCs w:val="24"/>
                <w:lang w:eastAsia="en-US"/>
              </w:rPr>
              <w:t>de</w:t>
            </w:r>
            <w:proofErr w:type="spellEnd"/>
            <w:r w:rsidRPr="00A45732">
              <w:rPr>
                <w:rFonts w:eastAsiaTheme="minorHAnsi"/>
                <w:i/>
                <w:iCs/>
                <w:sz w:val="24"/>
                <w:szCs w:val="24"/>
                <w:lang w:eastAsia="en-US"/>
              </w:rPr>
              <w:t xml:space="preserve"> </w:t>
            </w:r>
            <w:proofErr w:type="spellStart"/>
            <w:r w:rsidRPr="00A45732">
              <w:rPr>
                <w:rFonts w:eastAsiaTheme="minorHAnsi"/>
                <w:i/>
                <w:iCs/>
                <w:sz w:val="24"/>
                <w:szCs w:val="24"/>
                <w:lang w:eastAsia="en-US"/>
              </w:rPr>
              <w:t>minimis</w:t>
            </w:r>
            <w:proofErr w:type="spellEnd"/>
            <w:r w:rsidRPr="00A45732">
              <w:rPr>
                <w:rFonts w:eastAsiaTheme="minorHAnsi"/>
                <w:sz w:val="24"/>
                <w:szCs w:val="24"/>
                <w:lang w:eastAsia="en-US"/>
              </w:rPr>
              <w:t xml:space="preserve"> atbalstu, ievērojot nosacījumu, piešķirtais finansējums kopā ar citas atbalsta programmas vai individuālā atbalsta projekta ietvaros piešķirto finansējumu</w:t>
            </w:r>
            <w:r w:rsidR="00A45732">
              <w:rPr>
                <w:rFonts w:eastAsiaTheme="minorHAnsi"/>
                <w:sz w:val="24"/>
                <w:szCs w:val="24"/>
                <w:lang w:eastAsia="en-US"/>
              </w:rPr>
              <w:t xml:space="preserve"> </w:t>
            </w:r>
            <w:r w:rsidRPr="00A45732">
              <w:rPr>
                <w:rFonts w:eastAsiaTheme="minorHAnsi"/>
                <w:sz w:val="24"/>
                <w:szCs w:val="24"/>
                <w:lang w:eastAsia="en-US"/>
              </w:rPr>
              <w:t>nepārsniedz Komisijas regulas Nr.1407/2013 3. panta 2. punktā noteiktos ierobežojumus vienam vienotam uzņēmumam paralēlajiem aizdevumiem;</w:t>
            </w:r>
          </w:p>
          <w:p w14:paraId="4E05B6F9" w14:textId="340B359D" w:rsidR="00E86064" w:rsidRPr="00A45732" w:rsidRDefault="00E86064" w:rsidP="00102470">
            <w:pPr>
              <w:pStyle w:val="ListParagraph"/>
              <w:numPr>
                <w:ilvl w:val="0"/>
                <w:numId w:val="7"/>
              </w:numPr>
              <w:tabs>
                <w:tab w:val="left" w:pos="320"/>
              </w:tabs>
              <w:spacing w:after="60"/>
              <w:ind w:right="40"/>
              <w:jc w:val="both"/>
              <w:rPr>
                <w:rFonts w:eastAsiaTheme="minorHAnsi"/>
                <w:sz w:val="24"/>
                <w:szCs w:val="24"/>
                <w:lang w:eastAsia="en-US"/>
              </w:rPr>
            </w:pPr>
            <w:r w:rsidRPr="00A45732">
              <w:rPr>
                <w:rFonts w:eastAsiaTheme="minorHAnsi"/>
                <w:sz w:val="24"/>
                <w:szCs w:val="24"/>
                <w:lang w:eastAsia="en-US"/>
              </w:rPr>
              <w:t>tiek noteikts, ka lēmumu par atbalsta piešķiršanu saskaņā ar Komisijas regulu Nr. 1407/2013 var pieņemt līdz šīs regulas darbības beigām</w:t>
            </w:r>
            <w:r w:rsidR="00A45732">
              <w:rPr>
                <w:rFonts w:eastAsiaTheme="minorHAnsi"/>
                <w:sz w:val="24"/>
                <w:szCs w:val="24"/>
                <w:lang w:eastAsia="en-US"/>
              </w:rPr>
              <w:t>.</w:t>
            </w:r>
          </w:p>
          <w:p w14:paraId="289734C7" w14:textId="77777777" w:rsidR="00E86064" w:rsidRDefault="00E86064" w:rsidP="004628D3">
            <w:pPr>
              <w:shd w:val="clear" w:color="auto" w:fill="FFFFFF"/>
              <w:spacing w:after="120" w:line="293" w:lineRule="atLeast"/>
              <w:jc w:val="both"/>
              <w:rPr>
                <w:rFonts w:ascii="Arial" w:hAnsi="Arial" w:cs="Arial"/>
                <w:b/>
                <w:bCs/>
                <w:color w:val="414142"/>
                <w:sz w:val="20"/>
                <w:szCs w:val="20"/>
              </w:rPr>
            </w:pPr>
          </w:p>
          <w:p w14:paraId="0C6CD164" w14:textId="35AA7F86" w:rsidR="004628D3" w:rsidRPr="003B6884" w:rsidRDefault="00E86064" w:rsidP="003B6884">
            <w:pPr>
              <w:pStyle w:val="ListParagraph"/>
              <w:numPr>
                <w:ilvl w:val="0"/>
                <w:numId w:val="9"/>
              </w:numPr>
              <w:shd w:val="clear" w:color="auto" w:fill="FFFFFF"/>
              <w:spacing w:after="120" w:line="293" w:lineRule="atLeast"/>
              <w:jc w:val="both"/>
              <w:rPr>
                <w:sz w:val="24"/>
                <w:szCs w:val="24"/>
              </w:rPr>
            </w:pPr>
            <w:r w:rsidRPr="003B6884">
              <w:rPr>
                <w:b/>
                <w:bCs/>
                <w:sz w:val="24"/>
                <w:szCs w:val="24"/>
              </w:rPr>
              <w:t xml:space="preserve">Ekonomikas ministrija ierosina </w:t>
            </w:r>
            <w:r w:rsidR="004628D3" w:rsidRPr="003B6884">
              <w:rPr>
                <w:b/>
                <w:bCs/>
                <w:sz w:val="24"/>
                <w:szCs w:val="24"/>
              </w:rPr>
              <w:t>precizēt norm</w:t>
            </w:r>
            <w:r w:rsidRPr="003B6884">
              <w:rPr>
                <w:b/>
                <w:bCs/>
                <w:sz w:val="24"/>
                <w:szCs w:val="24"/>
              </w:rPr>
              <w:t>u</w:t>
            </w:r>
            <w:r w:rsidR="004628D3" w:rsidRPr="003B6884">
              <w:rPr>
                <w:b/>
                <w:bCs/>
                <w:sz w:val="24"/>
                <w:szCs w:val="24"/>
              </w:rPr>
              <w:t>, kas attiecas uz paralēlā aizdevuma piešķiršanas nosacījumiem,</w:t>
            </w:r>
            <w:r w:rsidR="004628D3" w:rsidRPr="003B6884">
              <w:rPr>
                <w:sz w:val="24"/>
                <w:szCs w:val="24"/>
              </w:rPr>
              <w:t xml:space="preserve"> nosakot ka paralēlajam aizdevumam, ar kuru finansē saimnieciskās darbības veicēja iekārtu iegādi, var piemērot pamatsummas atmaksas atlikto termiņu ne vairāk kā par 36 mēnešiem, ja kredītiestādes finansējumam nav piemērots pamatsummas atliktais termiņš. Šobrīd MK noteikumi Nr.469 paredz, ka pamatsummas atliktais termiņš ir, ja kredītiestādes finansējumam ir paredzēta atliktā pamatsumma un  tādā gadījumā pamatsummas atliktais termiņš var pārsniegt kredītiestādes finansējuma pamatsummas atlikto termiņu ne vairāk kā par 24 mēnešiem. Pamatsummas atlikšana līdz 36 mēnešiem labvēlīgi ietekmēs saimnieciskās darbības veicēju naudas plūsmu, tādējādi ļaujot uzņēmumam attīstīt un nostabilizēt savu saimniecisko darbību, lai varētu atmaksāt aizdevumu. Tāpat tas veicinātu arī komercbanku, ar ko kopā tiek izsniegts paralēlais aizdevums, izsniegt aizdevumu saimnieciskās darbības veicējam, jo netiktu noslogota tā naudas plūsma sākotnējā projekta realizācijas stadijā. Šāda darījuma struktūra arī veicinātu iespēju uzņēmumiem attīstīt savu konkurētspēju, veicinot </w:t>
            </w:r>
            <w:r w:rsidR="004628D3" w:rsidRPr="003B6884">
              <w:rPr>
                <w:sz w:val="24"/>
                <w:szCs w:val="24"/>
              </w:rPr>
              <w:lastRenderedPageBreak/>
              <w:t xml:space="preserve">ekonomisko aktivitāti, kas īpaši svarīga ir Covid-19 izraisītās krīzes rezultātā. </w:t>
            </w:r>
          </w:p>
          <w:p w14:paraId="372F1A4A" w14:textId="0637580B" w:rsidR="002464F5" w:rsidRDefault="00F1193A" w:rsidP="00BF52F3">
            <w:pPr>
              <w:tabs>
                <w:tab w:val="left" w:pos="320"/>
              </w:tabs>
              <w:spacing w:before="100" w:beforeAutospacing="1" w:after="60"/>
              <w:ind w:right="40"/>
              <w:jc w:val="both"/>
              <w:rPr>
                <w:rFonts w:ascii="Arial" w:hAnsi="Arial" w:cs="Arial"/>
                <w:color w:val="414142"/>
                <w:sz w:val="20"/>
                <w:szCs w:val="20"/>
              </w:rPr>
            </w:pPr>
            <w:r w:rsidRPr="001D5409">
              <w:rPr>
                <w:rFonts w:ascii="Times New Roman" w:eastAsia="Times New Roman" w:hAnsi="Times New Roman" w:cs="Times New Roman"/>
                <w:b/>
                <w:bCs/>
                <w:sz w:val="24"/>
                <w:szCs w:val="24"/>
                <w:lang w:eastAsia="lv-LV"/>
              </w:rPr>
              <w:t>Tiek veikts tehnisks precizējums a</w:t>
            </w:r>
            <w:r w:rsidR="001F2539" w:rsidRPr="001D5409">
              <w:rPr>
                <w:rFonts w:ascii="Times New Roman" w:eastAsia="Times New Roman" w:hAnsi="Times New Roman" w:cs="Times New Roman"/>
                <w:b/>
                <w:bCs/>
                <w:sz w:val="24"/>
                <w:szCs w:val="24"/>
                <w:lang w:eastAsia="lv-LV"/>
              </w:rPr>
              <w:t>tmaksātā</w:t>
            </w:r>
            <w:r w:rsidRPr="001D5409">
              <w:rPr>
                <w:rFonts w:ascii="Times New Roman" w:eastAsia="Times New Roman" w:hAnsi="Times New Roman" w:cs="Times New Roman"/>
                <w:b/>
                <w:bCs/>
                <w:sz w:val="24"/>
                <w:szCs w:val="24"/>
                <w:lang w:eastAsia="lv-LV"/>
              </w:rPr>
              <w:t xml:space="preserve"> publiskā</w:t>
            </w:r>
            <w:r w:rsidR="001F2539" w:rsidRPr="001D5409">
              <w:rPr>
                <w:rFonts w:ascii="Times New Roman" w:eastAsia="Times New Roman" w:hAnsi="Times New Roman" w:cs="Times New Roman"/>
                <w:b/>
                <w:bCs/>
                <w:sz w:val="24"/>
                <w:szCs w:val="24"/>
                <w:lang w:eastAsia="lv-LV"/>
              </w:rPr>
              <w:t xml:space="preserve"> finansējuma </w:t>
            </w:r>
            <w:r w:rsidRPr="001D5409">
              <w:rPr>
                <w:rFonts w:ascii="Times New Roman" w:eastAsia="Times New Roman" w:hAnsi="Times New Roman" w:cs="Times New Roman"/>
                <w:b/>
                <w:bCs/>
                <w:sz w:val="24"/>
                <w:szCs w:val="24"/>
                <w:lang w:eastAsia="lv-LV"/>
              </w:rPr>
              <w:t>izmantošanai, lai norma būtu skaidrāka un nepārprotama</w:t>
            </w:r>
            <w:r w:rsidR="00BF52F3" w:rsidRPr="001D5409">
              <w:rPr>
                <w:rFonts w:ascii="Times New Roman" w:eastAsia="Times New Roman" w:hAnsi="Times New Roman" w:cs="Times New Roman"/>
                <w:b/>
                <w:bCs/>
                <w:sz w:val="24"/>
                <w:szCs w:val="24"/>
                <w:lang w:eastAsia="lv-LV"/>
              </w:rPr>
              <w:t>.</w:t>
            </w:r>
            <w:r w:rsidR="00BF52F3">
              <w:rPr>
                <w:b/>
                <w:bCs/>
                <w:sz w:val="24"/>
                <w:szCs w:val="24"/>
              </w:rPr>
              <w:t xml:space="preserve"> </w:t>
            </w:r>
            <w:r w:rsidR="00E86064">
              <w:rPr>
                <w:rFonts w:ascii="Times New Roman" w:eastAsia="Times New Roman" w:hAnsi="Times New Roman" w:cs="Times New Roman"/>
                <w:sz w:val="24"/>
                <w:szCs w:val="26"/>
                <w:lang w:eastAsia="lv-LV"/>
              </w:rPr>
              <w:t>L</w:t>
            </w:r>
            <w:r w:rsidR="001F2539" w:rsidRPr="001F2539">
              <w:rPr>
                <w:rFonts w:ascii="Times New Roman" w:eastAsia="Times New Roman" w:hAnsi="Times New Roman" w:cs="Times New Roman"/>
                <w:sz w:val="24"/>
                <w:szCs w:val="26"/>
                <w:lang w:eastAsia="lv-LV"/>
              </w:rPr>
              <w:t>ai precizētu atmaksu atkārtotu izmantošanu, MK</w:t>
            </w:r>
            <w:r w:rsidR="001F2539">
              <w:rPr>
                <w:rFonts w:ascii="Times New Roman" w:eastAsia="Times New Roman" w:hAnsi="Times New Roman" w:cs="Times New Roman"/>
                <w:sz w:val="24"/>
                <w:szCs w:val="26"/>
                <w:lang w:eastAsia="lv-LV"/>
              </w:rPr>
              <w:t xml:space="preserve"> noteikumi Nr.469</w:t>
            </w:r>
            <w:r w:rsidR="001F2539" w:rsidRPr="001F2539">
              <w:rPr>
                <w:rFonts w:ascii="Times New Roman" w:eastAsia="Times New Roman" w:hAnsi="Times New Roman" w:cs="Times New Roman"/>
                <w:sz w:val="24"/>
                <w:szCs w:val="26"/>
                <w:lang w:eastAsia="lv-LV"/>
              </w:rPr>
              <w:t xml:space="preserve"> ir papildināti ar nosacījumu,</w:t>
            </w:r>
            <w:r w:rsidR="001F2539">
              <w:rPr>
                <w:rFonts w:ascii="Times New Roman" w:eastAsia="Times New Roman" w:hAnsi="Times New Roman" w:cs="Times New Roman"/>
                <w:sz w:val="24"/>
                <w:szCs w:val="26"/>
                <w:lang w:eastAsia="lv-LV"/>
              </w:rPr>
              <w:t xml:space="preserve"> publiskais finansējums sedz</w:t>
            </w:r>
            <w:r w:rsidR="001F2539" w:rsidRPr="001F2539">
              <w:rPr>
                <w:rFonts w:ascii="Times New Roman" w:eastAsia="Times New Roman" w:hAnsi="Times New Roman" w:cs="Times New Roman"/>
                <w:sz w:val="24"/>
                <w:szCs w:val="26"/>
                <w:lang w:eastAsia="lv-LV"/>
              </w:rPr>
              <w:t xml:space="preserve"> sagaidāmos kredītriska pirmos zaudējumus</w:t>
            </w:r>
            <w:r w:rsidR="001045EC">
              <w:rPr>
                <w:rFonts w:ascii="Times New Roman" w:eastAsia="Times New Roman" w:hAnsi="Times New Roman" w:cs="Times New Roman"/>
                <w:sz w:val="24"/>
                <w:szCs w:val="26"/>
                <w:lang w:eastAsia="lv-LV"/>
              </w:rPr>
              <w:t xml:space="preserve">, </w:t>
            </w:r>
            <w:r w:rsidR="001045EC" w:rsidRPr="00412813">
              <w:rPr>
                <w:rFonts w:ascii="Times New Roman" w:eastAsia="Times New Roman" w:hAnsi="Times New Roman"/>
                <w:sz w:val="24"/>
                <w:szCs w:val="26"/>
                <w:lang w:eastAsia="lv-LV"/>
              </w:rPr>
              <w:t>t</w:t>
            </w:r>
            <w:r>
              <w:rPr>
                <w:rFonts w:ascii="Times New Roman" w:eastAsia="Times New Roman" w:hAnsi="Times New Roman"/>
                <w:sz w:val="24"/>
                <w:szCs w:val="26"/>
                <w:lang w:eastAsia="lv-LV"/>
              </w:rPr>
              <w:t xml:space="preserve">ai </w:t>
            </w:r>
            <w:r w:rsidR="001045EC" w:rsidRPr="00412813">
              <w:rPr>
                <w:rFonts w:ascii="Times New Roman" w:eastAsia="Times New Roman" w:hAnsi="Times New Roman"/>
                <w:sz w:val="24"/>
                <w:szCs w:val="26"/>
                <w:lang w:eastAsia="lv-LV"/>
              </w:rPr>
              <w:t>sk</w:t>
            </w:r>
            <w:r>
              <w:rPr>
                <w:rFonts w:ascii="Times New Roman" w:eastAsia="Times New Roman" w:hAnsi="Times New Roman"/>
                <w:sz w:val="24"/>
                <w:szCs w:val="26"/>
                <w:lang w:eastAsia="lv-LV"/>
              </w:rPr>
              <w:t>aitā</w:t>
            </w:r>
            <w:r w:rsidR="001045EC" w:rsidRPr="00412813">
              <w:rPr>
                <w:rFonts w:ascii="Times New Roman" w:eastAsia="Times New Roman" w:hAnsi="Times New Roman"/>
                <w:sz w:val="24"/>
                <w:szCs w:val="26"/>
                <w:lang w:eastAsia="lv-LV"/>
              </w:rPr>
              <w:t xml:space="preserve"> novirzāms nepieciešamo uzkrājumu veidošanai un uzturēšanai</w:t>
            </w:r>
            <w:r w:rsidR="001045EC" w:rsidRPr="0043142B">
              <w:rPr>
                <w:rFonts w:ascii="Times New Roman" w:eastAsia="Times New Roman" w:hAnsi="Times New Roman"/>
                <w:sz w:val="24"/>
                <w:szCs w:val="26"/>
                <w:lang w:eastAsia="lv-LV"/>
              </w:rPr>
              <w:t xml:space="preserve"> </w:t>
            </w:r>
            <w:proofErr w:type="spellStart"/>
            <w:r w:rsidR="001045EC" w:rsidRPr="00412813">
              <w:rPr>
                <w:rFonts w:ascii="Times New Roman" w:eastAsia="Times New Roman" w:hAnsi="Times New Roman"/>
                <w:sz w:val="24"/>
                <w:szCs w:val="26"/>
                <w:lang w:eastAsia="lv-LV"/>
              </w:rPr>
              <w:t>kredītzaudējumiem</w:t>
            </w:r>
            <w:proofErr w:type="spellEnd"/>
            <w:r w:rsidR="001F2539" w:rsidRPr="001F2539">
              <w:rPr>
                <w:rFonts w:ascii="Times New Roman" w:eastAsia="Times New Roman" w:hAnsi="Times New Roman" w:cs="Times New Roman"/>
                <w:sz w:val="24"/>
                <w:szCs w:val="26"/>
                <w:lang w:eastAsia="lv-LV"/>
              </w:rPr>
              <w:t xml:space="preserve"> </w:t>
            </w:r>
            <w:r w:rsidR="001F2539">
              <w:rPr>
                <w:rFonts w:ascii="Times New Roman" w:eastAsia="Times New Roman" w:hAnsi="Times New Roman" w:cs="Times New Roman"/>
                <w:sz w:val="24"/>
                <w:szCs w:val="26"/>
                <w:lang w:eastAsia="lv-LV"/>
              </w:rPr>
              <w:t xml:space="preserve">un, </w:t>
            </w:r>
            <w:r w:rsidR="001F2539" w:rsidRPr="001F2539">
              <w:rPr>
                <w:rFonts w:ascii="Times New Roman" w:eastAsia="Times New Roman" w:hAnsi="Times New Roman" w:cs="Times New Roman"/>
                <w:sz w:val="24"/>
                <w:szCs w:val="26"/>
                <w:lang w:eastAsia="lv-LV"/>
              </w:rPr>
              <w:t>ka</w:t>
            </w:r>
            <w:r w:rsidR="00BF52F3">
              <w:rPr>
                <w:rFonts w:ascii="Times New Roman" w:eastAsia="Times New Roman" w:hAnsi="Times New Roman" w:cs="Times New Roman"/>
                <w:sz w:val="24"/>
                <w:szCs w:val="26"/>
                <w:lang w:eastAsia="lv-LV"/>
              </w:rPr>
              <w:t xml:space="preserve"> </w:t>
            </w:r>
            <w:proofErr w:type="spellStart"/>
            <w:r w:rsidR="001F2539" w:rsidRPr="001F2539">
              <w:rPr>
                <w:rFonts w:ascii="Times New Roman" w:eastAsia="Times New Roman" w:hAnsi="Times New Roman" w:cs="Times New Roman"/>
                <w:sz w:val="24"/>
                <w:szCs w:val="26"/>
                <w:lang w:eastAsia="lv-LV"/>
              </w:rPr>
              <w:t>Altum</w:t>
            </w:r>
            <w:proofErr w:type="spellEnd"/>
            <w:r w:rsidR="001F2539">
              <w:rPr>
                <w:rFonts w:ascii="Times New Roman" w:eastAsia="Times New Roman" w:hAnsi="Times New Roman" w:cs="Times New Roman"/>
                <w:sz w:val="24"/>
                <w:szCs w:val="26"/>
                <w:lang w:eastAsia="lv-LV"/>
              </w:rPr>
              <w:t xml:space="preserve"> </w:t>
            </w:r>
            <w:r w:rsidR="001F2539" w:rsidRPr="001F2539">
              <w:rPr>
                <w:rFonts w:ascii="Times New Roman" w:eastAsia="Times New Roman" w:hAnsi="Times New Roman" w:cs="Times New Roman"/>
                <w:sz w:val="24"/>
                <w:szCs w:val="26"/>
                <w:lang w:eastAsia="lv-LV"/>
              </w:rPr>
              <w:t xml:space="preserve"> </w:t>
            </w:r>
            <w:r w:rsidR="001F2539" w:rsidRPr="002E5F54">
              <w:rPr>
                <w:rFonts w:ascii="Times New Roman" w:eastAsia="Times New Roman" w:hAnsi="Times New Roman" w:cs="Times New Roman"/>
                <w:sz w:val="24"/>
                <w:szCs w:val="26"/>
                <w:lang w:eastAsia="lv-LV"/>
              </w:rPr>
              <w:t xml:space="preserve">publiskā </w:t>
            </w:r>
            <w:r w:rsidR="001F2539" w:rsidRPr="001F2539">
              <w:rPr>
                <w:rFonts w:ascii="Times New Roman" w:eastAsia="Times New Roman" w:hAnsi="Times New Roman" w:cs="Times New Roman"/>
                <w:sz w:val="24"/>
                <w:szCs w:val="26"/>
                <w:lang w:eastAsia="lv-LV"/>
              </w:rPr>
              <w:t xml:space="preserve">atmaksu finansējuma atmaksas var izmantot </w:t>
            </w:r>
            <w:r w:rsidR="001F2539" w:rsidRPr="002E5F54">
              <w:rPr>
                <w:rFonts w:ascii="Times New Roman" w:eastAsia="Times New Roman" w:hAnsi="Times New Roman" w:cs="Times New Roman"/>
                <w:sz w:val="24"/>
                <w:szCs w:val="26"/>
                <w:lang w:eastAsia="lv-LV"/>
              </w:rPr>
              <w:t>atkārtoti programmas īstenošanai saskaņā ar programmas novērtējumu</w:t>
            </w:r>
            <w:r w:rsidR="001F2539" w:rsidRPr="001F2539">
              <w:rPr>
                <w:rFonts w:ascii="Times New Roman" w:eastAsia="Times New Roman" w:hAnsi="Times New Roman" w:cs="Times New Roman"/>
                <w:sz w:val="24"/>
                <w:szCs w:val="26"/>
                <w:lang w:eastAsia="lv-LV"/>
              </w:rPr>
              <w:t>.</w:t>
            </w:r>
            <w:r w:rsidR="002464F5" w:rsidRPr="002E5F54">
              <w:rPr>
                <w:rFonts w:ascii="Arial" w:hAnsi="Arial" w:cs="Arial"/>
                <w:color w:val="414142"/>
                <w:sz w:val="20"/>
                <w:szCs w:val="20"/>
                <w:highlight w:val="yellow"/>
              </w:rPr>
              <w:t xml:space="preserve"> </w:t>
            </w:r>
          </w:p>
          <w:p w14:paraId="73969E15" w14:textId="77777777" w:rsidR="001D5409" w:rsidRDefault="001D5409" w:rsidP="001D5409">
            <w:pPr>
              <w:jc w:val="both"/>
              <w:rPr>
                <w:b/>
                <w:bCs/>
                <w:sz w:val="24"/>
                <w:szCs w:val="24"/>
              </w:rPr>
            </w:pPr>
          </w:p>
          <w:p w14:paraId="37D23B9E" w14:textId="32FEC9F6" w:rsidR="001D5409" w:rsidRPr="001D5409" w:rsidRDefault="001D5409" w:rsidP="001D5409">
            <w:pPr>
              <w:jc w:val="both"/>
              <w:rPr>
                <w:rFonts w:ascii="Times New Roman" w:eastAsia="Times New Roman" w:hAnsi="Times New Roman" w:cs="Times New Roman"/>
                <w:b/>
                <w:bCs/>
                <w:sz w:val="24"/>
                <w:szCs w:val="24"/>
                <w:lang w:eastAsia="lv-LV"/>
              </w:rPr>
            </w:pPr>
            <w:r w:rsidRPr="001D5409">
              <w:rPr>
                <w:rFonts w:ascii="Times New Roman" w:eastAsia="Times New Roman" w:hAnsi="Times New Roman" w:cs="Times New Roman"/>
                <w:b/>
                <w:bCs/>
                <w:sz w:val="24"/>
                <w:szCs w:val="24"/>
                <w:lang w:eastAsia="lv-LV"/>
              </w:rPr>
              <w:t>Precizēt atbalstāmās darbības.</w:t>
            </w:r>
          </w:p>
          <w:p w14:paraId="1745F591" w14:textId="60A477D3" w:rsidR="001D5409" w:rsidRPr="00A21760" w:rsidRDefault="001D5409" w:rsidP="001D5409">
            <w:pPr>
              <w:spacing w:after="0" w:line="240" w:lineRule="auto"/>
              <w:jc w:val="both"/>
              <w:rPr>
                <w:rFonts w:ascii="Times New Roman" w:hAnsi="Times New Roman" w:cs="Times New Roman"/>
                <w:sz w:val="24"/>
                <w:szCs w:val="24"/>
              </w:rPr>
            </w:pPr>
            <w:r w:rsidRPr="00090813">
              <w:rPr>
                <w:rFonts w:ascii="Times New Roman" w:hAnsi="Times New Roman" w:cs="Times New Roman"/>
                <w:sz w:val="24"/>
                <w:szCs w:val="24"/>
              </w:rPr>
              <w:t xml:space="preserve">Ekonomikas ministrija </w:t>
            </w:r>
            <w:r w:rsidRPr="00F715B0">
              <w:rPr>
                <w:rFonts w:ascii="Times New Roman" w:hAnsi="Times New Roman" w:cs="Times New Roman"/>
                <w:sz w:val="24"/>
                <w:szCs w:val="24"/>
              </w:rPr>
              <w:t xml:space="preserve">ierosina </w:t>
            </w:r>
            <w:r w:rsidRPr="00A21760">
              <w:rPr>
                <w:rFonts w:ascii="Times New Roman" w:hAnsi="Times New Roman" w:cs="Times New Roman"/>
                <w:sz w:val="24"/>
                <w:szCs w:val="24"/>
              </w:rPr>
              <w:t>svītrot MK noteikumu Nr.</w:t>
            </w:r>
            <w:r>
              <w:rPr>
                <w:rFonts w:ascii="Times New Roman" w:hAnsi="Times New Roman" w:cs="Times New Roman"/>
                <w:sz w:val="24"/>
                <w:szCs w:val="24"/>
              </w:rPr>
              <w:t>469</w:t>
            </w:r>
            <w:r w:rsidRPr="00A21760">
              <w:rPr>
                <w:rFonts w:ascii="Times New Roman" w:hAnsi="Times New Roman" w:cs="Times New Roman"/>
                <w:sz w:val="24"/>
                <w:szCs w:val="24"/>
              </w:rPr>
              <w:t xml:space="preserve"> </w:t>
            </w:r>
            <w:r>
              <w:rPr>
                <w:rFonts w:ascii="Times New Roman" w:hAnsi="Times New Roman" w:cs="Times New Roman"/>
                <w:sz w:val="24"/>
                <w:szCs w:val="24"/>
              </w:rPr>
              <w:t>20.19</w:t>
            </w:r>
            <w:r w:rsidRPr="00A21760">
              <w:rPr>
                <w:rFonts w:ascii="Times New Roman" w:hAnsi="Times New Roman" w:cs="Times New Roman"/>
                <w:sz w:val="24"/>
                <w:szCs w:val="24"/>
              </w:rPr>
              <w:t>. apakšpunktu. Minētie grozījumi nepieciešami, lai tiktu nodrošināta  daudzdzīvokļu māju projektu attīstīšanas finansēšana, tādējādi veicinot mājokļa pieejamību Latvijā.  OECD savā 2020.gada pētījumā par mājokļu pieejamību Latvijā</w:t>
            </w:r>
            <w:r w:rsidRPr="00A21760">
              <w:rPr>
                <w:rFonts w:ascii="Times New Roman" w:hAnsi="Times New Roman" w:cs="Times New Roman"/>
                <w:vertAlign w:val="superscript"/>
              </w:rPr>
              <w:footnoteReference w:id="1"/>
            </w:r>
            <w:r w:rsidRPr="00A21760">
              <w:rPr>
                <w:rFonts w:ascii="Times New Roman" w:hAnsi="Times New Roman" w:cs="Times New Roman"/>
                <w:sz w:val="24"/>
                <w:szCs w:val="24"/>
              </w:rPr>
              <w:t xml:space="preserve">, rosina: </w:t>
            </w:r>
          </w:p>
          <w:p w14:paraId="71EA74FE" w14:textId="77777777" w:rsidR="001D5409" w:rsidRPr="00333D1D" w:rsidRDefault="001D5409" w:rsidP="001D5409">
            <w:pPr>
              <w:numPr>
                <w:ilvl w:val="0"/>
                <w:numId w:val="10"/>
              </w:numPr>
              <w:tabs>
                <w:tab w:val="clear" w:pos="720"/>
                <w:tab w:val="left" w:pos="391"/>
              </w:tabs>
              <w:spacing w:after="100" w:afterAutospacing="1" w:line="240" w:lineRule="auto"/>
              <w:ind w:left="391" w:hanging="283"/>
              <w:jc w:val="both"/>
              <w:rPr>
                <w:rFonts w:ascii="Times New Roman" w:hAnsi="Times New Roman" w:cs="Times New Roman"/>
                <w:sz w:val="24"/>
                <w:szCs w:val="24"/>
              </w:rPr>
            </w:pPr>
            <w:r w:rsidRPr="00333D1D">
              <w:rPr>
                <w:rFonts w:ascii="Times New Roman" w:hAnsi="Times New Roman" w:cs="Times New Roman"/>
                <w:sz w:val="24"/>
                <w:szCs w:val="24"/>
              </w:rPr>
              <w:t>investēt kvalitatīvu mājokļu pieejamībā</w:t>
            </w:r>
            <w:r>
              <w:rPr>
                <w:rFonts w:ascii="Times New Roman" w:hAnsi="Times New Roman" w:cs="Times New Roman"/>
                <w:sz w:val="24"/>
                <w:szCs w:val="24"/>
              </w:rPr>
              <w:t xml:space="preserve">, </w:t>
            </w:r>
            <w:r w:rsidRPr="00333D1D">
              <w:rPr>
                <w:rFonts w:ascii="Times New Roman" w:hAnsi="Times New Roman" w:cs="Times New Roman"/>
                <w:sz w:val="24"/>
                <w:szCs w:val="24"/>
              </w:rPr>
              <w:t xml:space="preserve"> samazinot ar būvniecību saistītās administratīvās izmaksas; un izzinot inovatīvu pieeju izmantošanu, lai būvētu pieejamus mājokļus ar augstākiem vides standartiem un kvalitāti, bet par zemākām izmaksām; </w:t>
            </w:r>
          </w:p>
          <w:p w14:paraId="4A9732C1" w14:textId="4355B572" w:rsidR="001D5409" w:rsidRPr="00333D1D" w:rsidRDefault="001D5409" w:rsidP="001D5409">
            <w:pPr>
              <w:numPr>
                <w:ilvl w:val="0"/>
                <w:numId w:val="10"/>
              </w:numPr>
              <w:tabs>
                <w:tab w:val="clear" w:pos="720"/>
                <w:tab w:val="left" w:pos="391"/>
              </w:tabs>
              <w:spacing w:before="100" w:beforeAutospacing="1" w:after="0" w:line="240" w:lineRule="auto"/>
              <w:ind w:left="391" w:hanging="283"/>
              <w:jc w:val="both"/>
              <w:rPr>
                <w:rFonts w:ascii="Times New Roman" w:hAnsi="Times New Roman" w:cs="Times New Roman"/>
                <w:sz w:val="24"/>
                <w:szCs w:val="24"/>
              </w:rPr>
            </w:pPr>
            <w:r w:rsidRPr="00333D1D">
              <w:rPr>
                <w:rFonts w:ascii="Times New Roman" w:hAnsi="Times New Roman" w:cs="Times New Roman"/>
                <w:sz w:val="24"/>
                <w:szCs w:val="24"/>
              </w:rPr>
              <w:t>attīstīt pieejamāku un pievilcīgāku komerciālo īres tirgu, nodrošinot vienādus nosacījumus visiem komerciālā īres tirgus dalībniekiem, tādējādi atbalstot pieejamākas un pievilcīgākas īres iespējas, dažādojot mājokļu piedāvātāju loku.</w:t>
            </w:r>
          </w:p>
          <w:p w14:paraId="2582E0F8" w14:textId="77777777" w:rsidR="001D5409" w:rsidRPr="00333D1D" w:rsidRDefault="001D5409" w:rsidP="001D5409">
            <w:pPr>
              <w:spacing w:after="0" w:line="240" w:lineRule="auto"/>
              <w:contextualSpacing/>
              <w:jc w:val="both"/>
              <w:rPr>
                <w:rFonts w:ascii="Times New Roman" w:hAnsi="Times New Roman" w:cs="Times New Roman"/>
                <w:sz w:val="24"/>
                <w:szCs w:val="24"/>
              </w:rPr>
            </w:pPr>
            <w:r w:rsidRPr="00333D1D">
              <w:rPr>
                <w:rFonts w:ascii="Times New Roman" w:hAnsi="Times New Roman" w:cs="Times New Roman"/>
                <w:sz w:val="24"/>
                <w:szCs w:val="24"/>
              </w:rPr>
              <w:t>Mājokļu pieejamība ir būtiska arī ekonomikas attīstībai, tā ne tikai ietekmē mājsaimniecību labklājības līmeni, bet arī to pieeju ekonomiskās izaugsmes iespējām, nodrošinot vai liedzot tām iespēju aktīvi piedalīties darba tirgū un ekonomikā kopumā.</w:t>
            </w:r>
          </w:p>
          <w:p w14:paraId="28FD4F2E" w14:textId="77777777" w:rsidR="001D5409" w:rsidRPr="00837855" w:rsidRDefault="001D5409" w:rsidP="001D5409">
            <w:pPr>
              <w:pStyle w:val="NormalWeb"/>
              <w:spacing w:before="0" w:beforeAutospacing="0" w:after="0" w:afterAutospacing="0"/>
              <w:jc w:val="both"/>
              <w:rPr>
                <w:rFonts w:eastAsiaTheme="minorHAnsi"/>
                <w:highlight w:val="green"/>
                <w:lang w:eastAsia="en-US"/>
              </w:rPr>
            </w:pPr>
            <w:r>
              <w:rPr>
                <w:rFonts w:eastAsiaTheme="minorHAnsi"/>
                <w:lang w:eastAsia="en-US"/>
              </w:rPr>
              <w:t xml:space="preserve">  </w:t>
            </w:r>
            <w:r w:rsidRPr="00333D1D">
              <w:rPr>
                <w:rFonts w:eastAsiaTheme="minorHAnsi"/>
                <w:lang w:eastAsia="en-US"/>
              </w:rPr>
              <w:t>Dzīvojamais fonds noveco un tā tehniskais stāvoklis nav apmierinošs.</w:t>
            </w:r>
            <w:r>
              <w:rPr>
                <w:rFonts w:eastAsiaTheme="minorHAnsi"/>
                <w:lang w:eastAsia="en-US"/>
              </w:rPr>
              <w:t xml:space="preserve"> </w:t>
            </w:r>
            <w:r w:rsidRPr="00334E99">
              <w:rPr>
                <w:rFonts w:eastAsiaTheme="minorHAnsi"/>
                <w:lang w:eastAsia="en-US"/>
              </w:rPr>
              <w:t xml:space="preserve">Vairums Latvijas iedzīvotāju dzīvo padomju laika vai pirmskara daudzstāvu ēkās un kopš neatkarības atgūšanas uzbūvēti tikai 4% no kopējā dzīvokļu skaita daudzdzīvokļu ēkās (salīdzinoši ar citām OECD valstīm viens no zemākajiem rādītājiem). Tas nozīmē, ka dzīvojamais fonds nolietojas straujāk </w:t>
            </w:r>
            <w:r w:rsidRPr="00334E99">
              <w:rPr>
                <w:rFonts w:eastAsiaTheme="minorHAnsi"/>
                <w:lang w:eastAsia="en-US"/>
              </w:rPr>
              <w:lastRenderedPageBreak/>
              <w:t xml:space="preserve">nekā jaunu dzīves vietu būvniecība. Salīdzinoši ar Igauniju un Lietuvu, Latvijā privāto investīciju apmēri daudzdzīvokļu namu būvniecībā ir ievērojami mazāki (2019.gadā Latvijā uzbūvēti 1889 dzīvokļi daudzdzīvokļu ēkās, savukārt Igaunijā – 4193 un Lietuvā – 5507). </w:t>
            </w:r>
          </w:p>
          <w:p w14:paraId="18D35D52" w14:textId="77777777" w:rsidR="001D5409" w:rsidRPr="00334E99" w:rsidRDefault="001D5409" w:rsidP="001D5409">
            <w:pPr>
              <w:spacing w:after="0"/>
              <w:jc w:val="both"/>
              <w:rPr>
                <w:rFonts w:ascii="Times New Roman" w:hAnsi="Times New Roman" w:cs="Times New Roman"/>
                <w:sz w:val="24"/>
                <w:szCs w:val="24"/>
              </w:rPr>
            </w:pPr>
            <w:r w:rsidRPr="00333D1D">
              <w:rPr>
                <w:rFonts w:ascii="Times New Roman" w:hAnsi="Times New Roman" w:cs="Times New Roman"/>
                <w:sz w:val="24"/>
                <w:szCs w:val="24"/>
              </w:rPr>
              <w:t>Valsts un privātā sektora kopējs uzdevums ir attīstīt ilgtspējīgu nekustamā īpašuma tirgu Latvijā, nodrošinot mājokļa pieejamību pēc iespējas plašākam iedzīvotāju lokam,</w:t>
            </w:r>
            <w:r w:rsidRPr="00334E99">
              <w:rPr>
                <w:rFonts w:eastAsiaTheme="minorEastAsia"/>
                <w:sz w:val="24"/>
                <w:szCs w:val="24"/>
              </w:rPr>
              <w:t xml:space="preserve"> tādēļ</w:t>
            </w:r>
            <w:r w:rsidRPr="00334E99">
              <w:rPr>
                <w:rFonts w:ascii="Times New Roman" w:hAnsi="Times New Roman" w:cs="Times New Roman"/>
                <w:sz w:val="24"/>
                <w:szCs w:val="24"/>
              </w:rPr>
              <w:t>, lai veicinātu kvalitatīvu mājokļu piedāvājuma palielināšanos uz tirgus nosacījumiem,  nodrošinot finansējuma pieejamību projektu realizēšanai, kuriem nav pieejams komercbanku finansējums, nepieciešams atbalsts nekustamo īpašumu attīstītājiem garantiju vai aizdevumu formā jaunu daudzdzīvokļu ēku būvniecībai dzīvokļu pārdošanai vai izīrēšanai vai esošu daudzdzīvokļu ēku rekonstrukcija dzīvokļu izīrēšanai</w:t>
            </w:r>
            <w:r>
              <w:rPr>
                <w:rFonts w:ascii="Times New Roman" w:hAnsi="Times New Roman" w:cs="Times New Roman"/>
                <w:sz w:val="24"/>
                <w:szCs w:val="24"/>
              </w:rPr>
              <w:t xml:space="preserve"> vai tālākai pārdošanai</w:t>
            </w:r>
            <w:r w:rsidRPr="00334E99">
              <w:rPr>
                <w:rFonts w:ascii="Times New Roman" w:hAnsi="Times New Roman" w:cs="Times New Roman"/>
                <w:sz w:val="24"/>
                <w:szCs w:val="24"/>
              </w:rPr>
              <w:t>.</w:t>
            </w:r>
          </w:p>
          <w:p w14:paraId="7FAFE2CF" w14:textId="77777777" w:rsidR="001D5409" w:rsidRPr="00334E99" w:rsidRDefault="001D5409" w:rsidP="001D5409">
            <w:pPr>
              <w:pStyle w:val="NormalWeb"/>
              <w:spacing w:before="0" w:beforeAutospacing="0" w:after="0" w:afterAutospacing="0"/>
              <w:jc w:val="both"/>
              <w:rPr>
                <w:rFonts w:eastAsiaTheme="minorHAnsi"/>
                <w:lang w:eastAsia="en-US"/>
              </w:rPr>
            </w:pPr>
            <w:r w:rsidRPr="00334E99">
              <w:rPr>
                <w:rFonts w:eastAsiaTheme="minorHAnsi"/>
                <w:lang w:eastAsia="en-US"/>
              </w:rPr>
              <w:t xml:space="preserve">Ieguldījumi mājokļu pieejamības veicināšanai ir būtiski Latvijas ekonomikas atlabšanai, jo dzīvesvietas pieejamība ir būtisks faktors, kas ierobežo iedzīvotāju emigrāciju, sekmē iekšējo mobilitāti un iedzīvotājiem ar dažādiem ienākumu līmeņiem veicina pieejamību darbavietām, jo īpaši reģionos, tādejādi veicinot ekonomisko aktivitāti valstī, kas ir jo īpaši būtiski pēc Covid-19 </w:t>
            </w:r>
            <w:r>
              <w:rPr>
                <w:rFonts w:eastAsiaTheme="minorHAnsi"/>
                <w:lang w:eastAsia="en-US"/>
              </w:rPr>
              <w:t xml:space="preserve">izraisītās </w:t>
            </w:r>
            <w:r w:rsidRPr="00334E99">
              <w:rPr>
                <w:rFonts w:eastAsiaTheme="minorHAnsi"/>
                <w:lang w:eastAsia="en-US"/>
              </w:rPr>
              <w:t>krīzes.</w:t>
            </w:r>
          </w:p>
          <w:p w14:paraId="199D1F1B" w14:textId="09AEA7DF" w:rsidR="001D5409" w:rsidRDefault="001D5409" w:rsidP="001D5409">
            <w:pPr>
              <w:jc w:val="both"/>
              <w:rPr>
                <w:rFonts w:ascii="Times New Roman" w:hAnsi="Times New Roman" w:cs="Times New Roman"/>
                <w:sz w:val="24"/>
                <w:szCs w:val="24"/>
              </w:rPr>
            </w:pPr>
            <w:r w:rsidRPr="003243F1">
              <w:rPr>
                <w:rFonts w:ascii="Times New Roman" w:hAnsi="Times New Roman" w:cs="Times New Roman"/>
                <w:sz w:val="24"/>
                <w:szCs w:val="24"/>
              </w:rPr>
              <w:t xml:space="preserve">Aizdevumus  dzīvojamās mājas vai daudzdzīvokļu mājas projekta attīstīšanai paredzēts izsniegt </w:t>
            </w:r>
            <w:r>
              <w:rPr>
                <w:rFonts w:ascii="Times New Roman" w:hAnsi="Times New Roman" w:cs="Times New Roman"/>
                <w:sz w:val="24"/>
                <w:szCs w:val="24"/>
              </w:rPr>
              <w:t>paralēlā</w:t>
            </w:r>
            <w:r w:rsidRPr="003243F1">
              <w:rPr>
                <w:rFonts w:ascii="Times New Roman" w:hAnsi="Times New Roman" w:cs="Times New Roman"/>
                <w:sz w:val="24"/>
                <w:szCs w:val="24"/>
              </w:rPr>
              <w:t xml:space="preserve"> aizdevumu veidā</w:t>
            </w:r>
            <w:r>
              <w:rPr>
                <w:rFonts w:ascii="Times New Roman" w:hAnsi="Times New Roman" w:cs="Times New Roman"/>
                <w:sz w:val="24"/>
                <w:szCs w:val="24"/>
              </w:rPr>
              <w:t xml:space="preserve"> sad</w:t>
            </w:r>
            <w:r w:rsidR="00F608AD">
              <w:rPr>
                <w:rFonts w:ascii="Times New Roman" w:hAnsi="Times New Roman" w:cs="Times New Roman"/>
                <w:sz w:val="24"/>
                <w:szCs w:val="24"/>
              </w:rPr>
              <w:t>ar</w:t>
            </w:r>
            <w:r>
              <w:rPr>
                <w:rFonts w:ascii="Times New Roman" w:hAnsi="Times New Roman" w:cs="Times New Roman"/>
                <w:sz w:val="24"/>
                <w:szCs w:val="24"/>
              </w:rPr>
              <w:t xml:space="preserve">bībā ar komercbankām </w:t>
            </w:r>
            <w:r w:rsidRPr="003243F1">
              <w:rPr>
                <w:rFonts w:ascii="Times New Roman" w:hAnsi="Times New Roman" w:cs="Times New Roman"/>
                <w:sz w:val="24"/>
                <w:szCs w:val="24"/>
              </w:rPr>
              <w:t>un tas ir kā papildinošs  tirgū pieejamajam finansējumam.</w:t>
            </w:r>
            <w:r>
              <w:rPr>
                <w:rFonts w:ascii="Times New Roman" w:hAnsi="Times New Roman" w:cs="Times New Roman"/>
                <w:sz w:val="24"/>
                <w:szCs w:val="24"/>
              </w:rPr>
              <w:t xml:space="preserve"> Ar dzīvojamo māju šajos noteikumos ir paredzētas </w:t>
            </w:r>
            <w:r w:rsidRPr="00B05EC5">
              <w:rPr>
                <w:rFonts w:ascii="Times New Roman" w:hAnsi="Times New Roman" w:cs="Times New Roman"/>
                <w:sz w:val="24"/>
                <w:szCs w:val="24"/>
              </w:rPr>
              <w:t xml:space="preserve"> triju vai vairāku dzīvokļu māja</w:t>
            </w:r>
            <w:r w:rsidR="00D14FD0">
              <w:rPr>
                <w:rFonts w:ascii="Times New Roman" w:hAnsi="Times New Roman" w:cs="Times New Roman"/>
                <w:sz w:val="24"/>
                <w:szCs w:val="24"/>
              </w:rPr>
              <w:t xml:space="preserve">. Minētie grozījumi paredz finansēt mājokļu būvniecību, </w:t>
            </w:r>
            <w:r w:rsidR="00D14FD0" w:rsidRPr="00807F47">
              <w:rPr>
                <w:rFonts w:ascii="Times New Roman" w:hAnsi="Times New Roman" w:cs="Times New Roman"/>
                <w:sz w:val="24"/>
                <w:szCs w:val="24"/>
              </w:rPr>
              <w:t>atjaunošanu vai pārbūvi</w:t>
            </w:r>
            <w:r w:rsidR="00D14FD0">
              <w:rPr>
                <w:rFonts w:ascii="Times New Roman" w:hAnsi="Times New Roman" w:cs="Times New Roman"/>
                <w:sz w:val="24"/>
                <w:szCs w:val="24"/>
              </w:rPr>
              <w:t xml:space="preserve">, kur dzīvokļus paredzēts izīrēt visā Latvijas teritorijā, savukārt, ja dzīvokļus paredzēts pārdot, tad finansēti tiek projekti, kurus realizē ārpus Rīgas </w:t>
            </w:r>
            <w:r w:rsidR="006E05D7">
              <w:rPr>
                <w:rFonts w:ascii="Times New Roman" w:hAnsi="Times New Roman" w:cs="Times New Roman"/>
                <w:sz w:val="24"/>
                <w:szCs w:val="24"/>
              </w:rPr>
              <w:t>pilsētas</w:t>
            </w:r>
            <w:r w:rsidR="00D14FD0">
              <w:rPr>
                <w:rFonts w:ascii="Times New Roman" w:hAnsi="Times New Roman" w:cs="Times New Roman"/>
                <w:sz w:val="24"/>
                <w:szCs w:val="24"/>
              </w:rPr>
              <w:t xml:space="preserve">. </w:t>
            </w:r>
            <w:r w:rsidRPr="003243F1">
              <w:rPr>
                <w:rFonts w:ascii="Times New Roman" w:hAnsi="Times New Roman" w:cs="Times New Roman"/>
                <w:sz w:val="24"/>
                <w:szCs w:val="24"/>
              </w:rPr>
              <w:t xml:space="preserve">  </w:t>
            </w:r>
          </w:p>
          <w:p w14:paraId="2A23780E" w14:textId="77777777" w:rsidR="001D5409" w:rsidRDefault="001D5409" w:rsidP="001D5409">
            <w:pPr>
              <w:spacing w:after="120"/>
              <w:jc w:val="both"/>
              <w:rPr>
                <w:rFonts w:eastAsia="Calibri" w:cstheme="minorHAnsi"/>
                <w:sz w:val="24"/>
                <w:szCs w:val="24"/>
              </w:rPr>
            </w:pPr>
            <w:r w:rsidRPr="00D84751">
              <w:rPr>
                <w:rFonts w:ascii="Times New Roman" w:hAnsi="Times New Roman" w:cs="Times New Roman"/>
                <w:sz w:val="24"/>
                <w:szCs w:val="24"/>
              </w:rPr>
              <w:t xml:space="preserve">Atbilstoši </w:t>
            </w:r>
            <w:proofErr w:type="spellStart"/>
            <w:r w:rsidRPr="00D84751">
              <w:rPr>
                <w:rFonts w:ascii="Times New Roman" w:hAnsi="Times New Roman" w:cs="Times New Roman"/>
                <w:sz w:val="24"/>
                <w:szCs w:val="24"/>
              </w:rPr>
              <w:t>Latio</w:t>
            </w:r>
            <w:proofErr w:type="spellEnd"/>
            <w:r w:rsidRPr="00D84751">
              <w:rPr>
                <w:rFonts w:ascii="Times New Roman" w:hAnsi="Times New Roman" w:cs="Times New Roman"/>
                <w:sz w:val="24"/>
                <w:szCs w:val="24"/>
              </w:rPr>
              <w:t xml:space="preserve"> Mājokļu tirgus  pārskatam par 2020.gadu  Lielākā daļa īpašumu joprojām tiek iegādāti Rīgā (85 %) un Pierīgā (10 %). Reģionos pieprasījums pēc mājokļiem nav samazinājies, bet liela daļa saskaras ar piedāvājuma trūkumu</w:t>
            </w:r>
            <w:r w:rsidRPr="00B139E8">
              <w:rPr>
                <w:rFonts w:eastAsia="Calibri" w:cstheme="minorHAnsi"/>
                <w:sz w:val="24"/>
                <w:szCs w:val="24"/>
              </w:rPr>
              <w:t>.</w:t>
            </w:r>
            <w:r>
              <w:rPr>
                <w:rStyle w:val="FootnoteReference"/>
                <w:rFonts w:eastAsia="Calibri" w:cstheme="minorHAnsi"/>
                <w:sz w:val="24"/>
                <w:szCs w:val="24"/>
              </w:rPr>
              <w:footnoteReference w:id="2"/>
            </w:r>
          </w:p>
          <w:p w14:paraId="6D9321D3" w14:textId="06C51107" w:rsidR="00595A1D" w:rsidRDefault="00D14FD0" w:rsidP="00595A1D">
            <w:pPr>
              <w:pStyle w:val="tv213"/>
              <w:shd w:val="clear" w:color="auto" w:fill="FFFFFF"/>
              <w:spacing w:before="0" w:beforeAutospacing="0" w:after="0" w:afterAutospacing="0" w:line="293" w:lineRule="atLeast"/>
              <w:jc w:val="both"/>
              <w:rPr>
                <w:rFonts w:ascii="Arial" w:hAnsi="Arial" w:cs="Arial"/>
                <w:color w:val="414142"/>
                <w:sz w:val="20"/>
                <w:szCs w:val="20"/>
              </w:rPr>
            </w:pPr>
            <w:r w:rsidRPr="00D14FD0">
              <w:lastRenderedPageBreak/>
              <w:t xml:space="preserve">Papildus </w:t>
            </w:r>
            <w:r>
              <w:t xml:space="preserve">Ekonomikas ministrija ierosina ar paralēlajiem aizdevumiem finansēt arī tirdzniecības centru un biroju projektu attīstīšanu, tādējādi veicinot ekonomisko aktivitāti un paplašinot iespējas komercbankām finansēt šādus projektus, </w:t>
            </w:r>
            <w:r w:rsidR="00595A1D">
              <w:t>tā kā daļa kredīta tiek izsniegta komercbank</w:t>
            </w:r>
            <w:r w:rsidR="00BB4E0E">
              <w:t>ā</w:t>
            </w:r>
            <w:r w:rsidR="00595A1D">
              <w:t xml:space="preserve"> un daļa </w:t>
            </w:r>
            <w:proofErr w:type="spellStart"/>
            <w:r w:rsidR="00595A1D">
              <w:t>Altum</w:t>
            </w:r>
            <w:proofErr w:type="spellEnd"/>
            <w:r w:rsidR="00595A1D">
              <w:t xml:space="preserve">, tāpat </w:t>
            </w:r>
            <w:proofErr w:type="spellStart"/>
            <w:r w:rsidR="00595A1D">
              <w:t>Altum</w:t>
            </w:r>
            <w:proofErr w:type="spellEnd"/>
            <w:r w:rsidR="00595A1D">
              <w:t xml:space="preserve"> izsniegtajam aizdevumam var tikt piemērota atliktā pamatsummas atmaksa līdz septiņiem gadiem, ja atmaksas termiņš nepārsniedz 10 gadus un līdz 10 gadiem, ja atmaksas termiņš nepārsniedz 15 gadus.</w:t>
            </w:r>
          </w:p>
          <w:p w14:paraId="14394231" w14:textId="512ADB56" w:rsidR="001D5409" w:rsidRDefault="001D5409" w:rsidP="001D5409">
            <w:pPr>
              <w:tabs>
                <w:tab w:val="left" w:pos="320"/>
              </w:tabs>
              <w:spacing w:before="100" w:beforeAutospacing="1" w:after="60"/>
              <w:ind w:right="40"/>
              <w:jc w:val="both"/>
              <w:rPr>
                <w:rFonts w:ascii="Times New Roman" w:hAnsi="Times New Roman" w:cs="Times New Roman"/>
                <w:sz w:val="24"/>
                <w:szCs w:val="24"/>
              </w:rPr>
            </w:pPr>
            <w:r w:rsidRPr="00F715B0">
              <w:rPr>
                <w:rFonts w:ascii="Times New Roman" w:hAnsi="Times New Roman" w:cs="Times New Roman"/>
                <w:sz w:val="24"/>
                <w:szCs w:val="24"/>
                <w:u w:val="single"/>
              </w:rPr>
              <w:t xml:space="preserve">Ņemot vērā iepriekš minēto Ekonomikas ministrija ierosina precizēt </w:t>
            </w:r>
            <w:r w:rsidR="001D0187">
              <w:rPr>
                <w:rFonts w:ascii="Times New Roman" w:hAnsi="Times New Roman" w:cs="Times New Roman"/>
                <w:sz w:val="24"/>
                <w:szCs w:val="24"/>
                <w:u w:val="single"/>
              </w:rPr>
              <w:t>20.11</w:t>
            </w:r>
            <w:r w:rsidRPr="00F715B0">
              <w:rPr>
                <w:rFonts w:ascii="Times New Roman" w:hAnsi="Times New Roman" w:cs="Times New Roman"/>
                <w:sz w:val="24"/>
                <w:szCs w:val="24"/>
                <w:u w:val="single"/>
              </w:rPr>
              <w:t>.apakšpunktu</w:t>
            </w:r>
            <w:r w:rsidRPr="00807F47">
              <w:rPr>
                <w:rFonts w:ascii="Times New Roman" w:hAnsi="Times New Roman" w:cs="Times New Roman"/>
                <w:sz w:val="24"/>
                <w:szCs w:val="24"/>
              </w:rPr>
              <w:t>, nosakot, ka atbalstu MK noteikumu Nr.</w:t>
            </w:r>
            <w:r w:rsidR="001D0187">
              <w:rPr>
                <w:rFonts w:ascii="Times New Roman" w:hAnsi="Times New Roman" w:cs="Times New Roman"/>
                <w:sz w:val="24"/>
                <w:szCs w:val="24"/>
              </w:rPr>
              <w:t>469</w:t>
            </w:r>
            <w:r w:rsidRPr="00807F47">
              <w:rPr>
                <w:rFonts w:ascii="Times New Roman" w:hAnsi="Times New Roman" w:cs="Times New Roman"/>
                <w:sz w:val="24"/>
                <w:szCs w:val="24"/>
              </w:rPr>
              <w:t xml:space="preserve"> ietvaros nesniedz    operācijām ar nekustamo īpašumu (NACE 2. </w:t>
            </w:r>
            <w:proofErr w:type="spellStart"/>
            <w:r w:rsidRPr="00807F47">
              <w:rPr>
                <w:rFonts w:ascii="Times New Roman" w:hAnsi="Times New Roman" w:cs="Times New Roman"/>
                <w:sz w:val="24"/>
                <w:szCs w:val="24"/>
              </w:rPr>
              <w:t>red</w:t>
            </w:r>
            <w:proofErr w:type="spellEnd"/>
            <w:r w:rsidRPr="00807F47">
              <w:rPr>
                <w:rFonts w:ascii="Times New Roman" w:hAnsi="Times New Roman" w:cs="Times New Roman"/>
                <w:sz w:val="24"/>
                <w:szCs w:val="24"/>
              </w:rPr>
              <w:t>. L sadaļa "Operācijas ar nekustamo īpašumu"</w:t>
            </w:r>
            <w:r w:rsidR="001D0187">
              <w:rPr>
                <w:rFonts w:ascii="Times New Roman" w:hAnsi="Times New Roman" w:cs="Times New Roman"/>
                <w:sz w:val="24"/>
                <w:szCs w:val="24"/>
              </w:rPr>
              <w:t xml:space="preserve"> </w:t>
            </w:r>
            <w:r w:rsidR="001D0187" w:rsidRPr="001D0187">
              <w:rPr>
                <w:rFonts w:ascii="Times New Roman" w:hAnsi="Times New Roman" w:cs="Times New Roman"/>
                <w:sz w:val="24"/>
                <w:szCs w:val="24"/>
              </w:rPr>
              <w:t>grupa 68.31 "Starpniecība darbībā ar nekustamo īpašumu"</w:t>
            </w:r>
            <w:r w:rsidRPr="00807F47">
              <w:rPr>
                <w:rFonts w:ascii="Times New Roman" w:hAnsi="Times New Roman" w:cs="Times New Roman"/>
                <w:sz w:val="24"/>
                <w:szCs w:val="24"/>
              </w:rPr>
              <w:t>), </w:t>
            </w:r>
            <w:r w:rsidR="001D0187">
              <w:rPr>
                <w:rFonts w:ascii="Times New Roman" w:hAnsi="Times New Roman" w:cs="Times New Roman"/>
                <w:sz w:val="24"/>
                <w:szCs w:val="24"/>
              </w:rPr>
              <w:t xml:space="preserve">svītrojot </w:t>
            </w:r>
            <w:r w:rsidR="001D0187" w:rsidRPr="001D0187">
              <w:rPr>
                <w:rFonts w:ascii="Times New Roman" w:hAnsi="Times New Roman" w:cs="Times New Roman"/>
                <w:sz w:val="24"/>
                <w:szCs w:val="24"/>
              </w:rPr>
              <w:t>grupu 68.1 "Sava nekustama īpašuma pirkšana un pārdošana"</w:t>
            </w:r>
            <w:r w:rsidRPr="00807F47">
              <w:rPr>
                <w:rFonts w:ascii="Times New Roman" w:hAnsi="Times New Roman" w:cs="Times New Roman"/>
                <w:sz w:val="24"/>
                <w:szCs w:val="24"/>
              </w:rPr>
              <w:t>.</w:t>
            </w:r>
          </w:p>
          <w:p w14:paraId="742D4902" w14:textId="3375C897" w:rsidR="006E05D7" w:rsidRPr="006E05D7" w:rsidRDefault="006E1C68" w:rsidP="001D5409">
            <w:pPr>
              <w:tabs>
                <w:tab w:val="left" w:pos="320"/>
              </w:tabs>
              <w:spacing w:before="100" w:beforeAutospacing="1" w:after="60"/>
              <w:ind w:right="40"/>
              <w:jc w:val="both"/>
              <w:rPr>
                <w:rFonts w:ascii="Times New Roman" w:hAnsi="Times New Roman" w:cs="Times New Roman"/>
                <w:sz w:val="24"/>
                <w:szCs w:val="24"/>
              </w:rPr>
            </w:pPr>
            <w:r>
              <w:rPr>
                <w:rFonts w:ascii="Times New Roman" w:hAnsi="Times New Roman" w:cs="Times New Roman"/>
                <w:sz w:val="24"/>
                <w:szCs w:val="24"/>
              </w:rPr>
              <w:t xml:space="preserve">Šobrīd MK noteikumos Nr.469 nav atrunāts kādi ir nosacījumi paralēlā aizdevuma piešķiršanai, ja tiek iegādātas kapitāldaļas, tāpēc </w:t>
            </w:r>
            <w:r w:rsidR="006E05D7">
              <w:rPr>
                <w:rFonts w:ascii="Times New Roman" w:hAnsi="Times New Roman" w:cs="Times New Roman"/>
                <w:b/>
                <w:bCs/>
                <w:sz w:val="24"/>
                <w:szCs w:val="24"/>
              </w:rPr>
              <w:t>Ekonomikas ministrija ierosina papildināt MK noteikumus Nr.469 ar 24.</w:t>
            </w:r>
            <w:r w:rsidR="006E05D7">
              <w:rPr>
                <w:rFonts w:ascii="Times New Roman" w:hAnsi="Times New Roman" w:cs="Times New Roman"/>
                <w:b/>
                <w:bCs/>
                <w:sz w:val="24"/>
                <w:szCs w:val="24"/>
                <w:vertAlign w:val="superscript"/>
              </w:rPr>
              <w:t>1</w:t>
            </w:r>
            <w:r w:rsidR="006E05D7">
              <w:rPr>
                <w:rFonts w:ascii="Times New Roman" w:hAnsi="Times New Roman" w:cs="Times New Roman"/>
                <w:b/>
                <w:bCs/>
                <w:sz w:val="24"/>
                <w:szCs w:val="24"/>
              </w:rPr>
              <w:t xml:space="preserve"> punktu, </w:t>
            </w:r>
            <w:r w:rsidR="006E05D7">
              <w:rPr>
                <w:rFonts w:ascii="Times New Roman" w:hAnsi="Times New Roman" w:cs="Times New Roman"/>
                <w:sz w:val="24"/>
                <w:szCs w:val="24"/>
              </w:rPr>
              <w:t>kurā tiek precizēti nosacījumi par paralēlā aizdevuma piešķiršanu</w:t>
            </w:r>
            <w:r>
              <w:rPr>
                <w:rFonts w:ascii="Times New Roman" w:hAnsi="Times New Roman" w:cs="Times New Roman"/>
                <w:sz w:val="24"/>
                <w:szCs w:val="24"/>
              </w:rPr>
              <w:t xml:space="preserve"> kapitāldaļu iegādei. Nosakot, ka </w:t>
            </w:r>
            <w:r w:rsidRPr="00D10883">
              <w:rPr>
                <w:rFonts w:ascii="Times New Roman" w:eastAsia="Times New Roman" w:hAnsi="Times New Roman"/>
                <w:sz w:val="24"/>
                <w:szCs w:val="26"/>
                <w:lang w:eastAsia="lv-LV"/>
              </w:rPr>
              <w:t>saņem</w:t>
            </w:r>
            <w:r>
              <w:rPr>
                <w:rFonts w:ascii="Times New Roman" w:eastAsia="Times New Roman" w:hAnsi="Times New Roman"/>
                <w:sz w:val="24"/>
                <w:szCs w:val="26"/>
                <w:lang w:eastAsia="lv-LV"/>
              </w:rPr>
              <w:t>o</w:t>
            </w:r>
            <w:r w:rsidRPr="00D10883">
              <w:rPr>
                <w:rFonts w:ascii="Times New Roman" w:eastAsia="Times New Roman" w:hAnsi="Times New Roman"/>
                <w:sz w:val="24"/>
                <w:szCs w:val="26"/>
                <w:lang w:eastAsia="lv-LV"/>
              </w:rPr>
              <w:t>t paralēlo aizdevumu kapitālsabiedrību kapitāla daļu iegādei, tiek vērtēts, vai darbības rezultātā tiek nodrošināta saimnieciskās darbības veicēja attīstība vai darbības paplašināšana</w:t>
            </w:r>
            <w:r>
              <w:rPr>
                <w:rFonts w:ascii="Times New Roman" w:eastAsia="Times New Roman" w:hAnsi="Times New Roman"/>
                <w:sz w:val="24"/>
                <w:szCs w:val="26"/>
                <w:lang w:eastAsia="lv-LV"/>
              </w:rPr>
              <w:t>.</w:t>
            </w:r>
          </w:p>
          <w:p w14:paraId="2ADC36C8" w14:textId="11D13F93" w:rsidR="008823F9" w:rsidRPr="001258F2" w:rsidRDefault="008823F9" w:rsidP="008823F9">
            <w:pPr>
              <w:jc w:val="both"/>
              <w:rPr>
                <w:rFonts w:ascii="Times New Roman" w:hAnsi="Times New Roman" w:cs="Times New Roman"/>
                <w:sz w:val="24"/>
                <w:szCs w:val="24"/>
              </w:rPr>
            </w:pPr>
          </w:p>
        </w:tc>
      </w:tr>
      <w:tr w:rsidR="001258F2" w:rsidRPr="001258F2" w14:paraId="63F8EDA0" w14:textId="77777777" w:rsidTr="008823F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83A19D8"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47FE5925"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03AECCF1"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r w:rsidRPr="001258F2">
              <w:rPr>
                <w:rFonts w:ascii="Times New Roman" w:hAnsi="Times New Roman" w:cs="Times New Roman"/>
                <w:sz w:val="24"/>
                <w:szCs w:val="24"/>
              </w:rPr>
              <w:t xml:space="preserve">Ekonomikas ministrija un </w:t>
            </w:r>
            <w:proofErr w:type="spellStart"/>
            <w:r w:rsidRPr="001258F2">
              <w:rPr>
                <w:rFonts w:ascii="Times New Roman" w:hAnsi="Times New Roman" w:cs="Times New Roman"/>
                <w:sz w:val="24"/>
                <w:szCs w:val="24"/>
              </w:rPr>
              <w:t>Altum</w:t>
            </w:r>
            <w:proofErr w:type="spellEnd"/>
            <w:r w:rsidRPr="001258F2">
              <w:rPr>
                <w:rFonts w:ascii="Times New Roman" w:hAnsi="Times New Roman" w:cs="Times New Roman"/>
                <w:sz w:val="24"/>
                <w:szCs w:val="24"/>
              </w:rPr>
              <w:t>.</w:t>
            </w:r>
          </w:p>
        </w:tc>
      </w:tr>
      <w:tr w:rsidR="001258F2" w:rsidRPr="001258F2" w14:paraId="67525D5D" w14:textId="77777777" w:rsidTr="008823F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FC0F62E"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8B12180"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E5ED65D"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r w:rsidRPr="001258F2">
              <w:rPr>
                <w:rFonts w:ascii="Times New Roman" w:hAnsi="Times New Roman" w:cs="Times New Roman"/>
                <w:sz w:val="24"/>
                <w:szCs w:val="24"/>
              </w:rPr>
              <w:t>Nav.</w:t>
            </w:r>
          </w:p>
        </w:tc>
      </w:tr>
    </w:tbl>
    <w:p w14:paraId="5DD49FBC"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1258F2" w:rsidRPr="001258F2" w14:paraId="597E2F5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100DF2A"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en-US" w:eastAsia="lv-LV"/>
              </w:rPr>
            </w:pPr>
            <w:r w:rsidRPr="001258F2">
              <w:rPr>
                <w:rFonts w:ascii="Times New Roman" w:eastAsia="Times New Roman" w:hAnsi="Times New Roman" w:cs="Times New Roman"/>
                <w:b/>
                <w:bCs/>
                <w:iCs/>
                <w:sz w:val="24"/>
                <w:szCs w:val="24"/>
                <w:lang w:val="en-US" w:eastAsia="lv-LV"/>
              </w:rPr>
              <w:t>II. Tiesību akta projekta ietekme uz sabiedrību, tautsaimniecības attīstību un administratīvo slogu</w:t>
            </w:r>
          </w:p>
        </w:tc>
      </w:tr>
      <w:tr w:rsidR="001258F2" w:rsidRPr="001258F2" w14:paraId="5D06B4F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8EBEC35"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DD19CE5"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1D7CEFC2" w14:textId="77777777" w:rsidR="00E5323B" w:rsidRPr="001258F2" w:rsidRDefault="008823F9"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hAnsi="Times New Roman" w:cs="Times New Roman"/>
                <w:sz w:val="24"/>
                <w:szCs w:val="24"/>
              </w:rPr>
              <w:t>Saimnieciskās darbības veicēji.</w:t>
            </w:r>
          </w:p>
        </w:tc>
      </w:tr>
      <w:tr w:rsidR="001258F2" w:rsidRPr="001258F2" w14:paraId="61BBFDE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59A9F1"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BD97B90"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A2CBFE4" w14:textId="1621AC26" w:rsidR="00E5323B" w:rsidRDefault="003B6884" w:rsidP="008823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MK </w:t>
            </w:r>
            <w:r w:rsidR="00DF2725">
              <w:rPr>
                <w:rFonts w:ascii="Times New Roman" w:hAnsi="Times New Roman" w:cs="Times New Roman"/>
                <w:sz w:val="24"/>
                <w:szCs w:val="24"/>
              </w:rPr>
              <w:t>n</w:t>
            </w:r>
            <w:r w:rsidR="008823F9" w:rsidRPr="001258F2">
              <w:rPr>
                <w:rFonts w:ascii="Times New Roman" w:hAnsi="Times New Roman" w:cs="Times New Roman"/>
                <w:sz w:val="24"/>
                <w:szCs w:val="24"/>
              </w:rPr>
              <w:t>oteikumu projekts neparedz ietekmi uz administratīvo slogu.</w:t>
            </w:r>
          </w:p>
          <w:p w14:paraId="21660434" w14:textId="24D5E507" w:rsidR="003B6884" w:rsidRPr="00BF52F3" w:rsidRDefault="003B6884" w:rsidP="008823F9">
            <w:pPr>
              <w:spacing w:after="0" w:line="240" w:lineRule="auto"/>
              <w:jc w:val="both"/>
              <w:rPr>
                <w:rFonts w:ascii="Times New Roman" w:eastAsia="Times New Roman" w:hAnsi="Times New Roman" w:cs="Times New Roman"/>
                <w:iCs/>
                <w:sz w:val="24"/>
                <w:szCs w:val="24"/>
                <w:lang w:eastAsia="lv-LV"/>
              </w:rPr>
            </w:pPr>
            <w:r w:rsidRPr="00BF52F3">
              <w:rPr>
                <w:rFonts w:ascii="Times New Roman" w:eastAsia="Times New Roman" w:hAnsi="Times New Roman" w:cs="Times New Roman"/>
                <w:iCs/>
                <w:sz w:val="24"/>
                <w:szCs w:val="24"/>
                <w:lang w:eastAsia="lv-LV"/>
              </w:rPr>
              <w:t xml:space="preserve">MK </w:t>
            </w:r>
            <w:r w:rsidR="00DF2725">
              <w:rPr>
                <w:rFonts w:ascii="Times New Roman" w:eastAsia="Times New Roman" w:hAnsi="Times New Roman" w:cs="Times New Roman"/>
                <w:iCs/>
                <w:sz w:val="24"/>
                <w:szCs w:val="24"/>
                <w:lang w:eastAsia="lv-LV"/>
              </w:rPr>
              <w:t>n</w:t>
            </w:r>
            <w:r w:rsidRPr="00BF52F3">
              <w:rPr>
                <w:rFonts w:ascii="Times New Roman" w:eastAsia="Times New Roman" w:hAnsi="Times New Roman" w:cs="Times New Roman"/>
                <w:iCs/>
                <w:sz w:val="24"/>
                <w:szCs w:val="24"/>
                <w:lang w:eastAsia="lv-LV"/>
              </w:rPr>
              <w:t xml:space="preserve">oteikumu projektam ir pozitīva ietekme uz tautsaimniecību, tā kā tiek precizētas normas, lai paralēlie aizdevumi kļūtu pieejamāki. </w:t>
            </w:r>
          </w:p>
        </w:tc>
      </w:tr>
      <w:tr w:rsidR="001258F2" w:rsidRPr="001258F2" w14:paraId="50CA8E4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087DE8"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54D2F1D7"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3B94A6AA" w14:textId="3CC0125D" w:rsidR="00E5323B" w:rsidRPr="001258F2" w:rsidRDefault="003B6884" w:rsidP="00E5323B">
            <w:pPr>
              <w:spacing w:after="0" w:line="240" w:lineRule="auto"/>
              <w:rPr>
                <w:rFonts w:ascii="Times New Roman" w:eastAsia="Times New Roman" w:hAnsi="Times New Roman" w:cs="Times New Roman"/>
                <w:iCs/>
                <w:sz w:val="24"/>
                <w:szCs w:val="24"/>
                <w:lang w:val="sv-SE" w:eastAsia="lv-LV"/>
              </w:rPr>
            </w:pPr>
            <w:r>
              <w:rPr>
                <w:rFonts w:ascii="Times New Roman" w:hAnsi="Times New Roman" w:cs="Times New Roman"/>
                <w:sz w:val="24"/>
                <w:szCs w:val="24"/>
              </w:rPr>
              <w:t xml:space="preserve">MK </w:t>
            </w:r>
            <w:r w:rsidR="00DF2725">
              <w:rPr>
                <w:rFonts w:ascii="Times New Roman" w:hAnsi="Times New Roman" w:cs="Times New Roman"/>
                <w:sz w:val="24"/>
                <w:szCs w:val="24"/>
              </w:rPr>
              <w:t>n</w:t>
            </w:r>
            <w:r w:rsidR="008823F9" w:rsidRPr="001258F2">
              <w:rPr>
                <w:rFonts w:ascii="Times New Roman" w:hAnsi="Times New Roman" w:cs="Times New Roman"/>
                <w:sz w:val="24"/>
                <w:szCs w:val="24"/>
              </w:rPr>
              <w:t>oteikumu projekts šo jomu neskar.</w:t>
            </w:r>
          </w:p>
        </w:tc>
      </w:tr>
      <w:tr w:rsidR="001258F2" w:rsidRPr="001258F2" w14:paraId="464DBE6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5C09DA0"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96BAB36"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Atbilstības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izmaksu</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monetārs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novērtējums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42941746" w14:textId="2F8D44F1" w:rsidR="00E5323B" w:rsidRPr="001258F2" w:rsidRDefault="003B6884" w:rsidP="00E5323B">
            <w:pPr>
              <w:spacing w:after="0" w:line="240" w:lineRule="auto"/>
              <w:rPr>
                <w:rFonts w:ascii="Times New Roman" w:eastAsia="Times New Roman" w:hAnsi="Times New Roman" w:cs="Times New Roman"/>
                <w:iCs/>
                <w:sz w:val="24"/>
                <w:szCs w:val="24"/>
                <w:lang w:val="en-US" w:eastAsia="lv-LV"/>
              </w:rPr>
            </w:pPr>
            <w:r>
              <w:rPr>
                <w:rFonts w:ascii="Times New Roman" w:hAnsi="Times New Roman" w:cs="Times New Roman"/>
                <w:sz w:val="24"/>
                <w:szCs w:val="24"/>
              </w:rPr>
              <w:t xml:space="preserve">MK </w:t>
            </w:r>
            <w:r w:rsidR="00DF2725">
              <w:rPr>
                <w:rFonts w:ascii="Times New Roman" w:hAnsi="Times New Roman" w:cs="Times New Roman"/>
                <w:sz w:val="24"/>
                <w:szCs w:val="24"/>
              </w:rPr>
              <w:t>n</w:t>
            </w:r>
            <w:r w:rsidR="008823F9" w:rsidRPr="001258F2">
              <w:rPr>
                <w:rFonts w:ascii="Times New Roman" w:hAnsi="Times New Roman" w:cs="Times New Roman"/>
                <w:sz w:val="24"/>
                <w:szCs w:val="24"/>
              </w:rPr>
              <w:t>oteikumu projekts šo jomu neskar.</w:t>
            </w:r>
          </w:p>
        </w:tc>
      </w:tr>
      <w:tr w:rsidR="001258F2" w:rsidRPr="001258F2" w14:paraId="5D64E5C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F8E7DCA"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87C7857"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A215FCC" w14:textId="13E84C65" w:rsidR="00E5323B" w:rsidRPr="00B062D1" w:rsidRDefault="008823F9" w:rsidP="00E5323B">
            <w:pPr>
              <w:spacing w:after="0" w:line="240" w:lineRule="auto"/>
              <w:rPr>
                <w:rFonts w:ascii="Times New Roman" w:eastAsia="Times New Roman" w:hAnsi="Times New Roman" w:cs="Times New Roman"/>
                <w:iCs/>
                <w:sz w:val="24"/>
                <w:szCs w:val="24"/>
                <w:lang w:val="en-US" w:eastAsia="lv-LV"/>
              </w:rPr>
            </w:pPr>
            <w:r w:rsidRPr="003B6884">
              <w:rPr>
                <w:rFonts w:ascii="Times New Roman" w:hAnsi="Times New Roman" w:cs="Times New Roman"/>
                <w:sz w:val="24"/>
                <w:szCs w:val="24"/>
              </w:rPr>
              <w:t>Nav</w:t>
            </w:r>
            <w:r w:rsidR="00B062D1" w:rsidRPr="003B6884">
              <w:rPr>
                <w:rFonts w:ascii="Times New Roman" w:hAnsi="Times New Roman" w:cs="Times New Roman"/>
                <w:sz w:val="24"/>
                <w:szCs w:val="24"/>
              </w:rPr>
              <w:t>.</w:t>
            </w:r>
          </w:p>
        </w:tc>
      </w:tr>
    </w:tbl>
    <w:p w14:paraId="02D101BB"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1258F2" w:rsidRPr="001258F2" w14:paraId="47BE859C"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3C1A02"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en-US" w:eastAsia="lv-LV"/>
              </w:rPr>
            </w:pPr>
            <w:r w:rsidRPr="001258F2">
              <w:rPr>
                <w:rFonts w:ascii="Times New Roman" w:eastAsia="Times New Roman" w:hAnsi="Times New Roman" w:cs="Times New Roman"/>
                <w:b/>
                <w:bCs/>
                <w:iCs/>
                <w:sz w:val="24"/>
                <w:szCs w:val="24"/>
                <w:lang w:val="en-US" w:eastAsia="lv-LV"/>
              </w:rPr>
              <w:t>III. Tiesību akta projekta ietekme uz valsts budžetu un pašvaldību budžetiem</w:t>
            </w:r>
          </w:p>
        </w:tc>
      </w:tr>
      <w:tr w:rsidR="001258F2" w:rsidRPr="001258F2" w14:paraId="122835A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189C11" w14:textId="599A8C25" w:rsidR="008823F9" w:rsidRPr="001258F2" w:rsidRDefault="00DF2725" w:rsidP="008823F9">
            <w:pPr>
              <w:spacing w:after="0" w:line="240" w:lineRule="auto"/>
              <w:jc w:val="center"/>
              <w:rPr>
                <w:rFonts w:ascii="Times New Roman" w:eastAsia="Times New Roman" w:hAnsi="Times New Roman" w:cs="Times New Roman"/>
                <w:b/>
                <w:bCs/>
                <w:iCs/>
                <w:sz w:val="24"/>
                <w:szCs w:val="24"/>
                <w:lang w:val="en-US" w:eastAsia="lv-LV"/>
              </w:rPr>
            </w:pPr>
            <w:r>
              <w:rPr>
                <w:rFonts w:ascii="Times New Roman" w:hAnsi="Times New Roman" w:cs="Times New Roman"/>
                <w:sz w:val="24"/>
                <w:szCs w:val="24"/>
              </w:rPr>
              <w:t>MK n</w:t>
            </w:r>
            <w:r w:rsidR="008823F9" w:rsidRPr="001258F2">
              <w:rPr>
                <w:rFonts w:ascii="Times New Roman" w:hAnsi="Times New Roman" w:cs="Times New Roman"/>
                <w:sz w:val="24"/>
                <w:szCs w:val="24"/>
              </w:rPr>
              <w:t>oteikumu projekts šo jomu neskar.</w:t>
            </w:r>
          </w:p>
        </w:tc>
      </w:tr>
    </w:tbl>
    <w:p w14:paraId="2BA037A4"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1258F2" w:rsidRPr="001258F2" w14:paraId="18804017"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8369D7"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en-US" w:eastAsia="lv-LV"/>
              </w:rPr>
            </w:pPr>
            <w:r w:rsidRPr="001258F2">
              <w:rPr>
                <w:rFonts w:ascii="Times New Roman" w:eastAsia="Times New Roman" w:hAnsi="Times New Roman" w:cs="Times New Roman"/>
                <w:b/>
                <w:bCs/>
                <w:iCs/>
                <w:sz w:val="24"/>
                <w:szCs w:val="24"/>
                <w:lang w:val="en-US" w:eastAsia="lv-LV"/>
              </w:rPr>
              <w:t xml:space="preserve">IV. </w:t>
            </w:r>
            <w:proofErr w:type="spellStart"/>
            <w:r w:rsidRPr="001258F2">
              <w:rPr>
                <w:rFonts w:ascii="Times New Roman" w:eastAsia="Times New Roman" w:hAnsi="Times New Roman" w:cs="Times New Roman"/>
                <w:b/>
                <w:bCs/>
                <w:iCs/>
                <w:sz w:val="24"/>
                <w:szCs w:val="24"/>
                <w:lang w:val="en-US" w:eastAsia="lv-LV"/>
              </w:rPr>
              <w:t>Tiesību</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akta</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projekta</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ietekme</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uz</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spēkā</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esošo</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tiesību</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normu</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sistēmu</w:t>
            </w:r>
            <w:proofErr w:type="spellEnd"/>
          </w:p>
        </w:tc>
      </w:tr>
      <w:tr w:rsidR="00B062D1" w:rsidRPr="001258F2" w14:paraId="27B2145F"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FDE2159" w14:textId="18FF42EE" w:rsidR="00B062D1" w:rsidRPr="00BF52F3" w:rsidRDefault="003B6884" w:rsidP="00BF52F3">
            <w:pPr>
              <w:spacing w:after="0" w:line="240" w:lineRule="auto"/>
              <w:jc w:val="center"/>
              <w:rPr>
                <w:rFonts w:ascii="Times New Roman" w:eastAsia="Times New Roman" w:hAnsi="Times New Roman" w:cs="Times New Roman"/>
                <w:iCs/>
                <w:sz w:val="24"/>
                <w:szCs w:val="24"/>
                <w:lang w:val="en-US" w:eastAsia="lv-LV"/>
              </w:rPr>
            </w:pPr>
            <w:r>
              <w:rPr>
                <w:rFonts w:ascii="Times New Roman" w:eastAsia="Times New Roman" w:hAnsi="Times New Roman" w:cs="Times New Roman"/>
                <w:iCs/>
                <w:sz w:val="24"/>
                <w:szCs w:val="24"/>
                <w:lang w:val="en-US" w:eastAsia="lv-LV"/>
              </w:rPr>
              <w:t xml:space="preserve">MK </w:t>
            </w:r>
            <w:proofErr w:type="spellStart"/>
            <w:r w:rsidR="00DF2725">
              <w:rPr>
                <w:rFonts w:ascii="Times New Roman" w:eastAsia="Times New Roman" w:hAnsi="Times New Roman" w:cs="Times New Roman"/>
                <w:iCs/>
                <w:sz w:val="24"/>
                <w:szCs w:val="24"/>
                <w:lang w:val="en-US" w:eastAsia="lv-LV"/>
              </w:rPr>
              <w:t>n</w:t>
            </w:r>
            <w:r w:rsidR="00B062D1">
              <w:rPr>
                <w:rFonts w:ascii="Times New Roman" w:eastAsia="Times New Roman" w:hAnsi="Times New Roman" w:cs="Times New Roman"/>
                <w:iCs/>
                <w:sz w:val="24"/>
                <w:szCs w:val="24"/>
                <w:lang w:val="en-US" w:eastAsia="lv-LV"/>
              </w:rPr>
              <w:t>oteikumu</w:t>
            </w:r>
            <w:proofErr w:type="spellEnd"/>
            <w:r w:rsidR="00B062D1">
              <w:rPr>
                <w:rFonts w:ascii="Times New Roman" w:eastAsia="Times New Roman" w:hAnsi="Times New Roman" w:cs="Times New Roman"/>
                <w:iCs/>
                <w:sz w:val="24"/>
                <w:szCs w:val="24"/>
                <w:lang w:val="en-US" w:eastAsia="lv-LV"/>
              </w:rPr>
              <w:t xml:space="preserve"> </w:t>
            </w:r>
            <w:proofErr w:type="spellStart"/>
            <w:r w:rsidR="00B062D1">
              <w:rPr>
                <w:rFonts w:ascii="Times New Roman" w:eastAsia="Times New Roman" w:hAnsi="Times New Roman" w:cs="Times New Roman"/>
                <w:iCs/>
                <w:sz w:val="24"/>
                <w:szCs w:val="24"/>
                <w:lang w:val="en-US" w:eastAsia="lv-LV"/>
              </w:rPr>
              <w:t>p</w:t>
            </w:r>
            <w:r w:rsidR="00B062D1" w:rsidRPr="00BF52F3">
              <w:rPr>
                <w:rFonts w:ascii="Times New Roman" w:eastAsia="Times New Roman" w:hAnsi="Times New Roman" w:cs="Times New Roman"/>
                <w:iCs/>
                <w:sz w:val="24"/>
                <w:szCs w:val="24"/>
                <w:lang w:val="en-US" w:eastAsia="lv-LV"/>
              </w:rPr>
              <w:t>rojekts</w:t>
            </w:r>
            <w:proofErr w:type="spellEnd"/>
            <w:r w:rsidR="00B062D1" w:rsidRPr="00BF52F3">
              <w:rPr>
                <w:rFonts w:ascii="Times New Roman" w:eastAsia="Times New Roman" w:hAnsi="Times New Roman" w:cs="Times New Roman"/>
                <w:iCs/>
                <w:sz w:val="24"/>
                <w:szCs w:val="24"/>
                <w:lang w:val="en-US" w:eastAsia="lv-LV"/>
              </w:rPr>
              <w:t xml:space="preserve"> </w:t>
            </w:r>
            <w:proofErr w:type="spellStart"/>
            <w:r w:rsidR="00B062D1" w:rsidRPr="00BF52F3">
              <w:rPr>
                <w:rFonts w:ascii="Times New Roman" w:eastAsia="Times New Roman" w:hAnsi="Times New Roman" w:cs="Times New Roman"/>
                <w:iCs/>
                <w:sz w:val="24"/>
                <w:szCs w:val="24"/>
                <w:lang w:val="en-US" w:eastAsia="lv-LV"/>
              </w:rPr>
              <w:t>šo</w:t>
            </w:r>
            <w:proofErr w:type="spellEnd"/>
            <w:r w:rsidR="00B062D1" w:rsidRPr="00BF52F3">
              <w:rPr>
                <w:rFonts w:ascii="Times New Roman" w:eastAsia="Times New Roman" w:hAnsi="Times New Roman" w:cs="Times New Roman"/>
                <w:iCs/>
                <w:sz w:val="24"/>
                <w:szCs w:val="24"/>
                <w:lang w:val="en-US" w:eastAsia="lv-LV"/>
              </w:rPr>
              <w:t xml:space="preserve"> </w:t>
            </w:r>
            <w:proofErr w:type="spellStart"/>
            <w:r w:rsidR="00B062D1" w:rsidRPr="00BF52F3">
              <w:rPr>
                <w:rFonts w:ascii="Times New Roman" w:eastAsia="Times New Roman" w:hAnsi="Times New Roman" w:cs="Times New Roman"/>
                <w:iCs/>
                <w:sz w:val="24"/>
                <w:szCs w:val="24"/>
                <w:lang w:val="en-US" w:eastAsia="lv-LV"/>
              </w:rPr>
              <w:t>jomu</w:t>
            </w:r>
            <w:proofErr w:type="spellEnd"/>
            <w:r w:rsidR="00B062D1" w:rsidRPr="00BF52F3">
              <w:rPr>
                <w:rFonts w:ascii="Times New Roman" w:eastAsia="Times New Roman" w:hAnsi="Times New Roman" w:cs="Times New Roman"/>
                <w:iCs/>
                <w:sz w:val="24"/>
                <w:szCs w:val="24"/>
                <w:lang w:val="en-US" w:eastAsia="lv-LV"/>
              </w:rPr>
              <w:t xml:space="preserve"> neskar.</w:t>
            </w:r>
          </w:p>
        </w:tc>
      </w:tr>
    </w:tbl>
    <w:p w14:paraId="68D34592"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1258F2" w:rsidRPr="001258F2" w14:paraId="66956AB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20EF9F"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en-US" w:eastAsia="lv-LV"/>
              </w:rPr>
            </w:pPr>
            <w:r w:rsidRPr="001258F2">
              <w:rPr>
                <w:rFonts w:ascii="Times New Roman" w:eastAsia="Times New Roman" w:hAnsi="Times New Roman" w:cs="Times New Roman"/>
                <w:b/>
                <w:bCs/>
                <w:iCs/>
                <w:sz w:val="24"/>
                <w:szCs w:val="24"/>
                <w:lang w:val="en-US" w:eastAsia="lv-LV"/>
              </w:rPr>
              <w:t xml:space="preserve">V. </w:t>
            </w:r>
            <w:proofErr w:type="spellStart"/>
            <w:r w:rsidRPr="001258F2">
              <w:rPr>
                <w:rFonts w:ascii="Times New Roman" w:eastAsia="Times New Roman" w:hAnsi="Times New Roman" w:cs="Times New Roman"/>
                <w:b/>
                <w:bCs/>
                <w:iCs/>
                <w:sz w:val="24"/>
                <w:szCs w:val="24"/>
                <w:lang w:val="en-US" w:eastAsia="lv-LV"/>
              </w:rPr>
              <w:t>Tiesību</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akta</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projekta</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atbilstība</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Latvijas</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Republikas</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starptautiskajām</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saistībām</w:t>
            </w:r>
            <w:proofErr w:type="spellEnd"/>
          </w:p>
        </w:tc>
      </w:tr>
      <w:tr w:rsidR="001258F2" w:rsidRPr="001258F2" w14:paraId="4D408A2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2C0B62"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DBD6FB6"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Saistības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pret</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Eiropas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Savienību</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7739367" w14:textId="13B775FC" w:rsidR="008823F9" w:rsidRPr="001258F2" w:rsidRDefault="008823F9" w:rsidP="008823F9">
            <w:pPr>
              <w:ind w:left="217" w:right="139"/>
              <w:jc w:val="both"/>
              <w:rPr>
                <w:rFonts w:ascii="Times New Roman" w:hAnsi="Times New Roman" w:cs="Times New Roman"/>
                <w:sz w:val="24"/>
                <w:szCs w:val="24"/>
              </w:rPr>
            </w:pPr>
            <w:r w:rsidRPr="001258F2">
              <w:rPr>
                <w:rFonts w:ascii="Times New Roman" w:hAnsi="Times New Roman" w:cs="Times New Roman"/>
                <w:sz w:val="24"/>
                <w:szCs w:val="24"/>
              </w:rPr>
              <w:t xml:space="preserve">Ar </w:t>
            </w:r>
            <w:r w:rsidR="003B6884">
              <w:rPr>
                <w:rFonts w:ascii="Times New Roman" w:hAnsi="Times New Roman" w:cs="Times New Roman"/>
                <w:sz w:val="24"/>
                <w:szCs w:val="24"/>
              </w:rPr>
              <w:t xml:space="preserve">MK </w:t>
            </w:r>
            <w:r w:rsidR="00DF2725">
              <w:rPr>
                <w:rFonts w:ascii="Times New Roman" w:hAnsi="Times New Roman" w:cs="Times New Roman"/>
                <w:sz w:val="24"/>
                <w:szCs w:val="24"/>
              </w:rPr>
              <w:t>n</w:t>
            </w:r>
            <w:r w:rsidRPr="001258F2">
              <w:rPr>
                <w:rFonts w:ascii="Times New Roman" w:hAnsi="Times New Roman" w:cs="Times New Roman"/>
                <w:sz w:val="24"/>
                <w:szCs w:val="24"/>
              </w:rPr>
              <w:t xml:space="preserve">oteikumu projektu tiks ieviestas prasības šādiem Eiropas Savienības tiesību aktiem: </w:t>
            </w:r>
          </w:p>
          <w:p w14:paraId="58620309" w14:textId="6DFF2357" w:rsidR="00E5323B" w:rsidRPr="008F5B53" w:rsidRDefault="008F5B53" w:rsidP="008823F9">
            <w:pPr>
              <w:pStyle w:val="ListParagraph"/>
              <w:numPr>
                <w:ilvl w:val="0"/>
                <w:numId w:val="3"/>
              </w:numPr>
              <w:rPr>
                <w:iCs/>
                <w:sz w:val="24"/>
                <w:szCs w:val="24"/>
              </w:rPr>
            </w:pPr>
            <w:r w:rsidRPr="008F5B53">
              <w:rPr>
                <w:rFonts w:eastAsiaTheme="minorHAnsi"/>
                <w:sz w:val="24"/>
                <w:szCs w:val="24"/>
                <w:lang w:eastAsia="en-US"/>
              </w:rPr>
              <w:t>Komisijas regula Nr. 1407/2013</w:t>
            </w:r>
            <w:r>
              <w:rPr>
                <w:rFonts w:eastAsiaTheme="minorHAnsi"/>
                <w:sz w:val="24"/>
                <w:szCs w:val="24"/>
                <w:lang w:eastAsia="en-US"/>
              </w:rPr>
              <w:t>;</w:t>
            </w:r>
          </w:p>
          <w:p w14:paraId="0E3CCAE6" w14:textId="6D72528D" w:rsidR="008F5B53" w:rsidRPr="001258F2" w:rsidRDefault="008F5B53" w:rsidP="008F5B53">
            <w:pPr>
              <w:pStyle w:val="ListParagraph"/>
              <w:numPr>
                <w:ilvl w:val="0"/>
                <w:numId w:val="3"/>
              </w:numPr>
              <w:rPr>
                <w:iCs/>
                <w:sz w:val="24"/>
                <w:szCs w:val="24"/>
              </w:rPr>
            </w:pPr>
            <w:r w:rsidRPr="008F5B53">
              <w:rPr>
                <w:sz w:val="24"/>
                <w:szCs w:val="26"/>
              </w:rPr>
              <w:t>Komisijas regula Nr.  </w:t>
            </w:r>
            <w:hyperlink r:id="rId10" w:tgtFrame="_blank" w:history="1">
              <w:r w:rsidRPr="008F5B53">
                <w:rPr>
                  <w:sz w:val="24"/>
                  <w:szCs w:val="26"/>
                </w:rPr>
                <w:t>651/2014</w:t>
              </w:r>
            </w:hyperlink>
            <w:r>
              <w:rPr>
                <w:sz w:val="24"/>
                <w:szCs w:val="26"/>
              </w:rPr>
              <w:t>.</w:t>
            </w:r>
          </w:p>
        </w:tc>
      </w:tr>
      <w:tr w:rsidR="001258F2" w:rsidRPr="001258F2" w14:paraId="13E5B23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002027E"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8267850"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Citas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starptautiskās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saistības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66E2550D" w14:textId="00361001" w:rsidR="00E5323B" w:rsidRPr="001258F2" w:rsidRDefault="003B6884" w:rsidP="00E5323B">
            <w:pPr>
              <w:spacing w:after="0" w:line="240" w:lineRule="auto"/>
              <w:rPr>
                <w:rFonts w:ascii="Times New Roman" w:eastAsia="Times New Roman" w:hAnsi="Times New Roman" w:cs="Times New Roman"/>
                <w:iCs/>
                <w:sz w:val="24"/>
                <w:szCs w:val="24"/>
                <w:lang w:val="en-US" w:eastAsia="lv-LV"/>
              </w:rPr>
            </w:pPr>
            <w:r>
              <w:rPr>
                <w:rFonts w:ascii="Times New Roman" w:hAnsi="Times New Roman" w:cs="Times New Roman"/>
                <w:sz w:val="24"/>
                <w:szCs w:val="24"/>
              </w:rPr>
              <w:t>MK noteikumu p</w:t>
            </w:r>
            <w:r w:rsidR="008823F9" w:rsidRPr="001258F2">
              <w:rPr>
                <w:rFonts w:ascii="Times New Roman" w:hAnsi="Times New Roman" w:cs="Times New Roman"/>
                <w:sz w:val="24"/>
                <w:szCs w:val="24"/>
              </w:rPr>
              <w:t>rojekts šo jomu neskar.</w:t>
            </w:r>
          </w:p>
        </w:tc>
      </w:tr>
      <w:tr w:rsidR="001258F2" w:rsidRPr="001258F2" w14:paraId="5CA2FA0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F276F7"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9CAC829"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36D8C0F" w14:textId="73C2500B" w:rsidR="00E5323B" w:rsidRPr="001258F2" w:rsidRDefault="008823F9"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hAnsi="Times New Roman" w:cs="Times New Roman"/>
                <w:sz w:val="24"/>
                <w:szCs w:val="24"/>
              </w:rPr>
              <w:t>Nav</w:t>
            </w:r>
            <w:r w:rsidR="00DF2725">
              <w:rPr>
                <w:rFonts w:ascii="Times New Roman" w:hAnsi="Times New Roman" w:cs="Times New Roman"/>
                <w:sz w:val="24"/>
                <w:szCs w:val="24"/>
              </w:rPr>
              <w:t>.</w:t>
            </w:r>
          </w:p>
        </w:tc>
      </w:tr>
    </w:tbl>
    <w:p w14:paraId="735E0168"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15"/>
        <w:gridCol w:w="2076"/>
        <w:gridCol w:w="2171"/>
        <w:gridCol w:w="2393"/>
      </w:tblGrid>
      <w:tr w:rsidR="001258F2" w:rsidRPr="001258F2" w14:paraId="68C392D1"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868D516"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sv-SE" w:eastAsia="lv-LV"/>
              </w:rPr>
            </w:pPr>
            <w:r w:rsidRPr="001258F2">
              <w:rPr>
                <w:rFonts w:ascii="Times New Roman" w:eastAsia="Times New Roman" w:hAnsi="Times New Roman" w:cs="Times New Roman"/>
                <w:b/>
                <w:bCs/>
                <w:iCs/>
                <w:sz w:val="24"/>
                <w:szCs w:val="24"/>
                <w:lang w:val="sv-SE" w:eastAsia="lv-LV"/>
              </w:rPr>
              <w:t>1. tabula</w:t>
            </w:r>
            <w:r w:rsidRPr="001258F2">
              <w:rPr>
                <w:rFonts w:ascii="Times New Roman" w:eastAsia="Times New Roman" w:hAnsi="Times New Roman" w:cs="Times New Roman"/>
                <w:b/>
                <w:bCs/>
                <w:iCs/>
                <w:sz w:val="24"/>
                <w:szCs w:val="24"/>
                <w:lang w:val="sv-SE" w:eastAsia="lv-LV"/>
              </w:rPr>
              <w:br/>
              <w:t>Tiesību akta projekta atbilstība ES tiesību aktiem</w:t>
            </w:r>
          </w:p>
        </w:tc>
      </w:tr>
      <w:tr w:rsidR="001258F2" w:rsidRPr="001258F2" w14:paraId="71B4DC98"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hideMark/>
          </w:tcPr>
          <w:p w14:paraId="31E4566F" w14:textId="77777777" w:rsidR="00E5323B" w:rsidRPr="001258F2" w:rsidRDefault="00E5323B" w:rsidP="00E5323B">
            <w:pPr>
              <w:spacing w:after="0" w:line="240" w:lineRule="auto"/>
              <w:rPr>
                <w:rFonts w:ascii="Times New Roman" w:eastAsia="Times New Roman" w:hAnsi="Times New Roman" w:cs="Times New Roman"/>
                <w:iCs/>
                <w:sz w:val="24"/>
                <w:szCs w:val="24"/>
                <w:lang w:val="de-DE" w:eastAsia="lv-LV"/>
              </w:rPr>
            </w:pPr>
            <w:proofErr w:type="spellStart"/>
            <w:r w:rsidRPr="001258F2">
              <w:rPr>
                <w:rFonts w:ascii="Times New Roman" w:eastAsia="Times New Roman" w:hAnsi="Times New Roman" w:cs="Times New Roman"/>
                <w:iCs/>
                <w:sz w:val="24"/>
                <w:szCs w:val="24"/>
                <w:lang w:val="de-DE" w:eastAsia="lv-LV"/>
              </w:rPr>
              <w:t>Attiecīgā</w:t>
            </w:r>
            <w:proofErr w:type="spellEnd"/>
            <w:r w:rsidRPr="001258F2">
              <w:rPr>
                <w:rFonts w:ascii="Times New Roman" w:eastAsia="Times New Roman" w:hAnsi="Times New Roman" w:cs="Times New Roman"/>
                <w:iCs/>
                <w:sz w:val="24"/>
                <w:szCs w:val="24"/>
                <w:lang w:val="de-DE" w:eastAsia="lv-LV"/>
              </w:rPr>
              <w:t xml:space="preserve"> ES </w:t>
            </w:r>
            <w:proofErr w:type="spellStart"/>
            <w:r w:rsidRPr="001258F2">
              <w:rPr>
                <w:rFonts w:ascii="Times New Roman" w:eastAsia="Times New Roman" w:hAnsi="Times New Roman" w:cs="Times New Roman"/>
                <w:iCs/>
                <w:sz w:val="24"/>
                <w:szCs w:val="24"/>
                <w:lang w:val="de-DE" w:eastAsia="lv-LV"/>
              </w:rPr>
              <w:t>tiesību</w:t>
            </w:r>
            <w:proofErr w:type="spellEnd"/>
            <w:r w:rsidRPr="001258F2">
              <w:rPr>
                <w:rFonts w:ascii="Times New Roman" w:eastAsia="Times New Roman" w:hAnsi="Times New Roman" w:cs="Times New Roman"/>
                <w:iCs/>
                <w:sz w:val="24"/>
                <w:szCs w:val="24"/>
                <w:lang w:val="de-DE" w:eastAsia="lv-LV"/>
              </w:rPr>
              <w:t xml:space="preserve"> </w:t>
            </w:r>
            <w:proofErr w:type="spellStart"/>
            <w:r w:rsidRPr="001258F2">
              <w:rPr>
                <w:rFonts w:ascii="Times New Roman" w:eastAsia="Times New Roman" w:hAnsi="Times New Roman" w:cs="Times New Roman"/>
                <w:iCs/>
                <w:sz w:val="24"/>
                <w:szCs w:val="24"/>
                <w:lang w:val="de-DE" w:eastAsia="lv-LV"/>
              </w:rPr>
              <w:t>akta</w:t>
            </w:r>
            <w:proofErr w:type="spellEnd"/>
            <w:r w:rsidRPr="001258F2">
              <w:rPr>
                <w:rFonts w:ascii="Times New Roman" w:eastAsia="Times New Roman" w:hAnsi="Times New Roman" w:cs="Times New Roman"/>
                <w:iCs/>
                <w:sz w:val="24"/>
                <w:szCs w:val="24"/>
                <w:lang w:val="de-DE" w:eastAsia="lv-LV"/>
              </w:rPr>
              <w:t xml:space="preserve"> </w:t>
            </w:r>
            <w:proofErr w:type="spellStart"/>
            <w:r w:rsidRPr="001258F2">
              <w:rPr>
                <w:rFonts w:ascii="Times New Roman" w:eastAsia="Times New Roman" w:hAnsi="Times New Roman" w:cs="Times New Roman"/>
                <w:iCs/>
                <w:sz w:val="24"/>
                <w:szCs w:val="24"/>
                <w:lang w:val="de-DE" w:eastAsia="lv-LV"/>
              </w:rPr>
              <w:t>datums</w:t>
            </w:r>
            <w:proofErr w:type="spellEnd"/>
            <w:r w:rsidRPr="001258F2">
              <w:rPr>
                <w:rFonts w:ascii="Times New Roman" w:eastAsia="Times New Roman" w:hAnsi="Times New Roman" w:cs="Times New Roman"/>
                <w:iCs/>
                <w:sz w:val="24"/>
                <w:szCs w:val="24"/>
                <w:lang w:val="de-DE" w:eastAsia="lv-LV"/>
              </w:rPr>
              <w:t xml:space="preserve">, </w:t>
            </w:r>
            <w:proofErr w:type="spellStart"/>
            <w:r w:rsidRPr="001258F2">
              <w:rPr>
                <w:rFonts w:ascii="Times New Roman" w:eastAsia="Times New Roman" w:hAnsi="Times New Roman" w:cs="Times New Roman"/>
                <w:iCs/>
                <w:sz w:val="24"/>
                <w:szCs w:val="24"/>
                <w:lang w:val="de-DE" w:eastAsia="lv-LV"/>
              </w:rPr>
              <w:t>numurs</w:t>
            </w:r>
            <w:proofErr w:type="spellEnd"/>
            <w:r w:rsidRPr="001258F2">
              <w:rPr>
                <w:rFonts w:ascii="Times New Roman" w:eastAsia="Times New Roman" w:hAnsi="Times New Roman" w:cs="Times New Roman"/>
                <w:iCs/>
                <w:sz w:val="24"/>
                <w:szCs w:val="24"/>
                <w:lang w:val="de-DE" w:eastAsia="lv-LV"/>
              </w:rPr>
              <w:t xml:space="preserve"> </w:t>
            </w:r>
            <w:proofErr w:type="spellStart"/>
            <w:r w:rsidRPr="001258F2">
              <w:rPr>
                <w:rFonts w:ascii="Times New Roman" w:eastAsia="Times New Roman" w:hAnsi="Times New Roman" w:cs="Times New Roman"/>
                <w:iCs/>
                <w:sz w:val="24"/>
                <w:szCs w:val="24"/>
                <w:lang w:val="de-DE" w:eastAsia="lv-LV"/>
              </w:rPr>
              <w:t>un</w:t>
            </w:r>
            <w:proofErr w:type="spellEnd"/>
            <w:r w:rsidRPr="001258F2">
              <w:rPr>
                <w:rFonts w:ascii="Times New Roman" w:eastAsia="Times New Roman" w:hAnsi="Times New Roman" w:cs="Times New Roman"/>
                <w:iCs/>
                <w:sz w:val="24"/>
                <w:szCs w:val="24"/>
                <w:lang w:val="de-DE" w:eastAsia="lv-LV"/>
              </w:rPr>
              <w:t xml:space="preserve"> </w:t>
            </w:r>
            <w:proofErr w:type="spellStart"/>
            <w:r w:rsidRPr="001258F2">
              <w:rPr>
                <w:rFonts w:ascii="Times New Roman" w:eastAsia="Times New Roman" w:hAnsi="Times New Roman" w:cs="Times New Roman"/>
                <w:iCs/>
                <w:sz w:val="24"/>
                <w:szCs w:val="24"/>
                <w:lang w:val="de-DE" w:eastAsia="lv-LV"/>
              </w:rPr>
              <w:t>nosaukums</w:t>
            </w:r>
            <w:proofErr w:type="spellEnd"/>
          </w:p>
        </w:tc>
        <w:tc>
          <w:tcPr>
            <w:tcW w:w="3642" w:type="pct"/>
            <w:gridSpan w:val="3"/>
            <w:tcBorders>
              <w:top w:val="outset" w:sz="6" w:space="0" w:color="auto"/>
              <w:left w:val="outset" w:sz="6" w:space="0" w:color="auto"/>
              <w:bottom w:val="outset" w:sz="6" w:space="0" w:color="auto"/>
              <w:right w:val="outset" w:sz="6" w:space="0" w:color="auto"/>
            </w:tcBorders>
            <w:hideMark/>
          </w:tcPr>
          <w:p w14:paraId="1FD4B97E" w14:textId="002E07A2" w:rsidR="008823F9" w:rsidRPr="001258F2" w:rsidRDefault="008823F9" w:rsidP="008823F9">
            <w:pPr>
              <w:spacing w:after="0"/>
              <w:jc w:val="both"/>
              <w:rPr>
                <w:rFonts w:ascii="Times New Roman" w:hAnsi="Times New Roman" w:cs="Times New Roman"/>
                <w:sz w:val="24"/>
                <w:szCs w:val="24"/>
              </w:rPr>
            </w:pPr>
            <w:r w:rsidRPr="001258F2">
              <w:rPr>
                <w:rFonts w:ascii="Times New Roman" w:hAnsi="Times New Roman" w:cs="Times New Roman"/>
                <w:sz w:val="24"/>
                <w:szCs w:val="24"/>
              </w:rPr>
              <w:t xml:space="preserve">Ar </w:t>
            </w:r>
            <w:r w:rsidR="003B6884">
              <w:rPr>
                <w:rFonts w:ascii="Times New Roman" w:hAnsi="Times New Roman" w:cs="Times New Roman"/>
                <w:sz w:val="24"/>
                <w:szCs w:val="24"/>
              </w:rPr>
              <w:t xml:space="preserve">MK </w:t>
            </w:r>
            <w:r w:rsidR="00DF2725">
              <w:rPr>
                <w:rFonts w:ascii="Times New Roman" w:hAnsi="Times New Roman" w:cs="Times New Roman"/>
                <w:sz w:val="24"/>
                <w:szCs w:val="24"/>
              </w:rPr>
              <w:t>n</w:t>
            </w:r>
            <w:r w:rsidRPr="001258F2">
              <w:rPr>
                <w:rFonts w:ascii="Times New Roman" w:hAnsi="Times New Roman" w:cs="Times New Roman"/>
                <w:sz w:val="24"/>
                <w:szCs w:val="24"/>
              </w:rPr>
              <w:t>oteikumu projektu tiek ieviestas prasības no:</w:t>
            </w:r>
          </w:p>
          <w:p w14:paraId="66F8A866" w14:textId="77777777" w:rsidR="00E5323B" w:rsidRPr="003B6884" w:rsidRDefault="008F5B53" w:rsidP="008F5B53">
            <w:pPr>
              <w:numPr>
                <w:ilvl w:val="0"/>
                <w:numId w:val="3"/>
              </w:numPr>
              <w:spacing w:after="0" w:line="240" w:lineRule="auto"/>
              <w:jc w:val="both"/>
              <w:rPr>
                <w:iCs/>
                <w:sz w:val="24"/>
                <w:szCs w:val="24"/>
                <w:lang w:val="de-DE"/>
              </w:rPr>
            </w:pPr>
            <w:r w:rsidRPr="008F5B53">
              <w:rPr>
                <w:rFonts w:ascii="Times New Roman" w:hAnsi="Times New Roman" w:cs="Times New Roman"/>
                <w:sz w:val="24"/>
                <w:szCs w:val="24"/>
              </w:rPr>
              <w:t>Komisijas regula Nr. 1407/2013</w:t>
            </w:r>
            <w:r w:rsidR="008823F9" w:rsidRPr="001258F2">
              <w:rPr>
                <w:rFonts w:ascii="Times New Roman" w:hAnsi="Times New Roman" w:cs="Times New Roman"/>
                <w:sz w:val="24"/>
                <w:szCs w:val="24"/>
              </w:rPr>
              <w:t>;</w:t>
            </w:r>
          </w:p>
          <w:p w14:paraId="382800D6" w14:textId="699A23A0" w:rsidR="003B6884" w:rsidRPr="00BF52F3" w:rsidRDefault="003B6884" w:rsidP="008F5B53">
            <w:pPr>
              <w:numPr>
                <w:ilvl w:val="0"/>
                <w:numId w:val="3"/>
              </w:numPr>
              <w:spacing w:after="0" w:line="240" w:lineRule="auto"/>
              <w:jc w:val="both"/>
              <w:rPr>
                <w:rFonts w:ascii="Times New Roman" w:hAnsi="Times New Roman" w:cs="Times New Roman"/>
                <w:iCs/>
                <w:sz w:val="24"/>
                <w:szCs w:val="24"/>
                <w:lang w:val="de-DE"/>
              </w:rPr>
            </w:pPr>
            <w:r w:rsidRPr="00BF52F3">
              <w:rPr>
                <w:rFonts w:ascii="Times New Roman" w:hAnsi="Times New Roman" w:cs="Times New Roman"/>
                <w:sz w:val="24"/>
                <w:szCs w:val="24"/>
              </w:rPr>
              <w:t>Komisijas regula Nr.  </w:t>
            </w:r>
            <w:hyperlink r:id="rId11" w:tgtFrame="_blank" w:history="1">
              <w:r w:rsidRPr="00BF52F3">
                <w:rPr>
                  <w:rFonts w:ascii="Times New Roman" w:hAnsi="Times New Roman" w:cs="Times New Roman"/>
                  <w:sz w:val="24"/>
                  <w:szCs w:val="24"/>
                </w:rPr>
                <w:t>651/2014</w:t>
              </w:r>
            </w:hyperlink>
            <w:r w:rsidRPr="00BF52F3">
              <w:rPr>
                <w:rFonts w:ascii="Times New Roman" w:hAnsi="Times New Roman" w:cs="Times New Roman"/>
                <w:sz w:val="24"/>
                <w:szCs w:val="24"/>
              </w:rPr>
              <w:t>.</w:t>
            </w:r>
          </w:p>
        </w:tc>
      </w:tr>
      <w:tr w:rsidR="001258F2" w:rsidRPr="001258F2" w14:paraId="69D5D523"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vAlign w:val="center"/>
            <w:hideMark/>
          </w:tcPr>
          <w:p w14:paraId="427F9EAB"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A</w:t>
            </w:r>
          </w:p>
        </w:tc>
        <w:tc>
          <w:tcPr>
            <w:tcW w:w="1141" w:type="pct"/>
            <w:tcBorders>
              <w:top w:val="outset" w:sz="6" w:space="0" w:color="auto"/>
              <w:left w:val="outset" w:sz="6" w:space="0" w:color="auto"/>
              <w:bottom w:val="outset" w:sz="6" w:space="0" w:color="auto"/>
              <w:right w:val="outset" w:sz="6" w:space="0" w:color="auto"/>
            </w:tcBorders>
            <w:vAlign w:val="center"/>
            <w:hideMark/>
          </w:tcPr>
          <w:p w14:paraId="34F6CBE1"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B</w:t>
            </w:r>
          </w:p>
        </w:tc>
        <w:tc>
          <w:tcPr>
            <w:tcW w:w="1193" w:type="pct"/>
            <w:tcBorders>
              <w:top w:val="outset" w:sz="6" w:space="0" w:color="auto"/>
              <w:left w:val="outset" w:sz="6" w:space="0" w:color="auto"/>
              <w:bottom w:val="outset" w:sz="6" w:space="0" w:color="auto"/>
              <w:right w:val="outset" w:sz="6" w:space="0" w:color="auto"/>
            </w:tcBorders>
            <w:vAlign w:val="center"/>
            <w:hideMark/>
          </w:tcPr>
          <w:p w14:paraId="7AF854B2"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C</w:t>
            </w:r>
          </w:p>
        </w:tc>
        <w:tc>
          <w:tcPr>
            <w:tcW w:w="1274" w:type="pct"/>
            <w:tcBorders>
              <w:top w:val="outset" w:sz="6" w:space="0" w:color="auto"/>
              <w:left w:val="outset" w:sz="6" w:space="0" w:color="auto"/>
              <w:bottom w:val="outset" w:sz="6" w:space="0" w:color="auto"/>
              <w:right w:val="outset" w:sz="6" w:space="0" w:color="auto"/>
            </w:tcBorders>
            <w:vAlign w:val="center"/>
            <w:hideMark/>
          </w:tcPr>
          <w:p w14:paraId="23D62854"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D</w:t>
            </w:r>
          </w:p>
        </w:tc>
      </w:tr>
      <w:tr w:rsidR="001258F2" w:rsidRPr="001258F2" w14:paraId="77F0DF4C"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hideMark/>
          </w:tcPr>
          <w:p w14:paraId="4B5E8983" w14:textId="77777777" w:rsidR="00E5323B" w:rsidRPr="001258F2" w:rsidRDefault="00E5323B" w:rsidP="00E5323B">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Attiecīgā ES tiesību akta panta numurs (uzskaitot katru tiesību akta vienību – pantu, daļu, punktu, apakšpunktu)</w:t>
            </w:r>
          </w:p>
        </w:tc>
        <w:tc>
          <w:tcPr>
            <w:tcW w:w="1141" w:type="pct"/>
            <w:tcBorders>
              <w:top w:val="outset" w:sz="6" w:space="0" w:color="auto"/>
              <w:left w:val="outset" w:sz="6" w:space="0" w:color="auto"/>
              <w:bottom w:val="outset" w:sz="6" w:space="0" w:color="auto"/>
              <w:right w:val="outset" w:sz="6" w:space="0" w:color="auto"/>
            </w:tcBorders>
            <w:hideMark/>
          </w:tcPr>
          <w:p w14:paraId="04CE52B7" w14:textId="77777777" w:rsidR="00E5323B" w:rsidRPr="001258F2" w:rsidRDefault="00E5323B" w:rsidP="00E5323B">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1193" w:type="pct"/>
            <w:tcBorders>
              <w:top w:val="outset" w:sz="6" w:space="0" w:color="auto"/>
              <w:left w:val="outset" w:sz="6" w:space="0" w:color="auto"/>
              <w:bottom w:val="outset" w:sz="6" w:space="0" w:color="auto"/>
              <w:right w:val="outset" w:sz="6" w:space="0" w:color="auto"/>
            </w:tcBorders>
            <w:hideMark/>
          </w:tcPr>
          <w:p w14:paraId="7A47EE13" w14:textId="77777777" w:rsidR="00E5323B" w:rsidRPr="001258F2" w:rsidRDefault="00E5323B" w:rsidP="00E5323B">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Informācija par to, vai šīs tabulas A ailē minētās ES tiesību akta vienības tiek pārņemtas vai ieviestas pilnībā vai daļēji.</w:t>
            </w:r>
            <w:r w:rsidRPr="001258F2">
              <w:rPr>
                <w:rFonts w:ascii="Times New Roman" w:eastAsia="Times New Roman" w:hAnsi="Times New Roman" w:cs="Times New Roman"/>
                <w:iCs/>
                <w:sz w:val="24"/>
                <w:szCs w:val="24"/>
                <w:lang w:eastAsia="lv-LV"/>
              </w:rPr>
              <w:br/>
              <w:t xml:space="preserve">Ja attiecīgā ES tiesību akta vienība tiek pārņemta vai ieviesta daļēji, sniedz attiecīgu skaidrojumu, kā arī precīzi norāda, kad un kādā veidā ES tiesību akta vienība </w:t>
            </w:r>
            <w:r w:rsidRPr="001258F2">
              <w:rPr>
                <w:rFonts w:ascii="Times New Roman" w:eastAsia="Times New Roman" w:hAnsi="Times New Roman" w:cs="Times New Roman"/>
                <w:iCs/>
                <w:sz w:val="24"/>
                <w:szCs w:val="24"/>
                <w:lang w:eastAsia="lv-LV"/>
              </w:rPr>
              <w:lastRenderedPageBreak/>
              <w:t>tiks pārņemta vai ieviesta pilnībā.</w:t>
            </w:r>
            <w:r w:rsidRPr="001258F2">
              <w:rPr>
                <w:rFonts w:ascii="Times New Roman" w:eastAsia="Times New Roman" w:hAnsi="Times New Roman" w:cs="Times New Roman"/>
                <w:iCs/>
                <w:sz w:val="24"/>
                <w:szCs w:val="24"/>
                <w:lang w:eastAsia="lv-LV"/>
              </w:rPr>
              <w:br/>
              <w:t>Norāda institūciju, kas ir atbildīga par šo saistību izpildi pilnībā</w:t>
            </w:r>
          </w:p>
        </w:tc>
        <w:tc>
          <w:tcPr>
            <w:tcW w:w="1274" w:type="pct"/>
            <w:tcBorders>
              <w:top w:val="outset" w:sz="6" w:space="0" w:color="auto"/>
              <w:left w:val="outset" w:sz="6" w:space="0" w:color="auto"/>
              <w:bottom w:val="outset" w:sz="6" w:space="0" w:color="auto"/>
              <w:right w:val="outset" w:sz="6" w:space="0" w:color="auto"/>
            </w:tcBorders>
            <w:hideMark/>
          </w:tcPr>
          <w:p w14:paraId="34854690" w14:textId="77777777" w:rsidR="00E5323B" w:rsidRPr="001258F2" w:rsidRDefault="00E5323B" w:rsidP="00E5323B">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lastRenderedPageBreak/>
              <w:t>Informācija par to, vai šīs tabulas B ailē minētās projekta vienības paredz stingrākas prasības nekā šīs tabulas A ailē minētās ES tiesību akta vienības.</w:t>
            </w:r>
            <w:r w:rsidRPr="001258F2">
              <w:rPr>
                <w:rFonts w:ascii="Times New Roman" w:eastAsia="Times New Roman" w:hAnsi="Times New Roman" w:cs="Times New Roman"/>
                <w:iCs/>
                <w:sz w:val="24"/>
                <w:szCs w:val="24"/>
                <w:lang w:eastAsia="lv-LV"/>
              </w:rPr>
              <w:br/>
              <w:t>Ja projekts satur stingrākas prasības nekā attiecīgais ES tiesību akts, norāda pamatojumu un samērīgumu.</w:t>
            </w:r>
            <w:r w:rsidRPr="001258F2">
              <w:rPr>
                <w:rFonts w:ascii="Times New Roman" w:eastAsia="Times New Roman" w:hAnsi="Times New Roman" w:cs="Times New Roman"/>
                <w:iCs/>
                <w:sz w:val="24"/>
                <w:szCs w:val="24"/>
                <w:lang w:eastAsia="lv-LV"/>
              </w:rPr>
              <w:br/>
              <w:t xml:space="preserve">Norāda iespējamās alternatīvas (t. sk. </w:t>
            </w:r>
            <w:r w:rsidRPr="001258F2">
              <w:rPr>
                <w:rFonts w:ascii="Times New Roman" w:eastAsia="Times New Roman" w:hAnsi="Times New Roman" w:cs="Times New Roman"/>
                <w:iCs/>
                <w:sz w:val="24"/>
                <w:szCs w:val="24"/>
                <w:lang w:eastAsia="lv-LV"/>
              </w:rPr>
              <w:lastRenderedPageBreak/>
              <w:t>alternatīvas, kas neparedz tiesiskā regulējuma izstrādi) – kādos gadījumos būtu iespējams izvairīties no stingrāku prasību noteikšanas, nekā paredzēts attiecīgajos ES tiesību aktos</w:t>
            </w:r>
          </w:p>
        </w:tc>
      </w:tr>
      <w:tr w:rsidR="001258F2" w:rsidRPr="001258F2" w14:paraId="2196ACF2"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hideMark/>
          </w:tcPr>
          <w:p w14:paraId="6EB35068" w14:textId="182ED2BB" w:rsidR="008823F9" w:rsidRPr="001258F2" w:rsidRDefault="008F5B53" w:rsidP="008823F9">
            <w:pPr>
              <w:spacing w:after="0" w:line="240" w:lineRule="auto"/>
              <w:rPr>
                <w:rFonts w:ascii="Times New Roman" w:eastAsia="Times New Roman" w:hAnsi="Times New Roman" w:cs="Times New Roman"/>
                <w:iCs/>
                <w:sz w:val="24"/>
                <w:szCs w:val="24"/>
                <w:lang w:eastAsia="lv-LV"/>
              </w:rPr>
            </w:pPr>
            <w:r w:rsidRPr="008F5B53">
              <w:rPr>
                <w:rFonts w:ascii="Times New Roman" w:hAnsi="Times New Roman" w:cs="Times New Roman"/>
                <w:sz w:val="24"/>
                <w:szCs w:val="24"/>
              </w:rPr>
              <w:lastRenderedPageBreak/>
              <w:t>Komisijas regula</w:t>
            </w:r>
            <w:r>
              <w:rPr>
                <w:rFonts w:ascii="Times New Roman" w:hAnsi="Times New Roman" w:cs="Times New Roman"/>
                <w:sz w:val="24"/>
                <w:szCs w:val="24"/>
              </w:rPr>
              <w:t>s</w:t>
            </w:r>
            <w:r w:rsidRPr="008F5B53">
              <w:rPr>
                <w:rFonts w:ascii="Times New Roman" w:hAnsi="Times New Roman" w:cs="Times New Roman"/>
                <w:sz w:val="24"/>
                <w:szCs w:val="24"/>
              </w:rPr>
              <w:t xml:space="preserve"> Nr. 1407/2013</w:t>
            </w:r>
            <w:r>
              <w:rPr>
                <w:rFonts w:ascii="Times New Roman" w:hAnsi="Times New Roman" w:cs="Times New Roman"/>
                <w:sz w:val="24"/>
                <w:szCs w:val="24"/>
              </w:rPr>
              <w:t xml:space="preserve"> </w:t>
            </w:r>
            <w:r w:rsidRPr="005543D2">
              <w:rPr>
                <w:rFonts w:ascii="Times New Roman" w:eastAsia="Times New Roman" w:hAnsi="Times New Roman"/>
                <w:sz w:val="24"/>
                <w:szCs w:val="26"/>
                <w:lang w:eastAsia="lv-LV"/>
              </w:rPr>
              <w:t>2. panta 2. punkt</w:t>
            </w:r>
            <w:r>
              <w:rPr>
                <w:rFonts w:ascii="Times New Roman" w:eastAsia="Times New Roman" w:hAnsi="Times New Roman"/>
                <w:sz w:val="24"/>
                <w:szCs w:val="26"/>
                <w:lang w:eastAsia="lv-LV"/>
              </w:rPr>
              <w:t>s</w:t>
            </w:r>
          </w:p>
        </w:tc>
        <w:tc>
          <w:tcPr>
            <w:tcW w:w="1141" w:type="pct"/>
            <w:tcBorders>
              <w:top w:val="outset" w:sz="6" w:space="0" w:color="auto"/>
              <w:left w:val="outset" w:sz="6" w:space="0" w:color="auto"/>
              <w:bottom w:val="outset" w:sz="6" w:space="0" w:color="auto"/>
              <w:right w:val="outset" w:sz="6" w:space="0" w:color="auto"/>
            </w:tcBorders>
            <w:hideMark/>
          </w:tcPr>
          <w:p w14:paraId="702091E6" w14:textId="342D85DF" w:rsidR="008823F9" w:rsidRPr="001258F2" w:rsidRDefault="008F5B53" w:rsidP="008823F9">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2</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hideMark/>
          </w:tcPr>
          <w:p w14:paraId="2C8A28F4" w14:textId="77777777" w:rsidR="008823F9" w:rsidRPr="001258F2" w:rsidRDefault="008823F9" w:rsidP="008823F9">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hideMark/>
          </w:tcPr>
          <w:p w14:paraId="4B51F0FB" w14:textId="77777777" w:rsidR="008823F9" w:rsidRPr="001258F2" w:rsidRDefault="008823F9" w:rsidP="008823F9">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0D23425E"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335F7DD6" w14:textId="4BEB8F9D" w:rsidR="00BA4F62" w:rsidRPr="001258F2" w:rsidRDefault="00BA4F62" w:rsidP="00BA4F62">
            <w:pPr>
              <w:spacing w:after="0" w:line="240" w:lineRule="auto"/>
            </w:pPr>
            <w:r w:rsidRPr="008F5B53">
              <w:rPr>
                <w:rFonts w:ascii="Times New Roman" w:hAnsi="Times New Roman" w:cs="Times New Roman"/>
                <w:sz w:val="24"/>
                <w:szCs w:val="24"/>
              </w:rPr>
              <w:t>Komisijas regula Nr. 1407/2013</w:t>
            </w:r>
          </w:p>
        </w:tc>
        <w:tc>
          <w:tcPr>
            <w:tcW w:w="1141" w:type="pct"/>
            <w:tcBorders>
              <w:top w:val="outset" w:sz="6" w:space="0" w:color="auto"/>
              <w:left w:val="outset" w:sz="6" w:space="0" w:color="auto"/>
              <w:bottom w:val="outset" w:sz="6" w:space="0" w:color="auto"/>
              <w:right w:val="outset" w:sz="6" w:space="0" w:color="auto"/>
            </w:tcBorders>
          </w:tcPr>
          <w:p w14:paraId="716B45BE" w14:textId="6F34219B"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4</w:t>
            </w:r>
            <w:r w:rsidRPr="001258F2">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un 21. </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3B5F8368" w14:textId="2DD60C8B"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5A411082" w14:textId="07ABFB21"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085BCB25"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47007419" w14:textId="4DCB40AE" w:rsidR="00BA4F62" w:rsidRPr="001258F2" w:rsidRDefault="00BA4F62" w:rsidP="00BA4F62">
            <w:pPr>
              <w:spacing w:after="0" w:line="240" w:lineRule="auto"/>
            </w:pPr>
            <w:r w:rsidRPr="008F5B53">
              <w:rPr>
                <w:rFonts w:ascii="Times New Roman" w:hAnsi="Times New Roman" w:cs="Times New Roman"/>
                <w:sz w:val="24"/>
                <w:szCs w:val="24"/>
              </w:rPr>
              <w:t>Komisijas regula</w:t>
            </w:r>
            <w:r>
              <w:rPr>
                <w:rFonts w:ascii="Times New Roman" w:hAnsi="Times New Roman" w:cs="Times New Roman"/>
                <w:sz w:val="24"/>
                <w:szCs w:val="24"/>
              </w:rPr>
              <w:t>s</w:t>
            </w:r>
            <w:r w:rsidRPr="008F5B53">
              <w:rPr>
                <w:rFonts w:ascii="Times New Roman" w:hAnsi="Times New Roman" w:cs="Times New Roman"/>
                <w:sz w:val="24"/>
                <w:szCs w:val="24"/>
              </w:rPr>
              <w:t xml:space="preserve"> Nr. 1407/2013</w:t>
            </w:r>
            <w:r>
              <w:rPr>
                <w:rFonts w:ascii="Times New Roman" w:hAnsi="Times New Roman" w:cs="Times New Roman"/>
                <w:sz w:val="24"/>
                <w:szCs w:val="24"/>
              </w:rPr>
              <w:t xml:space="preserve"> </w:t>
            </w:r>
            <w:r w:rsidRPr="008F5B53">
              <w:rPr>
                <w:rFonts w:ascii="Times New Roman" w:hAnsi="Times New Roman" w:cs="Times New Roman"/>
                <w:sz w:val="24"/>
                <w:szCs w:val="24"/>
              </w:rPr>
              <w:t>1. pants</w:t>
            </w:r>
          </w:p>
        </w:tc>
        <w:tc>
          <w:tcPr>
            <w:tcW w:w="1141" w:type="pct"/>
            <w:tcBorders>
              <w:top w:val="outset" w:sz="6" w:space="0" w:color="auto"/>
              <w:left w:val="outset" w:sz="6" w:space="0" w:color="auto"/>
              <w:bottom w:val="outset" w:sz="6" w:space="0" w:color="auto"/>
              <w:right w:val="outset" w:sz="6" w:space="0" w:color="auto"/>
            </w:tcBorders>
          </w:tcPr>
          <w:p w14:paraId="7772BC9E" w14:textId="10D704C8"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5</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07BAFBED" w14:textId="6BCDD12A"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2B5F76C2" w14:textId="51DE3098"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304B4A6A"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022615AA" w14:textId="01D64154" w:rsidR="00BA4F62" w:rsidRPr="001258F2" w:rsidRDefault="00BA4F62" w:rsidP="00BA4F62">
            <w:pPr>
              <w:spacing w:after="0" w:line="240" w:lineRule="auto"/>
            </w:pPr>
            <w:r w:rsidRPr="008F5B53">
              <w:rPr>
                <w:rFonts w:ascii="Times New Roman" w:hAnsi="Times New Roman" w:cs="Times New Roman"/>
                <w:sz w:val="24"/>
                <w:szCs w:val="24"/>
              </w:rPr>
              <w:t>Komisijas regulas Nr. </w:t>
            </w:r>
            <w:hyperlink r:id="rId12" w:tgtFrame="_blank" w:history="1">
              <w:r w:rsidRPr="008F5B53">
                <w:rPr>
                  <w:rFonts w:ascii="Times New Roman" w:hAnsi="Times New Roman" w:cs="Times New Roman"/>
                  <w:sz w:val="24"/>
                  <w:szCs w:val="24"/>
                </w:rPr>
                <w:t>651/2014</w:t>
              </w:r>
            </w:hyperlink>
            <w:r w:rsidRPr="008F5B53">
              <w:rPr>
                <w:rFonts w:ascii="Times New Roman" w:hAnsi="Times New Roman" w:cs="Times New Roman"/>
                <w:sz w:val="24"/>
                <w:szCs w:val="24"/>
              </w:rPr>
              <w:t> 1. panta 3. punkt</w:t>
            </w:r>
            <w:r>
              <w:rPr>
                <w:rFonts w:ascii="Times New Roman" w:hAnsi="Times New Roman" w:cs="Times New Roman"/>
                <w:sz w:val="24"/>
                <w:szCs w:val="24"/>
              </w:rPr>
              <w:t>s</w:t>
            </w:r>
          </w:p>
        </w:tc>
        <w:tc>
          <w:tcPr>
            <w:tcW w:w="1141" w:type="pct"/>
            <w:tcBorders>
              <w:top w:val="outset" w:sz="6" w:space="0" w:color="auto"/>
              <w:left w:val="outset" w:sz="6" w:space="0" w:color="auto"/>
              <w:bottom w:val="outset" w:sz="6" w:space="0" w:color="auto"/>
              <w:right w:val="outset" w:sz="6" w:space="0" w:color="auto"/>
            </w:tcBorders>
          </w:tcPr>
          <w:p w14:paraId="0A19C698" w14:textId="7103E66B"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7</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19E472AA" w14:textId="53FB0644"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6C0FAC20" w14:textId="602C50BE"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16CEABF1"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5620C100" w14:textId="669E0816" w:rsidR="00BA4F62" w:rsidRPr="001258F2" w:rsidRDefault="00BA4F62" w:rsidP="00BA4F62">
            <w:pPr>
              <w:spacing w:after="0" w:line="240" w:lineRule="auto"/>
            </w:pPr>
            <w:r w:rsidRPr="008F5B53">
              <w:rPr>
                <w:rFonts w:ascii="Times New Roman" w:hAnsi="Times New Roman" w:cs="Times New Roman"/>
                <w:sz w:val="24"/>
                <w:szCs w:val="24"/>
              </w:rPr>
              <w:t>Komisijas regula</w:t>
            </w:r>
            <w:r>
              <w:rPr>
                <w:rFonts w:ascii="Times New Roman" w:hAnsi="Times New Roman" w:cs="Times New Roman"/>
                <w:sz w:val="24"/>
                <w:szCs w:val="24"/>
              </w:rPr>
              <w:t>s</w:t>
            </w:r>
            <w:r w:rsidRPr="008F5B53">
              <w:rPr>
                <w:rFonts w:ascii="Times New Roman" w:hAnsi="Times New Roman" w:cs="Times New Roman"/>
                <w:sz w:val="24"/>
                <w:szCs w:val="24"/>
              </w:rPr>
              <w:t xml:space="preserve"> Nr. 1407/2013</w:t>
            </w:r>
            <w:r>
              <w:rPr>
                <w:rFonts w:ascii="Times New Roman" w:hAnsi="Times New Roman" w:cs="Times New Roman"/>
                <w:sz w:val="24"/>
                <w:szCs w:val="24"/>
              </w:rPr>
              <w:t xml:space="preserve"> </w:t>
            </w:r>
            <w:r w:rsidRPr="008F5B53">
              <w:rPr>
                <w:rFonts w:ascii="Times New Roman" w:hAnsi="Times New Roman" w:cs="Times New Roman"/>
                <w:sz w:val="24"/>
                <w:szCs w:val="24"/>
              </w:rPr>
              <w:t>1.panta 2.punkt</w:t>
            </w:r>
            <w:r>
              <w:rPr>
                <w:rFonts w:ascii="Times New Roman" w:hAnsi="Times New Roman" w:cs="Times New Roman"/>
                <w:sz w:val="24"/>
                <w:szCs w:val="24"/>
              </w:rPr>
              <w:t>s</w:t>
            </w:r>
          </w:p>
        </w:tc>
        <w:tc>
          <w:tcPr>
            <w:tcW w:w="1141" w:type="pct"/>
            <w:tcBorders>
              <w:top w:val="outset" w:sz="6" w:space="0" w:color="auto"/>
              <w:left w:val="outset" w:sz="6" w:space="0" w:color="auto"/>
              <w:bottom w:val="outset" w:sz="6" w:space="0" w:color="auto"/>
              <w:right w:val="outset" w:sz="6" w:space="0" w:color="auto"/>
            </w:tcBorders>
          </w:tcPr>
          <w:p w14:paraId="41990AD8" w14:textId="3DAB82FE"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7</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2741E540" w14:textId="1F227466"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2604877E" w14:textId="07D82BB3"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1CCD2A43"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351BFDF9" w14:textId="3F58A4BA" w:rsidR="00BA4F62" w:rsidRPr="001258F2" w:rsidRDefault="00BA4F62" w:rsidP="00BA4F62">
            <w:pPr>
              <w:spacing w:after="0" w:line="240" w:lineRule="auto"/>
            </w:pPr>
            <w:r w:rsidRPr="008F5B53">
              <w:rPr>
                <w:rFonts w:ascii="Times New Roman" w:hAnsi="Times New Roman" w:cs="Times New Roman"/>
                <w:sz w:val="24"/>
                <w:szCs w:val="24"/>
              </w:rPr>
              <w:t>Komisijas regulas Nr. </w:t>
            </w:r>
            <w:hyperlink r:id="rId13" w:tgtFrame="_blank" w:history="1">
              <w:r w:rsidRPr="008F5B53">
                <w:rPr>
                  <w:rFonts w:ascii="Times New Roman" w:hAnsi="Times New Roman" w:cs="Times New Roman"/>
                  <w:sz w:val="24"/>
                  <w:szCs w:val="24"/>
                </w:rPr>
                <w:t>651/2014</w:t>
              </w:r>
            </w:hyperlink>
            <w:r>
              <w:rPr>
                <w:rFonts w:ascii="Times New Roman" w:hAnsi="Times New Roman" w:cs="Times New Roman"/>
                <w:sz w:val="24"/>
                <w:szCs w:val="24"/>
              </w:rPr>
              <w:t xml:space="preserve"> </w:t>
            </w:r>
            <w:r w:rsidRPr="00306405">
              <w:rPr>
                <w:rFonts w:ascii="Times New Roman" w:eastAsia="Times New Roman" w:hAnsi="Times New Roman"/>
                <w:sz w:val="24"/>
                <w:szCs w:val="26"/>
                <w:lang w:eastAsia="lv-LV"/>
              </w:rPr>
              <w:t>2. panta 29.</w:t>
            </w:r>
            <w:r>
              <w:rPr>
                <w:rFonts w:ascii="Times New Roman" w:eastAsia="Times New Roman" w:hAnsi="Times New Roman"/>
                <w:sz w:val="24"/>
                <w:szCs w:val="26"/>
                <w:lang w:eastAsia="lv-LV"/>
              </w:rPr>
              <w:t>, 30., 49.</w:t>
            </w:r>
            <w:r w:rsidRPr="00306405">
              <w:rPr>
                <w:rFonts w:ascii="Times New Roman" w:eastAsia="Times New Roman" w:hAnsi="Times New Roman"/>
                <w:sz w:val="24"/>
                <w:szCs w:val="26"/>
                <w:lang w:eastAsia="lv-LV"/>
              </w:rPr>
              <w:t> punkt</w:t>
            </w:r>
            <w:r>
              <w:rPr>
                <w:rFonts w:ascii="Times New Roman" w:eastAsia="Times New Roman" w:hAnsi="Times New Roman"/>
                <w:sz w:val="24"/>
                <w:szCs w:val="26"/>
                <w:lang w:eastAsia="lv-LV"/>
              </w:rPr>
              <w:t>s</w:t>
            </w:r>
          </w:p>
        </w:tc>
        <w:tc>
          <w:tcPr>
            <w:tcW w:w="1141" w:type="pct"/>
            <w:tcBorders>
              <w:top w:val="outset" w:sz="6" w:space="0" w:color="auto"/>
              <w:left w:val="outset" w:sz="6" w:space="0" w:color="auto"/>
              <w:bottom w:val="outset" w:sz="6" w:space="0" w:color="auto"/>
              <w:right w:val="outset" w:sz="6" w:space="0" w:color="auto"/>
            </w:tcBorders>
          </w:tcPr>
          <w:p w14:paraId="0DEB12A0" w14:textId="0C0972E8"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8</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0E363D73" w14:textId="0B111FD0"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51E01687" w14:textId="2AFE215E"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61255EB3"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56EEDC81" w14:textId="7836D524" w:rsidR="00BA4F62" w:rsidRPr="001258F2" w:rsidRDefault="00BA4F62" w:rsidP="00BA4F62">
            <w:pPr>
              <w:spacing w:after="0" w:line="240" w:lineRule="auto"/>
            </w:pPr>
            <w:r w:rsidRPr="00306405">
              <w:rPr>
                <w:rFonts w:ascii="Times New Roman" w:eastAsia="Times New Roman" w:hAnsi="Times New Roman"/>
                <w:sz w:val="24"/>
                <w:szCs w:val="26"/>
                <w:lang w:eastAsia="lv-LV"/>
              </w:rPr>
              <w:t>Komisijas regulas Nr.  </w:t>
            </w:r>
            <w:hyperlink r:id="rId14" w:tgtFrame="_blank" w:history="1">
              <w:r w:rsidRPr="00306405">
                <w:rPr>
                  <w:rFonts w:ascii="Times New Roman" w:eastAsia="Times New Roman" w:hAnsi="Times New Roman"/>
                  <w:sz w:val="24"/>
                  <w:szCs w:val="26"/>
                  <w:lang w:eastAsia="lv-LV"/>
                </w:rPr>
                <w:t>651/2014</w:t>
              </w:r>
            </w:hyperlink>
            <w:r w:rsidRPr="00306405">
              <w:rPr>
                <w:rFonts w:ascii="Times New Roman" w:eastAsia="Times New Roman" w:hAnsi="Times New Roman"/>
                <w:sz w:val="24"/>
                <w:szCs w:val="26"/>
                <w:lang w:eastAsia="lv-LV"/>
              </w:rPr>
              <w:t> 14. panta 7. punkt</w:t>
            </w:r>
            <w:r>
              <w:rPr>
                <w:rFonts w:ascii="Times New Roman" w:eastAsia="Times New Roman" w:hAnsi="Times New Roman"/>
                <w:sz w:val="24"/>
                <w:szCs w:val="26"/>
                <w:lang w:eastAsia="lv-LV"/>
              </w:rPr>
              <w:t>s</w:t>
            </w:r>
          </w:p>
        </w:tc>
        <w:tc>
          <w:tcPr>
            <w:tcW w:w="1141" w:type="pct"/>
            <w:tcBorders>
              <w:top w:val="outset" w:sz="6" w:space="0" w:color="auto"/>
              <w:left w:val="outset" w:sz="6" w:space="0" w:color="auto"/>
              <w:bottom w:val="outset" w:sz="6" w:space="0" w:color="auto"/>
              <w:right w:val="outset" w:sz="6" w:space="0" w:color="auto"/>
            </w:tcBorders>
          </w:tcPr>
          <w:p w14:paraId="248E1FB9" w14:textId="418658C4"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9</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7B63D465" w14:textId="7252CC77"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3FD81EE0" w14:textId="6D7AEFB5"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075699F5"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4295B5CF" w14:textId="6B235B8D" w:rsidR="00BA4F62" w:rsidRPr="001258F2" w:rsidRDefault="00BA4F62" w:rsidP="00BA4F62">
            <w:pPr>
              <w:spacing w:after="0" w:line="240" w:lineRule="auto"/>
            </w:pPr>
            <w:r w:rsidRPr="007D0413">
              <w:rPr>
                <w:rFonts w:ascii="Times New Roman" w:eastAsia="Times New Roman" w:hAnsi="Times New Roman"/>
                <w:sz w:val="24"/>
                <w:szCs w:val="26"/>
                <w:lang w:eastAsia="lv-LV"/>
              </w:rPr>
              <w:t>Komisijas regulas Nr. Nr.1407/2013 4. panta 3.punkta c) apakšpunkt</w:t>
            </w:r>
            <w:r>
              <w:rPr>
                <w:rFonts w:ascii="Times New Roman" w:eastAsia="Times New Roman" w:hAnsi="Times New Roman"/>
                <w:sz w:val="24"/>
                <w:szCs w:val="26"/>
                <w:lang w:eastAsia="lv-LV"/>
              </w:rPr>
              <w:t>s</w:t>
            </w:r>
          </w:p>
        </w:tc>
        <w:tc>
          <w:tcPr>
            <w:tcW w:w="1141" w:type="pct"/>
            <w:tcBorders>
              <w:top w:val="outset" w:sz="6" w:space="0" w:color="auto"/>
              <w:left w:val="outset" w:sz="6" w:space="0" w:color="auto"/>
              <w:bottom w:val="outset" w:sz="6" w:space="0" w:color="auto"/>
              <w:right w:val="outset" w:sz="6" w:space="0" w:color="auto"/>
            </w:tcBorders>
          </w:tcPr>
          <w:p w14:paraId="046C9973" w14:textId="5CA6992B"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16</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55477CAF" w14:textId="204AE3F9"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32873059" w14:textId="74188C9D"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7C1FA32A"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2C7578A3" w14:textId="0EA6EF14" w:rsidR="00BA4F62" w:rsidRPr="001258F2" w:rsidRDefault="00BA4F62" w:rsidP="00BA4F62">
            <w:pPr>
              <w:spacing w:after="0" w:line="240" w:lineRule="auto"/>
            </w:pPr>
            <w:r w:rsidRPr="00110709">
              <w:rPr>
                <w:rFonts w:ascii="Times New Roman" w:eastAsia="Times New Roman" w:hAnsi="Times New Roman"/>
                <w:sz w:val="24"/>
                <w:szCs w:val="26"/>
                <w:lang w:eastAsia="lv-LV"/>
              </w:rPr>
              <w:t>Komisijas regulas Nr.1407/2013 3. panta 2. punkt</w:t>
            </w:r>
            <w:r>
              <w:rPr>
                <w:rFonts w:ascii="Times New Roman" w:eastAsia="Times New Roman" w:hAnsi="Times New Roman"/>
                <w:sz w:val="24"/>
                <w:szCs w:val="26"/>
                <w:lang w:eastAsia="lv-LV"/>
              </w:rPr>
              <w:t>s</w:t>
            </w:r>
          </w:p>
        </w:tc>
        <w:tc>
          <w:tcPr>
            <w:tcW w:w="1141" w:type="pct"/>
            <w:tcBorders>
              <w:top w:val="outset" w:sz="6" w:space="0" w:color="auto"/>
              <w:left w:val="outset" w:sz="6" w:space="0" w:color="auto"/>
              <w:bottom w:val="outset" w:sz="6" w:space="0" w:color="auto"/>
              <w:right w:val="outset" w:sz="6" w:space="0" w:color="auto"/>
            </w:tcBorders>
          </w:tcPr>
          <w:p w14:paraId="31A1CBF3" w14:textId="1009C5E4"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18</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2719EEBD" w14:textId="1C0A23E0"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28E88AC0" w14:textId="77FD138D"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313B0877"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5D847E08" w14:textId="55A7CBB1" w:rsidR="00BA4F62" w:rsidRPr="00110709" w:rsidRDefault="00BA4F62" w:rsidP="00BA4F62">
            <w:pPr>
              <w:spacing w:after="0" w:line="240" w:lineRule="auto"/>
              <w:rPr>
                <w:rFonts w:ascii="Times New Roman" w:eastAsia="Times New Roman" w:hAnsi="Times New Roman"/>
                <w:sz w:val="24"/>
                <w:szCs w:val="26"/>
                <w:lang w:eastAsia="lv-LV"/>
              </w:rPr>
            </w:pPr>
            <w:r w:rsidRPr="00F3749A">
              <w:rPr>
                <w:rFonts w:ascii="Times New Roman" w:eastAsia="Times New Roman" w:hAnsi="Times New Roman"/>
                <w:sz w:val="24"/>
                <w:szCs w:val="26"/>
                <w:lang w:eastAsia="lv-LV"/>
              </w:rPr>
              <w:t>Komisijas regulas Nr. 651/2014 12. pant</w:t>
            </w:r>
            <w:r>
              <w:rPr>
                <w:rFonts w:ascii="Times New Roman" w:eastAsia="Times New Roman" w:hAnsi="Times New Roman"/>
                <w:sz w:val="24"/>
                <w:szCs w:val="26"/>
                <w:lang w:eastAsia="lv-LV"/>
              </w:rPr>
              <w:t>s</w:t>
            </w:r>
          </w:p>
        </w:tc>
        <w:tc>
          <w:tcPr>
            <w:tcW w:w="1141" w:type="pct"/>
            <w:tcBorders>
              <w:top w:val="outset" w:sz="6" w:space="0" w:color="auto"/>
              <w:left w:val="outset" w:sz="6" w:space="0" w:color="auto"/>
              <w:bottom w:val="outset" w:sz="6" w:space="0" w:color="auto"/>
              <w:right w:val="outset" w:sz="6" w:space="0" w:color="auto"/>
            </w:tcBorders>
          </w:tcPr>
          <w:p w14:paraId="3EE3E135" w14:textId="6979396D"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19</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47438219" w14:textId="42E4007C"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03E2DCBE" w14:textId="3FF35D0E"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BA4F62" w:rsidRPr="001258F2" w14:paraId="7A2F9F68"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tcPr>
          <w:p w14:paraId="21977DCE" w14:textId="20B5F9E4" w:rsidR="00BA4F62" w:rsidRPr="00110709" w:rsidRDefault="00BA4F62" w:rsidP="00BA4F62">
            <w:pPr>
              <w:spacing w:after="0" w:line="240" w:lineRule="auto"/>
              <w:rPr>
                <w:rFonts w:ascii="Times New Roman" w:eastAsia="Times New Roman" w:hAnsi="Times New Roman"/>
                <w:sz w:val="24"/>
                <w:szCs w:val="26"/>
                <w:lang w:eastAsia="lv-LV"/>
              </w:rPr>
            </w:pPr>
            <w:r w:rsidRPr="00F3749A">
              <w:rPr>
                <w:rFonts w:ascii="Times New Roman" w:eastAsia="Times New Roman" w:hAnsi="Times New Roman"/>
                <w:sz w:val="24"/>
                <w:szCs w:val="26"/>
                <w:lang w:eastAsia="lv-LV"/>
              </w:rPr>
              <w:t>Komisijas regulas Nr.1407/2013 6.panta 4.punkt</w:t>
            </w:r>
            <w:r>
              <w:rPr>
                <w:rFonts w:ascii="Times New Roman" w:eastAsia="Times New Roman" w:hAnsi="Times New Roman"/>
                <w:sz w:val="24"/>
                <w:szCs w:val="26"/>
                <w:lang w:eastAsia="lv-LV"/>
              </w:rPr>
              <w:t>s</w:t>
            </w:r>
          </w:p>
        </w:tc>
        <w:tc>
          <w:tcPr>
            <w:tcW w:w="1141" w:type="pct"/>
            <w:tcBorders>
              <w:top w:val="outset" w:sz="6" w:space="0" w:color="auto"/>
              <w:left w:val="outset" w:sz="6" w:space="0" w:color="auto"/>
              <w:bottom w:val="outset" w:sz="6" w:space="0" w:color="auto"/>
              <w:right w:val="outset" w:sz="6" w:space="0" w:color="auto"/>
            </w:tcBorders>
          </w:tcPr>
          <w:p w14:paraId="4BC2055A" w14:textId="08E7C9DB"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Noteikumu projekta </w:t>
            </w:r>
            <w:r>
              <w:rPr>
                <w:rFonts w:ascii="Times New Roman" w:eastAsia="Times New Roman" w:hAnsi="Times New Roman" w:cs="Times New Roman"/>
                <w:iCs/>
                <w:sz w:val="24"/>
                <w:szCs w:val="24"/>
                <w:lang w:eastAsia="lv-LV"/>
              </w:rPr>
              <w:t>19</w:t>
            </w:r>
            <w:r w:rsidRPr="001258F2">
              <w:rPr>
                <w:rFonts w:ascii="Times New Roman" w:eastAsia="Times New Roman" w:hAnsi="Times New Roman" w:cs="Times New Roman"/>
                <w:iCs/>
                <w:sz w:val="24"/>
                <w:szCs w:val="24"/>
                <w:lang w:eastAsia="lv-LV"/>
              </w:rPr>
              <w:t>.punkts</w:t>
            </w:r>
          </w:p>
        </w:tc>
        <w:tc>
          <w:tcPr>
            <w:tcW w:w="1193" w:type="pct"/>
            <w:tcBorders>
              <w:top w:val="outset" w:sz="6" w:space="0" w:color="auto"/>
              <w:left w:val="outset" w:sz="6" w:space="0" w:color="auto"/>
              <w:bottom w:val="outset" w:sz="6" w:space="0" w:color="auto"/>
              <w:right w:val="outset" w:sz="6" w:space="0" w:color="auto"/>
            </w:tcBorders>
          </w:tcPr>
          <w:p w14:paraId="6D542C67" w14:textId="7645AAEA"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Ieviests pilnībā</w:t>
            </w:r>
          </w:p>
        </w:tc>
        <w:tc>
          <w:tcPr>
            <w:tcW w:w="1274" w:type="pct"/>
            <w:tcBorders>
              <w:top w:val="outset" w:sz="6" w:space="0" w:color="auto"/>
              <w:left w:val="outset" w:sz="6" w:space="0" w:color="auto"/>
              <w:bottom w:val="outset" w:sz="6" w:space="0" w:color="auto"/>
              <w:right w:val="outset" w:sz="6" w:space="0" w:color="auto"/>
            </w:tcBorders>
          </w:tcPr>
          <w:p w14:paraId="51385C09" w14:textId="69BAC220" w:rsidR="00BA4F62" w:rsidRPr="001258F2" w:rsidRDefault="00BA4F62" w:rsidP="00BA4F62">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Neparedz stingrākas prasības</w:t>
            </w:r>
          </w:p>
        </w:tc>
      </w:tr>
      <w:tr w:rsidR="001258F2" w:rsidRPr="001258F2" w14:paraId="7A77C939"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hideMark/>
          </w:tcPr>
          <w:p w14:paraId="64C38408" w14:textId="77777777" w:rsidR="008823F9" w:rsidRPr="001258F2" w:rsidRDefault="008823F9" w:rsidP="008823F9">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 xml:space="preserve">Kā ir izmantota ES tiesību aktā paredzētā rīcības brīvība dalībvalstij pārņemt vai ieviest noteiktas ES </w:t>
            </w:r>
            <w:r w:rsidRPr="001258F2">
              <w:rPr>
                <w:rFonts w:ascii="Times New Roman" w:eastAsia="Times New Roman" w:hAnsi="Times New Roman" w:cs="Times New Roman"/>
                <w:iCs/>
                <w:sz w:val="24"/>
                <w:szCs w:val="24"/>
                <w:lang w:eastAsia="lv-LV"/>
              </w:rPr>
              <w:lastRenderedPageBreak/>
              <w:t>tiesību akta normas? Kādēļ?</w:t>
            </w:r>
          </w:p>
        </w:tc>
        <w:tc>
          <w:tcPr>
            <w:tcW w:w="3642" w:type="pct"/>
            <w:gridSpan w:val="3"/>
            <w:tcBorders>
              <w:top w:val="outset" w:sz="6" w:space="0" w:color="auto"/>
              <w:left w:val="outset" w:sz="6" w:space="0" w:color="auto"/>
              <w:bottom w:val="outset" w:sz="6" w:space="0" w:color="auto"/>
              <w:right w:val="outset" w:sz="6" w:space="0" w:color="auto"/>
            </w:tcBorders>
            <w:hideMark/>
          </w:tcPr>
          <w:p w14:paraId="3BAD17D3" w14:textId="77777777" w:rsidR="008823F9" w:rsidRPr="001258F2" w:rsidRDefault="008823F9" w:rsidP="008823F9">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lastRenderedPageBreak/>
              <w:t>Noteikumu projekts šo jomu neskar.</w:t>
            </w:r>
          </w:p>
        </w:tc>
      </w:tr>
      <w:tr w:rsidR="001258F2" w:rsidRPr="001258F2" w14:paraId="4CC4C127"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hideMark/>
          </w:tcPr>
          <w:p w14:paraId="606F8C29" w14:textId="77777777" w:rsidR="008823F9" w:rsidRPr="001258F2" w:rsidRDefault="008823F9" w:rsidP="008823F9">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42" w:type="pct"/>
            <w:gridSpan w:val="3"/>
            <w:tcBorders>
              <w:top w:val="outset" w:sz="6" w:space="0" w:color="auto"/>
              <w:left w:val="outset" w:sz="6" w:space="0" w:color="auto"/>
              <w:bottom w:val="outset" w:sz="6" w:space="0" w:color="auto"/>
              <w:right w:val="outset" w:sz="6" w:space="0" w:color="auto"/>
            </w:tcBorders>
            <w:hideMark/>
          </w:tcPr>
          <w:p w14:paraId="3260F5DC" w14:textId="77777777" w:rsidR="008823F9" w:rsidRPr="001258F2" w:rsidRDefault="008823F9" w:rsidP="008823F9">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Noteikumu projekts šo jomu neskar.</w:t>
            </w:r>
          </w:p>
        </w:tc>
      </w:tr>
      <w:tr w:rsidR="001258F2" w:rsidRPr="001258F2" w14:paraId="6E5911C2" w14:textId="77777777" w:rsidTr="00BA4F62">
        <w:trPr>
          <w:tblCellSpacing w:w="15" w:type="dxa"/>
        </w:trPr>
        <w:tc>
          <w:tcPr>
            <w:tcW w:w="1309" w:type="pct"/>
            <w:tcBorders>
              <w:top w:val="outset" w:sz="6" w:space="0" w:color="auto"/>
              <w:left w:val="outset" w:sz="6" w:space="0" w:color="auto"/>
              <w:bottom w:val="outset" w:sz="6" w:space="0" w:color="auto"/>
              <w:right w:val="outset" w:sz="6" w:space="0" w:color="auto"/>
            </w:tcBorders>
            <w:hideMark/>
          </w:tcPr>
          <w:p w14:paraId="3332D2E8" w14:textId="77777777" w:rsidR="008823F9" w:rsidRPr="001258F2" w:rsidRDefault="008823F9" w:rsidP="008823F9">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Cita informācija</w:t>
            </w:r>
          </w:p>
        </w:tc>
        <w:tc>
          <w:tcPr>
            <w:tcW w:w="3642" w:type="pct"/>
            <w:gridSpan w:val="3"/>
            <w:tcBorders>
              <w:top w:val="outset" w:sz="6" w:space="0" w:color="auto"/>
              <w:left w:val="outset" w:sz="6" w:space="0" w:color="auto"/>
              <w:bottom w:val="outset" w:sz="6" w:space="0" w:color="auto"/>
              <w:right w:val="outset" w:sz="6" w:space="0" w:color="auto"/>
            </w:tcBorders>
            <w:hideMark/>
          </w:tcPr>
          <w:p w14:paraId="3FD1CAAC" w14:textId="467EDA12" w:rsidR="008823F9" w:rsidRPr="001258F2" w:rsidRDefault="00AD7CC7" w:rsidP="008823F9">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Nav</w:t>
            </w:r>
            <w:r w:rsidR="00DF2725">
              <w:rPr>
                <w:rFonts w:ascii="Times New Roman" w:eastAsia="Times New Roman" w:hAnsi="Times New Roman" w:cs="Times New Roman"/>
                <w:iCs/>
                <w:sz w:val="24"/>
                <w:szCs w:val="24"/>
                <w:lang w:eastAsia="lv-LV"/>
              </w:rPr>
              <w:t>.</w:t>
            </w:r>
          </w:p>
        </w:tc>
      </w:tr>
    </w:tbl>
    <w:p w14:paraId="6A0B212E"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1258F2" w:rsidRPr="001258F2" w14:paraId="7D8CA8FD"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804DC85"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en-US" w:eastAsia="lv-LV"/>
              </w:rPr>
            </w:pPr>
            <w:r w:rsidRPr="001258F2">
              <w:rPr>
                <w:rFonts w:ascii="Times New Roman" w:eastAsia="Times New Roman" w:hAnsi="Times New Roman" w:cs="Times New Roman"/>
                <w:b/>
                <w:bCs/>
                <w:iCs/>
                <w:sz w:val="24"/>
                <w:szCs w:val="24"/>
                <w:lang w:val="en-US" w:eastAsia="lv-LV"/>
              </w:rPr>
              <w:t xml:space="preserve">VI. </w:t>
            </w:r>
            <w:proofErr w:type="spellStart"/>
            <w:r w:rsidRPr="001258F2">
              <w:rPr>
                <w:rFonts w:ascii="Times New Roman" w:eastAsia="Times New Roman" w:hAnsi="Times New Roman" w:cs="Times New Roman"/>
                <w:b/>
                <w:bCs/>
                <w:iCs/>
                <w:sz w:val="24"/>
                <w:szCs w:val="24"/>
                <w:lang w:val="en-US" w:eastAsia="lv-LV"/>
              </w:rPr>
              <w:t>Sabiedrības</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līdzdalība</w:t>
            </w:r>
            <w:proofErr w:type="spellEnd"/>
            <w:r w:rsidRPr="001258F2">
              <w:rPr>
                <w:rFonts w:ascii="Times New Roman" w:eastAsia="Times New Roman" w:hAnsi="Times New Roman" w:cs="Times New Roman"/>
                <w:b/>
                <w:bCs/>
                <w:iCs/>
                <w:sz w:val="24"/>
                <w:szCs w:val="24"/>
                <w:lang w:val="en-US" w:eastAsia="lv-LV"/>
              </w:rPr>
              <w:t xml:space="preserve"> un </w:t>
            </w:r>
            <w:proofErr w:type="spellStart"/>
            <w:r w:rsidRPr="001258F2">
              <w:rPr>
                <w:rFonts w:ascii="Times New Roman" w:eastAsia="Times New Roman" w:hAnsi="Times New Roman" w:cs="Times New Roman"/>
                <w:b/>
                <w:bCs/>
                <w:iCs/>
                <w:sz w:val="24"/>
                <w:szCs w:val="24"/>
                <w:lang w:val="en-US" w:eastAsia="lv-LV"/>
              </w:rPr>
              <w:t>komunikācijas</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aktivitātes</w:t>
            </w:r>
            <w:proofErr w:type="spellEnd"/>
          </w:p>
        </w:tc>
      </w:tr>
      <w:tr w:rsidR="001258F2" w:rsidRPr="001258F2" w14:paraId="28588B4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3BE77A"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D2BE6A5"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Plānotās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sabiedrības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līdzdalības</w:t>
            </w:r>
            <w:proofErr w:type="spellEnd"/>
            <w:r w:rsidRPr="001258F2">
              <w:rPr>
                <w:rFonts w:ascii="Times New Roman" w:eastAsia="Times New Roman" w:hAnsi="Times New Roman" w:cs="Times New Roman"/>
                <w:iCs/>
                <w:sz w:val="24"/>
                <w:szCs w:val="24"/>
                <w:lang w:val="en-US" w:eastAsia="lv-LV"/>
              </w:rPr>
              <w:t xml:space="preserve"> un </w:t>
            </w:r>
            <w:proofErr w:type="spellStart"/>
            <w:r w:rsidRPr="001258F2">
              <w:rPr>
                <w:rFonts w:ascii="Times New Roman" w:eastAsia="Times New Roman" w:hAnsi="Times New Roman" w:cs="Times New Roman"/>
                <w:iCs/>
                <w:sz w:val="24"/>
                <w:szCs w:val="24"/>
                <w:lang w:val="en-US" w:eastAsia="lv-LV"/>
              </w:rPr>
              <w:t>komunikācijas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aktivitātes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saistībā</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ar</w:t>
            </w:r>
            <w:proofErr w:type="spellEnd"/>
            <w:r w:rsidRPr="001258F2">
              <w:rPr>
                <w:rFonts w:ascii="Times New Roman" w:eastAsia="Times New Roman" w:hAnsi="Times New Roman" w:cs="Times New Roman"/>
                <w:iCs/>
                <w:sz w:val="24"/>
                <w:szCs w:val="24"/>
                <w:lang w:val="en-US" w:eastAsia="lv-LV"/>
              </w:rPr>
              <w:t xml:space="preserve"> projektu</w:t>
            </w:r>
          </w:p>
        </w:tc>
        <w:tc>
          <w:tcPr>
            <w:tcW w:w="3000" w:type="pct"/>
            <w:tcBorders>
              <w:top w:val="outset" w:sz="6" w:space="0" w:color="auto"/>
              <w:left w:val="outset" w:sz="6" w:space="0" w:color="auto"/>
              <w:bottom w:val="outset" w:sz="6" w:space="0" w:color="auto"/>
              <w:right w:val="outset" w:sz="6" w:space="0" w:color="auto"/>
            </w:tcBorders>
            <w:hideMark/>
          </w:tcPr>
          <w:p w14:paraId="283C320B" w14:textId="03CB61D8" w:rsidR="00E5323B" w:rsidRPr="001258F2" w:rsidRDefault="001258F2" w:rsidP="00395C1C">
            <w:pPr>
              <w:spacing w:after="0" w:line="240" w:lineRule="auto"/>
              <w:jc w:val="both"/>
              <w:rPr>
                <w:rFonts w:ascii="Times New Roman" w:eastAsia="Times New Roman" w:hAnsi="Times New Roman" w:cs="Times New Roman"/>
                <w:iCs/>
                <w:sz w:val="24"/>
                <w:szCs w:val="24"/>
                <w:lang w:eastAsia="lv-LV"/>
              </w:rPr>
            </w:pPr>
            <w:proofErr w:type="spellStart"/>
            <w:r w:rsidRPr="00BF2E10">
              <w:rPr>
                <w:rFonts w:ascii="Times New Roman" w:eastAsia="Times New Roman" w:hAnsi="Times New Roman" w:cs="Times New Roman"/>
                <w:iCs/>
                <w:sz w:val="24"/>
                <w:szCs w:val="24"/>
                <w:lang w:val="en-US" w:eastAsia="lv-LV"/>
              </w:rPr>
              <w:t>Noteikumu</w:t>
            </w:r>
            <w:proofErr w:type="spellEnd"/>
            <w:r w:rsidRPr="00BF2E10">
              <w:rPr>
                <w:rFonts w:ascii="Times New Roman" w:eastAsia="Times New Roman" w:hAnsi="Times New Roman" w:cs="Times New Roman"/>
                <w:iCs/>
                <w:sz w:val="24"/>
                <w:szCs w:val="24"/>
                <w:lang w:val="en-US" w:eastAsia="lv-LV"/>
              </w:rPr>
              <w:t xml:space="preserve"> </w:t>
            </w:r>
            <w:proofErr w:type="spellStart"/>
            <w:r w:rsidRPr="00BF2E10">
              <w:rPr>
                <w:rFonts w:ascii="Times New Roman" w:eastAsia="Times New Roman" w:hAnsi="Times New Roman" w:cs="Times New Roman"/>
                <w:iCs/>
                <w:sz w:val="24"/>
                <w:szCs w:val="24"/>
                <w:lang w:val="en-US" w:eastAsia="lv-LV"/>
              </w:rPr>
              <w:t>projekts</w:t>
            </w:r>
            <w:proofErr w:type="spellEnd"/>
            <w:r w:rsidRPr="00BF2E10">
              <w:rPr>
                <w:rFonts w:ascii="Times New Roman" w:eastAsia="Times New Roman" w:hAnsi="Times New Roman" w:cs="Times New Roman"/>
                <w:iCs/>
                <w:sz w:val="24"/>
                <w:szCs w:val="24"/>
                <w:lang w:val="en-US" w:eastAsia="lv-LV"/>
              </w:rPr>
              <w:t xml:space="preserve"> </w:t>
            </w:r>
            <w:r w:rsidR="00395C1C">
              <w:rPr>
                <w:rFonts w:ascii="Times New Roman" w:eastAsia="Times New Roman" w:hAnsi="Times New Roman" w:cs="Times New Roman"/>
                <w:iCs/>
                <w:sz w:val="24"/>
                <w:szCs w:val="24"/>
                <w:lang w:val="en-US" w:eastAsia="lv-LV"/>
              </w:rPr>
              <w:t xml:space="preserve">2020.gada </w:t>
            </w:r>
            <w:proofErr w:type="gramStart"/>
            <w:r w:rsidR="00395C1C">
              <w:rPr>
                <w:rFonts w:ascii="Times New Roman" w:eastAsia="Times New Roman" w:hAnsi="Times New Roman" w:cs="Times New Roman"/>
                <w:iCs/>
                <w:sz w:val="24"/>
                <w:szCs w:val="24"/>
                <w:lang w:val="en-US" w:eastAsia="lv-LV"/>
              </w:rPr>
              <w:t>1.februārī</w:t>
            </w:r>
            <w:proofErr w:type="gramEnd"/>
            <w:r w:rsidRPr="00BF2E10">
              <w:rPr>
                <w:rFonts w:ascii="Times New Roman" w:eastAsia="Times New Roman" w:hAnsi="Times New Roman" w:cs="Times New Roman"/>
                <w:iCs/>
                <w:sz w:val="24"/>
                <w:szCs w:val="24"/>
                <w:lang w:val="en-US" w:eastAsia="lv-LV"/>
              </w:rPr>
              <w:t xml:space="preserve"> </w:t>
            </w:r>
            <w:proofErr w:type="spellStart"/>
            <w:r w:rsidRPr="00BF2E10">
              <w:rPr>
                <w:rFonts w:ascii="Times New Roman" w:eastAsia="Times New Roman" w:hAnsi="Times New Roman" w:cs="Times New Roman"/>
                <w:iCs/>
                <w:sz w:val="24"/>
                <w:szCs w:val="24"/>
                <w:lang w:val="en-US" w:eastAsia="lv-LV"/>
              </w:rPr>
              <w:t>ievietots</w:t>
            </w:r>
            <w:proofErr w:type="spellEnd"/>
            <w:r w:rsidRPr="00BF2E10">
              <w:rPr>
                <w:rFonts w:ascii="Times New Roman" w:eastAsia="Times New Roman" w:hAnsi="Times New Roman" w:cs="Times New Roman"/>
                <w:iCs/>
                <w:sz w:val="24"/>
                <w:szCs w:val="24"/>
                <w:lang w:val="en-US" w:eastAsia="lv-LV"/>
              </w:rPr>
              <w:t xml:space="preserve"> </w:t>
            </w:r>
            <w:proofErr w:type="spellStart"/>
            <w:r w:rsidRPr="00BF2E10">
              <w:rPr>
                <w:rFonts w:ascii="Times New Roman" w:eastAsia="Times New Roman" w:hAnsi="Times New Roman" w:cs="Times New Roman"/>
                <w:iCs/>
                <w:sz w:val="24"/>
                <w:szCs w:val="24"/>
                <w:lang w:val="en-US" w:eastAsia="lv-LV"/>
              </w:rPr>
              <w:t>Ekonomikas</w:t>
            </w:r>
            <w:proofErr w:type="spellEnd"/>
            <w:r w:rsidRPr="00BF2E10">
              <w:rPr>
                <w:rFonts w:ascii="Times New Roman" w:eastAsia="Times New Roman" w:hAnsi="Times New Roman" w:cs="Times New Roman"/>
                <w:iCs/>
                <w:sz w:val="24"/>
                <w:szCs w:val="24"/>
                <w:lang w:val="en-US" w:eastAsia="lv-LV"/>
              </w:rPr>
              <w:t xml:space="preserve"> </w:t>
            </w:r>
            <w:proofErr w:type="spellStart"/>
            <w:r w:rsidRPr="00BF2E10">
              <w:rPr>
                <w:rFonts w:ascii="Times New Roman" w:eastAsia="Times New Roman" w:hAnsi="Times New Roman" w:cs="Times New Roman"/>
                <w:iCs/>
                <w:sz w:val="24"/>
                <w:szCs w:val="24"/>
                <w:lang w:val="en-US" w:eastAsia="lv-LV"/>
              </w:rPr>
              <w:t>ministrijas</w:t>
            </w:r>
            <w:proofErr w:type="spellEnd"/>
            <w:r w:rsidRPr="00BF2E10">
              <w:rPr>
                <w:rFonts w:ascii="Times New Roman" w:eastAsia="Times New Roman" w:hAnsi="Times New Roman" w:cs="Times New Roman"/>
                <w:iCs/>
                <w:sz w:val="24"/>
                <w:szCs w:val="24"/>
                <w:lang w:val="en-US" w:eastAsia="lv-LV"/>
              </w:rPr>
              <w:t xml:space="preserve"> </w:t>
            </w:r>
            <w:proofErr w:type="spellStart"/>
            <w:r w:rsidR="00395C1C">
              <w:rPr>
                <w:rFonts w:ascii="Times New Roman" w:eastAsia="Times New Roman" w:hAnsi="Times New Roman" w:cs="Times New Roman"/>
                <w:iCs/>
                <w:sz w:val="24"/>
                <w:szCs w:val="24"/>
                <w:lang w:val="en-US" w:eastAsia="lv-LV"/>
              </w:rPr>
              <w:t>tīmekļa</w:t>
            </w:r>
            <w:proofErr w:type="spellEnd"/>
            <w:r w:rsidR="00395C1C">
              <w:rPr>
                <w:rFonts w:ascii="Times New Roman" w:eastAsia="Times New Roman" w:hAnsi="Times New Roman" w:cs="Times New Roman"/>
                <w:iCs/>
                <w:sz w:val="24"/>
                <w:szCs w:val="24"/>
                <w:lang w:val="en-US" w:eastAsia="lv-LV"/>
              </w:rPr>
              <w:t xml:space="preserve"> </w:t>
            </w:r>
            <w:proofErr w:type="spellStart"/>
            <w:r w:rsidR="00395C1C">
              <w:rPr>
                <w:rFonts w:ascii="Times New Roman" w:eastAsia="Times New Roman" w:hAnsi="Times New Roman" w:cs="Times New Roman"/>
                <w:iCs/>
                <w:sz w:val="24"/>
                <w:szCs w:val="24"/>
                <w:lang w:val="en-US" w:eastAsia="lv-LV"/>
              </w:rPr>
              <w:t>vietnē</w:t>
            </w:r>
            <w:proofErr w:type="spellEnd"/>
            <w:r w:rsidRPr="00BF2E10">
              <w:rPr>
                <w:rFonts w:ascii="Times New Roman" w:eastAsia="Times New Roman" w:hAnsi="Times New Roman" w:cs="Times New Roman"/>
                <w:iCs/>
                <w:sz w:val="24"/>
                <w:szCs w:val="24"/>
                <w:lang w:val="en-US" w:eastAsia="lv-LV"/>
              </w:rPr>
              <w:t xml:space="preserve"> </w:t>
            </w:r>
            <w:proofErr w:type="spellStart"/>
            <w:r w:rsidRPr="00BF2E10">
              <w:rPr>
                <w:rFonts w:ascii="Times New Roman" w:eastAsia="Times New Roman" w:hAnsi="Times New Roman" w:cs="Times New Roman"/>
                <w:iCs/>
                <w:sz w:val="24"/>
                <w:szCs w:val="24"/>
                <w:lang w:val="en-US" w:eastAsia="lv-LV"/>
              </w:rPr>
              <w:t>sabiedriskai</w:t>
            </w:r>
            <w:proofErr w:type="spellEnd"/>
            <w:r w:rsidRPr="00BF2E10">
              <w:rPr>
                <w:rFonts w:ascii="Times New Roman" w:eastAsia="Times New Roman" w:hAnsi="Times New Roman" w:cs="Times New Roman"/>
                <w:iCs/>
                <w:sz w:val="24"/>
                <w:szCs w:val="24"/>
                <w:lang w:val="en-US" w:eastAsia="lv-LV"/>
              </w:rPr>
              <w:t xml:space="preserve"> </w:t>
            </w:r>
            <w:proofErr w:type="spellStart"/>
            <w:r w:rsidRPr="00BF2E10">
              <w:rPr>
                <w:rFonts w:ascii="Times New Roman" w:eastAsia="Times New Roman" w:hAnsi="Times New Roman" w:cs="Times New Roman"/>
                <w:iCs/>
                <w:sz w:val="24"/>
                <w:szCs w:val="24"/>
                <w:lang w:val="en-US" w:eastAsia="lv-LV"/>
              </w:rPr>
              <w:t>apspriešanai</w:t>
            </w:r>
            <w:proofErr w:type="spellEnd"/>
            <w:r w:rsidRPr="00BF2E10">
              <w:rPr>
                <w:rFonts w:ascii="Times New Roman" w:eastAsia="Times New Roman" w:hAnsi="Times New Roman" w:cs="Times New Roman"/>
                <w:iCs/>
                <w:sz w:val="24"/>
                <w:szCs w:val="24"/>
                <w:lang w:val="en-US" w:eastAsia="lv-LV"/>
              </w:rPr>
              <w:t>.</w:t>
            </w:r>
          </w:p>
        </w:tc>
      </w:tr>
      <w:tr w:rsidR="001258F2" w:rsidRPr="001258F2" w14:paraId="6274D1D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7E37D2D"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D462082"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Sabiedrības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līdzdalība</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projekta</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izstrādē</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2659EA0E" w14:textId="21A3414E" w:rsidR="00E5323B" w:rsidRPr="001258F2" w:rsidRDefault="006314BB" w:rsidP="00395C1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val="en-US" w:eastAsia="lv-LV"/>
              </w:rPr>
              <w:t xml:space="preserve">Ja </w:t>
            </w:r>
            <w:proofErr w:type="spellStart"/>
            <w:r>
              <w:rPr>
                <w:rFonts w:ascii="Times New Roman" w:eastAsia="Times New Roman" w:hAnsi="Times New Roman" w:cs="Times New Roman"/>
                <w:iCs/>
                <w:sz w:val="24"/>
                <w:szCs w:val="24"/>
                <w:lang w:val="en-US" w:eastAsia="lv-LV"/>
              </w:rPr>
              <w:t>tiks</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saņemti</w:t>
            </w:r>
            <w:proofErr w:type="spellEnd"/>
            <w:r>
              <w:rPr>
                <w:rFonts w:ascii="Times New Roman" w:eastAsia="Times New Roman" w:hAnsi="Times New Roman" w:cs="Times New Roman"/>
                <w:iCs/>
                <w:sz w:val="24"/>
                <w:szCs w:val="24"/>
                <w:lang w:val="en-US" w:eastAsia="lv-LV"/>
              </w:rPr>
              <w:t xml:space="preserve"> </w:t>
            </w:r>
            <w:proofErr w:type="spellStart"/>
            <w:r w:rsidR="001258F2">
              <w:rPr>
                <w:rFonts w:ascii="Times New Roman" w:eastAsia="Times New Roman" w:hAnsi="Times New Roman" w:cs="Times New Roman"/>
                <w:iCs/>
                <w:sz w:val="24"/>
                <w:szCs w:val="24"/>
                <w:lang w:val="en-US" w:eastAsia="lv-LV"/>
              </w:rPr>
              <w:t>priekšlikumi</w:t>
            </w:r>
            <w:proofErr w:type="spellEnd"/>
            <w:r w:rsidR="001258F2">
              <w:rPr>
                <w:rFonts w:ascii="Times New Roman" w:eastAsia="Times New Roman" w:hAnsi="Times New Roman" w:cs="Times New Roman"/>
                <w:iCs/>
                <w:sz w:val="24"/>
                <w:szCs w:val="24"/>
                <w:lang w:val="en-US" w:eastAsia="lv-LV"/>
              </w:rPr>
              <w:t xml:space="preserve"> </w:t>
            </w:r>
            <w:proofErr w:type="spellStart"/>
            <w:r w:rsidR="001258F2">
              <w:rPr>
                <w:rFonts w:ascii="Times New Roman" w:eastAsia="Times New Roman" w:hAnsi="Times New Roman" w:cs="Times New Roman"/>
                <w:iCs/>
                <w:sz w:val="24"/>
                <w:szCs w:val="24"/>
                <w:lang w:val="en-US" w:eastAsia="lv-LV"/>
              </w:rPr>
              <w:t>vai</w:t>
            </w:r>
            <w:proofErr w:type="spellEnd"/>
            <w:r w:rsidR="001258F2">
              <w:rPr>
                <w:rFonts w:ascii="Times New Roman" w:eastAsia="Times New Roman" w:hAnsi="Times New Roman" w:cs="Times New Roman"/>
                <w:iCs/>
                <w:sz w:val="24"/>
                <w:szCs w:val="24"/>
                <w:lang w:val="en-US" w:eastAsia="lv-LV"/>
              </w:rPr>
              <w:t xml:space="preserve"> </w:t>
            </w:r>
            <w:proofErr w:type="spellStart"/>
            <w:r w:rsidR="001258F2">
              <w:rPr>
                <w:rFonts w:ascii="Times New Roman" w:eastAsia="Times New Roman" w:hAnsi="Times New Roman" w:cs="Times New Roman"/>
                <w:iCs/>
                <w:sz w:val="24"/>
                <w:szCs w:val="24"/>
                <w:lang w:val="en-US" w:eastAsia="lv-LV"/>
              </w:rPr>
              <w:t>iebildumi</w:t>
            </w:r>
            <w:proofErr w:type="spellEnd"/>
            <w:r>
              <w:rPr>
                <w:rFonts w:ascii="Times New Roman" w:eastAsia="Times New Roman" w:hAnsi="Times New Roman" w:cs="Times New Roman"/>
                <w:iCs/>
                <w:sz w:val="24"/>
                <w:szCs w:val="24"/>
                <w:lang w:val="en-US" w:eastAsia="lv-LV"/>
              </w:rPr>
              <w:t xml:space="preserve">, tie </w:t>
            </w:r>
            <w:proofErr w:type="spellStart"/>
            <w:r>
              <w:rPr>
                <w:rFonts w:ascii="Times New Roman" w:eastAsia="Times New Roman" w:hAnsi="Times New Roman" w:cs="Times New Roman"/>
                <w:iCs/>
                <w:sz w:val="24"/>
                <w:szCs w:val="24"/>
                <w:lang w:val="en-US" w:eastAsia="lv-LV"/>
              </w:rPr>
              <w:t>tiks</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izskatīti</w:t>
            </w:r>
            <w:proofErr w:type="spellEnd"/>
            <w:r>
              <w:rPr>
                <w:rFonts w:ascii="Times New Roman" w:eastAsia="Times New Roman" w:hAnsi="Times New Roman" w:cs="Times New Roman"/>
                <w:iCs/>
                <w:sz w:val="24"/>
                <w:szCs w:val="24"/>
                <w:lang w:val="en-US" w:eastAsia="lv-LV"/>
              </w:rPr>
              <w:t>.</w:t>
            </w:r>
          </w:p>
        </w:tc>
      </w:tr>
      <w:tr w:rsidR="001258F2" w:rsidRPr="001258F2" w14:paraId="3E71E67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A3B64B"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1953F20"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Sabiedrības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līdzdalības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rezultāti</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5A38D56" w14:textId="3E0453E7" w:rsidR="00E5323B" w:rsidRPr="001258F2" w:rsidRDefault="006314BB" w:rsidP="00395C1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val="en-US" w:eastAsia="lv-LV"/>
              </w:rPr>
              <w:t xml:space="preserve">Ja </w:t>
            </w:r>
            <w:proofErr w:type="spellStart"/>
            <w:r>
              <w:rPr>
                <w:rFonts w:ascii="Times New Roman" w:eastAsia="Times New Roman" w:hAnsi="Times New Roman" w:cs="Times New Roman"/>
                <w:iCs/>
                <w:sz w:val="24"/>
                <w:szCs w:val="24"/>
                <w:lang w:val="en-US" w:eastAsia="lv-LV"/>
              </w:rPr>
              <w:t>tiks</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saņemti</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priekšlikumi</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vai</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iebildumi</w:t>
            </w:r>
            <w:proofErr w:type="spellEnd"/>
            <w:r>
              <w:rPr>
                <w:rFonts w:ascii="Times New Roman" w:eastAsia="Times New Roman" w:hAnsi="Times New Roman" w:cs="Times New Roman"/>
                <w:iCs/>
                <w:sz w:val="24"/>
                <w:szCs w:val="24"/>
                <w:lang w:val="en-US" w:eastAsia="lv-LV"/>
              </w:rPr>
              <w:t xml:space="preserve">, tie </w:t>
            </w:r>
            <w:proofErr w:type="spellStart"/>
            <w:r>
              <w:rPr>
                <w:rFonts w:ascii="Times New Roman" w:eastAsia="Times New Roman" w:hAnsi="Times New Roman" w:cs="Times New Roman"/>
                <w:iCs/>
                <w:sz w:val="24"/>
                <w:szCs w:val="24"/>
                <w:lang w:val="en-US" w:eastAsia="lv-LV"/>
              </w:rPr>
              <w:t>tiks</w:t>
            </w:r>
            <w:proofErr w:type="spellEnd"/>
            <w:r>
              <w:rPr>
                <w:rFonts w:ascii="Times New Roman" w:eastAsia="Times New Roman" w:hAnsi="Times New Roman" w:cs="Times New Roman"/>
                <w:iCs/>
                <w:sz w:val="24"/>
                <w:szCs w:val="24"/>
                <w:lang w:val="en-US" w:eastAsia="lv-LV"/>
              </w:rPr>
              <w:t xml:space="preserve"> </w:t>
            </w:r>
            <w:proofErr w:type="spellStart"/>
            <w:r>
              <w:rPr>
                <w:rFonts w:ascii="Times New Roman" w:eastAsia="Times New Roman" w:hAnsi="Times New Roman" w:cs="Times New Roman"/>
                <w:iCs/>
                <w:sz w:val="24"/>
                <w:szCs w:val="24"/>
                <w:lang w:val="en-US" w:eastAsia="lv-LV"/>
              </w:rPr>
              <w:t>izskatīti</w:t>
            </w:r>
            <w:proofErr w:type="spellEnd"/>
            <w:r>
              <w:rPr>
                <w:rFonts w:ascii="Times New Roman" w:eastAsia="Times New Roman" w:hAnsi="Times New Roman" w:cs="Times New Roman"/>
                <w:iCs/>
                <w:sz w:val="24"/>
                <w:szCs w:val="24"/>
                <w:lang w:val="en-US" w:eastAsia="lv-LV"/>
              </w:rPr>
              <w:t>.</w:t>
            </w:r>
          </w:p>
        </w:tc>
      </w:tr>
      <w:tr w:rsidR="001258F2" w:rsidRPr="001258F2" w14:paraId="57D1AC1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2A47034"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69713B1A"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7F547D6" w14:textId="35E456F2" w:rsidR="00E5323B" w:rsidRPr="001258F2" w:rsidRDefault="00AD7CC7" w:rsidP="00E5323B">
            <w:pPr>
              <w:spacing w:after="0" w:line="240" w:lineRule="auto"/>
              <w:rPr>
                <w:rFonts w:ascii="Times New Roman" w:eastAsia="Times New Roman" w:hAnsi="Times New Roman" w:cs="Times New Roman"/>
                <w:iCs/>
                <w:sz w:val="24"/>
                <w:szCs w:val="24"/>
                <w:lang w:eastAsia="lv-LV"/>
              </w:rPr>
            </w:pPr>
            <w:r w:rsidRPr="001258F2">
              <w:rPr>
                <w:rFonts w:ascii="Times New Roman" w:eastAsia="Times New Roman" w:hAnsi="Times New Roman" w:cs="Times New Roman"/>
                <w:iCs/>
                <w:sz w:val="24"/>
                <w:szCs w:val="24"/>
                <w:lang w:eastAsia="lv-LV"/>
              </w:rPr>
              <w:t>Nav</w:t>
            </w:r>
            <w:r w:rsidR="00B062D1">
              <w:rPr>
                <w:rFonts w:ascii="Times New Roman" w:eastAsia="Times New Roman" w:hAnsi="Times New Roman" w:cs="Times New Roman"/>
                <w:iCs/>
                <w:sz w:val="24"/>
                <w:szCs w:val="24"/>
                <w:lang w:eastAsia="lv-LV"/>
              </w:rPr>
              <w:t>.</w:t>
            </w:r>
          </w:p>
        </w:tc>
      </w:tr>
    </w:tbl>
    <w:p w14:paraId="21C3D5E9"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1258F2" w:rsidRPr="001258F2" w14:paraId="0EFD5820"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0F2002B" w14:textId="77777777" w:rsidR="00655F2C" w:rsidRPr="001258F2" w:rsidRDefault="00E5323B" w:rsidP="00E5323B">
            <w:pPr>
              <w:spacing w:after="0" w:line="240" w:lineRule="auto"/>
              <w:rPr>
                <w:rFonts w:ascii="Times New Roman" w:eastAsia="Times New Roman" w:hAnsi="Times New Roman" w:cs="Times New Roman"/>
                <w:b/>
                <w:bCs/>
                <w:iCs/>
                <w:sz w:val="24"/>
                <w:szCs w:val="24"/>
                <w:lang w:val="en-US" w:eastAsia="lv-LV"/>
              </w:rPr>
            </w:pPr>
            <w:r w:rsidRPr="001258F2">
              <w:rPr>
                <w:rFonts w:ascii="Times New Roman" w:eastAsia="Times New Roman" w:hAnsi="Times New Roman" w:cs="Times New Roman"/>
                <w:b/>
                <w:bCs/>
                <w:iCs/>
                <w:sz w:val="24"/>
                <w:szCs w:val="24"/>
                <w:lang w:val="en-US" w:eastAsia="lv-LV"/>
              </w:rPr>
              <w:t xml:space="preserve">VII. </w:t>
            </w:r>
            <w:proofErr w:type="spellStart"/>
            <w:r w:rsidRPr="001258F2">
              <w:rPr>
                <w:rFonts w:ascii="Times New Roman" w:eastAsia="Times New Roman" w:hAnsi="Times New Roman" w:cs="Times New Roman"/>
                <w:b/>
                <w:bCs/>
                <w:iCs/>
                <w:sz w:val="24"/>
                <w:szCs w:val="24"/>
                <w:lang w:val="en-US" w:eastAsia="lv-LV"/>
              </w:rPr>
              <w:t>Tiesību</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akta</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projekta</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izpildes</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nodrošināšana</w:t>
            </w:r>
            <w:proofErr w:type="spellEnd"/>
            <w:r w:rsidRPr="001258F2">
              <w:rPr>
                <w:rFonts w:ascii="Times New Roman" w:eastAsia="Times New Roman" w:hAnsi="Times New Roman" w:cs="Times New Roman"/>
                <w:b/>
                <w:bCs/>
                <w:iCs/>
                <w:sz w:val="24"/>
                <w:szCs w:val="24"/>
                <w:lang w:val="en-US" w:eastAsia="lv-LV"/>
              </w:rPr>
              <w:t xml:space="preserve"> un </w:t>
            </w:r>
            <w:proofErr w:type="spellStart"/>
            <w:r w:rsidRPr="001258F2">
              <w:rPr>
                <w:rFonts w:ascii="Times New Roman" w:eastAsia="Times New Roman" w:hAnsi="Times New Roman" w:cs="Times New Roman"/>
                <w:b/>
                <w:bCs/>
                <w:iCs/>
                <w:sz w:val="24"/>
                <w:szCs w:val="24"/>
                <w:lang w:val="en-US" w:eastAsia="lv-LV"/>
              </w:rPr>
              <w:t>tās</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ietekme</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uz</w:t>
            </w:r>
            <w:proofErr w:type="spellEnd"/>
            <w:r w:rsidRPr="001258F2">
              <w:rPr>
                <w:rFonts w:ascii="Times New Roman" w:eastAsia="Times New Roman" w:hAnsi="Times New Roman" w:cs="Times New Roman"/>
                <w:b/>
                <w:bCs/>
                <w:iCs/>
                <w:sz w:val="24"/>
                <w:szCs w:val="24"/>
                <w:lang w:val="en-US" w:eastAsia="lv-LV"/>
              </w:rPr>
              <w:t xml:space="preserve"> </w:t>
            </w:r>
            <w:proofErr w:type="spellStart"/>
            <w:r w:rsidRPr="001258F2">
              <w:rPr>
                <w:rFonts w:ascii="Times New Roman" w:eastAsia="Times New Roman" w:hAnsi="Times New Roman" w:cs="Times New Roman"/>
                <w:b/>
                <w:bCs/>
                <w:iCs/>
                <w:sz w:val="24"/>
                <w:szCs w:val="24"/>
                <w:lang w:val="en-US" w:eastAsia="lv-LV"/>
              </w:rPr>
              <w:t>institūcijām</w:t>
            </w:r>
            <w:proofErr w:type="spellEnd"/>
          </w:p>
        </w:tc>
      </w:tr>
      <w:tr w:rsidR="001258F2" w:rsidRPr="001258F2" w14:paraId="6069916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82A89AF"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2F0D20C"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Projekta</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izpildē</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iesaistītās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institūcijas</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6BB6D72C" w14:textId="2CE95A00" w:rsidR="00E5323B" w:rsidRPr="001258F2" w:rsidRDefault="00AD7CC7" w:rsidP="00E5323B">
            <w:pPr>
              <w:spacing w:after="0" w:line="240" w:lineRule="auto"/>
              <w:rPr>
                <w:rFonts w:ascii="Times New Roman" w:eastAsia="Times New Roman" w:hAnsi="Times New Roman" w:cs="Times New Roman"/>
                <w:iCs/>
                <w:sz w:val="24"/>
                <w:szCs w:val="24"/>
                <w:lang w:eastAsia="lv-LV"/>
              </w:rPr>
            </w:pPr>
            <w:proofErr w:type="spellStart"/>
            <w:r w:rsidRPr="001258F2">
              <w:rPr>
                <w:rFonts w:ascii="Times New Roman" w:eastAsia="Times New Roman" w:hAnsi="Times New Roman" w:cs="Times New Roman"/>
                <w:iCs/>
                <w:sz w:val="24"/>
                <w:szCs w:val="24"/>
                <w:lang w:eastAsia="lv-LV"/>
              </w:rPr>
              <w:t>Altum</w:t>
            </w:r>
            <w:proofErr w:type="spellEnd"/>
            <w:r w:rsidRPr="001258F2">
              <w:rPr>
                <w:rFonts w:ascii="Times New Roman" w:eastAsia="Times New Roman" w:hAnsi="Times New Roman" w:cs="Times New Roman"/>
                <w:iCs/>
                <w:sz w:val="24"/>
                <w:szCs w:val="24"/>
                <w:lang w:eastAsia="lv-LV"/>
              </w:rPr>
              <w:t>.</w:t>
            </w:r>
          </w:p>
        </w:tc>
      </w:tr>
      <w:tr w:rsidR="001258F2" w:rsidRPr="001258F2" w14:paraId="262CFBF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FBBB83"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055790A"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proofErr w:type="spellStart"/>
            <w:r w:rsidRPr="001258F2">
              <w:rPr>
                <w:rFonts w:ascii="Times New Roman" w:eastAsia="Times New Roman" w:hAnsi="Times New Roman" w:cs="Times New Roman"/>
                <w:iCs/>
                <w:sz w:val="24"/>
                <w:szCs w:val="24"/>
                <w:lang w:val="en-US" w:eastAsia="lv-LV"/>
              </w:rPr>
              <w:t>Projekta</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izpildes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ietekme</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uz</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pārvaldes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funkcijām</w:t>
            </w:r>
            <w:proofErr w:type="spellEnd"/>
            <w:r w:rsidRPr="001258F2">
              <w:rPr>
                <w:rFonts w:ascii="Times New Roman" w:eastAsia="Times New Roman" w:hAnsi="Times New Roman" w:cs="Times New Roman"/>
                <w:iCs/>
                <w:sz w:val="24"/>
                <w:szCs w:val="24"/>
                <w:lang w:val="en-US" w:eastAsia="lv-LV"/>
              </w:rPr>
              <w:t xml:space="preserve"> un </w:t>
            </w:r>
            <w:proofErr w:type="spellStart"/>
            <w:r w:rsidRPr="001258F2">
              <w:rPr>
                <w:rFonts w:ascii="Times New Roman" w:eastAsia="Times New Roman" w:hAnsi="Times New Roman" w:cs="Times New Roman"/>
                <w:iCs/>
                <w:sz w:val="24"/>
                <w:szCs w:val="24"/>
                <w:lang w:val="en-US" w:eastAsia="lv-LV"/>
              </w:rPr>
              <w:t>institucionālo</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struktūru</w:t>
            </w:r>
            <w:proofErr w:type="spellEnd"/>
            <w:r w:rsidRPr="001258F2">
              <w:rPr>
                <w:rFonts w:ascii="Times New Roman" w:eastAsia="Times New Roman" w:hAnsi="Times New Roman" w:cs="Times New Roman"/>
                <w:iCs/>
                <w:sz w:val="24"/>
                <w:szCs w:val="24"/>
                <w:lang w:val="en-US" w:eastAsia="lv-LV"/>
              </w:rPr>
              <w:t>.</w:t>
            </w:r>
            <w:r w:rsidRPr="001258F2">
              <w:rPr>
                <w:rFonts w:ascii="Times New Roman" w:eastAsia="Times New Roman" w:hAnsi="Times New Roman" w:cs="Times New Roman"/>
                <w:iCs/>
                <w:sz w:val="24"/>
                <w:szCs w:val="24"/>
                <w:lang w:val="en-US" w:eastAsia="lv-LV"/>
              </w:rPr>
              <w:br/>
            </w:r>
            <w:proofErr w:type="spellStart"/>
            <w:r w:rsidRPr="001258F2">
              <w:rPr>
                <w:rFonts w:ascii="Times New Roman" w:eastAsia="Times New Roman" w:hAnsi="Times New Roman" w:cs="Times New Roman"/>
                <w:iCs/>
                <w:sz w:val="24"/>
                <w:szCs w:val="24"/>
                <w:lang w:val="en-US" w:eastAsia="lv-LV"/>
              </w:rPr>
              <w:t>Jaunu</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institūciju</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izveide</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esošu</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institūciju</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likvidācija</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vai</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reorganizācija</w:t>
            </w:r>
            <w:proofErr w:type="spellEnd"/>
            <w:r w:rsidRPr="001258F2">
              <w:rPr>
                <w:rFonts w:ascii="Times New Roman" w:eastAsia="Times New Roman" w:hAnsi="Times New Roman" w:cs="Times New Roman"/>
                <w:iCs/>
                <w:sz w:val="24"/>
                <w:szCs w:val="24"/>
                <w:lang w:val="en-US" w:eastAsia="lv-LV"/>
              </w:rPr>
              <w:t xml:space="preserve">, to </w:t>
            </w:r>
            <w:proofErr w:type="spellStart"/>
            <w:r w:rsidRPr="001258F2">
              <w:rPr>
                <w:rFonts w:ascii="Times New Roman" w:eastAsia="Times New Roman" w:hAnsi="Times New Roman" w:cs="Times New Roman"/>
                <w:iCs/>
                <w:sz w:val="24"/>
                <w:szCs w:val="24"/>
                <w:lang w:val="en-US" w:eastAsia="lv-LV"/>
              </w:rPr>
              <w:t>ietekme</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uz</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institūcijas</w:t>
            </w:r>
            <w:proofErr w:type="spellEnd"/>
            <w:r w:rsidRPr="001258F2">
              <w:rPr>
                <w:rFonts w:ascii="Times New Roman" w:eastAsia="Times New Roman" w:hAnsi="Times New Roman" w:cs="Times New Roman"/>
                <w:iCs/>
                <w:sz w:val="24"/>
                <w:szCs w:val="24"/>
                <w:lang w:val="en-US" w:eastAsia="lv-LV"/>
              </w:rPr>
              <w:t xml:space="preserve"> </w:t>
            </w:r>
            <w:proofErr w:type="spellStart"/>
            <w:r w:rsidRPr="001258F2">
              <w:rPr>
                <w:rFonts w:ascii="Times New Roman" w:eastAsia="Times New Roman" w:hAnsi="Times New Roman" w:cs="Times New Roman"/>
                <w:iCs/>
                <w:sz w:val="24"/>
                <w:szCs w:val="24"/>
                <w:lang w:val="en-US" w:eastAsia="lv-LV"/>
              </w:rPr>
              <w:t>cilvēkresursiem</w:t>
            </w:r>
            <w:proofErr w:type="spellEnd"/>
          </w:p>
        </w:tc>
        <w:tc>
          <w:tcPr>
            <w:tcW w:w="3000" w:type="pct"/>
            <w:tcBorders>
              <w:top w:val="outset" w:sz="6" w:space="0" w:color="auto"/>
              <w:left w:val="outset" w:sz="6" w:space="0" w:color="auto"/>
              <w:bottom w:val="outset" w:sz="6" w:space="0" w:color="auto"/>
              <w:right w:val="outset" w:sz="6" w:space="0" w:color="auto"/>
            </w:tcBorders>
            <w:hideMark/>
          </w:tcPr>
          <w:p w14:paraId="1A11566B" w14:textId="4DBD2693" w:rsidR="00E5323B" w:rsidRPr="001258F2" w:rsidRDefault="00AD7CC7" w:rsidP="00AD7CC7">
            <w:pPr>
              <w:spacing w:after="0" w:line="240" w:lineRule="auto"/>
              <w:jc w:val="both"/>
              <w:rPr>
                <w:rFonts w:ascii="Times New Roman" w:eastAsia="Times New Roman" w:hAnsi="Times New Roman" w:cs="Times New Roman"/>
                <w:iCs/>
                <w:sz w:val="24"/>
                <w:szCs w:val="24"/>
                <w:lang w:eastAsia="lv-LV"/>
              </w:rPr>
            </w:pPr>
            <w:r w:rsidRPr="006314BB">
              <w:rPr>
                <w:rFonts w:ascii="Times New Roman" w:eastAsia="Times New Roman" w:hAnsi="Times New Roman" w:cs="Times New Roman"/>
                <w:iCs/>
                <w:sz w:val="24"/>
                <w:szCs w:val="24"/>
                <w:lang w:eastAsia="lv-LV"/>
              </w:rPr>
              <w:t xml:space="preserve">Noteikumu projekta izpilde tiks nodrošināta </w:t>
            </w:r>
            <w:proofErr w:type="spellStart"/>
            <w:r w:rsidRPr="006314BB">
              <w:rPr>
                <w:rFonts w:ascii="Times New Roman" w:eastAsia="Times New Roman" w:hAnsi="Times New Roman" w:cs="Times New Roman"/>
                <w:iCs/>
                <w:sz w:val="24"/>
                <w:szCs w:val="24"/>
                <w:lang w:eastAsia="lv-LV"/>
              </w:rPr>
              <w:t>Altum</w:t>
            </w:r>
            <w:proofErr w:type="spellEnd"/>
            <w:r w:rsidRPr="006314BB">
              <w:rPr>
                <w:rFonts w:ascii="Times New Roman" w:eastAsia="Times New Roman" w:hAnsi="Times New Roman" w:cs="Times New Roman"/>
                <w:iCs/>
                <w:sz w:val="24"/>
                <w:szCs w:val="24"/>
                <w:lang w:eastAsia="lv-LV"/>
              </w:rPr>
              <w:t xml:space="preserve"> esošo funkciju </w:t>
            </w:r>
            <w:r w:rsidR="003B6884">
              <w:rPr>
                <w:rFonts w:ascii="Times New Roman" w:eastAsia="Times New Roman" w:hAnsi="Times New Roman" w:cs="Times New Roman"/>
                <w:iCs/>
                <w:sz w:val="24"/>
                <w:szCs w:val="24"/>
                <w:lang w:eastAsia="lv-LV"/>
              </w:rPr>
              <w:t xml:space="preserve">un cilvēkresursu </w:t>
            </w:r>
            <w:r w:rsidRPr="006314BB">
              <w:rPr>
                <w:rFonts w:ascii="Times New Roman" w:eastAsia="Times New Roman" w:hAnsi="Times New Roman" w:cs="Times New Roman"/>
                <w:iCs/>
                <w:sz w:val="24"/>
                <w:szCs w:val="24"/>
                <w:lang w:eastAsia="lv-LV"/>
              </w:rPr>
              <w:t>ietvaros, nav nepieciešams izveidot jaunas institūcijas, likvidēt esošas institūcijas vai veikt reorganizāciju.</w:t>
            </w:r>
          </w:p>
        </w:tc>
      </w:tr>
      <w:tr w:rsidR="00E5323B" w:rsidRPr="001258F2" w14:paraId="4539027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6CC3729" w14:textId="77777777" w:rsidR="00655F2C"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36CEB5A" w14:textId="77777777" w:rsidR="00E5323B" w:rsidRPr="001258F2" w:rsidRDefault="00E5323B" w:rsidP="00E5323B">
            <w:pPr>
              <w:spacing w:after="0" w:line="240" w:lineRule="auto"/>
              <w:rPr>
                <w:rFonts w:ascii="Times New Roman" w:eastAsia="Times New Roman" w:hAnsi="Times New Roman" w:cs="Times New Roman"/>
                <w:iCs/>
                <w:sz w:val="24"/>
                <w:szCs w:val="24"/>
                <w:lang w:val="en-US" w:eastAsia="lv-LV"/>
              </w:rPr>
            </w:pPr>
            <w:r w:rsidRPr="001258F2">
              <w:rPr>
                <w:rFonts w:ascii="Times New Roman" w:eastAsia="Times New Roman" w:hAnsi="Times New Roman" w:cs="Times New Roman"/>
                <w:iCs/>
                <w:sz w:val="24"/>
                <w:szCs w:val="24"/>
                <w:lang w:val="en-US"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48D8BCE" w14:textId="3D3BB039" w:rsidR="00E5323B" w:rsidRPr="00B062D1" w:rsidRDefault="00AD7CC7" w:rsidP="00E5323B">
            <w:pPr>
              <w:spacing w:after="0" w:line="240" w:lineRule="auto"/>
              <w:rPr>
                <w:rFonts w:ascii="Times New Roman" w:eastAsia="Times New Roman" w:hAnsi="Times New Roman" w:cs="Times New Roman"/>
                <w:iCs/>
                <w:sz w:val="24"/>
                <w:szCs w:val="24"/>
                <w:lang w:val="en-US" w:eastAsia="lv-LV"/>
              </w:rPr>
            </w:pPr>
            <w:r w:rsidRPr="003B6884">
              <w:rPr>
                <w:rFonts w:ascii="Times New Roman" w:hAnsi="Times New Roman" w:cs="Times New Roman"/>
                <w:sz w:val="24"/>
                <w:szCs w:val="24"/>
              </w:rPr>
              <w:t>Nav</w:t>
            </w:r>
            <w:r w:rsidR="00B062D1">
              <w:rPr>
                <w:rFonts w:ascii="Times New Roman" w:hAnsi="Times New Roman" w:cs="Times New Roman"/>
                <w:sz w:val="24"/>
                <w:szCs w:val="24"/>
              </w:rPr>
              <w:t>.</w:t>
            </w:r>
          </w:p>
        </w:tc>
      </w:tr>
    </w:tbl>
    <w:p w14:paraId="3720D557" w14:textId="77777777" w:rsidR="00C25B49" w:rsidRPr="001258F2" w:rsidRDefault="00C25B49" w:rsidP="00894C55">
      <w:pPr>
        <w:spacing w:after="0" w:line="240" w:lineRule="auto"/>
        <w:rPr>
          <w:rFonts w:ascii="Times New Roman" w:hAnsi="Times New Roman" w:cs="Times New Roman"/>
          <w:sz w:val="28"/>
          <w:szCs w:val="28"/>
        </w:rPr>
      </w:pPr>
    </w:p>
    <w:p w14:paraId="01A54E57" w14:textId="77777777" w:rsidR="00AD7CC7" w:rsidRPr="006314BB" w:rsidRDefault="00AD7CC7" w:rsidP="006314BB">
      <w:pPr>
        <w:spacing w:after="0" w:line="240" w:lineRule="auto"/>
        <w:jc w:val="both"/>
        <w:rPr>
          <w:rFonts w:ascii="Times New Roman" w:eastAsia="Times New Roman" w:hAnsi="Times New Roman" w:cs="Times New Roman"/>
          <w:b/>
          <w:bCs/>
          <w:iCs/>
          <w:sz w:val="24"/>
          <w:szCs w:val="24"/>
          <w:lang w:eastAsia="lv-LV"/>
        </w:rPr>
      </w:pPr>
      <w:r w:rsidRPr="006314BB">
        <w:rPr>
          <w:rFonts w:ascii="Times New Roman" w:eastAsia="Times New Roman" w:hAnsi="Times New Roman" w:cs="Times New Roman"/>
          <w:b/>
          <w:bCs/>
          <w:iCs/>
          <w:sz w:val="24"/>
          <w:szCs w:val="24"/>
          <w:lang w:eastAsia="lv-LV"/>
        </w:rPr>
        <w:t xml:space="preserve">Ekonomikas ministrs      </w:t>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t xml:space="preserve">                      J. Vitenbergs</w:t>
      </w:r>
    </w:p>
    <w:p w14:paraId="3DBB0A04" w14:textId="77777777" w:rsidR="00AD7CC7" w:rsidRPr="006314BB" w:rsidRDefault="00AD7CC7" w:rsidP="006314BB">
      <w:pPr>
        <w:spacing w:after="0" w:line="240" w:lineRule="auto"/>
        <w:jc w:val="both"/>
        <w:rPr>
          <w:rFonts w:ascii="Times New Roman" w:eastAsia="Times New Roman" w:hAnsi="Times New Roman" w:cs="Times New Roman"/>
          <w:b/>
          <w:bCs/>
          <w:iCs/>
          <w:sz w:val="24"/>
          <w:szCs w:val="24"/>
          <w:lang w:eastAsia="lv-LV"/>
        </w:rPr>
      </w:pPr>
      <w:r w:rsidRPr="006314BB">
        <w:rPr>
          <w:rFonts w:ascii="Times New Roman" w:eastAsia="Times New Roman" w:hAnsi="Times New Roman" w:cs="Times New Roman"/>
          <w:b/>
          <w:bCs/>
          <w:iCs/>
          <w:sz w:val="24"/>
          <w:szCs w:val="24"/>
          <w:lang w:eastAsia="lv-LV"/>
        </w:rPr>
        <w:tab/>
      </w:r>
    </w:p>
    <w:p w14:paraId="4B7C0DF3" w14:textId="77777777" w:rsidR="00AD7CC7" w:rsidRPr="006314BB" w:rsidRDefault="00AD7CC7" w:rsidP="006314BB">
      <w:pPr>
        <w:spacing w:after="0" w:line="240" w:lineRule="auto"/>
        <w:jc w:val="both"/>
        <w:rPr>
          <w:rFonts w:ascii="Times New Roman" w:eastAsia="Times New Roman" w:hAnsi="Times New Roman" w:cs="Times New Roman"/>
          <w:b/>
          <w:bCs/>
          <w:iCs/>
          <w:sz w:val="24"/>
          <w:szCs w:val="24"/>
          <w:lang w:eastAsia="lv-LV"/>
        </w:rPr>
      </w:pPr>
      <w:r w:rsidRPr="006314BB">
        <w:rPr>
          <w:rFonts w:ascii="Times New Roman" w:eastAsia="Times New Roman" w:hAnsi="Times New Roman" w:cs="Times New Roman"/>
          <w:b/>
          <w:bCs/>
          <w:iCs/>
          <w:sz w:val="24"/>
          <w:szCs w:val="24"/>
          <w:lang w:eastAsia="lv-LV"/>
        </w:rPr>
        <w:t xml:space="preserve">Vīza: </w:t>
      </w:r>
    </w:p>
    <w:p w14:paraId="7130080E" w14:textId="77777777" w:rsidR="00AD7CC7" w:rsidRPr="006314BB" w:rsidRDefault="00AD7CC7" w:rsidP="006314BB">
      <w:pPr>
        <w:spacing w:after="0" w:line="240" w:lineRule="auto"/>
        <w:jc w:val="both"/>
        <w:rPr>
          <w:rFonts w:ascii="Times New Roman" w:eastAsia="Times New Roman" w:hAnsi="Times New Roman" w:cs="Times New Roman"/>
          <w:b/>
          <w:bCs/>
          <w:iCs/>
          <w:sz w:val="24"/>
          <w:szCs w:val="24"/>
          <w:lang w:eastAsia="lv-LV"/>
        </w:rPr>
      </w:pPr>
      <w:r w:rsidRPr="006314BB">
        <w:rPr>
          <w:rFonts w:ascii="Times New Roman" w:eastAsia="Times New Roman" w:hAnsi="Times New Roman" w:cs="Times New Roman"/>
          <w:b/>
          <w:bCs/>
          <w:iCs/>
          <w:sz w:val="24"/>
          <w:szCs w:val="24"/>
          <w:lang w:eastAsia="lv-LV"/>
        </w:rPr>
        <w:t>Valsts sekretārs</w:t>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t xml:space="preserve">    </w:t>
      </w:r>
      <w:r w:rsidRPr="006314BB">
        <w:rPr>
          <w:rFonts w:ascii="Times New Roman" w:eastAsia="Times New Roman" w:hAnsi="Times New Roman" w:cs="Times New Roman"/>
          <w:b/>
          <w:bCs/>
          <w:iCs/>
          <w:sz w:val="24"/>
          <w:szCs w:val="24"/>
          <w:lang w:eastAsia="lv-LV"/>
        </w:rPr>
        <w:tab/>
      </w:r>
      <w:r w:rsidRPr="006314BB">
        <w:rPr>
          <w:rFonts w:ascii="Times New Roman" w:eastAsia="Times New Roman" w:hAnsi="Times New Roman" w:cs="Times New Roman"/>
          <w:b/>
          <w:bCs/>
          <w:iCs/>
          <w:sz w:val="24"/>
          <w:szCs w:val="24"/>
          <w:lang w:eastAsia="lv-LV"/>
        </w:rPr>
        <w:tab/>
      </w:r>
      <w:proofErr w:type="spellStart"/>
      <w:r w:rsidRPr="006314BB">
        <w:rPr>
          <w:rFonts w:ascii="Times New Roman" w:eastAsia="Times New Roman" w:hAnsi="Times New Roman" w:cs="Times New Roman"/>
          <w:b/>
          <w:bCs/>
          <w:iCs/>
          <w:sz w:val="24"/>
          <w:szCs w:val="24"/>
          <w:lang w:eastAsia="lv-LV"/>
        </w:rPr>
        <w:t>E.Valantis</w:t>
      </w:r>
      <w:proofErr w:type="spellEnd"/>
      <w:r w:rsidRPr="006314BB">
        <w:rPr>
          <w:rFonts w:ascii="Times New Roman" w:eastAsia="Times New Roman" w:hAnsi="Times New Roman" w:cs="Times New Roman"/>
          <w:b/>
          <w:bCs/>
          <w:iCs/>
          <w:sz w:val="24"/>
          <w:szCs w:val="24"/>
          <w:lang w:eastAsia="lv-LV"/>
        </w:rPr>
        <w:t xml:space="preserve"> </w:t>
      </w:r>
    </w:p>
    <w:p w14:paraId="5AB1E6B0" w14:textId="77777777" w:rsidR="00AD7CC7" w:rsidRPr="001258F2" w:rsidRDefault="00AD7CC7" w:rsidP="00AD7CC7"/>
    <w:p w14:paraId="2E266A61" w14:textId="77777777" w:rsidR="00894C55" w:rsidRPr="001258F2" w:rsidRDefault="00894C55" w:rsidP="00894C55">
      <w:pPr>
        <w:tabs>
          <w:tab w:val="left" w:pos="6237"/>
        </w:tabs>
        <w:spacing w:after="0" w:line="240" w:lineRule="auto"/>
        <w:ind w:firstLine="720"/>
        <w:rPr>
          <w:rFonts w:ascii="Times New Roman" w:hAnsi="Times New Roman" w:cs="Times New Roman"/>
          <w:sz w:val="28"/>
          <w:szCs w:val="28"/>
        </w:rPr>
      </w:pPr>
    </w:p>
    <w:p w14:paraId="12CBDBF0" w14:textId="77777777" w:rsidR="00AD7CC7" w:rsidRPr="001258F2" w:rsidRDefault="00AD7CC7" w:rsidP="00AD7CC7">
      <w:pPr>
        <w:spacing w:after="0"/>
        <w:ind w:right="709"/>
        <w:rPr>
          <w:sz w:val="20"/>
          <w:szCs w:val="20"/>
        </w:rPr>
      </w:pPr>
      <w:r w:rsidRPr="001258F2">
        <w:rPr>
          <w:sz w:val="20"/>
          <w:szCs w:val="20"/>
        </w:rPr>
        <w:lastRenderedPageBreak/>
        <w:t>Kristīne Priedīte, 67013241</w:t>
      </w:r>
    </w:p>
    <w:p w14:paraId="6068B6EA" w14:textId="310466FF" w:rsidR="00894C55" w:rsidRDefault="00AD7CC7" w:rsidP="006314BB">
      <w:pPr>
        <w:ind w:right="709"/>
        <w:rPr>
          <w:sz w:val="20"/>
          <w:szCs w:val="20"/>
        </w:rPr>
      </w:pPr>
      <w:r w:rsidRPr="001258F2">
        <w:rPr>
          <w:sz w:val="20"/>
          <w:szCs w:val="20"/>
        </w:rPr>
        <w:t>Kristine.Priedite@em.gov.lv</w:t>
      </w:r>
    </w:p>
    <w:p w14:paraId="10F01BB5" w14:textId="6663A4C6" w:rsidR="003B6884" w:rsidRPr="003B6884" w:rsidRDefault="003B6884" w:rsidP="003B6884">
      <w:pPr>
        <w:rPr>
          <w:rFonts w:ascii="Times New Roman" w:hAnsi="Times New Roman" w:cs="Times New Roman"/>
          <w:sz w:val="24"/>
          <w:szCs w:val="28"/>
        </w:rPr>
      </w:pPr>
    </w:p>
    <w:p w14:paraId="17B53EB6" w14:textId="1F338C7C" w:rsidR="003B6884" w:rsidRPr="003B6884" w:rsidRDefault="003B6884" w:rsidP="003B6884">
      <w:pPr>
        <w:rPr>
          <w:rFonts w:ascii="Times New Roman" w:hAnsi="Times New Roman" w:cs="Times New Roman"/>
          <w:sz w:val="24"/>
          <w:szCs w:val="28"/>
        </w:rPr>
      </w:pPr>
    </w:p>
    <w:p w14:paraId="17A125A6" w14:textId="1C2E186A" w:rsidR="003B6884" w:rsidRPr="003B6884" w:rsidRDefault="003B6884" w:rsidP="003B6884">
      <w:pPr>
        <w:rPr>
          <w:rFonts w:ascii="Times New Roman" w:hAnsi="Times New Roman" w:cs="Times New Roman"/>
          <w:sz w:val="24"/>
          <w:szCs w:val="28"/>
        </w:rPr>
      </w:pPr>
    </w:p>
    <w:p w14:paraId="2F6B5C72" w14:textId="44C65542" w:rsidR="003B6884" w:rsidRPr="003B6884" w:rsidRDefault="003B6884" w:rsidP="003B6884">
      <w:pPr>
        <w:rPr>
          <w:rFonts w:ascii="Times New Roman" w:hAnsi="Times New Roman" w:cs="Times New Roman"/>
          <w:sz w:val="24"/>
          <w:szCs w:val="28"/>
        </w:rPr>
      </w:pPr>
    </w:p>
    <w:p w14:paraId="07C1A8A3" w14:textId="2B6F18A8" w:rsidR="003B6884" w:rsidRPr="003B6884" w:rsidRDefault="003B6884" w:rsidP="003B6884">
      <w:pPr>
        <w:rPr>
          <w:rFonts w:ascii="Times New Roman" w:hAnsi="Times New Roman" w:cs="Times New Roman"/>
          <w:sz w:val="24"/>
          <w:szCs w:val="28"/>
        </w:rPr>
      </w:pPr>
    </w:p>
    <w:p w14:paraId="48F8AEE4" w14:textId="075A307B" w:rsidR="003B6884" w:rsidRPr="003B6884" w:rsidRDefault="003B6884" w:rsidP="003B6884">
      <w:pPr>
        <w:rPr>
          <w:rFonts w:ascii="Times New Roman" w:hAnsi="Times New Roman" w:cs="Times New Roman"/>
          <w:sz w:val="24"/>
          <w:szCs w:val="28"/>
        </w:rPr>
      </w:pPr>
    </w:p>
    <w:p w14:paraId="2A029562" w14:textId="40299B01" w:rsidR="003B6884" w:rsidRPr="003B6884" w:rsidRDefault="003B6884" w:rsidP="003B6884">
      <w:pPr>
        <w:rPr>
          <w:rFonts w:ascii="Times New Roman" w:hAnsi="Times New Roman" w:cs="Times New Roman"/>
          <w:sz w:val="24"/>
          <w:szCs w:val="28"/>
        </w:rPr>
      </w:pPr>
    </w:p>
    <w:p w14:paraId="172C5D5E" w14:textId="1C06971F" w:rsidR="003B6884" w:rsidRPr="003B6884" w:rsidRDefault="003B6884" w:rsidP="003B6884">
      <w:pPr>
        <w:tabs>
          <w:tab w:val="left" w:pos="1272"/>
        </w:tabs>
        <w:rPr>
          <w:rFonts w:ascii="Times New Roman" w:hAnsi="Times New Roman" w:cs="Times New Roman"/>
          <w:sz w:val="24"/>
          <w:szCs w:val="28"/>
        </w:rPr>
      </w:pPr>
      <w:r>
        <w:rPr>
          <w:rFonts w:ascii="Times New Roman" w:hAnsi="Times New Roman" w:cs="Times New Roman"/>
          <w:sz w:val="24"/>
          <w:szCs w:val="28"/>
        </w:rPr>
        <w:tab/>
      </w:r>
    </w:p>
    <w:sectPr w:rsidR="003B6884" w:rsidRPr="003B6884" w:rsidSect="009A2654">
      <w:headerReference w:type="default" r:id="rId15"/>
      <w:footerReference w:type="default" r:id="rId16"/>
      <w:footerReference w:type="first" r:id="rId17"/>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C0686" w14:textId="77777777" w:rsidR="00A77254" w:rsidRDefault="00A77254" w:rsidP="00894C55">
      <w:pPr>
        <w:spacing w:after="0" w:line="240" w:lineRule="auto"/>
      </w:pPr>
      <w:r>
        <w:separator/>
      </w:r>
    </w:p>
  </w:endnote>
  <w:endnote w:type="continuationSeparator" w:id="0">
    <w:p w14:paraId="15DA897A" w14:textId="77777777" w:rsidR="00A77254" w:rsidRDefault="00A77254"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8E322" w14:textId="6D9233D2" w:rsidR="00F17DF8" w:rsidRPr="003903A8" w:rsidRDefault="00F17DF8" w:rsidP="00F17DF8">
    <w:pPr>
      <w:tabs>
        <w:tab w:val="left" w:pos="9071"/>
      </w:tabs>
      <w:ind w:right="-1"/>
      <w:jc w:val="both"/>
      <w:rPr>
        <w:sz w:val="20"/>
        <w:szCs w:val="20"/>
      </w:rPr>
    </w:pPr>
    <w:r w:rsidRPr="006D03CA">
      <w:rPr>
        <w:sz w:val="20"/>
      </w:rPr>
      <w:fldChar w:fldCharType="begin"/>
    </w:r>
    <w:r>
      <w:rPr>
        <w:bCs/>
        <w:sz w:val="20"/>
        <w:szCs w:val="20"/>
      </w:rPr>
      <w:instrText xml:space="preserve"> FILENAME   \* MERGEFORMAT </w:instrText>
    </w:r>
    <w:r w:rsidRPr="006D03CA">
      <w:rPr>
        <w:sz w:val="20"/>
      </w:rPr>
      <w:fldChar w:fldCharType="separate"/>
    </w:r>
    <w:r w:rsidRPr="00B6650B">
      <w:rPr>
        <w:noProof/>
        <w:sz w:val="20"/>
      </w:rPr>
      <w:t>EMAnot_</w:t>
    </w:r>
    <w:r w:rsidR="008F5B53">
      <w:rPr>
        <w:rFonts w:eastAsia="Times New Roman"/>
        <w:noProof/>
        <w:sz w:val="20"/>
        <w:szCs w:val="20"/>
      </w:rPr>
      <w:t>2</w:t>
    </w:r>
    <w:r w:rsidR="00BF52F3">
      <w:rPr>
        <w:rFonts w:eastAsia="Times New Roman"/>
        <w:noProof/>
        <w:sz w:val="20"/>
        <w:szCs w:val="20"/>
      </w:rPr>
      <w:t>9</w:t>
    </w:r>
    <w:r w:rsidR="008F5B53">
      <w:rPr>
        <w:rFonts w:eastAsia="Times New Roman"/>
        <w:noProof/>
        <w:sz w:val="20"/>
        <w:szCs w:val="20"/>
      </w:rPr>
      <w:t>012021</w:t>
    </w:r>
    <w:r w:rsidRPr="00B6650B">
      <w:rPr>
        <w:rFonts w:eastAsia="Times New Roman"/>
        <w:noProof/>
        <w:sz w:val="20"/>
        <w:szCs w:val="20"/>
      </w:rPr>
      <w:t>_groz</w:t>
    </w:r>
    <w:r w:rsidR="008F5B53">
      <w:rPr>
        <w:rFonts w:eastAsia="Times New Roman"/>
        <w:noProof/>
        <w:sz w:val="20"/>
        <w:szCs w:val="20"/>
      </w:rPr>
      <w:t>469</w:t>
    </w:r>
    <w:r w:rsidRPr="006D03CA">
      <w:rPr>
        <w:sz w:val="20"/>
      </w:rPr>
      <w:fldChar w:fldCharType="end"/>
    </w:r>
  </w:p>
  <w:p w14:paraId="290E7B66" w14:textId="77777777" w:rsidR="00894C55" w:rsidRPr="00F17DF8" w:rsidRDefault="00894C55" w:rsidP="00F17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99485" w14:textId="193A8E81" w:rsidR="009A2654" w:rsidRPr="00F17DF8" w:rsidRDefault="00F17DF8" w:rsidP="00F17DF8">
    <w:pPr>
      <w:tabs>
        <w:tab w:val="left" w:pos="9071"/>
      </w:tabs>
      <w:ind w:right="-1"/>
      <w:jc w:val="both"/>
    </w:pPr>
    <w:r w:rsidRPr="006D03CA">
      <w:rPr>
        <w:sz w:val="20"/>
      </w:rPr>
      <w:fldChar w:fldCharType="begin"/>
    </w:r>
    <w:r>
      <w:rPr>
        <w:bCs/>
        <w:sz w:val="20"/>
        <w:szCs w:val="20"/>
      </w:rPr>
      <w:instrText xml:space="preserve"> FILENAME   \* MERGEFORMAT </w:instrText>
    </w:r>
    <w:r w:rsidRPr="006D03CA">
      <w:rPr>
        <w:sz w:val="20"/>
      </w:rPr>
      <w:fldChar w:fldCharType="separate"/>
    </w:r>
    <w:r w:rsidRPr="00B6650B">
      <w:rPr>
        <w:noProof/>
        <w:sz w:val="20"/>
      </w:rPr>
      <w:t>EMAnot_</w:t>
    </w:r>
    <w:r w:rsidR="00DC2A25">
      <w:rPr>
        <w:rFonts w:eastAsia="Times New Roman"/>
        <w:noProof/>
        <w:sz w:val="20"/>
        <w:szCs w:val="20"/>
      </w:rPr>
      <w:t>2</w:t>
    </w:r>
    <w:r w:rsidR="00BF52F3">
      <w:rPr>
        <w:rFonts w:eastAsia="Times New Roman"/>
        <w:noProof/>
        <w:sz w:val="20"/>
        <w:szCs w:val="20"/>
      </w:rPr>
      <w:t>9</w:t>
    </w:r>
    <w:r w:rsidR="00DC2A25">
      <w:rPr>
        <w:rFonts w:eastAsia="Times New Roman"/>
        <w:noProof/>
        <w:sz w:val="20"/>
        <w:szCs w:val="20"/>
      </w:rPr>
      <w:t>012021</w:t>
    </w:r>
    <w:r w:rsidRPr="00B6650B">
      <w:rPr>
        <w:rFonts w:eastAsia="Times New Roman"/>
        <w:noProof/>
        <w:sz w:val="20"/>
        <w:szCs w:val="20"/>
      </w:rPr>
      <w:t>_groz</w:t>
    </w:r>
    <w:r w:rsidRPr="006D03CA">
      <w:rPr>
        <w:sz w:val="20"/>
      </w:rPr>
      <w:fldChar w:fldCharType="end"/>
    </w:r>
    <w:r w:rsidR="00DC2A25">
      <w:rPr>
        <w:sz w:val="20"/>
      </w:rPr>
      <w:t>469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72B11" w14:textId="77777777" w:rsidR="00A77254" w:rsidRDefault="00A77254" w:rsidP="00894C55">
      <w:pPr>
        <w:spacing w:after="0" w:line="240" w:lineRule="auto"/>
      </w:pPr>
      <w:r>
        <w:separator/>
      </w:r>
    </w:p>
  </w:footnote>
  <w:footnote w:type="continuationSeparator" w:id="0">
    <w:p w14:paraId="19F630BF" w14:textId="77777777" w:rsidR="00A77254" w:rsidRDefault="00A77254" w:rsidP="00894C55">
      <w:pPr>
        <w:spacing w:after="0" w:line="240" w:lineRule="auto"/>
      </w:pPr>
      <w:r>
        <w:continuationSeparator/>
      </w:r>
    </w:p>
  </w:footnote>
  <w:footnote w:id="1">
    <w:p w14:paraId="72665583" w14:textId="77777777" w:rsidR="001D5409" w:rsidRDefault="001D5409" w:rsidP="001D5409">
      <w:pPr>
        <w:pStyle w:val="FootnoteText"/>
      </w:pPr>
      <w:r>
        <w:rPr>
          <w:rStyle w:val="FootnoteReference"/>
        </w:rPr>
        <w:footnoteRef/>
      </w:r>
      <w:r>
        <w:t xml:space="preserve"> </w:t>
      </w:r>
      <w:r w:rsidRPr="007D5911">
        <w:t>https://issuu.com/oecd.publishing/docs/latvia_housing_report_web-1</w:t>
      </w:r>
    </w:p>
  </w:footnote>
  <w:footnote w:id="2">
    <w:p w14:paraId="5AEB771A" w14:textId="77777777" w:rsidR="001D5409" w:rsidRPr="00511E4D" w:rsidRDefault="001D5409" w:rsidP="001D5409">
      <w:pPr>
        <w:rPr>
          <w:rFonts w:ascii="Calibri" w:eastAsia="Times New Roman" w:hAnsi="Calibri" w:cs="Calibri"/>
          <w:lang w:eastAsia="lv-LV"/>
        </w:rPr>
      </w:pPr>
      <w:r>
        <w:rPr>
          <w:rStyle w:val="FootnoteReference"/>
        </w:rPr>
        <w:footnoteRef/>
      </w:r>
      <w:r>
        <w:t xml:space="preserve"> </w:t>
      </w:r>
      <w:hyperlink r:id="rId1" w:history="1">
        <w:r w:rsidRPr="008B3FAE">
          <w:rPr>
            <w:rStyle w:val="Hyperlink"/>
            <w:rFonts w:ascii="Calibri" w:eastAsia="Times New Roman" w:hAnsi="Calibri" w:cs="Calibri"/>
            <w:lang w:eastAsia="lv-LV"/>
          </w:rPr>
          <w:t>http://latio.lv/lv/pakalpojumi/tirgus-analize/majoklu-tirgus/174/2-majoklu-tirgus-parskats-2020-h1-v2.pdf</w:t>
        </w:r>
      </w:hyperlink>
      <w:r>
        <w:rPr>
          <w:rFonts w:ascii="Calibri" w:eastAsia="Times New Roman" w:hAnsi="Calibri" w:cs="Calibri"/>
          <w:lang w:eastAsia="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F8B8B04"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F1239">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04A5"/>
    <w:multiLevelType w:val="hybridMultilevel"/>
    <w:tmpl w:val="D38C5126"/>
    <w:lvl w:ilvl="0" w:tplc="7EAE465E">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450670"/>
    <w:multiLevelType w:val="multilevel"/>
    <w:tmpl w:val="5E9E331C"/>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8C0231F"/>
    <w:multiLevelType w:val="hybridMultilevel"/>
    <w:tmpl w:val="0B88E3D4"/>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BAA03DB"/>
    <w:multiLevelType w:val="hybridMultilevel"/>
    <w:tmpl w:val="36688F24"/>
    <w:lvl w:ilvl="0" w:tplc="F8A6B084">
      <w:start w:val="1"/>
      <w:numFmt w:val="bullet"/>
      <w:lvlText w:val="•"/>
      <w:lvlJc w:val="left"/>
      <w:pPr>
        <w:tabs>
          <w:tab w:val="num" w:pos="720"/>
        </w:tabs>
        <w:ind w:left="720" w:hanging="360"/>
      </w:pPr>
      <w:rPr>
        <w:rFonts w:ascii="Times New Roman" w:hAnsi="Times New Roman" w:hint="default"/>
      </w:rPr>
    </w:lvl>
    <w:lvl w:ilvl="1" w:tplc="49DE1870" w:tentative="1">
      <w:start w:val="1"/>
      <w:numFmt w:val="bullet"/>
      <w:lvlText w:val="•"/>
      <w:lvlJc w:val="left"/>
      <w:pPr>
        <w:tabs>
          <w:tab w:val="num" w:pos="1440"/>
        </w:tabs>
        <w:ind w:left="1440" w:hanging="360"/>
      </w:pPr>
      <w:rPr>
        <w:rFonts w:ascii="Times New Roman" w:hAnsi="Times New Roman" w:hint="default"/>
      </w:rPr>
    </w:lvl>
    <w:lvl w:ilvl="2" w:tplc="C31A311E" w:tentative="1">
      <w:start w:val="1"/>
      <w:numFmt w:val="bullet"/>
      <w:lvlText w:val="•"/>
      <w:lvlJc w:val="left"/>
      <w:pPr>
        <w:tabs>
          <w:tab w:val="num" w:pos="2160"/>
        </w:tabs>
        <w:ind w:left="2160" w:hanging="360"/>
      </w:pPr>
      <w:rPr>
        <w:rFonts w:ascii="Times New Roman" w:hAnsi="Times New Roman" w:hint="default"/>
      </w:rPr>
    </w:lvl>
    <w:lvl w:ilvl="3" w:tplc="BE58C30C" w:tentative="1">
      <w:start w:val="1"/>
      <w:numFmt w:val="bullet"/>
      <w:lvlText w:val="•"/>
      <w:lvlJc w:val="left"/>
      <w:pPr>
        <w:tabs>
          <w:tab w:val="num" w:pos="2880"/>
        </w:tabs>
        <w:ind w:left="2880" w:hanging="360"/>
      </w:pPr>
      <w:rPr>
        <w:rFonts w:ascii="Times New Roman" w:hAnsi="Times New Roman" w:hint="default"/>
      </w:rPr>
    </w:lvl>
    <w:lvl w:ilvl="4" w:tplc="51C8C40E" w:tentative="1">
      <w:start w:val="1"/>
      <w:numFmt w:val="bullet"/>
      <w:lvlText w:val="•"/>
      <w:lvlJc w:val="left"/>
      <w:pPr>
        <w:tabs>
          <w:tab w:val="num" w:pos="3600"/>
        </w:tabs>
        <w:ind w:left="3600" w:hanging="360"/>
      </w:pPr>
      <w:rPr>
        <w:rFonts w:ascii="Times New Roman" w:hAnsi="Times New Roman" w:hint="default"/>
      </w:rPr>
    </w:lvl>
    <w:lvl w:ilvl="5" w:tplc="C86A2040" w:tentative="1">
      <w:start w:val="1"/>
      <w:numFmt w:val="bullet"/>
      <w:lvlText w:val="•"/>
      <w:lvlJc w:val="left"/>
      <w:pPr>
        <w:tabs>
          <w:tab w:val="num" w:pos="4320"/>
        </w:tabs>
        <w:ind w:left="4320" w:hanging="360"/>
      </w:pPr>
      <w:rPr>
        <w:rFonts w:ascii="Times New Roman" w:hAnsi="Times New Roman" w:hint="default"/>
      </w:rPr>
    </w:lvl>
    <w:lvl w:ilvl="6" w:tplc="8D54496C" w:tentative="1">
      <w:start w:val="1"/>
      <w:numFmt w:val="bullet"/>
      <w:lvlText w:val="•"/>
      <w:lvlJc w:val="left"/>
      <w:pPr>
        <w:tabs>
          <w:tab w:val="num" w:pos="5040"/>
        </w:tabs>
        <w:ind w:left="5040" w:hanging="360"/>
      </w:pPr>
      <w:rPr>
        <w:rFonts w:ascii="Times New Roman" w:hAnsi="Times New Roman" w:hint="default"/>
      </w:rPr>
    </w:lvl>
    <w:lvl w:ilvl="7" w:tplc="0452197A" w:tentative="1">
      <w:start w:val="1"/>
      <w:numFmt w:val="bullet"/>
      <w:lvlText w:val="•"/>
      <w:lvlJc w:val="left"/>
      <w:pPr>
        <w:tabs>
          <w:tab w:val="num" w:pos="5760"/>
        </w:tabs>
        <w:ind w:left="5760" w:hanging="360"/>
      </w:pPr>
      <w:rPr>
        <w:rFonts w:ascii="Times New Roman" w:hAnsi="Times New Roman" w:hint="default"/>
      </w:rPr>
    </w:lvl>
    <w:lvl w:ilvl="8" w:tplc="C1FA110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DA03BF9"/>
    <w:multiLevelType w:val="hybridMultilevel"/>
    <w:tmpl w:val="2C3AF192"/>
    <w:lvl w:ilvl="0" w:tplc="52C6C676">
      <w:start w:val="1"/>
      <w:numFmt w:val="decimal"/>
      <w:lvlText w:val="%1."/>
      <w:lvlJc w:val="left"/>
      <w:pPr>
        <w:ind w:left="720" w:hanging="360"/>
      </w:pPr>
      <w:rPr>
        <w:rFonts w:asciiTheme="minorHAnsi" w:eastAsiaTheme="minorHAnsi" w:hAnsi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B22D67"/>
    <w:multiLevelType w:val="hybridMultilevel"/>
    <w:tmpl w:val="E6585E32"/>
    <w:lvl w:ilvl="0" w:tplc="A752796E">
      <w:start w:val="3"/>
      <w:numFmt w:val="bullet"/>
      <w:lvlText w:val="-"/>
      <w:lvlJc w:val="left"/>
      <w:pPr>
        <w:ind w:left="397" w:hanging="360"/>
      </w:pPr>
      <w:rPr>
        <w:rFonts w:ascii="Times New Roman" w:eastAsia="Calibri" w:hAnsi="Times New Roman" w:cs="Times New Roman" w:hint="default"/>
      </w:rPr>
    </w:lvl>
    <w:lvl w:ilvl="1" w:tplc="04260003" w:tentative="1">
      <w:start w:val="1"/>
      <w:numFmt w:val="bullet"/>
      <w:lvlText w:val="o"/>
      <w:lvlJc w:val="left"/>
      <w:pPr>
        <w:ind w:left="1117" w:hanging="360"/>
      </w:pPr>
      <w:rPr>
        <w:rFonts w:ascii="Courier New" w:hAnsi="Courier New" w:cs="Courier New" w:hint="default"/>
      </w:rPr>
    </w:lvl>
    <w:lvl w:ilvl="2" w:tplc="04260005" w:tentative="1">
      <w:start w:val="1"/>
      <w:numFmt w:val="bullet"/>
      <w:lvlText w:val=""/>
      <w:lvlJc w:val="left"/>
      <w:pPr>
        <w:ind w:left="1837" w:hanging="360"/>
      </w:pPr>
      <w:rPr>
        <w:rFonts w:ascii="Wingdings" w:hAnsi="Wingdings" w:hint="default"/>
      </w:rPr>
    </w:lvl>
    <w:lvl w:ilvl="3" w:tplc="04260001" w:tentative="1">
      <w:start w:val="1"/>
      <w:numFmt w:val="bullet"/>
      <w:lvlText w:val=""/>
      <w:lvlJc w:val="left"/>
      <w:pPr>
        <w:ind w:left="2557" w:hanging="360"/>
      </w:pPr>
      <w:rPr>
        <w:rFonts w:ascii="Symbol" w:hAnsi="Symbol" w:hint="default"/>
      </w:rPr>
    </w:lvl>
    <w:lvl w:ilvl="4" w:tplc="04260003" w:tentative="1">
      <w:start w:val="1"/>
      <w:numFmt w:val="bullet"/>
      <w:lvlText w:val="o"/>
      <w:lvlJc w:val="left"/>
      <w:pPr>
        <w:ind w:left="3277" w:hanging="360"/>
      </w:pPr>
      <w:rPr>
        <w:rFonts w:ascii="Courier New" w:hAnsi="Courier New" w:cs="Courier New" w:hint="default"/>
      </w:rPr>
    </w:lvl>
    <w:lvl w:ilvl="5" w:tplc="04260005" w:tentative="1">
      <w:start w:val="1"/>
      <w:numFmt w:val="bullet"/>
      <w:lvlText w:val=""/>
      <w:lvlJc w:val="left"/>
      <w:pPr>
        <w:ind w:left="3997" w:hanging="360"/>
      </w:pPr>
      <w:rPr>
        <w:rFonts w:ascii="Wingdings" w:hAnsi="Wingdings" w:hint="default"/>
      </w:rPr>
    </w:lvl>
    <w:lvl w:ilvl="6" w:tplc="04260001" w:tentative="1">
      <w:start w:val="1"/>
      <w:numFmt w:val="bullet"/>
      <w:lvlText w:val=""/>
      <w:lvlJc w:val="left"/>
      <w:pPr>
        <w:ind w:left="4717" w:hanging="360"/>
      </w:pPr>
      <w:rPr>
        <w:rFonts w:ascii="Symbol" w:hAnsi="Symbol" w:hint="default"/>
      </w:rPr>
    </w:lvl>
    <w:lvl w:ilvl="7" w:tplc="04260003" w:tentative="1">
      <w:start w:val="1"/>
      <w:numFmt w:val="bullet"/>
      <w:lvlText w:val="o"/>
      <w:lvlJc w:val="left"/>
      <w:pPr>
        <w:ind w:left="5437" w:hanging="360"/>
      </w:pPr>
      <w:rPr>
        <w:rFonts w:ascii="Courier New" w:hAnsi="Courier New" w:cs="Courier New" w:hint="default"/>
      </w:rPr>
    </w:lvl>
    <w:lvl w:ilvl="8" w:tplc="04260005" w:tentative="1">
      <w:start w:val="1"/>
      <w:numFmt w:val="bullet"/>
      <w:lvlText w:val=""/>
      <w:lvlJc w:val="left"/>
      <w:pPr>
        <w:ind w:left="6157" w:hanging="360"/>
      </w:pPr>
      <w:rPr>
        <w:rFonts w:ascii="Wingdings" w:hAnsi="Wingdings" w:hint="default"/>
      </w:rPr>
    </w:lvl>
  </w:abstractNum>
  <w:abstractNum w:abstractNumId="6" w15:restartNumberingAfterBreak="0">
    <w:nsid w:val="338939FF"/>
    <w:multiLevelType w:val="hybridMultilevel"/>
    <w:tmpl w:val="E304B3A6"/>
    <w:lvl w:ilvl="0" w:tplc="569620B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BD1746A"/>
    <w:multiLevelType w:val="hybridMultilevel"/>
    <w:tmpl w:val="87B6F1CC"/>
    <w:lvl w:ilvl="0" w:tplc="777E8B90">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A996A18"/>
    <w:multiLevelType w:val="hybridMultilevel"/>
    <w:tmpl w:val="B7DC182E"/>
    <w:lvl w:ilvl="0" w:tplc="0426000F">
      <w:start w:val="1"/>
      <w:numFmt w:val="decimal"/>
      <w:lvlText w:val="%1."/>
      <w:lvlJc w:val="left"/>
      <w:pPr>
        <w:ind w:left="397" w:hanging="360"/>
      </w:pPr>
      <w:rPr>
        <w:rFonts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9" w15:restartNumberingAfterBreak="0">
    <w:nsid w:val="7D4F09D7"/>
    <w:multiLevelType w:val="hybridMultilevel"/>
    <w:tmpl w:val="7DE4F490"/>
    <w:lvl w:ilvl="0" w:tplc="C5A0124E">
      <w:start w:val="3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0"/>
  </w:num>
  <w:num w:numId="5">
    <w:abstractNumId w:val="4"/>
  </w:num>
  <w:num w:numId="6">
    <w:abstractNumId w:val="7"/>
  </w:num>
  <w:num w:numId="7">
    <w:abstractNumId w:val="2"/>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3F65"/>
    <w:rsid w:val="00092865"/>
    <w:rsid w:val="00102470"/>
    <w:rsid w:val="001045EC"/>
    <w:rsid w:val="00105350"/>
    <w:rsid w:val="00113CA3"/>
    <w:rsid w:val="001258F2"/>
    <w:rsid w:val="00187A6B"/>
    <w:rsid w:val="001B343C"/>
    <w:rsid w:val="001D0187"/>
    <w:rsid w:val="001D5409"/>
    <w:rsid w:val="001F2539"/>
    <w:rsid w:val="00232A12"/>
    <w:rsid w:val="00243426"/>
    <w:rsid w:val="002464F5"/>
    <w:rsid w:val="002A049B"/>
    <w:rsid w:val="002E1C05"/>
    <w:rsid w:val="002E5F54"/>
    <w:rsid w:val="002E6262"/>
    <w:rsid w:val="003172A0"/>
    <w:rsid w:val="00366E97"/>
    <w:rsid w:val="0037449A"/>
    <w:rsid w:val="00395C1C"/>
    <w:rsid w:val="003B0BF9"/>
    <w:rsid w:val="003B6884"/>
    <w:rsid w:val="003E0791"/>
    <w:rsid w:val="003F28AC"/>
    <w:rsid w:val="004454FE"/>
    <w:rsid w:val="00456E40"/>
    <w:rsid w:val="004628D3"/>
    <w:rsid w:val="004635A7"/>
    <w:rsid w:val="00471F27"/>
    <w:rsid w:val="00487C96"/>
    <w:rsid w:val="004E26BB"/>
    <w:rsid w:val="0050178F"/>
    <w:rsid w:val="00523CAA"/>
    <w:rsid w:val="00574C6F"/>
    <w:rsid w:val="00595A1D"/>
    <w:rsid w:val="006111D5"/>
    <w:rsid w:val="006314BB"/>
    <w:rsid w:val="00643BEA"/>
    <w:rsid w:val="00655F2C"/>
    <w:rsid w:val="006A2581"/>
    <w:rsid w:val="006A4720"/>
    <w:rsid w:val="006E05D7"/>
    <w:rsid w:val="006E1081"/>
    <w:rsid w:val="006E1C68"/>
    <w:rsid w:val="00720585"/>
    <w:rsid w:val="00751038"/>
    <w:rsid w:val="0076724F"/>
    <w:rsid w:val="00773AF6"/>
    <w:rsid w:val="00795F71"/>
    <w:rsid w:val="007B5AAC"/>
    <w:rsid w:val="007E5F7A"/>
    <w:rsid w:val="007E73AB"/>
    <w:rsid w:val="00816C11"/>
    <w:rsid w:val="00827FA0"/>
    <w:rsid w:val="00877152"/>
    <w:rsid w:val="008823F9"/>
    <w:rsid w:val="00894C55"/>
    <w:rsid w:val="008C761F"/>
    <w:rsid w:val="008F5B53"/>
    <w:rsid w:val="009A2654"/>
    <w:rsid w:val="00A10FC3"/>
    <w:rsid w:val="00A32534"/>
    <w:rsid w:val="00A45732"/>
    <w:rsid w:val="00A6073E"/>
    <w:rsid w:val="00A77254"/>
    <w:rsid w:val="00A96F53"/>
    <w:rsid w:val="00AD7CC7"/>
    <w:rsid w:val="00AE5567"/>
    <w:rsid w:val="00AF1239"/>
    <w:rsid w:val="00B062D1"/>
    <w:rsid w:val="00B16480"/>
    <w:rsid w:val="00B2165C"/>
    <w:rsid w:val="00BA20AA"/>
    <w:rsid w:val="00BA4F62"/>
    <w:rsid w:val="00BB4E0E"/>
    <w:rsid w:val="00BD4425"/>
    <w:rsid w:val="00BE2668"/>
    <w:rsid w:val="00BE5AA1"/>
    <w:rsid w:val="00BF52F3"/>
    <w:rsid w:val="00C25B49"/>
    <w:rsid w:val="00C81A92"/>
    <w:rsid w:val="00CA25A7"/>
    <w:rsid w:val="00CA2E7D"/>
    <w:rsid w:val="00CC0D2D"/>
    <w:rsid w:val="00CE5657"/>
    <w:rsid w:val="00D133F8"/>
    <w:rsid w:val="00D14A3E"/>
    <w:rsid w:val="00D14FD0"/>
    <w:rsid w:val="00DA746A"/>
    <w:rsid w:val="00DC2A25"/>
    <w:rsid w:val="00DF2725"/>
    <w:rsid w:val="00E076AD"/>
    <w:rsid w:val="00E321E2"/>
    <w:rsid w:val="00E3716B"/>
    <w:rsid w:val="00E5323B"/>
    <w:rsid w:val="00E86064"/>
    <w:rsid w:val="00E8749E"/>
    <w:rsid w:val="00E90C01"/>
    <w:rsid w:val="00EA486E"/>
    <w:rsid w:val="00F1193A"/>
    <w:rsid w:val="00F17DF8"/>
    <w:rsid w:val="00F57B0C"/>
    <w:rsid w:val="00F60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70960"/>
  <w15:docId w15:val="{3AD5A1FD-2586-4DFE-8456-0C99615F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H&amp;P List Paragraph,Saraksta rindkopa,Saraksta rindkopa1"/>
    <w:basedOn w:val="Normal"/>
    <w:link w:val="ListParagraphChar"/>
    <w:uiPriority w:val="34"/>
    <w:qFormat/>
    <w:rsid w:val="008823F9"/>
    <w:pPr>
      <w:spacing w:after="0" w:line="240" w:lineRule="auto"/>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trip Char,H&amp;P List Paragraph Char,Saraksta rindkopa Char,Saraksta rindkopa1 Char"/>
    <w:link w:val="ListParagraph"/>
    <w:uiPriority w:val="34"/>
    <w:rsid w:val="008823F9"/>
    <w:rPr>
      <w:rFonts w:ascii="Times New Roman" w:eastAsia="Times New Roman" w:hAnsi="Times New Roman" w:cs="Times New Roman"/>
      <w:lang w:eastAsia="lv-LV"/>
    </w:rPr>
  </w:style>
  <w:style w:type="paragraph" w:styleId="NormalWeb">
    <w:name w:val="Normal (Web)"/>
    <w:basedOn w:val="Normal"/>
    <w:uiPriority w:val="99"/>
    <w:unhideWhenUsed/>
    <w:rsid w:val="001F253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F2539"/>
    <w:rPr>
      <w:sz w:val="16"/>
      <w:szCs w:val="16"/>
    </w:rPr>
  </w:style>
  <w:style w:type="paragraph" w:styleId="CommentText">
    <w:name w:val="annotation text"/>
    <w:basedOn w:val="Normal"/>
    <w:link w:val="CommentTextChar"/>
    <w:unhideWhenUsed/>
    <w:rsid w:val="001F2539"/>
    <w:pPr>
      <w:spacing w:line="240" w:lineRule="auto"/>
    </w:pPr>
    <w:rPr>
      <w:sz w:val="20"/>
      <w:szCs w:val="20"/>
    </w:rPr>
  </w:style>
  <w:style w:type="character" w:customStyle="1" w:styleId="CommentTextChar">
    <w:name w:val="Comment Text Char"/>
    <w:basedOn w:val="DefaultParagraphFont"/>
    <w:link w:val="CommentText"/>
    <w:rsid w:val="001F2539"/>
    <w:rPr>
      <w:sz w:val="20"/>
      <w:szCs w:val="20"/>
    </w:rPr>
  </w:style>
  <w:style w:type="character" w:customStyle="1" w:styleId="txtspecial">
    <w:name w:val="txt_special"/>
    <w:basedOn w:val="DefaultParagraphFont"/>
    <w:rsid w:val="008F5B53"/>
  </w:style>
  <w:style w:type="paragraph" w:styleId="CommentSubject">
    <w:name w:val="annotation subject"/>
    <w:basedOn w:val="CommentText"/>
    <w:next w:val="CommentText"/>
    <w:link w:val="CommentSubjectChar"/>
    <w:uiPriority w:val="99"/>
    <w:semiHidden/>
    <w:unhideWhenUsed/>
    <w:rsid w:val="00187A6B"/>
    <w:rPr>
      <w:b/>
      <w:bCs/>
    </w:rPr>
  </w:style>
  <w:style w:type="character" w:customStyle="1" w:styleId="CommentSubjectChar">
    <w:name w:val="Comment Subject Char"/>
    <w:basedOn w:val="CommentTextChar"/>
    <w:link w:val="CommentSubject"/>
    <w:uiPriority w:val="99"/>
    <w:semiHidden/>
    <w:rsid w:val="00187A6B"/>
    <w:rPr>
      <w:b/>
      <w:bCs/>
      <w:sz w:val="20"/>
      <w:szCs w:val="20"/>
    </w:rPr>
  </w:style>
  <w:style w:type="character" w:styleId="UnresolvedMention">
    <w:name w:val="Unresolved Mention"/>
    <w:basedOn w:val="DefaultParagraphFont"/>
    <w:uiPriority w:val="99"/>
    <w:semiHidden/>
    <w:unhideWhenUsed/>
    <w:rsid w:val="00E321E2"/>
    <w:rPr>
      <w:color w:val="605E5C"/>
      <w:shd w:val="clear" w:color="auto" w:fill="E1DFDD"/>
    </w:rPr>
  </w:style>
  <w:style w:type="character" w:styleId="FootnoteReference">
    <w:name w:val="footnote reference"/>
    <w:basedOn w:val="DefaultParagraphFont"/>
    <w:uiPriority w:val="99"/>
    <w:semiHidden/>
    <w:unhideWhenUsed/>
    <w:rsid w:val="001D5409"/>
    <w:rPr>
      <w:vertAlign w:val="superscript"/>
    </w:rPr>
  </w:style>
  <w:style w:type="paragraph" w:styleId="FootnoteText">
    <w:name w:val="footnote text"/>
    <w:basedOn w:val="Normal"/>
    <w:link w:val="FootnoteTextChar"/>
    <w:uiPriority w:val="99"/>
    <w:semiHidden/>
    <w:unhideWhenUsed/>
    <w:rsid w:val="001D54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409"/>
    <w:rPr>
      <w:sz w:val="20"/>
      <w:szCs w:val="20"/>
    </w:rPr>
  </w:style>
  <w:style w:type="paragraph" w:customStyle="1" w:styleId="tv213">
    <w:name w:val="tv213"/>
    <w:basedOn w:val="Normal"/>
    <w:rsid w:val="00595A1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951133613">
      <w:bodyDiv w:val="1"/>
      <w:marLeft w:val="0"/>
      <w:marRight w:val="0"/>
      <w:marTop w:val="0"/>
      <w:marBottom w:val="0"/>
      <w:divBdr>
        <w:top w:val="none" w:sz="0" w:space="0" w:color="auto"/>
        <w:left w:val="none" w:sz="0" w:space="0" w:color="auto"/>
        <w:bottom w:val="none" w:sz="0" w:space="0" w:color="auto"/>
        <w:right w:val="none" w:sz="0" w:space="0" w:color="auto"/>
      </w:divBdr>
    </w:div>
    <w:div w:id="1331174126">
      <w:bodyDiv w:val="1"/>
      <w:marLeft w:val="0"/>
      <w:marRight w:val="0"/>
      <w:marTop w:val="0"/>
      <w:marBottom w:val="0"/>
      <w:divBdr>
        <w:top w:val="none" w:sz="0" w:space="0" w:color="auto"/>
        <w:left w:val="none" w:sz="0" w:space="0" w:color="auto"/>
        <w:bottom w:val="none" w:sz="0" w:space="0" w:color="auto"/>
        <w:right w:val="none" w:sz="0" w:space="0" w:color="auto"/>
      </w:divBdr>
      <w:divsChild>
        <w:div w:id="1984263171">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2119715593">
      <w:bodyDiv w:val="1"/>
      <w:marLeft w:val="0"/>
      <w:marRight w:val="0"/>
      <w:marTop w:val="0"/>
      <w:marBottom w:val="0"/>
      <w:divBdr>
        <w:top w:val="none" w:sz="0" w:space="0" w:color="auto"/>
        <w:left w:val="none" w:sz="0" w:space="0" w:color="auto"/>
        <w:bottom w:val="none" w:sz="0" w:space="0" w:color="auto"/>
        <w:right w:val="none" w:sz="0" w:space="0" w:color="auto"/>
      </w:divBdr>
      <w:divsChild>
        <w:div w:id="12307676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13" Type="http://schemas.openxmlformats.org/officeDocument/2006/relationships/hyperlink" Target="http://eur-lex.europa.eu/eli/reg/2014/651/oj/?locale=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eli/reg/2014/651/oj/?locale=LV" TargetMode="External"/><Relationship Id="rId12" Type="http://schemas.openxmlformats.org/officeDocument/2006/relationships/hyperlink" Target="http://eur-lex.europa.eu/eli/reg/2014/651/oj/?locale=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reg/2014/651/oj/?locale=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ur-lex.europa.eu/eli/reg/2014/651/oj/?locale=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ur-lex.europa.eu/eli/reg/2014/651/oj/?locale=LV" TargetMode="External"/><Relationship Id="rId14" Type="http://schemas.openxmlformats.org/officeDocument/2006/relationships/hyperlink" Target="http://eur-lex.europa.eu/eli/reg/2014/651/oj/?locale=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atio.lv/lv/pakalpojumi/tirgus-analize/majoklu-tirgus/174/2-majoklu-tirgus-parskats-2020-h1-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11</Pages>
  <Words>12505</Words>
  <Characters>7129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Grozījumi Ministru kabineta 2016. gada 15. jūlija noteikumos Nr. 469 "Noteikumi par paralēlajiem aizdevumiem saimnieciskās darbības veicējiem konkurētspējas uzlabošanai"</vt:lpstr>
    </vt:vector>
  </TitlesOfParts>
  <Company>Iestādes nosaukums</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2016. gada 15. jūlija noteikumos Nr. 469 "Noteikumi par paralēlajiem aizdevumiem saimnieciskās darbības veicējiem konkurētspējas uzlabošanai"</dc:title>
  <dc:subject>Anotācija</dc:subject>
  <dc:creator>Kristine.Priedite@em.gov.lv</dc:creator>
  <dc:description>Kristīne Priedīte Kristine.Priedite@em.gov.lv</dc:description>
  <cp:lastModifiedBy>Kristīne Priedīte</cp:lastModifiedBy>
  <cp:revision>7</cp:revision>
  <dcterms:created xsi:type="dcterms:W3CDTF">2021-01-29T12:20:00Z</dcterms:created>
  <dcterms:modified xsi:type="dcterms:W3CDTF">2021-02-05T08:09:00Z</dcterms:modified>
</cp:coreProperties>
</file>