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904B6" w14:textId="640C9830" w:rsidR="00894C55" w:rsidRPr="00316650" w:rsidRDefault="00CE16FD" w:rsidP="00894C55">
      <w:pPr>
        <w:shd w:val="clear" w:color="auto" w:fill="FFFFFF"/>
        <w:spacing w:after="0" w:line="240" w:lineRule="auto"/>
        <w:jc w:val="center"/>
        <w:rPr>
          <w:rFonts w:ascii="Times New Roman" w:eastAsia="Times New Roman" w:hAnsi="Times New Roman" w:cs="Times New Roman"/>
          <w:b/>
          <w:bCs/>
          <w:sz w:val="24"/>
          <w:szCs w:val="24"/>
          <w:lang w:eastAsia="lv-LV"/>
        </w:rPr>
      </w:pPr>
      <w:r w:rsidRPr="00316650">
        <w:rPr>
          <w:rFonts w:ascii="Times New Roman" w:eastAsia="Times New Roman" w:hAnsi="Times New Roman" w:cs="Times New Roman"/>
          <w:b/>
          <w:bCs/>
          <w:sz w:val="24"/>
          <w:szCs w:val="24"/>
          <w:lang w:eastAsia="lv-LV"/>
        </w:rPr>
        <w:t>Ministru kabineta noteikumu projekts “</w:t>
      </w:r>
      <w:r w:rsidR="008C6F37" w:rsidRPr="00316650">
        <w:rPr>
          <w:rFonts w:ascii="Times New Roman" w:eastAsia="Times New Roman" w:hAnsi="Times New Roman" w:cs="Times New Roman"/>
          <w:b/>
          <w:bCs/>
          <w:sz w:val="24"/>
          <w:szCs w:val="24"/>
          <w:lang w:eastAsia="lv-LV"/>
        </w:rPr>
        <w:t xml:space="preserve">Ēkas </w:t>
      </w:r>
      <w:proofErr w:type="spellStart"/>
      <w:r w:rsidR="008C6F37" w:rsidRPr="00316650">
        <w:rPr>
          <w:rFonts w:ascii="Times New Roman" w:eastAsia="Times New Roman" w:hAnsi="Times New Roman" w:cs="Times New Roman"/>
          <w:b/>
          <w:bCs/>
          <w:sz w:val="24"/>
          <w:szCs w:val="24"/>
          <w:lang w:eastAsia="lv-LV"/>
        </w:rPr>
        <w:t>energosertifikācijas</w:t>
      </w:r>
      <w:proofErr w:type="spellEnd"/>
      <w:r w:rsidR="008C6F37" w:rsidRPr="00316650">
        <w:rPr>
          <w:rFonts w:ascii="Times New Roman" w:eastAsia="Times New Roman" w:hAnsi="Times New Roman" w:cs="Times New Roman"/>
          <w:b/>
          <w:bCs/>
          <w:sz w:val="24"/>
          <w:szCs w:val="24"/>
          <w:lang w:eastAsia="lv-LV"/>
        </w:rPr>
        <w:t xml:space="preserve"> un energoefektivitātes aprēķina metodes kārtība</w:t>
      </w:r>
      <w:r w:rsidRPr="00316650">
        <w:rPr>
          <w:rFonts w:ascii="Times New Roman" w:eastAsia="Times New Roman" w:hAnsi="Times New Roman" w:cs="Times New Roman"/>
          <w:b/>
          <w:bCs/>
          <w:sz w:val="24"/>
          <w:szCs w:val="24"/>
          <w:lang w:eastAsia="lv-LV"/>
        </w:rPr>
        <w:t xml:space="preserve">” </w:t>
      </w:r>
      <w:r w:rsidR="00894C55" w:rsidRPr="00316650">
        <w:rPr>
          <w:rFonts w:ascii="Times New Roman" w:eastAsia="Times New Roman" w:hAnsi="Times New Roman" w:cs="Times New Roman"/>
          <w:b/>
          <w:bCs/>
          <w:sz w:val="24"/>
          <w:szCs w:val="24"/>
          <w:lang w:eastAsia="lv-LV"/>
        </w:rPr>
        <w:t>projekta</w:t>
      </w:r>
      <w:r w:rsidR="00AD7B6C">
        <w:rPr>
          <w:rFonts w:ascii="Times New Roman" w:eastAsia="Times New Roman" w:hAnsi="Times New Roman" w:cs="Times New Roman"/>
          <w:b/>
          <w:bCs/>
          <w:sz w:val="24"/>
          <w:szCs w:val="24"/>
          <w:lang w:eastAsia="lv-LV"/>
        </w:rPr>
        <w:t xml:space="preserve"> </w:t>
      </w:r>
      <w:r w:rsidR="00894C55" w:rsidRPr="00316650">
        <w:rPr>
          <w:rFonts w:ascii="Times New Roman" w:eastAsia="Times New Roman" w:hAnsi="Times New Roman" w:cs="Times New Roman"/>
          <w:b/>
          <w:bCs/>
          <w:sz w:val="24"/>
          <w:szCs w:val="24"/>
          <w:lang w:eastAsia="lv-LV"/>
        </w:rPr>
        <w:t>sākotnējās ietekmes novērtējuma ziņojums (anotācija)</w:t>
      </w:r>
    </w:p>
    <w:p w14:paraId="1D868F3D" w14:textId="77777777" w:rsidR="00E5323B" w:rsidRPr="00316650" w:rsidRDefault="00E5323B" w:rsidP="00894C55">
      <w:pPr>
        <w:shd w:val="clear" w:color="auto" w:fill="FFFFFF"/>
        <w:spacing w:after="0" w:line="240" w:lineRule="auto"/>
        <w:jc w:val="center"/>
        <w:rPr>
          <w:rFonts w:ascii="Times New Roman" w:eastAsia="Times New Roman" w:hAnsi="Times New Roman" w:cs="Times New Roman"/>
          <w:b/>
          <w:b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0E1E68" w:rsidRPr="00316650" w14:paraId="69318A20"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E31D7D3" w14:textId="77777777" w:rsidR="00655F2C" w:rsidRPr="00316650" w:rsidRDefault="00E5323B" w:rsidP="00E5323B">
            <w:pPr>
              <w:spacing w:after="0" w:line="240" w:lineRule="auto"/>
              <w:rPr>
                <w:rFonts w:ascii="Times New Roman" w:eastAsia="Times New Roman" w:hAnsi="Times New Roman" w:cs="Times New Roman"/>
                <w:b/>
                <w:bCs/>
                <w:iCs/>
                <w:sz w:val="24"/>
                <w:szCs w:val="24"/>
                <w:lang w:val="sv-SE" w:eastAsia="lv-LV"/>
              </w:rPr>
            </w:pPr>
            <w:r w:rsidRPr="00316650">
              <w:rPr>
                <w:rFonts w:ascii="Times New Roman" w:eastAsia="Times New Roman" w:hAnsi="Times New Roman" w:cs="Times New Roman"/>
                <w:b/>
                <w:bCs/>
                <w:iCs/>
                <w:sz w:val="24"/>
                <w:szCs w:val="24"/>
                <w:lang w:val="sv-SE" w:eastAsia="lv-LV"/>
              </w:rPr>
              <w:t>Tiesību akta projekta anotācijas kopsavilkums</w:t>
            </w:r>
          </w:p>
        </w:tc>
      </w:tr>
      <w:tr w:rsidR="00937509" w:rsidRPr="00316650" w14:paraId="7BF663B6" w14:textId="77777777" w:rsidTr="00937509">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2C8CCA9D" w14:textId="77777777" w:rsidR="00937509" w:rsidRPr="00316650" w:rsidRDefault="00937509" w:rsidP="00937509">
            <w:pPr>
              <w:spacing w:after="0" w:line="240" w:lineRule="auto"/>
              <w:rPr>
                <w:rFonts w:ascii="Times New Roman" w:eastAsia="Times New Roman" w:hAnsi="Times New Roman" w:cs="Times New Roman"/>
                <w:iCs/>
                <w:sz w:val="24"/>
                <w:szCs w:val="24"/>
                <w:lang w:val="sv-SE" w:eastAsia="lv-LV"/>
              </w:rPr>
            </w:pPr>
            <w:r w:rsidRPr="00316650">
              <w:rPr>
                <w:rFonts w:ascii="Times New Roman" w:eastAsia="Times New Roman" w:hAnsi="Times New Roman" w:cs="Times New Roman"/>
                <w:iCs/>
                <w:sz w:val="24"/>
                <w:szCs w:val="24"/>
                <w:lang w:val="sv-SE" w:eastAsia="lv-LV"/>
              </w:rPr>
              <w:t>Mērķis, risinājums un projekta spēkā stāšanās laiks (500 zīmes bez atstarpēm)</w:t>
            </w:r>
          </w:p>
        </w:tc>
        <w:tc>
          <w:tcPr>
            <w:tcW w:w="2970" w:type="pct"/>
            <w:tcBorders>
              <w:top w:val="outset" w:sz="6" w:space="0" w:color="auto"/>
              <w:left w:val="outset" w:sz="6" w:space="0" w:color="auto"/>
              <w:bottom w:val="outset" w:sz="6" w:space="0" w:color="auto"/>
              <w:right w:val="outset" w:sz="6" w:space="0" w:color="auto"/>
            </w:tcBorders>
            <w:hideMark/>
          </w:tcPr>
          <w:p w14:paraId="1198B375" w14:textId="51730A2F" w:rsidR="00937509" w:rsidRPr="00316650" w:rsidRDefault="00937509" w:rsidP="00937509">
            <w:pPr>
              <w:jc w:val="both"/>
              <w:rPr>
                <w:rFonts w:ascii="Times New Roman" w:eastAsia="Times New Roman" w:hAnsi="Times New Roman" w:cs="Times New Roman"/>
                <w:sz w:val="24"/>
                <w:szCs w:val="24"/>
                <w:lang w:eastAsia="lv-LV"/>
              </w:rPr>
            </w:pPr>
            <w:r w:rsidRPr="00316650">
              <w:rPr>
                <w:rFonts w:ascii="Times New Roman" w:eastAsia="Times New Roman" w:hAnsi="Times New Roman" w:cs="Times New Roman"/>
                <w:sz w:val="24"/>
                <w:szCs w:val="24"/>
                <w:lang w:eastAsia="lv-LV"/>
              </w:rPr>
              <w:t>Ministru kabineta noteikumu projekt</w:t>
            </w:r>
            <w:r w:rsidR="00794B18" w:rsidRPr="00316650">
              <w:rPr>
                <w:rFonts w:ascii="Times New Roman" w:eastAsia="Times New Roman" w:hAnsi="Times New Roman" w:cs="Times New Roman"/>
                <w:sz w:val="24"/>
                <w:szCs w:val="24"/>
                <w:lang w:eastAsia="lv-LV"/>
              </w:rPr>
              <w:t>a</w:t>
            </w:r>
            <w:r w:rsidRPr="00316650">
              <w:rPr>
                <w:rFonts w:ascii="Times New Roman" w:eastAsia="Times New Roman" w:hAnsi="Times New Roman" w:cs="Times New Roman"/>
                <w:sz w:val="24"/>
                <w:szCs w:val="24"/>
                <w:lang w:eastAsia="lv-LV"/>
              </w:rPr>
              <w:t xml:space="preserve"> ”Ēkas  </w:t>
            </w:r>
            <w:proofErr w:type="spellStart"/>
            <w:r w:rsidRPr="00316650">
              <w:rPr>
                <w:rFonts w:ascii="Times New Roman" w:eastAsia="Times New Roman" w:hAnsi="Times New Roman" w:cs="Times New Roman"/>
                <w:sz w:val="24"/>
                <w:szCs w:val="24"/>
                <w:lang w:eastAsia="lv-LV"/>
              </w:rPr>
              <w:t>energosertifikācijas</w:t>
            </w:r>
            <w:proofErr w:type="spellEnd"/>
            <w:r w:rsidRPr="00316650">
              <w:rPr>
                <w:rFonts w:ascii="Times New Roman" w:eastAsia="Times New Roman" w:hAnsi="Times New Roman" w:cs="Times New Roman"/>
                <w:sz w:val="24"/>
                <w:szCs w:val="24"/>
                <w:lang w:eastAsia="lv-LV"/>
              </w:rPr>
              <w:t xml:space="preserve"> un energoefektivitātes aprēķina metodes kārtība” (turpmāk – Noteikumu projekts) mērķis ir ieviest </w:t>
            </w:r>
            <w:r w:rsidRPr="00316650">
              <w:rPr>
                <w:rFonts w:ascii="Times New Roman" w:hAnsi="Times New Roman" w:cs="Times New Roman"/>
                <w:sz w:val="24"/>
                <w:szCs w:val="24"/>
              </w:rPr>
              <w:t>Eiropas Parlamenta un Padomes Direktīva (ES) 2018/844 (2018. gada 30. maijs), ar ko groza Direktīvu 2010/31/ES par ēku energoefektivitāti un Direktīvu 2012/27/ES par energoefektivitāti</w:t>
            </w:r>
            <w:r w:rsidR="00794B18" w:rsidRPr="00316650">
              <w:rPr>
                <w:rFonts w:ascii="Times New Roman" w:hAnsi="Times New Roman" w:cs="Times New Roman"/>
                <w:sz w:val="24"/>
                <w:szCs w:val="24"/>
              </w:rPr>
              <w:t xml:space="preserve"> (turpmāk – Direktīva 2018/844)</w:t>
            </w:r>
            <w:r w:rsidRPr="00316650">
              <w:rPr>
                <w:rFonts w:ascii="Times New Roman" w:hAnsi="Times New Roman" w:cs="Times New Roman"/>
                <w:sz w:val="24"/>
                <w:szCs w:val="24"/>
              </w:rPr>
              <w:t xml:space="preserve"> prasības, ietverot jaunu regulējumu attiecībā uz:</w:t>
            </w:r>
          </w:p>
          <w:p w14:paraId="4CC3C9F2" w14:textId="75B39015" w:rsidR="00794B18" w:rsidRPr="00316650" w:rsidRDefault="00937509" w:rsidP="00794B18">
            <w:pPr>
              <w:pStyle w:val="ListParagraph"/>
              <w:numPr>
                <w:ilvl w:val="0"/>
                <w:numId w:val="1"/>
              </w:numPr>
              <w:jc w:val="both"/>
              <w:rPr>
                <w:rFonts w:eastAsia="Calibri"/>
                <w:bCs/>
              </w:rPr>
            </w:pPr>
            <w:r w:rsidRPr="00316650">
              <w:rPr>
                <w:rFonts w:eastAsia="Calibri"/>
                <w:bCs/>
              </w:rPr>
              <w:t>jaunu energoefek</w:t>
            </w:r>
            <w:bookmarkStart w:id="0" w:name="_GoBack"/>
            <w:bookmarkEnd w:id="0"/>
            <w:r w:rsidRPr="00316650">
              <w:rPr>
                <w:rFonts w:eastAsia="Calibri"/>
                <w:bCs/>
              </w:rPr>
              <w:t>tivitātes klasifikāciju</w:t>
            </w:r>
            <w:r w:rsidRPr="00316650">
              <w:rPr>
                <w:bCs/>
              </w:rPr>
              <w:t xml:space="preserve"> un </w:t>
            </w:r>
            <w:r w:rsidRPr="00316650">
              <w:rPr>
                <w:rFonts w:eastAsia="Calibri"/>
                <w:bCs/>
              </w:rPr>
              <w:t>references līmeņ</w:t>
            </w:r>
            <w:r w:rsidRPr="00316650">
              <w:rPr>
                <w:bCs/>
              </w:rPr>
              <w:t>us</w:t>
            </w:r>
            <w:r w:rsidRPr="00316650">
              <w:rPr>
                <w:rFonts w:eastAsia="Calibri"/>
                <w:bCs/>
              </w:rPr>
              <w:t xml:space="preserve"> </w:t>
            </w:r>
            <w:r w:rsidRPr="00316650">
              <w:t>energoefektivitātei</w:t>
            </w:r>
            <w:r w:rsidR="00794B18" w:rsidRPr="00316650">
              <w:t xml:space="preserve">; </w:t>
            </w:r>
          </w:p>
          <w:p w14:paraId="07327902" w14:textId="77777777" w:rsidR="007360FF" w:rsidRPr="00316650" w:rsidRDefault="007360FF" w:rsidP="007360FF">
            <w:pPr>
              <w:jc w:val="both"/>
              <w:rPr>
                <w:rFonts w:ascii="Times New Roman" w:eastAsia="Calibri" w:hAnsi="Times New Roman" w:cs="Times New Roman"/>
                <w:bCs/>
                <w:sz w:val="24"/>
                <w:szCs w:val="24"/>
              </w:rPr>
            </w:pPr>
          </w:p>
          <w:p w14:paraId="2A4CFA6B" w14:textId="184D73AD" w:rsidR="00937509" w:rsidRPr="00316650" w:rsidRDefault="00937509" w:rsidP="00937509">
            <w:pPr>
              <w:pStyle w:val="ListParagraph"/>
              <w:numPr>
                <w:ilvl w:val="0"/>
                <w:numId w:val="1"/>
              </w:numPr>
              <w:jc w:val="both"/>
              <w:rPr>
                <w:rFonts w:eastAsia="Calibri"/>
                <w:bCs/>
              </w:rPr>
            </w:pPr>
            <w:r w:rsidRPr="00316650">
              <w:rPr>
                <w:rFonts w:eastAsia="Calibri"/>
                <w:bCs/>
              </w:rPr>
              <w:t>jaunām vērtībām (intervāliem) ekspluatējam</w:t>
            </w:r>
            <w:r w:rsidR="00557686" w:rsidRPr="00316650">
              <w:rPr>
                <w:rFonts w:eastAsia="Calibri"/>
                <w:bCs/>
              </w:rPr>
              <w:t>u</w:t>
            </w:r>
            <w:r w:rsidRPr="00316650">
              <w:rPr>
                <w:rFonts w:eastAsia="Calibri"/>
                <w:bCs/>
              </w:rPr>
              <w:t xml:space="preserve"> ēku energoefektivitātes salīdzinošajai skalai</w:t>
            </w:r>
            <w:r w:rsidR="00794B18" w:rsidRPr="00316650">
              <w:rPr>
                <w:rFonts w:eastAsia="Calibri"/>
                <w:bCs/>
              </w:rPr>
              <w:t>;</w:t>
            </w:r>
          </w:p>
          <w:p w14:paraId="00E720A4" w14:textId="77777777" w:rsidR="00794B18" w:rsidRPr="00316650" w:rsidRDefault="00794B18" w:rsidP="00794B18">
            <w:pPr>
              <w:jc w:val="both"/>
              <w:rPr>
                <w:rFonts w:ascii="Times New Roman" w:eastAsia="Calibri" w:hAnsi="Times New Roman" w:cs="Times New Roman"/>
                <w:bCs/>
                <w:sz w:val="24"/>
                <w:szCs w:val="24"/>
              </w:rPr>
            </w:pPr>
          </w:p>
          <w:p w14:paraId="662FA725" w14:textId="49EFDAA5" w:rsidR="00937509" w:rsidRPr="00316650" w:rsidRDefault="00937509" w:rsidP="00937509">
            <w:pPr>
              <w:pStyle w:val="ListParagraph"/>
              <w:numPr>
                <w:ilvl w:val="0"/>
                <w:numId w:val="1"/>
              </w:numPr>
              <w:contextualSpacing w:val="0"/>
              <w:jc w:val="both"/>
              <w:rPr>
                <w:rFonts w:eastAsiaTheme="minorHAnsi"/>
              </w:rPr>
            </w:pPr>
            <w:r w:rsidRPr="00316650">
              <w:t>jaunu aprēķina kārtību</w:t>
            </w:r>
            <w:r w:rsidRPr="00316650">
              <w:rPr>
                <w:rFonts w:eastAsia="Calibri"/>
                <w:bCs/>
              </w:rPr>
              <w:t>, kādā nosakāms ēku energoefektivitātes minimālā pieļaujamā līmeņa pārsniegums</w:t>
            </w:r>
            <w:r w:rsidR="00794B18" w:rsidRPr="00316650">
              <w:rPr>
                <w:rFonts w:eastAsia="Calibri"/>
                <w:bCs/>
              </w:rPr>
              <w:t xml:space="preserve">; </w:t>
            </w:r>
          </w:p>
          <w:p w14:paraId="4D2C3332" w14:textId="77777777" w:rsidR="00937509" w:rsidRPr="00316650" w:rsidRDefault="00937509" w:rsidP="00937509">
            <w:pPr>
              <w:pStyle w:val="ListParagraph"/>
              <w:contextualSpacing w:val="0"/>
              <w:jc w:val="both"/>
              <w:rPr>
                <w:rFonts w:eastAsiaTheme="minorHAnsi"/>
              </w:rPr>
            </w:pPr>
          </w:p>
          <w:p w14:paraId="33B4EF90" w14:textId="5D428388" w:rsidR="00937509" w:rsidRPr="00316650" w:rsidRDefault="00937509" w:rsidP="00937509">
            <w:pPr>
              <w:pStyle w:val="ListParagraph"/>
              <w:numPr>
                <w:ilvl w:val="0"/>
                <w:numId w:val="1"/>
              </w:numPr>
              <w:contextualSpacing w:val="0"/>
              <w:jc w:val="both"/>
              <w:rPr>
                <w:rFonts w:eastAsiaTheme="minorHAnsi"/>
              </w:rPr>
            </w:pPr>
            <w:r w:rsidRPr="00316650">
              <w:rPr>
                <w:rFonts w:eastAsia="Calibri"/>
                <w:bCs/>
              </w:rPr>
              <w:t>primārās enerģijas patēriņu jaunbūvēm, pārbūvējamām un atjaunojamām ēkām</w:t>
            </w:r>
            <w:r w:rsidR="00794B18" w:rsidRPr="00316650">
              <w:rPr>
                <w:rFonts w:eastAsia="Calibri"/>
                <w:bCs/>
              </w:rPr>
              <w:t xml:space="preserve">; </w:t>
            </w:r>
          </w:p>
          <w:p w14:paraId="3F573E74" w14:textId="77777777" w:rsidR="00937509" w:rsidRPr="00316650" w:rsidRDefault="00937509" w:rsidP="00937509">
            <w:pPr>
              <w:jc w:val="both"/>
              <w:rPr>
                <w:rFonts w:ascii="Times New Roman" w:hAnsi="Times New Roman" w:cs="Times New Roman"/>
                <w:sz w:val="24"/>
                <w:szCs w:val="24"/>
              </w:rPr>
            </w:pPr>
          </w:p>
          <w:p w14:paraId="7FADDE99" w14:textId="46857468" w:rsidR="00794B18" w:rsidRPr="00316650" w:rsidRDefault="00937509" w:rsidP="00794B18">
            <w:pPr>
              <w:pStyle w:val="ListParagraph"/>
              <w:numPr>
                <w:ilvl w:val="0"/>
                <w:numId w:val="1"/>
              </w:numPr>
              <w:contextualSpacing w:val="0"/>
              <w:jc w:val="both"/>
              <w:rPr>
                <w:rFonts w:eastAsiaTheme="minorHAnsi"/>
              </w:rPr>
            </w:pPr>
            <w:r w:rsidRPr="00316650">
              <w:t xml:space="preserve">prasībām </w:t>
            </w:r>
            <w:r w:rsidRPr="00316650">
              <w:rPr>
                <w:rFonts w:eastAsia="Calibri"/>
                <w:bCs/>
              </w:rPr>
              <w:t>gandrīz nulles enerģijas ēkām</w:t>
            </w:r>
            <w:r w:rsidR="00794B18" w:rsidRPr="00316650">
              <w:rPr>
                <w:rFonts w:eastAsia="Calibri"/>
                <w:bCs/>
              </w:rPr>
              <w:t>;</w:t>
            </w:r>
          </w:p>
          <w:p w14:paraId="20E8AF35" w14:textId="77777777" w:rsidR="00794B18" w:rsidRPr="00316650" w:rsidRDefault="00794B18" w:rsidP="00794B18">
            <w:pPr>
              <w:pStyle w:val="ListParagraph"/>
              <w:rPr>
                <w:rFonts w:eastAsiaTheme="minorHAnsi"/>
              </w:rPr>
            </w:pPr>
          </w:p>
          <w:p w14:paraId="6B429D2F" w14:textId="23C9713E" w:rsidR="00937509" w:rsidRPr="00316650" w:rsidRDefault="00937509" w:rsidP="00937509">
            <w:pPr>
              <w:pStyle w:val="ListParagraph"/>
              <w:numPr>
                <w:ilvl w:val="0"/>
                <w:numId w:val="1"/>
              </w:numPr>
              <w:contextualSpacing w:val="0"/>
              <w:jc w:val="both"/>
              <w:rPr>
                <w:rFonts w:eastAsiaTheme="minorHAnsi"/>
              </w:rPr>
            </w:pPr>
            <w:r w:rsidRPr="00316650">
              <w:rPr>
                <w:shd w:val="clear" w:color="auto" w:fill="FFFFFF"/>
              </w:rPr>
              <w:t>apkures sistēmas un gaisa kondicionēšanas sistēmas</w:t>
            </w:r>
            <w:r w:rsidRPr="00316650">
              <w:rPr>
                <w:b/>
                <w:bCs/>
                <w:shd w:val="clear" w:color="auto" w:fill="FFFFFF"/>
              </w:rPr>
              <w:t> </w:t>
            </w:r>
            <w:r w:rsidRPr="00316650">
              <w:rPr>
                <w:shd w:val="clear" w:color="auto" w:fill="FFFFFF"/>
              </w:rPr>
              <w:t>pārbaudes kārtību un termiņ</w:t>
            </w:r>
            <w:r w:rsidR="00794B18" w:rsidRPr="00316650">
              <w:rPr>
                <w:shd w:val="clear" w:color="auto" w:fill="FFFFFF"/>
              </w:rPr>
              <w:t>iem</w:t>
            </w:r>
            <w:r w:rsidR="00C71026">
              <w:rPr>
                <w:shd w:val="clear" w:color="auto" w:fill="FFFFFF"/>
              </w:rPr>
              <w:t xml:space="preserve"> u.c. </w:t>
            </w:r>
          </w:p>
          <w:p w14:paraId="44A5EFAF" w14:textId="77777777" w:rsidR="00794B18" w:rsidRPr="00316650" w:rsidRDefault="00794B18" w:rsidP="00794B18">
            <w:pPr>
              <w:jc w:val="both"/>
              <w:rPr>
                <w:rFonts w:ascii="Times New Roman" w:hAnsi="Times New Roman" w:cs="Times New Roman"/>
                <w:sz w:val="24"/>
                <w:szCs w:val="24"/>
              </w:rPr>
            </w:pPr>
          </w:p>
          <w:p w14:paraId="3045AC79" w14:textId="407F54F1" w:rsidR="00794B18" w:rsidRPr="00316650" w:rsidRDefault="00794B18" w:rsidP="00794B18">
            <w:pPr>
              <w:jc w:val="both"/>
              <w:rPr>
                <w:rFonts w:ascii="Times New Roman" w:hAnsi="Times New Roman" w:cs="Times New Roman"/>
                <w:sz w:val="24"/>
                <w:szCs w:val="24"/>
              </w:rPr>
            </w:pPr>
            <w:r w:rsidRPr="00316650">
              <w:rPr>
                <w:rFonts w:ascii="Times New Roman" w:hAnsi="Times New Roman" w:cs="Times New Roman"/>
                <w:sz w:val="24"/>
                <w:szCs w:val="24"/>
              </w:rPr>
              <w:t xml:space="preserve">Papildus atbilstoši Direktīvai 2018/844 dalībvalstis savu aprēķina metodoloģiju apraksta, ievērojot valstu nacionālos pielikumus visaptverošajiem standartiem, proti, ISO 52000-1, 52010-1, 52003-1, 52016-1 un 52018-1, kas izstrādāti saskaņā ar Eiropas Standartizācijas komitejai (CEN) doto M/480 uzdevumu. Ņemot vērā minēto, ir veikta standartu nacionālo pielikumu izstrāde ēku energoefektivitātes aprēķinu metodoloģijas aprakstam. </w:t>
            </w:r>
            <w:r w:rsidR="002640A8">
              <w:rPr>
                <w:rFonts w:ascii="Times New Roman" w:hAnsi="Times New Roman" w:cs="Times New Roman"/>
                <w:sz w:val="24"/>
                <w:szCs w:val="24"/>
              </w:rPr>
              <w:t xml:space="preserve">Attiecīgi </w:t>
            </w:r>
            <w:r w:rsidRPr="00316650">
              <w:rPr>
                <w:rFonts w:ascii="Times New Roman" w:hAnsi="Times New Roman" w:cs="Times New Roman"/>
                <w:sz w:val="24"/>
                <w:szCs w:val="24"/>
              </w:rPr>
              <w:t>normatīvajā aktā nepieciešams iekļaut aktuālas un izsmeļošas atsauces uz piemērojamiem standartiem, kas piemērojami ēku energoefektivitātes aprēķina metodē.</w:t>
            </w:r>
          </w:p>
        </w:tc>
      </w:tr>
    </w:tbl>
    <w:p w14:paraId="365C4171" w14:textId="77777777" w:rsidR="00E5323B" w:rsidRPr="00316650" w:rsidRDefault="00E5323B" w:rsidP="00E5323B">
      <w:pPr>
        <w:spacing w:after="0" w:line="240" w:lineRule="auto"/>
        <w:rPr>
          <w:rFonts w:ascii="Times New Roman" w:eastAsia="Times New Roman" w:hAnsi="Times New Roman" w:cs="Times New Roman"/>
          <w:iCs/>
          <w:sz w:val="24"/>
          <w:szCs w:val="24"/>
          <w:lang w:val="sv-SE" w:eastAsia="lv-LV"/>
        </w:rPr>
      </w:pPr>
      <w:r w:rsidRPr="00316650">
        <w:rPr>
          <w:rFonts w:ascii="Times New Roman" w:eastAsia="Times New Roman" w:hAnsi="Times New Roman" w:cs="Times New Roman"/>
          <w:iCs/>
          <w:sz w:val="24"/>
          <w:szCs w:val="24"/>
          <w:lang w:val="sv-SE" w:eastAsia="lv-LV"/>
        </w:rPr>
        <w:lastRenderedPageBreak/>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E1E68" w:rsidRPr="00316650" w14:paraId="28DABBFC"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C475D80" w14:textId="77777777" w:rsidR="00655F2C" w:rsidRPr="00316650" w:rsidRDefault="00E5323B" w:rsidP="00E5323B">
            <w:pPr>
              <w:spacing w:after="0" w:line="240" w:lineRule="auto"/>
              <w:rPr>
                <w:rFonts w:ascii="Times New Roman" w:eastAsia="Times New Roman" w:hAnsi="Times New Roman" w:cs="Times New Roman"/>
                <w:b/>
                <w:bCs/>
                <w:iCs/>
                <w:sz w:val="24"/>
                <w:szCs w:val="24"/>
                <w:lang w:val="sv-SE" w:eastAsia="lv-LV"/>
              </w:rPr>
            </w:pPr>
            <w:r w:rsidRPr="00316650">
              <w:rPr>
                <w:rFonts w:ascii="Times New Roman" w:eastAsia="Times New Roman" w:hAnsi="Times New Roman" w:cs="Times New Roman"/>
                <w:b/>
                <w:bCs/>
                <w:iCs/>
                <w:sz w:val="24"/>
                <w:szCs w:val="24"/>
                <w:lang w:val="sv-SE" w:eastAsia="lv-LV"/>
              </w:rPr>
              <w:t>I. Tiesību akta projekta izstrādes nepieciešamība</w:t>
            </w:r>
          </w:p>
        </w:tc>
      </w:tr>
      <w:tr w:rsidR="000E1E68" w:rsidRPr="00316650" w14:paraId="2283739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A6A8D22" w14:textId="77777777" w:rsidR="00655F2C" w:rsidRPr="00316650" w:rsidRDefault="00E5323B"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4B54259" w14:textId="77777777" w:rsidR="00E5323B" w:rsidRPr="00316650"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316650">
              <w:rPr>
                <w:rFonts w:ascii="Times New Roman" w:eastAsia="Times New Roman" w:hAnsi="Times New Roman" w:cs="Times New Roman"/>
                <w:iCs/>
                <w:sz w:val="24"/>
                <w:szCs w:val="24"/>
                <w:lang w:val="en-US" w:eastAsia="lv-LV"/>
              </w:rPr>
              <w:t>Pamatojums</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1F02132B" w14:textId="1228E9A1" w:rsidR="00E5323B" w:rsidRPr="00A9053A" w:rsidRDefault="00360143" w:rsidP="00A9053A">
            <w:pPr>
              <w:shd w:val="clear" w:color="auto" w:fill="FFFFFF"/>
              <w:spacing w:line="240" w:lineRule="auto"/>
              <w:jc w:val="both"/>
              <w:rPr>
                <w:rFonts w:eastAsia="Times New Roman" w:cstheme="minorHAnsi"/>
                <w:i/>
                <w:iCs/>
                <w:lang w:eastAsia="lv-LV"/>
              </w:rPr>
            </w:pPr>
            <w:proofErr w:type="spellStart"/>
            <w:r w:rsidRPr="00316650">
              <w:rPr>
                <w:rFonts w:ascii="Times New Roman" w:eastAsia="Times New Roman" w:hAnsi="Times New Roman" w:cs="Times New Roman"/>
                <w:iCs/>
                <w:sz w:val="24"/>
                <w:szCs w:val="24"/>
                <w:lang w:val="en-US" w:eastAsia="lv-LV"/>
              </w:rPr>
              <w:t>Ēku</w:t>
            </w:r>
            <w:proofErr w:type="spellEnd"/>
            <w:r w:rsidRPr="00316650">
              <w:rPr>
                <w:rFonts w:ascii="Times New Roman" w:eastAsia="Times New Roman" w:hAnsi="Times New Roman" w:cs="Times New Roman"/>
                <w:iCs/>
                <w:sz w:val="24"/>
                <w:szCs w:val="24"/>
                <w:lang w:val="en-US" w:eastAsia="lv-LV"/>
              </w:rPr>
              <w:t xml:space="preserve"> </w:t>
            </w:r>
            <w:proofErr w:type="spellStart"/>
            <w:r w:rsidRPr="00A9053A">
              <w:rPr>
                <w:rFonts w:ascii="Times New Roman" w:eastAsia="Times New Roman" w:hAnsi="Times New Roman" w:cs="Times New Roman"/>
                <w:iCs/>
                <w:sz w:val="24"/>
                <w:szCs w:val="24"/>
                <w:lang w:val="en-US" w:eastAsia="lv-LV"/>
              </w:rPr>
              <w:t>energoefektivitātes</w:t>
            </w:r>
            <w:proofErr w:type="spellEnd"/>
            <w:r w:rsidRPr="00A9053A">
              <w:rPr>
                <w:rFonts w:ascii="Times New Roman" w:eastAsia="Times New Roman" w:hAnsi="Times New Roman" w:cs="Times New Roman"/>
                <w:iCs/>
                <w:sz w:val="24"/>
                <w:szCs w:val="24"/>
                <w:lang w:val="en-US" w:eastAsia="lv-LV"/>
              </w:rPr>
              <w:t xml:space="preserve"> </w:t>
            </w:r>
            <w:proofErr w:type="spellStart"/>
            <w:r w:rsidRPr="00A9053A">
              <w:rPr>
                <w:rFonts w:ascii="Times New Roman" w:eastAsia="Times New Roman" w:hAnsi="Times New Roman" w:cs="Times New Roman"/>
                <w:iCs/>
                <w:sz w:val="24"/>
                <w:szCs w:val="24"/>
                <w:lang w:val="en-US" w:eastAsia="lv-LV"/>
              </w:rPr>
              <w:t>likuma</w:t>
            </w:r>
            <w:proofErr w:type="spellEnd"/>
            <w:r w:rsidR="00BB496E" w:rsidRPr="00A9053A">
              <w:rPr>
                <w:rFonts w:ascii="Times New Roman" w:eastAsia="Times New Roman" w:hAnsi="Times New Roman" w:cs="Times New Roman"/>
                <w:iCs/>
                <w:sz w:val="24"/>
                <w:szCs w:val="24"/>
                <w:lang w:val="en-US" w:eastAsia="lv-LV"/>
              </w:rPr>
              <w:t xml:space="preserve"> </w:t>
            </w:r>
            <w:r w:rsidR="00A9053A" w:rsidRPr="00A9053A">
              <w:rPr>
                <w:rFonts w:ascii="Times New Roman" w:hAnsi="Times New Roman" w:cs="Times New Roman"/>
                <w:iCs/>
                <w:sz w:val="24"/>
                <w:szCs w:val="24"/>
              </w:rPr>
              <w:t>6.panta piekt</w:t>
            </w:r>
            <w:r w:rsidR="00A9053A">
              <w:rPr>
                <w:rFonts w:ascii="Times New Roman" w:hAnsi="Times New Roman" w:cs="Times New Roman"/>
                <w:iCs/>
                <w:sz w:val="24"/>
                <w:szCs w:val="24"/>
              </w:rPr>
              <w:t>ā</w:t>
            </w:r>
            <w:r w:rsidR="00A9053A" w:rsidRPr="00A9053A">
              <w:rPr>
                <w:rFonts w:ascii="Times New Roman" w:hAnsi="Times New Roman" w:cs="Times New Roman"/>
                <w:iCs/>
                <w:sz w:val="24"/>
                <w:szCs w:val="24"/>
              </w:rPr>
              <w:t xml:space="preserve"> daļ</w:t>
            </w:r>
            <w:r w:rsidR="00A9053A">
              <w:rPr>
                <w:rFonts w:ascii="Times New Roman" w:hAnsi="Times New Roman" w:cs="Times New Roman"/>
                <w:iCs/>
                <w:sz w:val="24"/>
                <w:szCs w:val="24"/>
              </w:rPr>
              <w:t>a</w:t>
            </w:r>
            <w:r w:rsidR="00A9053A" w:rsidRPr="00A9053A">
              <w:rPr>
                <w:rFonts w:ascii="Times New Roman" w:hAnsi="Times New Roman" w:cs="Times New Roman"/>
                <w:iCs/>
                <w:sz w:val="24"/>
                <w:szCs w:val="24"/>
              </w:rPr>
              <w:t xml:space="preserve">, </w:t>
            </w:r>
            <w:hyperlink r:id="rId10" w:anchor="p7" w:tgtFrame="_blank" w:history="1">
              <w:r w:rsidR="00A9053A" w:rsidRPr="00A9053A">
                <w:rPr>
                  <w:rStyle w:val="Hyperlink"/>
                  <w:rFonts w:ascii="Times New Roman" w:eastAsia="Times New Roman" w:hAnsi="Times New Roman" w:cs="Times New Roman"/>
                  <w:iCs/>
                  <w:color w:val="auto"/>
                  <w:sz w:val="24"/>
                  <w:szCs w:val="24"/>
                  <w:u w:val="none"/>
                  <w:lang w:eastAsia="lv-LV"/>
                </w:rPr>
                <w:t>7.panta</w:t>
              </w:r>
            </w:hyperlink>
            <w:r w:rsidR="00A9053A" w:rsidRPr="00A9053A">
              <w:rPr>
                <w:rFonts w:ascii="Times New Roman" w:eastAsia="Times New Roman" w:hAnsi="Times New Roman" w:cs="Times New Roman"/>
                <w:iCs/>
                <w:sz w:val="24"/>
                <w:szCs w:val="24"/>
                <w:lang w:eastAsia="lv-LV"/>
              </w:rPr>
              <w:t> treš</w:t>
            </w:r>
            <w:r w:rsidR="00A9053A">
              <w:rPr>
                <w:rFonts w:ascii="Times New Roman" w:eastAsia="Times New Roman" w:hAnsi="Times New Roman" w:cs="Times New Roman"/>
                <w:iCs/>
                <w:sz w:val="24"/>
                <w:szCs w:val="24"/>
                <w:lang w:eastAsia="lv-LV"/>
              </w:rPr>
              <w:t xml:space="preserve">ā </w:t>
            </w:r>
            <w:r w:rsidR="00A9053A" w:rsidRPr="00A9053A">
              <w:rPr>
                <w:rFonts w:ascii="Times New Roman" w:eastAsia="Times New Roman" w:hAnsi="Times New Roman" w:cs="Times New Roman"/>
                <w:iCs/>
                <w:sz w:val="24"/>
                <w:szCs w:val="24"/>
                <w:lang w:eastAsia="lv-LV"/>
              </w:rPr>
              <w:t>daļ</w:t>
            </w:r>
            <w:r w:rsidR="00A9053A">
              <w:rPr>
                <w:rFonts w:ascii="Times New Roman" w:eastAsia="Times New Roman" w:hAnsi="Times New Roman" w:cs="Times New Roman"/>
                <w:iCs/>
                <w:sz w:val="24"/>
                <w:szCs w:val="24"/>
                <w:lang w:eastAsia="lv-LV"/>
              </w:rPr>
              <w:t>a</w:t>
            </w:r>
            <w:r w:rsidR="00A9053A" w:rsidRPr="00A9053A">
              <w:rPr>
                <w:rFonts w:ascii="Times New Roman" w:eastAsia="Times New Roman" w:hAnsi="Times New Roman" w:cs="Times New Roman"/>
                <w:iCs/>
                <w:sz w:val="24"/>
                <w:szCs w:val="24"/>
                <w:lang w:eastAsia="lv-LV"/>
              </w:rPr>
              <w:t>, </w:t>
            </w:r>
            <w:hyperlink r:id="rId11" w:anchor="p8" w:tgtFrame="_blank" w:history="1">
              <w:r w:rsidR="00A9053A" w:rsidRPr="00A9053A">
                <w:rPr>
                  <w:rStyle w:val="Hyperlink"/>
                  <w:rFonts w:ascii="Times New Roman" w:eastAsia="Times New Roman" w:hAnsi="Times New Roman" w:cs="Times New Roman"/>
                  <w:iCs/>
                  <w:color w:val="auto"/>
                  <w:sz w:val="24"/>
                  <w:szCs w:val="24"/>
                  <w:u w:val="none"/>
                  <w:lang w:eastAsia="lv-LV"/>
                </w:rPr>
                <w:t>8.panta</w:t>
              </w:r>
            </w:hyperlink>
            <w:r w:rsidR="00A9053A" w:rsidRPr="00A9053A">
              <w:rPr>
                <w:rFonts w:ascii="Times New Roman" w:eastAsia="Times New Roman" w:hAnsi="Times New Roman" w:cs="Times New Roman"/>
                <w:iCs/>
                <w:sz w:val="24"/>
                <w:szCs w:val="24"/>
                <w:lang w:eastAsia="lv-LV"/>
              </w:rPr>
              <w:t> astot</w:t>
            </w:r>
            <w:r w:rsidR="00A9053A">
              <w:rPr>
                <w:rFonts w:ascii="Times New Roman" w:eastAsia="Times New Roman" w:hAnsi="Times New Roman" w:cs="Times New Roman"/>
                <w:iCs/>
                <w:sz w:val="24"/>
                <w:szCs w:val="24"/>
                <w:lang w:eastAsia="lv-LV"/>
              </w:rPr>
              <w:t>ā</w:t>
            </w:r>
            <w:r w:rsidR="00A9053A" w:rsidRPr="00A9053A">
              <w:rPr>
                <w:rFonts w:ascii="Times New Roman" w:eastAsia="Times New Roman" w:hAnsi="Times New Roman" w:cs="Times New Roman"/>
                <w:iCs/>
                <w:sz w:val="24"/>
                <w:szCs w:val="24"/>
                <w:lang w:eastAsia="lv-LV"/>
              </w:rPr>
              <w:t xml:space="preserve"> daļ</w:t>
            </w:r>
            <w:r w:rsidR="00A9053A">
              <w:rPr>
                <w:rFonts w:ascii="Times New Roman" w:eastAsia="Times New Roman" w:hAnsi="Times New Roman" w:cs="Times New Roman"/>
                <w:iCs/>
                <w:sz w:val="24"/>
                <w:szCs w:val="24"/>
                <w:lang w:eastAsia="lv-LV"/>
              </w:rPr>
              <w:t>a</w:t>
            </w:r>
            <w:r w:rsidR="00A9053A" w:rsidRPr="00A9053A">
              <w:rPr>
                <w:rFonts w:ascii="Times New Roman" w:eastAsia="Times New Roman" w:hAnsi="Times New Roman" w:cs="Times New Roman"/>
                <w:iCs/>
                <w:sz w:val="24"/>
                <w:szCs w:val="24"/>
                <w:lang w:eastAsia="lv-LV"/>
              </w:rPr>
              <w:t>, </w:t>
            </w:r>
            <w:r w:rsidR="00A9053A" w:rsidRPr="00A9053A">
              <w:rPr>
                <w:rFonts w:ascii="Times New Roman" w:hAnsi="Times New Roman" w:cs="Times New Roman"/>
                <w:iCs/>
                <w:sz w:val="24"/>
                <w:szCs w:val="24"/>
              </w:rPr>
              <w:t xml:space="preserve"> </w:t>
            </w:r>
            <w:hyperlink r:id="rId12" w:anchor="p9" w:tgtFrame="_blank" w:history="1">
              <w:r w:rsidR="00A9053A" w:rsidRPr="00A9053A">
                <w:rPr>
                  <w:rStyle w:val="Hyperlink"/>
                  <w:rFonts w:ascii="Times New Roman" w:eastAsia="Times New Roman" w:hAnsi="Times New Roman" w:cs="Times New Roman"/>
                  <w:iCs/>
                  <w:color w:val="auto"/>
                  <w:sz w:val="24"/>
                  <w:szCs w:val="24"/>
                  <w:u w:val="none"/>
                  <w:lang w:eastAsia="lv-LV"/>
                </w:rPr>
                <w:t>9.panta</w:t>
              </w:r>
            </w:hyperlink>
            <w:r w:rsidR="00A9053A" w:rsidRPr="00A9053A">
              <w:rPr>
                <w:rFonts w:ascii="Times New Roman" w:eastAsia="Times New Roman" w:hAnsi="Times New Roman" w:cs="Times New Roman"/>
                <w:iCs/>
                <w:sz w:val="24"/>
                <w:szCs w:val="24"/>
                <w:lang w:eastAsia="lv-LV"/>
              </w:rPr>
              <w:t> treš</w:t>
            </w:r>
            <w:r w:rsidR="00A9053A">
              <w:rPr>
                <w:rFonts w:ascii="Times New Roman" w:eastAsia="Times New Roman" w:hAnsi="Times New Roman" w:cs="Times New Roman"/>
                <w:iCs/>
                <w:sz w:val="24"/>
                <w:szCs w:val="24"/>
                <w:lang w:eastAsia="lv-LV"/>
              </w:rPr>
              <w:t>ā</w:t>
            </w:r>
            <w:r w:rsidR="00A9053A" w:rsidRPr="00A9053A">
              <w:rPr>
                <w:rFonts w:ascii="Times New Roman" w:eastAsia="Times New Roman" w:hAnsi="Times New Roman" w:cs="Times New Roman"/>
                <w:iCs/>
                <w:sz w:val="24"/>
                <w:szCs w:val="24"/>
                <w:lang w:eastAsia="lv-LV"/>
              </w:rPr>
              <w:t xml:space="preserve"> daļ</w:t>
            </w:r>
            <w:r w:rsidR="00A9053A">
              <w:rPr>
                <w:rFonts w:ascii="Times New Roman" w:eastAsia="Times New Roman" w:hAnsi="Times New Roman" w:cs="Times New Roman"/>
                <w:iCs/>
                <w:sz w:val="24"/>
                <w:szCs w:val="24"/>
                <w:lang w:eastAsia="lv-LV"/>
              </w:rPr>
              <w:t>a</w:t>
            </w:r>
            <w:r w:rsidR="00A9053A" w:rsidRPr="00A9053A">
              <w:rPr>
                <w:rFonts w:ascii="Times New Roman" w:eastAsia="Times New Roman" w:hAnsi="Times New Roman" w:cs="Times New Roman"/>
                <w:iCs/>
                <w:sz w:val="24"/>
                <w:szCs w:val="24"/>
                <w:lang w:eastAsia="lv-LV"/>
              </w:rPr>
              <w:t>,</w:t>
            </w:r>
            <w:hyperlink r:id="rId13" w:anchor="p11" w:tgtFrame="_blank" w:history="1">
              <w:r w:rsidR="00A9053A" w:rsidRPr="00A9053A">
                <w:rPr>
                  <w:rStyle w:val="Hyperlink"/>
                  <w:rFonts w:ascii="Times New Roman" w:eastAsia="Times New Roman" w:hAnsi="Times New Roman" w:cs="Times New Roman"/>
                  <w:iCs/>
                  <w:color w:val="auto"/>
                  <w:sz w:val="24"/>
                  <w:szCs w:val="24"/>
                  <w:u w:val="none"/>
                  <w:lang w:eastAsia="lv-LV"/>
                </w:rPr>
                <w:t>11.panta</w:t>
              </w:r>
            </w:hyperlink>
            <w:r w:rsidR="00A9053A" w:rsidRPr="00A9053A">
              <w:rPr>
                <w:rFonts w:ascii="Times New Roman" w:eastAsia="Times New Roman" w:hAnsi="Times New Roman" w:cs="Times New Roman"/>
                <w:iCs/>
                <w:sz w:val="24"/>
                <w:szCs w:val="24"/>
                <w:lang w:eastAsia="lv-LV"/>
              </w:rPr>
              <w:t> treš</w:t>
            </w:r>
            <w:r w:rsidR="00A9053A">
              <w:rPr>
                <w:rFonts w:ascii="Times New Roman" w:eastAsia="Times New Roman" w:hAnsi="Times New Roman" w:cs="Times New Roman"/>
                <w:iCs/>
                <w:sz w:val="24"/>
                <w:szCs w:val="24"/>
                <w:lang w:eastAsia="lv-LV"/>
              </w:rPr>
              <w:t>ā</w:t>
            </w:r>
            <w:r w:rsidR="00A9053A" w:rsidRPr="00A9053A">
              <w:rPr>
                <w:rFonts w:ascii="Times New Roman" w:eastAsia="Times New Roman" w:hAnsi="Times New Roman" w:cs="Times New Roman"/>
                <w:i/>
                <w:iCs/>
                <w:sz w:val="24"/>
                <w:szCs w:val="24"/>
                <w:lang w:eastAsia="lv-LV"/>
              </w:rPr>
              <w:t xml:space="preserve"> </w:t>
            </w:r>
            <w:r w:rsidR="00A9053A" w:rsidRPr="00A9053A">
              <w:rPr>
                <w:rFonts w:ascii="Times New Roman" w:eastAsia="Times New Roman" w:hAnsi="Times New Roman" w:cs="Times New Roman"/>
                <w:sz w:val="24"/>
                <w:szCs w:val="24"/>
                <w:lang w:eastAsia="lv-LV"/>
              </w:rPr>
              <w:t>daļa un</w:t>
            </w:r>
            <w:r w:rsidR="00296E70" w:rsidRPr="00A9053A">
              <w:rPr>
                <w:rFonts w:ascii="Times New Roman" w:eastAsia="Times New Roman" w:hAnsi="Times New Roman" w:cs="Times New Roman"/>
                <w:iCs/>
                <w:sz w:val="24"/>
                <w:szCs w:val="24"/>
                <w:lang w:val="en-US" w:eastAsia="lv-LV"/>
              </w:rPr>
              <w:t xml:space="preserve"> </w:t>
            </w:r>
            <w:proofErr w:type="spellStart"/>
            <w:r w:rsidR="00296E70" w:rsidRPr="00A9053A">
              <w:rPr>
                <w:rFonts w:ascii="Times New Roman" w:eastAsia="Times New Roman" w:hAnsi="Times New Roman" w:cs="Times New Roman"/>
                <w:iCs/>
                <w:sz w:val="24"/>
                <w:szCs w:val="24"/>
                <w:lang w:val="en-US" w:eastAsia="lv-LV"/>
              </w:rPr>
              <w:t>Pārejas</w:t>
            </w:r>
            <w:proofErr w:type="spellEnd"/>
            <w:r w:rsidR="00296E70" w:rsidRPr="00A9053A">
              <w:rPr>
                <w:rFonts w:ascii="Times New Roman" w:eastAsia="Times New Roman" w:hAnsi="Times New Roman" w:cs="Times New Roman"/>
                <w:iCs/>
                <w:sz w:val="24"/>
                <w:szCs w:val="24"/>
                <w:lang w:val="en-US" w:eastAsia="lv-LV"/>
              </w:rPr>
              <w:t xml:space="preserve"> </w:t>
            </w:r>
            <w:proofErr w:type="spellStart"/>
            <w:r w:rsidR="00296E70" w:rsidRPr="00A9053A">
              <w:rPr>
                <w:rFonts w:ascii="Times New Roman" w:eastAsia="Times New Roman" w:hAnsi="Times New Roman" w:cs="Times New Roman"/>
                <w:iCs/>
                <w:sz w:val="24"/>
                <w:szCs w:val="24"/>
                <w:lang w:val="en-US" w:eastAsia="lv-LV"/>
              </w:rPr>
              <w:t>noteikumu</w:t>
            </w:r>
            <w:proofErr w:type="spellEnd"/>
            <w:r w:rsidR="00296E70" w:rsidRPr="00A9053A">
              <w:rPr>
                <w:rFonts w:ascii="Times New Roman" w:eastAsia="Times New Roman" w:hAnsi="Times New Roman" w:cs="Times New Roman"/>
                <w:iCs/>
                <w:sz w:val="24"/>
                <w:szCs w:val="24"/>
                <w:lang w:val="en-US" w:eastAsia="lv-LV"/>
              </w:rPr>
              <w:t xml:space="preserve"> 12.</w:t>
            </w:r>
            <w:r w:rsidR="00296E70" w:rsidRPr="00316650">
              <w:rPr>
                <w:rFonts w:ascii="Times New Roman" w:eastAsia="Times New Roman" w:hAnsi="Times New Roman" w:cs="Times New Roman"/>
                <w:iCs/>
                <w:sz w:val="24"/>
                <w:szCs w:val="24"/>
                <w:lang w:val="en-US" w:eastAsia="lv-LV"/>
              </w:rPr>
              <w:t xml:space="preserve">punkts. </w:t>
            </w:r>
          </w:p>
          <w:p w14:paraId="08BF0084" w14:textId="4FDD76F2" w:rsidR="00FA0F4A" w:rsidRPr="005D0DE7" w:rsidRDefault="00FA0F4A" w:rsidP="00FA0F4A">
            <w:pPr>
              <w:spacing w:after="0" w:line="240" w:lineRule="auto"/>
              <w:jc w:val="both"/>
              <w:rPr>
                <w:rFonts w:ascii="Times New Roman" w:eastAsia="Times New Roman" w:hAnsi="Times New Roman" w:cs="Times New Roman"/>
                <w:iCs/>
                <w:sz w:val="24"/>
                <w:szCs w:val="24"/>
                <w:lang w:eastAsia="lv-LV"/>
              </w:rPr>
            </w:pPr>
            <w:r w:rsidRPr="00316650">
              <w:rPr>
                <w:rFonts w:ascii="Times New Roman" w:hAnsi="Times New Roman" w:cs="Times New Roman"/>
                <w:sz w:val="24"/>
                <w:szCs w:val="24"/>
              </w:rPr>
              <w:t>Eiropas Parlamenta un Padomes Direktīva (ES) 2018/844 (2018. gada 30. maijs), ar ko groza Direktīvu 2010/31/ES par ēku energoefektivitāti un Direktīvu 2012/27/ES par energoefektivitāti (Direktīva 2018/844).</w:t>
            </w:r>
          </w:p>
        </w:tc>
      </w:tr>
      <w:tr w:rsidR="000E1E68" w:rsidRPr="00316650" w14:paraId="7945834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7F52A37" w14:textId="77777777" w:rsidR="00655F2C" w:rsidRPr="00316650" w:rsidRDefault="00E5323B"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3613DBA" w14:textId="77777777" w:rsidR="00E5323B" w:rsidRPr="00316650"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316650">
              <w:rPr>
                <w:rFonts w:ascii="Times New Roman" w:eastAsia="Times New Roman" w:hAnsi="Times New Roman" w:cs="Times New Roman"/>
                <w:iCs/>
                <w:sz w:val="24"/>
                <w:szCs w:val="24"/>
                <w:lang w:val="en-US" w:eastAsia="lv-LV"/>
              </w:rPr>
              <w:t>Pašreizējā</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situācija</w:t>
            </w:r>
            <w:proofErr w:type="spellEnd"/>
            <w:r w:rsidRPr="00316650">
              <w:rPr>
                <w:rFonts w:ascii="Times New Roman" w:eastAsia="Times New Roman" w:hAnsi="Times New Roman" w:cs="Times New Roman"/>
                <w:iCs/>
                <w:sz w:val="24"/>
                <w:szCs w:val="24"/>
                <w:lang w:val="en-US" w:eastAsia="lv-LV"/>
              </w:rPr>
              <w:t xml:space="preserve"> un </w:t>
            </w:r>
            <w:proofErr w:type="spellStart"/>
            <w:r w:rsidRPr="00316650">
              <w:rPr>
                <w:rFonts w:ascii="Times New Roman" w:eastAsia="Times New Roman" w:hAnsi="Times New Roman" w:cs="Times New Roman"/>
                <w:iCs/>
                <w:sz w:val="24"/>
                <w:szCs w:val="24"/>
                <w:lang w:val="en-US" w:eastAsia="lv-LV"/>
              </w:rPr>
              <w:t>problēmas</w:t>
            </w:r>
            <w:proofErr w:type="spellEnd"/>
            <w:r w:rsidRPr="00316650">
              <w:rPr>
                <w:rFonts w:ascii="Times New Roman" w:eastAsia="Times New Roman" w:hAnsi="Times New Roman" w:cs="Times New Roman"/>
                <w:iCs/>
                <w:sz w:val="24"/>
                <w:szCs w:val="24"/>
                <w:lang w:val="en-US" w:eastAsia="lv-LV"/>
              </w:rPr>
              <w:t xml:space="preserve">, kuru </w:t>
            </w:r>
            <w:proofErr w:type="spellStart"/>
            <w:r w:rsidRPr="00316650">
              <w:rPr>
                <w:rFonts w:ascii="Times New Roman" w:eastAsia="Times New Roman" w:hAnsi="Times New Roman" w:cs="Times New Roman"/>
                <w:iCs/>
                <w:sz w:val="24"/>
                <w:szCs w:val="24"/>
                <w:lang w:val="en-US" w:eastAsia="lv-LV"/>
              </w:rPr>
              <w:t>risināšanai</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tiesību</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akta</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projekts</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izstrādāts</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tiesiskā</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regulējuma</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mērķis</w:t>
            </w:r>
            <w:proofErr w:type="spellEnd"/>
            <w:r w:rsidRPr="00316650">
              <w:rPr>
                <w:rFonts w:ascii="Times New Roman" w:eastAsia="Times New Roman" w:hAnsi="Times New Roman" w:cs="Times New Roman"/>
                <w:iCs/>
                <w:sz w:val="24"/>
                <w:szCs w:val="24"/>
                <w:lang w:val="en-US" w:eastAsia="lv-LV"/>
              </w:rPr>
              <w:t xml:space="preserve"> un </w:t>
            </w:r>
            <w:proofErr w:type="spellStart"/>
            <w:r w:rsidRPr="00316650">
              <w:rPr>
                <w:rFonts w:ascii="Times New Roman" w:eastAsia="Times New Roman" w:hAnsi="Times New Roman" w:cs="Times New Roman"/>
                <w:iCs/>
                <w:sz w:val="24"/>
                <w:szCs w:val="24"/>
                <w:lang w:val="en-US" w:eastAsia="lv-LV"/>
              </w:rPr>
              <w:t>būtība</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1891463C" w14:textId="548F6356" w:rsidR="00BD4021" w:rsidRPr="00316650" w:rsidRDefault="00BD4021" w:rsidP="0032488B">
            <w:pPr>
              <w:autoSpaceDE w:val="0"/>
              <w:autoSpaceDN w:val="0"/>
              <w:adjustRightInd w:val="0"/>
              <w:spacing w:after="0" w:line="240" w:lineRule="auto"/>
              <w:jc w:val="both"/>
              <w:rPr>
                <w:rFonts w:ascii="Times New Roman" w:eastAsia="Calibri" w:hAnsi="Times New Roman" w:cs="Times New Roman"/>
                <w:iCs/>
                <w:sz w:val="24"/>
                <w:szCs w:val="24"/>
                <w:u w:val="single"/>
              </w:rPr>
            </w:pPr>
            <w:r w:rsidRPr="00316650">
              <w:rPr>
                <w:rFonts w:ascii="Times New Roman" w:eastAsia="Calibri" w:hAnsi="Times New Roman" w:cs="Times New Roman"/>
                <w:iCs/>
                <w:sz w:val="24"/>
                <w:szCs w:val="24"/>
                <w:u w:val="single"/>
              </w:rPr>
              <w:t>Ēku energoefektivitātes klasifikācijas sistēma</w:t>
            </w:r>
          </w:p>
          <w:p w14:paraId="24E2C2EE" w14:textId="77777777" w:rsidR="00BD4021" w:rsidRPr="00316650" w:rsidRDefault="00BD4021" w:rsidP="0032488B">
            <w:pPr>
              <w:autoSpaceDE w:val="0"/>
              <w:autoSpaceDN w:val="0"/>
              <w:adjustRightInd w:val="0"/>
              <w:spacing w:after="0" w:line="240" w:lineRule="auto"/>
              <w:jc w:val="both"/>
              <w:rPr>
                <w:rFonts w:ascii="Times New Roman" w:hAnsi="Times New Roman" w:cs="Times New Roman"/>
                <w:sz w:val="24"/>
                <w:szCs w:val="24"/>
              </w:rPr>
            </w:pPr>
          </w:p>
          <w:p w14:paraId="02235AE7" w14:textId="3CDA2A30" w:rsidR="0032488B" w:rsidRPr="00316650" w:rsidRDefault="0032488B" w:rsidP="0032488B">
            <w:pPr>
              <w:autoSpaceDE w:val="0"/>
              <w:autoSpaceDN w:val="0"/>
              <w:adjustRightInd w:val="0"/>
              <w:spacing w:after="0" w:line="240" w:lineRule="auto"/>
              <w:jc w:val="both"/>
              <w:rPr>
                <w:rFonts w:ascii="Times New Roman" w:hAnsi="Times New Roman" w:cs="Times New Roman"/>
                <w:sz w:val="24"/>
                <w:szCs w:val="24"/>
              </w:rPr>
            </w:pPr>
            <w:r w:rsidRPr="00316650">
              <w:rPr>
                <w:rFonts w:ascii="Times New Roman" w:hAnsi="Times New Roman" w:cs="Times New Roman"/>
                <w:sz w:val="24"/>
                <w:szCs w:val="24"/>
              </w:rPr>
              <w:t>Direktīva</w:t>
            </w:r>
            <w:r w:rsidR="002A0133" w:rsidRPr="00316650">
              <w:rPr>
                <w:rFonts w:ascii="Times New Roman" w:hAnsi="Times New Roman" w:cs="Times New Roman"/>
                <w:sz w:val="24"/>
                <w:szCs w:val="24"/>
              </w:rPr>
              <w:t xml:space="preserve"> 2018/844</w:t>
            </w:r>
            <w:r w:rsidRPr="00316650">
              <w:rPr>
                <w:rFonts w:ascii="Times New Roman" w:hAnsi="Times New Roman" w:cs="Times New Roman"/>
                <w:sz w:val="24"/>
                <w:szCs w:val="24"/>
              </w:rPr>
              <w:t xml:space="preserve"> paredz, ka ēkas energoefektivitāti izsaka ar skaitlisku norādi par primārās enerģijas izmantošanu (</w:t>
            </w:r>
            <w:proofErr w:type="spellStart"/>
            <w:r w:rsidRPr="00316650">
              <w:rPr>
                <w:rFonts w:ascii="Times New Roman" w:hAnsi="Times New Roman" w:cs="Times New Roman"/>
                <w:sz w:val="24"/>
                <w:szCs w:val="24"/>
              </w:rPr>
              <w:t>kWh</w:t>
            </w:r>
            <w:proofErr w:type="spellEnd"/>
            <w:r w:rsidRPr="00316650">
              <w:rPr>
                <w:rFonts w:ascii="Times New Roman" w:hAnsi="Times New Roman" w:cs="Times New Roman"/>
                <w:sz w:val="24"/>
                <w:szCs w:val="24"/>
              </w:rPr>
              <w:t>/(m</w:t>
            </w:r>
            <w:r w:rsidRPr="00316650">
              <w:rPr>
                <w:rFonts w:ascii="Times New Roman" w:hAnsi="Times New Roman" w:cs="Times New Roman"/>
                <w:sz w:val="24"/>
                <w:szCs w:val="24"/>
                <w:vertAlign w:val="superscript"/>
              </w:rPr>
              <w:t>2</w:t>
            </w:r>
            <w:r w:rsidRPr="00316650">
              <w:rPr>
                <w:rFonts w:ascii="Times New Roman" w:hAnsi="Times New Roman" w:cs="Times New Roman"/>
                <w:sz w:val="24"/>
                <w:szCs w:val="24"/>
              </w:rPr>
              <w:t xml:space="preserve">/gadā)) gan energoefektivitātes sertifikācijas vajadzībām, gan nolūkā izpildīt minimālās energoefektivitātes prasības. </w:t>
            </w:r>
          </w:p>
          <w:p w14:paraId="2162F2FD" w14:textId="77777777" w:rsidR="0032488B" w:rsidRPr="00316650" w:rsidRDefault="0032488B" w:rsidP="0032488B">
            <w:pPr>
              <w:autoSpaceDE w:val="0"/>
              <w:autoSpaceDN w:val="0"/>
              <w:adjustRightInd w:val="0"/>
              <w:spacing w:after="0" w:line="240" w:lineRule="auto"/>
              <w:jc w:val="both"/>
              <w:rPr>
                <w:rFonts w:ascii="Times New Roman" w:eastAsia="Calibri" w:hAnsi="Times New Roman" w:cs="Times New Roman"/>
                <w:iCs/>
                <w:sz w:val="24"/>
                <w:szCs w:val="24"/>
              </w:rPr>
            </w:pPr>
          </w:p>
          <w:p w14:paraId="6C1087B0" w14:textId="77777777" w:rsidR="0032488B" w:rsidRPr="00316650" w:rsidRDefault="0032488B" w:rsidP="0032488B">
            <w:pPr>
              <w:autoSpaceDE w:val="0"/>
              <w:autoSpaceDN w:val="0"/>
              <w:adjustRightInd w:val="0"/>
              <w:spacing w:after="0" w:line="240" w:lineRule="auto"/>
              <w:jc w:val="both"/>
              <w:rPr>
                <w:rFonts w:ascii="Times New Roman" w:hAnsi="Times New Roman" w:cs="Times New Roman"/>
                <w:sz w:val="24"/>
                <w:szCs w:val="24"/>
              </w:rPr>
            </w:pPr>
            <w:r w:rsidRPr="00316650">
              <w:rPr>
                <w:rFonts w:ascii="Times New Roman" w:eastAsia="Calibri" w:hAnsi="Times New Roman" w:cs="Times New Roman"/>
                <w:iCs/>
                <w:sz w:val="24"/>
                <w:szCs w:val="24"/>
              </w:rPr>
              <w:t xml:space="preserve">Latvijā šobrīd ēku energoefektivitātes klases noteiktas, pamatojoties uz ēkas īpatnējo apkures patēriņu. Šobrīd ekspluatējamām ēkām tiek izšķirtas energoefektivitātes klases dzīvojamām un nedzīvojamām ēkām, savukārt ēku energoefektivitātes minimālais pieļaujamais līmenis jaunbūvēm izdalīts sīkāk: viendzīvokļa un </w:t>
            </w:r>
            <w:proofErr w:type="spellStart"/>
            <w:r w:rsidRPr="00316650">
              <w:rPr>
                <w:rFonts w:ascii="Times New Roman" w:eastAsia="Calibri" w:hAnsi="Times New Roman" w:cs="Times New Roman"/>
                <w:iCs/>
                <w:sz w:val="24"/>
                <w:szCs w:val="24"/>
              </w:rPr>
              <w:t>divdzīvokļu</w:t>
            </w:r>
            <w:proofErr w:type="spellEnd"/>
            <w:r w:rsidRPr="00316650">
              <w:rPr>
                <w:rFonts w:ascii="Times New Roman" w:eastAsia="Calibri" w:hAnsi="Times New Roman" w:cs="Times New Roman"/>
                <w:iCs/>
                <w:sz w:val="24"/>
                <w:szCs w:val="24"/>
              </w:rPr>
              <w:t xml:space="preserve"> ēkām, daudzdzīvokļu ēkām, ēkām, kuras ir valsts īpašumā un institūciju valdījumā un kurās atrodas valsts institūcijas un citām nedzīvojamām ēkām. Savukārt, pārbūvējamām vai atjaunojamām ēkām energoefektivitātes minimālais pieļaujamais līmenis noteikts  viendzīvokļa un </w:t>
            </w:r>
            <w:proofErr w:type="spellStart"/>
            <w:r w:rsidRPr="00316650">
              <w:rPr>
                <w:rFonts w:ascii="Times New Roman" w:eastAsia="Calibri" w:hAnsi="Times New Roman" w:cs="Times New Roman"/>
                <w:iCs/>
                <w:sz w:val="24"/>
                <w:szCs w:val="24"/>
              </w:rPr>
              <w:t>divdzīvokļu</w:t>
            </w:r>
            <w:proofErr w:type="spellEnd"/>
            <w:r w:rsidRPr="00316650">
              <w:rPr>
                <w:rFonts w:ascii="Times New Roman" w:eastAsia="Calibri" w:hAnsi="Times New Roman" w:cs="Times New Roman"/>
                <w:iCs/>
                <w:sz w:val="24"/>
                <w:szCs w:val="24"/>
              </w:rPr>
              <w:t xml:space="preserve"> ēkām, daudzdzīvokļu ēkām un nedzīvojamām ēkām. </w:t>
            </w:r>
          </w:p>
          <w:p w14:paraId="5132491F" w14:textId="77777777" w:rsidR="0032488B" w:rsidRPr="00316650" w:rsidRDefault="0032488B" w:rsidP="0032488B">
            <w:pPr>
              <w:pStyle w:val="ListParagraph"/>
              <w:ind w:left="273"/>
              <w:jc w:val="both"/>
              <w:rPr>
                <w:rFonts w:eastAsia="Calibri"/>
                <w:iCs/>
              </w:rPr>
            </w:pPr>
          </w:p>
          <w:p w14:paraId="655CF378" w14:textId="502A7A9C" w:rsidR="00C22524" w:rsidRPr="00340C17" w:rsidRDefault="00C22524" w:rsidP="00C22524">
            <w:pPr>
              <w:pStyle w:val="Default"/>
              <w:jc w:val="both"/>
              <w:rPr>
                <w:rFonts w:eastAsia="Times New Roman"/>
                <w:iCs/>
                <w:color w:val="auto"/>
                <w:lang w:eastAsia="lv-LV"/>
              </w:rPr>
            </w:pPr>
            <w:r>
              <w:rPr>
                <w:rFonts w:eastAsia="Times New Roman"/>
                <w:iCs/>
                <w:lang w:eastAsia="lv-LV"/>
              </w:rPr>
              <w:t xml:space="preserve">2020.gada </w:t>
            </w:r>
            <w:r w:rsidR="004F38DB">
              <w:rPr>
                <w:rFonts w:eastAsia="Times New Roman"/>
                <w:iCs/>
                <w:lang w:eastAsia="lv-LV"/>
              </w:rPr>
              <w:t xml:space="preserve">2.novembrī stājās spēkā likums “Grozījumi Ēku energoefektivitātes likumā” </w:t>
            </w:r>
            <w:r w:rsidR="00682425">
              <w:rPr>
                <w:rFonts w:eastAsia="Times New Roman"/>
                <w:iCs/>
                <w:lang w:eastAsia="lv-LV"/>
              </w:rPr>
              <w:t xml:space="preserve">(turpmāk tekstā attiecībā uz veiktajiem grozījumiem sniegta atsauce uz spēkā esošā konsolidētā </w:t>
            </w:r>
            <w:r w:rsidR="00314FBE">
              <w:rPr>
                <w:rFonts w:eastAsia="Times New Roman"/>
                <w:iCs/>
                <w:lang w:eastAsia="lv-LV"/>
              </w:rPr>
              <w:t>Ēku energoefektivitātes likuma attiecīgo pantu), kas</w:t>
            </w:r>
            <w:r w:rsidR="00A30102">
              <w:rPr>
                <w:rFonts w:eastAsia="Times New Roman"/>
                <w:iCs/>
                <w:lang w:eastAsia="lv-LV"/>
              </w:rPr>
              <w:t xml:space="preserve"> pārņem Direktīvas 2018/844 prasības. </w:t>
            </w:r>
            <w:r w:rsidR="00F458DE">
              <w:rPr>
                <w:rFonts w:eastAsia="Times New Roman"/>
                <w:iCs/>
                <w:lang w:eastAsia="lv-LV"/>
              </w:rPr>
              <w:t xml:space="preserve">Ievērojot </w:t>
            </w:r>
            <w:r w:rsidR="00F458DE" w:rsidRPr="00316650">
              <w:rPr>
                <w:rFonts w:eastAsia="Times New Roman"/>
                <w:iCs/>
                <w:lang w:eastAsia="lv-LV"/>
              </w:rPr>
              <w:t>Ēku energoefektivitātes likum</w:t>
            </w:r>
            <w:r w:rsidR="00F458DE">
              <w:rPr>
                <w:rFonts w:eastAsia="Times New Roman"/>
                <w:iCs/>
                <w:lang w:eastAsia="lv-LV"/>
              </w:rPr>
              <w:t>ā ietverto regulējumu</w:t>
            </w:r>
            <w:r w:rsidR="00080CAF">
              <w:rPr>
                <w:rFonts w:eastAsia="Times New Roman"/>
                <w:iCs/>
                <w:lang w:eastAsia="lv-LV"/>
              </w:rPr>
              <w:t xml:space="preserve"> un Pārejas noteikumu 12.</w:t>
            </w:r>
            <w:r w:rsidR="00200C91">
              <w:rPr>
                <w:rFonts w:eastAsia="Times New Roman"/>
                <w:iCs/>
                <w:lang w:eastAsia="lv-LV"/>
              </w:rPr>
              <w:t>punktu</w:t>
            </w:r>
            <w:r w:rsidR="00080CAF" w:rsidRPr="003E42E4">
              <w:rPr>
                <w:rFonts w:eastAsia="Times New Roman"/>
                <w:iCs/>
                <w:color w:val="auto"/>
                <w:lang w:eastAsia="lv-LV"/>
              </w:rPr>
              <w:t xml:space="preserve">, kas paredz, ka </w:t>
            </w:r>
            <w:r w:rsidR="003E42E4" w:rsidRPr="003E42E4">
              <w:rPr>
                <w:rFonts w:eastAsia="Times New Roman"/>
                <w:iCs/>
                <w:color w:val="auto"/>
                <w:lang w:eastAsia="lv-LV"/>
              </w:rPr>
              <w:t xml:space="preserve">līdz jaunu noteikumu spēkā stāšanās dienai, </w:t>
            </w:r>
            <w:r w:rsidR="003E42E4" w:rsidRPr="003E42E4">
              <w:rPr>
                <w:color w:val="auto"/>
                <w:shd w:val="clear" w:color="auto" w:fill="FFFFFF"/>
              </w:rPr>
              <w:t>bet ne ilgāk kā līdz 2021. gada 31. martam ir piemērojami Ministru kabineta 2013. gada 25. jūnija noteikumi Nr. 348 "</w:t>
            </w:r>
            <w:hyperlink r:id="rId14" w:tgtFrame="_blank" w:history="1">
              <w:r w:rsidR="003E42E4" w:rsidRPr="003E42E4">
                <w:rPr>
                  <w:rStyle w:val="Hyperlink"/>
                  <w:color w:val="auto"/>
                  <w:u w:val="none"/>
                  <w:shd w:val="clear" w:color="auto" w:fill="FFFFFF"/>
                </w:rPr>
                <w:t>Ēkas energoefektivitātes aprēķina metode</w:t>
              </w:r>
            </w:hyperlink>
            <w:r w:rsidR="003E42E4" w:rsidRPr="003E42E4">
              <w:rPr>
                <w:color w:val="auto"/>
                <w:shd w:val="clear" w:color="auto" w:fill="FFFFFF"/>
              </w:rPr>
              <w:t>" un 2013. gada 9. jūlija noteikumi Nr. 383 "</w:t>
            </w:r>
            <w:hyperlink r:id="rId15" w:tgtFrame="_blank" w:history="1">
              <w:r w:rsidR="003E42E4" w:rsidRPr="003E42E4">
                <w:rPr>
                  <w:rStyle w:val="Hyperlink"/>
                  <w:color w:val="auto"/>
                  <w:u w:val="none"/>
                  <w:shd w:val="clear" w:color="auto" w:fill="FFFFFF"/>
                </w:rPr>
                <w:t xml:space="preserve">Noteikumi par ēku </w:t>
              </w:r>
              <w:proofErr w:type="spellStart"/>
              <w:r w:rsidR="003E42E4" w:rsidRPr="003E42E4">
                <w:rPr>
                  <w:rStyle w:val="Hyperlink"/>
                  <w:color w:val="auto"/>
                  <w:u w:val="none"/>
                  <w:shd w:val="clear" w:color="auto" w:fill="FFFFFF"/>
                </w:rPr>
                <w:t>energosertifikāciju</w:t>
              </w:r>
              <w:proofErr w:type="spellEnd"/>
            </w:hyperlink>
            <w:r w:rsidR="003E42E4" w:rsidRPr="003E42E4">
              <w:rPr>
                <w:color w:val="auto"/>
                <w:shd w:val="clear" w:color="auto" w:fill="FFFFFF"/>
              </w:rPr>
              <w:t>", ciktāl tie nav pretrunā ar šo likumu."</w:t>
            </w:r>
            <w:r w:rsidR="000E6EF1">
              <w:rPr>
                <w:color w:val="auto"/>
                <w:shd w:val="clear" w:color="auto" w:fill="FFFFFF"/>
              </w:rPr>
              <w:t xml:space="preserve">, Noteikumu projekts </w:t>
            </w:r>
            <w:r w:rsidR="00215CC9">
              <w:rPr>
                <w:color w:val="auto"/>
                <w:shd w:val="clear" w:color="auto" w:fill="FFFFFF"/>
              </w:rPr>
              <w:t xml:space="preserve">aizvieto minētos normatīvos aktus un apvieno </w:t>
            </w:r>
            <w:r w:rsidR="00215CC9">
              <w:rPr>
                <w:color w:val="auto"/>
                <w:shd w:val="clear" w:color="auto" w:fill="FFFFFF"/>
              </w:rPr>
              <w:lastRenderedPageBreak/>
              <w:t xml:space="preserve">regulējumu gan ēku </w:t>
            </w:r>
            <w:proofErr w:type="spellStart"/>
            <w:r w:rsidR="00215CC9">
              <w:rPr>
                <w:color w:val="auto"/>
                <w:shd w:val="clear" w:color="auto" w:fill="FFFFFF"/>
              </w:rPr>
              <w:t>energosertifikācijas</w:t>
            </w:r>
            <w:proofErr w:type="spellEnd"/>
            <w:r w:rsidR="00215CC9">
              <w:rPr>
                <w:color w:val="auto"/>
                <w:shd w:val="clear" w:color="auto" w:fill="FFFFFF"/>
              </w:rPr>
              <w:t xml:space="preserve"> kārtībai</w:t>
            </w:r>
            <w:r w:rsidR="00340C17">
              <w:rPr>
                <w:color w:val="auto"/>
                <w:shd w:val="clear" w:color="auto" w:fill="FFFFFF"/>
              </w:rPr>
              <w:t xml:space="preserve">, gan ēku energoefektivitātes aprēķina metodei. </w:t>
            </w:r>
          </w:p>
          <w:p w14:paraId="0FD70BE2" w14:textId="77777777" w:rsidR="00C22524" w:rsidRDefault="00C22524" w:rsidP="00C22524">
            <w:pPr>
              <w:pStyle w:val="Default"/>
              <w:jc w:val="both"/>
              <w:rPr>
                <w:rFonts w:eastAsia="Times New Roman"/>
                <w:iCs/>
                <w:lang w:eastAsia="lv-LV"/>
              </w:rPr>
            </w:pPr>
          </w:p>
          <w:p w14:paraId="6379A123" w14:textId="71A9501B" w:rsidR="0032488B" w:rsidRPr="005524E8" w:rsidRDefault="002A0133" w:rsidP="005524E8">
            <w:pPr>
              <w:pStyle w:val="Default"/>
              <w:jc w:val="both"/>
              <w:rPr>
                <w:rFonts w:eastAsia="Times New Roman"/>
                <w:iCs/>
                <w:lang w:eastAsia="lv-LV"/>
              </w:rPr>
            </w:pPr>
            <w:r w:rsidRPr="00316650">
              <w:rPr>
                <w:rFonts w:eastAsia="Times New Roman"/>
                <w:iCs/>
                <w:lang w:eastAsia="lv-LV"/>
              </w:rPr>
              <w:t xml:space="preserve">Ēku energoefektivitātes likuma </w:t>
            </w:r>
            <w:r w:rsidR="00FB76D2" w:rsidRPr="00316650">
              <w:rPr>
                <w:rFonts w:eastAsia="Times New Roman"/>
                <w:iCs/>
                <w:lang w:eastAsia="lv-LV"/>
              </w:rPr>
              <w:t>9.panta pirmā daļa</w:t>
            </w:r>
            <w:r w:rsidR="00C22524">
              <w:rPr>
                <w:rFonts w:eastAsia="Times New Roman"/>
                <w:iCs/>
                <w:lang w:eastAsia="lv-LV"/>
              </w:rPr>
              <w:t xml:space="preserve"> </w:t>
            </w:r>
            <w:r w:rsidR="0032488B" w:rsidRPr="00316650">
              <w:rPr>
                <w:rFonts w:eastAsia="Calibri"/>
                <w:iCs/>
              </w:rPr>
              <w:t>paredz, ka ēkas klasificē atbilstoši ēkā nepieciešamās enerģijas daudzumam.</w:t>
            </w:r>
            <w:r w:rsidR="005524E8">
              <w:rPr>
                <w:rFonts w:eastAsia="Calibri"/>
                <w:iCs/>
              </w:rPr>
              <w:t xml:space="preserve"> </w:t>
            </w:r>
            <w:r w:rsidR="0032488B" w:rsidRPr="00316650">
              <w:rPr>
                <w:rFonts w:eastAsia="Calibri"/>
                <w:iCs/>
              </w:rPr>
              <w:t>Klasifikācija ietver šādus rādītājus:</w:t>
            </w:r>
          </w:p>
          <w:p w14:paraId="4C27A1C4" w14:textId="77777777" w:rsidR="0032488B" w:rsidRPr="00316650" w:rsidRDefault="0032488B" w:rsidP="0032488B">
            <w:pPr>
              <w:ind w:left="273"/>
              <w:jc w:val="both"/>
              <w:rPr>
                <w:rFonts w:ascii="Times New Roman" w:eastAsia="Calibri" w:hAnsi="Times New Roman" w:cs="Times New Roman"/>
                <w:iCs/>
                <w:sz w:val="24"/>
                <w:szCs w:val="24"/>
              </w:rPr>
            </w:pPr>
            <w:r w:rsidRPr="00316650">
              <w:rPr>
                <w:rFonts w:ascii="Times New Roman" w:eastAsia="Calibri" w:hAnsi="Times New Roman" w:cs="Times New Roman"/>
                <w:iCs/>
                <w:sz w:val="24"/>
                <w:szCs w:val="24"/>
              </w:rPr>
              <w:t>1) energoefektivitātes novērtējums apkurei;</w:t>
            </w:r>
          </w:p>
          <w:p w14:paraId="6C1A3B8B" w14:textId="64A58BEE" w:rsidR="0032488B" w:rsidRPr="00316650" w:rsidRDefault="0032488B" w:rsidP="00F14DE9">
            <w:pPr>
              <w:ind w:left="273"/>
              <w:jc w:val="both"/>
              <w:rPr>
                <w:rFonts w:ascii="Times New Roman" w:eastAsia="Calibri" w:hAnsi="Times New Roman" w:cs="Times New Roman"/>
                <w:iCs/>
                <w:sz w:val="24"/>
                <w:szCs w:val="24"/>
              </w:rPr>
            </w:pPr>
            <w:r w:rsidRPr="00316650">
              <w:rPr>
                <w:rFonts w:ascii="Times New Roman" w:eastAsia="Calibri" w:hAnsi="Times New Roman" w:cs="Times New Roman"/>
                <w:iCs/>
                <w:sz w:val="24"/>
                <w:szCs w:val="24"/>
              </w:rPr>
              <w:t>2) ēkas primārās enerģijas novērtējums.</w:t>
            </w:r>
          </w:p>
          <w:p w14:paraId="239DAEBA" w14:textId="07731F9C" w:rsidR="0032488B" w:rsidRPr="00F14DE9" w:rsidRDefault="0032488B" w:rsidP="00F14DE9">
            <w:pPr>
              <w:jc w:val="both"/>
              <w:rPr>
                <w:rFonts w:ascii="Times New Roman" w:eastAsia="Calibri" w:hAnsi="Times New Roman" w:cs="Times New Roman"/>
                <w:iCs/>
                <w:sz w:val="24"/>
                <w:szCs w:val="24"/>
              </w:rPr>
            </w:pPr>
            <w:r w:rsidRPr="00316650">
              <w:rPr>
                <w:rFonts w:ascii="Times New Roman" w:eastAsia="Calibri" w:hAnsi="Times New Roman" w:cs="Times New Roman"/>
                <w:iCs/>
                <w:sz w:val="24"/>
                <w:szCs w:val="24"/>
              </w:rPr>
              <w:t xml:space="preserve">Tāpat </w:t>
            </w:r>
            <w:r w:rsidR="001D465F" w:rsidRPr="00316650">
              <w:rPr>
                <w:rFonts w:ascii="Times New Roman" w:eastAsia="Times New Roman" w:hAnsi="Times New Roman" w:cs="Times New Roman"/>
                <w:iCs/>
                <w:sz w:val="24"/>
                <w:szCs w:val="24"/>
                <w:lang w:eastAsia="lv-LV"/>
              </w:rPr>
              <w:t xml:space="preserve">Ēku energoefektivitātes likuma 9.panta trešā daļa </w:t>
            </w:r>
            <w:r w:rsidRPr="00316650">
              <w:rPr>
                <w:rFonts w:ascii="Times New Roman" w:eastAsia="Calibri" w:hAnsi="Times New Roman" w:cs="Times New Roman"/>
                <w:iCs/>
                <w:sz w:val="24"/>
                <w:szCs w:val="24"/>
              </w:rPr>
              <w:t xml:space="preserve">paredz, ka ēku energoefektivitātes klasifikācijas sistēmu, tai skaitā energoefektivitātes un augstas efektivitātes sistēmu izmantošanas prasības nosaka Ministru kabinets. Ņemot vērā iepriekš minēto, Noteikumu projekts paredz jaunu ēku energoefektivitātes klasifikācijas sistēmu, nosakot kopējos primārās enerģijas rādītājus, kas iekļauj </w:t>
            </w:r>
            <w:proofErr w:type="spellStart"/>
            <w:r w:rsidRPr="00316650">
              <w:rPr>
                <w:rFonts w:ascii="Times New Roman" w:eastAsia="Calibri" w:hAnsi="Times New Roman" w:cs="Times New Roman"/>
                <w:iCs/>
                <w:sz w:val="24"/>
                <w:szCs w:val="24"/>
              </w:rPr>
              <w:t>energopatēriņu</w:t>
            </w:r>
            <w:proofErr w:type="spellEnd"/>
            <w:r w:rsidRPr="00316650">
              <w:rPr>
                <w:rFonts w:ascii="Times New Roman" w:eastAsia="Calibri" w:hAnsi="Times New Roman" w:cs="Times New Roman"/>
                <w:iCs/>
                <w:sz w:val="24"/>
                <w:szCs w:val="24"/>
              </w:rPr>
              <w:t xml:space="preserve"> telpu apkurei, telpu dzesēšanai, mājsaimniecības karstā ūdens apgādei, ventilācijai, iebūvētam apgaismojumam un citām ēkas inženiertehniskām sistēmām. </w:t>
            </w:r>
          </w:p>
          <w:p w14:paraId="67025C5A" w14:textId="068B931F" w:rsidR="003B10DA" w:rsidRPr="00316650" w:rsidRDefault="005524E8" w:rsidP="003B10D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Tāpat</w:t>
            </w:r>
            <w:r w:rsidR="00BD5104" w:rsidRPr="00316650">
              <w:rPr>
                <w:rFonts w:ascii="Times New Roman" w:hAnsi="Times New Roman" w:cs="Times New Roman"/>
                <w:sz w:val="24"/>
                <w:szCs w:val="24"/>
              </w:rPr>
              <w:t xml:space="preserve"> Noteikumu projekt</w:t>
            </w:r>
            <w:r w:rsidR="00C13A1C" w:rsidRPr="00316650">
              <w:rPr>
                <w:rFonts w:ascii="Times New Roman" w:hAnsi="Times New Roman" w:cs="Times New Roman"/>
                <w:sz w:val="24"/>
                <w:szCs w:val="24"/>
              </w:rPr>
              <w:t>s</w:t>
            </w:r>
            <w:r w:rsidR="00BD5104" w:rsidRPr="00316650">
              <w:rPr>
                <w:rFonts w:ascii="Times New Roman" w:hAnsi="Times New Roman" w:cs="Times New Roman"/>
                <w:sz w:val="24"/>
                <w:szCs w:val="24"/>
              </w:rPr>
              <w:t xml:space="preserve"> i</w:t>
            </w:r>
            <w:r w:rsidR="0032488B" w:rsidRPr="00316650">
              <w:rPr>
                <w:rFonts w:ascii="Times New Roman" w:hAnsi="Times New Roman" w:cs="Times New Roman"/>
                <w:sz w:val="24"/>
                <w:szCs w:val="24"/>
              </w:rPr>
              <w:t>evie</w:t>
            </w:r>
            <w:r w:rsidR="00C13A1C" w:rsidRPr="00316650">
              <w:rPr>
                <w:rFonts w:ascii="Times New Roman" w:hAnsi="Times New Roman" w:cs="Times New Roman"/>
                <w:sz w:val="24"/>
                <w:szCs w:val="24"/>
              </w:rPr>
              <w:t>š</w:t>
            </w:r>
            <w:r w:rsidR="0032488B" w:rsidRPr="00316650">
              <w:rPr>
                <w:rFonts w:ascii="Times New Roman" w:hAnsi="Times New Roman" w:cs="Times New Roman"/>
                <w:sz w:val="24"/>
                <w:szCs w:val="24"/>
              </w:rPr>
              <w:t xml:space="preserve"> jaun</w:t>
            </w:r>
            <w:r w:rsidR="00C13A1C" w:rsidRPr="00316650">
              <w:rPr>
                <w:rFonts w:ascii="Times New Roman" w:hAnsi="Times New Roman" w:cs="Times New Roman"/>
                <w:sz w:val="24"/>
                <w:szCs w:val="24"/>
              </w:rPr>
              <w:t>u</w:t>
            </w:r>
            <w:r w:rsidR="0032488B" w:rsidRPr="00316650">
              <w:rPr>
                <w:rFonts w:ascii="Times New Roman" w:hAnsi="Times New Roman" w:cs="Times New Roman"/>
                <w:sz w:val="24"/>
                <w:szCs w:val="24"/>
              </w:rPr>
              <w:t xml:space="preserve"> ēku energoefektivitātes klasifikācijas sistēm</w:t>
            </w:r>
            <w:r w:rsidR="00C13A1C" w:rsidRPr="00316650">
              <w:rPr>
                <w:rFonts w:ascii="Times New Roman" w:hAnsi="Times New Roman" w:cs="Times New Roman"/>
                <w:sz w:val="24"/>
                <w:szCs w:val="24"/>
              </w:rPr>
              <w:t>u</w:t>
            </w:r>
            <w:r w:rsidR="0032488B" w:rsidRPr="00316650">
              <w:rPr>
                <w:rFonts w:ascii="Times New Roman" w:hAnsi="Times New Roman" w:cs="Times New Roman"/>
                <w:sz w:val="24"/>
                <w:szCs w:val="24"/>
              </w:rPr>
              <w:t xml:space="preserve"> un skalas, kas balstās uz energoefektivitātes novērtējumu apkurei un ēkas primārās enerģijas novērtējumu.</w:t>
            </w:r>
            <w:r w:rsidR="003B10DA" w:rsidRPr="00316650">
              <w:rPr>
                <w:rFonts w:ascii="Times New Roman" w:hAnsi="Times New Roman" w:cs="Times New Roman"/>
                <w:sz w:val="24"/>
                <w:szCs w:val="24"/>
              </w:rPr>
              <w:t xml:space="preserve"> </w:t>
            </w:r>
            <w:r w:rsidR="003B10DA" w:rsidRPr="00316650">
              <w:rPr>
                <w:rFonts w:ascii="Times New Roman" w:hAnsi="Times New Roman" w:cs="Times New Roman"/>
                <w:color w:val="000000"/>
                <w:sz w:val="24"/>
                <w:szCs w:val="24"/>
              </w:rPr>
              <w:t>Noteikumu projekt</w:t>
            </w:r>
            <w:r w:rsidR="00F20850" w:rsidRPr="00316650">
              <w:rPr>
                <w:rFonts w:ascii="Times New Roman" w:hAnsi="Times New Roman" w:cs="Times New Roman"/>
                <w:color w:val="000000"/>
                <w:sz w:val="24"/>
                <w:szCs w:val="24"/>
              </w:rPr>
              <w:t>a pielikumā ietvertas</w:t>
            </w:r>
            <w:r w:rsidR="003B10DA" w:rsidRPr="00316650">
              <w:rPr>
                <w:rFonts w:ascii="Times New Roman" w:hAnsi="Times New Roman" w:cs="Times New Roman"/>
                <w:color w:val="000000"/>
                <w:sz w:val="24"/>
                <w:szCs w:val="24"/>
              </w:rPr>
              <w:t xml:space="preserve"> jaunas ēku </w:t>
            </w:r>
            <w:proofErr w:type="spellStart"/>
            <w:r w:rsidR="003B10DA" w:rsidRPr="00316650">
              <w:rPr>
                <w:rFonts w:ascii="Times New Roman" w:hAnsi="Times New Roman" w:cs="Times New Roman"/>
                <w:color w:val="000000"/>
                <w:sz w:val="24"/>
                <w:szCs w:val="24"/>
              </w:rPr>
              <w:t>energosertifikātu</w:t>
            </w:r>
            <w:proofErr w:type="spellEnd"/>
            <w:r w:rsidR="003B10DA" w:rsidRPr="00316650">
              <w:rPr>
                <w:rFonts w:ascii="Times New Roman" w:hAnsi="Times New Roman" w:cs="Times New Roman"/>
                <w:color w:val="000000"/>
                <w:sz w:val="24"/>
                <w:szCs w:val="24"/>
              </w:rPr>
              <w:t xml:space="preserve"> formas, kas ir piemērojamas ēku klasifikācijai un rādītājiem, kuri izriet no </w:t>
            </w:r>
            <w:r w:rsidR="003B10DA" w:rsidRPr="004C6306">
              <w:rPr>
                <w:rFonts w:ascii="Times New Roman" w:hAnsi="Times New Roman" w:cs="Times New Roman"/>
                <w:sz w:val="24"/>
                <w:szCs w:val="24"/>
              </w:rPr>
              <w:t xml:space="preserve">Direktīvas 2018/844 un ieviesti </w:t>
            </w:r>
            <w:r w:rsidR="003B10DA" w:rsidRPr="00316650">
              <w:rPr>
                <w:rFonts w:ascii="Times New Roman" w:hAnsi="Times New Roman" w:cs="Times New Roman"/>
                <w:sz w:val="24"/>
                <w:szCs w:val="24"/>
              </w:rPr>
              <w:t>Ē</w:t>
            </w:r>
            <w:r w:rsidR="003B10DA" w:rsidRPr="004C6306">
              <w:rPr>
                <w:rFonts w:ascii="Times New Roman" w:hAnsi="Times New Roman" w:cs="Times New Roman"/>
                <w:sz w:val="24"/>
                <w:szCs w:val="24"/>
              </w:rPr>
              <w:t>ku energoefektivitātes likumā</w:t>
            </w:r>
            <w:r w:rsidR="003B10DA" w:rsidRPr="00316650">
              <w:rPr>
                <w:rFonts w:ascii="Times New Roman" w:hAnsi="Times New Roman" w:cs="Times New Roman"/>
                <w:sz w:val="24"/>
                <w:szCs w:val="24"/>
              </w:rPr>
              <w:t>.</w:t>
            </w:r>
          </w:p>
          <w:p w14:paraId="7344CB24" w14:textId="609DE4ED" w:rsidR="0032488B" w:rsidRPr="00316650" w:rsidRDefault="0032488B" w:rsidP="0032488B">
            <w:pPr>
              <w:autoSpaceDE w:val="0"/>
              <w:autoSpaceDN w:val="0"/>
              <w:adjustRightInd w:val="0"/>
              <w:spacing w:after="0" w:line="240" w:lineRule="auto"/>
              <w:jc w:val="both"/>
              <w:rPr>
                <w:rFonts w:ascii="Times New Roman" w:hAnsi="Times New Roman" w:cs="Times New Roman"/>
                <w:sz w:val="24"/>
                <w:szCs w:val="24"/>
              </w:rPr>
            </w:pPr>
          </w:p>
          <w:p w14:paraId="0A497DCC" w14:textId="77777777" w:rsidR="0032488B" w:rsidRPr="00316650" w:rsidRDefault="0032488B" w:rsidP="0032488B">
            <w:pPr>
              <w:pStyle w:val="ListParagraph"/>
              <w:ind w:left="273"/>
              <w:jc w:val="both"/>
              <w:rPr>
                <w:rFonts w:eastAsia="Calibri"/>
                <w:iCs/>
              </w:rPr>
            </w:pPr>
          </w:p>
          <w:p w14:paraId="7CF04F5A" w14:textId="2C8A4137" w:rsidR="0032488B" w:rsidRPr="00F14DE9" w:rsidRDefault="0032488B" w:rsidP="00F14DE9">
            <w:pPr>
              <w:jc w:val="both"/>
              <w:rPr>
                <w:rFonts w:ascii="Times New Roman" w:eastAsia="Calibri" w:hAnsi="Times New Roman" w:cs="Times New Roman"/>
                <w:iCs/>
                <w:sz w:val="24"/>
                <w:szCs w:val="24"/>
                <w:u w:val="single"/>
              </w:rPr>
            </w:pPr>
            <w:r w:rsidRPr="00316650">
              <w:rPr>
                <w:rFonts w:ascii="Times New Roman" w:eastAsia="Calibri" w:hAnsi="Times New Roman" w:cs="Times New Roman"/>
                <w:iCs/>
                <w:sz w:val="24"/>
                <w:szCs w:val="24"/>
                <w:u w:val="single"/>
              </w:rPr>
              <w:t>Gandrīz nulles enerģijas ēkas</w:t>
            </w:r>
          </w:p>
          <w:p w14:paraId="2A212DCD" w14:textId="6F8C5523" w:rsidR="0032488B" w:rsidRPr="00316650" w:rsidRDefault="0032488B" w:rsidP="00BD6B14">
            <w:pPr>
              <w:jc w:val="both"/>
              <w:rPr>
                <w:rFonts w:ascii="Times New Roman" w:eastAsia="Calibri" w:hAnsi="Times New Roman" w:cs="Times New Roman"/>
                <w:iCs/>
                <w:sz w:val="24"/>
                <w:szCs w:val="24"/>
              </w:rPr>
            </w:pPr>
            <w:r w:rsidRPr="00316650">
              <w:rPr>
                <w:rFonts w:ascii="Times New Roman" w:eastAsia="Calibri" w:hAnsi="Times New Roman" w:cs="Times New Roman"/>
                <w:iCs/>
                <w:sz w:val="24"/>
                <w:szCs w:val="24"/>
              </w:rPr>
              <w:t>Attiecībā uz nulles enerģijas ēkām Direktīva</w:t>
            </w:r>
            <w:r w:rsidR="00637973" w:rsidRPr="00316650">
              <w:rPr>
                <w:rFonts w:ascii="Times New Roman" w:eastAsia="Calibri" w:hAnsi="Times New Roman" w:cs="Times New Roman"/>
                <w:iCs/>
                <w:sz w:val="24"/>
                <w:szCs w:val="24"/>
              </w:rPr>
              <w:t xml:space="preserve"> 2018-844</w:t>
            </w:r>
            <w:r w:rsidRPr="00316650">
              <w:rPr>
                <w:rFonts w:ascii="Times New Roman" w:eastAsia="Calibri" w:hAnsi="Times New Roman" w:cs="Times New Roman"/>
                <w:iCs/>
                <w:sz w:val="24"/>
                <w:szCs w:val="24"/>
              </w:rPr>
              <w:t xml:space="preserve"> nosaka, ka gandrīz nulles enerģijas ēkām vajadzīgo enerģiju būtu ļoti lielā mērā jāsedz no atjaunojamajiem energoresursiem (turpmāk – AER), tostarp uz vietas vai netālu ražotu enerģiju no AER. </w:t>
            </w:r>
          </w:p>
          <w:p w14:paraId="55E6DFEC" w14:textId="77777777" w:rsidR="0032488B" w:rsidRPr="00316650" w:rsidRDefault="0032488B" w:rsidP="0032488B">
            <w:pPr>
              <w:pStyle w:val="ListParagraph"/>
              <w:ind w:left="273"/>
              <w:jc w:val="both"/>
              <w:rPr>
                <w:rFonts w:eastAsia="Calibri"/>
                <w:i/>
              </w:rPr>
            </w:pPr>
          </w:p>
          <w:p w14:paraId="11BEE686" w14:textId="0276F9B5" w:rsidR="00A302B7" w:rsidRPr="00316650" w:rsidRDefault="0032488B" w:rsidP="00A302B7">
            <w:pPr>
              <w:autoSpaceDE w:val="0"/>
              <w:autoSpaceDN w:val="0"/>
              <w:adjustRightInd w:val="0"/>
              <w:spacing w:after="0" w:line="240" w:lineRule="auto"/>
              <w:jc w:val="both"/>
              <w:rPr>
                <w:rFonts w:ascii="Times New Roman" w:hAnsi="Times New Roman" w:cs="Times New Roman"/>
                <w:sz w:val="24"/>
                <w:szCs w:val="24"/>
              </w:rPr>
            </w:pPr>
            <w:r w:rsidRPr="00316650">
              <w:rPr>
                <w:rFonts w:ascii="Times New Roman" w:eastAsia="Calibri" w:hAnsi="Times New Roman" w:cs="Times New Roman"/>
                <w:iCs/>
                <w:sz w:val="24"/>
                <w:szCs w:val="24"/>
              </w:rPr>
              <w:t xml:space="preserve">Šobrīd spēkā esošie Ministru kabineta 2013. gada 9. jūlija noteikumi Nr.383 “Noteikumi par ēku </w:t>
            </w:r>
            <w:proofErr w:type="spellStart"/>
            <w:r w:rsidRPr="00316650">
              <w:rPr>
                <w:rFonts w:ascii="Times New Roman" w:eastAsia="Calibri" w:hAnsi="Times New Roman" w:cs="Times New Roman"/>
                <w:iCs/>
                <w:sz w:val="24"/>
                <w:szCs w:val="24"/>
              </w:rPr>
              <w:t>energosertifikāciju</w:t>
            </w:r>
            <w:proofErr w:type="spellEnd"/>
            <w:r w:rsidRPr="00316650">
              <w:rPr>
                <w:rFonts w:ascii="Times New Roman" w:eastAsia="Calibri" w:hAnsi="Times New Roman" w:cs="Times New Roman"/>
                <w:iCs/>
                <w:sz w:val="24"/>
                <w:szCs w:val="24"/>
              </w:rPr>
              <w:t xml:space="preserve">” nosaka, ka gandrīz nulles enerģijas ēkās vismaz daļēji nodrošina atjaunojamās enerģijas izmantošanu, tomēr sīkākas prasības uz atjaunojamo energoresursu daļu nav izdalītas. </w:t>
            </w:r>
            <w:r w:rsidR="00331849" w:rsidRPr="00316650">
              <w:rPr>
                <w:rFonts w:ascii="Times New Roman" w:eastAsia="Calibri" w:hAnsi="Times New Roman" w:cs="Times New Roman"/>
                <w:iCs/>
                <w:sz w:val="24"/>
                <w:szCs w:val="24"/>
              </w:rPr>
              <w:t xml:space="preserve">Ievērojot minēto, </w:t>
            </w:r>
            <w:r w:rsidR="00A302B7" w:rsidRPr="00316650">
              <w:rPr>
                <w:rFonts w:ascii="Times New Roman" w:hAnsi="Times New Roman" w:cs="Times New Roman"/>
                <w:sz w:val="24"/>
                <w:szCs w:val="24"/>
              </w:rPr>
              <w:t>Noteikumu projekts satur</w:t>
            </w:r>
            <w:r w:rsidR="00A302B7" w:rsidRPr="00316650">
              <w:rPr>
                <w:rFonts w:ascii="Times New Roman" w:hAnsi="Times New Roman" w:cs="Times New Roman"/>
                <w:color w:val="000000"/>
                <w:sz w:val="24"/>
                <w:szCs w:val="24"/>
              </w:rPr>
              <w:t xml:space="preserve"> precizētu un papildinātu gandrīz nulles enerģijas ēkas definīciju atbilstoši </w:t>
            </w:r>
            <w:r w:rsidR="00A302B7" w:rsidRPr="00316650">
              <w:rPr>
                <w:rFonts w:ascii="Times New Roman" w:hAnsi="Times New Roman" w:cs="Times New Roman"/>
                <w:color w:val="000000"/>
                <w:sz w:val="24"/>
                <w:szCs w:val="24"/>
              </w:rPr>
              <w:lastRenderedPageBreak/>
              <w:t xml:space="preserve">jaunajām ēku energoefektivitātes prasībām, kas izriet no </w:t>
            </w:r>
            <w:r w:rsidR="00A302B7" w:rsidRPr="00316650">
              <w:rPr>
                <w:rFonts w:ascii="Times New Roman" w:hAnsi="Times New Roman" w:cs="Times New Roman"/>
                <w:sz w:val="24"/>
                <w:szCs w:val="24"/>
              </w:rPr>
              <w:t xml:space="preserve">Direktīvas 2018/844. </w:t>
            </w:r>
          </w:p>
          <w:p w14:paraId="2956417D" w14:textId="1A0D12A1" w:rsidR="007009D0" w:rsidRDefault="007009D0" w:rsidP="00A302B7">
            <w:pPr>
              <w:autoSpaceDE w:val="0"/>
              <w:autoSpaceDN w:val="0"/>
              <w:adjustRightInd w:val="0"/>
              <w:spacing w:after="0" w:line="240" w:lineRule="auto"/>
              <w:jc w:val="both"/>
              <w:rPr>
                <w:rFonts w:ascii="Times New Roman" w:hAnsi="Times New Roman" w:cs="Times New Roman"/>
                <w:sz w:val="24"/>
                <w:szCs w:val="24"/>
              </w:rPr>
            </w:pPr>
          </w:p>
          <w:p w14:paraId="02907173" w14:textId="77777777" w:rsidR="00D11683" w:rsidRPr="00316650" w:rsidRDefault="00D11683" w:rsidP="00A302B7">
            <w:pPr>
              <w:autoSpaceDE w:val="0"/>
              <w:autoSpaceDN w:val="0"/>
              <w:adjustRightInd w:val="0"/>
              <w:spacing w:after="0" w:line="240" w:lineRule="auto"/>
              <w:jc w:val="both"/>
              <w:rPr>
                <w:rFonts w:ascii="Times New Roman" w:hAnsi="Times New Roman" w:cs="Times New Roman"/>
                <w:sz w:val="24"/>
                <w:szCs w:val="24"/>
              </w:rPr>
            </w:pPr>
          </w:p>
          <w:p w14:paraId="725E945D" w14:textId="7C539C05" w:rsidR="007009D0" w:rsidRPr="00316650" w:rsidRDefault="007009D0" w:rsidP="00A302B7">
            <w:pPr>
              <w:autoSpaceDE w:val="0"/>
              <w:autoSpaceDN w:val="0"/>
              <w:adjustRightInd w:val="0"/>
              <w:spacing w:after="0" w:line="240" w:lineRule="auto"/>
              <w:jc w:val="both"/>
              <w:rPr>
                <w:rFonts w:ascii="Times New Roman" w:hAnsi="Times New Roman" w:cs="Times New Roman"/>
                <w:sz w:val="24"/>
                <w:szCs w:val="24"/>
                <w:u w:val="single"/>
              </w:rPr>
            </w:pPr>
            <w:r w:rsidRPr="00316650">
              <w:rPr>
                <w:rFonts w:ascii="Times New Roman" w:hAnsi="Times New Roman" w:cs="Times New Roman"/>
                <w:sz w:val="24"/>
                <w:szCs w:val="24"/>
                <w:u w:val="single"/>
              </w:rPr>
              <w:t>Cit</w:t>
            </w:r>
            <w:r w:rsidR="00F14DE9">
              <w:rPr>
                <w:rFonts w:ascii="Times New Roman" w:hAnsi="Times New Roman" w:cs="Times New Roman"/>
                <w:sz w:val="24"/>
                <w:szCs w:val="24"/>
                <w:u w:val="single"/>
              </w:rPr>
              <w:t>as izmaiņas</w:t>
            </w:r>
          </w:p>
          <w:p w14:paraId="2DA008D5" w14:textId="5C1F5401" w:rsidR="007009D0" w:rsidRPr="00316650" w:rsidRDefault="007009D0" w:rsidP="007009D0">
            <w:pPr>
              <w:autoSpaceDE w:val="0"/>
              <w:autoSpaceDN w:val="0"/>
              <w:adjustRightInd w:val="0"/>
              <w:spacing w:after="0" w:line="240" w:lineRule="auto"/>
              <w:jc w:val="both"/>
              <w:rPr>
                <w:rFonts w:ascii="Times New Roman" w:hAnsi="Times New Roman" w:cs="Times New Roman"/>
                <w:sz w:val="24"/>
                <w:szCs w:val="24"/>
              </w:rPr>
            </w:pPr>
            <w:r w:rsidRPr="00316650">
              <w:rPr>
                <w:rFonts w:ascii="Times New Roman" w:hAnsi="Times New Roman" w:cs="Times New Roman"/>
                <w:color w:val="000000"/>
                <w:sz w:val="24"/>
                <w:szCs w:val="24"/>
              </w:rPr>
              <w:t xml:space="preserve">Noteikumu projekts  ievieš visaptverošu prasību kopumu un to piemērošanas nosacījumus un izņēmuma gadījumus ēku kategorijām, kuras izriet </w:t>
            </w:r>
            <w:r w:rsidRPr="004C6306">
              <w:rPr>
                <w:rFonts w:ascii="Times New Roman" w:hAnsi="Times New Roman" w:cs="Times New Roman"/>
                <w:sz w:val="24"/>
                <w:szCs w:val="24"/>
              </w:rPr>
              <w:t>ievērojot standartu nacionālos pielikumus</w:t>
            </w:r>
            <w:r w:rsidRPr="00316650">
              <w:rPr>
                <w:rFonts w:ascii="Times New Roman" w:hAnsi="Times New Roman" w:cs="Times New Roman"/>
                <w:sz w:val="24"/>
                <w:szCs w:val="24"/>
              </w:rPr>
              <w:t xml:space="preserve"> visaptverošajiem standartiem.</w:t>
            </w:r>
          </w:p>
          <w:p w14:paraId="6F7FA413" w14:textId="77777777" w:rsidR="007009D0" w:rsidRPr="004C6306" w:rsidRDefault="007009D0" w:rsidP="007009D0">
            <w:pPr>
              <w:autoSpaceDE w:val="0"/>
              <w:autoSpaceDN w:val="0"/>
              <w:adjustRightInd w:val="0"/>
              <w:spacing w:after="0" w:line="240" w:lineRule="auto"/>
              <w:jc w:val="both"/>
              <w:rPr>
                <w:rFonts w:ascii="Times New Roman" w:hAnsi="Times New Roman" w:cs="Times New Roman"/>
                <w:sz w:val="24"/>
                <w:szCs w:val="24"/>
              </w:rPr>
            </w:pPr>
          </w:p>
          <w:p w14:paraId="0EC65ECC" w14:textId="77777777" w:rsidR="007009D0" w:rsidRPr="00316650" w:rsidRDefault="007009D0" w:rsidP="007009D0">
            <w:pPr>
              <w:autoSpaceDE w:val="0"/>
              <w:autoSpaceDN w:val="0"/>
              <w:adjustRightInd w:val="0"/>
              <w:spacing w:after="0" w:line="240" w:lineRule="auto"/>
              <w:jc w:val="both"/>
              <w:rPr>
                <w:rFonts w:ascii="Times New Roman" w:hAnsi="Times New Roman" w:cs="Times New Roman"/>
                <w:sz w:val="24"/>
                <w:szCs w:val="24"/>
              </w:rPr>
            </w:pPr>
          </w:p>
          <w:p w14:paraId="15C924F6" w14:textId="2958C530" w:rsidR="007009D0" w:rsidRPr="00316650" w:rsidRDefault="007009D0" w:rsidP="007009D0">
            <w:pPr>
              <w:pStyle w:val="Default"/>
              <w:jc w:val="both"/>
              <w:rPr>
                <w:color w:val="auto"/>
              </w:rPr>
            </w:pPr>
            <w:r w:rsidRPr="004C6306">
              <w:t>Noteikum</w:t>
            </w:r>
            <w:r w:rsidRPr="00316650">
              <w:t>u projekts</w:t>
            </w:r>
            <w:r w:rsidRPr="004C6306">
              <w:t xml:space="preserve"> </w:t>
            </w:r>
            <w:r w:rsidRPr="00316650">
              <w:t>satur</w:t>
            </w:r>
            <w:r w:rsidRPr="004C6306">
              <w:t xml:space="preserve"> </w:t>
            </w:r>
            <w:r w:rsidRPr="00316650">
              <w:t xml:space="preserve">jaunas </w:t>
            </w:r>
            <w:r w:rsidRPr="004C6306">
              <w:t>prasīb</w:t>
            </w:r>
            <w:r w:rsidRPr="00316650">
              <w:t>as</w:t>
            </w:r>
            <w:r w:rsidRPr="004C6306">
              <w:t xml:space="preserve"> attiecībā </w:t>
            </w:r>
            <w:r w:rsidRPr="00316650">
              <w:t>uz</w:t>
            </w:r>
            <w:r w:rsidRPr="004C6306">
              <w:t xml:space="preserve"> mikroklimata kvalitātes</w:t>
            </w:r>
            <w:r w:rsidRPr="00316650">
              <w:t xml:space="preserve"> novērtējuma</w:t>
            </w:r>
            <w:r w:rsidRPr="004C6306">
              <w:t xml:space="preserve"> kritērijiem vasaras periodam un telpu pārkaršanas novērtējumam</w:t>
            </w:r>
            <w:r w:rsidRPr="00316650">
              <w:t>,</w:t>
            </w:r>
            <w:r w:rsidRPr="004C6306">
              <w:t xml:space="preserve"> </w:t>
            </w:r>
            <w:r w:rsidRPr="00316650">
              <w:t>ievērojot valst</w:t>
            </w:r>
            <w:r w:rsidRPr="004C6306">
              <w:t>s</w:t>
            </w:r>
            <w:r w:rsidRPr="00316650">
              <w:t xml:space="preserve"> nacionālos pielikumus visaptverošajiem standartiem</w:t>
            </w:r>
            <w:r w:rsidRPr="004C6306">
              <w:t xml:space="preserve">. </w:t>
            </w:r>
          </w:p>
          <w:p w14:paraId="609B9E8C" w14:textId="77777777" w:rsidR="007009D0" w:rsidRPr="004C6306" w:rsidRDefault="007009D0" w:rsidP="004C6306">
            <w:pPr>
              <w:autoSpaceDE w:val="0"/>
              <w:autoSpaceDN w:val="0"/>
              <w:adjustRightInd w:val="0"/>
              <w:spacing w:after="0" w:line="240" w:lineRule="auto"/>
              <w:jc w:val="both"/>
              <w:rPr>
                <w:rFonts w:ascii="Times New Roman" w:hAnsi="Times New Roman" w:cs="Times New Roman"/>
                <w:color w:val="000000"/>
                <w:sz w:val="24"/>
                <w:szCs w:val="24"/>
              </w:rPr>
            </w:pPr>
            <w:r w:rsidRPr="00316650">
              <w:rPr>
                <w:rFonts w:ascii="Times New Roman" w:hAnsi="Times New Roman" w:cs="Times New Roman"/>
                <w:color w:val="000000"/>
                <w:sz w:val="24"/>
                <w:szCs w:val="24"/>
              </w:rPr>
              <w:t>Kā arī Noteikumu projekts</w:t>
            </w:r>
            <w:r w:rsidRPr="004C6306">
              <w:rPr>
                <w:rFonts w:ascii="Times New Roman" w:hAnsi="Times New Roman" w:cs="Times New Roman"/>
                <w:color w:val="000000"/>
                <w:sz w:val="24"/>
                <w:szCs w:val="24"/>
              </w:rPr>
              <w:t xml:space="preserve"> precizē apkures sistēmu un gaisa kondicionēšanas sistēmu pārbaudes</w:t>
            </w:r>
            <w:r w:rsidRPr="00316650">
              <w:rPr>
                <w:rFonts w:ascii="Times New Roman" w:hAnsi="Times New Roman" w:cs="Times New Roman"/>
                <w:color w:val="000000"/>
                <w:sz w:val="24"/>
                <w:szCs w:val="24"/>
              </w:rPr>
              <w:t xml:space="preserve"> </w:t>
            </w:r>
            <w:r w:rsidRPr="004C6306">
              <w:rPr>
                <w:rFonts w:ascii="Times New Roman" w:hAnsi="Times New Roman" w:cs="Times New Roman"/>
                <w:color w:val="000000"/>
                <w:sz w:val="24"/>
                <w:szCs w:val="24"/>
              </w:rPr>
              <w:t>kārtīb</w:t>
            </w:r>
            <w:r w:rsidRPr="00316650">
              <w:rPr>
                <w:rFonts w:ascii="Times New Roman" w:hAnsi="Times New Roman" w:cs="Times New Roman"/>
                <w:color w:val="000000"/>
                <w:sz w:val="24"/>
                <w:szCs w:val="24"/>
              </w:rPr>
              <w:t>u, ievērojot, ka</w:t>
            </w:r>
            <w:r w:rsidRPr="004C6306">
              <w:rPr>
                <w:rFonts w:ascii="Times New Roman" w:hAnsi="Times New Roman" w:cs="Times New Roman"/>
                <w:color w:val="000000"/>
                <w:sz w:val="24"/>
                <w:szCs w:val="24"/>
              </w:rPr>
              <w:t>:</w:t>
            </w:r>
          </w:p>
          <w:p w14:paraId="4D1E4F01" w14:textId="77777777" w:rsidR="007009D0" w:rsidRPr="004C6306" w:rsidRDefault="007009D0" w:rsidP="004C6306">
            <w:pPr>
              <w:autoSpaceDE w:val="0"/>
              <w:autoSpaceDN w:val="0"/>
              <w:adjustRightInd w:val="0"/>
              <w:spacing w:after="0" w:line="240" w:lineRule="auto"/>
              <w:jc w:val="both"/>
              <w:rPr>
                <w:rFonts w:ascii="Times New Roman" w:hAnsi="Times New Roman" w:cs="Times New Roman"/>
                <w:color w:val="000000"/>
                <w:sz w:val="24"/>
                <w:szCs w:val="24"/>
              </w:rPr>
            </w:pPr>
            <w:r w:rsidRPr="004C6306">
              <w:rPr>
                <w:rFonts w:ascii="Times New Roman" w:hAnsi="Times New Roman" w:cs="Times New Roman"/>
                <w:color w:val="000000"/>
                <w:sz w:val="24"/>
                <w:szCs w:val="24"/>
              </w:rPr>
              <w:t>1) Ēku energoefek</w:t>
            </w:r>
            <w:r w:rsidRPr="00316650">
              <w:rPr>
                <w:rFonts w:ascii="Times New Roman" w:hAnsi="Times New Roman" w:cs="Times New Roman"/>
                <w:color w:val="000000"/>
                <w:sz w:val="24"/>
                <w:szCs w:val="24"/>
              </w:rPr>
              <w:t>ti</w:t>
            </w:r>
            <w:r w:rsidRPr="004C6306">
              <w:rPr>
                <w:rFonts w:ascii="Times New Roman" w:hAnsi="Times New Roman" w:cs="Times New Roman"/>
                <w:color w:val="000000"/>
                <w:sz w:val="24"/>
                <w:szCs w:val="24"/>
              </w:rPr>
              <w:t>vitātes likuma 11.pant</w:t>
            </w:r>
            <w:r w:rsidRPr="00316650">
              <w:rPr>
                <w:rFonts w:ascii="Times New Roman" w:hAnsi="Times New Roman" w:cs="Times New Roman"/>
                <w:color w:val="000000"/>
                <w:sz w:val="24"/>
                <w:szCs w:val="24"/>
              </w:rPr>
              <w:t xml:space="preserve">s </w:t>
            </w:r>
            <w:r w:rsidRPr="004C6306">
              <w:rPr>
                <w:rFonts w:ascii="Times New Roman" w:hAnsi="Times New Roman" w:cs="Times New Roman"/>
                <w:color w:val="000000"/>
                <w:sz w:val="24"/>
                <w:szCs w:val="24"/>
              </w:rPr>
              <w:t xml:space="preserve">nosaka, ka </w:t>
            </w:r>
            <w:r w:rsidRPr="004C6306">
              <w:rPr>
                <w:rFonts w:ascii="Times New Roman" w:hAnsi="Times New Roman" w:cs="Times New Roman"/>
                <w:color w:val="414142"/>
                <w:sz w:val="24"/>
                <w:szCs w:val="24"/>
              </w:rPr>
              <w:t xml:space="preserve">apkures sistēma vai gaisa kondicionēšanas sistēma vai </w:t>
            </w:r>
            <w:r w:rsidRPr="00316650">
              <w:rPr>
                <w:rFonts w:ascii="Times New Roman" w:hAnsi="Times New Roman" w:cs="Times New Roman"/>
                <w:color w:val="414142"/>
                <w:sz w:val="24"/>
                <w:szCs w:val="24"/>
              </w:rPr>
              <w:t xml:space="preserve">ja </w:t>
            </w:r>
            <w:r w:rsidRPr="004C6306">
              <w:rPr>
                <w:rFonts w:ascii="Times New Roman" w:hAnsi="Times New Roman" w:cs="Times New Roman"/>
                <w:color w:val="414142"/>
                <w:sz w:val="24"/>
                <w:szCs w:val="24"/>
              </w:rPr>
              <w:t>šīs sistēmas apvienotas ar</w:t>
            </w:r>
            <w:r w:rsidRPr="00316650">
              <w:rPr>
                <w:rFonts w:ascii="Times New Roman" w:hAnsi="Times New Roman" w:cs="Times New Roman"/>
                <w:color w:val="414142"/>
                <w:sz w:val="24"/>
                <w:szCs w:val="24"/>
              </w:rPr>
              <w:t xml:space="preserve"> </w:t>
            </w:r>
            <w:r w:rsidRPr="004C6306">
              <w:rPr>
                <w:rFonts w:ascii="Times New Roman" w:hAnsi="Times New Roman" w:cs="Times New Roman"/>
                <w:color w:val="414142"/>
                <w:sz w:val="24"/>
                <w:szCs w:val="24"/>
              </w:rPr>
              <w:t>ven</w:t>
            </w:r>
            <w:r w:rsidRPr="00316650">
              <w:rPr>
                <w:rFonts w:ascii="Times New Roman" w:hAnsi="Times New Roman" w:cs="Times New Roman"/>
                <w:color w:val="414142"/>
                <w:sz w:val="24"/>
                <w:szCs w:val="24"/>
              </w:rPr>
              <w:t>ti</w:t>
            </w:r>
            <w:r w:rsidRPr="004C6306">
              <w:rPr>
                <w:rFonts w:ascii="Times New Roman" w:hAnsi="Times New Roman" w:cs="Times New Roman"/>
                <w:color w:val="414142"/>
                <w:sz w:val="24"/>
                <w:szCs w:val="24"/>
              </w:rPr>
              <w:t>lācijas sistēmu, jāpārbauda, ja šo sistēmu kopējā lietderīgā nominālā jauda ir lielāka par</w:t>
            </w:r>
            <w:r w:rsidRPr="00316650">
              <w:rPr>
                <w:rFonts w:ascii="Times New Roman" w:hAnsi="Times New Roman" w:cs="Times New Roman"/>
                <w:color w:val="414142"/>
                <w:sz w:val="24"/>
                <w:szCs w:val="24"/>
              </w:rPr>
              <w:t xml:space="preserve"> </w:t>
            </w:r>
            <w:r w:rsidRPr="004C6306">
              <w:rPr>
                <w:rFonts w:ascii="Times New Roman" w:hAnsi="Times New Roman" w:cs="Times New Roman"/>
                <w:color w:val="414142"/>
                <w:sz w:val="24"/>
                <w:szCs w:val="24"/>
              </w:rPr>
              <w:t>70 kilova</w:t>
            </w:r>
            <w:r w:rsidRPr="00316650">
              <w:rPr>
                <w:rFonts w:ascii="Times New Roman" w:hAnsi="Times New Roman" w:cs="Times New Roman"/>
                <w:color w:val="414142"/>
                <w:sz w:val="24"/>
                <w:szCs w:val="24"/>
              </w:rPr>
              <w:t>ti</w:t>
            </w:r>
            <w:r w:rsidRPr="004C6306">
              <w:rPr>
                <w:rFonts w:ascii="Times New Roman" w:hAnsi="Times New Roman" w:cs="Times New Roman"/>
                <w:color w:val="414142"/>
                <w:sz w:val="24"/>
                <w:szCs w:val="24"/>
              </w:rPr>
              <w:t>em;</w:t>
            </w:r>
          </w:p>
          <w:p w14:paraId="1EC9B3A7" w14:textId="77777777" w:rsidR="007009D0" w:rsidRPr="004C6306" w:rsidRDefault="007009D0" w:rsidP="004C6306">
            <w:pPr>
              <w:autoSpaceDE w:val="0"/>
              <w:autoSpaceDN w:val="0"/>
              <w:adjustRightInd w:val="0"/>
              <w:spacing w:after="0" w:line="240" w:lineRule="auto"/>
              <w:jc w:val="both"/>
              <w:rPr>
                <w:rFonts w:ascii="Times New Roman" w:hAnsi="Times New Roman" w:cs="Times New Roman"/>
                <w:color w:val="414142"/>
                <w:sz w:val="24"/>
                <w:szCs w:val="24"/>
              </w:rPr>
            </w:pPr>
            <w:r w:rsidRPr="004C6306">
              <w:rPr>
                <w:rFonts w:ascii="Times New Roman" w:hAnsi="Times New Roman" w:cs="Times New Roman"/>
                <w:color w:val="414142"/>
                <w:sz w:val="24"/>
                <w:szCs w:val="24"/>
              </w:rPr>
              <w:t>2</w:t>
            </w:r>
            <w:r w:rsidRPr="00316650">
              <w:rPr>
                <w:rFonts w:ascii="Times New Roman" w:hAnsi="Times New Roman" w:cs="Times New Roman"/>
                <w:color w:val="414142"/>
                <w:sz w:val="24"/>
                <w:szCs w:val="24"/>
              </w:rPr>
              <w:t>) vairāki</w:t>
            </w:r>
            <w:r w:rsidRPr="004C6306">
              <w:rPr>
                <w:rFonts w:ascii="Times New Roman" w:hAnsi="Times New Roman" w:cs="Times New Roman"/>
                <w:color w:val="414142"/>
                <w:sz w:val="24"/>
                <w:szCs w:val="24"/>
              </w:rPr>
              <w:t xml:space="preserve"> standar</w:t>
            </w:r>
            <w:r w:rsidRPr="00316650">
              <w:rPr>
                <w:rFonts w:ascii="Times New Roman" w:hAnsi="Times New Roman" w:cs="Times New Roman"/>
                <w:color w:val="414142"/>
                <w:sz w:val="24"/>
                <w:szCs w:val="24"/>
              </w:rPr>
              <w:t>ti zaudējuši spēku un attiecīgi tie ir</w:t>
            </w:r>
            <w:r w:rsidRPr="004C6306">
              <w:rPr>
                <w:rFonts w:ascii="Times New Roman" w:hAnsi="Times New Roman" w:cs="Times New Roman"/>
                <w:color w:val="414142"/>
                <w:sz w:val="24"/>
                <w:szCs w:val="24"/>
              </w:rPr>
              <w:t xml:space="preserve"> aizstāt</w:t>
            </w:r>
            <w:r w:rsidRPr="00316650">
              <w:rPr>
                <w:rFonts w:ascii="Times New Roman" w:hAnsi="Times New Roman" w:cs="Times New Roman"/>
                <w:color w:val="414142"/>
                <w:sz w:val="24"/>
                <w:szCs w:val="24"/>
              </w:rPr>
              <w:t>i</w:t>
            </w:r>
            <w:r w:rsidRPr="004C6306">
              <w:rPr>
                <w:rFonts w:ascii="Times New Roman" w:hAnsi="Times New Roman" w:cs="Times New Roman"/>
                <w:color w:val="414142"/>
                <w:sz w:val="24"/>
                <w:szCs w:val="24"/>
              </w:rPr>
              <w:t xml:space="preserve"> ar atsaucēm uz spēkā esoš</w:t>
            </w:r>
            <w:r w:rsidRPr="00316650">
              <w:rPr>
                <w:rFonts w:ascii="Times New Roman" w:hAnsi="Times New Roman" w:cs="Times New Roman"/>
                <w:color w:val="414142"/>
                <w:sz w:val="24"/>
                <w:szCs w:val="24"/>
              </w:rPr>
              <w:t xml:space="preserve">ajiem </w:t>
            </w:r>
            <w:r w:rsidRPr="004C6306">
              <w:rPr>
                <w:rFonts w:ascii="Times New Roman" w:hAnsi="Times New Roman" w:cs="Times New Roman"/>
                <w:color w:val="000000"/>
                <w:sz w:val="24"/>
                <w:szCs w:val="24"/>
              </w:rPr>
              <w:t>standart</w:t>
            </w:r>
            <w:r w:rsidRPr="00316650">
              <w:rPr>
                <w:rFonts w:ascii="Times New Roman" w:hAnsi="Times New Roman" w:cs="Times New Roman"/>
                <w:color w:val="000000"/>
                <w:sz w:val="24"/>
                <w:szCs w:val="24"/>
              </w:rPr>
              <w:t>iem</w:t>
            </w:r>
            <w:r w:rsidRPr="004C6306">
              <w:rPr>
                <w:rFonts w:ascii="Times New Roman" w:hAnsi="Times New Roman" w:cs="Times New Roman"/>
                <w:color w:val="000000"/>
                <w:sz w:val="24"/>
                <w:szCs w:val="24"/>
              </w:rPr>
              <w:t>, kas nosaka apkures sistēmu un gaisa kondicionēšanas sistēmu pārbaud</w:t>
            </w:r>
            <w:r w:rsidRPr="00316650">
              <w:rPr>
                <w:rFonts w:ascii="Times New Roman" w:hAnsi="Times New Roman" w:cs="Times New Roman"/>
                <w:color w:val="000000"/>
                <w:sz w:val="24"/>
                <w:szCs w:val="24"/>
              </w:rPr>
              <w:t>i</w:t>
            </w:r>
            <w:r w:rsidRPr="004C6306">
              <w:rPr>
                <w:rFonts w:ascii="Times New Roman" w:hAnsi="Times New Roman" w:cs="Times New Roman"/>
                <w:color w:val="000000"/>
                <w:sz w:val="24"/>
                <w:szCs w:val="24"/>
              </w:rPr>
              <w:t>.</w:t>
            </w:r>
          </w:p>
          <w:p w14:paraId="3AFDE2CA" w14:textId="77777777" w:rsidR="007009D0" w:rsidRPr="00316650" w:rsidRDefault="007009D0" w:rsidP="007009D0">
            <w:pPr>
              <w:pStyle w:val="Default"/>
              <w:jc w:val="both"/>
              <w:rPr>
                <w:color w:val="auto"/>
              </w:rPr>
            </w:pPr>
          </w:p>
          <w:p w14:paraId="38F2200C" w14:textId="77777777" w:rsidR="007009D0" w:rsidRPr="00316650" w:rsidRDefault="007009D0" w:rsidP="007009D0">
            <w:pPr>
              <w:pStyle w:val="ListParagraph"/>
              <w:ind w:left="273"/>
              <w:jc w:val="both"/>
              <w:rPr>
                <w:rFonts w:eastAsia="Calibri"/>
                <w:iCs/>
              </w:rPr>
            </w:pPr>
          </w:p>
          <w:p w14:paraId="442AAF0B" w14:textId="49BAF903" w:rsidR="007009D0" w:rsidRPr="00316650" w:rsidRDefault="00316650" w:rsidP="00A302B7">
            <w:pPr>
              <w:autoSpaceDE w:val="0"/>
              <w:autoSpaceDN w:val="0"/>
              <w:adjustRightInd w:val="0"/>
              <w:spacing w:after="0" w:line="240" w:lineRule="auto"/>
              <w:jc w:val="both"/>
              <w:rPr>
                <w:rFonts w:ascii="Times New Roman" w:hAnsi="Times New Roman" w:cs="Times New Roman"/>
                <w:sz w:val="24"/>
                <w:szCs w:val="24"/>
                <w:u w:val="single"/>
              </w:rPr>
            </w:pPr>
            <w:r w:rsidRPr="00316650">
              <w:rPr>
                <w:rFonts w:ascii="Times New Roman" w:hAnsi="Times New Roman" w:cs="Times New Roman"/>
                <w:sz w:val="24"/>
                <w:szCs w:val="24"/>
                <w:u w:val="single"/>
              </w:rPr>
              <w:t>Standarti, kas piemērojami ēku energoefektivitātes aprēķina metodē</w:t>
            </w:r>
          </w:p>
          <w:p w14:paraId="6B0E473F" w14:textId="77777777" w:rsidR="005A73FF" w:rsidRPr="00316650" w:rsidRDefault="005A73FF" w:rsidP="005342A7">
            <w:pPr>
              <w:pStyle w:val="Default"/>
              <w:jc w:val="both"/>
              <w:rPr>
                <w:color w:val="auto"/>
              </w:rPr>
            </w:pPr>
          </w:p>
          <w:p w14:paraId="4489AF75" w14:textId="1DD4CAE2" w:rsidR="00CE16FD" w:rsidRPr="00316650" w:rsidRDefault="00CE16FD" w:rsidP="005342A7">
            <w:pPr>
              <w:pStyle w:val="Default"/>
              <w:jc w:val="both"/>
              <w:rPr>
                <w:color w:val="auto"/>
              </w:rPr>
            </w:pPr>
            <w:r w:rsidRPr="00316650">
              <w:rPr>
                <w:color w:val="auto"/>
              </w:rPr>
              <w:t>Atbilstoši Eiropas Parlamenta un Padomes 2018. gada 30. maija Direktīvai (ES) 2018/844, ar ko groza Direktīvu 2010/31/ES par ēku energoefektivitāti un Direktīvu 2012/27/ES par ēku energoefektivitāti (turpmāk – Direktīva 2018/844) dalībvalstis savu aprēķina metodoloģiju apraksta, ievērojot valstu nacionālos pielikumus visaptverošajiem standartiem, proti, ISO 52000-1, 52010-1, 52003-1, 52016-1 un 52018-1, kas izstrādāti saskaņā ar Eiropas Standartizācijas komitejai (CEN) doto M/480 uzdevumu. Ņemot vērā minēto, ir veikta standartu nacionālo pielikumu izstrāde ēku energoefektivitātes aprēķinu metodoloģijas aprakstam. Šobrīd nepieciešams Noteikumu projektā iekļaut aktuālas un izsmeļošas atsauces uz piemērojamiem standartiem, kas piemērojami ēku energoefektivitātes aprēķina metodē</w:t>
            </w:r>
            <w:r w:rsidR="007A0B99">
              <w:rPr>
                <w:color w:val="auto"/>
              </w:rPr>
              <w:t>.</w:t>
            </w:r>
          </w:p>
          <w:p w14:paraId="008C90AB" w14:textId="77777777" w:rsidR="00CE16FD" w:rsidRPr="00316650" w:rsidRDefault="00CE16FD" w:rsidP="00CE16FD">
            <w:pPr>
              <w:pStyle w:val="Default"/>
              <w:jc w:val="both"/>
              <w:rPr>
                <w:color w:val="auto"/>
              </w:rPr>
            </w:pPr>
          </w:p>
          <w:p w14:paraId="2B96A5D9" w14:textId="164C80E7" w:rsidR="00CE16FD" w:rsidRPr="00316650" w:rsidRDefault="00CE16FD" w:rsidP="00CE16FD">
            <w:pPr>
              <w:pStyle w:val="Default"/>
              <w:jc w:val="both"/>
              <w:rPr>
                <w:color w:val="auto"/>
              </w:rPr>
            </w:pPr>
            <w:r w:rsidRPr="00316650">
              <w:rPr>
                <w:color w:val="auto"/>
              </w:rPr>
              <w:t xml:space="preserve">Ēku energoefektivitātes standartu komplekts iekļauj šādus standartus: </w:t>
            </w:r>
          </w:p>
          <w:p w14:paraId="0FF9D0DF" w14:textId="7DCEC244" w:rsidR="00712D20" w:rsidRPr="00316650" w:rsidRDefault="00712D20" w:rsidP="00CE16FD">
            <w:pPr>
              <w:pStyle w:val="Default"/>
              <w:jc w:val="both"/>
              <w:rPr>
                <w:color w:val="auto"/>
              </w:rPr>
            </w:pPr>
          </w:p>
          <w:tbl>
            <w:tblPr>
              <w:tblW w:w="5000" w:type="pct"/>
              <w:tblLook w:val="04A0" w:firstRow="1" w:lastRow="0" w:firstColumn="1" w:lastColumn="0" w:noHBand="0" w:noVBand="1"/>
            </w:tblPr>
            <w:tblGrid>
              <w:gridCol w:w="466"/>
              <w:gridCol w:w="2455"/>
              <w:gridCol w:w="2340"/>
            </w:tblGrid>
            <w:tr w:rsidR="00712D20" w:rsidRPr="00F92207" w14:paraId="5747C163" w14:textId="77777777" w:rsidTr="00712D20">
              <w:trPr>
                <w:trHeight w:val="34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0CCE094F" w14:textId="77777777" w:rsidR="00712D20" w:rsidRPr="00F92207" w:rsidRDefault="00712D20" w:rsidP="00712D20">
                  <w:pPr>
                    <w:rPr>
                      <w:rFonts w:ascii="Times New Roman" w:hAnsi="Times New Roman" w:cs="Times New Roman"/>
                      <w:b/>
                      <w:bCs/>
                      <w:color w:val="000000"/>
                      <w:sz w:val="20"/>
                      <w:szCs w:val="20"/>
                    </w:rPr>
                  </w:pPr>
                  <w:r w:rsidRPr="00F92207">
                    <w:rPr>
                      <w:rFonts w:ascii="Times New Roman" w:hAnsi="Times New Roman" w:cs="Times New Roman"/>
                      <w:b/>
                      <w:bCs/>
                      <w:color w:val="000000"/>
                      <w:sz w:val="20"/>
                      <w:szCs w:val="20"/>
                    </w:rPr>
                    <w:t>VISAPTVEROŠIE STANDARTI</w:t>
                  </w:r>
                </w:p>
              </w:tc>
            </w:tr>
            <w:tr w:rsidR="00712D20" w:rsidRPr="00F92207" w14:paraId="36D7A16A"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vAlign w:val="center"/>
                  <w:hideMark/>
                </w:tcPr>
                <w:p w14:paraId="76D2DAD0" w14:textId="77777777" w:rsidR="00712D20" w:rsidRPr="00F92207" w:rsidRDefault="00712D20" w:rsidP="00712D20">
                  <w:pPr>
                    <w:jc w:val="center"/>
                    <w:rPr>
                      <w:rFonts w:ascii="Times New Roman" w:hAnsi="Times New Roman" w:cs="Times New Roman"/>
                      <w:color w:val="000000"/>
                      <w:sz w:val="20"/>
                      <w:szCs w:val="20"/>
                    </w:rPr>
                  </w:pPr>
                  <w:r w:rsidRPr="00F92207">
                    <w:rPr>
                      <w:rFonts w:ascii="Times New Roman" w:hAnsi="Times New Roman" w:cs="Times New Roman"/>
                      <w:color w:val="000000"/>
                      <w:sz w:val="20"/>
                      <w:szCs w:val="20"/>
                    </w:rPr>
                    <w:t>1.</w:t>
                  </w:r>
                </w:p>
              </w:tc>
              <w:tc>
                <w:tcPr>
                  <w:tcW w:w="2333" w:type="pct"/>
                  <w:tcBorders>
                    <w:top w:val="single" w:sz="4" w:space="0" w:color="auto"/>
                    <w:left w:val="single" w:sz="4" w:space="0" w:color="auto"/>
                    <w:bottom w:val="single" w:sz="4" w:space="0" w:color="auto"/>
                    <w:right w:val="single" w:sz="4" w:space="0" w:color="auto"/>
                  </w:tcBorders>
                  <w:noWrap/>
                  <w:vAlign w:val="center"/>
                  <w:hideMark/>
                </w:tcPr>
                <w:p w14:paraId="12215454"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ISO 52000-1:2017</w:t>
                  </w:r>
                </w:p>
              </w:tc>
              <w:tc>
                <w:tcPr>
                  <w:tcW w:w="2224" w:type="pct"/>
                  <w:tcBorders>
                    <w:top w:val="single" w:sz="4" w:space="0" w:color="auto"/>
                    <w:left w:val="nil"/>
                    <w:bottom w:val="single" w:sz="4" w:space="0" w:color="auto"/>
                    <w:right w:val="single" w:sz="4" w:space="0" w:color="auto"/>
                  </w:tcBorders>
                  <w:vAlign w:val="center"/>
                  <w:hideMark/>
                </w:tcPr>
                <w:p w14:paraId="23ACCA3F"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Ēku energoefektivitāte. Vispārējs ēku energoefektivitātes novērtējums. 1.daļa: Vispārīgas pamatnostādnes un procedūras (ISO 52000-1:2017)</w:t>
                  </w:r>
                </w:p>
              </w:tc>
            </w:tr>
            <w:tr w:rsidR="00712D20" w:rsidRPr="00F92207" w14:paraId="28481FD5" w14:textId="77777777" w:rsidTr="00712D20">
              <w:trPr>
                <w:trHeight w:val="20"/>
              </w:trPr>
              <w:tc>
                <w:tcPr>
                  <w:tcW w:w="443" w:type="pct"/>
                  <w:tcBorders>
                    <w:top w:val="nil"/>
                    <w:left w:val="single" w:sz="4" w:space="0" w:color="auto"/>
                    <w:bottom w:val="single" w:sz="4" w:space="0" w:color="auto"/>
                    <w:right w:val="single" w:sz="4" w:space="0" w:color="auto"/>
                  </w:tcBorders>
                  <w:vAlign w:val="center"/>
                  <w:hideMark/>
                </w:tcPr>
                <w:p w14:paraId="095820C6" w14:textId="77777777" w:rsidR="00712D20" w:rsidRPr="00F92207" w:rsidRDefault="00712D20" w:rsidP="00712D20">
                  <w:pPr>
                    <w:jc w:val="center"/>
                    <w:rPr>
                      <w:rFonts w:ascii="Times New Roman" w:hAnsi="Times New Roman" w:cs="Times New Roman"/>
                      <w:color w:val="000000"/>
                      <w:sz w:val="20"/>
                      <w:szCs w:val="20"/>
                    </w:rPr>
                  </w:pPr>
                  <w:r w:rsidRPr="00F92207">
                    <w:rPr>
                      <w:rFonts w:ascii="Times New Roman" w:hAnsi="Times New Roman" w:cs="Times New Roman"/>
                      <w:color w:val="000000"/>
                      <w:sz w:val="20"/>
                      <w:szCs w:val="20"/>
                    </w:rPr>
                    <w:t>2.</w:t>
                  </w:r>
                </w:p>
              </w:tc>
              <w:tc>
                <w:tcPr>
                  <w:tcW w:w="2333" w:type="pct"/>
                  <w:tcBorders>
                    <w:top w:val="nil"/>
                    <w:left w:val="single" w:sz="4" w:space="0" w:color="auto"/>
                    <w:bottom w:val="single" w:sz="4" w:space="0" w:color="auto"/>
                    <w:right w:val="single" w:sz="4" w:space="0" w:color="auto"/>
                  </w:tcBorders>
                  <w:noWrap/>
                  <w:vAlign w:val="center"/>
                  <w:hideMark/>
                </w:tcPr>
                <w:p w14:paraId="14EE076D"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ISO 52003-1:2017</w:t>
                  </w:r>
                </w:p>
              </w:tc>
              <w:tc>
                <w:tcPr>
                  <w:tcW w:w="2224" w:type="pct"/>
                  <w:tcBorders>
                    <w:top w:val="nil"/>
                    <w:left w:val="nil"/>
                    <w:bottom w:val="single" w:sz="4" w:space="0" w:color="auto"/>
                    <w:right w:val="single" w:sz="4" w:space="0" w:color="auto"/>
                  </w:tcBorders>
                  <w:vAlign w:val="center"/>
                  <w:hideMark/>
                </w:tcPr>
                <w:p w14:paraId="0A9F9C9E"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Ēku energoefektivitāte. Rādītāji, prasības un sertifikācija. 1.daļa: Vispārīgie aspekti un pielietošana kopējai energoefektivitātei (ISO 52003-1:2017)</w:t>
                  </w:r>
                </w:p>
              </w:tc>
            </w:tr>
            <w:tr w:rsidR="00712D20" w:rsidRPr="00F92207" w14:paraId="194F89AC" w14:textId="77777777" w:rsidTr="00712D20">
              <w:trPr>
                <w:trHeight w:val="20"/>
              </w:trPr>
              <w:tc>
                <w:tcPr>
                  <w:tcW w:w="443" w:type="pct"/>
                  <w:tcBorders>
                    <w:top w:val="nil"/>
                    <w:left w:val="single" w:sz="4" w:space="0" w:color="auto"/>
                    <w:bottom w:val="single" w:sz="4" w:space="0" w:color="auto"/>
                    <w:right w:val="single" w:sz="4" w:space="0" w:color="auto"/>
                  </w:tcBorders>
                  <w:shd w:val="clear" w:color="auto" w:fill="FFFFFF"/>
                  <w:vAlign w:val="center"/>
                  <w:hideMark/>
                </w:tcPr>
                <w:p w14:paraId="71F9FE53" w14:textId="77777777" w:rsidR="00712D20" w:rsidRPr="00F92207" w:rsidRDefault="00712D20" w:rsidP="00712D20">
                  <w:pPr>
                    <w:jc w:val="center"/>
                    <w:rPr>
                      <w:rFonts w:ascii="Times New Roman" w:hAnsi="Times New Roman" w:cs="Times New Roman"/>
                      <w:color w:val="000000"/>
                      <w:sz w:val="20"/>
                      <w:szCs w:val="20"/>
                    </w:rPr>
                  </w:pPr>
                  <w:r w:rsidRPr="00F92207">
                    <w:rPr>
                      <w:rFonts w:ascii="Times New Roman" w:hAnsi="Times New Roman" w:cs="Times New Roman"/>
                      <w:color w:val="000000"/>
                      <w:sz w:val="20"/>
                      <w:szCs w:val="20"/>
                    </w:rPr>
                    <w:t>3.</w:t>
                  </w:r>
                </w:p>
              </w:tc>
              <w:tc>
                <w:tcPr>
                  <w:tcW w:w="2333" w:type="pct"/>
                  <w:tcBorders>
                    <w:top w:val="nil"/>
                    <w:left w:val="single" w:sz="4" w:space="0" w:color="auto"/>
                    <w:bottom w:val="single" w:sz="4" w:space="0" w:color="auto"/>
                    <w:right w:val="single" w:sz="4" w:space="0" w:color="auto"/>
                  </w:tcBorders>
                  <w:shd w:val="clear" w:color="auto" w:fill="FFFFFF"/>
                  <w:noWrap/>
                  <w:vAlign w:val="center"/>
                  <w:hideMark/>
                </w:tcPr>
                <w:p w14:paraId="1E9EAF17"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ISO 52010-1:2017</w:t>
                  </w:r>
                </w:p>
              </w:tc>
              <w:tc>
                <w:tcPr>
                  <w:tcW w:w="2224" w:type="pct"/>
                  <w:tcBorders>
                    <w:top w:val="nil"/>
                    <w:left w:val="nil"/>
                    <w:bottom w:val="single" w:sz="4" w:space="0" w:color="auto"/>
                    <w:right w:val="single" w:sz="4" w:space="0" w:color="auto"/>
                  </w:tcBorders>
                  <w:vAlign w:val="center"/>
                  <w:hideMark/>
                </w:tcPr>
                <w:p w14:paraId="48AFBF6D" w14:textId="77777777" w:rsidR="00712D20" w:rsidRPr="00F92207" w:rsidRDefault="00712D20" w:rsidP="00712D20">
                  <w:pPr>
                    <w:ind w:right="-113"/>
                    <w:rPr>
                      <w:rFonts w:ascii="Times New Roman" w:hAnsi="Times New Roman" w:cs="Times New Roman"/>
                      <w:color w:val="000000"/>
                      <w:sz w:val="20"/>
                      <w:szCs w:val="20"/>
                    </w:rPr>
                  </w:pPr>
                  <w:r w:rsidRPr="00F92207">
                    <w:rPr>
                      <w:rFonts w:ascii="Times New Roman" w:hAnsi="Times New Roman" w:cs="Times New Roman"/>
                      <w:color w:val="000000"/>
                      <w:sz w:val="20"/>
                      <w:szCs w:val="20"/>
                    </w:rPr>
                    <w:t>Ēku energoefektivitāte. Ārējās vides apstākļi. 1.daļa: Klimatisko datu pārveidošana enerģijas aprēķinos (ISO 52010-1:2017)</w:t>
                  </w:r>
                </w:p>
              </w:tc>
            </w:tr>
            <w:tr w:rsidR="00712D20" w:rsidRPr="00F92207" w14:paraId="4CB37E0A"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61537E" w14:textId="77777777" w:rsidR="00712D20" w:rsidRPr="00F92207" w:rsidRDefault="00712D20" w:rsidP="00712D20">
                  <w:pPr>
                    <w:jc w:val="center"/>
                    <w:rPr>
                      <w:rFonts w:ascii="Times New Roman" w:hAnsi="Times New Roman" w:cs="Times New Roman"/>
                      <w:color w:val="000000"/>
                      <w:sz w:val="20"/>
                      <w:szCs w:val="20"/>
                    </w:rPr>
                  </w:pPr>
                  <w:r w:rsidRPr="00F92207">
                    <w:rPr>
                      <w:rFonts w:ascii="Times New Roman" w:hAnsi="Times New Roman" w:cs="Times New Roman"/>
                      <w:color w:val="000000"/>
                      <w:sz w:val="20"/>
                      <w:szCs w:val="20"/>
                    </w:rPr>
                    <w:t>4.</w:t>
                  </w:r>
                </w:p>
              </w:tc>
              <w:tc>
                <w:tcPr>
                  <w:tcW w:w="233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CCD19A"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ISO 52016-1:2017</w:t>
                  </w:r>
                </w:p>
              </w:tc>
              <w:tc>
                <w:tcPr>
                  <w:tcW w:w="2224" w:type="pct"/>
                  <w:tcBorders>
                    <w:top w:val="single" w:sz="4" w:space="0" w:color="auto"/>
                    <w:left w:val="nil"/>
                    <w:bottom w:val="single" w:sz="4" w:space="0" w:color="auto"/>
                    <w:right w:val="single" w:sz="4" w:space="0" w:color="auto"/>
                  </w:tcBorders>
                  <w:vAlign w:val="center"/>
                  <w:hideMark/>
                </w:tcPr>
                <w:p w14:paraId="6F91F010"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Ēku energoefektivitāte. Apkurei un dzesēšanai nepieciešamās enerģijas, iekšējās temperatūras un sajūtamā un latentā siltuma slodzes. 1.daļa: Aprēķina procedūras (ISO 52016-1:2017)</w:t>
                  </w:r>
                </w:p>
              </w:tc>
            </w:tr>
            <w:tr w:rsidR="00712D20" w:rsidRPr="00F92207" w14:paraId="5D0C7E16" w14:textId="77777777" w:rsidTr="00712D20">
              <w:trPr>
                <w:trHeight w:val="20"/>
              </w:trPr>
              <w:tc>
                <w:tcPr>
                  <w:tcW w:w="443" w:type="pct"/>
                  <w:tcBorders>
                    <w:top w:val="nil"/>
                    <w:left w:val="single" w:sz="4" w:space="0" w:color="auto"/>
                    <w:bottom w:val="single" w:sz="4" w:space="0" w:color="auto"/>
                    <w:right w:val="single" w:sz="4" w:space="0" w:color="auto"/>
                  </w:tcBorders>
                  <w:shd w:val="clear" w:color="auto" w:fill="FFFFFF"/>
                  <w:vAlign w:val="center"/>
                  <w:hideMark/>
                </w:tcPr>
                <w:p w14:paraId="1CF71296" w14:textId="77777777" w:rsidR="00712D20" w:rsidRPr="00F92207" w:rsidRDefault="00712D20" w:rsidP="00712D20">
                  <w:pPr>
                    <w:jc w:val="center"/>
                    <w:rPr>
                      <w:rFonts w:ascii="Times New Roman" w:hAnsi="Times New Roman" w:cs="Times New Roman"/>
                      <w:color w:val="000000"/>
                      <w:sz w:val="20"/>
                      <w:szCs w:val="20"/>
                    </w:rPr>
                  </w:pPr>
                  <w:r w:rsidRPr="00F92207">
                    <w:rPr>
                      <w:rFonts w:ascii="Times New Roman" w:hAnsi="Times New Roman" w:cs="Times New Roman"/>
                      <w:color w:val="000000"/>
                      <w:sz w:val="20"/>
                      <w:szCs w:val="20"/>
                    </w:rPr>
                    <w:t>5.</w:t>
                  </w:r>
                </w:p>
              </w:tc>
              <w:tc>
                <w:tcPr>
                  <w:tcW w:w="2333" w:type="pct"/>
                  <w:tcBorders>
                    <w:top w:val="nil"/>
                    <w:left w:val="single" w:sz="4" w:space="0" w:color="auto"/>
                    <w:bottom w:val="single" w:sz="4" w:space="0" w:color="auto"/>
                    <w:right w:val="single" w:sz="4" w:space="0" w:color="auto"/>
                  </w:tcBorders>
                  <w:shd w:val="clear" w:color="auto" w:fill="FFFFFF"/>
                  <w:noWrap/>
                  <w:vAlign w:val="center"/>
                  <w:hideMark/>
                </w:tcPr>
                <w:p w14:paraId="4D90CCDF"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ISO 52018-1:2017</w:t>
                  </w:r>
                </w:p>
              </w:tc>
              <w:tc>
                <w:tcPr>
                  <w:tcW w:w="2224" w:type="pct"/>
                  <w:tcBorders>
                    <w:top w:val="nil"/>
                    <w:left w:val="nil"/>
                    <w:bottom w:val="single" w:sz="4" w:space="0" w:color="auto"/>
                    <w:right w:val="single" w:sz="4" w:space="0" w:color="auto"/>
                  </w:tcBorders>
                  <w:vAlign w:val="center"/>
                  <w:hideMark/>
                </w:tcPr>
                <w:p w14:paraId="471072AF"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Ēku energoefektivitāte. Rādītāji daļai ēku energoefektivitātes (EPB) prasību, kas saistītas ar siltumenerģijas bilanci un struktūras īpatnībām. 1.daļa: Pārskats par iespējām (ISO 52018-1:2017)</w:t>
                  </w:r>
                </w:p>
              </w:tc>
            </w:tr>
            <w:tr w:rsidR="00712D20" w:rsidRPr="00F92207" w14:paraId="21CA001E" w14:textId="77777777" w:rsidTr="00712D20">
              <w:trPr>
                <w:trHeight w:val="340"/>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34DFC04" w14:textId="77777777" w:rsidR="00712D20" w:rsidRPr="00F92207" w:rsidRDefault="00712D20" w:rsidP="00712D20">
                  <w:pPr>
                    <w:rPr>
                      <w:rFonts w:ascii="Times New Roman" w:hAnsi="Times New Roman" w:cs="Times New Roman"/>
                      <w:b/>
                      <w:bCs/>
                      <w:color w:val="000000"/>
                      <w:sz w:val="20"/>
                      <w:szCs w:val="20"/>
                    </w:rPr>
                  </w:pPr>
                  <w:r w:rsidRPr="00F92207">
                    <w:rPr>
                      <w:rFonts w:ascii="Times New Roman" w:hAnsi="Times New Roman" w:cs="Times New Roman"/>
                      <w:b/>
                      <w:bCs/>
                      <w:color w:val="000000"/>
                      <w:sz w:val="20"/>
                      <w:szCs w:val="20"/>
                    </w:rPr>
                    <w:t>STANDARTI ĒKU ENERGOEFEKTIVITĀTES APRĒĶINĀŠANAI UN NOVĒRTĒŠANAI</w:t>
                  </w:r>
                </w:p>
              </w:tc>
            </w:tr>
            <w:tr w:rsidR="00712D20" w:rsidRPr="00F92207" w14:paraId="5BBE28FC"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73507E"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6.</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E3EA8F"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ISO 6946:2017</w:t>
                  </w:r>
                </w:p>
              </w:tc>
              <w:tc>
                <w:tcPr>
                  <w:tcW w:w="222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AA424B"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 xml:space="preserve">Būvdetaļas un būvelementi. </w:t>
                  </w:r>
                  <w:proofErr w:type="spellStart"/>
                  <w:r w:rsidRPr="00F92207">
                    <w:rPr>
                      <w:rFonts w:ascii="Times New Roman" w:hAnsi="Times New Roman" w:cs="Times New Roman"/>
                      <w:color w:val="000000"/>
                      <w:sz w:val="20"/>
                      <w:szCs w:val="20"/>
                    </w:rPr>
                    <w:t>Siltumpretestība</w:t>
                  </w:r>
                  <w:proofErr w:type="spellEnd"/>
                  <w:r w:rsidRPr="00F92207">
                    <w:rPr>
                      <w:rFonts w:ascii="Times New Roman" w:hAnsi="Times New Roman" w:cs="Times New Roman"/>
                      <w:color w:val="000000"/>
                      <w:sz w:val="20"/>
                      <w:szCs w:val="20"/>
                    </w:rPr>
                    <w:t xml:space="preserve"> un </w:t>
                  </w:r>
                  <w:proofErr w:type="spellStart"/>
                  <w:r w:rsidRPr="00F92207">
                    <w:rPr>
                      <w:rFonts w:ascii="Times New Roman" w:hAnsi="Times New Roman" w:cs="Times New Roman"/>
                      <w:color w:val="000000"/>
                      <w:sz w:val="20"/>
                      <w:szCs w:val="20"/>
                    </w:rPr>
                    <w:t>siltumcaurlaidība</w:t>
                  </w:r>
                  <w:proofErr w:type="spellEnd"/>
                  <w:r w:rsidRPr="00F92207">
                    <w:rPr>
                      <w:rFonts w:ascii="Times New Roman" w:hAnsi="Times New Roman" w:cs="Times New Roman"/>
                      <w:color w:val="000000"/>
                      <w:sz w:val="20"/>
                      <w:szCs w:val="20"/>
                    </w:rPr>
                    <w:t xml:space="preserve">. </w:t>
                  </w:r>
                  <w:r w:rsidRPr="00F92207">
                    <w:rPr>
                      <w:rFonts w:ascii="Times New Roman" w:hAnsi="Times New Roman" w:cs="Times New Roman"/>
                      <w:color w:val="000000"/>
                      <w:sz w:val="20"/>
                      <w:szCs w:val="20"/>
                    </w:rPr>
                    <w:lastRenderedPageBreak/>
                    <w:t>Aprēķinu metodes (ISO 6946:2017)</w:t>
                  </w:r>
                </w:p>
              </w:tc>
            </w:tr>
            <w:tr w:rsidR="00712D20" w:rsidRPr="00F92207" w14:paraId="7F8C7A5D"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374169"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lastRenderedPageBreak/>
                    <w:t>7.</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D52845"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ISO 10077-1:2017</w:t>
                  </w:r>
                </w:p>
              </w:tc>
              <w:tc>
                <w:tcPr>
                  <w:tcW w:w="222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76B1B6"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 xml:space="preserve">Logu, durvju un slēģu </w:t>
                  </w:r>
                  <w:proofErr w:type="spellStart"/>
                  <w:r w:rsidRPr="00F92207">
                    <w:rPr>
                      <w:rFonts w:ascii="Times New Roman" w:hAnsi="Times New Roman" w:cs="Times New Roman"/>
                      <w:color w:val="000000"/>
                      <w:sz w:val="20"/>
                      <w:szCs w:val="20"/>
                    </w:rPr>
                    <w:t>siltumefektivitāte</w:t>
                  </w:r>
                  <w:proofErr w:type="spellEnd"/>
                  <w:r w:rsidRPr="00F92207">
                    <w:rPr>
                      <w:rFonts w:ascii="Times New Roman" w:hAnsi="Times New Roman" w:cs="Times New Roman"/>
                      <w:color w:val="000000"/>
                      <w:sz w:val="20"/>
                      <w:szCs w:val="20"/>
                    </w:rPr>
                    <w:t>. Siltuma caurlaidības aprēķini. 1.daļa: Vispārīgi (ISO 10077-1:2017)</w:t>
                  </w:r>
                </w:p>
              </w:tc>
            </w:tr>
            <w:tr w:rsidR="00712D20" w:rsidRPr="00F92207" w14:paraId="63ACD6A8"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3F4D87"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8.</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8E04BD"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ISO 10211:2017</w:t>
                  </w:r>
                </w:p>
              </w:tc>
              <w:tc>
                <w:tcPr>
                  <w:tcW w:w="222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58B88E"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Termiskie tilti būvkonstrukcijās. Siltuma plūsmas un virsmas temperatūras. Detalizēti aprēķini (ISO 10211:2017)</w:t>
                  </w:r>
                </w:p>
              </w:tc>
            </w:tr>
            <w:tr w:rsidR="00712D20" w:rsidRPr="00F92207" w14:paraId="31835058"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B3D846"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9.</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7CEF31"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ISO 13370:2017</w:t>
                  </w:r>
                </w:p>
              </w:tc>
              <w:tc>
                <w:tcPr>
                  <w:tcW w:w="222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F0E4B9"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 xml:space="preserve">Ēku </w:t>
                  </w:r>
                  <w:proofErr w:type="spellStart"/>
                  <w:r w:rsidRPr="00F92207">
                    <w:rPr>
                      <w:rFonts w:ascii="Times New Roman" w:hAnsi="Times New Roman" w:cs="Times New Roman"/>
                      <w:color w:val="000000"/>
                      <w:sz w:val="20"/>
                      <w:szCs w:val="20"/>
                    </w:rPr>
                    <w:t>siltumtehniskās</w:t>
                  </w:r>
                  <w:proofErr w:type="spellEnd"/>
                  <w:r w:rsidRPr="00F92207">
                    <w:rPr>
                      <w:rFonts w:ascii="Times New Roman" w:hAnsi="Times New Roman" w:cs="Times New Roman"/>
                      <w:color w:val="000000"/>
                      <w:sz w:val="20"/>
                      <w:szCs w:val="20"/>
                    </w:rPr>
                    <w:t xml:space="preserve"> īpašības. Siltuma zudumi caur zemi. Aprēķina metodes (ISO 13370:2017)</w:t>
                  </w:r>
                </w:p>
              </w:tc>
            </w:tr>
            <w:tr w:rsidR="00712D20" w:rsidRPr="00F92207" w14:paraId="1A325AB1"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AE1038"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10.</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B0FC6D"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ISO 13786:2017</w:t>
                  </w:r>
                </w:p>
              </w:tc>
              <w:tc>
                <w:tcPr>
                  <w:tcW w:w="222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D0B166"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 xml:space="preserve">Ēku </w:t>
                  </w:r>
                  <w:proofErr w:type="spellStart"/>
                  <w:r w:rsidRPr="00F92207">
                    <w:rPr>
                      <w:rFonts w:ascii="Times New Roman" w:hAnsi="Times New Roman" w:cs="Times New Roman"/>
                      <w:color w:val="000000"/>
                      <w:sz w:val="20"/>
                      <w:szCs w:val="20"/>
                    </w:rPr>
                    <w:t>būvkomponentu</w:t>
                  </w:r>
                  <w:proofErr w:type="spellEnd"/>
                  <w:r w:rsidRPr="00F92207">
                    <w:rPr>
                      <w:rFonts w:ascii="Times New Roman" w:hAnsi="Times New Roman" w:cs="Times New Roman"/>
                      <w:color w:val="000000"/>
                      <w:sz w:val="20"/>
                      <w:szCs w:val="20"/>
                    </w:rPr>
                    <w:t xml:space="preserve"> </w:t>
                  </w:r>
                  <w:proofErr w:type="spellStart"/>
                  <w:r w:rsidRPr="00F92207">
                    <w:rPr>
                      <w:rFonts w:ascii="Times New Roman" w:hAnsi="Times New Roman" w:cs="Times New Roman"/>
                      <w:color w:val="000000"/>
                      <w:sz w:val="20"/>
                      <w:szCs w:val="20"/>
                    </w:rPr>
                    <w:t>siltumtehniskās</w:t>
                  </w:r>
                  <w:proofErr w:type="spellEnd"/>
                  <w:r w:rsidRPr="00F92207">
                    <w:rPr>
                      <w:rFonts w:ascii="Times New Roman" w:hAnsi="Times New Roman" w:cs="Times New Roman"/>
                      <w:color w:val="000000"/>
                      <w:sz w:val="20"/>
                      <w:szCs w:val="20"/>
                    </w:rPr>
                    <w:t xml:space="preserve"> īpašības. Dinamiskie </w:t>
                  </w:r>
                  <w:proofErr w:type="spellStart"/>
                  <w:r w:rsidRPr="00F92207">
                    <w:rPr>
                      <w:rFonts w:ascii="Times New Roman" w:hAnsi="Times New Roman" w:cs="Times New Roman"/>
                      <w:color w:val="000000"/>
                      <w:sz w:val="20"/>
                      <w:szCs w:val="20"/>
                    </w:rPr>
                    <w:t>siltumtehniskie</w:t>
                  </w:r>
                  <w:proofErr w:type="spellEnd"/>
                  <w:r w:rsidRPr="00F92207">
                    <w:rPr>
                      <w:rFonts w:ascii="Times New Roman" w:hAnsi="Times New Roman" w:cs="Times New Roman"/>
                      <w:color w:val="000000"/>
                      <w:sz w:val="20"/>
                      <w:szCs w:val="20"/>
                    </w:rPr>
                    <w:t xml:space="preserve"> raksturlielumi. Aprēķinu metodes (ISO 13786:2017)</w:t>
                  </w:r>
                </w:p>
              </w:tc>
            </w:tr>
            <w:tr w:rsidR="00712D20" w:rsidRPr="00F92207" w14:paraId="61D8B63A"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CDFA77"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11.</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0E699E"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ISO 13789:2017</w:t>
                  </w:r>
                </w:p>
              </w:tc>
              <w:tc>
                <w:tcPr>
                  <w:tcW w:w="222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F6A9B1"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 xml:space="preserve">Ēku </w:t>
                  </w:r>
                  <w:proofErr w:type="spellStart"/>
                  <w:r w:rsidRPr="00F92207">
                    <w:rPr>
                      <w:rFonts w:ascii="Times New Roman" w:hAnsi="Times New Roman" w:cs="Times New Roman"/>
                      <w:color w:val="000000"/>
                      <w:sz w:val="20"/>
                      <w:szCs w:val="20"/>
                    </w:rPr>
                    <w:t>siltumtehniskās</w:t>
                  </w:r>
                  <w:proofErr w:type="spellEnd"/>
                  <w:r w:rsidRPr="00F92207">
                    <w:rPr>
                      <w:rFonts w:ascii="Times New Roman" w:hAnsi="Times New Roman" w:cs="Times New Roman"/>
                      <w:color w:val="000000"/>
                      <w:sz w:val="20"/>
                      <w:szCs w:val="20"/>
                    </w:rPr>
                    <w:t xml:space="preserve"> īpašības. </w:t>
                  </w:r>
                  <w:proofErr w:type="spellStart"/>
                  <w:r w:rsidRPr="00F92207">
                    <w:rPr>
                      <w:rFonts w:ascii="Times New Roman" w:hAnsi="Times New Roman" w:cs="Times New Roman"/>
                      <w:color w:val="000000"/>
                      <w:sz w:val="20"/>
                      <w:szCs w:val="20"/>
                    </w:rPr>
                    <w:t>Siltumpārvades</w:t>
                  </w:r>
                  <w:proofErr w:type="spellEnd"/>
                  <w:r w:rsidRPr="00F92207">
                    <w:rPr>
                      <w:rFonts w:ascii="Times New Roman" w:hAnsi="Times New Roman" w:cs="Times New Roman"/>
                      <w:color w:val="000000"/>
                      <w:sz w:val="20"/>
                      <w:szCs w:val="20"/>
                    </w:rPr>
                    <w:t xml:space="preserve"> un ventilācijas siltumapmaiņas koeficienti. Aprēķināšanas metodika (ISO 13789:2017)</w:t>
                  </w:r>
                </w:p>
              </w:tc>
            </w:tr>
            <w:tr w:rsidR="00712D20" w:rsidRPr="00F92207" w14:paraId="291752A9"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D3C17C"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12.</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B299E6"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ISO 14683:2017</w:t>
                  </w:r>
                </w:p>
              </w:tc>
              <w:tc>
                <w:tcPr>
                  <w:tcW w:w="2224" w:type="pct"/>
                  <w:tcBorders>
                    <w:top w:val="single" w:sz="4" w:space="0" w:color="auto"/>
                    <w:left w:val="single" w:sz="4" w:space="0" w:color="auto"/>
                    <w:bottom w:val="single" w:sz="4" w:space="0" w:color="auto"/>
                    <w:right w:val="single" w:sz="4" w:space="0" w:color="auto"/>
                  </w:tcBorders>
                  <w:shd w:val="clear" w:color="auto" w:fill="FFFFFF"/>
                  <w:hideMark/>
                </w:tcPr>
                <w:p w14:paraId="35C6DCF4"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Termiskie tilti būvkonstrukcijās. Lineārās siltuma caurlaidības koeficients. Vienkāršotas metodes un pieņemtās vērtības (ISO 14683:2017)</w:t>
                  </w:r>
                </w:p>
              </w:tc>
            </w:tr>
            <w:tr w:rsidR="00712D20" w:rsidRPr="00F92207" w14:paraId="53083E0A"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CAE4F3"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13.</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BE2A06"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15193-1:2017</w:t>
                  </w:r>
                </w:p>
              </w:tc>
              <w:tc>
                <w:tcPr>
                  <w:tcW w:w="2224" w:type="pct"/>
                  <w:tcBorders>
                    <w:top w:val="single" w:sz="4" w:space="0" w:color="auto"/>
                    <w:left w:val="single" w:sz="4" w:space="0" w:color="auto"/>
                    <w:bottom w:val="single" w:sz="4" w:space="0" w:color="auto"/>
                    <w:right w:val="single" w:sz="4" w:space="0" w:color="auto"/>
                  </w:tcBorders>
                  <w:shd w:val="clear" w:color="auto" w:fill="FFFFFF"/>
                  <w:hideMark/>
                </w:tcPr>
                <w:p w14:paraId="425F09D0"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 xml:space="preserve">Ēku energoefektivitāte. </w:t>
                  </w:r>
                  <w:proofErr w:type="spellStart"/>
                  <w:r w:rsidRPr="00F92207">
                    <w:rPr>
                      <w:rFonts w:ascii="Times New Roman" w:hAnsi="Times New Roman" w:cs="Times New Roman"/>
                      <w:color w:val="000000"/>
                      <w:sz w:val="20"/>
                      <w:szCs w:val="20"/>
                    </w:rPr>
                    <w:t>Energoprasības</w:t>
                  </w:r>
                  <w:proofErr w:type="spellEnd"/>
                  <w:r w:rsidRPr="00F92207">
                    <w:rPr>
                      <w:rFonts w:ascii="Times New Roman" w:hAnsi="Times New Roman" w:cs="Times New Roman"/>
                      <w:color w:val="000000"/>
                      <w:sz w:val="20"/>
                      <w:szCs w:val="20"/>
                    </w:rPr>
                    <w:t xml:space="preserve"> apgaismei. 1.daļa: M9 moduļa specifikācija</w:t>
                  </w:r>
                </w:p>
              </w:tc>
            </w:tr>
            <w:tr w:rsidR="00712D20" w:rsidRPr="00F92207" w14:paraId="22BDADE8"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40D86D"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14.</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BBC2CA"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16798-17:2017</w:t>
                  </w:r>
                </w:p>
              </w:tc>
              <w:tc>
                <w:tcPr>
                  <w:tcW w:w="2224" w:type="pct"/>
                  <w:tcBorders>
                    <w:top w:val="single" w:sz="4" w:space="0" w:color="auto"/>
                    <w:left w:val="single" w:sz="4" w:space="0" w:color="auto"/>
                    <w:bottom w:val="single" w:sz="4" w:space="0" w:color="auto"/>
                    <w:right w:val="single" w:sz="4" w:space="0" w:color="auto"/>
                  </w:tcBorders>
                  <w:shd w:val="clear" w:color="auto" w:fill="FFFFFF"/>
                  <w:hideMark/>
                </w:tcPr>
                <w:p w14:paraId="762C7627"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Ēku energoefektivitāte. Ēku ventilācija. 17.daļa: Vadlīnijas ventilācijas un gaisa kondicionēšanas sistēmu inspicēšanai (M4-11, M5-11, M6-11 un M7-11 moduļi)</w:t>
                  </w:r>
                </w:p>
              </w:tc>
            </w:tr>
            <w:tr w:rsidR="00712D20" w:rsidRPr="00F92207" w14:paraId="4E8FFB0A"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C55AF2"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lastRenderedPageBreak/>
                    <w:t>15.</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3EE28F"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16798-5-1:2017</w:t>
                  </w:r>
                </w:p>
              </w:tc>
              <w:tc>
                <w:tcPr>
                  <w:tcW w:w="2224" w:type="pct"/>
                  <w:tcBorders>
                    <w:top w:val="single" w:sz="4" w:space="0" w:color="auto"/>
                    <w:left w:val="single" w:sz="4" w:space="0" w:color="auto"/>
                    <w:bottom w:val="single" w:sz="4" w:space="0" w:color="auto"/>
                    <w:right w:val="single" w:sz="4" w:space="0" w:color="auto"/>
                  </w:tcBorders>
                  <w:shd w:val="clear" w:color="auto" w:fill="FFFFFF"/>
                  <w:hideMark/>
                </w:tcPr>
                <w:p w14:paraId="66867053"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 xml:space="preserve">Ēku energoefektivitāte. Ēku ventilācija. 5-1. daļa: Ventilācijas un gaisa kondicionēšanas sistēmu </w:t>
                  </w:r>
                  <w:proofErr w:type="spellStart"/>
                  <w:r w:rsidRPr="00F92207">
                    <w:rPr>
                      <w:rFonts w:ascii="Times New Roman" w:hAnsi="Times New Roman" w:cs="Times New Roman"/>
                      <w:color w:val="000000"/>
                      <w:sz w:val="20"/>
                      <w:szCs w:val="20"/>
                    </w:rPr>
                    <w:t>energoprasību</w:t>
                  </w:r>
                  <w:proofErr w:type="spellEnd"/>
                  <w:r w:rsidRPr="00F92207">
                    <w:rPr>
                      <w:rFonts w:ascii="Times New Roman" w:hAnsi="Times New Roman" w:cs="Times New Roman"/>
                      <w:color w:val="000000"/>
                      <w:sz w:val="20"/>
                      <w:szCs w:val="20"/>
                    </w:rPr>
                    <w:t xml:space="preserve"> aprēķināšanas metodes (M5-6, M5-8, M6-5, M6-8, M7-5 un M7-8 moduļi). 1.metode: Izplatīšana un ģenerēšana</w:t>
                  </w:r>
                </w:p>
              </w:tc>
            </w:tr>
            <w:tr w:rsidR="00712D20" w:rsidRPr="00F92207" w14:paraId="1D00603C"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9E9523"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16.</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CC25C6"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16798-7:2017</w:t>
                  </w:r>
                </w:p>
              </w:tc>
              <w:tc>
                <w:tcPr>
                  <w:tcW w:w="2224" w:type="pct"/>
                  <w:tcBorders>
                    <w:top w:val="single" w:sz="4" w:space="0" w:color="auto"/>
                    <w:left w:val="single" w:sz="4" w:space="0" w:color="auto"/>
                    <w:bottom w:val="single" w:sz="4" w:space="0" w:color="auto"/>
                    <w:right w:val="single" w:sz="4" w:space="0" w:color="auto"/>
                  </w:tcBorders>
                  <w:shd w:val="clear" w:color="auto" w:fill="FFFFFF"/>
                  <w:hideMark/>
                </w:tcPr>
                <w:p w14:paraId="7CD1F065"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Ēku energoefektivitāte. Ēku ventilācija. 7.daļa: Aprēķina metodes gaisa plūsmas intensitātes noteikšanai ēkās, ieskaitot infiltrāciju (M5-5 modulis)</w:t>
                  </w:r>
                </w:p>
              </w:tc>
            </w:tr>
            <w:tr w:rsidR="00712D20" w:rsidRPr="00F92207" w14:paraId="55342E8A"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7895EB"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17.</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1C3415"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16798-13:2017</w:t>
                  </w:r>
                </w:p>
              </w:tc>
              <w:tc>
                <w:tcPr>
                  <w:tcW w:w="2224" w:type="pct"/>
                  <w:tcBorders>
                    <w:top w:val="single" w:sz="4" w:space="0" w:color="auto"/>
                    <w:left w:val="single" w:sz="4" w:space="0" w:color="auto"/>
                    <w:bottom w:val="single" w:sz="4" w:space="0" w:color="auto"/>
                    <w:right w:val="single" w:sz="4" w:space="0" w:color="auto"/>
                  </w:tcBorders>
                  <w:shd w:val="clear" w:color="auto" w:fill="FFFFFF"/>
                  <w:hideMark/>
                </w:tcPr>
                <w:p w14:paraId="7006F00E"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Ēku energoefektivitāte. Ēku ventilācija. 13.daļa: Dzesēšanas sistēmu aprēķins (M4-8 modulis). Ģenerēšana</w:t>
                  </w:r>
                </w:p>
              </w:tc>
            </w:tr>
            <w:tr w:rsidR="00712D20" w:rsidRPr="00F92207" w14:paraId="400D33C9"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EA3BE0"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18.</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07CEC0"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16798-9:2017</w:t>
                  </w:r>
                </w:p>
              </w:tc>
              <w:tc>
                <w:tcPr>
                  <w:tcW w:w="2224" w:type="pct"/>
                  <w:tcBorders>
                    <w:top w:val="single" w:sz="4" w:space="0" w:color="auto"/>
                    <w:left w:val="single" w:sz="4" w:space="0" w:color="auto"/>
                    <w:bottom w:val="single" w:sz="4" w:space="0" w:color="auto"/>
                    <w:right w:val="single" w:sz="4" w:space="0" w:color="auto"/>
                  </w:tcBorders>
                  <w:shd w:val="clear" w:color="auto" w:fill="FFFFFF"/>
                  <w:hideMark/>
                </w:tcPr>
                <w:p w14:paraId="7C937570"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 xml:space="preserve">Ēku energoefektivitāte. Ēku ventilācija. 9.daļa: Dzesēšanas sistēmu </w:t>
                  </w:r>
                  <w:proofErr w:type="spellStart"/>
                  <w:r w:rsidRPr="00F92207">
                    <w:rPr>
                      <w:rFonts w:ascii="Times New Roman" w:hAnsi="Times New Roman" w:cs="Times New Roman"/>
                      <w:color w:val="000000"/>
                      <w:sz w:val="20"/>
                      <w:szCs w:val="20"/>
                    </w:rPr>
                    <w:t>energoprasību</w:t>
                  </w:r>
                  <w:proofErr w:type="spellEnd"/>
                  <w:r w:rsidRPr="00F92207">
                    <w:rPr>
                      <w:rFonts w:ascii="Times New Roman" w:hAnsi="Times New Roman" w:cs="Times New Roman"/>
                      <w:color w:val="000000"/>
                      <w:sz w:val="20"/>
                      <w:szCs w:val="20"/>
                    </w:rPr>
                    <w:t xml:space="preserve"> aprēķināšanas metodes (M4-1, M4-4 un M4-9 moduļi). Vispārīgi</w:t>
                  </w:r>
                </w:p>
              </w:tc>
            </w:tr>
            <w:tr w:rsidR="00712D20" w:rsidRPr="00F92207" w14:paraId="2F103010"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8887A6"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19.</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C8DF24"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CEN/TR 16798-14:2017</w:t>
                  </w:r>
                </w:p>
              </w:tc>
              <w:tc>
                <w:tcPr>
                  <w:tcW w:w="2224" w:type="pct"/>
                  <w:tcBorders>
                    <w:top w:val="single" w:sz="4" w:space="0" w:color="auto"/>
                    <w:left w:val="single" w:sz="4" w:space="0" w:color="auto"/>
                    <w:bottom w:val="single" w:sz="4" w:space="0" w:color="auto"/>
                    <w:right w:val="single" w:sz="4" w:space="0" w:color="auto"/>
                  </w:tcBorders>
                  <w:shd w:val="clear" w:color="auto" w:fill="FFFFFF"/>
                  <w:hideMark/>
                </w:tcPr>
                <w:p w14:paraId="4225613D"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Ēku energoefektivitāte. Ēku ventilācija. 10.daļa: EN 16798-13 standarta prasību interpretācija. Dzesēšanas sistēmu aprēķini (M4-8 modulis). Ģenerēšana</w:t>
                  </w:r>
                </w:p>
              </w:tc>
            </w:tr>
            <w:tr w:rsidR="00712D20" w:rsidRPr="00F92207" w14:paraId="2C96A5D3"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10938E"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20.</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F97BD6"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15316-2:2017</w:t>
                  </w:r>
                </w:p>
              </w:tc>
              <w:tc>
                <w:tcPr>
                  <w:tcW w:w="2224" w:type="pct"/>
                  <w:tcBorders>
                    <w:top w:val="single" w:sz="4" w:space="0" w:color="auto"/>
                    <w:left w:val="single" w:sz="4" w:space="0" w:color="auto"/>
                    <w:bottom w:val="single" w:sz="4" w:space="0" w:color="auto"/>
                    <w:right w:val="single" w:sz="4" w:space="0" w:color="auto"/>
                  </w:tcBorders>
                  <w:shd w:val="clear" w:color="auto" w:fill="FFFFFF"/>
                  <w:hideMark/>
                </w:tcPr>
                <w:p w14:paraId="2F10A4FF"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 xml:space="preserve">Ēku energoefektivitāte. Sistēmu </w:t>
                  </w:r>
                  <w:proofErr w:type="spellStart"/>
                  <w:r w:rsidRPr="00F92207">
                    <w:rPr>
                      <w:rFonts w:ascii="Times New Roman" w:hAnsi="Times New Roman" w:cs="Times New Roman"/>
                      <w:color w:val="000000"/>
                      <w:sz w:val="20"/>
                      <w:szCs w:val="20"/>
                    </w:rPr>
                    <w:t>energoprasību</w:t>
                  </w:r>
                  <w:proofErr w:type="spellEnd"/>
                  <w:r w:rsidRPr="00F92207">
                    <w:rPr>
                      <w:rFonts w:ascii="Times New Roman" w:hAnsi="Times New Roman" w:cs="Times New Roman"/>
                      <w:color w:val="000000"/>
                      <w:sz w:val="20"/>
                      <w:szCs w:val="20"/>
                    </w:rPr>
                    <w:t xml:space="preserve"> un efektivitātes aprēķināšanas metodes. 2.daļa: Telpu emisijas sistēmas (apkure un dzesēšana), M3-5 un M4-5 moduļi</w:t>
                  </w:r>
                </w:p>
              </w:tc>
            </w:tr>
            <w:tr w:rsidR="00712D20" w:rsidRPr="00F92207" w14:paraId="570CD0F1"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646BAA"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21.</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8334B1"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15316-3:2017</w:t>
                  </w:r>
                </w:p>
              </w:tc>
              <w:tc>
                <w:tcPr>
                  <w:tcW w:w="2224" w:type="pct"/>
                  <w:tcBorders>
                    <w:top w:val="single" w:sz="4" w:space="0" w:color="auto"/>
                    <w:left w:val="single" w:sz="4" w:space="0" w:color="auto"/>
                    <w:bottom w:val="single" w:sz="4" w:space="0" w:color="auto"/>
                    <w:right w:val="single" w:sz="4" w:space="0" w:color="auto"/>
                  </w:tcBorders>
                  <w:shd w:val="clear" w:color="auto" w:fill="FFFFFF"/>
                  <w:hideMark/>
                </w:tcPr>
                <w:p w14:paraId="698965A1"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 xml:space="preserve">Ēku energoefektivitāte. Sistēmu </w:t>
                  </w:r>
                  <w:proofErr w:type="spellStart"/>
                  <w:r w:rsidRPr="00F92207">
                    <w:rPr>
                      <w:rFonts w:ascii="Times New Roman" w:hAnsi="Times New Roman" w:cs="Times New Roman"/>
                      <w:color w:val="000000"/>
                      <w:sz w:val="20"/>
                      <w:szCs w:val="20"/>
                    </w:rPr>
                    <w:t>energoprasību</w:t>
                  </w:r>
                  <w:proofErr w:type="spellEnd"/>
                  <w:r w:rsidRPr="00F92207">
                    <w:rPr>
                      <w:rFonts w:ascii="Times New Roman" w:hAnsi="Times New Roman" w:cs="Times New Roman"/>
                      <w:color w:val="000000"/>
                      <w:sz w:val="20"/>
                      <w:szCs w:val="20"/>
                    </w:rPr>
                    <w:t xml:space="preserve"> un efektivitātes aprēķināšanas metodes. 3.daļa: Telpu apgādes sistēmas (DHW, apkure un dzesēšana). M3-6, M4-6 un M8-6 moduļi</w:t>
                  </w:r>
                </w:p>
              </w:tc>
            </w:tr>
            <w:tr w:rsidR="00712D20" w:rsidRPr="00F92207" w14:paraId="3E814D83"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B88645"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lastRenderedPageBreak/>
                    <w:t>22.</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03BAF1"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12831-3:2017</w:t>
                  </w:r>
                </w:p>
              </w:tc>
              <w:tc>
                <w:tcPr>
                  <w:tcW w:w="2224" w:type="pct"/>
                  <w:tcBorders>
                    <w:top w:val="single" w:sz="4" w:space="0" w:color="auto"/>
                    <w:left w:val="single" w:sz="4" w:space="0" w:color="auto"/>
                    <w:bottom w:val="single" w:sz="4" w:space="0" w:color="auto"/>
                    <w:right w:val="single" w:sz="4" w:space="0" w:color="auto"/>
                  </w:tcBorders>
                  <w:shd w:val="clear" w:color="auto" w:fill="FFFFFF"/>
                  <w:hideMark/>
                </w:tcPr>
                <w:p w14:paraId="0D277A08"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 xml:space="preserve">Ēku energoefektivitāte. </w:t>
                  </w:r>
                  <w:proofErr w:type="spellStart"/>
                  <w:r w:rsidRPr="00F92207">
                    <w:rPr>
                      <w:rFonts w:ascii="Times New Roman" w:hAnsi="Times New Roman" w:cs="Times New Roman"/>
                      <w:color w:val="000000"/>
                      <w:sz w:val="20"/>
                      <w:szCs w:val="20"/>
                    </w:rPr>
                    <w:t>Siltumslodzes</w:t>
                  </w:r>
                  <w:proofErr w:type="spellEnd"/>
                  <w:r w:rsidRPr="00F92207">
                    <w:rPr>
                      <w:rFonts w:ascii="Times New Roman" w:hAnsi="Times New Roman" w:cs="Times New Roman"/>
                      <w:color w:val="000000"/>
                      <w:sz w:val="20"/>
                      <w:szCs w:val="20"/>
                    </w:rPr>
                    <w:t xml:space="preserve"> projektēšanas aprēķina metode. 3.daļa: Mājsaimniecību karstā ūdens sistēmu </w:t>
                  </w:r>
                  <w:proofErr w:type="spellStart"/>
                  <w:r w:rsidRPr="00F92207">
                    <w:rPr>
                      <w:rFonts w:ascii="Times New Roman" w:hAnsi="Times New Roman" w:cs="Times New Roman"/>
                      <w:color w:val="000000"/>
                      <w:sz w:val="20"/>
                      <w:szCs w:val="20"/>
                    </w:rPr>
                    <w:t>siltumslodzes</w:t>
                  </w:r>
                  <w:proofErr w:type="spellEnd"/>
                  <w:r w:rsidRPr="00F92207">
                    <w:rPr>
                      <w:rFonts w:ascii="Times New Roman" w:hAnsi="Times New Roman" w:cs="Times New Roman"/>
                      <w:color w:val="000000"/>
                      <w:sz w:val="20"/>
                      <w:szCs w:val="20"/>
                    </w:rPr>
                    <w:t xml:space="preserve"> un prasību raksturošana. M8-2 un M8-3 moduļi</w:t>
                  </w:r>
                </w:p>
              </w:tc>
            </w:tr>
            <w:tr w:rsidR="00712D20" w:rsidRPr="00F92207" w14:paraId="5FF00E3A"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8774CF"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23.</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98D0FC"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15316-4-1:2017</w:t>
                  </w:r>
                </w:p>
              </w:tc>
              <w:tc>
                <w:tcPr>
                  <w:tcW w:w="2224" w:type="pct"/>
                  <w:tcBorders>
                    <w:top w:val="single" w:sz="4" w:space="0" w:color="auto"/>
                    <w:left w:val="single" w:sz="4" w:space="0" w:color="auto"/>
                    <w:bottom w:val="single" w:sz="4" w:space="0" w:color="auto"/>
                    <w:right w:val="single" w:sz="4" w:space="0" w:color="auto"/>
                  </w:tcBorders>
                  <w:shd w:val="clear" w:color="auto" w:fill="FFFFFF"/>
                  <w:hideMark/>
                </w:tcPr>
                <w:p w14:paraId="35963EB2"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 xml:space="preserve">Ēku energoefektivitāte. Sistēmu </w:t>
                  </w:r>
                  <w:proofErr w:type="spellStart"/>
                  <w:r w:rsidRPr="00F92207">
                    <w:rPr>
                      <w:rFonts w:ascii="Times New Roman" w:hAnsi="Times New Roman" w:cs="Times New Roman"/>
                      <w:color w:val="000000"/>
                      <w:sz w:val="20"/>
                      <w:szCs w:val="20"/>
                    </w:rPr>
                    <w:t>energoprasību</w:t>
                  </w:r>
                  <w:proofErr w:type="spellEnd"/>
                  <w:r w:rsidRPr="00F92207">
                    <w:rPr>
                      <w:rFonts w:ascii="Times New Roman" w:hAnsi="Times New Roman" w:cs="Times New Roman"/>
                      <w:color w:val="000000"/>
                      <w:sz w:val="20"/>
                      <w:szCs w:val="20"/>
                    </w:rPr>
                    <w:t xml:space="preserve"> un efektivitātes aprēķināšanas metodes. 4-1. daļa: Telpu apkure un DHW </w:t>
                  </w:r>
                  <w:proofErr w:type="spellStart"/>
                  <w:r w:rsidRPr="00F92207">
                    <w:rPr>
                      <w:rFonts w:ascii="Times New Roman" w:hAnsi="Times New Roman" w:cs="Times New Roman"/>
                      <w:color w:val="000000"/>
                      <w:sz w:val="20"/>
                      <w:szCs w:val="20"/>
                    </w:rPr>
                    <w:t>ģenerētājsistēmas</w:t>
                  </w:r>
                  <w:proofErr w:type="spellEnd"/>
                  <w:r w:rsidRPr="00F92207">
                    <w:rPr>
                      <w:rFonts w:ascii="Times New Roman" w:hAnsi="Times New Roman" w:cs="Times New Roman"/>
                      <w:color w:val="000000"/>
                      <w:sz w:val="20"/>
                      <w:szCs w:val="20"/>
                    </w:rPr>
                    <w:t xml:space="preserve">, </w:t>
                  </w:r>
                  <w:proofErr w:type="spellStart"/>
                  <w:r w:rsidRPr="00F92207">
                    <w:rPr>
                      <w:rFonts w:ascii="Times New Roman" w:hAnsi="Times New Roman" w:cs="Times New Roman"/>
                      <w:color w:val="000000"/>
                      <w:sz w:val="20"/>
                      <w:szCs w:val="20"/>
                    </w:rPr>
                    <w:t>degsistēmas</w:t>
                  </w:r>
                  <w:proofErr w:type="spellEnd"/>
                  <w:r w:rsidRPr="00F92207">
                    <w:rPr>
                      <w:rFonts w:ascii="Times New Roman" w:hAnsi="Times New Roman" w:cs="Times New Roman"/>
                      <w:color w:val="000000"/>
                      <w:sz w:val="20"/>
                      <w:szCs w:val="20"/>
                    </w:rPr>
                    <w:t xml:space="preserve"> (biomasas boileri), M3-8-1 un M8-8-1 moduļi</w:t>
                  </w:r>
                </w:p>
              </w:tc>
            </w:tr>
            <w:tr w:rsidR="00712D20" w:rsidRPr="00F92207" w14:paraId="0969C481"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5E9F90"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24.</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1C1EA5"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15378-1:2017</w:t>
                  </w:r>
                </w:p>
              </w:tc>
              <w:tc>
                <w:tcPr>
                  <w:tcW w:w="2224" w:type="pct"/>
                  <w:tcBorders>
                    <w:top w:val="single" w:sz="4" w:space="0" w:color="auto"/>
                    <w:left w:val="single" w:sz="4" w:space="0" w:color="auto"/>
                    <w:bottom w:val="single" w:sz="4" w:space="0" w:color="auto"/>
                    <w:right w:val="single" w:sz="4" w:space="0" w:color="auto"/>
                  </w:tcBorders>
                  <w:shd w:val="clear" w:color="auto" w:fill="FFFFFF"/>
                  <w:hideMark/>
                </w:tcPr>
                <w:p w14:paraId="65D076C8"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Ēku energoefektivitāte. Ēku apkures sistēmas un DHW. 1.daļa: Apkures katlu, sistēmu un DHW inspicēšana, M3-11 un M8-11 moduļi</w:t>
                  </w:r>
                </w:p>
              </w:tc>
            </w:tr>
            <w:tr w:rsidR="00712D20" w:rsidRPr="00F92207" w14:paraId="76C11EFA"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A44747"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25.</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4F5465"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15459-1:2017</w:t>
                  </w:r>
                </w:p>
              </w:tc>
              <w:tc>
                <w:tcPr>
                  <w:tcW w:w="2224" w:type="pct"/>
                  <w:tcBorders>
                    <w:top w:val="single" w:sz="4" w:space="0" w:color="auto"/>
                    <w:left w:val="single" w:sz="4" w:space="0" w:color="auto"/>
                    <w:bottom w:val="single" w:sz="4" w:space="0" w:color="auto"/>
                    <w:right w:val="single" w:sz="4" w:space="0" w:color="auto"/>
                  </w:tcBorders>
                  <w:shd w:val="clear" w:color="auto" w:fill="FFFFFF"/>
                  <w:hideMark/>
                </w:tcPr>
                <w:p w14:paraId="74658C37"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Ēku energoefektivitāte. Ēku energosistēmu ekonomiskā izvērtēšanas procedūra. 1.daļa: Aprēķinu procedūras, M1-14 modulis</w:t>
                  </w:r>
                </w:p>
              </w:tc>
            </w:tr>
            <w:tr w:rsidR="00712D20" w:rsidRPr="00F92207" w14:paraId="24AC29C8"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CE468B"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26.</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7527BA"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ISO/TR 52000-2:2017</w:t>
                  </w:r>
                </w:p>
              </w:tc>
              <w:tc>
                <w:tcPr>
                  <w:tcW w:w="2224" w:type="pct"/>
                  <w:tcBorders>
                    <w:top w:val="single" w:sz="4" w:space="0" w:color="auto"/>
                    <w:left w:val="single" w:sz="4" w:space="0" w:color="auto"/>
                    <w:bottom w:val="single" w:sz="4" w:space="0" w:color="auto"/>
                    <w:right w:val="single" w:sz="4" w:space="0" w:color="auto"/>
                  </w:tcBorders>
                  <w:shd w:val="clear" w:color="auto" w:fill="FFFFFF"/>
                  <w:hideMark/>
                </w:tcPr>
                <w:p w14:paraId="0E81CD43"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Ēku energoefektivitāte. Vispārējs ēku energoefektivitātes novērtējums. 2.daļa: ISO 52000-1 skaidrojums un pamatojums (ISO/TR 52000-2:2017)</w:t>
                  </w:r>
                </w:p>
              </w:tc>
            </w:tr>
            <w:tr w:rsidR="00712D20" w:rsidRPr="00F92207" w14:paraId="344BA3FE"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CB9819"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27.</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96EAFF"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ISO/TR 52003-2:2017</w:t>
                  </w:r>
                </w:p>
              </w:tc>
              <w:tc>
                <w:tcPr>
                  <w:tcW w:w="2224" w:type="pct"/>
                  <w:tcBorders>
                    <w:top w:val="single" w:sz="4" w:space="0" w:color="auto"/>
                    <w:left w:val="single" w:sz="4" w:space="0" w:color="auto"/>
                    <w:bottom w:val="single" w:sz="4" w:space="0" w:color="auto"/>
                    <w:right w:val="single" w:sz="4" w:space="0" w:color="auto"/>
                  </w:tcBorders>
                  <w:shd w:val="clear" w:color="auto" w:fill="FFFFFF"/>
                  <w:hideMark/>
                </w:tcPr>
                <w:p w14:paraId="54C2127A"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Ēku energoefektivitāte. Rādītāji, prasības, vērtējumi un sertifikāti. 2.daļa: ISO 52003-1 skaidrojums un pamatojums (ISO/TR 52003-2:2017)</w:t>
                  </w:r>
                </w:p>
              </w:tc>
            </w:tr>
            <w:tr w:rsidR="00712D20" w:rsidRPr="00F92207" w14:paraId="6384A7F3"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DF20A9"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28.</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F4E7FC"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12098-1:2017</w:t>
                  </w:r>
                </w:p>
              </w:tc>
              <w:tc>
                <w:tcPr>
                  <w:tcW w:w="2224" w:type="pct"/>
                  <w:tcBorders>
                    <w:top w:val="single" w:sz="4" w:space="0" w:color="auto"/>
                    <w:left w:val="single" w:sz="4" w:space="0" w:color="auto"/>
                    <w:bottom w:val="single" w:sz="4" w:space="0" w:color="auto"/>
                    <w:right w:val="single" w:sz="4" w:space="0" w:color="auto"/>
                  </w:tcBorders>
                  <w:shd w:val="clear" w:color="auto" w:fill="FFFFFF"/>
                  <w:hideMark/>
                </w:tcPr>
                <w:p w14:paraId="64747A4C"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Ēku energoefektivitāte. Apkures sistēmu vadība. 1. daļa: Vadības iekārta karstā ūdens apkures sistēmām. M3-5, 6, 7, 8 moduļi</w:t>
                  </w:r>
                </w:p>
              </w:tc>
            </w:tr>
            <w:tr w:rsidR="00712D20" w:rsidRPr="00F92207" w14:paraId="1C97CA53"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2BF628"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29.</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8F5769"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12098-3:2017</w:t>
                  </w:r>
                </w:p>
              </w:tc>
              <w:tc>
                <w:tcPr>
                  <w:tcW w:w="2224" w:type="pct"/>
                  <w:tcBorders>
                    <w:top w:val="single" w:sz="4" w:space="0" w:color="auto"/>
                    <w:left w:val="single" w:sz="4" w:space="0" w:color="auto"/>
                    <w:bottom w:val="single" w:sz="4" w:space="0" w:color="auto"/>
                    <w:right w:val="single" w:sz="4" w:space="0" w:color="auto"/>
                  </w:tcBorders>
                  <w:shd w:val="clear" w:color="auto" w:fill="FFFFFF"/>
                  <w:hideMark/>
                </w:tcPr>
                <w:p w14:paraId="2E195327"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 xml:space="preserve">Ēku energoefektivitāte. Apkures sistēmu vadība. </w:t>
                  </w:r>
                  <w:r w:rsidRPr="00F92207">
                    <w:rPr>
                      <w:rFonts w:ascii="Times New Roman" w:hAnsi="Times New Roman" w:cs="Times New Roman"/>
                      <w:color w:val="000000"/>
                      <w:sz w:val="20"/>
                      <w:szCs w:val="20"/>
                    </w:rPr>
                    <w:lastRenderedPageBreak/>
                    <w:t xml:space="preserve">3. daļa: Vadības iekārtas </w:t>
                  </w:r>
                  <w:proofErr w:type="spellStart"/>
                  <w:r w:rsidRPr="00F92207">
                    <w:rPr>
                      <w:rFonts w:ascii="Times New Roman" w:hAnsi="Times New Roman" w:cs="Times New Roman"/>
                      <w:color w:val="000000"/>
                      <w:sz w:val="20"/>
                      <w:szCs w:val="20"/>
                    </w:rPr>
                    <w:t>elektroapkures</w:t>
                  </w:r>
                  <w:proofErr w:type="spellEnd"/>
                  <w:r w:rsidRPr="00F92207">
                    <w:rPr>
                      <w:rFonts w:ascii="Times New Roman" w:hAnsi="Times New Roman" w:cs="Times New Roman"/>
                      <w:color w:val="000000"/>
                      <w:sz w:val="20"/>
                      <w:szCs w:val="20"/>
                    </w:rPr>
                    <w:t xml:space="preserve"> sistēmām. M3-5,6,7,8 moduļi</w:t>
                  </w:r>
                </w:p>
              </w:tc>
            </w:tr>
            <w:tr w:rsidR="00712D20" w:rsidRPr="00F92207" w14:paraId="4EB76302"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398CC0"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lastRenderedPageBreak/>
                    <w:t>30.</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D956DF"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12098-5:2017</w:t>
                  </w:r>
                </w:p>
              </w:tc>
              <w:tc>
                <w:tcPr>
                  <w:tcW w:w="2224" w:type="pct"/>
                  <w:tcBorders>
                    <w:top w:val="single" w:sz="4" w:space="0" w:color="auto"/>
                    <w:left w:val="single" w:sz="4" w:space="0" w:color="auto"/>
                    <w:bottom w:val="single" w:sz="4" w:space="0" w:color="auto"/>
                    <w:right w:val="single" w:sz="4" w:space="0" w:color="auto"/>
                  </w:tcBorders>
                  <w:shd w:val="clear" w:color="auto" w:fill="FFFFFF"/>
                  <w:hideMark/>
                </w:tcPr>
                <w:p w14:paraId="74E6A0E5"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Ēku energoefektivitāte. Apkures sistēmu vadība. 5. daļa: Palaišanas-apstādināšanas signāla devēji apkures sistēmām. M3-5,6,7,8 moduļi</w:t>
                  </w:r>
                </w:p>
              </w:tc>
            </w:tr>
            <w:tr w:rsidR="00712D20" w:rsidRPr="00F92207" w14:paraId="14880E54"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5E1A44"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31.</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229B09"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12831-1:2017</w:t>
                  </w:r>
                </w:p>
              </w:tc>
              <w:tc>
                <w:tcPr>
                  <w:tcW w:w="2224" w:type="pct"/>
                  <w:tcBorders>
                    <w:top w:val="single" w:sz="4" w:space="0" w:color="auto"/>
                    <w:left w:val="single" w:sz="4" w:space="0" w:color="auto"/>
                    <w:bottom w:val="single" w:sz="4" w:space="0" w:color="auto"/>
                    <w:right w:val="single" w:sz="4" w:space="0" w:color="auto"/>
                  </w:tcBorders>
                  <w:shd w:val="clear" w:color="auto" w:fill="FFFFFF"/>
                  <w:hideMark/>
                </w:tcPr>
                <w:p w14:paraId="57A29DAE"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 xml:space="preserve">Ēku energoefektivitāte. </w:t>
                  </w:r>
                  <w:proofErr w:type="spellStart"/>
                  <w:r w:rsidRPr="00F92207">
                    <w:rPr>
                      <w:rFonts w:ascii="Times New Roman" w:hAnsi="Times New Roman" w:cs="Times New Roman"/>
                      <w:color w:val="000000"/>
                      <w:sz w:val="20"/>
                      <w:szCs w:val="20"/>
                    </w:rPr>
                    <w:t>Siltumslodzes</w:t>
                  </w:r>
                  <w:proofErr w:type="spellEnd"/>
                  <w:r w:rsidRPr="00F92207">
                    <w:rPr>
                      <w:rFonts w:ascii="Times New Roman" w:hAnsi="Times New Roman" w:cs="Times New Roman"/>
                      <w:color w:val="000000"/>
                      <w:sz w:val="20"/>
                      <w:szCs w:val="20"/>
                    </w:rPr>
                    <w:t xml:space="preserve"> projektēšanas aprēķina metode. 1. daļa: Telpu </w:t>
                  </w:r>
                  <w:proofErr w:type="spellStart"/>
                  <w:r w:rsidRPr="00F92207">
                    <w:rPr>
                      <w:rFonts w:ascii="Times New Roman" w:hAnsi="Times New Roman" w:cs="Times New Roman"/>
                      <w:color w:val="000000"/>
                      <w:sz w:val="20"/>
                      <w:szCs w:val="20"/>
                    </w:rPr>
                    <w:t>siltumslodze</w:t>
                  </w:r>
                  <w:proofErr w:type="spellEnd"/>
                  <w:r w:rsidRPr="00F92207">
                    <w:rPr>
                      <w:rFonts w:ascii="Times New Roman" w:hAnsi="Times New Roman" w:cs="Times New Roman"/>
                      <w:color w:val="000000"/>
                      <w:sz w:val="20"/>
                      <w:szCs w:val="20"/>
                    </w:rPr>
                    <w:t>. M3-3 modulis</w:t>
                  </w:r>
                </w:p>
              </w:tc>
            </w:tr>
            <w:tr w:rsidR="00712D20" w:rsidRPr="00F92207" w14:paraId="7B03FDDD"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9A787E"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32.</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0D5AA8"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15232-1:2017</w:t>
                  </w:r>
                </w:p>
              </w:tc>
              <w:tc>
                <w:tcPr>
                  <w:tcW w:w="2224" w:type="pct"/>
                  <w:tcBorders>
                    <w:top w:val="single" w:sz="4" w:space="0" w:color="auto"/>
                    <w:left w:val="single" w:sz="4" w:space="0" w:color="auto"/>
                    <w:bottom w:val="single" w:sz="4" w:space="0" w:color="auto"/>
                    <w:right w:val="single" w:sz="4" w:space="0" w:color="auto"/>
                  </w:tcBorders>
                  <w:shd w:val="clear" w:color="auto" w:fill="FFFFFF"/>
                  <w:hideMark/>
                </w:tcPr>
                <w:p w14:paraId="0A5BB38E"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Ēku energoefektivitāte. 1. daļa: Ēku vadības un automātikas sistēmas ietekme. M10-4,5,6,7,8,9,10 moduļi</w:t>
                  </w:r>
                </w:p>
              </w:tc>
            </w:tr>
            <w:tr w:rsidR="00712D20" w:rsidRPr="00F92207" w14:paraId="5ECC24E0"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2EF8BA"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33.</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08D1B6"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15316-1:2017</w:t>
                  </w:r>
                </w:p>
              </w:tc>
              <w:tc>
                <w:tcPr>
                  <w:tcW w:w="2224" w:type="pct"/>
                  <w:tcBorders>
                    <w:top w:val="single" w:sz="4" w:space="0" w:color="auto"/>
                    <w:left w:val="single" w:sz="4" w:space="0" w:color="auto"/>
                    <w:bottom w:val="single" w:sz="4" w:space="0" w:color="auto"/>
                    <w:right w:val="single" w:sz="4" w:space="0" w:color="auto"/>
                  </w:tcBorders>
                  <w:shd w:val="clear" w:color="auto" w:fill="FFFFFF"/>
                  <w:hideMark/>
                </w:tcPr>
                <w:p w14:paraId="1961FA4D"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 xml:space="preserve">Ēku energoefektivitāte. Sistēmu </w:t>
                  </w:r>
                  <w:proofErr w:type="spellStart"/>
                  <w:r w:rsidRPr="00F92207">
                    <w:rPr>
                      <w:rFonts w:ascii="Times New Roman" w:hAnsi="Times New Roman" w:cs="Times New Roman"/>
                      <w:color w:val="000000"/>
                      <w:sz w:val="20"/>
                      <w:szCs w:val="20"/>
                    </w:rPr>
                    <w:t>energoprasību</w:t>
                  </w:r>
                  <w:proofErr w:type="spellEnd"/>
                  <w:r w:rsidRPr="00F92207">
                    <w:rPr>
                      <w:rFonts w:ascii="Times New Roman" w:hAnsi="Times New Roman" w:cs="Times New Roman"/>
                      <w:color w:val="000000"/>
                      <w:sz w:val="20"/>
                      <w:szCs w:val="20"/>
                    </w:rPr>
                    <w:t xml:space="preserve"> un efektivitātes aprēķināšanas metodes. 1. daļa: Vispārējā un energoefektivitātes atspoguļošana M3-1, M3-4, M3-9, M8-1 un M8-4 moduļiem</w:t>
                  </w:r>
                </w:p>
              </w:tc>
            </w:tr>
            <w:tr w:rsidR="00712D20" w:rsidRPr="00F92207" w14:paraId="76B4CC1D"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AF9B76"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34.</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EBE1E5"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15316-4-2:2017+ AC</w:t>
                  </w:r>
                </w:p>
              </w:tc>
              <w:tc>
                <w:tcPr>
                  <w:tcW w:w="2224" w:type="pct"/>
                  <w:tcBorders>
                    <w:top w:val="single" w:sz="4" w:space="0" w:color="auto"/>
                    <w:left w:val="single" w:sz="4" w:space="0" w:color="auto"/>
                    <w:bottom w:val="single" w:sz="4" w:space="0" w:color="auto"/>
                    <w:right w:val="single" w:sz="4" w:space="0" w:color="auto"/>
                  </w:tcBorders>
                  <w:shd w:val="clear" w:color="auto" w:fill="FFFFFF"/>
                  <w:hideMark/>
                </w:tcPr>
                <w:p w14:paraId="6B45FAD6"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 xml:space="preserve">Ēku energoefektivitāte. Sistēmu </w:t>
                  </w:r>
                  <w:proofErr w:type="spellStart"/>
                  <w:r w:rsidRPr="00F92207">
                    <w:rPr>
                      <w:rFonts w:ascii="Times New Roman" w:hAnsi="Times New Roman" w:cs="Times New Roman"/>
                      <w:color w:val="000000"/>
                      <w:sz w:val="20"/>
                      <w:szCs w:val="20"/>
                    </w:rPr>
                    <w:t>energoprasību</w:t>
                  </w:r>
                  <w:proofErr w:type="spellEnd"/>
                  <w:r w:rsidRPr="00F92207">
                    <w:rPr>
                      <w:rFonts w:ascii="Times New Roman" w:hAnsi="Times New Roman" w:cs="Times New Roman"/>
                      <w:color w:val="000000"/>
                      <w:sz w:val="20"/>
                      <w:szCs w:val="20"/>
                    </w:rPr>
                    <w:t xml:space="preserve"> un efektivitātes aprēķināšanas metodes. 4-2. daļa: Telpu apkures </w:t>
                  </w:r>
                  <w:proofErr w:type="spellStart"/>
                  <w:r w:rsidRPr="00F92207">
                    <w:rPr>
                      <w:rFonts w:ascii="Times New Roman" w:hAnsi="Times New Roman" w:cs="Times New Roman"/>
                      <w:color w:val="000000"/>
                      <w:sz w:val="20"/>
                      <w:szCs w:val="20"/>
                    </w:rPr>
                    <w:t>ģenerētājsistēmas</w:t>
                  </w:r>
                  <w:proofErr w:type="spellEnd"/>
                  <w:r w:rsidRPr="00F92207">
                    <w:rPr>
                      <w:rFonts w:ascii="Times New Roman" w:hAnsi="Times New Roman" w:cs="Times New Roman"/>
                      <w:color w:val="000000"/>
                      <w:sz w:val="20"/>
                      <w:szCs w:val="20"/>
                    </w:rPr>
                    <w:t xml:space="preserve"> un </w:t>
                  </w:r>
                  <w:proofErr w:type="spellStart"/>
                  <w:r w:rsidRPr="00F92207">
                    <w:rPr>
                      <w:rFonts w:ascii="Times New Roman" w:hAnsi="Times New Roman" w:cs="Times New Roman"/>
                      <w:color w:val="000000"/>
                      <w:sz w:val="20"/>
                      <w:szCs w:val="20"/>
                    </w:rPr>
                    <w:t>siltumsūkņu</w:t>
                  </w:r>
                  <w:proofErr w:type="spellEnd"/>
                  <w:r w:rsidRPr="00F92207">
                    <w:rPr>
                      <w:rFonts w:ascii="Times New Roman" w:hAnsi="Times New Roman" w:cs="Times New Roman"/>
                      <w:color w:val="000000"/>
                      <w:sz w:val="20"/>
                      <w:szCs w:val="20"/>
                    </w:rPr>
                    <w:t xml:space="preserve"> sistēmas. M3-8-2 un M8-8-2 moduļi</w:t>
                  </w:r>
                </w:p>
              </w:tc>
            </w:tr>
            <w:tr w:rsidR="00712D20" w:rsidRPr="00F92207" w14:paraId="2EBFF806"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0775CA"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35.</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3E8698"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15316-4-3:2017</w:t>
                  </w:r>
                </w:p>
              </w:tc>
              <w:tc>
                <w:tcPr>
                  <w:tcW w:w="2224" w:type="pct"/>
                  <w:tcBorders>
                    <w:top w:val="single" w:sz="4" w:space="0" w:color="auto"/>
                    <w:left w:val="single" w:sz="4" w:space="0" w:color="auto"/>
                    <w:bottom w:val="single" w:sz="4" w:space="0" w:color="auto"/>
                    <w:right w:val="single" w:sz="4" w:space="0" w:color="auto"/>
                  </w:tcBorders>
                  <w:shd w:val="clear" w:color="auto" w:fill="FFFFFF"/>
                  <w:hideMark/>
                </w:tcPr>
                <w:p w14:paraId="07BE689D"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 xml:space="preserve">Ēku apkures sistēmas un dzesēšanas sistēmas uz ūdens bāzes. Sistēmu </w:t>
                  </w:r>
                  <w:proofErr w:type="spellStart"/>
                  <w:r w:rsidRPr="00F92207">
                    <w:rPr>
                      <w:rFonts w:ascii="Times New Roman" w:hAnsi="Times New Roman" w:cs="Times New Roman"/>
                      <w:color w:val="000000"/>
                      <w:sz w:val="20"/>
                      <w:szCs w:val="20"/>
                    </w:rPr>
                    <w:t>energoprasību</w:t>
                  </w:r>
                  <w:proofErr w:type="spellEnd"/>
                  <w:r w:rsidRPr="00F92207">
                    <w:rPr>
                      <w:rFonts w:ascii="Times New Roman" w:hAnsi="Times New Roman" w:cs="Times New Roman"/>
                      <w:color w:val="000000"/>
                      <w:sz w:val="20"/>
                      <w:szCs w:val="20"/>
                    </w:rPr>
                    <w:t xml:space="preserve"> un efektivitātes aprēķināšanas metodes. 4-3. daļa: Siltuma ģenerēšanas, saules </w:t>
                  </w:r>
                  <w:proofErr w:type="spellStart"/>
                  <w:r w:rsidRPr="00F92207">
                    <w:rPr>
                      <w:rFonts w:ascii="Times New Roman" w:hAnsi="Times New Roman" w:cs="Times New Roman"/>
                      <w:color w:val="000000"/>
                      <w:sz w:val="20"/>
                      <w:szCs w:val="20"/>
                    </w:rPr>
                    <w:t>siltumenerģētiskās</w:t>
                  </w:r>
                  <w:proofErr w:type="spellEnd"/>
                  <w:r w:rsidRPr="00F92207">
                    <w:rPr>
                      <w:rFonts w:ascii="Times New Roman" w:hAnsi="Times New Roman" w:cs="Times New Roman"/>
                      <w:color w:val="000000"/>
                      <w:sz w:val="20"/>
                      <w:szCs w:val="20"/>
                    </w:rPr>
                    <w:t xml:space="preserve"> un </w:t>
                  </w:r>
                  <w:proofErr w:type="spellStart"/>
                  <w:r w:rsidRPr="00F92207">
                    <w:rPr>
                      <w:rFonts w:ascii="Times New Roman" w:hAnsi="Times New Roman" w:cs="Times New Roman"/>
                      <w:color w:val="000000"/>
                      <w:sz w:val="20"/>
                      <w:szCs w:val="20"/>
                    </w:rPr>
                    <w:t>fotoelektriskās</w:t>
                  </w:r>
                  <w:proofErr w:type="spellEnd"/>
                  <w:r w:rsidRPr="00F92207">
                    <w:rPr>
                      <w:rFonts w:ascii="Times New Roman" w:hAnsi="Times New Roman" w:cs="Times New Roman"/>
                      <w:color w:val="000000"/>
                      <w:sz w:val="20"/>
                      <w:szCs w:val="20"/>
                    </w:rPr>
                    <w:t xml:space="preserve"> sistēmas M3-8-3, M8-8-3 un M11-8-3 moduļi</w:t>
                  </w:r>
                </w:p>
              </w:tc>
            </w:tr>
            <w:tr w:rsidR="00712D20" w:rsidRPr="00F92207" w14:paraId="460348FD"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9ABF5F"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36.</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AC5409"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15316-4-4:2017</w:t>
                  </w:r>
                </w:p>
              </w:tc>
              <w:tc>
                <w:tcPr>
                  <w:tcW w:w="2224" w:type="pct"/>
                  <w:tcBorders>
                    <w:top w:val="single" w:sz="4" w:space="0" w:color="auto"/>
                    <w:left w:val="single" w:sz="4" w:space="0" w:color="auto"/>
                    <w:bottom w:val="single" w:sz="4" w:space="0" w:color="auto"/>
                    <w:right w:val="single" w:sz="4" w:space="0" w:color="auto"/>
                  </w:tcBorders>
                  <w:shd w:val="clear" w:color="auto" w:fill="FFFFFF"/>
                  <w:hideMark/>
                </w:tcPr>
                <w:p w14:paraId="2A20C3C6"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 xml:space="preserve">Ēku energoefektivitāte. Sistēmu </w:t>
                  </w:r>
                  <w:proofErr w:type="spellStart"/>
                  <w:r w:rsidRPr="00F92207">
                    <w:rPr>
                      <w:rFonts w:ascii="Times New Roman" w:hAnsi="Times New Roman" w:cs="Times New Roman"/>
                      <w:color w:val="000000"/>
                      <w:sz w:val="20"/>
                      <w:szCs w:val="20"/>
                    </w:rPr>
                    <w:t>energoprasību</w:t>
                  </w:r>
                  <w:proofErr w:type="spellEnd"/>
                  <w:r w:rsidRPr="00F92207">
                    <w:rPr>
                      <w:rFonts w:ascii="Times New Roman" w:hAnsi="Times New Roman" w:cs="Times New Roman"/>
                      <w:color w:val="000000"/>
                      <w:sz w:val="20"/>
                      <w:szCs w:val="20"/>
                    </w:rPr>
                    <w:t xml:space="preserve"> un </w:t>
                  </w:r>
                  <w:r w:rsidRPr="00F92207">
                    <w:rPr>
                      <w:rFonts w:ascii="Times New Roman" w:hAnsi="Times New Roman" w:cs="Times New Roman"/>
                      <w:color w:val="000000"/>
                      <w:sz w:val="20"/>
                      <w:szCs w:val="20"/>
                    </w:rPr>
                    <w:lastRenderedPageBreak/>
                    <w:t>efektivitātes aprēķināšanas metodes. 4-4. daļa: Siltuma ģenerēšanas un ēkās integrētās koģenerācijas sistēmas, M8-3-4, M8-8-4 un M8-11-4 moduļi</w:t>
                  </w:r>
                </w:p>
              </w:tc>
            </w:tr>
            <w:tr w:rsidR="00712D20" w:rsidRPr="00F92207" w14:paraId="40A8351E"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13E562"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lastRenderedPageBreak/>
                    <w:t>37.</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53A16B"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15316-4-5:2017</w:t>
                  </w:r>
                </w:p>
              </w:tc>
              <w:tc>
                <w:tcPr>
                  <w:tcW w:w="2224" w:type="pct"/>
                  <w:tcBorders>
                    <w:top w:val="single" w:sz="4" w:space="0" w:color="auto"/>
                    <w:left w:val="single" w:sz="4" w:space="0" w:color="auto"/>
                    <w:bottom w:val="single" w:sz="4" w:space="0" w:color="auto"/>
                    <w:right w:val="single" w:sz="4" w:space="0" w:color="auto"/>
                  </w:tcBorders>
                  <w:shd w:val="clear" w:color="auto" w:fill="FFFFFF"/>
                  <w:hideMark/>
                </w:tcPr>
                <w:p w14:paraId="20643DEB"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 xml:space="preserve">Ēku energoefektivitāte. Sistēmu </w:t>
                  </w:r>
                  <w:proofErr w:type="spellStart"/>
                  <w:r w:rsidRPr="00F92207">
                    <w:rPr>
                      <w:rFonts w:ascii="Times New Roman" w:hAnsi="Times New Roman" w:cs="Times New Roman"/>
                      <w:color w:val="000000"/>
                      <w:sz w:val="20"/>
                      <w:szCs w:val="20"/>
                    </w:rPr>
                    <w:t>energoprasību</w:t>
                  </w:r>
                  <w:proofErr w:type="spellEnd"/>
                  <w:r w:rsidRPr="00F92207">
                    <w:rPr>
                      <w:rFonts w:ascii="Times New Roman" w:hAnsi="Times New Roman" w:cs="Times New Roman"/>
                      <w:color w:val="000000"/>
                      <w:sz w:val="20"/>
                      <w:szCs w:val="20"/>
                    </w:rPr>
                    <w:t xml:space="preserve"> un efektivitātes aprēķināšanas metodes. 4-5. daļa: Centralizētā apkure un dzesēšana, M3-8-5, M4-8-5, M8-8-5 un M11-8-5 moduļi</w:t>
                  </w:r>
                </w:p>
              </w:tc>
            </w:tr>
            <w:tr w:rsidR="00712D20" w:rsidRPr="00F92207" w14:paraId="481E59B1"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0A8416"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38.</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79FEB4"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15316-5:2017</w:t>
                  </w:r>
                </w:p>
              </w:tc>
              <w:tc>
                <w:tcPr>
                  <w:tcW w:w="2224" w:type="pct"/>
                  <w:tcBorders>
                    <w:top w:val="single" w:sz="4" w:space="0" w:color="auto"/>
                    <w:left w:val="single" w:sz="4" w:space="0" w:color="auto"/>
                    <w:bottom w:val="single" w:sz="4" w:space="0" w:color="auto"/>
                    <w:right w:val="single" w:sz="4" w:space="0" w:color="auto"/>
                  </w:tcBorders>
                  <w:shd w:val="clear" w:color="auto" w:fill="FFFFFF"/>
                  <w:hideMark/>
                </w:tcPr>
                <w:p w14:paraId="292D40DE"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 xml:space="preserve">Ēku energoefektivitāte. Sistēmu </w:t>
                  </w:r>
                  <w:proofErr w:type="spellStart"/>
                  <w:r w:rsidRPr="00F92207">
                    <w:rPr>
                      <w:rFonts w:ascii="Times New Roman" w:hAnsi="Times New Roman" w:cs="Times New Roman"/>
                      <w:color w:val="000000"/>
                      <w:sz w:val="20"/>
                      <w:szCs w:val="20"/>
                    </w:rPr>
                    <w:t>energoprasību</w:t>
                  </w:r>
                  <w:proofErr w:type="spellEnd"/>
                  <w:r w:rsidRPr="00F92207">
                    <w:rPr>
                      <w:rFonts w:ascii="Times New Roman" w:hAnsi="Times New Roman" w:cs="Times New Roman"/>
                      <w:color w:val="000000"/>
                      <w:sz w:val="20"/>
                      <w:szCs w:val="20"/>
                    </w:rPr>
                    <w:t xml:space="preserve"> un efektivitātes aprēķināšanas metodes. 5. daļa: Telpu apkures un DHW uzglabāšanas sistēmas (izņemot dzesēšanu), M3-7 un M8-7 moduļi</w:t>
                  </w:r>
                </w:p>
              </w:tc>
            </w:tr>
            <w:tr w:rsidR="00712D20" w:rsidRPr="00F92207" w14:paraId="570DE622"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63BB5C"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39.</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178D04"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15378-3:2017</w:t>
                  </w:r>
                </w:p>
              </w:tc>
              <w:tc>
                <w:tcPr>
                  <w:tcW w:w="2224" w:type="pct"/>
                  <w:tcBorders>
                    <w:top w:val="single" w:sz="4" w:space="0" w:color="auto"/>
                    <w:left w:val="single" w:sz="4" w:space="0" w:color="auto"/>
                    <w:bottom w:val="single" w:sz="4" w:space="0" w:color="auto"/>
                    <w:right w:val="single" w:sz="4" w:space="0" w:color="auto"/>
                  </w:tcBorders>
                  <w:shd w:val="clear" w:color="auto" w:fill="FFFFFF"/>
                  <w:hideMark/>
                </w:tcPr>
                <w:p w14:paraId="6289AF10"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Ēku energoefektivitāte. Ēku apkures sistēmas un DHW. 3. daļa: Izmērītā energoefektivitāte M3-10 un M8-10 moduļiem</w:t>
                  </w:r>
                </w:p>
              </w:tc>
            </w:tr>
            <w:tr w:rsidR="00712D20" w:rsidRPr="00F92207" w14:paraId="4E1935FA"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4280B7"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40.</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50C891"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15500-1:2017</w:t>
                  </w:r>
                </w:p>
              </w:tc>
              <w:tc>
                <w:tcPr>
                  <w:tcW w:w="2224" w:type="pct"/>
                  <w:tcBorders>
                    <w:top w:val="single" w:sz="4" w:space="0" w:color="auto"/>
                    <w:left w:val="single" w:sz="4" w:space="0" w:color="auto"/>
                    <w:bottom w:val="single" w:sz="4" w:space="0" w:color="auto"/>
                    <w:right w:val="single" w:sz="4" w:space="0" w:color="auto"/>
                  </w:tcBorders>
                  <w:shd w:val="clear" w:color="auto" w:fill="FFFFFF"/>
                  <w:hideMark/>
                </w:tcPr>
                <w:p w14:paraId="232B4595"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Ēku energoefektivitāte. Apkures, ventilācijas un gaisa kondicionēšanas iekārtu kontrole. 1. daļa: Elektroniskais individuālo zonu kontroles aprīkojums. M3-5, M4-5 un M5-5 moduļi</w:t>
                  </w:r>
                </w:p>
              </w:tc>
            </w:tr>
            <w:tr w:rsidR="00712D20" w:rsidRPr="00F92207" w14:paraId="0AE18AE4"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389149"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41.</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2A72B6"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16798-3:2018</w:t>
                  </w:r>
                </w:p>
              </w:tc>
              <w:tc>
                <w:tcPr>
                  <w:tcW w:w="2224" w:type="pct"/>
                  <w:tcBorders>
                    <w:top w:val="single" w:sz="4" w:space="0" w:color="auto"/>
                    <w:left w:val="single" w:sz="4" w:space="0" w:color="auto"/>
                    <w:bottom w:val="single" w:sz="4" w:space="0" w:color="auto"/>
                    <w:right w:val="single" w:sz="4" w:space="0" w:color="auto"/>
                  </w:tcBorders>
                  <w:shd w:val="clear" w:color="auto" w:fill="FFFFFF"/>
                  <w:hideMark/>
                </w:tcPr>
                <w:p w14:paraId="107F9E1D"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Ēku energoefektivitāte. Ēku ventilācija. 3. daļa: Nedzīvojamās ēkas. Veiktspējas prasības ventilācijas un telpu kondicionēšanas sistēmām (M5-1 un M5-4 moduļi)</w:t>
                  </w:r>
                </w:p>
              </w:tc>
            </w:tr>
            <w:tr w:rsidR="00712D20" w:rsidRPr="00F92207" w14:paraId="59B8E6A7"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9A03D4"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42.</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919BED"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16798-5-2:2018</w:t>
                  </w:r>
                </w:p>
              </w:tc>
              <w:tc>
                <w:tcPr>
                  <w:tcW w:w="2224" w:type="pct"/>
                  <w:tcBorders>
                    <w:top w:val="single" w:sz="4" w:space="0" w:color="auto"/>
                    <w:left w:val="single" w:sz="4" w:space="0" w:color="auto"/>
                    <w:bottom w:val="single" w:sz="4" w:space="0" w:color="auto"/>
                    <w:right w:val="single" w:sz="4" w:space="0" w:color="auto"/>
                  </w:tcBorders>
                  <w:shd w:val="clear" w:color="auto" w:fill="FFFFFF"/>
                  <w:hideMark/>
                </w:tcPr>
                <w:p w14:paraId="1117D0FB"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 xml:space="preserve">Ēku energoefektivitāte. Ēku ventilācija. 5-2. daļa: Ventilācijas un gaisa kondicionēšanas sistēmu </w:t>
                  </w:r>
                  <w:proofErr w:type="spellStart"/>
                  <w:r w:rsidRPr="00F92207">
                    <w:rPr>
                      <w:rFonts w:ascii="Times New Roman" w:hAnsi="Times New Roman" w:cs="Times New Roman"/>
                      <w:color w:val="000000"/>
                      <w:sz w:val="20"/>
                      <w:szCs w:val="20"/>
                    </w:rPr>
                    <w:t>energoprasību</w:t>
                  </w:r>
                  <w:proofErr w:type="spellEnd"/>
                  <w:r w:rsidRPr="00F92207">
                    <w:rPr>
                      <w:rFonts w:ascii="Times New Roman" w:hAnsi="Times New Roman" w:cs="Times New Roman"/>
                      <w:color w:val="000000"/>
                      <w:sz w:val="20"/>
                      <w:szCs w:val="20"/>
                    </w:rPr>
                    <w:t xml:space="preserve"> aprēķināšanas metodes. (M5-6, M5-8, M6-5, M6-</w:t>
                  </w:r>
                  <w:r w:rsidRPr="00F92207">
                    <w:rPr>
                      <w:rFonts w:ascii="Times New Roman" w:hAnsi="Times New Roman" w:cs="Times New Roman"/>
                      <w:color w:val="000000"/>
                      <w:sz w:val="20"/>
                      <w:szCs w:val="20"/>
                    </w:rPr>
                    <w:lastRenderedPageBreak/>
                    <w:t>8, M7-5 un M7-8 moduļi). 2. metode: Izplatīšana un ģenerēšana</w:t>
                  </w:r>
                </w:p>
              </w:tc>
            </w:tr>
            <w:tr w:rsidR="00712D20" w:rsidRPr="00F92207" w14:paraId="168B0531"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757AB9"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lastRenderedPageBreak/>
                    <w:t>43.</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F1CDD2"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16798-15:2017</w:t>
                  </w:r>
                </w:p>
              </w:tc>
              <w:tc>
                <w:tcPr>
                  <w:tcW w:w="2224" w:type="pct"/>
                  <w:tcBorders>
                    <w:top w:val="single" w:sz="4" w:space="0" w:color="auto"/>
                    <w:left w:val="single" w:sz="4" w:space="0" w:color="auto"/>
                    <w:bottom w:val="single" w:sz="4" w:space="0" w:color="auto"/>
                    <w:right w:val="single" w:sz="4" w:space="0" w:color="auto"/>
                  </w:tcBorders>
                  <w:shd w:val="clear" w:color="auto" w:fill="FFFFFF"/>
                  <w:hideMark/>
                </w:tcPr>
                <w:p w14:paraId="2571B720"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Ēku energoefektivitāte. Ēku ventilācija. 15. daļa: Dzesēšanas sistēmu aprēķins (M4-7 modulis). Uzglabāšana</w:t>
                  </w:r>
                </w:p>
              </w:tc>
            </w:tr>
            <w:tr w:rsidR="00712D20" w:rsidRPr="00F92207" w14:paraId="07AA567C"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52F5F9"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44.</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B3551A"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16946-1:2017</w:t>
                  </w:r>
                </w:p>
              </w:tc>
              <w:tc>
                <w:tcPr>
                  <w:tcW w:w="2224" w:type="pct"/>
                  <w:tcBorders>
                    <w:top w:val="single" w:sz="4" w:space="0" w:color="auto"/>
                    <w:left w:val="single" w:sz="4" w:space="0" w:color="auto"/>
                    <w:bottom w:val="single" w:sz="4" w:space="0" w:color="auto"/>
                    <w:right w:val="single" w:sz="4" w:space="0" w:color="auto"/>
                  </w:tcBorders>
                  <w:shd w:val="clear" w:color="auto" w:fill="FFFFFF"/>
                  <w:hideMark/>
                </w:tcPr>
                <w:p w14:paraId="1DD4CC32"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Ēku energoefektivitāte. Automatizācijas, kontroles un ēkas tehniskās vadības inspicēšana. 1. daļa. Modulis M10-11</w:t>
                  </w:r>
                </w:p>
              </w:tc>
            </w:tr>
            <w:tr w:rsidR="00712D20" w:rsidRPr="00F92207" w14:paraId="5C3DF321"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C48EFE"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45.</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AE65BE"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16947-1:2017</w:t>
                  </w:r>
                </w:p>
              </w:tc>
              <w:tc>
                <w:tcPr>
                  <w:tcW w:w="2224" w:type="pct"/>
                  <w:tcBorders>
                    <w:top w:val="single" w:sz="4" w:space="0" w:color="auto"/>
                    <w:left w:val="single" w:sz="4" w:space="0" w:color="auto"/>
                    <w:bottom w:val="single" w:sz="4" w:space="0" w:color="auto"/>
                    <w:right w:val="single" w:sz="4" w:space="0" w:color="auto"/>
                  </w:tcBorders>
                  <w:shd w:val="clear" w:color="auto" w:fill="FFFFFF"/>
                  <w:hideMark/>
                </w:tcPr>
                <w:p w14:paraId="3C81D7BB"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Ēku energoefektivitāte. Ēkas vadības sistēma. 1.daļa: Modulis M10-12</w:t>
                  </w:r>
                </w:p>
              </w:tc>
            </w:tr>
            <w:tr w:rsidR="00712D20" w:rsidRPr="00F92207" w14:paraId="067DE4B6"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A51CCB"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46.</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4E6F7E"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ISO 10077-2:2017</w:t>
                  </w:r>
                </w:p>
              </w:tc>
              <w:tc>
                <w:tcPr>
                  <w:tcW w:w="2224" w:type="pct"/>
                  <w:tcBorders>
                    <w:top w:val="single" w:sz="4" w:space="0" w:color="auto"/>
                    <w:left w:val="single" w:sz="4" w:space="0" w:color="auto"/>
                    <w:bottom w:val="single" w:sz="4" w:space="0" w:color="auto"/>
                    <w:right w:val="single" w:sz="4" w:space="0" w:color="auto"/>
                  </w:tcBorders>
                  <w:shd w:val="clear" w:color="auto" w:fill="FFFFFF"/>
                  <w:hideMark/>
                </w:tcPr>
                <w:p w14:paraId="3817DCC9"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 xml:space="preserve">Logu, durvju un slēģu </w:t>
                  </w:r>
                  <w:proofErr w:type="spellStart"/>
                  <w:r w:rsidRPr="00F92207">
                    <w:rPr>
                      <w:rFonts w:ascii="Times New Roman" w:hAnsi="Times New Roman" w:cs="Times New Roman"/>
                      <w:color w:val="000000"/>
                      <w:sz w:val="20"/>
                      <w:szCs w:val="20"/>
                    </w:rPr>
                    <w:t>siltumefektivitāte</w:t>
                  </w:r>
                  <w:proofErr w:type="spellEnd"/>
                  <w:r w:rsidRPr="00F92207">
                    <w:rPr>
                      <w:rFonts w:ascii="Times New Roman" w:hAnsi="Times New Roman" w:cs="Times New Roman"/>
                      <w:color w:val="000000"/>
                      <w:sz w:val="20"/>
                      <w:szCs w:val="20"/>
                    </w:rPr>
                    <w:t>. Siltuma caurlaidības aprēķini. 2.daļa: Skaitliskā metode rāmjiem (ISO 10077-2:2017)</w:t>
                  </w:r>
                </w:p>
              </w:tc>
            </w:tr>
            <w:tr w:rsidR="00712D20" w:rsidRPr="00F92207" w14:paraId="306EFB92"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BBDDDB"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47.</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3AD5D5"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ISO 12631:2017</w:t>
                  </w:r>
                </w:p>
              </w:tc>
              <w:tc>
                <w:tcPr>
                  <w:tcW w:w="2224" w:type="pct"/>
                  <w:tcBorders>
                    <w:top w:val="single" w:sz="4" w:space="0" w:color="auto"/>
                    <w:left w:val="single" w:sz="4" w:space="0" w:color="auto"/>
                    <w:bottom w:val="single" w:sz="4" w:space="0" w:color="auto"/>
                    <w:right w:val="single" w:sz="4" w:space="0" w:color="auto"/>
                  </w:tcBorders>
                  <w:shd w:val="clear" w:color="auto" w:fill="FFFFFF"/>
                  <w:hideMark/>
                </w:tcPr>
                <w:p w14:paraId="3C29F37E"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 xml:space="preserve">Piekārto sienu </w:t>
                  </w:r>
                  <w:proofErr w:type="spellStart"/>
                  <w:r w:rsidRPr="00F92207">
                    <w:rPr>
                      <w:rFonts w:ascii="Times New Roman" w:hAnsi="Times New Roman" w:cs="Times New Roman"/>
                      <w:color w:val="000000"/>
                      <w:sz w:val="20"/>
                      <w:szCs w:val="20"/>
                    </w:rPr>
                    <w:t>termoefektivitāte</w:t>
                  </w:r>
                  <w:proofErr w:type="spellEnd"/>
                  <w:r w:rsidRPr="00F92207">
                    <w:rPr>
                      <w:rFonts w:ascii="Times New Roman" w:hAnsi="Times New Roman" w:cs="Times New Roman"/>
                      <w:color w:val="000000"/>
                      <w:sz w:val="20"/>
                      <w:szCs w:val="20"/>
                    </w:rPr>
                    <w:t xml:space="preserve">. </w:t>
                  </w:r>
                  <w:proofErr w:type="spellStart"/>
                  <w:r w:rsidRPr="00F92207">
                    <w:rPr>
                      <w:rFonts w:ascii="Times New Roman" w:hAnsi="Times New Roman" w:cs="Times New Roman"/>
                      <w:color w:val="000000"/>
                      <w:sz w:val="20"/>
                      <w:szCs w:val="20"/>
                    </w:rPr>
                    <w:t>Siltumcaurlaidības</w:t>
                  </w:r>
                  <w:proofErr w:type="spellEnd"/>
                  <w:r w:rsidRPr="00F92207">
                    <w:rPr>
                      <w:rFonts w:ascii="Times New Roman" w:hAnsi="Times New Roman" w:cs="Times New Roman"/>
                      <w:color w:val="000000"/>
                      <w:sz w:val="20"/>
                      <w:szCs w:val="20"/>
                    </w:rPr>
                    <w:t xml:space="preserve"> aprēķini (ISO 12631:2017)</w:t>
                  </w:r>
                </w:p>
              </w:tc>
            </w:tr>
            <w:tr w:rsidR="00712D20" w:rsidRPr="00F92207" w14:paraId="40138730"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B5DEDD"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48.</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33A16B"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ISO 52017-1:2017</w:t>
                  </w:r>
                </w:p>
              </w:tc>
              <w:tc>
                <w:tcPr>
                  <w:tcW w:w="2224" w:type="pct"/>
                  <w:tcBorders>
                    <w:top w:val="single" w:sz="4" w:space="0" w:color="auto"/>
                    <w:left w:val="single" w:sz="4" w:space="0" w:color="auto"/>
                    <w:bottom w:val="single" w:sz="4" w:space="0" w:color="auto"/>
                    <w:right w:val="single" w:sz="4" w:space="0" w:color="auto"/>
                  </w:tcBorders>
                  <w:shd w:val="clear" w:color="auto" w:fill="FFFFFF"/>
                  <w:hideMark/>
                </w:tcPr>
                <w:p w14:paraId="4FC47D9B"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Ēku energoefektivitāte. Sajūtamā un latentā siltuma slodzes un telpu temperatūras. 1.daļa. Vispārējas aprēķina procedūras (ISO 52017-1:2017)</w:t>
                  </w:r>
                </w:p>
              </w:tc>
            </w:tr>
            <w:tr w:rsidR="00712D20" w:rsidRPr="00F92207" w14:paraId="0788802C"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361B26"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49.</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BC4B0F"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ISO 52022-1:2017</w:t>
                  </w:r>
                </w:p>
              </w:tc>
              <w:tc>
                <w:tcPr>
                  <w:tcW w:w="2224" w:type="pct"/>
                  <w:tcBorders>
                    <w:top w:val="single" w:sz="4" w:space="0" w:color="auto"/>
                    <w:left w:val="single" w:sz="4" w:space="0" w:color="auto"/>
                    <w:bottom w:val="single" w:sz="4" w:space="0" w:color="auto"/>
                    <w:right w:val="single" w:sz="4" w:space="0" w:color="auto"/>
                  </w:tcBorders>
                  <w:shd w:val="clear" w:color="auto" w:fill="FFFFFF"/>
                  <w:hideMark/>
                </w:tcPr>
                <w:p w14:paraId="78985883"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 xml:space="preserve">Ēku energoefektivitāte. Būvdetaļu un būvelementu siltumenerģijas, saules starojuma un dienasgaismas īpašības. 1.daļa: Saules starojuma un dienasgaismas raksturlielumu vienkāršota aprēķinu metode </w:t>
                  </w:r>
                  <w:proofErr w:type="spellStart"/>
                  <w:r w:rsidRPr="00F92207">
                    <w:rPr>
                      <w:rFonts w:ascii="Times New Roman" w:hAnsi="Times New Roman" w:cs="Times New Roman"/>
                      <w:color w:val="000000"/>
                      <w:sz w:val="20"/>
                      <w:szCs w:val="20"/>
                    </w:rPr>
                    <w:t>saulsargiem</w:t>
                  </w:r>
                  <w:proofErr w:type="spellEnd"/>
                  <w:r w:rsidRPr="00F92207">
                    <w:rPr>
                      <w:rFonts w:ascii="Times New Roman" w:hAnsi="Times New Roman" w:cs="Times New Roman"/>
                      <w:color w:val="000000"/>
                      <w:sz w:val="20"/>
                      <w:szCs w:val="20"/>
                    </w:rPr>
                    <w:t xml:space="preserve"> kopā ar stiklojumu (ISO 52022-1:2017)</w:t>
                  </w:r>
                </w:p>
              </w:tc>
            </w:tr>
            <w:tr w:rsidR="00712D20" w:rsidRPr="00F92207" w14:paraId="0C072283" w14:textId="77777777" w:rsidTr="00712D20">
              <w:trPr>
                <w:trHeight w:val="20"/>
              </w:trPr>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A9BEBA"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50.</w:t>
                  </w:r>
                </w:p>
              </w:tc>
              <w:tc>
                <w:tcPr>
                  <w:tcW w:w="2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069585"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LVS EN ISO 16798-1:2019</w:t>
                  </w:r>
                </w:p>
              </w:tc>
              <w:tc>
                <w:tcPr>
                  <w:tcW w:w="2224" w:type="pct"/>
                  <w:tcBorders>
                    <w:top w:val="single" w:sz="4" w:space="0" w:color="auto"/>
                    <w:left w:val="single" w:sz="4" w:space="0" w:color="auto"/>
                    <w:bottom w:val="single" w:sz="4" w:space="0" w:color="auto"/>
                    <w:right w:val="single" w:sz="4" w:space="0" w:color="auto"/>
                  </w:tcBorders>
                  <w:shd w:val="clear" w:color="auto" w:fill="FFFFFF"/>
                  <w:hideMark/>
                </w:tcPr>
                <w:p w14:paraId="00A3191D" w14:textId="77777777" w:rsidR="00712D20" w:rsidRPr="00F92207" w:rsidRDefault="00712D20" w:rsidP="00712D20">
                  <w:pPr>
                    <w:rPr>
                      <w:rFonts w:ascii="Times New Roman" w:hAnsi="Times New Roman" w:cs="Times New Roman"/>
                      <w:color w:val="000000"/>
                      <w:sz w:val="20"/>
                      <w:szCs w:val="20"/>
                    </w:rPr>
                  </w:pPr>
                  <w:r w:rsidRPr="00F92207">
                    <w:rPr>
                      <w:rFonts w:ascii="Times New Roman" w:hAnsi="Times New Roman" w:cs="Times New Roman"/>
                      <w:color w:val="000000"/>
                      <w:sz w:val="20"/>
                      <w:szCs w:val="20"/>
                    </w:rPr>
                    <w:t xml:space="preserve">Ēku energoefektivitāte. Ēku ventilācija. 1.daļa: Telpu mikroklimata </w:t>
                  </w:r>
                  <w:r w:rsidRPr="00F92207">
                    <w:rPr>
                      <w:rFonts w:ascii="Times New Roman" w:hAnsi="Times New Roman" w:cs="Times New Roman"/>
                      <w:color w:val="000000"/>
                      <w:sz w:val="20"/>
                      <w:szCs w:val="20"/>
                    </w:rPr>
                    <w:lastRenderedPageBreak/>
                    <w:t>ievades parametri ēku energoefektivitātes projektēšanai un novērtēšanai, ņemot vērā telpu gaisa kvalitāti, temperatūras režīmu, apgaismojumu un akustiku. M1-6 modulis</w:t>
                  </w:r>
                </w:p>
              </w:tc>
            </w:tr>
          </w:tbl>
          <w:p w14:paraId="4A7F09A2" w14:textId="77777777" w:rsidR="00CE16FD" w:rsidRPr="00316650" w:rsidRDefault="00CE16FD" w:rsidP="00CE16FD">
            <w:pPr>
              <w:pStyle w:val="Default"/>
              <w:jc w:val="both"/>
              <w:rPr>
                <w:color w:val="auto"/>
              </w:rPr>
            </w:pPr>
          </w:p>
          <w:p w14:paraId="06A168FE" w14:textId="77777777" w:rsidR="00E5323B" w:rsidRPr="00316650" w:rsidRDefault="00E5323B" w:rsidP="00E5323B">
            <w:pPr>
              <w:spacing w:after="0" w:line="240" w:lineRule="auto"/>
              <w:rPr>
                <w:rFonts w:ascii="Times New Roman" w:eastAsia="Times New Roman" w:hAnsi="Times New Roman" w:cs="Times New Roman"/>
                <w:iCs/>
                <w:sz w:val="24"/>
                <w:szCs w:val="24"/>
                <w:lang w:eastAsia="lv-LV"/>
              </w:rPr>
            </w:pPr>
          </w:p>
        </w:tc>
      </w:tr>
      <w:tr w:rsidR="000E1E68" w:rsidRPr="00316650" w14:paraId="769FDF8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ACA4508" w14:textId="77777777" w:rsidR="00655F2C" w:rsidRPr="00316650" w:rsidRDefault="00E5323B"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3CC7490E" w14:textId="77777777" w:rsidR="00E5323B" w:rsidRPr="00316650"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316650">
              <w:rPr>
                <w:rFonts w:ascii="Times New Roman" w:eastAsia="Times New Roman" w:hAnsi="Times New Roman" w:cs="Times New Roman"/>
                <w:iCs/>
                <w:sz w:val="24"/>
                <w:szCs w:val="24"/>
                <w:lang w:val="en-US" w:eastAsia="lv-LV"/>
              </w:rPr>
              <w:t>Projekta</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izstrādē</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iesaistītās</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institūcijas</w:t>
            </w:r>
            <w:proofErr w:type="spellEnd"/>
            <w:r w:rsidRPr="00316650">
              <w:rPr>
                <w:rFonts w:ascii="Times New Roman" w:eastAsia="Times New Roman" w:hAnsi="Times New Roman" w:cs="Times New Roman"/>
                <w:iCs/>
                <w:sz w:val="24"/>
                <w:szCs w:val="24"/>
                <w:lang w:val="en-US" w:eastAsia="lv-LV"/>
              </w:rPr>
              <w:t xml:space="preserve"> un </w:t>
            </w:r>
            <w:proofErr w:type="spellStart"/>
            <w:r w:rsidRPr="00316650">
              <w:rPr>
                <w:rFonts w:ascii="Times New Roman" w:eastAsia="Times New Roman" w:hAnsi="Times New Roman" w:cs="Times New Roman"/>
                <w:iCs/>
                <w:sz w:val="24"/>
                <w:szCs w:val="24"/>
                <w:lang w:val="en-US" w:eastAsia="lv-LV"/>
              </w:rPr>
              <w:t>publiskas</w:t>
            </w:r>
            <w:proofErr w:type="spellEnd"/>
            <w:r w:rsidRPr="00316650">
              <w:rPr>
                <w:rFonts w:ascii="Times New Roman" w:eastAsia="Times New Roman" w:hAnsi="Times New Roman" w:cs="Times New Roman"/>
                <w:iCs/>
                <w:sz w:val="24"/>
                <w:szCs w:val="24"/>
                <w:lang w:val="en-US" w:eastAsia="lv-LV"/>
              </w:rPr>
              <w:t xml:space="preserve"> personas </w:t>
            </w:r>
            <w:proofErr w:type="spellStart"/>
            <w:r w:rsidRPr="00316650">
              <w:rPr>
                <w:rFonts w:ascii="Times New Roman" w:eastAsia="Times New Roman" w:hAnsi="Times New Roman" w:cs="Times New Roman"/>
                <w:iCs/>
                <w:sz w:val="24"/>
                <w:szCs w:val="24"/>
                <w:lang w:val="en-US" w:eastAsia="lv-LV"/>
              </w:rPr>
              <w:t>kapitālsabiedrības</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444A6F62" w14:textId="47FF452F" w:rsidR="00E5323B" w:rsidRPr="00316650" w:rsidRDefault="00E60B71" w:rsidP="00E5323B">
            <w:pPr>
              <w:spacing w:after="0" w:line="240" w:lineRule="auto"/>
              <w:rPr>
                <w:rFonts w:ascii="Times New Roman" w:eastAsia="Times New Roman" w:hAnsi="Times New Roman" w:cs="Times New Roman"/>
                <w:iCs/>
                <w:sz w:val="24"/>
                <w:szCs w:val="24"/>
                <w:lang w:val="en-US" w:eastAsia="lv-LV"/>
              </w:rPr>
            </w:pPr>
            <w:proofErr w:type="spellStart"/>
            <w:r w:rsidRPr="00316650">
              <w:rPr>
                <w:rFonts w:ascii="Times New Roman" w:eastAsia="Times New Roman" w:hAnsi="Times New Roman" w:cs="Times New Roman"/>
                <w:iCs/>
                <w:sz w:val="24"/>
                <w:szCs w:val="24"/>
                <w:lang w:val="en-US" w:eastAsia="lv-LV"/>
              </w:rPr>
              <w:t>Ekonomikas</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ministrija</w:t>
            </w:r>
            <w:proofErr w:type="spellEnd"/>
            <w:r w:rsidRPr="00316650">
              <w:rPr>
                <w:rFonts w:ascii="Times New Roman" w:eastAsia="Times New Roman" w:hAnsi="Times New Roman" w:cs="Times New Roman"/>
                <w:iCs/>
                <w:sz w:val="24"/>
                <w:szCs w:val="24"/>
                <w:lang w:val="en-US" w:eastAsia="lv-LV"/>
              </w:rPr>
              <w:t>.</w:t>
            </w:r>
          </w:p>
        </w:tc>
      </w:tr>
      <w:tr w:rsidR="000E1E68" w:rsidRPr="00316650" w14:paraId="273485D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E4E876B" w14:textId="77777777" w:rsidR="00655F2C" w:rsidRPr="00316650" w:rsidRDefault="00E5323B"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55AE0430" w14:textId="77777777" w:rsidR="00E5323B" w:rsidRPr="00316650"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316650">
              <w:rPr>
                <w:rFonts w:ascii="Times New Roman" w:eastAsia="Times New Roman" w:hAnsi="Times New Roman" w:cs="Times New Roman"/>
                <w:iCs/>
                <w:sz w:val="24"/>
                <w:szCs w:val="24"/>
                <w:lang w:val="en-US" w:eastAsia="lv-LV"/>
              </w:rPr>
              <w:t>Cita</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informācija</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0FE38A12" w14:textId="397CBB98" w:rsidR="00E5323B" w:rsidRPr="00316650" w:rsidRDefault="00E60B71"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Nav.</w:t>
            </w:r>
          </w:p>
        </w:tc>
      </w:tr>
    </w:tbl>
    <w:p w14:paraId="24FF76E1" w14:textId="77777777" w:rsidR="00E5323B" w:rsidRPr="00316650" w:rsidRDefault="00E5323B"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E1E68" w:rsidRPr="00316650" w14:paraId="101DEDCD"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7804D2F" w14:textId="77777777" w:rsidR="00655F2C" w:rsidRPr="00316650" w:rsidRDefault="00E5323B" w:rsidP="00E5323B">
            <w:pPr>
              <w:spacing w:after="0" w:line="240" w:lineRule="auto"/>
              <w:rPr>
                <w:rFonts w:ascii="Times New Roman" w:eastAsia="Times New Roman" w:hAnsi="Times New Roman" w:cs="Times New Roman"/>
                <w:b/>
                <w:bCs/>
                <w:iCs/>
                <w:sz w:val="24"/>
                <w:szCs w:val="24"/>
                <w:lang w:val="en-US" w:eastAsia="lv-LV"/>
              </w:rPr>
            </w:pPr>
            <w:r w:rsidRPr="00316650">
              <w:rPr>
                <w:rFonts w:ascii="Times New Roman" w:eastAsia="Times New Roman" w:hAnsi="Times New Roman" w:cs="Times New Roman"/>
                <w:b/>
                <w:bCs/>
                <w:iCs/>
                <w:sz w:val="24"/>
                <w:szCs w:val="24"/>
                <w:lang w:val="en-US" w:eastAsia="lv-LV"/>
              </w:rPr>
              <w:t xml:space="preserve">II. </w:t>
            </w:r>
            <w:proofErr w:type="spellStart"/>
            <w:r w:rsidRPr="00316650">
              <w:rPr>
                <w:rFonts w:ascii="Times New Roman" w:eastAsia="Times New Roman" w:hAnsi="Times New Roman" w:cs="Times New Roman"/>
                <w:b/>
                <w:bCs/>
                <w:iCs/>
                <w:sz w:val="24"/>
                <w:szCs w:val="24"/>
                <w:lang w:val="en-US" w:eastAsia="lv-LV"/>
              </w:rPr>
              <w:t>Tiesību</w:t>
            </w:r>
            <w:proofErr w:type="spellEnd"/>
            <w:r w:rsidRPr="00316650">
              <w:rPr>
                <w:rFonts w:ascii="Times New Roman" w:eastAsia="Times New Roman" w:hAnsi="Times New Roman" w:cs="Times New Roman"/>
                <w:b/>
                <w:bCs/>
                <w:iCs/>
                <w:sz w:val="24"/>
                <w:szCs w:val="24"/>
                <w:lang w:val="en-US" w:eastAsia="lv-LV"/>
              </w:rPr>
              <w:t xml:space="preserve"> </w:t>
            </w:r>
            <w:proofErr w:type="spellStart"/>
            <w:r w:rsidRPr="00316650">
              <w:rPr>
                <w:rFonts w:ascii="Times New Roman" w:eastAsia="Times New Roman" w:hAnsi="Times New Roman" w:cs="Times New Roman"/>
                <w:b/>
                <w:bCs/>
                <w:iCs/>
                <w:sz w:val="24"/>
                <w:szCs w:val="24"/>
                <w:lang w:val="en-US" w:eastAsia="lv-LV"/>
              </w:rPr>
              <w:t>akta</w:t>
            </w:r>
            <w:proofErr w:type="spellEnd"/>
            <w:r w:rsidRPr="00316650">
              <w:rPr>
                <w:rFonts w:ascii="Times New Roman" w:eastAsia="Times New Roman" w:hAnsi="Times New Roman" w:cs="Times New Roman"/>
                <w:b/>
                <w:bCs/>
                <w:iCs/>
                <w:sz w:val="24"/>
                <w:szCs w:val="24"/>
                <w:lang w:val="en-US" w:eastAsia="lv-LV"/>
              </w:rPr>
              <w:t xml:space="preserve"> </w:t>
            </w:r>
            <w:proofErr w:type="spellStart"/>
            <w:r w:rsidRPr="00316650">
              <w:rPr>
                <w:rFonts w:ascii="Times New Roman" w:eastAsia="Times New Roman" w:hAnsi="Times New Roman" w:cs="Times New Roman"/>
                <w:b/>
                <w:bCs/>
                <w:iCs/>
                <w:sz w:val="24"/>
                <w:szCs w:val="24"/>
                <w:lang w:val="en-US" w:eastAsia="lv-LV"/>
              </w:rPr>
              <w:t>projekta</w:t>
            </w:r>
            <w:proofErr w:type="spellEnd"/>
            <w:r w:rsidRPr="00316650">
              <w:rPr>
                <w:rFonts w:ascii="Times New Roman" w:eastAsia="Times New Roman" w:hAnsi="Times New Roman" w:cs="Times New Roman"/>
                <w:b/>
                <w:bCs/>
                <w:iCs/>
                <w:sz w:val="24"/>
                <w:szCs w:val="24"/>
                <w:lang w:val="en-US" w:eastAsia="lv-LV"/>
              </w:rPr>
              <w:t xml:space="preserve"> </w:t>
            </w:r>
            <w:proofErr w:type="spellStart"/>
            <w:r w:rsidRPr="00316650">
              <w:rPr>
                <w:rFonts w:ascii="Times New Roman" w:eastAsia="Times New Roman" w:hAnsi="Times New Roman" w:cs="Times New Roman"/>
                <w:b/>
                <w:bCs/>
                <w:iCs/>
                <w:sz w:val="24"/>
                <w:szCs w:val="24"/>
                <w:lang w:val="en-US" w:eastAsia="lv-LV"/>
              </w:rPr>
              <w:t>ietekme</w:t>
            </w:r>
            <w:proofErr w:type="spellEnd"/>
            <w:r w:rsidRPr="00316650">
              <w:rPr>
                <w:rFonts w:ascii="Times New Roman" w:eastAsia="Times New Roman" w:hAnsi="Times New Roman" w:cs="Times New Roman"/>
                <w:b/>
                <w:bCs/>
                <w:iCs/>
                <w:sz w:val="24"/>
                <w:szCs w:val="24"/>
                <w:lang w:val="en-US" w:eastAsia="lv-LV"/>
              </w:rPr>
              <w:t xml:space="preserve"> </w:t>
            </w:r>
            <w:proofErr w:type="spellStart"/>
            <w:r w:rsidRPr="00316650">
              <w:rPr>
                <w:rFonts w:ascii="Times New Roman" w:eastAsia="Times New Roman" w:hAnsi="Times New Roman" w:cs="Times New Roman"/>
                <w:b/>
                <w:bCs/>
                <w:iCs/>
                <w:sz w:val="24"/>
                <w:szCs w:val="24"/>
                <w:lang w:val="en-US" w:eastAsia="lv-LV"/>
              </w:rPr>
              <w:t>uz</w:t>
            </w:r>
            <w:proofErr w:type="spellEnd"/>
            <w:r w:rsidRPr="00316650">
              <w:rPr>
                <w:rFonts w:ascii="Times New Roman" w:eastAsia="Times New Roman" w:hAnsi="Times New Roman" w:cs="Times New Roman"/>
                <w:b/>
                <w:bCs/>
                <w:iCs/>
                <w:sz w:val="24"/>
                <w:szCs w:val="24"/>
                <w:lang w:val="en-US" w:eastAsia="lv-LV"/>
              </w:rPr>
              <w:t xml:space="preserve"> </w:t>
            </w:r>
            <w:proofErr w:type="spellStart"/>
            <w:r w:rsidRPr="00316650">
              <w:rPr>
                <w:rFonts w:ascii="Times New Roman" w:eastAsia="Times New Roman" w:hAnsi="Times New Roman" w:cs="Times New Roman"/>
                <w:b/>
                <w:bCs/>
                <w:iCs/>
                <w:sz w:val="24"/>
                <w:szCs w:val="24"/>
                <w:lang w:val="en-US" w:eastAsia="lv-LV"/>
              </w:rPr>
              <w:t>sabiedrību</w:t>
            </w:r>
            <w:proofErr w:type="spellEnd"/>
            <w:r w:rsidRPr="00316650">
              <w:rPr>
                <w:rFonts w:ascii="Times New Roman" w:eastAsia="Times New Roman" w:hAnsi="Times New Roman" w:cs="Times New Roman"/>
                <w:b/>
                <w:bCs/>
                <w:iCs/>
                <w:sz w:val="24"/>
                <w:szCs w:val="24"/>
                <w:lang w:val="en-US" w:eastAsia="lv-LV"/>
              </w:rPr>
              <w:t xml:space="preserve">, </w:t>
            </w:r>
            <w:proofErr w:type="spellStart"/>
            <w:r w:rsidRPr="00316650">
              <w:rPr>
                <w:rFonts w:ascii="Times New Roman" w:eastAsia="Times New Roman" w:hAnsi="Times New Roman" w:cs="Times New Roman"/>
                <w:b/>
                <w:bCs/>
                <w:iCs/>
                <w:sz w:val="24"/>
                <w:szCs w:val="24"/>
                <w:lang w:val="en-US" w:eastAsia="lv-LV"/>
              </w:rPr>
              <w:t>tautsaimniecības</w:t>
            </w:r>
            <w:proofErr w:type="spellEnd"/>
            <w:r w:rsidRPr="00316650">
              <w:rPr>
                <w:rFonts w:ascii="Times New Roman" w:eastAsia="Times New Roman" w:hAnsi="Times New Roman" w:cs="Times New Roman"/>
                <w:b/>
                <w:bCs/>
                <w:iCs/>
                <w:sz w:val="24"/>
                <w:szCs w:val="24"/>
                <w:lang w:val="en-US" w:eastAsia="lv-LV"/>
              </w:rPr>
              <w:t xml:space="preserve"> </w:t>
            </w:r>
            <w:proofErr w:type="spellStart"/>
            <w:r w:rsidRPr="00316650">
              <w:rPr>
                <w:rFonts w:ascii="Times New Roman" w:eastAsia="Times New Roman" w:hAnsi="Times New Roman" w:cs="Times New Roman"/>
                <w:b/>
                <w:bCs/>
                <w:iCs/>
                <w:sz w:val="24"/>
                <w:szCs w:val="24"/>
                <w:lang w:val="en-US" w:eastAsia="lv-LV"/>
              </w:rPr>
              <w:t>attīstību</w:t>
            </w:r>
            <w:proofErr w:type="spellEnd"/>
            <w:r w:rsidRPr="00316650">
              <w:rPr>
                <w:rFonts w:ascii="Times New Roman" w:eastAsia="Times New Roman" w:hAnsi="Times New Roman" w:cs="Times New Roman"/>
                <w:b/>
                <w:bCs/>
                <w:iCs/>
                <w:sz w:val="24"/>
                <w:szCs w:val="24"/>
                <w:lang w:val="en-US" w:eastAsia="lv-LV"/>
              </w:rPr>
              <w:t xml:space="preserve"> un </w:t>
            </w:r>
            <w:proofErr w:type="spellStart"/>
            <w:r w:rsidRPr="00316650">
              <w:rPr>
                <w:rFonts w:ascii="Times New Roman" w:eastAsia="Times New Roman" w:hAnsi="Times New Roman" w:cs="Times New Roman"/>
                <w:b/>
                <w:bCs/>
                <w:iCs/>
                <w:sz w:val="24"/>
                <w:szCs w:val="24"/>
                <w:lang w:val="en-US" w:eastAsia="lv-LV"/>
              </w:rPr>
              <w:t>administratīvo</w:t>
            </w:r>
            <w:proofErr w:type="spellEnd"/>
            <w:r w:rsidRPr="00316650">
              <w:rPr>
                <w:rFonts w:ascii="Times New Roman" w:eastAsia="Times New Roman" w:hAnsi="Times New Roman" w:cs="Times New Roman"/>
                <w:b/>
                <w:bCs/>
                <w:iCs/>
                <w:sz w:val="24"/>
                <w:szCs w:val="24"/>
                <w:lang w:val="en-US" w:eastAsia="lv-LV"/>
              </w:rPr>
              <w:t xml:space="preserve"> </w:t>
            </w:r>
            <w:proofErr w:type="spellStart"/>
            <w:r w:rsidRPr="00316650">
              <w:rPr>
                <w:rFonts w:ascii="Times New Roman" w:eastAsia="Times New Roman" w:hAnsi="Times New Roman" w:cs="Times New Roman"/>
                <w:b/>
                <w:bCs/>
                <w:iCs/>
                <w:sz w:val="24"/>
                <w:szCs w:val="24"/>
                <w:lang w:val="en-US" w:eastAsia="lv-LV"/>
              </w:rPr>
              <w:t>slogu</w:t>
            </w:r>
            <w:proofErr w:type="spellEnd"/>
          </w:p>
        </w:tc>
      </w:tr>
      <w:tr w:rsidR="000E1E68" w:rsidRPr="00316650" w14:paraId="6FBE4B2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7389056" w14:textId="77777777" w:rsidR="00655F2C" w:rsidRPr="00316650" w:rsidRDefault="00E5323B"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0061C4C" w14:textId="77777777" w:rsidR="00E5323B" w:rsidRPr="00316650"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316650">
              <w:rPr>
                <w:rFonts w:ascii="Times New Roman" w:eastAsia="Times New Roman" w:hAnsi="Times New Roman" w:cs="Times New Roman"/>
                <w:iCs/>
                <w:sz w:val="24"/>
                <w:szCs w:val="24"/>
                <w:lang w:val="en-US" w:eastAsia="lv-LV"/>
              </w:rPr>
              <w:t>Sabiedrības</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mērķgrupas</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kuras</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tiesiskais</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regulējums</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ietekmē</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vai</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varētu</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ietekmēt</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0578360D" w14:textId="3C14920B" w:rsidR="00E5323B" w:rsidRPr="00316650" w:rsidRDefault="00F074A4" w:rsidP="00F074A4">
            <w:pPr>
              <w:spacing w:after="0" w:line="240" w:lineRule="auto"/>
              <w:jc w:val="both"/>
              <w:rPr>
                <w:rFonts w:ascii="Times New Roman" w:eastAsia="Times New Roman" w:hAnsi="Times New Roman" w:cs="Times New Roman"/>
                <w:iCs/>
                <w:sz w:val="24"/>
                <w:szCs w:val="24"/>
                <w:lang w:val="en-US" w:eastAsia="lv-LV"/>
              </w:rPr>
            </w:pPr>
            <w:r w:rsidRPr="00316650">
              <w:rPr>
                <w:rFonts w:ascii="Times New Roman" w:hAnsi="Times New Roman" w:cs="Times New Roman"/>
                <w:sz w:val="24"/>
                <w:szCs w:val="24"/>
              </w:rPr>
              <w:t xml:space="preserve">Neatkarīgie eksperti ēku energoefektivitātes jomā, neatkarīgu ekspertu kompetences pārbaudes institūcijas ēku energoefektivitātes jomā, </w:t>
            </w:r>
            <w:proofErr w:type="spellStart"/>
            <w:r w:rsidRPr="00316650">
              <w:rPr>
                <w:rFonts w:ascii="Times New Roman" w:hAnsi="Times New Roman" w:cs="Times New Roman"/>
                <w:sz w:val="24"/>
                <w:szCs w:val="24"/>
              </w:rPr>
              <w:t>būvspeciālisti</w:t>
            </w:r>
            <w:proofErr w:type="spellEnd"/>
            <w:r w:rsidRPr="00316650">
              <w:rPr>
                <w:rFonts w:ascii="Times New Roman" w:hAnsi="Times New Roman" w:cs="Times New Roman"/>
                <w:sz w:val="24"/>
                <w:szCs w:val="24"/>
              </w:rPr>
              <w:t xml:space="preserve"> (ēku un inženiertehnisko sistēmu projektētāji, būvinženieri, arhitekti), valsts un pašvaldību iestāžu darbinieki, kuru iestādes ir tieši vai netieši iesaistītas ēku energoefektivitātes aprēķinu rezultātu izmantošanā ēku energoefektivitātes uzlabošanai.</w:t>
            </w:r>
          </w:p>
        </w:tc>
      </w:tr>
      <w:tr w:rsidR="000E1E68" w:rsidRPr="00316650" w14:paraId="727AF0D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568BD3" w14:textId="77777777" w:rsidR="00655F2C" w:rsidRPr="00316650" w:rsidRDefault="00E5323B"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D3F184E" w14:textId="77777777" w:rsidR="00E5323B" w:rsidRPr="00316650" w:rsidRDefault="00E5323B" w:rsidP="00E5323B">
            <w:pPr>
              <w:spacing w:after="0" w:line="240" w:lineRule="auto"/>
              <w:rPr>
                <w:rFonts w:ascii="Times New Roman" w:eastAsia="Times New Roman" w:hAnsi="Times New Roman" w:cs="Times New Roman"/>
                <w:iCs/>
                <w:sz w:val="24"/>
                <w:szCs w:val="24"/>
                <w:highlight w:val="yellow"/>
                <w:lang w:val="en-US" w:eastAsia="lv-LV"/>
              </w:rPr>
            </w:pPr>
            <w:proofErr w:type="spellStart"/>
            <w:r w:rsidRPr="00316650">
              <w:rPr>
                <w:rFonts w:ascii="Times New Roman" w:eastAsia="Times New Roman" w:hAnsi="Times New Roman" w:cs="Times New Roman"/>
                <w:iCs/>
                <w:sz w:val="24"/>
                <w:szCs w:val="24"/>
                <w:lang w:val="en-US" w:eastAsia="lv-LV"/>
              </w:rPr>
              <w:t>Tiesiskā</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regulējuma</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ietekme</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uz</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tautsaimniecību</w:t>
            </w:r>
            <w:proofErr w:type="spellEnd"/>
            <w:r w:rsidRPr="00316650">
              <w:rPr>
                <w:rFonts w:ascii="Times New Roman" w:eastAsia="Times New Roman" w:hAnsi="Times New Roman" w:cs="Times New Roman"/>
                <w:iCs/>
                <w:sz w:val="24"/>
                <w:szCs w:val="24"/>
                <w:lang w:val="en-US" w:eastAsia="lv-LV"/>
              </w:rPr>
              <w:t xml:space="preserve"> un </w:t>
            </w:r>
            <w:proofErr w:type="spellStart"/>
            <w:r w:rsidRPr="00316650">
              <w:rPr>
                <w:rFonts w:ascii="Times New Roman" w:eastAsia="Times New Roman" w:hAnsi="Times New Roman" w:cs="Times New Roman"/>
                <w:iCs/>
                <w:sz w:val="24"/>
                <w:szCs w:val="24"/>
                <w:lang w:val="en-US" w:eastAsia="lv-LV"/>
              </w:rPr>
              <w:t>administratīvo</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slogu</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4B360947" w14:textId="0D9FE17F" w:rsidR="00B210CF" w:rsidRPr="00316650" w:rsidRDefault="00B210CF" w:rsidP="00B210CF">
            <w:pPr>
              <w:spacing w:after="0" w:line="240" w:lineRule="auto"/>
              <w:jc w:val="both"/>
              <w:rPr>
                <w:rFonts w:ascii="Times New Roman" w:hAnsi="Times New Roman" w:cs="Times New Roman"/>
                <w:sz w:val="24"/>
                <w:szCs w:val="24"/>
              </w:rPr>
            </w:pPr>
            <w:r w:rsidRPr="00316650">
              <w:rPr>
                <w:rFonts w:ascii="Times New Roman" w:hAnsi="Times New Roman" w:cs="Times New Roman"/>
                <w:sz w:val="24"/>
                <w:szCs w:val="24"/>
              </w:rPr>
              <w:t xml:space="preserve">Saskaņā ar Ēku energoefektivitātes likumu ēku </w:t>
            </w:r>
            <w:proofErr w:type="spellStart"/>
            <w:r w:rsidRPr="00316650">
              <w:rPr>
                <w:rFonts w:ascii="Times New Roman" w:hAnsi="Times New Roman" w:cs="Times New Roman"/>
                <w:sz w:val="24"/>
                <w:szCs w:val="24"/>
              </w:rPr>
              <w:t>energosertificēšana</w:t>
            </w:r>
            <w:proofErr w:type="spellEnd"/>
            <w:r w:rsidRPr="00316650">
              <w:rPr>
                <w:rFonts w:ascii="Times New Roman" w:hAnsi="Times New Roman" w:cs="Times New Roman"/>
                <w:sz w:val="24"/>
                <w:szCs w:val="24"/>
              </w:rPr>
              <w:t xml:space="preserve"> skar ēku būvniecībā, izīrēšanā un pārdošanā iesaistītās personas: īpašniekus (pārdevējus, izīrētājus) un potenciālos lietotājus (pircējus, īrniekus).</w:t>
            </w:r>
          </w:p>
          <w:p w14:paraId="789475DF" w14:textId="0A6B234D" w:rsidR="00E5323B" w:rsidRPr="00316650" w:rsidRDefault="00E5323B" w:rsidP="00E5323B">
            <w:pPr>
              <w:spacing w:after="0" w:line="240" w:lineRule="auto"/>
              <w:rPr>
                <w:rFonts w:ascii="Times New Roman" w:eastAsia="Times New Roman" w:hAnsi="Times New Roman" w:cs="Times New Roman"/>
                <w:iCs/>
                <w:sz w:val="24"/>
                <w:szCs w:val="24"/>
                <w:highlight w:val="yellow"/>
                <w:lang w:eastAsia="lv-LV"/>
              </w:rPr>
            </w:pPr>
          </w:p>
        </w:tc>
      </w:tr>
      <w:tr w:rsidR="000E1E68" w:rsidRPr="00316650" w14:paraId="62A30B8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17703B5" w14:textId="77777777" w:rsidR="00655F2C" w:rsidRPr="00316650" w:rsidRDefault="00E5323B"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DD62438" w14:textId="77777777" w:rsidR="00E5323B" w:rsidRPr="00316650"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316650">
              <w:rPr>
                <w:rFonts w:ascii="Times New Roman" w:eastAsia="Times New Roman" w:hAnsi="Times New Roman" w:cs="Times New Roman"/>
                <w:iCs/>
                <w:sz w:val="24"/>
                <w:szCs w:val="24"/>
                <w:lang w:val="en-US" w:eastAsia="lv-LV"/>
              </w:rPr>
              <w:t>Administratīvo</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izmaksu</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monetārs</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novērtējums</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0B693642" w14:textId="77777777" w:rsidR="000812FC" w:rsidRPr="00316650" w:rsidRDefault="000812FC" w:rsidP="000812FC">
            <w:pPr>
              <w:spacing w:after="0" w:line="240" w:lineRule="auto"/>
              <w:jc w:val="both"/>
              <w:rPr>
                <w:rFonts w:ascii="Times New Roman" w:hAnsi="Times New Roman" w:cs="Times New Roman"/>
                <w:sz w:val="24"/>
                <w:szCs w:val="24"/>
              </w:rPr>
            </w:pPr>
            <w:r w:rsidRPr="00316650">
              <w:rPr>
                <w:rFonts w:ascii="Times New Roman" w:eastAsia="Times New Roman" w:hAnsi="Times New Roman" w:cs="Times New Roman"/>
                <w:sz w:val="24"/>
                <w:szCs w:val="24"/>
                <w:lang w:eastAsia="lv-LV"/>
              </w:rPr>
              <w:t>Projekts šo jomu neskar.</w:t>
            </w:r>
          </w:p>
          <w:p w14:paraId="1B388716" w14:textId="71D820A4" w:rsidR="00E5323B" w:rsidRPr="00316650" w:rsidRDefault="00E5323B" w:rsidP="00E5323B">
            <w:pPr>
              <w:spacing w:after="0" w:line="240" w:lineRule="auto"/>
              <w:rPr>
                <w:rFonts w:ascii="Times New Roman" w:eastAsia="Times New Roman" w:hAnsi="Times New Roman" w:cs="Times New Roman"/>
                <w:iCs/>
                <w:sz w:val="24"/>
                <w:szCs w:val="24"/>
                <w:lang w:val="sv-SE" w:eastAsia="lv-LV"/>
              </w:rPr>
            </w:pPr>
          </w:p>
        </w:tc>
      </w:tr>
      <w:tr w:rsidR="000E1E68" w:rsidRPr="00316650" w14:paraId="6871E9D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3FDAD75" w14:textId="77777777" w:rsidR="00655F2C" w:rsidRPr="00316650" w:rsidRDefault="00E5323B"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55F42790" w14:textId="77777777" w:rsidR="00E5323B" w:rsidRPr="00316650"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316650">
              <w:rPr>
                <w:rFonts w:ascii="Times New Roman" w:eastAsia="Times New Roman" w:hAnsi="Times New Roman" w:cs="Times New Roman"/>
                <w:iCs/>
                <w:sz w:val="24"/>
                <w:szCs w:val="24"/>
                <w:lang w:val="en-US" w:eastAsia="lv-LV"/>
              </w:rPr>
              <w:t>Atbilstības</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izmaksu</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monetārs</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novērtējums</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3CC8D028" w14:textId="77777777" w:rsidR="000812FC" w:rsidRPr="00316650" w:rsidRDefault="000812FC" w:rsidP="000812FC">
            <w:pPr>
              <w:spacing w:after="0" w:line="240" w:lineRule="auto"/>
              <w:jc w:val="both"/>
              <w:rPr>
                <w:rFonts w:ascii="Times New Roman" w:hAnsi="Times New Roman" w:cs="Times New Roman"/>
                <w:sz w:val="24"/>
                <w:szCs w:val="24"/>
              </w:rPr>
            </w:pPr>
            <w:r w:rsidRPr="00316650">
              <w:rPr>
                <w:rFonts w:ascii="Times New Roman" w:eastAsia="Times New Roman" w:hAnsi="Times New Roman" w:cs="Times New Roman"/>
                <w:sz w:val="24"/>
                <w:szCs w:val="24"/>
                <w:lang w:eastAsia="lv-LV"/>
              </w:rPr>
              <w:t>Projekts šo jomu neskar.</w:t>
            </w:r>
          </w:p>
          <w:p w14:paraId="129E92C9" w14:textId="3A5DD533" w:rsidR="00E5323B" w:rsidRPr="00316650" w:rsidRDefault="00E5323B" w:rsidP="00E5323B">
            <w:pPr>
              <w:spacing w:after="0" w:line="240" w:lineRule="auto"/>
              <w:rPr>
                <w:rFonts w:ascii="Times New Roman" w:eastAsia="Times New Roman" w:hAnsi="Times New Roman" w:cs="Times New Roman"/>
                <w:iCs/>
                <w:sz w:val="24"/>
                <w:szCs w:val="24"/>
                <w:lang w:val="en-US" w:eastAsia="lv-LV"/>
              </w:rPr>
            </w:pPr>
          </w:p>
        </w:tc>
      </w:tr>
      <w:tr w:rsidR="000E1E68" w:rsidRPr="00316650" w14:paraId="08390AF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5246EC9" w14:textId="77777777" w:rsidR="00655F2C" w:rsidRPr="00316650" w:rsidRDefault="00E5323B"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11BB1021" w14:textId="77777777" w:rsidR="00E5323B" w:rsidRPr="00316650"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316650">
              <w:rPr>
                <w:rFonts w:ascii="Times New Roman" w:eastAsia="Times New Roman" w:hAnsi="Times New Roman" w:cs="Times New Roman"/>
                <w:iCs/>
                <w:sz w:val="24"/>
                <w:szCs w:val="24"/>
                <w:lang w:val="en-US" w:eastAsia="lv-LV"/>
              </w:rPr>
              <w:t>Cita</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informācija</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5066863F" w14:textId="4AB58CCD" w:rsidR="00E5323B" w:rsidRPr="00316650" w:rsidRDefault="000812FC"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Nav.</w:t>
            </w:r>
          </w:p>
        </w:tc>
      </w:tr>
    </w:tbl>
    <w:p w14:paraId="0F6549D2" w14:textId="77777777" w:rsidR="00E5323B" w:rsidRPr="00316650" w:rsidRDefault="00E5323B"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 xml:space="preserve">  </w:t>
      </w:r>
    </w:p>
    <w:tbl>
      <w:tblPr>
        <w:tblW w:w="5005"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590"/>
        <w:gridCol w:w="1016"/>
        <w:gridCol w:w="1017"/>
        <w:gridCol w:w="1163"/>
        <w:gridCol w:w="1163"/>
        <w:gridCol w:w="1163"/>
        <w:gridCol w:w="1163"/>
        <w:gridCol w:w="789"/>
      </w:tblGrid>
      <w:tr w:rsidR="000E1E68" w:rsidRPr="00316650" w14:paraId="070E4309" w14:textId="77777777" w:rsidTr="007E7D6A">
        <w:trPr>
          <w:tblCellSpacing w:w="15" w:type="dxa"/>
        </w:trPr>
        <w:tc>
          <w:tcPr>
            <w:tcW w:w="9004" w:type="dxa"/>
            <w:gridSpan w:val="8"/>
            <w:tcBorders>
              <w:top w:val="outset" w:sz="6" w:space="0" w:color="auto"/>
              <w:left w:val="outset" w:sz="6" w:space="0" w:color="auto"/>
              <w:bottom w:val="outset" w:sz="6" w:space="0" w:color="auto"/>
              <w:right w:val="outset" w:sz="6" w:space="0" w:color="auto"/>
            </w:tcBorders>
            <w:vAlign w:val="center"/>
            <w:hideMark/>
          </w:tcPr>
          <w:p w14:paraId="7A25612F" w14:textId="77777777" w:rsidR="00A6353B" w:rsidRPr="00316650" w:rsidRDefault="00A6353B" w:rsidP="007E7D6A">
            <w:pPr>
              <w:spacing w:line="256" w:lineRule="auto"/>
              <w:jc w:val="center"/>
              <w:rPr>
                <w:rFonts w:ascii="Times New Roman" w:hAnsi="Times New Roman" w:cs="Times New Roman"/>
                <w:b/>
                <w:bCs/>
                <w:iCs/>
                <w:sz w:val="24"/>
                <w:szCs w:val="24"/>
              </w:rPr>
            </w:pPr>
            <w:r w:rsidRPr="00316650">
              <w:rPr>
                <w:rFonts w:ascii="Times New Roman" w:hAnsi="Times New Roman" w:cs="Times New Roman"/>
                <w:b/>
                <w:bCs/>
                <w:iCs/>
                <w:sz w:val="24"/>
                <w:szCs w:val="24"/>
              </w:rPr>
              <w:t>III. Tiesību akta projekta ietekme uz valsts budžetu un pašvaldību budžetiem</w:t>
            </w:r>
          </w:p>
        </w:tc>
      </w:tr>
      <w:tr w:rsidR="000E1E68" w:rsidRPr="00316650" w14:paraId="29C34E0A" w14:textId="77777777" w:rsidTr="007E7D6A">
        <w:trPr>
          <w:tblCellSpacing w:w="15" w:type="dxa"/>
        </w:trPr>
        <w:tc>
          <w:tcPr>
            <w:tcW w:w="1545" w:type="dxa"/>
            <w:vMerge w:val="restart"/>
            <w:tcBorders>
              <w:top w:val="outset" w:sz="6" w:space="0" w:color="auto"/>
              <w:left w:val="outset" w:sz="6" w:space="0" w:color="auto"/>
              <w:bottom w:val="outset" w:sz="6" w:space="0" w:color="auto"/>
              <w:right w:val="outset" w:sz="6" w:space="0" w:color="auto"/>
            </w:tcBorders>
            <w:vAlign w:val="center"/>
            <w:hideMark/>
          </w:tcPr>
          <w:p w14:paraId="492E6698"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Rādītāji</w:t>
            </w:r>
          </w:p>
        </w:tc>
        <w:tc>
          <w:tcPr>
            <w:tcW w:w="2003"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1422A326"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2020</w:t>
            </w:r>
          </w:p>
        </w:tc>
        <w:tc>
          <w:tcPr>
            <w:tcW w:w="5396" w:type="dxa"/>
            <w:gridSpan w:val="5"/>
            <w:tcBorders>
              <w:top w:val="outset" w:sz="6" w:space="0" w:color="auto"/>
              <w:left w:val="outset" w:sz="6" w:space="0" w:color="auto"/>
              <w:bottom w:val="outset" w:sz="6" w:space="0" w:color="auto"/>
              <w:right w:val="outset" w:sz="6" w:space="0" w:color="auto"/>
            </w:tcBorders>
            <w:vAlign w:val="center"/>
            <w:hideMark/>
          </w:tcPr>
          <w:p w14:paraId="0FD998B0"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Turpmākie trīs gadi (</w:t>
            </w:r>
            <w:proofErr w:type="spellStart"/>
            <w:r w:rsidRPr="00316650">
              <w:rPr>
                <w:rFonts w:ascii="Times New Roman" w:hAnsi="Times New Roman" w:cs="Times New Roman"/>
                <w:i/>
                <w:iCs/>
                <w:sz w:val="24"/>
                <w:szCs w:val="24"/>
              </w:rPr>
              <w:t>euro</w:t>
            </w:r>
            <w:proofErr w:type="spellEnd"/>
            <w:r w:rsidRPr="00316650">
              <w:rPr>
                <w:rFonts w:ascii="Times New Roman" w:hAnsi="Times New Roman" w:cs="Times New Roman"/>
                <w:iCs/>
                <w:sz w:val="24"/>
                <w:szCs w:val="24"/>
              </w:rPr>
              <w:t>)</w:t>
            </w:r>
          </w:p>
        </w:tc>
      </w:tr>
      <w:tr w:rsidR="000E1E68" w:rsidRPr="00316650" w14:paraId="6713CB00" w14:textId="77777777" w:rsidTr="007E7D6A">
        <w:trPr>
          <w:tblCellSpacing w:w="15" w:type="dxa"/>
        </w:trPr>
        <w:tc>
          <w:tcPr>
            <w:tcW w:w="1545" w:type="dxa"/>
            <w:vMerge/>
            <w:tcBorders>
              <w:top w:val="outset" w:sz="6" w:space="0" w:color="auto"/>
              <w:left w:val="outset" w:sz="6" w:space="0" w:color="auto"/>
              <w:bottom w:val="outset" w:sz="6" w:space="0" w:color="auto"/>
              <w:right w:val="outset" w:sz="6" w:space="0" w:color="auto"/>
            </w:tcBorders>
            <w:vAlign w:val="center"/>
            <w:hideMark/>
          </w:tcPr>
          <w:p w14:paraId="44958EA7" w14:textId="77777777" w:rsidR="00A6353B" w:rsidRPr="00316650" w:rsidRDefault="00A6353B" w:rsidP="007E7D6A">
            <w:pPr>
              <w:spacing w:line="256" w:lineRule="auto"/>
              <w:rPr>
                <w:rFonts w:ascii="Times New Roman" w:hAnsi="Times New Roman" w:cs="Times New Roman"/>
                <w:iCs/>
                <w:sz w:val="24"/>
                <w:szCs w:val="24"/>
              </w:rPr>
            </w:pPr>
          </w:p>
        </w:tc>
        <w:tc>
          <w:tcPr>
            <w:tcW w:w="2003" w:type="dxa"/>
            <w:gridSpan w:val="2"/>
            <w:vMerge/>
            <w:tcBorders>
              <w:top w:val="outset" w:sz="6" w:space="0" w:color="auto"/>
              <w:left w:val="outset" w:sz="6" w:space="0" w:color="auto"/>
              <w:bottom w:val="outset" w:sz="6" w:space="0" w:color="auto"/>
              <w:right w:val="outset" w:sz="6" w:space="0" w:color="auto"/>
            </w:tcBorders>
            <w:vAlign w:val="center"/>
            <w:hideMark/>
          </w:tcPr>
          <w:p w14:paraId="388E7F46" w14:textId="77777777" w:rsidR="00A6353B" w:rsidRPr="00316650" w:rsidRDefault="00A6353B" w:rsidP="007E7D6A">
            <w:pPr>
              <w:spacing w:line="256" w:lineRule="auto"/>
              <w:rPr>
                <w:rFonts w:ascii="Times New Roman" w:hAnsi="Times New Roman" w:cs="Times New Roman"/>
                <w:iCs/>
                <w:sz w:val="24"/>
                <w:szCs w:val="24"/>
              </w:rPr>
            </w:pPr>
          </w:p>
        </w:tc>
        <w:tc>
          <w:tcPr>
            <w:tcW w:w="2296" w:type="dxa"/>
            <w:gridSpan w:val="2"/>
            <w:tcBorders>
              <w:top w:val="outset" w:sz="6" w:space="0" w:color="auto"/>
              <w:left w:val="outset" w:sz="6" w:space="0" w:color="auto"/>
              <w:bottom w:val="outset" w:sz="6" w:space="0" w:color="auto"/>
              <w:right w:val="outset" w:sz="6" w:space="0" w:color="auto"/>
            </w:tcBorders>
            <w:vAlign w:val="center"/>
            <w:hideMark/>
          </w:tcPr>
          <w:p w14:paraId="4DB57BC4"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2021</w:t>
            </w:r>
          </w:p>
        </w:tc>
        <w:tc>
          <w:tcPr>
            <w:tcW w:w="2296" w:type="dxa"/>
            <w:gridSpan w:val="2"/>
            <w:tcBorders>
              <w:top w:val="outset" w:sz="6" w:space="0" w:color="auto"/>
              <w:left w:val="outset" w:sz="6" w:space="0" w:color="auto"/>
              <w:bottom w:val="outset" w:sz="6" w:space="0" w:color="auto"/>
              <w:right w:val="outset" w:sz="6" w:space="0" w:color="auto"/>
            </w:tcBorders>
            <w:vAlign w:val="center"/>
            <w:hideMark/>
          </w:tcPr>
          <w:p w14:paraId="4659F827"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2022</w:t>
            </w:r>
          </w:p>
        </w:tc>
        <w:tc>
          <w:tcPr>
            <w:tcW w:w="744" w:type="dxa"/>
            <w:tcBorders>
              <w:top w:val="outset" w:sz="6" w:space="0" w:color="auto"/>
              <w:left w:val="outset" w:sz="6" w:space="0" w:color="auto"/>
              <w:bottom w:val="outset" w:sz="6" w:space="0" w:color="auto"/>
              <w:right w:val="outset" w:sz="6" w:space="0" w:color="auto"/>
            </w:tcBorders>
            <w:vAlign w:val="center"/>
            <w:hideMark/>
          </w:tcPr>
          <w:p w14:paraId="0491C3DE"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2023</w:t>
            </w:r>
          </w:p>
        </w:tc>
      </w:tr>
      <w:tr w:rsidR="000E1E68" w:rsidRPr="00316650" w14:paraId="66160976" w14:textId="77777777" w:rsidTr="007E7D6A">
        <w:trPr>
          <w:tblCellSpacing w:w="15" w:type="dxa"/>
        </w:trPr>
        <w:tc>
          <w:tcPr>
            <w:tcW w:w="1545" w:type="dxa"/>
            <w:vMerge/>
            <w:tcBorders>
              <w:top w:val="outset" w:sz="6" w:space="0" w:color="auto"/>
              <w:left w:val="outset" w:sz="6" w:space="0" w:color="auto"/>
              <w:bottom w:val="outset" w:sz="6" w:space="0" w:color="auto"/>
              <w:right w:val="outset" w:sz="6" w:space="0" w:color="auto"/>
            </w:tcBorders>
            <w:vAlign w:val="center"/>
            <w:hideMark/>
          </w:tcPr>
          <w:p w14:paraId="7D5FB768" w14:textId="77777777" w:rsidR="00A6353B" w:rsidRPr="00316650" w:rsidRDefault="00A6353B" w:rsidP="007E7D6A">
            <w:pPr>
              <w:spacing w:line="256" w:lineRule="auto"/>
              <w:rPr>
                <w:rFonts w:ascii="Times New Roman" w:hAnsi="Times New Roman" w:cs="Times New Roman"/>
                <w:iCs/>
                <w:sz w:val="24"/>
                <w:szCs w:val="24"/>
              </w:rPr>
            </w:pPr>
          </w:p>
        </w:tc>
        <w:tc>
          <w:tcPr>
            <w:tcW w:w="986" w:type="dxa"/>
            <w:tcBorders>
              <w:top w:val="outset" w:sz="6" w:space="0" w:color="auto"/>
              <w:left w:val="outset" w:sz="6" w:space="0" w:color="auto"/>
              <w:bottom w:val="outset" w:sz="6" w:space="0" w:color="auto"/>
              <w:right w:val="outset" w:sz="6" w:space="0" w:color="auto"/>
            </w:tcBorders>
            <w:vAlign w:val="center"/>
            <w:hideMark/>
          </w:tcPr>
          <w:p w14:paraId="5C0C0D03"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saskaņā ar valsts budžetu kārtējam gadam</w:t>
            </w:r>
          </w:p>
        </w:tc>
        <w:tc>
          <w:tcPr>
            <w:tcW w:w="987" w:type="dxa"/>
            <w:tcBorders>
              <w:top w:val="outset" w:sz="6" w:space="0" w:color="auto"/>
              <w:left w:val="outset" w:sz="6" w:space="0" w:color="auto"/>
              <w:bottom w:val="outset" w:sz="6" w:space="0" w:color="auto"/>
              <w:right w:val="outset" w:sz="6" w:space="0" w:color="auto"/>
            </w:tcBorders>
            <w:vAlign w:val="center"/>
            <w:hideMark/>
          </w:tcPr>
          <w:p w14:paraId="555C0C39"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 xml:space="preserve">izmaiņas kārtējā gadā, salīdzinot ar valsts </w:t>
            </w:r>
            <w:r w:rsidRPr="00316650">
              <w:rPr>
                <w:rFonts w:ascii="Times New Roman" w:hAnsi="Times New Roman" w:cs="Times New Roman"/>
                <w:iCs/>
                <w:sz w:val="24"/>
                <w:szCs w:val="24"/>
              </w:rPr>
              <w:lastRenderedPageBreak/>
              <w:t>budžetu kārtējam gadam</w:t>
            </w:r>
          </w:p>
        </w:tc>
        <w:tc>
          <w:tcPr>
            <w:tcW w:w="1133" w:type="dxa"/>
            <w:tcBorders>
              <w:top w:val="outset" w:sz="6" w:space="0" w:color="auto"/>
              <w:left w:val="outset" w:sz="6" w:space="0" w:color="auto"/>
              <w:bottom w:val="outset" w:sz="6" w:space="0" w:color="auto"/>
              <w:right w:val="outset" w:sz="6" w:space="0" w:color="auto"/>
            </w:tcBorders>
            <w:vAlign w:val="center"/>
            <w:hideMark/>
          </w:tcPr>
          <w:p w14:paraId="474DC245"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lastRenderedPageBreak/>
              <w:t>saskaņā ar vidēja termiņa budžeta ietvaru</w:t>
            </w:r>
          </w:p>
        </w:tc>
        <w:tc>
          <w:tcPr>
            <w:tcW w:w="1133" w:type="dxa"/>
            <w:tcBorders>
              <w:top w:val="outset" w:sz="6" w:space="0" w:color="auto"/>
              <w:left w:val="outset" w:sz="6" w:space="0" w:color="auto"/>
              <w:bottom w:val="outset" w:sz="6" w:space="0" w:color="auto"/>
              <w:right w:val="outset" w:sz="6" w:space="0" w:color="auto"/>
            </w:tcBorders>
            <w:vAlign w:val="center"/>
            <w:hideMark/>
          </w:tcPr>
          <w:p w14:paraId="0D22A98F"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 xml:space="preserve">izmaiņas, salīdzinot ar vidēja termiņa budžeta ietvaru </w:t>
            </w:r>
            <w:r w:rsidRPr="00316650">
              <w:rPr>
                <w:rFonts w:ascii="Times New Roman" w:hAnsi="Times New Roman" w:cs="Times New Roman"/>
                <w:iCs/>
                <w:sz w:val="24"/>
                <w:szCs w:val="24"/>
              </w:rPr>
              <w:lastRenderedPageBreak/>
              <w:t>2021. gadam</w:t>
            </w:r>
          </w:p>
        </w:tc>
        <w:tc>
          <w:tcPr>
            <w:tcW w:w="1133" w:type="dxa"/>
            <w:tcBorders>
              <w:top w:val="outset" w:sz="6" w:space="0" w:color="auto"/>
              <w:left w:val="outset" w:sz="6" w:space="0" w:color="auto"/>
              <w:bottom w:val="outset" w:sz="6" w:space="0" w:color="auto"/>
              <w:right w:val="outset" w:sz="6" w:space="0" w:color="auto"/>
            </w:tcBorders>
            <w:vAlign w:val="center"/>
            <w:hideMark/>
          </w:tcPr>
          <w:p w14:paraId="05CF9A49"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lastRenderedPageBreak/>
              <w:t>saskaņā ar vidēja termiņa budžeta ietvaru</w:t>
            </w:r>
          </w:p>
        </w:tc>
        <w:tc>
          <w:tcPr>
            <w:tcW w:w="1133" w:type="dxa"/>
            <w:tcBorders>
              <w:top w:val="outset" w:sz="6" w:space="0" w:color="auto"/>
              <w:left w:val="outset" w:sz="6" w:space="0" w:color="auto"/>
              <w:bottom w:val="outset" w:sz="6" w:space="0" w:color="auto"/>
              <w:right w:val="outset" w:sz="6" w:space="0" w:color="auto"/>
            </w:tcBorders>
            <w:vAlign w:val="center"/>
            <w:hideMark/>
          </w:tcPr>
          <w:p w14:paraId="085E9300"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 xml:space="preserve">izmaiņas, salīdzinot ar vidēja termiņa budžeta ietvaru </w:t>
            </w:r>
            <w:r w:rsidRPr="00316650">
              <w:rPr>
                <w:rFonts w:ascii="Times New Roman" w:hAnsi="Times New Roman" w:cs="Times New Roman"/>
                <w:iCs/>
                <w:sz w:val="24"/>
                <w:szCs w:val="24"/>
              </w:rPr>
              <w:lastRenderedPageBreak/>
              <w:t>2022. gadam</w:t>
            </w:r>
          </w:p>
        </w:tc>
        <w:tc>
          <w:tcPr>
            <w:tcW w:w="744" w:type="dxa"/>
            <w:tcBorders>
              <w:top w:val="outset" w:sz="6" w:space="0" w:color="auto"/>
              <w:left w:val="outset" w:sz="6" w:space="0" w:color="auto"/>
              <w:bottom w:val="outset" w:sz="6" w:space="0" w:color="auto"/>
              <w:right w:val="outset" w:sz="6" w:space="0" w:color="auto"/>
            </w:tcBorders>
            <w:vAlign w:val="center"/>
            <w:hideMark/>
          </w:tcPr>
          <w:p w14:paraId="2F3A2E7C"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lastRenderedPageBreak/>
              <w:t>izmaiņas, salīdzinot ar vidēja termiņ</w:t>
            </w:r>
            <w:r w:rsidRPr="00316650">
              <w:rPr>
                <w:rFonts w:ascii="Times New Roman" w:hAnsi="Times New Roman" w:cs="Times New Roman"/>
                <w:iCs/>
                <w:sz w:val="24"/>
                <w:szCs w:val="24"/>
              </w:rPr>
              <w:lastRenderedPageBreak/>
              <w:t>a budžeta ietvaru 2022. gadam</w:t>
            </w:r>
          </w:p>
        </w:tc>
      </w:tr>
      <w:tr w:rsidR="000E1E68" w:rsidRPr="00316650" w14:paraId="3BEE3869" w14:textId="77777777" w:rsidTr="007E7D6A">
        <w:trPr>
          <w:tblCellSpacing w:w="15" w:type="dxa"/>
        </w:trPr>
        <w:tc>
          <w:tcPr>
            <w:tcW w:w="1545" w:type="dxa"/>
            <w:tcBorders>
              <w:top w:val="outset" w:sz="6" w:space="0" w:color="auto"/>
              <w:left w:val="outset" w:sz="6" w:space="0" w:color="auto"/>
              <w:bottom w:val="outset" w:sz="6" w:space="0" w:color="auto"/>
              <w:right w:val="outset" w:sz="6" w:space="0" w:color="auto"/>
            </w:tcBorders>
            <w:vAlign w:val="center"/>
            <w:hideMark/>
          </w:tcPr>
          <w:p w14:paraId="7675D978"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lastRenderedPageBreak/>
              <w:t>1</w:t>
            </w:r>
          </w:p>
        </w:tc>
        <w:tc>
          <w:tcPr>
            <w:tcW w:w="986" w:type="dxa"/>
            <w:tcBorders>
              <w:top w:val="outset" w:sz="6" w:space="0" w:color="auto"/>
              <w:left w:val="outset" w:sz="6" w:space="0" w:color="auto"/>
              <w:bottom w:val="outset" w:sz="6" w:space="0" w:color="auto"/>
              <w:right w:val="outset" w:sz="6" w:space="0" w:color="auto"/>
            </w:tcBorders>
            <w:vAlign w:val="center"/>
            <w:hideMark/>
          </w:tcPr>
          <w:p w14:paraId="2224B620"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2</w:t>
            </w:r>
          </w:p>
        </w:tc>
        <w:tc>
          <w:tcPr>
            <w:tcW w:w="987" w:type="dxa"/>
            <w:tcBorders>
              <w:top w:val="outset" w:sz="6" w:space="0" w:color="auto"/>
              <w:left w:val="outset" w:sz="6" w:space="0" w:color="auto"/>
              <w:bottom w:val="outset" w:sz="6" w:space="0" w:color="auto"/>
              <w:right w:val="outset" w:sz="6" w:space="0" w:color="auto"/>
            </w:tcBorders>
            <w:vAlign w:val="center"/>
            <w:hideMark/>
          </w:tcPr>
          <w:p w14:paraId="756BA1E5"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3</w:t>
            </w:r>
          </w:p>
        </w:tc>
        <w:tc>
          <w:tcPr>
            <w:tcW w:w="1133" w:type="dxa"/>
            <w:tcBorders>
              <w:top w:val="outset" w:sz="6" w:space="0" w:color="auto"/>
              <w:left w:val="outset" w:sz="6" w:space="0" w:color="auto"/>
              <w:bottom w:val="outset" w:sz="6" w:space="0" w:color="auto"/>
              <w:right w:val="outset" w:sz="6" w:space="0" w:color="auto"/>
            </w:tcBorders>
            <w:vAlign w:val="center"/>
            <w:hideMark/>
          </w:tcPr>
          <w:p w14:paraId="3D2EB7D7"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4</w:t>
            </w:r>
          </w:p>
        </w:tc>
        <w:tc>
          <w:tcPr>
            <w:tcW w:w="1133" w:type="dxa"/>
            <w:tcBorders>
              <w:top w:val="outset" w:sz="6" w:space="0" w:color="auto"/>
              <w:left w:val="outset" w:sz="6" w:space="0" w:color="auto"/>
              <w:bottom w:val="outset" w:sz="6" w:space="0" w:color="auto"/>
              <w:right w:val="outset" w:sz="6" w:space="0" w:color="auto"/>
            </w:tcBorders>
            <w:vAlign w:val="center"/>
            <w:hideMark/>
          </w:tcPr>
          <w:p w14:paraId="444F9171"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5</w:t>
            </w:r>
          </w:p>
        </w:tc>
        <w:tc>
          <w:tcPr>
            <w:tcW w:w="1133" w:type="dxa"/>
            <w:tcBorders>
              <w:top w:val="outset" w:sz="6" w:space="0" w:color="auto"/>
              <w:left w:val="outset" w:sz="6" w:space="0" w:color="auto"/>
              <w:bottom w:val="outset" w:sz="6" w:space="0" w:color="auto"/>
              <w:right w:val="outset" w:sz="6" w:space="0" w:color="auto"/>
            </w:tcBorders>
            <w:vAlign w:val="center"/>
            <w:hideMark/>
          </w:tcPr>
          <w:p w14:paraId="3B8B69D4"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6</w:t>
            </w:r>
          </w:p>
        </w:tc>
        <w:tc>
          <w:tcPr>
            <w:tcW w:w="1133" w:type="dxa"/>
            <w:tcBorders>
              <w:top w:val="outset" w:sz="6" w:space="0" w:color="auto"/>
              <w:left w:val="outset" w:sz="6" w:space="0" w:color="auto"/>
              <w:bottom w:val="outset" w:sz="6" w:space="0" w:color="auto"/>
              <w:right w:val="outset" w:sz="6" w:space="0" w:color="auto"/>
            </w:tcBorders>
            <w:vAlign w:val="center"/>
            <w:hideMark/>
          </w:tcPr>
          <w:p w14:paraId="6E67B252"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7</w:t>
            </w:r>
          </w:p>
        </w:tc>
        <w:tc>
          <w:tcPr>
            <w:tcW w:w="744" w:type="dxa"/>
            <w:tcBorders>
              <w:top w:val="outset" w:sz="6" w:space="0" w:color="auto"/>
              <w:left w:val="outset" w:sz="6" w:space="0" w:color="auto"/>
              <w:bottom w:val="outset" w:sz="6" w:space="0" w:color="auto"/>
              <w:right w:val="outset" w:sz="6" w:space="0" w:color="auto"/>
            </w:tcBorders>
            <w:vAlign w:val="center"/>
            <w:hideMark/>
          </w:tcPr>
          <w:p w14:paraId="1B30D87F"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8</w:t>
            </w:r>
          </w:p>
        </w:tc>
      </w:tr>
      <w:tr w:rsidR="000E1E68" w:rsidRPr="00316650" w14:paraId="3984DED6" w14:textId="77777777" w:rsidTr="007E7D6A">
        <w:trPr>
          <w:tblCellSpacing w:w="15" w:type="dxa"/>
        </w:trPr>
        <w:tc>
          <w:tcPr>
            <w:tcW w:w="1545" w:type="dxa"/>
            <w:tcBorders>
              <w:top w:val="outset" w:sz="6" w:space="0" w:color="auto"/>
              <w:left w:val="outset" w:sz="6" w:space="0" w:color="auto"/>
              <w:bottom w:val="outset" w:sz="6" w:space="0" w:color="auto"/>
              <w:right w:val="outset" w:sz="6" w:space="0" w:color="auto"/>
            </w:tcBorders>
            <w:hideMark/>
          </w:tcPr>
          <w:p w14:paraId="3CF6D76E" w14:textId="77777777" w:rsidR="00A6353B" w:rsidRPr="00316650" w:rsidRDefault="00A6353B" w:rsidP="007E7D6A">
            <w:pPr>
              <w:spacing w:line="256" w:lineRule="auto"/>
              <w:rPr>
                <w:rFonts w:ascii="Times New Roman" w:hAnsi="Times New Roman" w:cs="Times New Roman"/>
                <w:iCs/>
                <w:sz w:val="24"/>
                <w:szCs w:val="24"/>
              </w:rPr>
            </w:pPr>
            <w:r w:rsidRPr="00316650">
              <w:rPr>
                <w:rFonts w:ascii="Times New Roman" w:hAnsi="Times New Roman" w:cs="Times New Roman"/>
                <w:iCs/>
                <w:sz w:val="24"/>
                <w:szCs w:val="24"/>
              </w:rPr>
              <w:t>1. Budžeta ieņēmumi</w:t>
            </w:r>
          </w:p>
        </w:tc>
        <w:tc>
          <w:tcPr>
            <w:tcW w:w="986" w:type="dxa"/>
            <w:tcBorders>
              <w:top w:val="outset" w:sz="6" w:space="0" w:color="auto"/>
              <w:left w:val="outset" w:sz="6" w:space="0" w:color="auto"/>
              <w:bottom w:val="outset" w:sz="6" w:space="0" w:color="auto"/>
              <w:right w:val="outset" w:sz="6" w:space="0" w:color="auto"/>
            </w:tcBorders>
            <w:vAlign w:val="center"/>
            <w:hideMark/>
          </w:tcPr>
          <w:p w14:paraId="64B37525"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987" w:type="dxa"/>
            <w:tcBorders>
              <w:top w:val="outset" w:sz="6" w:space="0" w:color="auto"/>
              <w:left w:val="outset" w:sz="6" w:space="0" w:color="auto"/>
              <w:bottom w:val="outset" w:sz="6" w:space="0" w:color="auto"/>
              <w:right w:val="outset" w:sz="6" w:space="0" w:color="auto"/>
            </w:tcBorders>
            <w:vAlign w:val="center"/>
            <w:hideMark/>
          </w:tcPr>
          <w:p w14:paraId="53A1F2A5"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vAlign w:val="center"/>
            <w:hideMark/>
          </w:tcPr>
          <w:p w14:paraId="06E6747E"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vAlign w:val="center"/>
            <w:hideMark/>
          </w:tcPr>
          <w:p w14:paraId="520FC35D"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vAlign w:val="center"/>
            <w:hideMark/>
          </w:tcPr>
          <w:p w14:paraId="41C6AC77"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vAlign w:val="center"/>
            <w:hideMark/>
          </w:tcPr>
          <w:p w14:paraId="7DD3175C"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744" w:type="dxa"/>
            <w:tcBorders>
              <w:top w:val="outset" w:sz="6" w:space="0" w:color="auto"/>
              <w:left w:val="outset" w:sz="6" w:space="0" w:color="auto"/>
              <w:bottom w:val="outset" w:sz="6" w:space="0" w:color="auto"/>
              <w:right w:val="outset" w:sz="6" w:space="0" w:color="auto"/>
            </w:tcBorders>
            <w:vAlign w:val="center"/>
            <w:hideMark/>
          </w:tcPr>
          <w:p w14:paraId="2634253A"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r>
      <w:tr w:rsidR="000E1E68" w:rsidRPr="00316650" w14:paraId="71872EE0" w14:textId="77777777" w:rsidTr="007E7D6A">
        <w:trPr>
          <w:tblCellSpacing w:w="15" w:type="dxa"/>
        </w:trPr>
        <w:tc>
          <w:tcPr>
            <w:tcW w:w="1545" w:type="dxa"/>
            <w:tcBorders>
              <w:top w:val="outset" w:sz="6" w:space="0" w:color="auto"/>
              <w:left w:val="outset" w:sz="6" w:space="0" w:color="auto"/>
              <w:bottom w:val="outset" w:sz="6" w:space="0" w:color="auto"/>
              <w:right w:val="outset" w:sz="6" w:space="0" w:color="auto"/>
            </w:tcBorders>
            <w:hideMark/>
          </w:tcPr>
          <w:p w14:paraId="39659D7F" w14:textId="77777777" w:rsidR="00A6353B" w:rsidRPr="00316650" w:rsidRDefault="00A6353B" w:rsidP="007E7D6A">
            <w:pPr>
              <w:spacing w:line="256" w:lineRule="auto"/>
              <w:rPr>
                <w:rFonts w:ascii="Times New Roman" w:hAnsi="Times New Roman" w:cs="Times New Roman"/>
                <w:iCs/>
                <w:sz w:val="24"/>
                <w:szCs w:val="24"/>
              </w:rPr>
            </w:pPr>
            <w:r w:rsidRPr="00316650">
              <w:rPr>
                <w:rFonts w:ascii="Times New Roman" w:hAnsi="Times New Roman" w:cs="Times New Roman"/>
                <w:iCs/>
                <w:sz w:val="24"/>
                <w:szCs w:val="24"/>
              </w:rPr>
              <w:t>1.1. valsts pamatbudžets, tai skaitā ieņēmumi no maksas pakalpojumiem un citi pašu ieņēmumi</w:t>
            </w:r>
          </w:p>
        </w:tc>
        <w:tc>
          <w:tcPr>
            <w:tcW w:w="986" w:type="dxa"/>
            <w:tcBorders>
              <w:top w:val="outset" w:sz="6" w:space="0" w:color="auto"/>
              <w:left w:val="outset" w:sz="6" w:space="0" w:color="auto"/>
              <w:bottom w:val="outset" w:sz="6" w:space="0" w:color="auto"/>
              <w:right w:val="outset" w:sz="6" w:space="0" w:color="auto"/>
            </w:tcBorders>
            <w:vAlign w:val="center"/>
            <w:hideMark/>
          </w:tcPr>
          <w:p w14:paraId="0A57DE3E"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987" w:type="dxa"/>
            <w:tcBorders>
              <w:top w:val="outset" w:sz="6" w:space="0" w:color="auto"/>
              <w:left w:val="outset" w:sz="6" w:space="0" w:color="auto"/>
              <w:bottom w:val="outset" w:sz="6" w:space="0" w:color="auto"/>
              <w:right w:val="outset" w:sz="6" w:space="0" w:color="auto"/>
            </w:tcBorders>
            <w:vAlign w:val="center"/>
            <w:hideMark/>
          </w:tcPr>
          <w:p w14:paraId="67F5A07A"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vAlign w:val="center"/>
            <w:hideMark/>
          </w:tcPr>
          <w:p w14:paraId="551A4BC0"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vAlign w:val="center"/>
            <w:hideMark/>
          </w:tcPr>
          <w:p w14:paraId="6CD8E003"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vAlign w:val="center"/>
            <w:hideMark/>
          </w:tcPr>
          <w:p w14:paraId="5716B612"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vAlign w:val="center"/>
            <w:hideMark/>
          </w:tcPr>
          <w:p w14:paraId="1D53A86F"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744" w:type="dxa"/>
            <w:tcBorders>
              <w:top w:val="outset" w:sz="6" w:space="0" w:color="auto"/>
              <w:left w:val="outset" w:sz="6" w:space="0" w:color="auto"/>
              <w:bottom w:val="outset" w:sz="6" w:space="0" w:color="auto"/>
              <w:right w:val="outset" w:sz="6" w:space="0" w:color="auto"/>
            </w:tcBorders>
            <w:vAlign w:val="center"/>
            <w:hideMark/>
          </w:tcPr>
          <w:p w14:paraId="2D716046"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r>
      <w:tr w:rsidR="000E1E68" w:rsidRPr="00316650" w14:paraId="7CA22DF7" w14:textId="77777777" w:rsidTr="007E7D6A">
        <w:trPr>
          <w:tblCellSpacing w:w="15" w:type="dxa"/>
        </w:trPr>
        <w:tc>
          <w:tcPr>
            <w:tcW w:w="1545" w:type="dxa"/>
            <w:tcBorders>
              <w:top w:val="outset" w:sz="6" w:space="0" w:color="auto"/>
              <w:left w:val="outset" w:sz="6" w:space="0" w:color="auto"/>
              <w:bottom w:val="outset" w:sz="6" w:space="0" w:color="auto"/>
              <w:right w:val="outset" w:sz="6" w:space="0" w:color="auto"/>
            </w:tcBorders>
            <w:hideMark/>
          </w:tcPr>
          <w:p w14:paraId="6A1E3238" w14:textId="77777777" w:rsidR="00A6353B" w:rsidRPr="00316650" w:rsidRDefault="00A6353B" w:rsidP="007E7D6A">
            <w:pPr>
              <w:spacing w:line="256" w:lineRule="auto"/>
              <w:rPr>
                <w:rFonts w:ascii="Times New Roman" w:hAnsi="Times New Roman" w:cs="Times New Roman"/>
                <w:iCs/>
                <w:sz w:val="24"/>
                <w:szCs w:val="24"/>
              </w:rPr>
            </w:pPr>
            <w:r w:rsidRPr="00316650">
              <w:rPr>
                <w:rFonts w:ascii="Times New Roman" w:hAnsi="Times New Roman" w:cs="Times New Roman"/>
                <w:iCs/>
                <w:sz w:val="24"/>
                <w:szCs w:val="24"/>
              </w:rPr>
              <w:t>1.2. valsts speciālais budžets</w:t>
            </w:r>
          </w:p>
        </w:tc>
        <w:tc>
          <w:tcPr>
            <w:tcW w:w="986" w:type="dxa"/>
            <w:tcBorders>
              <w:top w:val="outset" w:sz="6" w:space="0" w:color="auto"/>
              <w:left w:val="outset" w:sz="6" w:space="0" w:color="auto"/>
              <w:bottom w:val="outset" w:sz="6" w:space="0" w:color="auto"/>
              <w:right w:val="outset" w:sz="6" w:space="0" w:color="auto"/>
            </w:tcBorders>
            <w:vAlign w:val="center"/>
            <w:hideMark/>
          </w:tcPr>
          <w:p w14:paraId="23798F72"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987" w:type="dxa"/>
            <w:tcBorders>
              <w:top w:val="outset" w:sz="6" w:space="0" w:color="auto"/>
              <w:left w:val="outset" w:sz="6" w:space="0" w:color="auto"/>
              <w:bottom w:val="outset" w:sz="6" w:space="0" w:color="auto"/>
              <w:right w:val="outset" w:sz="6" w:space="0" w:color="auto"/>
            </w:tcBorders>
            <w:vAlign w:val="center"/>
            <w:hideMark/>
          </w:tcPr>
          <w:p w14:paraId="0980E0FC"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vAlign w:val="center"/>
            <w:hideMark/>
          </w:tcPr>
          <w:p w14:paraId="3043CB7C"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vAlign w:val="center"/>
            <w:hideMark/>
          </w:tcPr>
          <w:p w14:paraId="33E226C5"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vAlign w:val="center"/>
            <w:hideMark/>
          </w:tcPr>
          <w:p w14:paraId="05F61B6D"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vAlign w:val="center"/>
            <w:hideMark/>
          </w:tcPr>
          <w:p w14:paraId="4D86DF7E"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744" w:type="dxa"/>
            <w:tcBorders>
              <w:top w:val="outset" w:sz="6" w:space="0" w:color="auto"/>
              <w:left w:val="outset" w:sz="6" w:space="0" w:color="auto"/>
              <w:bottom w:val="outset" w:sz="6" w:space="0" w:color="auto"/>
              <w:right w:val="outset" w:sz="6" w:space="0" w:color="auto"/>
            </w:tcBorders>
            <w:vAlign w:val="center"/>
            <w:hideMark/>
          </w:tcPr>
          <w:p w14:paraId="4A38B5C5"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r>
      <w:tr w:rsidR="000E1E68" w:rsidRPr="00316650" w14:paraId="4789E695" w14:textId="77777777" w:rsidTr="007E7D6A">
        <w:trPr>
          <w:tblCellSpacing w:w="15" w:type="dxa"/>
        </w:trPr>
        <w:tc>
          <w:tcPr>
            <w:tcW w:w="1545" w:type="dxa"/>
            <w:tcBorders>
              <w:top w:val="outset" w:sz="6" w:space="0" w:color="auto"/>
              <w:left w:val="outset" w:sz="6" w:space="0" w:color="auto"/>
              <w:bottom w:val="outset" w:sz="6" w:space="0" w:color="auto"/>
              <w:right w:val="outset" w:sz="6" w:space="0" w:color="auto"/>
            </w:tcBorders>
            <w:hideMark/>
          </w:tcPr>
          <w:p w14:paraId="74CA500B" w14:textId="77777777" w:rsidR="00A6353B" w:rsidRPr="00316650" w:rsidRDefault="00A6353B" w:rsidP="007E7D6A">
            <w:pPr>
              <w:spacing w:line="256" w:lineRule="auto"/>
              <w:rPr>
                <w:rFonts w:ascii="Times New Roman" w:hAnsi="Times New Roman" w:cs="Times New Roman"/>
                <w:iCs/>
                <w:sz w:val="24"/>
                <w:szCs w:val="24"/>
              </w:rPr>
            </w:pPr>
            <w:r w:rsidRPr="00316650">
              <w:rPr>
                <w:rFonts w:ascii="Times New Roman" w:hAnsi="Times New Roman" w:cs="Times New Roman"/>
                <w:iCs/>
                <w:sz w:val="24"/>
                <w:szCs w:val="24"/>
              </w:rPr>
              <w:t>1.3. pašvaldību budžets</w:t>
            </w:r>
          </w:p>
        </w:tc>
        <w:tc>
          <w:tcPr>
            <w:tcW w:w="986" w:type="dxa"/>
            <w:tcBorders>
              <w:top w:val="outset" w:sz="6" w:space="0" w:color="auto"/>
              <w:left w:val="outset" w:sz="6" w:space="0" w:color="auto"/>
              <w:bottom w:val="outset" w:sz="6" w:space="0" w:color="auto"/>
              <w:right w:val="outset" w:sz="6" w:space="0" w:color="auto"/>
            </w:tcBorders>
            <w:vAlign w:val="center"/>
            <w:hideMark/>
          </w:tcPr>
          <w:p w14:paraId="106DA4D1"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987" w:type="dxa"/>
            <w:tcBorders>
              <w:top w:val="outset" w:sz="6" w:space="0" w:color="auto"/>
              <w:left w:val="outset" w:sz="6" w:space="0" w:color="auto"/>
              <w:bottom w:val="outset" w:sz="6" w:space="0" w:color="auto"/>
              <w:right w:val="outset" w:sz="6" w:space="0" w:color="auto"/>
            </w:tcBorders>
            <w:vAlign w:val="center"/>
            <w:hideMark/>
          </w:tcPr>
          <w:p w14:paraId="5958B247"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vAlign w:val="center"/>
            <w:hideMark/>
          </w:tcPr>
          <w:p w14:paraId="3ABC2B27"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vAlign w:val="center"/>
            <w:hideMark/>
          </w:tcPr>
          <w:p w14:paraId="5FD05D72"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vAlign w:val="center"/>
            <w:hideMark/>
          </w:tcPr>
          <w:p w14:paraId="579DB5EE"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vAlign w:val="center"/>
            <w:hideMark/>
          </w:tcPr>
          <w:p w14:paraId="58594B4B"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744" w:type="dxa"/>
            <w:tcBorders>
              <w:top w:val="outset" w:sz="6" w:space="0" w:color="auto"/>
              <w:left w:val="outset" w:sz="6" w:space="0" w:color="auto"/>
              <w:bottom w:val="outset" w:sz="6" w:space="0" w:color="auto"/>
              <w:right w:val="outset" w:sz="6" w:space="0" w:color="auto"/>
            </w:tcBorders>
            <w:vAlign w:val="center"/>
            <w:hideMark/>
          </w:tcPr>
          <w:p w14:paraId="74AA624C"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r>
      <w:tr w:rsidR="000E1E68" w:rsidRPr="00316650" w14:paraId="5897BC65" w14:textId="77777777" w:rsidTr="007E7D6A">
        <w:trPr>
          <w:tblCellSpacing w:w="15" w:type="dxa"/>
        </w:trPr>
        <w:tc>
          <w:tcPr>
            <w:tcW w:w="1545" w:type="dxa"/>
            <w:tcBorders>
              <w:top w:val="outset" w:sz="6" w:space="0" w:color="auto"/>
              <w:left w:val="outset" w:sz="6" w:space="0" w:color="auto"/>
              <w:bottom w:val="outset" w:sz="6" w:space="0" w:color="auto"/>
              <w:right w:val="outset" w:sz="6" w:space="0" w:color="auto"/>
            </w:tcBorders>
            <w:hideMark/>
          </w:tcPr>
          <w:p w14:paraId="105FCE67" w14:textId="77777777" w:rsidR="00A6353B" w:rsidRPr="00316650" w:rsidRDefault="00A6353B" w:rsidP="007E7D6A">
            <w:pPr>
              <w:spacing w:line="256" w:lineRule="auto"/>
              <w:rPr>
                <w:rFonts w:ascii="Times New Roman" w:hAnsi="Times New Roman" w:cs="Times New Roman"/>
                <w:iCs/>
                <w:sz w:val="24"/>
                <w:szCs w:val="24"/>
              </w:rPr>
            </w:pPr>
            <w:r w:rsidRPr="00316650">
              <w:rPr>
                <w:rFonts w:ascii="Times New Roman" w:hAnsi="Times New Roman" w:cs="Times New Roman"/>
                <w:iCs/>
                <w:sz w:val="24"/>
                <w:szCs w:val="24"/>
              </w:rPr>
              <w:t>2. Budžeta izdevumi</w:t>
            </w:r>
          </w:p>
        </w:tc>
        <w:tc>
          <w:tcPr>
            <w:tcW w:w="986" w:type="dxa"/>
            <w:tcBorders>
              <w:top w:val="outset" w:sz="6" w:space="0" w:color="auto"/>
              <w:left w:val="outset" w:sz="6" w:space="0" w:color="auto"/>
              <w:bottom w:val="outset" w:sz="6" w:space="0" w:color="auto"/>
              <w:right w:val="outset" w:sz="6" w:space="0" w:color="auto"/>
            </w:tcBorders>
            <w:vAlign w:val="center"/>
            <w:hideMark/>
          </w:tcPr>
          <w:p w14:paraId="467E0AF4" w14:textId="77777777" w:rsidR="00A6353B" w:rsidRPr="00316650" w:rsidRDefault="00A6353B" w:rsidP="007E7D6A">
            <w:pPr>
              <w:spacing w:line="256" w:lineRule="auto"/>
              <w:jc w:val="center"/>
              <w:rPr>
                <w:rFonts w:ascii="Times New Roman" w:hAnsi="Times New Roman" w:cs="Times New Roman"/>
                <w:iCs/>
                <w:sz w:val="24"/>
                <w:szCs w:val="24"/>
                <w:highlight w:val="yellow"/>
              </w:rPr>
            </w:pPr>
            <w:r w:rsidRPr="00316650">
              <w:rPr>
                <w:rFonts w:ascii="Times New Roman" w:hAnsi="Times New Roman" w:cs="Times New Roman"/>
                <w:iCs/>
                <w:sz w:val="24"/>
                <w:szCs w:val="24"/>
              </w:rPr>
              <w:t>0</w:t>
            </w:r>
          </w:p>
        </w:tc>
        <w:tc>
          <w:tcPr>
            <w:tcW w:w="987" w:type="dxa"/>
            <w:tcBorders>
              <w:top w:val="outset" w:sz="6" w:space="0" w:color="auto"/>
              <w:left w:val="outset" w:sz="6" w:space="0" w:color="auto"/>
              <w:bottom w:val="outset" w:sz="6" w:space="0" w:color="auto"/>
              <w:right w:val="outset" w:sz="6" w:space="0" w:color="auto"/>
            </w:tcBorders>
            <w:vAlign w:val="center"/>
            <w:hideMark/>
          </w:tcPr>
          <w:p w14:paraId="6C76FBB1" w14:textId="77777777" w:rsidR="00A6353B" w:rsidRPr="00316650" w:rsidRDefault="00A6353B" w:rsidP="007E7D6A">
            <w:pPr>
              <w:spacing w:line="256" w:lineRule="auto"/>
              <w:jc w:val="center"/>
              <w:rPr>
                <w:rFonts w:ascii="Times New Roman" w:hAnsi="Times New Roman" w:cs="Times New Roman"/>
                <w:iCs/>
                <w:sz w:val="24"/>
                <w:szCs w:val="24"/>
                <w:highlight w:val="yellow"/>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vAlign w:val="center"/>
            <w:hideMark/>
          </w:tcPr>
          <w:p w14:paraId="2BA2B953" w14:textId="77777777" w:rsidR="00A6353B" w:rsidRPr="00316650" w:rsidRDefault="00A6353B" w:rsidP="007E7D6A">
            <w:pPr>
              <w:spacing w:line="256" w:lineRule="auto"/>
              <w:jc w:val="center"/>
              <w:rPr>
                <w:rFonts w:ascii="Times New Roman" w:hAnsi="Times New Roman" w:cs="Times New Roman"/>
                <w:iCs/>
                <w:sz w:val="24"/>
                <w:szCs w:val="24"/>
                <w:highlight w:val="yellow"/>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hideMark/>
          </w:tcPr>
          <w:p w14:paraId="1CAC8118" w14:textId="77777777" w:rsidR="00A6353B" w:rsidRPr="00316650" w:rsidRDefault="00A6353B" w:rsidP="007E7D6A">
            <w:pPr>
              <w:spacing w:line="256" w:lineRule="auto"/>
              <w:jc w:val="center"/>
              <w:rPr>
                <w:rFonts w:ascii="Times New Roman" w:hAnsi="Times New Roman" w:cs="Times New Roman"/>
                <w:iCs/>
                <w:sz w:val="24"/>
                <w:szCs w:val="24"/>
                <w:highlight w:val="yellow"/>
              </w:rPr>
            </w:pPr>
            <w:r w:rsidRPr="00316650">
              <w:rPr>
                <w:rFonts w:ascii="Times New Roman" w:hAnsi="Times New Roman" w:cs="Times New Roman"/>
                <w:iCs/>
                <w:sz w:val="24"/>
                <w:szCs w:val="24"/>
              </w:rPr>
              <w:t xml:space="preserve">Nav precīzi </w:t>
            </w:r>
            <w:proofErr w:type="spellStart"/>
            <w:r w:rsidRPr="00316650">
              <w:rPr>
                <w:rFonts w:ascii="Times New Roman" w:hAnsi="Times New Roman" w:cs="Times New Roman"/>
                <w:iCs/>
                <w:sz w:val="24"/>
                <w:szCs w:val="24"/>
              </w:rPr>
              <w:t>aprēķi-nāms</w:t>
            </w:r>
            <w:proofErr w:type="spellEnd"/>
          </w:p>
        </w:tc>
        <w:tc>
          <w:tcPr>
            <w:tcW w:w="1133" w:type="dxa"/>
            <w:tcBorders>
              <w:top w:val="outset" w:sz="6" w:space="0" w:color="auto"/>
              <w:left w:val="outset" w:sz="6" w:space="0" w:color="auto"/>
              <w:bottom w:val="outset" w:sz="6" w:space="0" w:color="auto"/>
              <w:right w:val="outset" w:sz="6" w:space="0" w:color="auto"/>
            </w:tcBorders>
            <w:vAlign w:val="center"/>
            <w:hideMark/>
          </w:tcPr>
          <w:p w14:paraId="20E12454" w14:textId="77777777" w:rsidR="00A6353B" w:rsidRPr="00316650" w:rsidRDefault="00A6353B" w:rsidP="007E7D6A">
            <w:pPr>
              <w:spacing w:line="256" w:lineRule="auto"/>
              <w:jc w:val="center"/>
              <w:rPr>
                <w:rFonts w:ascii="Times New Roman" w:hAnsi="Times New Roman" w:cs="Times New Roman"/>
                <w:iCs/>
                <w:sz w:val="24"/>
                <w:szCs w:val="24"/>
                <w:highlight w:val="yellow"/>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hideMark/>
          </w:tcPr>
          <w:p w14:paraId="783B5D3D" w14:textId="77777777" w:rsidR="00A6353B" w:rsidRPr="00316650" w:rsidRDefault="00A6353B" w:rsidP="007E7D6A">
            <w:pPr>
              <w:spacing w:line="256" w:lineRule="auto"/>
              <w:jc w:val="center"/>
              <w:rPr>
                <w:rFonts w:ascii="Times New Roman" w:hAnsi="Times New Roman" w:cs="Times New Roman"/>
                <w:iCs/>
                <w:sz w:val="24"/>
                <w:szCs w:val="24"/>
                <w:highlight w:val="yellow"/>
              </w:rPr>
            </w:pPr>
            <w:r w:rsidRPr="00316650">
              <w:rPr>
                <w:rFonts w:ascii="Times New Roman" w:hAnsi="Times New Roman" w:cs="Times New Roman"/>
                <w:iCs/>
                <w:sz w:val="24"/>
                <w:szCs w:val="24"/>
              </w:rPr>
              <w:t xml:space="preserve">Nav precīzi </w:t>
            </w:r>
            <w:proofErr w:type="spellStart"/>
            <w:r w:rsidRPr="00316650">
              <w:rPr>
                <w:rFonts w:ascii="Times New Roman" w:hAnsi="Times New Roman" w:cs="Times New Roman"/>
                <w:iCs/>
                <w:sz w:val="24"/>
                <w:szCs w:val="24"/>
              </w:rPr>
              <w:t>aprēķi-nāms</w:t>
            </w:r>
            <w:proofErr w:type="spellEnd"/>
          </w:p>
        </w:tc>
        <w:tc>
          <w:tcPr>
            <w:tcW w:w="744" w:type="dxa"/>
            <w:tcBorders>
              <w:top w:val="outset" w:sz="6" w:space="0" w:color="auto"/>
              <w:left w:val="outset" w:sz="6" w:space="0" w:color="auto"/>
              <w:bottom w:val="outset" w:sz="6" w:space="0" w:color="auto"/>
              <w:right w:val="outset" w:sz="6" w:space="0" w:color="auto"/>
            </w:tcBorders>
            <w:hideMark/>
          </w:tcPr>
          <w:p w14:paraId="1874EC3E" w14:textId="77777777" w:rsidR="00A6353B" w:rsidRPr="00316650" w:rsidRDefault="00A6353B" w:rsidP="007E7D6A">
            <w:pPr>
              <w:spacing w:line="256" w:lineRule="auto"/>
              <w:jc w:val="center"/>
              <w:rPr>
                <w:rFonts w:ascii="Times New Roman" w:hAnsi="Times New Roman" w:cs="Times New Roman"/>
                <w:iCs/>
                <w:sz w:val="24"/>
                <w:szCs w:val="24"/>
                <w:highlight w:val="yellow"/>
              </w:rPr>
            </w:pPr>
            <w:r w:rsidRPr="00316650">
              <w:rPr>
                <w:rFonts w:ascii="Times New Roman" w:hAnsi="Times New Roman" w:cs="Times New Roman"/>
                <w:iCs/>
                <w:sz w:val="24"/>
                <w:szCs w:val="24"/>
              </w:rPr>
              <w:t xml:space="preserve">Nav precīzi </w:t>
            </w:r>
            <w:proofErr w:type="spellStart"/>
            <w:r w:rsidRPr="00316650">
              <w:rPr>
                <w:rFonts w:ascii="Times New Roman" w:hAnsi="Times New Roman" w:cs="Times New Roman"/>
                <w:iCs/>
                <w:sz w:val="24"/>
                <w:szCs w:val="24"/>
              </w:rPr>
              <w:t>aprēķi-nāms</w:t>
            </w:r>
            <w:proofErr w:type="spellEnd"/>
          </w:p>
        </w:tc>
      </w:tr>
      <w:tr w:rsidR="000E1E68" w:rsidRPr="00316650" w14:paraId="001DB5E5" w14:textId="77777777" w:rsidTr="007E7D6A">
        <w:trPr>
          <w:tblCellSpacing w:w="15" w:type="dxa"/>
        </w:trPr>
        <w:tc>
          <w:tcPr>
            <w:tcW w:w="1545" w:type="dxa"/>
            <w:tcBorders>
              <w:top w:val="outset" w:sz="6" w:space="0" w:color="auto"/>
              <w:left w:val="outset" w:sz="6" w:space="0" w:color="auto"/>
              <w:bottom w:val="outset" w:sz="6" w:space="0" w:color="auto"/>
              <w:right w:val="outset" w:sz="6" w:space="0" w:color="auto"/>
            </w:tcBorders>
            <w:hideMark/>
          </w:tcPr>
          <w:p w14:paraId="50235F88" w14:textId="77777777" w:rsidR="00A6353B" w:rsidRPr="00316650" w:rsidRDefault="00A6353B" w:rsidP="007E7D6A">
            <w:pPr>
              <w:spacing w:line="256" w:lineRule="auto"/>
              <w:rPr>
                <w:rFonts w:ascii="Times New Roman" w:hAnsi="Times New Roman" w:cs="Times New Roman"/>
                <w:iCs/>
                <w:sz w:val="24"/>
                <w:szCs w:val="24"/>
              </w:rPr>
            </w:pPr>
            <w:r w:rsidRPr="00316650">
              <w:rPr>
                <w:rFonts w:ascii="Times New Roman" w:hAnsi="Times New Roman" w:cs="Times New Roman"/>
                <w:iCs/>
                <w:sz w:val="24"/>
                <w:szCs w:val="24"/>
              </w:rPr>
              <w:t>2.1. valsts pamatbudžets</w:t>
            </w:r>
          </w:p>
        </w:tc>
        <w:tc>
          <w:tcPr>
            <w:tcW w:w="986" w:type="dxa"/>
            <w:tcBorders>
              <w:top w:val="outset" w:sz="6" w:space="0" w:color="auto"/>
              <w:left w:val="outset" w:sz="6" w:space="0" w:color="auto"/>
              <w:bottom w:val="outset" w:sz="6" w:space="0" w:color="auto"/>
              <w:right w:val="outset" w:sz="6" w:space="0" w:color="auto"/>
            </w:tcBorders>
            <w:vAlign w:val="center"/>
            <w:hideMark/>
          </w:tcPr>
          <w:p w14:paraId="7814D35F" w14:textId="77777777" w:rsidR="00A6353B" w:rsidRPr="00316650" w:rsidRDefault="00A6353B" w:rsidP="007E7D6A">
            <w:pPr>
              <w:spacing w:line="256" w:lineRule="auto"/>
              <w:jc w:val="center"/>
              <w:rPr>
                <w:rFonts w:ascii="Times New Roman" w:hAnsi="Times New Roman" w:cs="Times New Roman"/>
                <w:iCs/>
                <w:sz w:val="24"/>
                <w:szCs w:val="24"/>
                <w:highlight w:val="yellow"/>
              </w:rPr>
            </w:pPr>
            <w:r w:rsidRPr="00316650">
              <w:rPr>
                <w:rFonts w:ascii="Times New Roman" w:hAnsi="Times New Roman" w:cs="Times New Roman"/>
                <w:iCs/>
                <w:sz w:val="24"/>
                <w:szCs w:val="24"/>
              </w:rPr>
              <w:t>0</w:t>
            </w:r>
          </w:p>
        </w:tc>
        <w:tc>
          <w:tcPr>
            <w:tcW w:w="987" w:type="dxa"/>
            <w:tcBorders>
              <w:top w:val="outset" w:sz="6" w:space="0" w:color="auto"/>
              <w:left w:val="outset" w:sz="6" w:space="0" w:color="auto"/>
              <w:bottom w:val="outset" w:sz="6" w:space="0" w:color="auto"/>
              <w:right w:val="outset" w:sz="6" w:space="0" w:color="auto"/>
            </w:tcBorders>
            <w:vAlign w:val="center"/>
            <w:hideMark/>
          </w:tcPr>
          <w:p w14:paraId="51FDE417" w14:textId="77777777" w:rsidR="00A6353B" w:rsidRPr="00316650" w:rsidRDefault="00A6353B" w:rsidP="007E7D6A">
            <w:pPr>
              <w:spacing w:line="256" w:lineRule="auto"/>
              <w:jc w:val="center"/>
              <w:rPr>
                <w:rFonts w:ascii="Times New Roman" w:hAnsi="Times New Roman" w:cs="Times New Roman"/>
                <w:iCs/>
                <w:sz w:val="24"/>
                <w:szCs w:val="24"/>
                <w:highlight w:val="yellow"/>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vAlign w:val="center"/>
            <w:hideMark/>
          </w:tcPr>
          <w:p w14:paraId="14241482" w14:textId="77777777" w:rsidR="00A6353B" w:rsidRPr="00316650" w:rsidRDefault="00A6353B" w:rsidP="007E7D6A">
            <w:pPr>
              <w:spacing w:line="256" w:lineRule="auto"/>
              <w:jc w:val="center"/>
              <w:rPr>
                <w:rFonts w:ascii="Times New Roman" w:hAnsi="Times New Roman" w:cs="Times New Roman"/>
                <w:iCs/>
                <w:sz w:val="24"/>
                <w:szCs w:val="24"/>
                <w:highlight w:val="yellow"/>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hideMark/>
          </w:tcPr>
          <w:p w14:paraId="47338403" w14:textId="77777777" w:rsidR="00A6353B" w:rsidRPr="00316650" w:rsidRDefault="00A6353B" w:rsidP="007E7D6A">
            <w:pPr>
              <w:spacing w:line="256" w:lineRule="auto"/>
              <w:jc w:val="center"/>
              <w:rPr>
                <w:rFonts w:ascii="Times New Roman" w:hAnsi="Times New Roman" w:cs="Times New Roman"/>
                <w:iCs/>
                <w:sz w:val="24"/>
                <w:szCs w:val="24"/>
                <w:highlight w:val="yellow"/>
              </w:rPr>
            </w:pPr>
            <w:r w:rsidRPr="00316650">
              <w:rPr>
                <w:rFonts w:ascii="Times New Roman" w:hAnsi="Times New Roman" w:cs="Times New Roman"/>
                <w:iCs/>
                <w:sz w:val="24"/>
                <w:szCs w:val="24"/>
              </w:rPr>
              <w:t xml:space="preserve">Nav precīzi </w:t>
            </w:r>
            <w:proofErr w:type="spellStart"/>
            <w:r w:rsidRPr="00316650">
              <w:rPr>
                <w:rFonts w:ascii="Times New Roman" w:hAnsi="Times New Roman" w:cs="Times New Roman"/>
                <w:iCs/>
                <w:sz w:val="24"/>
                <w:szCs w:val="24"/>
              </w:rPr>
              <w:t>aprēķi-nāms</w:t>
            </w:r>
            <w:proofErr w:type="spellEnd"/>
          </w:p>
        </w:tc>
        <w:tc>
          <w:tcPr>
            <w:tcW w:w="1133" w:type="dxa"/>
            <w:tcBorders>
              <w:top w:val="outset" w:sz="6" w:space="0" w:color="auto"/>
              <w:left w:val="outset" w:sz="6" w:space="0" w:color="auto"/>
              <w:bottom w:val="outset" w:sz="6" w:space="0" w:color="auto"/>
              <w:right w:val="outset" w:sz="6" w:space="0" w:color="auto"/>
            </w:tcBorders>
            <w:vAlign w:val="center"/>
            <w:hideMark/>
          </w:tcPr>
          <w:p w14:paraId="1E5C3731" w14:textId="77777777" w:rsidR="00A6353B" w:rsidRPr="00316650" w:rsidRDefault="00A6353B" w:rsidP="007E7D6A">
            <w:pPr>
              <w:spacing w:line="256" w:lineRule="auto"/>
              <w:jc w:val="center"/>
              <w:rPr>
                <w:rFonts w:ascii="Times New Roman" w:hAnsi="Times New Roman" w:cs="Times New Roman"/>
                <w:iCs/>
                <w:sz w:val="24"/>
                <w:szCs w:val="24"/>
                <w:highlight w:val="yellow"/>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hideMark/>
          </w:tcPr>
          <w:p w14:paraId="52BE0CF2" w14:textId="77777777" w:rsidR="00A6353B" w:rsidRPr="00316650" w:rsidRDefault="00A6353B" w:rsidP="007E7D6A">
            <w:pPr>
              <w:spacing w:line="256" w:lineRule="auto"/>
              <w:jc w:val="center"/>
              <w:rPr>
                <w:rFonts w:ascii="Times New Roman" w:hAnsi="Times New Roman" w:cs="Times New Roman"/>
                <w:iCs/>
                <w:sz w:val="24"/>
                <w:szCs w:val="24"/>
                <w:highlight w:val="yellow"/>
              </w:rPr>
            </w:pPr>
            <w:r w:rsidRPr="00316650">
              <w:rPr>
                <w:rFonts w:ascii="Times New Roman" w:hAnsi="Times New Roman" w:cs="Times New Roman"/>
                <w:iCs/>
                <w:sz w:val="24"/>
                <w:szCs w:val="24"/>
              </w:rPr>
              <w:t xml:space="preserve">Nav precīzi </w:t>
            </w:r>
            <w:proofErr w:type="spellStart"/>
            <w:r w:rsidRPr="00316650">
              <w:rPr>
                <w:rFonts w:ascii="Times New Roman" w:hAnsi="Times New Roman" w:cs="Times New Roman"/>
                <w:iCs/>
                <w:sz w:val="24"/>
                <w:szCs w:val="24"/>
              </w:rPr>
              <w:t>aprēķi-nāms</w:t>
            </w:r>
            <w:proofErr w:type="spellEnd"/>
          </w:p>
        </w:tc>
        <w:tc>
          <w:tcPr>
            <w:tcW w:w="744" w:type="dxa"/>
            <w:tcBorders>
              <w:top w:val="outset" w:sz="6" w:space="0" w:color="auto"/>
              <w:left w:val="outset" w:sz="6" w:space="0" w:color="auto"/>
              <w:bottom w:val="outset" w:sz="6" w:space="0" w:color="auto"/>
              <w:right w:val="outset" w:sz="6" w:space="0" w:color="auto"/>
            </w:tcBorders>
            <w:hideMark/>
          </w:tcPr>
          <w:p w14:paraId="600377F4" w14:textId="77777777" w:rsidR="00A6353B" w:rsidRPr="00316650" w:rsidRDefault="00A6353B" w:rsidP="007E7D6A">
            <w:pPr>
              <w:spacing w:line="256" w:lineRule="auto"/>
              <w:jc w:val="center"/>
              <w:rPr>
                <w:rFonts w:ascii="Times New Roman" w:hAnsi="Times New Roman" w:cs="Times New Roman"/>
                <w:iCs/>
                <w:sz w:val="24"/>
                <w:szCs w:val="24"/>
                <w:highlight w:val="yellow"/>
              </w:rPr>
            </w:pPr>
            <w:r w:rsidRPr="00316650">
              <w:rPr>
                <w:rFonts w:ascii="Times New Roman" w:hAnsi="Times New Roman" w:cs="Times New Roman"/>
                <w:iCs/>
                <w:sz w:val="24"/>
                <w:szCs w:val="24"/>
              </w:rPr>
              <w:t xml:space="preserve">Nav precīzi </w:t>
            </w:r>
            <w:proofErr w:type="spellStart"/>
            <w:r w:rsidRPr="00316650">
              <w:rPr>
                <w:rFonts w:ascii="Times New Roman" w:hAnsi="Times New Roman" w:cs="Times New Roman"/>
                <w:iCs/>
                <w:sz w:val="24"/>
                <w:szCs w:val="24"/>
              </w:rPr>
              <w:t>aprēķi-nāms</w:t>
            </w:r>
            <w:proofErr w:type="spellEnd"/>
          </w:p>
        </w:tc>
      </w:tr>
      <w:tr w:rsidR="000E1E68" w:rsidRPr="00316650" w14:paraId="6E6A0D3D" w14:textId="77777777" w:rsidTr="007E7D6A">
        <w:trPr>
          <w:tblCellSpacing w:w="15" w:type="dxa"/>
        </w:trPr>
        <w:tc>
          <w:tcPr>
            <w:tcW w:w="1545" w:type="dxa"/>
            <w:tcBorders>
              <w:top w:val="outset" w:sz="6" w:space="0" w:color="auto"/>
              <w:left w:val="outset" w:sz="6" w:space="0" w:color="auto"/>
              <w:bottom w:val="outset" w:sz="6" w:space="0" w:color="auto"/>
              <w:right w:val="outset" w:sz="6" w:space="0" w:color="auto"/>
            </w:tcBorders>
            <w:hideMark/>
          </w:tcPr>
          <w:p w14:paraId="0ED7B509" w14:textId="77777777" w:rsidR="00A6353B" w:rsidRPr="00316650" w:rsidRDefault="00A6353B" w:rsidP="007E7D6A">
            <w:pPr>
              <w:spacing w:line="256" w:lineRule="auto"/>
              <w:rPr>
                <w:rFonts w:ascii="Times New Roman" w:hAnsi="Times New Roman" w:cs="Times New Roman"/>
                <w:iCs/>
                <w:sz w:val="24"/>
                <w:szCs w:val="24"/>
              </w:rPr>
            </w:pPr>
            <w:r w:rsidRPr="00316650">
              <w:rPr>
                <w:rFonts w:ascii="Times New Roman" w:hAnsi="Times New Roman" w:cs="Times New Roman"/>
                <w:iCs/>
                <w:sz w:val="24"/>
                <w:szCs w:val="24"/>
              </w:rPr>
              <w:t>2.2. valsts speciālais budžets</w:t>
            </w:r>
          </w:p>
        </w:tc>
        <w:tc>
          <w:tcPr>
            <w:tcW w:w="986" w:type="dxa"/>
            <w:tcBorders>
              <w:top w:val="outset" w:sz="6" w:space="0" w:color="auto"/>
              <w:left w:val="outset" w:sz="6" w:space="0" w:color="auto"/>
              <w:bottom w:val="outset" w:sz="6" w:space="0" w:color="auto"/>
              <w:right w:val="outset" w:sz="6" w:space="0" w:color="auto"/>
            </w:tcBorders>
            <w:vAlign w:val="center"/>
            <w:hideMark/>
          </w:tcPr>
          <w:p w14:paraId="0448DF82"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987" w:type="dxa"/>
            <w:tcBorders>
              <w:top w:val="outset" w:sz="6" w:space="0" w:color="auto"/>
              <w:left w:val="outset" w:sz="6" w:space="0" w:color="auto"/>
              <w:bottom w:val="outset" w:sz="6" w:space="0" w:color="auto"/>
              <w:right w:val="outset" w:sz="6" w:space="0" w:color="auto"/>
            </w:tcBorders>
            <w:vAlign w:val="center"/>
            <w:hideMark/>
          </w:tcPr>
          <w:p w14:paraId="7AB339C6"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vAlign w:val="center"/>
            <w:hideMark/>
          </w:tcPr>
          <w:p w14:paraId="48BC5221"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vAlign w:val="center"/>
            <w:hideMark/>
          </w:tcPr>
          <w:p w14:paraId="7BA788F0"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vAlign w:val="center"/>
            <w:hideMark/>
          </w:tcPr>
          <w:p w14:paraId="653D4DEE"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vAlign w:val="center"/>
            <w:hideMark/>
          </w:tcPr>
          <w:p w14:paraId="7BE38F48"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744" w:type="dxa"/>
            <w:tcBorders>
              <w:top w:val="outset" w:sz="6" w:space="0" w:color="auto"/>
              <w:left w:val="outset" w:sz="6" w:space="0" w:color="auto"/>
              <w:bottom w:val="outset" w:sz="6" w:space="0" w:color="auto"/>
              <w:right w:val="outset" w:sz="6" w:space="0" w:color="auto"/>
            </w:tcBorders>
            <w:vAlign w:val="center"/>
            <w:hideMark/>
          </w:tcPr>
          <w:p w14:paraId="63FCA59B"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r>
      <w:tr w:rsidR="000E1E68" w:rsidRPr="00316650" w14:paraId="4801C593" w14:textId="77777777" w:rsidTr="007E7D6A">
        <w:trPr>
          <w:tblCellSpacing w:w="15" w:type="dxa"/>
        </w:trPr>
        <w:tc>
          <w:tcPr>
            <w:tcW w:w="1545" w:type="dxa"/>
            <w:tcBorders>
              <w:top w:val="outset" w:sz="6" w:space="0" w:color="auto"/>
              <w:left w:val="outset" w:sz="6" w:space="0" w:color="auto"/>
              <w:bottom w:val="outset" w:sz="6" w:space="0" w:color="auto"/>
              <w:right w:val="outset" w:sz="6" w:space="0" w:color="auto"/>
            </w:tcBorders>
            <w:hideMark/>
          </w:tcPr>
          <w:p w14:paraId="758AC682" w14:textId="77777777" w:rsidR="00A6353B" w:rsidRPr="00316650" w:rsidRDefault="00A6353B" w:rsidP="007E7D6A">
            <w:pPr>
              <w:spacing w:line="256" w:lineRule="auto"/>
              <w:rPr>
                <w:rFonts w:ascii="Times New Roman" w:hAnsi="Times New Roman" w:cs="Times New Roman"/>
                <w:iCs/>
                <w:sz w:val="24"/>
                <w:szCs w:val="24"/>
              </w:rPr>
            </w:pPr>
            <w:r w:rsidRPr="00316650">
              <w:rPr>
                <w:rFonts w:ascii="Times New Roman" w:hAnsi="Times New Roman" w:cs="Times New Roman"/>
                <w:iCs/>
                <w:sz w:val="24"/>
                <w:szCs w:val="24"/>
              </w:rPr>
              <w:t>2.3. pašvaldību budžets</w:t>
            </w:r>
          </w:p>
        </w:tc>
        <w:tc>
          <w:tcPr>
            <w:tcW w:w="986" w:type="dxa"/>
            <w:tcBorders>
              <w:top w:val="outset" w:sz="6" w:space="0" w:color="auto"/>
              <w:left w:val="outset" w:sz="6" w:space="0" w:color="auto"/>
              <w:bottom w:val="outset" w:sz="6" w:space="0" w:color="auto"/>
              <w:right w:val="outset" w:sz="6" w:space="0" w:color="auto"/>
            </w:tcBorders>
            <w:vAlign w:val="center"/>
            <w:hideMark/>
          </w:tcPr>
          <w:p w14:paraId="67EE520D"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987" w:type="dxa"/>
            <w:tcBorders>
              <w:top w:val="outset" w:sz="6" w:space="0" w:color="auto"/>
              <w:left w:val="outset" w:sz="6" w:space="0" w:color="auto"/>
              <w:bottom w:val="outset" w:sz="6" w:space="0" w:color="auto"/>
              <w:right w:val="outset" w:sz="6" w:space="0" w:color="auto"/>
            </w:tcBorders>
            <w:vAlign w:val="center"/>
            <w:hideMark/>
          </w:tcPr>
          <w:p w14:paraId="3CCE9B0F"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vAlign w:val="center"/>
            <w:hideMark/>
          </w:tcPr>
          <w:p w14:paraId="5D1F5C39" w14:textId="77777777" w:rsidR="00A6353B" w:rsidRPr="00316650" w:rsidRDefault="00A6353B" w:rsidP="007E7D6A">
            <w:pPr>
              <w:spacing w:line="256" w:lineRule="auto"/>
              <w:jc w:val="center"/>
              <w:rPr>
                <w:rFonts w:ascii="Times New Roman" w:hAnsi="Times New Roman" w:cs="Times New Roman"/>
                <w:iCs/>
                <w:sz w:val="24"/>
                <w:szCs w:val="24"/>
                <w:highlight w:val="yellow"/>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hideMark/>
          </w:tcPr>
          <w:p w14:paraId="1721E561"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 xml:space="preserve">Nav precīzi </w:t>
            </w:r>
            <w:proofErr w:type="spellStart"/>
            <w:r w:rsidRPr="00316650">
              <w:rPr>
                <w:rFonts w:ascii="Times New Roman" w:hAnsi="Times New Roman" w:cs="Times New Roman"/>
                <w:iCs/>
                <w:sz w:val="24"/>
                <w:szCs w:val="24"/>
              </w:rPr>
              <w:lastRenderedPageBreak/>
              <w:t>aprēķi-nāms</w:t>
            </w:r>
            <w:proofErr w:type="spellEnd"/>
          </w:p>
        </w:tc>
        <w:tc>
          <w:tcPr>
            <w:tcW w:w="1133" w:type="dxa"/>
            <w:tcBorders>
              <w:top w:val="outset" w:sz="6" w:space="0" w:color="auto"/>
              <w:left w:val="outset" w:sz="6" w:space="0" w:color="auto"/>
              <w:bottom w:val="outset" w:sz="6" w:space="0" w:color="auto"/>
              <w:right w:val="outset" w:sz="6" w:space="0" w:color="auto"/>
            </w:tcBorders>
            <w:vAlign w:val="center"/>
            <w:hideMark/>
          </w:tcPr>
          <w:p w14:paraId="0A697895" w14:textId="77777777" w:rsidR="00A6353B" w:rsidRPr="00316650" w:rsidRDefault="00A6353B" w:rsidP="007E7D6A">
            <w:pPr>
              <w:spacing w:line="256" w:lineRule="auto"/>
              <w:jc w:val="center"/>
              <w:rPr>
                <w:rFonts w:ascii="Times New Roman" w:hAnsi="Times New Roman" w:cs="Times New Roman"/>
                <w:iCs/>
                <w:sz w:val="24"/>
                <w:szCs w:val="24"/>
                <w:highlight w:val="yellow"/>
              </w:rPr>
            </w:pPr>
            <w:r w:rsidRPr="00316650">
              <w:rPr>
                <w:rFonts w:ascii="Times New Roman" w:hAnsi="Times New Roman" w:cs="Times New Roman"/>
                <w:iCs/>
                <w:sz w:val="24"/>
                <w:szCs w:val="24"/>
              </w:rPr>
              <w:lastRenderedPageBreak/>
              <w:t>0</w:t>
            </w:r>
          </w:p>
        </w:tc>
        <w:tc>
          <w:tcPr>
            <w:tcW w:w="1133" w:type="dxa"/>
            <w:tcBorders>
              <w:top w:val="outset" w:sz="6" w:space="0" w:color="auto"/>
              <w:left w:val="outset" w:sz="6" w:space="0" w:color="auto"/>
              <w:bottom w:val="outset" w:sz="6" w:space="0" w:color="auto"/>
              <w:right w:val="outset" w:sz="6" w:space="0" w:color="auto"/>
            </w:tcBorders>
            <w:hideMark/>
          </w:tcPr>
          <w:p w14:paraId="0B43A467"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 xml:space="preserve">Nav precīzi </w:t>
            </w:r>
            <w:proofErr w:type="spellStart"/>
            <w:r w:rsidRPr="00316650">
              <w:rPr>
                <w:rFonts w:ascii="Times New Roman" w:hAnsi="Times New Roman" w:cs="Times New Roman"/>
                <w:iCs/>
                <w:sz w:val="24"/>
                <w:szCs w:val="24"/>
              </w:rPr>
              <w:lastRenderedPageBreak/>
              <w:t>aprēķi-nāms</w:t>
            </w:r>
            <w:proofErr w:type="spellEnd"/>
          </w:p>
        </w:tc>
        <w:tc>
          <w:tcPr>
            <w:tcW w:w="744" w:type="dxa"/>
            <w:tcBorders>
              <w:top w:val="outset" w:sz="6" w:space="0" w:color="auto"/>
              <w:left w:val="outset" w:sz="6" w:space="0" w:color="auto"/>
              <w:bottom w:val="outset" w:sz="6" w:space="0" w:color="auto"/>
              <w:right w:val="outset" w:sz="6" w:space="0" w:color="auto"/>
            </w:tcBorders>
            <w:hideMark/>
          </w:tcPr>
          <w:p w14:paraId="3D06C6B4"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lastRenderedPageBreak/>
              <w:t xml:space="preserve">Nav precīzi </w:t>
            </w:r>
            <w:proofErr w:type="spellStart"/>
            <w:r w:rsidRPr="00316650">
              <w:rPr>
                <w:rFonts w:ascii="Times New Roman" w:hAnsi="Times New Roman" w:cs="Times New Roman"/>
                <w:iCs/>
                <w:sz w:val="24"/>
                <w:szCs w:val="24"/>
              </w:rPr>
              <w:lastRenderedPageBreak/>
              <w:t>aprēķi-nāms</w:t>
            </w:r>
            <w:proofErr w:type="spellEnd"/>
          </w:p>
        </w:tc>
      </w:tr>
      <w:tr w:rsidR="000E1E68" w:rsidRPr="00316650" w14:paraId="75AF3046" w14:textId="77777777" w:rsidTr="007E7D6A">
        <w:trPr>
          <w:tblCellSpacing w:w="15" w:type="dxa"/>
        </w:trPr>
        <w:tc>
          <w:tcPr>
            <w:tcW w:w="1545" w:type="dxa"/>
            <w:tcBorders>
              <w:top w:val="outset" w:sz="6" w:space="0" w:color="auto"/>
              <w:left w:val="outset" w:sz="6" w:space="0" w:color="auto"/>
              <w:bottom w:val="outset" w:sz="6" w:space="0" w:color="auto"/>
              <w:right w:val="outset" w:sz="6" w:space="0" w:color="auto"/>
            </w:tcBorders>
            <w:hideMark/>
          </w:tcPr>
          <w:p w14:paraId="07057E9C" w14:textId="77777777" w:rsidR="00A6353B" w:rsidRPr="00316650" w:rsidRDefault="00A6353B" w:rsidP="007E7D6A">
            <w:pPr>
              <w:spacing w:line="256" w:lineRule="auto"/>
              <w:rPr>
                <w:rFonts w:ascii="Times New Roman" w:hAnsi="Times New Roman" w:cs="Times New Roman"/>
                <w:iCs/>
                <w:sz w:val="24"/>
                <w:szCs w:val="24"/>
              </w:rPr>
            </w:pPr>
            <w:r w:rsidRPr="00316650">
              <w:rPr>
                <w:rFonts w:ascii="Times New Roman" w:hAnsi="Times New Roman" w:cs="Times New Roman"/>
                <w:iCs/>
                <w:sz w:val="24"/>
                <w:szCs w:val="24"/>
              </w:rPr>
              <w:lastRenderedPageBreak/>
              <w:t>3. Finansiālā ietekme</w:t>
            </w:r>
          </w:p>
        </w:tc>
        <w:tc>
          <w:tcPr>
            <w:tcW w:w="986" w:type="dxa"/>
            <w:tcBorders>
              <w:top w:val="outset" w:sz="6" w:space="0" w:color="auto"/>
              <w:left w:val="outset" w:sz="6" w:space="0" w:color="auto"/>
              <w:bottom w:val="outset" w:sz="6" w:space="0" w:color="auto"/>
              <w:right w:val="outset" w:sz="6" w:space="0" w:color="auto"/>
            </w:tcBorders>
            <w:vAlign w:val="center"/>
            <w:hideMark/>
          </w:tcPr>
          <w:p w14:paraId="78D6D0DA"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987" w:type="dxa"/>
            <w:tcBorders>
              <w:top w:val="outset" w:sz="6" w:space="0" w:color="auto"/>
              <w:left w:val="outset" w:sz="6" w:space="0" w:color="auto"/>
              <w:bottom w:val="outset" w:sz="6" w:space="0" w:color="auto"/>
              <w:right w:val="outset" w:sz="6" w:space="0" w:color="auto"/>
            </w:tcBorders>
            <w:vAlign w:val="center"/>
            <w:hideMark/>
          </w:tcPr>
          <w:p w14:paraId="64174583"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vAlign w:val="center"/>
            <w:hideMark/>
          </w:tcPr>
          <w:p w14:paraId="6BD2986A" w14:textId="77777777" w:rsidR="00A6353B" w:rsidRPr="00316650" w:rsidRDefault="00A6353B" w:rsidP="007E7D6A">
            <w:pPr>
              <w:spacing w:line="256" w:lineRule="auto"/>
              <w:jc w:val="center"/>
              <w:rPr>
                <w:rFonts w:ascii="Times New Roman" w:hAnsi="Times New Roman" w:cs="Times New Roman"/>
                <w:iCs/>
                <w:sz w:val="24"/>
                <w:szCs w:val="24"/>
                <w:highlight w:val="yellow"/>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hideMark/>
          </w:tcPr>
          <w:p w14:paraId="092E14F2"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 xml:space="preserve">Nav precīzi </w:t>
            </w:r>
            <w:proofErr w:type="spellStart"/>
            <w:r w:rsidRPr="00316650">
              <w:rPr>
                <w:rFonts w:ascii="Times New Roman" w:hAnsi="Times New Roman" w:cs="Times New Roman"/>
                <w:iCs/>
                <w:sz w:val="24"/>
                <w:szCs w:val="24"/>
              </w:rPr>
              <w:t>aprēķi-nāms</w:t>
            </w:r>
            <w:proofErr w:type="spellEnd"/>
          </w:p>
        </w:tc>
        <w:tc>
          <w:tcPr>
            <w:tcW w:w="1133" w:type="dxa"/>
            <w:tcBorders>
              <w:top w:val="outset" w:sz="6" w:space="0" w:color="auto"/>
              <w:left w:val="outset" w:sz="6" w:space="0" w:color="auto"/>
              <w:bottom w:val="outset" w:sz="6" w:space="0" w:color="auto"/>
              <w:right w:val="outset" w:sz="6" w:space="0" w:color="auto"/>
            </w:tcBorders>
            <w:vAlign w:val="center"/>
            <w:hideMark/>
          </w:tcPr>
          <w:p w14:paraId="47E633E6" w14:textId="77777777" w:rsidR="00A6353B" w:rsidRPr="00316650" w:rsidRDefault="00A6353B" w:rsidP="007E7D6A">
            <w:pPr>
              <w:spacing w:line="256" w:lineRule="auto"/>
              <w:jc w:val="center"/>
              <w:rPr>
                <w:rFonts w:ascii="Times New Roman" w:hAnsi="Times New Roman" w:cs="Times New Roman"/>
                <w:iCs/>
                <w:sz w:val="24"/>
                <w:szCs w:val="24"/>
                <w:highlight w:val="yellow"/>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hideMark/>
          </w:tcPr>
          <w:p w14:paraId="6561C9EE"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 xml:space="preserve">Nav precīzi </w:t>
            </w:r>
            <w:proofErr w:type="spellStart"/>
            <w:r w:rsidRPr="00316650">
              <w:rPr>
                <w:rFonts w:ascii="Times New Roman" w:hAnsi="Times New Roman" w:cs="Times New Roman"/>
                <w:iCs/>
                <w:sz w:val="24"/>
                <w:szCs w:val="24"/>
              </w:rPr>
              <w:t>aprēķi-nāms</w:t>
            </w:r>
            <w:proofErr w:type="spellEnd"/>
          </w:p>
        </w:tc>
        <w:tc>
          <w:tcPr>
            <w:tcW w:w="744" w:type="dxa"/>
            <w:tcBorders>
              <w:top w:val="outset" w:sz="6" w:space="0" w:color="auto"/>
              <w:left w:val="outset" w:sz="6" w:space="0" w:color="auto"/>
              <w:bottom w:val="outset" w:sz="6" w:space="0" w:color="auto"/>
              <w:right w:val="outset" w:sz="6" w:space="0" w:color="auto"/>
            </w:tcBorders>
            <w:hideMark/>
          </w:tcPr>
          <w:p w14:paraId="738CA552"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 xml:space="preserve">Nav precīzi </w:t>
            </w:r>
            <w:proofErr w:type="spellStart"/>
            <w:r w:rsidRPr="00316650">
              <w:rPr>
                <w:rFonts w:ascii="Times New Roman" w:hAnsi="Times New Roman" w:cs="Times New Roman"/>
                <w:iCs/>
                <w:sz w:val="24"/>
                <w:szCs w:val="24"/>
              </w:rPr>
              <w:t>aprēķi-nāms</w:t>
            </w:r>
            <w:proofErr w:type="spellEnd"/>
          </w:p>
        </w:tc>
      </w:tr>
      <w:tr w:rsidR="000E1E68" w:rsidRPr="00316650" w14:paraId="5933ED73" w14:textId="77777777" w:rsidTr="007E7D6A">
        <w:trPr>
          <w:tblCellSpacing w:w="15" w:type="dxa"/>
        </w:trPr>
        <w:tc>
          <w:tcPr>
            <w:tcW w:w="1545" w:type="dxa"/>
            <w:tcBorders>
              <w:top w:val="outset" w:sz="6" w:space="0" w:color="auto"/>
              <w:left w:val="outset" w:sz="6" w:space="0" w:color="auto"/>
              <w:bottom w:val="outset" w:sz="6" w:space="0" w:color="auto"/>
              <w:right w:val="outset" w:sz="6" w:space="0" w:color="auto"/>
            </w:tcBorders>
            <w:hideMark/>
          </w:tcPr>
          <w:p w14:paraId="5CDBE670" w14:textId="77777777" w:rsidR="00A6353B" w:rsidRPr="00316650" w:rsidRDefault="00A6353B" w:rsidP="007E7D6A">
            <w:pPr>
              <w:spacing w:line="256" w:lineRule="auto"/>
              <w:rPr>
                <w:rFonts w:ascii="Times New Roman" w:hAnsi="Times New Roman" w:cs="Times New Roman"/>
                <w:iCs/>
                <w:sz w:val="24"/>
                <w:szCs w:val="24"/>
              </w:rPr>
            </w:pPr>
            <w:r w:rsidRPr="00316650">
              <w:rPr>
                <w:rFonts w:ascii="Times New Roman" w:hAnsi="Times New Roman" w:cs="Times New Roman"/>
                <w:iCs/>
                <w:sz w:val="24"/>
                <w:szCs w:val="24"/>
              </w:rPr>
              <w:t>3.1. valsts pamatbudžets</w:t>
            </w:r>
          </w:p>
        </w:tc>
        <w:tc>
          <w:tcPr>
            <w:tcW w:w="986" w:type="dxa"/>
            <w:tcBorders>
              <w:top w:val="outset" w:sz="6" w:space="0" w:color="auto"/>
              <w:left w:val="outset" w:sz="6" w:space="0" w:color="auto"/>
              <w:bottom w:val="outset" w:sz="6" w:space="0" w:color="auto"/>
              <w:right w:val="outset" w:sz="6" w:space="0" w:color="auto"/>
            </w:tcBorders>
            <w:vAlign w:val="center"/>
            <w:hideMark/>
          </w:tcPr>
          <w:p w14:paraId="7B243E03"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987" w:type="dxa"/>
            <w:tcBorders>
              <w:top w:val="outset" w:sz="6" w:space="0" w:color="auto"/>
              <w:left w:val="outset" w:sz="6" w:space="0" w:color="auto"/>
              <w:bottom w:val="outset" w:sz="6" w:space="0" w:color="auto"/>
              <w:right w:val="outset" w:sz="6" w:space="0" w:color="auto"/>
            </w:tcBorders>
            <w:vAlign w:val="center"/>
            <w:hideMark/>
          </w:tcPr>
          <w:p w14:paraId="386BE570"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hideMark/>
          </w:tcPr>
          <w:p w14:paraId="1E4DC657"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hideMark/>
          </w:tcPr>
          <w:p w14:paraId="28BECA7A"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 xml:space="preserve">Nav precīzi </w:t>
            </w:r>
            <w:proofErr w:type="spellStart"/>
            <w:r w:rsidRPr="00316650">
              <w:rPr>
                <w:rFonts w:ascii="Times New Roman" w:hAnsi="Times New Roman" w:cs="Times New Roman"/>
                <w:iCs/>
                <w:sz w:val="24"/>
                <w:szCs w:val="24"/>
              </w:rPr>
              <w:t>aprēķi-nāms</w:t>
            </w:r>
            <w:proofErr w:type="spellEnd"/>
          </w:p>
        </w:tc>
        <w:tc>
          <w:tcPr>
            <w:tcW w:w="1133" w:type="dxa"/>
            <w:tcBorders>
              <w:top w:val="outset" w:sz="6" w:space="0" w:color="auto"/>
              <w:left w:val="outset" w:sz="6" w:space="0" w:color="auto"/>
              <w:bottom w:val="outset" w:sz="6" w:space="0" w:color="auto"/>
              <w:right w:val="outset" w:sz="6" w:space="0" w:color="auto"/>
            </w:tcBorders>
            <w:hideMark/>
          </w:tcPr>
          <w:p w14:paraId="3A6A801D"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hideMark/>
          </w:tcPr>
          <w:p w14:paraId="22C1B18D"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 xml:space="preserve">Nav precīzi </w:t>
            </w:r>
            <w:proofErr w:type="spellStart"/>
            <w:r w:rsidRPr="00316650">
              <w:rPr>
                <w:rFonts w:ascii="Times New Roman" w:hAnsi="Times New Roman" w:cs="Times New Roman"/>
                <w:iCs/>
                <w:sz w:val="24"/>
                <w:szCs w:val="24"/>
              </w:rPr>
              <w:t>aprēķi-nāms</w:t>
            </w:r>
            <w:proofErr w:type="spellEnd"/>
          </w:p>
        </w:tc>
        <w:tc>
          <w:tcPr>
            <w:tcW w:w="744" w:type="dxa"/>
            <w:tcBorders>
              <w:top w:val="outset" w:sz="6" w:space="0" w:color="auto"/>
              <w:left w:val="outset" w:sz="6" w:space="0" w:color="auto"/>
              <w:bottom w:val="outset" w:sz="6" w:space="0" w:color="auto"/>
              <w:right w:val="outset" w:sz="6" w:space="0" w:color="auto"/>
            </w:tcBorders>
            <w:hideMark/>
          </w:tcPr>
          <w:p w14:paraId="7BC53FF7"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 xml:space="preserve">Nav precīzi </w:t>
            </w:r>
            <w:proofErr w:type="spellStart"/>
            <w:r w:rsidRPr="00316650">
              <w:rPr>
                <w:rFonts w:ascii="Times New Roman" w:hAnsi="Times New Roman" w:cs="Times New Roman"/>
                <w:iCs/>
                <w:sz w:val="24"/>
                <w:szCs w:val="24"/>
              </w:rPr>
              <w:t>aprēķi-nāms</w:t>
            </w:r>
            <w:proofErr w:type="spellEnd"/>
          </w:p>
        </w:tc>
      </w:tr>
      <w:tr w:rsidR="000E1E68" w:rsidRPr="00316650" w14:paraId="44854855" w14:textId="77777777" w:rsidTr="007E7D6A">
        <w:trPr>
          <w:tblCellSpacing w:w="15" w:type="dxa"/>
        </w:trPr>
        <w:tc>
          <w:tcPr>
            <w:tcW w:w="1545" w:type="dxa"/>
            <w:tcBorders>
              <w:top w:val="outset" w:sz="6" w:space="0" w:color="auto"/>
              <w:left w:val="outset" w:sz="6" w:space="0" w:color="auto"/>
              <w:bottom w:val="outset" w:sz="6" w:space="0" w:color="auto"/>
              <w:right w:val="outset" w:sz="6" w:space="0" w:color="auto"/>
            </w:tcBorders>
            <w:hideMark/>
          </w:tcPr>
          <w:p w14:paraId="38294565" w14:textId="77777777" w:rsidR="00A6353B" w:rsidRPr="00316650" w:rsidRDefault="00A6353B" w:rsidP="007E7D6A">
            <w:pPr>
              <w:spacing w:line="256" w:lineRule="auto"/>
              <w:rPr>
                <w:rFonts w:ascii="Times New Roman" w:hAnsi="Times New Roman" w:cs="Times New Roman"/>
                <w:iCs/>
                <w:sz w:val="24"/>
                <w:szCs w:val="24"/>
              </w:rPr>
            </w:pPr>
            <w:r w:rsidRPr="00316650">
              <w:rPr>
                <w:rFonts w:ascii="Times New Roman" w:hAnsi="Times New Roman" w:cs="Times New Roman"/>
                <w:iCs/>
                <w:sz w:val="24"/>
                <w:szCs w:val="24"/>
              </w:rPr>
              <w:t>3.2. speciālais budžets</w:t>
            </w:r>
          </w:p>
        </w:tc>
        <w:tc>
          <w:tcPr>
            <w:tcW w:w="986" w:type="dxa"/>
            <w:tcBorders>
              <w:top w:val="outset" w:sz="6" w:space="0" w:color="auto"/>
              <w:left w:val="outset" w:sz="6" w:space="0" w:color="auto"/>
              <w:bottom w:val="outset" w:sz="6" w:space="0" w:color="auto"/>
              <w:right w:val="outset" w:sz="6" w:space="0" w:color="auto"/>
            </w:tcBorders>
            <w:vAlign w:val="center"/>
            <w:hideMark/>
          </w:tcPr>
          <w:p w14:paraId="22580DC2"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987" w:type="dxa"/>
            <w:tcBorders>
              <w:top w:val="outset" w:sz="6" w:space="0" w:color="auto"/>
              <w:left w:val="outset" w:sz="6" w:space="0" w:color="auto"/>
              <w:bottom w:val="outset" w:sz="6" w:space="0" w:color="auto"/>
              <w:right w:val="outset" w:sz="6" w:space="0" w:color="auto"/>
            </w:tcBorders>
            <w:vAlign w:val="center"/>
            <w:hideMark/>
          </w:tcPr>
          <w:p w14:paraId="27148BB1"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hideMark/>
          </w:tcPr>
          <w:p w14:paraId="5A3FD253"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vAlign w:val="center"/>
            <w:hideMark/>
          </w:tcPr>
          <w:p w14:paraId="5D74AFDD"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vAlign w:val="center"/>
            <w:hideMark/>
          </w:tcPr>
          <w:p w14:paraId="608B98D6"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vAlign w:val="center"/>
            <w:hideMark/>
          </w:tcPr>
          <w:p w14:paraId="667324A1"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744" w:type="dxa"/>
            <w:tcBorders>
              <w:top w:val="outset" w:sz="6" w:space="0" w:color="auto"/>
              <w:left w:val="outset" w:sz="6" w:space="0" w:color="auto"/>
              <w:bottom w:val="outset" w:sz="6" w:space="0" w:color="auto"/>
              <w:right w:val="outset" w:sz="6" w:space="0" w:color="auto"/>
            </w:tcBorders>
            <w:vAlign w:val="center"/>
            <w:hideMark/>
          </w:tcPr>
          <w:p w14:paraId="6A511AFD"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r>
      <w:tr w:rsidR="000E1E68" w:rsidRPr="00316650" w14:paraId="5741A967" w14:textId="77777777" w:rsidTr="007E7D6A">
        <w:trPr>
          <w:tblCellSpacing w:w="15" w:type="dxa"/>
        </w:trPr>
        <w:tc>
          <w:tcPr>
            <w:tcW w:w="1545" w:type="dxa"/>
            <w:tcBorders>
              <w:top w:val="outset" w:sz="6" w:space="0" w:color="auto"/>
              <w:left w:val="outset" w:sz="6" w:space="0" w:color="auto"/>
              <w:bottom w:val="outset" w:sz="6" w:space="0" w:color="auto"/>
              <w:right w:val="outset" w:sz="6" w:space="0" w:color="auto"/>
            </w:tcBorders>
            <w:hideMark/>
          </w:tcPr>
          <w:p w14:paraId="4834B859" w14:textId="77777777" w:rsidR="00A6353B" w:rsidRPr="00316650" w:rsidRDefault="00A6353B" w:rsidP="007E7D6A">
            <w:pPr>
              <w:spacing w:line="256" w:lineRule="auto"/>
              <w:rPr>
                <w:rFonts w:ascii="Times New Roman" w:hAnsi="Times New Roman" w:cs="Times New Roman"/>
                <w:iCs/>
                <w:sz w:val="24"/>
                <w:szCs w:val="24"/>
              </w:rPr>
            </w:pPr>
            <w:r w:rsidRPr="00316650">
              <w:rPr>
                <w:rFonts w:ascii="Times New Roman" w:hAnsi="Times New Roman" w:cs="Times New Roman"/>
                <w:iCs/>
                <w:sz w:val="24"/>
                <w:szCs w:val="24"/>
              </w:rPr>
              <w:t>3.3. pašvaldību budžets</w:t>
            </w:r>
          </w:p>
        </w:tc>
        <w:tc>
          <w:tcPr>
            <w:tcW w:w="986" w:type="dxa"/>
            <w:tcBorders>
              <w:top w:val="outset" w:sz="6" w:space="0" w:color="auto"/>
              <w:left w:val="outset" w:sz="6" w:space="0" w:color="auto"/>
              <w:bottom w:val="outset" w:sz="6" w:space="0" w:color="auto"/>
              <w:right w:val="outset" w:sz="6" w:space="0" w:color="auto"/>
            </w:tcBorders>
            <w:vAlign w:val="center"/>
            <w:hideMark/>
          </w:tcPr>
          <w:p w14:paraId="29911583"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987" w:type="dxa"/>
            <w:tcBorders>
              <w:top w:val="outset" w:sz="6" w:space="0" w:color="auto"/>
              <w:left w:val="outset" w:sz="6" w:space="0" w:color="auto"/>
              <w:bottom w:val="outset" w:sz="6" w:space="0" w:color="auto"/>
              <w:right w:val="outset" w:sz="6" w:space="0" w:color="auto"/>
            </w:tcBorders>
            <w:vAlign w:val="center"/>
            <w:hideMark/>
          </w:tcPr>
          <w:p w14:paraId="3DF2FAA3"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vAlign w:val="center"/>
            <w:hideMark/>
          </w:tcPr>
          <w:p w14:paraId="2D8613F6" w14:textId="77777777" w:rsidR="00A6353B" w:rsidRPr="00316650" w:rsidRDefault="00A6353B" w:rsidP="007E7D6A">
            <w:pPr>
              <w:spacing w:line="256" w:lineRule="auto"/>
              <w:jc w:val="center"/>
              <w:rPr>
                <w:rFonts w:ascii="Times New Roman" w:hAnsi="Times New Roman" w:cs="Times New Roman"/>
                <w:iCs/>
                <w:sz w:val="24"/>
                <w:szCs w:val="24"/>
                <w:highlight w:val="yellow"/>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hideMark/>
          </w:tcPr>
          <w:p w14:paraId="0BB8888E"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 xml:space="preserve">Nav precīzi </w:t>
            </w:r>
            <w:proofErr w:type="spellStart"/>
            <w:r w:rsidRPr="00316650">
              <w:rPr>
                <w:rFonts w:ascii="Times New Roman" w:hAnsi="Times New Roman" w:cs="Times New Roman"/>
                <w:iCs/>
                <w:sz w:val="24"/>
                <w:szCs w:val="24"/>
              </w:rPr>
              <w:t>aprēķi-nāms</w:t>
            </w:r>
            <w:proofErr w:type="spellEnd"/>
          </w:p>
        </w:tc>
        <w:tc>
          <w:tcPr>
            <w:tcW w:w="1133" w:type="dxa"/>
            <w:tcBorders>
              <w:top w:val="outset" w:sz="6" w:space="0" w:color="auto"/>
              <w:left w:val="outset" w:sz="6" w:space="0" w:color="auto"/>
              <w:bottom w:val="outset" w:sz="6" w:space="0" w:color="auto"/>
              <w:right w:val="outset" w:sz="6" w:space="0" w:color="auto"/>
            </w:tcBorders>
            <w:vAlign w:val="center"/>
            <w:hideMark/>
          </w:tcPr>
          <w:p w14:paraId="415B6E4D" w14:textId="77777777" w:rsidR="00A6353B" w:rsidRPr="00316650" w:rsidRDefault="00A6353B" w:rsidP="007E7D6A">
            <w:pPr>
              <w:spacing w:line="256" w:lineRule="auto"/>
              <w:jc w:val="center"/>
              <w:rPr>
                <w:rFonts w:ascii="Times New Roman" w:hAnsi="Times New Roman" w:cs="Times New Roman"/>
                <w:iCs/>
                <w:sz w:val="24"/>
                <w:szCs w:val="24"/>
                <w:highlight w:val="yellow"/>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hideMark/>
          </w:tcPr>
          <w:p w14:paraId="6BA35B15"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 xml:space="preserve">Nav precīzi </w:t>
            </w:r>
            <w:proofErr w:type="spellStart"/>
            <w:r w:rsidRPr="00316650">
              <w:rPr>
                <w:rFonts w:ascii="Times New Roman" w:hAnsi="Times New Roman" w:cs="Times New Roman"/>
                <w:iCs/>
                <w:sz w:val="24"/>
                <w:szCs w:val="24"/>
              </w:rPr>
              <w:t>aprēķi-nāms</w:t>
            </w:r>
            <w:proofErr w:type="spellEnd"/>
          </w:p>
        </w:tc>
        <w:tc>
          <w:tcPr>
            <w:tcW w:w="744" w:type="dxa"/>
            <w:tcBorders>
              <w:top w:val="outset" w:sz="6" w:space="0" w:color="auto"/>
              <w:left w:val="outset" w:sz="6" w:space="0" w:color="auto"/>
              <w:bottom w:val="outset" w:sz="6" w:space="0" w:color="auto"/>
              <w:right w:val="outset" w:sz="6" w:space="0" w:color="auto"/>
            </w:tcBorders>
            <w:hideMark/>
          </w:tcPr>
          <w:p w14:paraId="74EA3008"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 xml:space="preserve">Nav precīzi </w:t>
            </w:r>
            <w:proofErr w:type="spellStart"/>
            <w:r w:rsidRPr="00316650">
              <w:rPr>
                <w:rFonts w:ascii="Times New Roman" w:hAnsi="Times New Roman" w:cs="Times New Roman"/>
                <w:iCs/>
                <w:sz w:val="24"/>
                <w:szCs w:val="24"/>
              </w:rPr>
              <w:t>aprēķi-nāms</w:t>
            </w:r>
            <w:proofErr w:type="spellEnd"/>
          </w:p>
        </w:tc>
      </w:tr>
      <w:tr w:rsidR="000E1E68" w:rsidRPr="00316650" w14:paraId="31B39715" w14:textId="77777777" w:rsidTr="007E7D6A">
        <w:trPr>
          <w:tblCellSpacing w:w="15" w:type="dxa"/>
        </w:trPr>
        <w:tc>
          <w:tcPr>
            <w:tcW w:w="1545" w:type="dxa"/>
            <w:tcBorders>
              <w:top w:val="outset" w:sz="6" w:space="0" w:color="auto"/>
              <w:left w:val="outset" w:sz="6" w:space="0" w:color="auto"/>
              <w:bottom w:val="outset" w:sz="6" w:space="0" w:color="auto"/>
              <w:right w:val="outset" w:sz="6" w:space="0" w:color="auto"/>
            </w:tcBorders>
            <w:hideMark/>
          </w:tcPr>
          <w:p w14:paraId="0D0CB00F" w14:textId="77777777" w:rsidR="00A6353B" w:rsidRPr="00316650" w:rsidRDefault="00A6353B" w:rsidP="007E7D6A">
            <w:pPr>
              <w:spacing w:line="256" w:lineRule="auto"/>
              <w:rPr>
                <w:rFonts w:ascii="Times New Roman" w:hAnsi="Times New Roman" w:cs="Times New Roman"/>
                <w:iCs/>
                <w:sz w:val="24"/>
                <w:szCs w:val="24"/>
              </w:rPr>
            </w:pPr>
            <w:r w:rsidRPr="00316650">
              <w:rPr>
                <w:rFonts w:ascii="Times New Roman" w:hAnsi="Times New Roman" w:cs="Times New Roman"/>
                <w:iCs/>
                <w:sz w:val="24"/>
                <w:szCs w:val="24"/>
              </w:rPr>
              <w:t>4. Finanšu līdzekļi papildu izdevumu finansēšanai (kompensējošu izdevumu samazinājumu norāda ar "+" zīmi)</w:t>
            </w:r>
          </w:p>
        </w:tc>
        <w:tc>
          <w:tcPr>
            <w:tcW w:w="986" w:type="dxa"/>
            <w:tcBorders>
              <w:top w:val="outset" w:sz="6" w:space="0" w:color="auto"/>
              <w:left w:val="outset" w:sz="6" w:space="0" w:color="auto"/>
              <w:bottom w:val="outset" w:sz="6" w:space="0" w:color="auto"/>
              <w:right w:val="outset" w:sz="6" w:space="0" w:color="auto"/>
            </w:tcBorders>
            <w:vAlign w:val="center"/>
            <w:hideMark/>
          </w:tcPr>
          <w:p w14:paraId="3ACAE88C"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X</w:t>
            </w:r>
          </w:p>
        </w:tc>
        <w:tc>
          <w:tcPr>
            <w:tcW w:w="987" w:type="dxa"/>
            <w:tcBorders>
              <w:top w:val="outset" w:sz="6" w:space="0" w:color="auto"/>
              <w:left w:val="outset" w:sz="6" w:space="0" w:color="auto"/>
              <w:bottom w:val="outset" w:sz="6" w:space="0" w:color="auto"/>
              <w:right w:val="outset" w:sz="6" w:space="0" w:color="auto"/>
            </w:tcBorders>
            <w:vAlign w:val="center"/>
            <w:hideMark/>
          </w:tcPr>
          <w:p w14:paraId="15480613"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1133" w:type="dxa"/>
            <w:tcBorders>
              <w:top w:val="outset" w:sz="6" w:space="0" w:color="auto"/>
              <w:left w:val="outset" w:sz="6" w:space="0" w:color="auto"/>
              <w:bottom w:val="outset" w:sz="6" w:space="0" w:color="auto"/>
              <w:right w:val="outset" w:sz="6" w:space="0" w:color="auto"/>
            </w:tcBorders>
            <w:vAlign w:val="center"/>
            <w:hideMark/>
          </w:tcPr>
          <w:p w14:paraId="071DB7C2" w14:textId="77777777" w:rsidR="00A6353B" w:rsidRPr="00316650" w:rsidRDefault="00A6353B" w:rsidP="007E7D6A">
            <w:pPr>
              <w:spacing w:line="256" w:lineRule="auto"/>
              <w:jc w:val="center"/>
              <w:rPr>
                <w:rFonts w:ascii="Times New Roman" w:hAnsi="Times New Roman" w:cs="Times New Roman"/>
                <w:iCs/>
                <w:sz w:val="24"/>
                <w:szCs w:val="24"/>
                <w:highlight w:val="yellow"/>
              </w:rPr>
            </w:pPr>
            <w:r w:rsidRPr="00316650">
              <w:rPr>
                <w:rFonts w:ascii="Times New Roman" w:hAnsi="Times New Roman" w:cs="Times New Roman"/>
                <w:iCs/>
                <w:sz w:val="24"/>
                <w:szCs w:val="24"/>
              </w:rPr>
              <w:t>X</w:t>
            </w:r>
          </w:p>
        </w:tc>
        <w:tc>
          <w:tcPr>
            <w:tcW w:w="1133" w:type="dxa"/>
            <w:tcBorders>
              <w:top w:val="outset" w:sz="6" w:space="0" w:color="auto"/>
              <w:left w:val="outset" w:sz="6" w:space="0" w:color="auto"/>
              <w:bottom w:val="outset" w:sz="6" w:space="0" w:color="auto"/>
              <w:right w:val="outset" w:sz="6" w:space="0" w:color="auto"/>
            </w:tcBorders>
            <w:hideMark/>
          </w:tcPr>
          <w:p w14:paraId="1A1F5170"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 xml:space="preserve">Nav precīzi </w:t>
            </w:r>
            <w:proofErr w:type="spellStart"/>
            <w:r w:rsidRPr="00316650">
              <w:rPr>
                <w:rFonts w:ascii="Times New Roman" w:hAnsi="Times New Roman" w:cs="Times New Roman"/>
                <w:iCs/>
                <w:sz w:val="24"/>
                <w:szCs w:val="24"/>
              </w:rPr>
              <w:t>aprēķi-nāms</w:t>
            </w:r>
            <w:proofErr w:type="spellEnd"/>
          </w:p>
        </w:tc>
        <w:tc>
          <w:tcPr>
            <w:tcW w:w="1133" w:type="dxa"/>
            <w:tcBorders>
              <w:top w:val="outset" w:sz="6" w:space="0" w:color="auto"/>
              <w:left w:val="outset" w:sz="6" w:space="0" w:color="auto"/>
              <w:bottom w:val="outset" w:sz="6" w:space="0" w:color="auto"/>
              <w:right w:val="outset" w:sz="6" w:space="0" w:color="auto"/>
            </w:tcBorders>
            <w:vAlign w:val="center"/>
            <w:hideMark/>
          </w:tcPr>
          <w:p w14:paraId="3E8405DC" w14:textId="77777777" w:rsidR="00A6353B" w:rsidRPr="00316650" w:rsidRDefault="00A6353B" w:rsidP="007E7D6A">
            <w:pPr>
              <w:spacing w:line="256" w:lineRule="auto"/>
              <w:jc w:val="center"/>
              <w:rPr>
                <w:rFonts w:ascii="Times New Roman" w:hAnsi="Times New Roman" w:cs="Times New Roman"/>
                <w:iCs/>
                <w:sz w:val="24"/>
                <w:szCs w:val="24"/>
                <w:highlight w:val="yellow"/>
              </w:rPr>
            </w:pPr>
            <w:r w:rsidRPr="00316650">
              <w:rPr>
                <w:rFonts w:ascii="Times New Roman" w:hAnsi="Times New Roman" w:cs="Times New Roman"/>
                <w:iCs/>
                <w:sz w:val="24"/>
                <w:szCs w:val="24"/>
              </w:rPr>
              <w:t>X</w:t>
            </w:r>
          </w:p>
        </w:tc>
        <w:tc>
          <w:tcPr>
            <w:tcW w:w="1133" w:type="dxa"/>
            <w:tcBorders>
              <w:top w:val="outset" w:sz="6" w:space="0" w:color="auto"/>
              <w:left w:val="outset" w:sz="6" w:space="0" w:color="auto"/>
              <w:bottom w:val="outset" w:sz="6" w:space="0" w:color="auto"/>
              <w:right w:val="outset" w:sz="6" w:space="0" w:color="auto"/>
            </w:tcBorders>
            <w:hideMark/>
          </w:tcPr>
          <w:p w14:paraId="69E1B065"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 xml:space="preserve">Nav precīzi </w:t>
            </w:r>
            <w:proofErr w:type="spellStart"/>
            <w:r w:rsidRPr="00316650">
              <w:rPr>
                <w:rFonts w:ascii="Times New Roman" w:hAnsi="Times New Roman" w:cs="Times New Roman"/>
                <w:iCs/>
                <w:sz w:val="24"/>
                <w:szCs w:val="24"/>
              </w:rPr>
              <w:t>aprēķi-nāms</w:t>
            </w:r>
            <w:proofErr w:type="spellEnd"/>
          </w:p>
        </w:tc>
        <w:tc>
          <w:tcPr>
            <w:tcW w:w="744" w:type="dxa"/>
            <w:tcBorders>
              <w:top w:val="outset" w:sz="6" w:space="0" w:color="auto"/>
              <w:left w:val="outset" w:sz="6" w:space="0" w:color="auto"/>
              <w:bottom w:val="outset" w:sz="6" w:space="0" w:color="auto"/>
              <w:right w:val="outset" w:sz="6" w:space="0" w:color="auto"/>
            </w:tcBorders>
            <w:hideMark/>
          </w:tcPr>
          <w:p w14:paraId="12390CFA"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 xml:space="preserve">Nav precīzi </w:t>
            </w:r>
            <w:proofErr w:type="spellStart"/>
            <w:r w:rsidRPr="00316650">
              <w:rPr>
                <w:rFonts w:ascii="Times New Roman" w:hAnsi="Times New Roman" w:cs="Times New Roman"/>
                <w:iCs/>
                <w:sz w:val="24"/>
                <w:szCs w:val="24"/>
              </w:rPr>
              <w:t>aprēķi-nāms</w:t>
            </w:r>
            <w:proofErr w:type="spellEnd"/>
          </w:p>
        </w:tc>
      </w:tr>
      <w:tr w:rsidR="000E1E68" w:rsidRPr="00316650" w14:paraId="551AF247" w14:textId="77777777" w:rsidTr="007E7D6A">
        <w:trPr>
          <w:tblCellSpacing w:w="15" w:type="dxa"/>
        </w:trPr>
        <w:tc>
          <w:tcPr>
            <w:tcW w:w="1545" w:type="dxa"/>
            <w:tcBorders>
              <w:top w:val="outset" w:sz="6" w:space="0" w:color="auto"/>
              <w:left w:val="outset" w:sz="6" w:space="0" w:color="auto"/>
              <w:bottom w:val="outset" w:sz="6" w:space="0" w:color="auto"/>
              <w:right w:val="outset" w:sz="6" w:space="0" w:color="auto"/>
            </w:tcBorders>
            <w:hideMark/>
          </w:tcPr>
          <w:p w14:paraId="51B7C650" w14:textId="77777777" w:rsidR="00A6353B" w:rsidRPr="00316650" w:rsidRDefault="00A6353B" w:rsidP="007E7D6A">
            <w:pPr>
              <w:spacing w:line="256" w:lineRule="auto"/>
              <w:rPr>
                <w:rFonts w:ascii="Times New Roman" w:hAnsi="Times New Roman" w:cs="Times New Roman"/>
                <w:iCs/>
                <w:sz w:val="24"/>
                <w:szCs w:val="24"/>
              </w:rPr>
            </w:pPr>
            <w:r w:rsidRPr="00316650">
              <w:rPr>
                <w:rFonts w:ascii="Times New Roman" w:hAnsi="Times New Roman" w:cs="Times New Roman"/>
                <w:iCs/>
                <w:sz w:val="24"/>
                <w:szCs w:val="24"/>
              </w:rPr>
              <w:t>5. Precizēta finansiālā ietekme</w:t>
            </w:r>
          </w:p>
        </w:tc>
        <w:tc>
          <w:tcPr>
            <w:tcW w:w="986" w:type="dxa"/>
            <w:vMerge w:val="restart"/>
            <w:tcBorders>
              <w:top w:val="outset" w:sz="6" w:space="0" w:color="auto"/>
              <w:left w:val="outset" w:sz="6" w:space="0" w:color="auto"/>
              <w:bottom w:val="outset" w:sz="6" w:space="0" w:color="auto"/>
              <w:right w:val="outset" w:sz="6" w:space="0" w:color="auto"/>
            </w:tcBorders>
            <w:vAlign w:val="center"/>
            <w:hideMark/>
          </w:tcPr>
          <w:p w14:paraId="123FC20F"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X</w:t>
            </w:r>
          </w:p>
        </w:tc>
        <w:tc>
          <w:tcPr>
            <w:tcW w:w="987" w:type="dxa"/>
            <w:tcBorders>
              <w:top w:val="outset" w:sz="6" w:space="0" w:color="auto"/>
              <w:left w:val="outset" w:sz="6" w:space="0" w:color="auto"/>
              <w:bottom w:val="outset" w:sz="6" w:space="0" w:color="auto"/>
              <w:right w:val="outset" w:sz="6" w:space="0" w:color="auto"/>
            </w:tcBorders>
            <w:vAlign w:val="center"/>
            <w:hideMark/>
          </w:tcPr>
          <w:p w14:paraId="33046881"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1133" w:type="dxa"/>
            <w:vMerge w:val="restart"/>
            <w:tcBorders>
              <w:top w:val="outset" w:sz="6" w:space="0" w:color="auto"/>
              <w:left w:val="outset" w:sz="6" w:space="0" w:color="auto"/>
              <w:bottom w:val="outset" w:sz="6" w:space="0" w:color="auto"/>
              <w:right w:val="outset" w:sz="6" w:space="0" w:color="auto"/>
            </w:tcBorders>
            <w:vAlign w:val="center"/>
            <w:hideMark/>
          </w:tcPr>
          <w:p w14:paraId="4B29F966" w14:textId="77777777" w:rsidR="00A6353B" w:rsidRPr="00316650" w:rsidRDefault="00A6353B" w:rsidP="007E7D6A">
            <w:pPr>
              <w:spacing w:line="256" w:lineRule="auto"/>
              <w:jc w:val="center"/>
              <w:rPr>
                <w:rFonts w:ascii="Times New Roman" w:hAnsi="Times New Roman" w:cs="Times New Roman"/>
                <w:iCs/>
                <w:sz w:val="24"/>
                <w:szCs w:val="24"/>
                <w:highlight w:val="yellow"/>
              </w:rPr>
            </w:pPr>
            <w:r w:rsidRPr="00316650">
              <w:rPr>
                <w:rFonts w:ascii="Times New Roman" w:hAnsi="Times New Roman" w:cs="Times New Roman"/>
                <w:iCs/>
                <w:sz w:val="24"/>
                <w:szCs w:val="24"/>
              </w:rPr>
              <w:t>X</w:t>
            </w:r>
          </w:p>
        </w:tc>
        <w:tc>
          <w:tcPr>
            <w:tcW w:w="1133" w:type="dxa"/>
            <w:tcBorders>
              <w:top w:val="outset" w:sz="6" w:space="0" w:color="auto"/>
              <w:left w:val="outset" w:sz="6" w:space="0" w:color="auto"/>
              <w:bottom w:val="outset" w:sz="6" w:space="0" w:color="auto"/>
              <w:right w:val="outset" w:sz="6" w:space="0" w:color="auto"/>
            </w:tcBorders>
            <w:vAlign w:val="center"/>
            <w:hideMark/>
          </w:tcPr>
          <w:p w14:paraId="2451A469"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1133" w:type="dxa"/>
            <w:vMerge w:val="restart"/>
            <w:tcBorders>
              <w:top w:val="outset" w:sz="6" w:space="0" w:color="auto"/>
              <w:left w:val="outset" w:sz="6" w:space="0" w:color="auto"/>
              <w:bottom w:val="outset" w:sz="6" w:space="0" w:color="auto"/>
              <w:right w:val="outset" w:sz="6" w:space="0" w:color="auto"/>
            </w:tcBorders>
            <w:vAlign w:val="center"/>
            <w:hideMark/>
          </w:tcPr>
          <w:p w14:paraId="6B1D0843" w14:textId="77777777" w:rsidR="00A6353B" w:rsidRPr="00316650" w:rsidRDefault="00A6353B" w:rsidP="007E7D6A">
            <w:pPr>
              <w:spacing w:line="256" w:lineRule="auto"/>
              <w:jc w:val="center"/>
              <w:rPr>
                <w:rFonts w:ascii="Times New Roman" w:hAnsi="Times New Roman" w:cs="Times New Roman"/>
                <w:iCs/>
                <w:sz w:val="24"/>
                <w:szCs w:val="24"/>
                <w:highlight w:val="yellow"/>
              </w:rPr>
            </w:pPr>
            <w:r w:rsidRPr="00316650">
              <w:rPr>
                <w:rFonts w:ascii="Times New Roman" w:hAnsi="Times New Roman" w:cs="Times New Roman"/>
                <w:iCs/>
                <w:sz w:val="24"/>
                <w:szCs w:val="24"/>
              </w:rPr>
              <w:t>X</w:t>
            </w:r>
          </w:p>
        </w:tc>
        <w:tc>
          <w:tcPr>
            <w:tcW w:w="1133" w:type="dxa"/>
            <w:tcBorders>
              <w:top w:val="outset" w:sz="6" w:space="0" w:color="auto"/>
              <w:left w:val="outset" w:sz="6" w:space="0" w:color="auto"/>
              <w:bottom w:val="outset" w:sz="6" w:space="0" w:color="auto"/>
              <w:right w:val="outset" w:sz="6" w:space="0" w:color="auto"/>
            </w:tcBorders>
            <w:vAlign w:val="center"/>
            <w:hideMark/>
          </w:tcPr>
          <w:p w14:paraId="53D2F46A"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744" w:type="dxa"/>
            <w:tcBorders>
              <w:top w:val="outset" w:sz="6" w:space="0" w:color="auto"/>
              <w:left w:val="outset" w:sz="6" w:space="0" w:color="auto"/>
              <w:bottom w:val="outset" w:sz="6" w:space="0" w:color="auto"/>
              <w:right w:val="outset" w:sz="6" w:space="0" w:color="auto"/>
            </w:tcBorders>
            <w:vAlign w:val="center"/>
            <w:hideMark/>
          </w:tcPr>
          <w:p w14:paraId="5EF76CEF"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r>
      <w:tr w:rsidR="000E1E68" w:rsidRPr="00316650" w14:paraId="2E18B360" w14:textId="77777777" w:rsidTr="007E7D6A">
        <w:trPr>
          <w:tblCellSpacing w:w="15" w:type="dxa"/>
        </w:trPr>
        <w:tc>
          <w:tcPr>
            <w:tcW w:w="1545" w:type="dxa"/>
            <w:tcBorders>
              <w:top w:val="outset" w:sz="6" w:space="0" w:color="auto"/>
              <w:left w:val="outset" w:sz="6" w:space="0" w:color="auto"/>
              <w:bottom w:val="outset" w:sz="6" w:space="0" w:color="auto"/>
              <w:right w:val="outset" w:sz="6" w:space="0" w:color="auto"/>
            </w:tcBorders>
            <w:hideMark/>
          </w:tcPr>
          <w:p w14:paraId="05CD6563" w14:textId="77777777" w:rsidR="00A6353B" w:rsidRPr="00316650" w:rsidRDefault="00A6353B" w:rsidP="007E7D6A">
            <w:pPr>
              <w:spacing w:line="256" w:lineRule="auto"/>
              <w:rPr>
                <w:rFonts w:ascii="Times New Roman" w:hAnsi="Times New Roman" w:cs="Times New Roman"/>
                <w:iCs/>
                <w:sz w:val="24"/>
                <w:szCs w:val="24"/>
              </w:rPr>
            </w:pPr>
            <w:r w:rsidRPr="00316650">
              <w:rPr>
                <w:rFonts w:ascii="Times New Roman" w:hAnsi="Times New Roman" w:cs="Times New Roman"/>
                <w:iCs/>
                <w:sz w:val="24"/>
                <w:szCs w:val="24"/>
              </w:rPr>
              <w:t>5.1. valsts pamatbudžets</w:t>
            </w:r>
          </w:p>
        </w:tc>
        <w:tc>
          <w:tcPr>
            <w:tcW w:w="986" w:type="dxa"/>
            <w:vMerge/>
            <w:tcBorders>
              <w:top w:val="outset" w:sz="6" w:space="0" w:color="auto"/>
              <w:left w:val="outset" w:sz="6" w:space="0" w:color="auto"/>
              <w:bottom w:val="outset" w:sz="6" w:space="0" w:color="auto"/>
              <w:right w:val="outset" w:sz="6" w:space="0" w:color="auto"/>
            </w:tcBorders>
            <w:vAlign w:val="center"/>
            <w:hideMark/>
          </w:tcPr>
          <w:p w14:paraId="33B74767" w14:textId="77777777" w:rsidR="00A6353B" w:rsidRPr="00316650" w:rsidRDefault="00A6353B" w:rsidP="007E7D6A">
            <w:pPr>
              <w:spacing w:line="256" w:lineRule="auto"/>
              <w:rPr>
                <w:rFonts w:ascii="Times New Roman" w:hAnsi="Times New Roman" w:cs="Times New Roman"/>
                <w:iCs/>
                <w:sz w:val="24"/>
                <w:szCs w:val="24"/>
              </w:rPr>
            </w:pPr>
          </w:p>
        </w:tc>
        <w:tc>
          <w:tcPr>
            <w:tcW w:w="987" w:type="dxa"/>
            <w:tcBorders>
              <w:top w:val="outset" w:sz="6" w:space="0" w:color="auto"/>
              <w:left w:val="outset" w:sz="6" w:space="0" w:color="auto"/>
              <w:bottom w:val="outset" w:sz="6" w:space="0" w:color="auto"/>
              <w:right w:val="outset" w:sz="6" w:space="0" w:color="auto"/>
            </w:tcBorders>
            <w:vAlign w:val="center"/>
            <w:hideMark/>
          </w:tcPr>
          <w:p w14:paraId="193B1C5A"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1133" w:type="dxa"/>
            <w:vMerge/>
            <w:tcBorders>
              <w:top w:val="outset" w:sz="6" w:space="0" w:color="auto"/>
              <w:left w:val="outset" w:sz="6" w:space="0" w:color="auto"/>
              <w:bottom w:val="outset" w:sz="6" w:space="0" w:color="auto"/>
              <w:right w:val="outset" w:sz="6" w:space="0" w:color="auto"/>
            </w:tcBorders>
            <w:vAlign w:val="center"/>
            <w:hideMark/>
          </w:tcPr>
          <w:p w14:paraId="0BBB6BAF" w14:textId="77777777" w:rsidR="00A6353B" w:rsidRPr="00316650" w:rsidRDefault="00A6353B" w:rsidP="007E7D6A">
            <w:pPr>
              <w:spacing w:line="256" w:lineRule="auto"/>
              <w:rPr>
                <w:rFonts w:ascii="Times New Roman" w:hAnsi="Times New Roman" w:cs="Times New Roman"/>
                <w:iCs/>
                <w:sz w:val="24"/>
                <w:szCs w:val="24"/>
                <w:highlight w:val="yellow"/>
              </w:rPr>
            </w:pPr>
          </w:p>
        </w:tc>
        <w:tc>
          <w:tcPr>
            <w:tcW w:w="1133" w:type="dxa"/>
            <w:tcBorders>
              <w:top w:val="outset" w:sz="6" w:space="0" w:color="auto"/>
              <w:left w:val="outset" w:sz="6" w:space="0" w:color="auto"/>
              <w:bottom w:val="outset" w:sz="6" w:space="0" w:color="auto"/>
              <w:right w:val="outset" w:sz="6" w:space="0" w:color="auto"/>
            </w:tcBorders>
            <w:vAlign w:val="center"/>
            <w:hideMark/>
          </w:tcPr>
          <w:p w14:paraId="301EDAE3"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1133" w:type="dxa"/>
            <w:vMerge/>
            <w:tcBorders>
              <w:top w:val="outset" w:sz="6" w:space="0" w:color="auto"/>
              <w:left w:val="outset" w:sz="6" w:space="0" w:color="auto"/>
              <w:bottom w:val="outset" w:sz="6" w:space="0" w:color="auto"/>
              <w:right w:val="outset" w:sz="6" w:space="0" w:color="auto"/>
            </w:tcBorders>
            <w:vAlign w:val="center"/>
            <w:hideMark/>
          </w:tcPr>
          <w:p w14:paraId="2AC006CA" w14:textId="77777777" w:rsidR="00A6353B" w:rsidRPr="00316650" w:rsidRDefault="00A6353B" w:rsidP="007E7D6A">
            <w:pPr>
              <w:spacing w:line="256" w:lineRule="auto"/>
              <w:rPr>
                <w:rFonts w:ascii="Times New Roman" w:hAnsi="Times New Roman" w:cs="Times New Roman"/>
                <w:iCs/>
                <w:sz w:val="24"/>
                <w:szCs w:val="24"/>
                <w:highlight w:val="yellow"/>
              </w:rPr>
            </w:pPr>
          </w:p>
        </w:tc>
        <w:tc>
          <w:tcPr>
            <w:tcW w:w="1133" w:type="dxa"/>
            <w:tcBorders>
              <w:top w:val="outset" w:sz="6" w:space="0" w:color="auto"/>
              <w:left w:val="outset" w:sz="6" w:space="0" w:color="auto"/>
              <w:bottom w:val="outset" w:sz="6" w:space="0" w:color="auto"/>
              <w:right w:val="outset" w:sz="6" w:space="0" w:color="auto"/>
            </w:tcBorders>
            <w:vAlign w:val="center"/>
            <w:hideMark/>
          </w:tcPr>
          <w:p w14:paraId="23D1426F"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744" w:type="dxa"/>
            <w:tcBorders>
              <w:top w:val="outset" w:sz="6" w:space="0" w:color="auto"/>
              <w:left w:val="outset" w:sz="6" w:space="0" w:color="auto"/>
              <w:bottom w:val="outset" w:sz="6" w:space="0" w:color="auto"/>
              <w:right w:val="outset" w:sz="6" w:space="0" w:color="auto"/>
            </w:tcBorders>
            <w:vAlign w:val="center"/>
            <w:hideMark/>
          </w:tcPr>
          <w:p w14:paraId="2DEE6801"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r>
      <w:tr w:rsidR="000E1E68" w:rsidRPr="00316650" w14:paraId="631326F4" w14:textId="77777777" w:rsidTr="007E7D6A">
        <w:trPr>
          <w:tblCellSpacing w:w="15" w:type="dxa"/>
        </w:trPr>
        <w:tc>
          <w:tcPr>
            <w:tcW w:w="1545" w:type="dxa"/>
            <w:tcBorders>
              <w:top w:val="outset" w:sz="6" w:space="0" w:color="auto"/>
              <w:left w:val="outset" w:sz="6" w:space="0" w:color="auto"/>
              <w:bottom w:val="outset" w:sz="6" w:space="0" w:color="auto"/>
              <w:right w:val="outset" w:sz="6" w:space="0" w:color="auto"/>
            </w:tcBorders>
            <w:hideMark/>
          </w:tcPr>
          <w:p w14:paraId="04A62885" w14:textId="77777777" w:rsidR="00A6353B" w:rsidRPr="00316650" w:rsidRDefault="00A6353B" w:rsidP="007E7D6A">
            <w:pPr>
              <w:spacing w:line="256" w:lineRule="auto"/>
              <w:rPr>
                <w:rFonts w:ascii="Times New Roman" w:hAnsi="Times New Roman" w:cs="Times New Roman"/>
                <w:iCs/>
                <w:sz w:val="24"/>
                <w:szCs w:val="24"/>
              </w:rPr>
            </w:pPr>
            <w:r w:rsidRPr="00316650">
              <w:rPr>
                <w:rFonts w:ascii="Times New Roman" w:hAnsi="Times New Roman" w:cs="Times New Roman"/>
                <w:iCs/>
                <w:sz w:val="24"/>
                <w:szCs w:val="24"/>
              </w:rPr>
              <w:t>5.2. speciālais budžets</w:t>
            </w:r>
          </w:p>
        </w:tc>
        <w:tc>
          <w:tcPr>
            <w:tcW w:w="986" w:type="dxa"/>
            <w:vMerge/>
            <w:tcBorders>
              <w:top w:val="outset" w:sz="6" w:space="0" w:color="auto"/>
              <w:left w:val="outset" w:sz="6" w:space="0" w:color="auto"/>
              <w:bottom w:val="outset" w:sz="6" w:space="0" w:color="auto"/>
              <w:right w:val="outset" w:sz="6" w:space="0" w:color="auto"/>
            </w:tcBorders>
            <w:vAlign w:val="center"/>
            <w:hideMark/>
          </w:tcPr>
          <w:p w14:paraId="756D2418" w14:textId="77777777" w:rsidR="00A6353B" w:rsidRPr="00316650" w:rsidRDefault="00A6353B" w:rsidP="007E7D6A">
            <w:pPr>
              <w:spacing w:line="256" w:lineRule="auto"/>
              <w:rPr>
                <w:rFonts w:ascii="Times New Roman" w:hAnsi="Times New Roman" w:cs="Times New Roman"/>
                <w:iCs/>
                <w:sz w:val="24"/>
                <w:szCs w:val="24"/>
              </w:rPr>
            </w:pPr>
          </w:p>
        </w:tc>
        <w:tc>
          <w:tcPr>
            <w:tcW w:w="987" w:type="dxa"/>
            <w:tcBorders>
              <w:top w:val="outset" w:sz="6" w:space="0" w:color="auto"/>
              <w:left w:val="outset" w:sz="6" w:space="0" w:color="auto"/>
              <w:bottom w:val="outset" w:sz="6" w:space="0" w:color="auto"/>
              <w:right w:val="outset" w:sz="6" w:space="0" w:color="auto"/>
            </w:tcBorders>
            <w:vAlign w:val="center"/>
            <w:hideMark/>
          </w:tcPr>
          <w:p w14:paraId="770EAC3E"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1133" w:type="dxa"/>
            <w:vMerge/>
            <w:tcBorders>
              <w:top w:val="outset" w:sz="6" w:space="0" w:color="auto"/>
              <w:left w:val="outset" w:sz="6" w:space="0" w:color="auto"/>
              <w:bottom w:val="outset" w:sz="6" w:space="0" w:color="auto"/>
              <w:right w:val="outset" w:sz="6" w:space="0" w:color="auto"/>
            </w:tcBorders>
            <w:vAlign w:val="center"/>
            <w:hideMark/>
          </w:tcPr>
          <w:p w14:paraId="08F2CCB9" w14:textId="77777777" w:rsidR="00A6353B" w:rsidRPr="00316650" w:rsidRDefault="00A6353B" w:rsidP="007E7D6A">
            <w:pPr>
              <w:spacing w:line="256" w:lineRule="auto"/>
              <w:rPr>
                <w:rFonts w:ascii="Times New Roman" w:hAnsi="Times New Roman" w:cs="Times New Roman"/>
                <w:iCs/>
                <w:sz w:val="24"/>
                <w:szCs w:val="24"/>
                <w:highlight w:val="yellow"/>
              </w:rPr>
            </w:pPr>
          </w:p>
        </w:tc>
        <w:tc>
          <w:tcPr>
            <w:tcW w:w="1133" w:type="dxa"/>
            <w:tcBorders>
              <w:top w:val="outset" w:sz="6" w:space="0" w:color="auto"/>
              <w:left w:val="outset" w:sz="6" w:space="0" w:color="auto"/>
              <w:bottom w:val="outset" w:sz="6" w:space="0" w:color="auto"/>
              <w:right w:val="outset" w:sz="6" w:space="0" w:color="auto"/>
            </w:tcBorders>
            <w:vAlign w:val="center"/>
            <w:hideMark/>
          </w:tcPr>
          <w:p w14:paraId="65A494F8"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1133" w:type="dxa"/>
            <w:vMerge/>
            <w:tcBorders>
              <w:top w:val="outset" w:sz="6" w:space="0" w:color="auto"/>
              <w:left w:val="outset" w:sz="6" w:space="0" w:color="auto"/>
              <w:bottom w:val="outset" w:sz="6" w:space="0" w:color="auto"/>
              <w:right w:val="outset" w:sz="6" w:space="0" w:color="auto"/>
            </w:tcBorders>
            <w:vAlign w:val="center"/>
            <w:hideMark/>
          </w:tcPr>
          <w:p w14:paraId="75F3DE09" w14:textId="77777777" w:rsidR="00A6353B" w:rsidRPr="00316650" w:rsidRDefault="00A6353B" w:rsidP="007E7D6A">
            <w:pPr>
              <w:spacing w:line="256" w:lineRule="auto"/>
              <w:rPr>
                <w:rFonts w:ascii="Times New Roman" w:hAnsi="Times New Roman" w:cs="Times New Roman"/>
                <w:iCs/>
                <w:sz w:val="24"/>
                <w:szCs w:val="24"/>
                <w:highlight w:val="yellow"/>
              </w:rPr>
            </w:pPr>
          </w:p>
        </w:tc>
        <w:tc>
          <w:tcPr>
            <w:tcW w:w="1133" w:type="dxa"/>
            <w:tcBorders>
              <w:top w:val="outset" w:sz="6" w:space="0" w:color="auto"/>
              <w:left w:val="outset" w:sz="6" w:space="0" w:color="auto"/>
              <w:bottom w:val="outset" w:sz="6" w:space="0" w:color="auto"/>
              <w:right w:val="outset" w:sz="6" w:space="0" w:color="auto"/>
            </w:tcBorders>
            <w:vAlign w:val="center"/>
            <w:hideMark/>
          </w:tcPr>
          <w:p w14:paraId="2799E759"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744" w:type="dxa"/>
            <w:tcBorders>
              <w:top w:val="outset" w:sz="6" w:space="0" w:color="auto"/>
              <w:left w:val="outset" w:sz="6" w:space="0" w:color="auto"/>
              <w:bottom w:val="outset" w:sz="6" w:space="0" w:color="auto"/>
              <w:right w:val="outset" w:sz="6" w:space="0" w:color="auto"/>
            </w:tcBorders>
            <w:vAlign w:val="center"/>
            <w:hideMark/>
          </w:tcPr>
          <w:p w14:paraId="564D0058"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r>
      <w:tr w:rsidR="000E1E68" w:rsidRPr="00316650" w14:paraId="3ACAEABB" w14:textId="77777777" w:rsidTr="007E7D6A">
        <w:trPr>
          <w:tblCellSpacing w:w="15" w:type="dxa"/>
        </w:trPr>
        <w:tc>
          <w:tcPr>
            <w:tcW w:w="1545" w:type="dxa"/>
            <w:tcBorders>
              <w:top w:val="outset" w:sz="6" w:space="0" w:color="auto"/>
              <w:left w:val="outset" w:sz="6" w:space="0" w:color="auto"/>
              <w:bottom w:val="outset" w:sz="6" w:space="0" w:color="auto"/>
              <w:right w:val="outset" w:sz="6" w:space="0" w:color="auto"/>
            </w:tcBorders>
            <w:hideMark/>
          </w:tcPr>
          <w:p w14:paraId="70CA4990" w14:textId="77777777" w:rsidR="00A6353B" w:rsidRPr="00316650" w:rsidRDefault="00A6353B" w:rsidP="007E7D6A">
            <w:pPr>
              <w:spacing w:line="256" w:lineRule="auto"/>
              <w:rPr>
                <w:rFonts w:ascii="Times New Roman" w:hAnsi="Times New Roman" w:cs="Times New Roman"/>
                <w:iCs/>
                <w:sz w:val="24"/>
                <w:szCs w:val="24"/>
              </w:rPr>
            </w:pPr>
            <w:r w:rsidRPr="00316650">
              <w:rPr>
                <w:rFonts w:ascii="Times New Roman" w:hAnsi="Times New Roman" w:cs="Times New Roman"/>
                <w:iCs/>
                <w:sz w:val="24"/>
                <w:szCs w:val="24"/>
              </w:rPr>
              <w:t>5.3. pašvaldību budžets</w:t>
            </w:r>
          </w:p>
        </w:tc>
        <w:tc>
          <w:tcPr>
            <w:tcW w:w="986" w:type="dxa"/>
            <w:vMerge/>
            <w:tcBorders>
              <w:top w:val="outset" w:sz="6" w:space="0" w:color="auto"/>
              <w:left w:val="outset" w:sz="6" w:space="0" w:color="auto"/>
              <w:bottom w:val="outset" w:sz="6" w:space="0" w:color="auto"/>
              <w:right w:val="outset" w:sz="6" w:space="0" w:color="auto"/>
            </w:tcBorders>
            <w:vAlign w:val="center"/>
            <w:hideMark/>
          </w:tcPr>
          <w:p w14:paraId="1B74FADF" w14:textId="77777777" w:rsidR="00A6353B" w:rsidRPr="00316650" w:rsidRDefault="00A6353B" w:rsidP="007E7D6A">
            <w:pPr>
              <w:spacing w:line="256" w:lineRule="auto"/>
              <w:rPr>
                <w:rFonts w:ascii="Times New Roman" w:hAnsi="Times New Roman" w:cs="Times New Roman"/>
                <w:iCs/>
                <w:sz w:val="24"/>
                <w:szCs w:val="24"/>
              </w:rPr>
            </w:pPr>
          </w:p>
        </w:tc>
        <w:tc>
          <w:tcPr>
            <w:tcW w:w="987" w:type="dxa"/>
            <w:tcBorders>
              <w:top w:val="outset" w:sz="6" w:space="0" w:color="auto"/>
              <w:left w:val="outset" w:sz="6" w:space="0" w:color="auto"/>
              <w:bottom w:val="outset" w:sz="6" w:space="0" w:color="auto"/>
              <w:right w:val="outset" w:sz="6" w:space="0" w:color="auto"/>
            </w:tcBorders>
            <w:vAlign w:val="center"/>
            <w:hideMark/>
          </w:tcPr>
          <w:p w14:paraId="71C903AB"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1133" w:type="dxa"/>
            <w:vMerge/>
            <w:tcBorders>
              <w:top w:val="outset" w:sz="6" w:space="0" w:color="auto"/>
              <w:left w:val="outset" w:sz="6" w:space="0" w:color="auto"/>
              <w:bottom w:val="outset" w:sz="6" w:space="0" w:color="auto"/>
              <w:right w:val="outset" w:sz="6" w:space="0" w:color="auto"/>
            </w:tcBorders>
            <w:vAlign w:val="center"/>
            <w:hideMark/>
          </w:tcPr>
          <w:p w14:paraId="479E9BF9" w14:textId="77777777" w:rsidR="00A6353B" w:rsidRPr="00316650" w:rsidRDefault="00A6353B" w:rsidP="007E7D6A">
            <w:pPr>
              <w:spacing w:line="256" w:lineRule="auto"/>
              <w:rPr>
                <w:rFonts w:ascii="Times New Roman" w:hAnsi="Times New Roman" w:cs="Times New Roman"/>
                <w:iCs/>
                <w:sz w:val="24"/>
                <w:szCs w:val="24"/>
                <w:highlight w:val="yellow"/>
              </w:rPr>
            </w:pPr>
          </w:p>
        </w:tc>
        <w:tc>
          <w:tcPr>
            <w:tcW w:w="1133" w:type="dxa"/>
            <w:tcBorders>
              <w:top w:val="outset" w:sz="6" w:space="0" w:color="auto"/>
              <w:left w:val="outset" w:sz="6" w:space="0" w:color="auto"/>
              <w:bottom w:val="outset" w:sz="6" w:space="0" w:color="auto"/>
              <w:right w:val="outset" w:sz="6" w:space="0" w:color="auto"/>
            </w:tcBorders>
            <w:vAlign w:val="center"/>
            <w:hideMark/>
          </w:tcPr>
          <w:p w14:paraId="2AD28C2E"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1133" w:type="dxa"/>
            <w:vMerge/>
            <w:tcBorders>
              <w:top w:val="outset" w:sz="6" w:space="0" w:color="auto"/>
              <w:left w:val="outset" w:sz="6" w:space="0" w:color="auto"/>
              <w:bottom w:val="outset" w:sz="6" w:space="0" w:color="auto"/>
              <w:right w:val="outset" w:sz="6" w:space="0" w:color="auto"/>
            </w:tcBorders>
            <w:vAlign w:val="center"/>
            <w:hideMark/>
          </w:tcPr>
          <w:p w14:paraId="6A5889B0" w14:textId="77777777" w:rsidR="00A6353B" w:rsidRPr="00316650" w:rsidRDefault="00A6353B" w:rsidP="007E7D6A">
            <w:pPr>
              <w:spacing w:line="256" w:lineRule="auto"/>
              <w:rPr>
                <w:rFonts w:ascii="Times New Roman" w:hAnsi="Times New Roman" w:cs="Times New Roman"/>
                <w:iCs/>
                <w:sz w:val="24"/>
                <w:szCs w:val="24"/>
                <w:highlight w:val="yellow"/>
              </w:rPr>
            </w:pPr>
          </w:p>
        </w:tc>
        <w:tc>
          <w:tcPr>
            <w:tcW w:w="1133" w:type="dxa"/>
            <w:tcBorders>
              <w:top w:val="outset" w:sz="6" w:space="0" w:color="auto"/>
              <w:left w:val="outset" w:sz="6" w:space="0" w:color="auto"/>
              <w:bottom w:val="outset" w:sz="6" w:space="0" w:color="auto"/>
              <w:right w:val="outset" w:sz="6" w:space="0" w:color="auto"/>
            </w:tcBorders>
            <w:vAlign w:val="center"/>
            <w:hideMark/>
          </w:tcPr>
          <w:p w14:paraId="61A721FE"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c>
          <w:tcPr>
            <w:tcW w:w="744" w:type="dxa"/>
            <w:tcBorders>
              <w:top w:val="outset" w:sz="6" w:space="0" w:color="auto"/>
              <w:left w:val="outset" w:sz="6" w:space="0" w:color="auto"/>
              <w:bottom w:val="outset" w:sz="6" w:space="0" w:color="auto"/>
              <w:right w:val="outset" w:sz="6" w:space="0" w:color="auto"/>
            </w:tcBorders>
            <w:vAlign w:val="center"/>
            <w:hideMark/>
          </w:tcPr>
          <w:p w14:paraId="63CFED2E" w14:textId="77777777" w:rsidR="00A6353B" w:rsidRPr="00316650" w:rsidRDefault="00A6353B" w:rsidP="007E7D6A">
            <w:pPr>
              <w:spacing w:line="256" w:lineRule="auto"/>
              <w:jc w:val="center"/>
              <w:rPr>
                <w:rFonts w:ascii="Times New Roman" w:hAnsi="Times New Roman" w:cs="Times New Roman"/>
                <w:iCs/>
                <w:sz w:val="24"/>
                <w:szCs w:val="24"/>
              </w:rPr>
            </w:pPr>
            <w:r w:rsidRPr="00316650">
              <w:rPr>
                <w:rFonts w:ascii="Times New Roman" w:hAnsi="Times New Roman" w:cs="Times New Roman"/>
                <w:iCs/>
                <w:sz w:val="24"/>
                <w:szCs w:val="24"/>
              </w:rPr>
              <w:t>0</w:t>
            </w:r>
          </w:p>
        </w:tc>
      </w:tr>
      <w:tr w:rsidR="000E1E68" w:rsidRPr="00316650" w14:paraId="0610CD44" w14:textId="77777777" w:rsidTr="007E7D6A">
        <w:trPr>
          <w:tblCellSpacing w:w="15" w:type="dxa"/>
        </w:trPr>
        <w:tc>
          <w:tcPr>
            <w:tcW w:w="1545" w:type="dxa"/>
            <w:tcBorders>
              <w:top w:val="outset" w:sz="6" w:space="0" w:color="auto"/>
              <w:left w:val="outset" w:sz="6" w:space="0" w:color="auto"/>
              <w:bottom w:val="outset" w:sz="6" w:space="0" w:color="auto"/>
              <w:right w:val="outset" w:sz="6" w:space="0" w:color="auto"/>
            </w:tcBorders>
            <w:hideMark/>
          </w:tcPr>
          <w:p w14:paraId="159BECCA" w14:textId="77777777" w:rsidR="00A6353B" w:rsidRPr="00316650" w:rsidRDefault="00A6353B" w:rsidP="007E7D6A">
            <w:pPr>
              <w:spacing w:line="256" w:lineRule="auto"/>
              <w:rPr>
                <w:rFonts w:ascii="Times New Roman" w:hAnsi="Times New Roman" w:cs="Times New Roman"/>
                <w:iCs/>
                <w:sz w:val="24"/>
                <w:szCs w:val="24"/>
              </w:rPr>
            </w:pPr>
            <w:r w:rsidRPr="00316650">
              <w:rPr>
                <w:rFonts w:ascii="Times New Roman" w:hAnsi="Times New Roman" w:cs="Times New Roman"/>
                <w:iCs/>
                <w:sz w:val="24"/>
                <w:szCs w:val="24"/>
              </w:rPr>
              <w:t xml:space="preserve">6. Detalizēts ieņēmumu un </w:t>
            </w:r>
            <w:r w:rsidRPr="00316650">
              <w:rPr>
                <w:rFonts w:ascii="Times New Roman" w:hAnsi="Times New Roman" w:cs="Times New Roman"/>
                <w:iCs/>
                <w:sz w:val="24"/>
                <w:szCs w:val="24"/>
              </w:rPr>
              <w:lastRenderedPageBreak/>
              <w:t>izdevumu aprēķins (ja nepieciešams, detalizētu ieņēmumu un izdevumu aprēķinu var pievienot anotācijas pielikumā)</w:t>
            </w:r>
          </w:p>
        </w:tc>
        <w:tc>
          <w:tcPr>
            <w:tcW w:w="7429" w:type="dxa"/>
            <w:gridSpan w:val="7"/>
            <w:vMerge w:val="restart"/>
            <w:tcBorders>
              <w:top w:val="outset" w:sz="6" w:space="0" w:color="auto"/>
              <w:left w:val="outset" w:sz="6" w:space="0" w:color="auto"/>
              <w:bottom w:val="outset" w:sz="6" w:space="0" w:color="auto"/>
              <w:right w:val="outset" w:sz="6" w:space="0" w:color="auto"/>
            </w:tcBorders>
            <w:hideMark/>
          </w:tcPr>
          <w:p w14:paraId="19D7C798" w14:textId="77777777" w:rsidR="00A6353B" w:rsidRPr="00316650" w:rsidRDefault="00A6353B" w:rsidP="007E7D6A">
            <w:pPr>
              <w:spacing w:line="256" w:lineRule="auto"/>
              <w:jc w:val="both"/>
              <w:rPr>
                <w:rFonts w:ascii="Times New Roman" w:hAnsi="Times New Roman" w:cs="Times New Roman"/>
                <w:iCs/>
                <w:sz w:val="24"/>
                <w:szCs w:val="24"/>
              </w:rPr>
            </w:pPr>
            <w:r w:rsidRPr="00316650">
              <w:rPr>
                <w:rFonts w:ascii="Times New Roman" w:hAnsi="Times New Roman" w:cs="Times New Roman"/>
                <w:iCs/>
                <w:sz w:val="24"/>
                <w:szCs w:val="24"/>
              </w:rPr>
              <w:lastRenderedPageBreak/>
              <w:t>Nav precīzi aprēķināms.</w:t>
            </w:r>
          </w:p>
        </w:tc>
      </w:tr>
      <w:tr w:rsidR="000E1E68" w:rsidRPr="00316650" w14:paraId="25C5CC8F" w14:textId="77777777" w:rsidTr="007E7D6A">
        <w:trPr>
          <w:tblCellSpacing w:w="15" w:type="dxa"/>
        </w:trPr>
        <w:tc>
          <w:tcPr>
            <w:tcW w:w="1545" w:type="dxa"/>
            <w:tcBorders>
              <w:top w:val="outset" w:sz="6" w:space="0" w:color="auto"/>
              <w:left w:val="outset" w:sz="6" w:space="0" w:color="auto"/>
              <w:bottom w:val="outset" w:sz="6" w:space="0" w:color="auto"/>
              <w:right w:val="outset" w:sz="6" w:space="0" w:color="auto"/>
            </w:tcBorders>
            <w:hideMark/>
          </w:tcPr>
          <w:p w14:paraId="4D9F6246" w14:textId="77777777" w:rsidR="00A6353B" w:rsidRPr="00316650" w:rsidRDefault="00A6353B" w:rsidP="007E7D6A">
            <w:pPr>
              <w:spacing w:line="256" w:lineRule="auto"/>
              <w:rPr>
                <w:rFonts w:ascii="Times New Roman" w:hAnsi="Times New Roman" w:cs="Times New Roman"/>
                <w:iCs/>
                <w:sz w:val="24"/>
                <w:szCs w:val="24"/>
              </w:rPr>
            </w:pPr>
            <w:r w:rsidRPr="00316650">
              <w:rPr>
                <w:rFonts w:ascii="Times New Roman" w:hAnsi="Times New Roman" w:cs="Times New Roman"/>
                <w:iCs/>
                <w:sz w:val="24"/>
                <w:szCs w:val="24"/>
              </w:rPr>
              <w:t>6.1. detalizēts ieņēmumu aprēķins</w:t>
            </w:r>
          </w:p>
        </w:tc>
        <w:tc>
          <w:tcPr>
            <w:tcW w:w="7429" w:type="dxa"/>
            <w:gridSpan w:val="7"/>
            <w:vMerge/>
            <w:tcBorders>
              <w:top w:val="outset" w:sz="6" w:space="0" w:color="auto"/>
              <w:left w:val="outset" w:sz="6" w:space="0" w:color="auto"/>
              <w:bottom w:val="outset" w:sz="6" w:space="0" w:color="auto"/>
              <w:right w:val="outset" w:sz="6" w:space="0" w:color="auto"/>
            </w:tcBorders>
            <w:vAlign w:val="center"/>
            <w:hideMark/>
          </w:tcPr>
          <w:p w14:paraId="7689F696" w14:textId="77777777" w:rsidR="00A6353B" w:rsidRPr="00316650" w:rsidRDefault="00A6353B" w:rsidP="007E7D6A">
            <w:pPr>
              <w:spacing w:line="256" w:lineRule="auto"/>
              <w:rPr>
                <w:rFonts w:ascii="Times New Roman" w:hAnsi="Times New Roman" w:cs="Times New Roman"/>
                <w:iCs/>
                <w:sz w:val="24"/>
                <w:szCs w:val="24"/>
              </w:rPr>
            </w:pPr>
          </w:p>
        </w:tc>
      </w:tr>
      <w:tr w:rsidR="000E1E68" w:rsidRPr="00316650" w14:paraId="6F07301E" w14:textId="77777777" w:rsidTr="007E7D6A">
        <w:trPr>
          <w:tblCellSpacing w:w="15" w:type="dxa"/>
        </w:trPr>
        <w:tc>
          <w:tcPr>
            <w:tcW w:w="1545" w:type="dxa"/>
            <w:tcBorders>
              <w:top w:val="outset" w:sz="6" w:space="0" w:color="auto"/>
              <w:left w:val="outset" w:sz="6" w:space="0" w:color="auto"/>
              <w:bottom w:val="outset" w:sz="6" w:space="0" w:color="auto"/>
              <w:right w:val="outset" w:sz="6" w:space="0" w:color="auto"/>
            </w:tcBorders>
            <w:hideMark/>
          </w:tcPr>
          <w:p w14:paraId="30454B5D" w14:textId="77777777" w:rsidR="00A6353B" w:rsidRPr="00316650" w:rsidRDefault="00A6353B" w:rsidP="007E7D6A">
            <w:pPr>
              <w:spacing w:line="256" w:lineRule="auto"/>
              <w:rPr>
                <w:rFonts w:ascii="Times New Roman" w:hAnsi="Times New Roman" w:cs="Times New Roman"/>
                <w:iCs/>
                <w:sz w:val="24"/>
                <w:szCs w:val="24"/>
              </w:rPr>
            </w:pPr>
            <w:r w:rsidRPr="00316650">
              <w:rPr>
                <w:rFonts w:ascii="Times New Roman" w:hAnsi="Times New Roman" w:cs="Times New Roman"/>
                <w:iCs/>
                <w:sz w:val="24"/>
                <w:szCs w:val="24"/>
              </w:rPr>
              <w:t>6.2. detalizēts izdevumu aprēķins</w:t>
            </w:r>
          </w:p>
        </w:tc>
        <w:tc>
          <w:tcPr>
            <w:tcW w:w="7429" w:type="dxa"/>
            <w:gridSpan w:val="7"/>
            <w:vMerge/>
            <w:tcBorders>
              <w:top w:val="outset" w:sz="6" w:space="0" w:color="auto"/>
              <w:left w:val="outset" w:sz="6" w:space="0" w:color="auto"/>
              <w:bottom w:val="outset" w:sz="6" w:space="0" w:color="auto"/>
              <w:right w:val="outset" w:sz="6" w:space="0" w:color="auto"/>
            </w:tcBorders>
            <w:vAlign w:val="center"/>
            <w:hideMark/>
          </w:tcPr>
          <w:p w14:paraId="6D68F836" w14:textId="77777777" w:rsidR="00A6353B" w:rsidRPr="00316650" w:rsidRDefault="00A6353B" w:rsidP="007E7D6A">
            <w:pPr>
              <w:spacing w:line="256" w:lineRule="auto"/>
              <w:rPr>
                <w:rFonts w:ascii="Times New Roman" w:hAnsi="Times New Roman" w:cs="Times New Roman"/>
                <w:iCs/>
                <w:sz w:val="24"/>
                <w:szCs w:val="24"/>
              </w:rPr>
            </w:pPr>
          </w:p>
        </w:tc>
      </w:tr>
      <w:tr w:rsidR="000E1E68" w:rsidRPr="00316650" w14:paraId="5C3DC546" w14:textId="77777777" w:rsidTr="007E7D6A">
        <w:trPr>
          <w:tblCellSpacing w:w="15" w:type="dxa"/>
        </w:trPr>
        <w:tc>
          <w:tcPr>
            <w:tcW w:w="1545" w:type="dxa"/>
            <w:tcBorders>
              <w:top w:val="outset" w:sz="6" w:space="0" w:color="auto"/>
              <w:left w:val="outset" w:sz="6" w:space="0" w:color="auto"/>
              <w:bottom w:val="outset" w:sz="6" w:space="0" w:color="auto"/>
              <w:right w:val="outset" w:sz="6" w:space="0" w:color="auto"/>
            </w:tcBorders>
            <w:hideMark/>
          </w:tcPr>
          <w:p w14:paraId="01CDDC86" w14:textId="77777777" w:rsidR="00A6353B" w:rsidRPr="00316650" w:rsidRDefault="00A6353B" w:rsidP="007E7D6A">
            <w:pPr>
              <w:spacing w:line="256" w:lineRule="auto"/>
              <w:rPr>
                <w:rFonts w:ascii="Times New Roman" w:hAnsi="Times New Roman" w:cs="Times New Roman"/>
                <w:iCs/>
                <w:sz w:val="24"/>
                <w:szCs w:val="24"/>
              </w:rPr>
            </w:pPr>
            <w:r w:rsidRPr="00316650">
              <w:rPr>
                <w:rFonts w:ascii="Times New Roman" w:hAnsi="Times New Roman" w:cs="Times New Roman"/>
                <w:iCs/>
                <w:sz w:val="24"/>
                <w:szCs w:val="24"/>
              </w:rPr>
              <w:t>7. Amata vietu skaita izmaiņas</w:t>
            </w:r>
          </w:p>
        </w:tc>
        <w:tc>
          <w:tcPr>
            <w:tcW w:w="7429" w:type="dxa"/>
            <w:gridSpan w:val="7"/>
            <w:tcBorders>
              <w:top w:val="outset" w:sz="6" w:space="0" w:color="auto"/>
              <w:left w:val="outset" w:sz="6" w:space="0" w:color="auto"/>
              <w:bottom w:val="outset" w:sz="6" w:space="0" w:color="auto"/>
              <w:right w:val="outset" w:sz="6" w:space="0" w:color="auto"/>
            </w:tcBorders>
            <w:hideMark/>
          </w:tcPr>
          <w:p w14:paraId="5191AA44" w14:textId="77777777" w:rsidR="00A6353B" w:rsidRPr="00316650" w:rsidRDefault="00A6353B" w:rsidP="007E7D6A">
            <w:pPr>
              <w:spacing w:line="256" w:lineRule="auto"/>
              <w:rPr>
                <w:rFonts w:ascii="Times New Roman" w:hAnsi="Times New Roman" w:cs="Times New Roman"/>
                <w:iCs/>
                <w:sz w:val="24"/>
                <w:szCs w:val="24"/>
              </w:rPr>
            </w:pPr>
            <w:r w:rsidRPr="00316650">
              <w:rPr>
                <w:rFonts w:ascii="Times New Roman" w:hAnsi="Times New Roman" w:cs="Times New Roman"/>
                <w:iCs/>
                <w:sz w:val="24"/>
                <w:szCs w:val="24"/>
              </w:rPr>
              <w:t>Nav.</w:t>
            </w:r>
          </w:p>
        </w:tc>
      </w:tr>
      <w:tr w:rsidR="000E1E68" w:rsidRPr="00316650" w14:paraId="04466B16" w14:textId="77777777" w:rsidTr="007E7D6A">
        <w:trPr>
          <w:trHeight w:val="479"/>
          <w:tblCellSpacing w:w="15" w:type="dxa"/>
        </w:trPr>
        <w:tc>
          <w:tcPr>
            <w:tcW w:w="1545" w:type="dxa"/>
            <w:tcBorders>
              <w:top w:val="outset" w:sz="6" w:space="0" w:color="auto"/>
              <w:left w:val="outset" w:sz="6" w:space="0" w:color="auto"/>
              <w:bottom w:val="outset" w:sz="6" w:space="0" w:color="auto"/>
              <w:right w:val="outset" w:sz="6" w:space="0" w:color="auto"/>
            </w:tcBorders>
            <w:hideMark/>
          </w:tcPr>
          <w:p w14:paraId="48C605B7" w14:textId="77777777" w:rsidR="00A6353B" w:rsidRPr="00316650" w:rsidRDefault="00A6353B" w:rsidP="007E7D6A">
            <w:pPr>
              <w:spacing w:line="256" w:lineRule="auto"/>
              <w:rPr>
                <w:rFonts w:ascii="Times New Roman" w:hAnsi="Times New Roman" w:cs="Times New Roman"/>
                <w:iCs/>
                <w:sz w:val="24"/>
                <w:szCs w:val="24"/>
              </w:rPr>
            </w:pPr>
            <w:r w:rsidRPr="00316650">
              <w:rPr>
                <w:rFonts w:ascii="Times New Roman" w:hAnsi="Times New Roman" w:cs="Times New Roman"/>
                <w:iCs/>
                <w:sz w:val="24"/>
                <w:szCs w:val="24"/>
              </w:rPr>
              <w:t>8. Cita informācija</w:t>
            </w:r>
          </w:p>
        </w:tc>
        <w:tc>
          <w:tcPr>
            <w:tcW w:w="7429" w:type="dxa"/>
            <w:gridSpan w:val="7"/>
            <w:tcBorders>
              <w:top w:val="outset" w:sz="6" w:space="0" w:color="auto"/>
              <w:left w:val="outset" w:sz="6" w:space="0" w:color="auto"/>
              <w:bottom w:val="outset" w:sz="6" w:space="0" w:color="auto"/>
              <w:right w:val="outset" w:sz="6" w:space="0" w:color="auto"/>
            </w:tcBorders>
            <w:hideMark/>
          </w:tcPr>
          <w:p w14:paraId="6FD61DE9" w14:textId="77777777" w:rsidR="00A6353B" w:rsidRPr="00316650" w:rsidRDefault="00A6353B" w:rsidP="007E7D6A">
            <w:pPr>
              <w:spacing w:line="256" w:lineRule="auto"/>
              <w:jc w:val="both"/>
              <w:rPr>
                <w:rFonts w:ascii="Times New Roman" w:hAnsi="Times New Roman" w:cs="Times New Roman"/>
                <w:iCs/>
                <w:sz w:val="24"/>
                <w:szCs w:val="24"/>
              </w:rPr>
            </w:pPr>
            <w:r w:rsidRPr="00316650">
              <w:rPr>
                <w:rFonts w:ascii="Times New Roman" w:hAnsi="Times New Roman" w:cs="Times New Roman"/>
                <w:iCs/>
                <w:sz w:val="24"/>
                <w:szCs w:val="24"/>
              </w:rPr>
              <w:t>Nav.</w:t>
            </w:r>
          </w:p>
        </w:tc>
      </w:tr>
    </w:tbl>
    <w:p w14:paraId="1D4E6980" w14:textId="77777777" w:rsidR="00E5323B" w:rsidRPr="00316650" w:rsidRDefault="00E5323B"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E1E68" w:rsidRPr="00316650" w14:paraId="70843C7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4321609" w14:textId="77777777" w:rsidR="00655F2C" w:rsidRPr="00316650" w:rsidRDefault="00E5323B" w:rsidP="00E5323B">
            <w:pPr>
              <w:spacing w:after="0" w:line="240" w:lineRule="auto"/>
              <w:rPr>
                <w:rFonts w:ascii="Times New Roman" w:eastAsia="Times New Roman" w:hAnsi="Times New Roman" w:cs="Times New Roman"/>
                <w:b/>
                <w:bCs/>
                <w:iCs/>
                <w:sz w:val="24"/>
                <w:szCs w:val="24"/>
                <w:lang w:val="en-US" w:eastAsia="lv-LV"/>
              </w:rPr>
            </w:pPr>
            <w:r w:rsidRPr="00316650">
              <w:rPr>
                <w:rFonts w:ascii="Times New Roman" w:eastAsia="Times New Roman" w:hAnsi="Times New Roman" w:cs="Times New Roman"/>
                <w:b/>
                <w:bCs/>
                <w:iCs/>
                <w:sz w:val="24"/>
                <w:szCs w:val="24"/>
                <w:lang w:val="en-US" w:eastAsia="lv-LV"/>
              </w:rPr>
              <w:t xml:space="preserve">IV. </w:t>
            </w:r>
            <w:proofErr w:type="spellStart"/>
            <w:r w:rsidRPr="00316650">
              <w:rPr>
                <w:rFonts w:ascii="Times New Roman" w:eastAsia="Times New Roman" w:hAnsi="Times New Roman" w:cs="Times New Roman"/>
                <w:b/>
                <w:bCs/>
                <w:iCs/>
                <w:sz w:val="24"/>
                <w:szCs w:val="24"/>
                <w:lang w:val="en-US" w:eastAsia="lv-LV"/>
              </w:rPr>
              <w:t>Tiesību</w:t>
            </w:r>
            <w:proofErr w:type="spellEnd"/>
            <w:r w:rsidRPr="00316650">
              <w:rPr>
                <w:rFonts w:ascii="Times New Roman" w:eastAsia="Times New Roman" w:hAnsi="Times New Roman" w:cs="Times New Roman"/>
                <w:b/>
                <w:bCs/>
                <w:iCs/>
                <w:sz w:val="24"/>
                <w:szCs w:val="24"/>
                <w:lang w:val="en-US" w:eastAsia="lv-LV"/>
              </w:rPr>
              <w:t xml:space="preserve"> </w:t>
            </w:r>
            <w:proofErr w:type="spellStart"/>
            <w:r w:rsidRPr="00316650">
              <w:rPr>
                <w:rFonts w:ascii="Times New Roman" w:eastAsia="Times New Roman" w:hAnsi="Times New Roman" w:cs="Times New Roman"/>
                <w:b/>
                <w:bCs/>
                <w:iCs/>
                <w:sz w:val="24"/>
                <w:szCs w:val="24"/>
                <w:lang w:val="en-US" w:eastAsia="lv-LV"/>
              </w:rPr>
              <w:t>akta</w:t>
            </w:r>
            <w:proofErr w:type="spellEnd"/>
            <w:r w:rsidRPr="00316650">
              <w:rPr>
                <w:rFonts w:ascii="Times New Roman" w:eastAsia="Times New Roman" w:hAnsi="Times New Roman" w:cs="Times New Roman"/>
                <w:b/>
                <w:bCs/>
                <w:iCs/>
                <w:sz w:val="24"/>
                <w:szCs w:val="24"/>
                <w:lang w:val="en-US" w:eastAsia="lv-LV"/>
              </w:rPr>
              <w:t xml:space="preserve"> </w:t>
            </w:r>
            <w:proofErr w:type="spellStart"/>
            <w:r w:rsidRPr="00316650">
              <w:rPr>
                <w:rFonts w:ascii="Times New Roman" w:eastAsia="Times New Roman" w:hAnsi="Times New Roman" w:cs="Times New Roman"/>
                <w:b/>
                <w:bCs/>
                <w:iCs/>
                <w:sz w:val="24"/>
                <w:szCs w:val="24"/>
                <w:lang w:val="en-US" w:eastAsia="lv-LV"/>
              </w:rPr>
              <w:t>projekta</w:t>
            </w:r>
            <w:proofErr w:type="spellEnd"/>
            <w:r w:rsidRPr="00316650">
              <w:rPr>
                <w:rFonts w:ascii="Times New Roman" w:eastAsia="Times New Roman" w:hAnsi="Times New Roman" w:cs="Times New Roman"/>
                <w:b/>
                <w:bCs/>
                <w:iCs/>
                <w:sz w:val="24"/>
                <w:szCs w:val="24"/>
                <w:lang w:val="en-US" w:eastAsia="lv-LV"/>
              </w:rPr>
              <w:t xml:space="preserve"> </w:t>
            </w:r>
            <w:proofErr w:type="spellStart"/>
            <w:r w:rsidRPr="00316650">
              <w:rPr>
                <w:rFonts w:ascii="Times New Roman" w:eastAsia="Times New Roman" w:hAnsi="Times New Roman" w:cs="Times New Roman"/>
                <w:b/>
                <w:bCs/>
                <w:iCs/>
                <w:sz w:val="24"/>
                <w:szCs w:val="24"/>
                <w:lang w:val="en-US" w:eastAsia="lv-LV"/>
              </w:rPr>
              <w:t>ietekme</w:t>
            </w:r>
            <w:proofErr w:type="spellEnd"/>
            <w:r w:rsidRPr="00316650">
              <w:rPr>
                <w:rFonts w:ascii="Times New Roman" w:eastAsia="Times New Roman" w:hAnsi="Times New Roman" w:cs="Times New Roman"/>
                <w:b/>
                <w:bCs/>
                <w:iCs/>
                <w:sz w:val="24"/>
                <w:szCs w:val="24"/>
                <w:lang w:val="en-US" w:eastAsia="lv-LV"/>
              </w:rPr>
              <w:t xml:space="preserve"> </w:t>
            </w:r>
            <w:proofErr w:type="spellStart"/>
            <w:r w:rsidRPr="00316650">
              <w:rPr>
                <w:rFonts w:ascii="Times New Roman" w:eastAsia="Times New Roman" w:hAnsi="Times New Roman" w:cs="Times New Roman"/>
                <w:b/>
                <w:bCs/>
                <w:iCs/>
                <w:sz w:val="24"/>
                <w:szCs w:val="24"/>
                <w:lang w:val="en-US" w:eastAsia="lv-LV"/>
              </w:rPr>
              <w:t>uz</w:t>
            </w:r>
            <w:proofErr w:type="spellEnd"/>
            <w:r w:rsidRPr="00316650">
              <w:rPr>
                <w:rFonts w:ascii="Times New Roman" w:eastAsia="Times New Roman" w:hAnsi="Times New Roman" w:cs="Times New Roman"/>
                <w:b/>
                <w:bCs/>
                <w:iCs/>
                <w:sz w:val="24"/>
                <w:szCs w:val="24"/>
                <w:lang w:val="en-US" w:eastAsia="lv-LV"/>
              </w:rPr>
              <w:t xml:space="preserve"> </w:t>
            </w:r>
            <w:proofErr w:type="spellStart"/>
            <w:r w:rsidRPr="00316650">
              <w:rPr>
                <w:rFonts w:ascii="Times New Roman" w:eastAsia="Times New Roman" w:hAnsi="Times New Roman" w:cs="Times New Roman"/>
                <w:b/>
                <w:bCs/>
                <w:iCs/>
                <w:sz w:val="24"/>
                <w:szCs w:val="24"/>
                <w:lang w:val="en-US" w:eastAsia="lv-LV"/>
              </w:rPr>
              <w:t>spēkā</w:t>
            </w:r>
            <w:proofErr w:type="spellEnd"/>
            <w:r w:rsidRPr="00316650">
              <w:rPr>
                <w:rFonts w:ascii="Times New Roman" w:eastAsia="Times New Roman" w:hAnsi="Times New Roman" w:cs="Times New Roman"/>
                <w:b/>
                <w:bCs/>
                <w:iCs/>
                <w:sz w:val="24"/>
                <w:szCs w:val="24"/>
                <w:lang w:val="en-US" w:eastAsia="lv-LV"/>
              </w:rPr>
              <w:t xml:space="preserve"> </w:t>
            </w:r>
            <w:proofErr w:type="spellStart"/>
            <w:r w:rsidRPr="00316650">
              <w:rPr>
                <w:rFonts w:ascii="Times New Roman" w:eastAsia="Times New Roman" w:hAnsi="Times New Roman" w:cs="Times New Roman"/>
                <w:b/>
                <w:bCs/>
                <w:iCs/>
                <w:sz w:val="24"/>
                <w:szCs w:val="24"/>
                <w:lang w:val="en-US" w:eastAsia="lv-LV"/>
              </w:rPr>
              <w:t>esošo</w:t>
            </w:r>
            <w:proofErr w:type="spellEnd"/>
            <w:r w:rsidRPr="00316650">
              <w:rPr>
                <w:rFonts w:ascii="Times New Roman" w:eastAsia="Times New Roman" w:hAnsi="Times New Roman" w:cs="Times New Roman"/>
                <w:b/>
                <w:bCs/>
                <w:iCs/>
                <w:sz w:val="24"/>
                <w:szCs w:val="24"/>
                <w:lang w:val="en-US" w:eastAsia="lv-LV"/>
              </w:rPr>
              <w:t xml:space="preserve"> </w:t>
            </w:r>
            <w:proofErr w:type="spellStart"/>
            <w:r w:rsidRPr="00316650">
              <w:rPr>
                <w:rFonts w:ascii="Times New Roman" w:eastAsia="Times New Roman" w:hAnsi="Times New Roman" w:cs="Times New Roman"/>
                <w:b/>
                <w:bCs/>
                <w:iCs/>
                <w:sz w:val="24"/>
                <w:szCs w:val="24"/>
                <w:lang w:val="en-US" w:eastAsia="lv-LV"/>
              </w:rPr>
              <w:t>tiesību</w:t>
            </w:r>
            <w:proofErr w:type="spellEnd"/>
            <w:r w:rsidRPr="00316650">
              <w:rPr>
                <w:rFonts w:ascii="Times New Roman" w:eastAsia="Times New Roman" w:hAnsi="Times New Roman" w:cs="Times New Roman"/>
                <w:b/>
                <w:bCs/>
                <w:iCs/>
                <w:sz w:val="24"/>
                <w:szCs w:val="24"/>
                <w:lang w:val="en-US" w:eastAsia="lv-LV"/>
              </w:rPr>
              <w:t xml:space="preserve"> </w:t>
            </w:r>
            <w:proofErr w:type="spellStart"/>
            <w:r w:rsidRPr="00316650">
              <w:rPr>
                <w:rFonts w:ascii="Times New Roman" w:eastAsia="Times New Roman" w:hAnsi="Times New Roman" w:cs="Times New Roman"/>
                <w:b/>
                <w:bCs/>
                <w:iCs/>
                <w:sz w:val="24"/>
                <w:szCs w:val="24"/>
                <w:lang w:val="en-US" w:eastAsia="lv-LV"/>
              </w:rPr>
              <w:t>normu</w:t>
            </w:r>
            <w:proofErr w:type="spellEnd"/>
            <w:r w:rsidRPr="00316650">
              <w:rPr>
                <w:rFonts w:ascii="Times New Roman" w:eastAsia="Times New Roman" w:hAnsi="Times New Roman" w:cs="Times New Roman"/>
                <w:b/>
                <w:bCs/>
                <w:iCs/>
                <w:sz w:val="24"/>
                <w:szCs w:val="24"/>
                <w:lang w:val="en-US" w:eastAsia="lv-LV"/>
              </w:rPr>
              <w:t xml:space="preserve"> </w:t>
            </w:r>
            <w:proofErr w:type="spellStart"/>
            <w:r w:rsidRPr="00316650">
              <w:rPr>
                <w:rFonts w:ascii="Times New Roman" w:eastAsia="Times New Roman" w:hAnsi="Times New Roman" w:cs="Times New Roman"/>
                <w:b/>
                <w:bCs/>
                <w:iCs/>
                <w:sz w:val="24"/>
                <w:szCs w:val="24"/>
                <w:lang w:val="en-US" w:eastAsia="lv-LV"/>
              </w:rPr>
              <w:t>sistēmu</w:t>
            </w:r>
            <w:proofErr w:type="spellEnd"/>
          </w:p>
        </w:tc>
      </w:tr>
      <w:tr w:rsidR="000E1E68" w:rsidRPr="00316650" w14:paraId="498F5E9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C11BD30" w14:textId="77777777" w:rsidR="00655F2C" w:rsidRPr="00316650" w:rsidRDefault="00E5323B"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6F93A763" w14:textId="77777777" w:rsidR="00E5323B" w:rsidRPr="00316650"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316650">
              <w:rPr>
                <w:rFonts w:ascii="Times New Roman" w:eastAsia="Times New Roman" w:hAnsi="Times New Roman" w:cs="Times New Roman"/>
                <w:iCs/>
                <w:sz w:val="24"/>
                <w:szCs w:val="24"/>
                <w:lang w:val="en-US" w:eastAsia="lv-LV"/>
              </w:rPr>
              <w:t>Saistītie</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tiesību</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aktu</w:t>
            </w:r>
            <w:proofErr w:type="spellEnd"/>
            <w:r w:rsidRPr="00316650">
              <w:rPr>
                <w:rFonts w:ascii="Times New Roman" w:eastAsia="Times New Roman" w:hAnsi="Times New Roman" w:cs="Times New Roman"/>
                <w:iCs/>
                <w:sz w:val="24"/>
                <w:szCs w:val="24"/>
                <w:lang w:val="en-US" w:eastAsia="lv-LV"/>
              </w:rPr>
              <w:t xml:space="preserve"> projekti</w:t>
            </w:r>
          </w:p>
        </w:tc>
        <w:tc>
          <w:tcPr>
            <w:tcW w:w="3000" w:type="pct"/>
            <w:tcBorders>
              <w:top w:val="outset" w:sz="6" w:space="0" w:color="auto"/>
              <w:left w:val="outset" w:sz="6" w:space="0" w:color="auto"/>
              <w:bottom w:val="outset" w:sz="6" w:space="0" w:color="auto"/>
              <w:right w:val="outset" w:sz="6" w:space="0" w:color="auto"/>
            </w:tcBorders>
            <w:hideMark/>
          </w:tcPr>
          <w:p w14:paraId="0E896FB6" w14:textId="0FE4BD29" w:rsidR="00E5323B" w:rsidRPr="00316650" w:rsidRDefault="002A510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r w:rsidR="000E1E68" w:rsidRPr="00316650" w14:paraId="2BECE75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C2C15DB" w14:textId="77777777" w:rsidR="00655F2C" w:rsidRPr="00316650" w:rsidRDefault="00E5323B"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624F2DFA" w14:textId="77777777" w:rsidR="00E5323B" w:rsidRPr="00316650"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316650">
              <w:rPr>
                <w:rFonts w:ascii="Times New Roman" w:eastAsia="Times New Roman" w:hAnsi="Times New Roman" w:cs="Times New Roman"/>
                <w:iCs/>
                <w:sz w:val="24"/>
                <w:szCs w:val="24"/>
                <w:lang w:val="en-US" w:eastAsia="lv-LV"/>
              </w:rPr>
              <w:t>Atbildīgā</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institūcija</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12A3AB3C" w14:textId="7EC616F2" w:rsidR="00E5323B" w:rsidRPr="00316650" w:rsidRDefault="00945AE8"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eastAsia="lv-LV"/>
              </w:rPr>
              <w:t>Ekonomikas ministrija.</w:t>
            </w:r>
          </w:p>
        </w:tc>
      </w:tr>
      <w:tr w:rsidR="000E1E68" w:rsidRPr="00316650" w14:paraId="79B99F7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A743745" w14:textId="77777777" w:rsidR="00655F2C" w:rsidRPr="00316650" w:rsidRDefault="00E5323B"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17792829" w14:textId="77777777" w:rsidR="00E5323B" w:rsidRPr="00316650"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316650">
              <w:rPr>
                <w:rFonts w:ascii="Times New Roman" w:eastAsia="Times New Roman" w:hAnsi="Times New Roman" w:cs="Times New Roman"/>
                <w:iCs/>
                <w:sz w:val="24"/>
                <w:szCs w:val="24"/>
                <w:lang w:val="en-US" w:eastAsia="lv-LV"/>
              </w:rPr>
              <w:t>Cita</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informācija</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1E067B6C" w14:textId="07ECF56C" w:rsidR="00E5323B" w:rsidRPr="00316650" w:rsidRDefault="00F22D81"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eastAsia="lv-LV"/>
              </w:rPr>
              <w:t>Nav.</w:t>
            </w:r>
          </w:p>
        </w:tc>
      </w:tr>
    </w:tbl>
    <w:p w14:paraId="6128ACFE" w14:textId="77777777" w:rsidR="00E5323B" w:rsidRPr="00316650" w:rsidRDefault="00E5323B"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E1E68" w:rsidRPr="00316650" w14:paraId="3084A93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0816ECD" w14:textId="77777777" w:rsidR="00655F2C" w:rsidRPr="00316650" w:rsidRDefault="00E5323B" w:rsidP="00E5323B">
            <w:pPr>
              <w:spacing w:after="0" w:line="240" w:lineRule="auto"/>
              <w:rPr>
                <w:rFonts w:ascii="Times New Roman" w:eastAsia="Times New Roman" w:hAnsi="Times New Roman" w:cs="Times New Roman"/>
                <w:b/>
                <w:bCs/>
                <w:iCs/>
                <w:sz w:val="24"/>
                <w:szCs w:val="24"/>
                <w:lang w:val="en-US" w:eastAsia="lv-LV"/>
              </w:rPr>
            </w:pPr>
            <w:r w:rsidRPr="00316650">
              <w:rPr>
                <w:rFonts w:ascii="Times New Roman" w:eastAsia="Times New Roman" w:hAnsi="Times New Roman" w:cs="Times New Roman"/>
                <w:b/>
                <w:bCs/>
                <w:iCs/>
                <w:sz w:val="24"/>
                <w:szCs w:val="24"/>
                <w:lang w:val="en-US" w:eastAsia="lv-LV"/>
              </w:rPr>
              <w:t xml:space="preserve">V. </w:t>
            </w:r>
            <w:proofErr w:type="spellStart"/>
            <w:r w:rsidRPr="00316650">
              <w:rPr>
                <w:rFonts w:ascii="Times New Roman" w:eastAsia="Times New Roman" w:hAnsi="Times New Roman" w:cs="Times New Roman"/>
                <w:b/>
                <w:bCs/>
                <w:iCs/>
                <w:sz w:val="24"/>
                <w:szCs w:val="24"/>
                <w:lang w:val="en-US" w:eastAsia="lv-LV"/>
              </w:rPr>
              <w:t>Tiesību</w:t>
            </w:r>
            <w:proofErr w:type="spellEnd"/>
            <w:r w:rsidRPr="00316650">
              <w:rPr>
                <w:rFonts w:ascii="Times New Roman" w:eastAsia="Times New Roman" w:hAnsi="Times New Roman" w:cs="Times New Roman"/>
                <w:b/>
                <w:bCs/>
                <w:iCs/>
                <w:sz w:val="24"/>
                <w:szCs w:val="24"/>
                <w:lang w:val="en-US" w:eastAsia="lv-LV"/>
              </w:rPr>
              <w:t xml:space="preserve"> </w:t>
            </w:r>
            <w:proofErr w:type="spellStart"/>
            <w:r w:rsidRPr="00316650">
              <w:rPr>
                <w:rFonts w:ascii="Times New Roman" w:eastAsia="Times New Roman" w:hAnsi="Times New Roman" w:cs="Times New Roman"/>
                <w:b/>
                <w:bCs/>
                <w:iCs/>
                <w:sz w:val="24"/>
                <w:szCs w:val="24"/>
                <w:lang w:val="en-US" w:eastAsia="lv-LV"/>
              </w:rPr>
              <w:t>akta</w:t>
            </w:r>
            <w:proofErr w:type="spellEnd"/>
            <w:r w:rsidRPr="00316650">
              <w:rPr>
                <w:rFonts w:ascii="Times New Roman" w:eastAsia="Times New Roman" w:hAnsi="Times New Roman" w:cs="Times New Roman"/>
                <w:b/>
                <w:bCs/>
                <w:iCs/>
                <w:sz w:val="24"/>
                <w:szCs w:val="24"/>
                <w:lang w:val="en-US" w:eastAsia="lv-LV"/>
              </w:rPr>
              <w:t xml:space="preserve"> </w:t>
            </w:r>
            <w:proofErr w:type="spellStart"/>
            <w:r w:rsidRPr="00316650">
              <w:rPr>
                <w:rFonts w:ascii="Times New Roman" w:eastAsia="Times New Roman" w:hAnsi="Times New Roman" w:cs="Times New Roman"/>
                <w:b/>
                <w:bCs/>
                <w:iCs/>
                <w:sz w:val="24"/>
                <w:szCs w:val="24"/>
                <w:lang w:val="en-US" w:eastAsia="lv-LV"/>
              </w:rPr>
              <w:t>projekta</w:t>
            </w:r>
            <w:proofErr w:type="spellEnd"/>
            <w:r w:rsidRPr="00316650">
              <w:rPr>
                <w:rFonts w:ascii="Times New Roman" w:eastAsia="Times New Roman" w:hAnsi="Times New Roman" w:cs="Times New Roman"/>
                <w:b/>
                <w:bCs/>
                <w:iCs/>
                <w:sz w:val="24"/>
                <w:szCs w:val="24"/>
                <w:lang w:val="en-US" w:eastAsia="lv-LV"/>
              </w:rPr>
              <w:t xml:space="preserve"> </w:t>
            </w:r>
            <w:proofErr w:type="spellStart"/>
            <w:r w:rsidRPr="00316650">
              <w:rPr>
                <w:rFonts w:ascii="Times New Roman" w:eastAsia="Times New Roman" w:hAnsi="Times New Roman" w:cs="Times New Roman"/>
                <w:b/>
                <w:bCs/>
                <w:iCs/>
                <w:sz w:val="24"/>
                <w:szCs w:val="24"/>
                <w:lang w:val="en-US" w:eastAsia="lv-LV"/>
              </w:rPr>
              <w:t>atbilstība</w:t>
            </w:r>
            <w:proofErr w:type="spellEnd"/>
            <w:r w:rsidRPr="00316650">
              <w:rPr>
                <w:rFonts w:ascii="Times New Roman" w:eastAsia="Times New Roman" w:hAnsi="Times New Roman" w:cs="Times New Roman"/>
                <w:b/>
                <w:bCs/>
                <w:iCs/>
                <w:sz w:val="24"/>
                <w:szCs w:val="24"/>
                <w:lang w:val="en-US" w:eastAsia="lv-LV"/>
              </w:rPr>
              <w:t xml:space="preserve"> Latvijas </w:t>
            </w:r>
            <w:proofErr w:type="spellStart"/>
            <w:r w:rsidRPr="00316650">
              <w:rPr>
                <w:rFonts w:ascii="Times New Roman" w:eastAsia="Times New Roman" w:hAnsi="Times New Roman" w:cs="Times New Roman"/>
                <w:b/>
                <w:bCs/>
                <w:iCs/>
                <w:sz w:val="24"/>
                <w:szCs w:val="24"/>
                <w:lang w:val="en-US" w:eastAsia="lv-LV"/>
              </w:rPr>
              <w:t>Republikas</w:t>
            </w:r>
            <w:proofErr w:type="spellEnd"/>
            <w:r w:rsidRPr="00316650">
              <w:rPr>
                <w:rFonts w:ascii="Times New Roman" w:eastAsia="Times New Roman" w:hAnsi="Times New Roman" w:cs="Times New Roman"/>
                <w:b/>
                <w:bCs/>
                <w:iCs/>
                <w:sz w:val="24"/>
                <w:szCs w:val="24"/>
                <w:lang w:val="en-US" w:eastAsia="lv-LV"/>
              </w:rPr>
              <w:t xml:space="preserve"> </w:t>
            </w:r>
            <w:proofErr w:type="spellStart"/>
            <w:r w:rsidRPr="00316650">
              <w:rPr>
                <w:rFonts w:ascii="Times New Roman" w:eastAsia="Times New Roman" w:hAnsi="Times New Roman" w:cs="Times New Roman"/>
                <w:b/>
                <w:bCs/>
                <w:iCs/>
                <w:sz w:val="24"/>
                <w:szCs w:val="24"/>
                <w:lang w:val="en-US" w:eastAsia="lv-LV"/>
              </w:rPr>
              <w:t>starptautiskajām</w:t>
            </w:r>
            <w:proofErr w:type="spellEnd"/>
            <w:r w:rsidRPr="00316650">
              <w:rPr>
                <w:rFonts w:ascii="Times New Roman" w:eastAsia="Times New Roman" w:hAnsi="Times New Roman" w:cs="Times New Roman"/>
                <w:b/>
                <w:bCs/>
                <w:iCs/>
                <w:sz w:val="24"/>
                <w:szCs w:val="24"/>
                <w:lang w:val="en-US" w:eastAsia="lv-LV"/>
              </w:rPr>
              <w:t xml:space="preserve"> </w:t>
            </w:r>
            <w:proofErr w:type="spellStart"/>
            <w:r w:rsidRPr="00316650">
              <w:rPr>
                <w:rFonts w:ascii="Times New Roman" w:eastAsia="Times New Roman" w:hAnsi="Times New Roman" w:cs="Times New Roman"/>
                <w:b/>
                <w:bCs/>
                <w:iCs/>
                <w:sz w:val="24"/>
                <w:szCs w:val="24"/>
                <w:lang w:val="en-US" w:eastAsia="lv-LV"/>
              </w:rPr>
              <w:t>saistībām</w:t>
            </w:r>
            <w:proofErr w:type="spellEnd"/>
          </w:p>
        </w:tc>
      </w:tr>
      <w:tr w:rsidR="000E1E68" w:rsidRPr="00316650" w14:paraId="25CF7B2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C5C1E1C" w14:textId="77777777" w:rsidR="00655F2C" w:rsidRPr="00316650" w:rsidRDefault="00E5323B"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24FBF96E" w14:textId="77777777" w:rsidR="00E5323B" w:rsidRPr="00316650"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316650">
              <w:rPr>
                <w:rFonts w:ascii="Times New Roman" w:eastAsia="Times New Roman" w:hAnsi="Times New Roman" w:cs="Times New Roman"/>
                <w:iCs/>
                <w:sz w:val="24"/>
                <w:szCs w:val="24"/>
                <w:lang w:val="en-US" w:eastAsia="lv-LV"/>
              </w:rPr>
              <w:t>Saistības</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pret</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Eiropas</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Savienību</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719CC21B" w14:textId="155CC35A" w:rsidR="00E5323B" w:rsidRPr="00316650" w:rsidRDefault="00D25359" w:rsidP="00D25359">
            <w:pPr>
              <w:ind w:right="107"/>
              <w:jc w:val="both"/>
              <w:rPr>
                <w:rFonts w:ascii="Times New Roman" w:eastAsia="Times New Roman" w:hAnsi="Times New Roman" w:cs="Times New Roman"/>
                <w:bCs/>
                <w:sz w:val="24"/>
                <w:szCs w:val="24"/>
                <w:lang w:eastAsia="lv-LV"/>
              </w:rPr>
            </w:pPr>
            <w:r w:rsidRPr="00316650">
              <w:rPr>
                <w:rFonts w:ascii="Times New Roman" w:eastAsia="Times New Roman" w:hAnsi="Times New Roman" w:cs="Times New Roman"/>
                <w:sz w:val="24"/>
                <w:szCs w:val="24"/>
                <w:lang w:eastAsia="lv-LV"/>
              </w:rPr>
              <w:t xml:space="preserve">Saskaņā ar Direktīvas 2018/844 </w:t>
            </w:r>
            <w:r w:rsidRPr="00316650">
              <w:rPr>
                <w:rFonts w:ascii="Times New Roman" w:eastAsia="Times New Roman" w:hAnsi="Times New Roman" w:cs="Times New Roman"/>
                <w:bCs/>
                <w:sz w:val="24"/>
                <w:szCs w:val="24"/>
                <w:lang w:eastAsia="lv-LV"/>
              </w:rPr>
              <w:t>3. panta 1. punktu dalībvalstīs stājas spēkā normatīvie un administratīvie akti, kas vajadzīgi, lai izpildītu šīs direktīvas prasības, līdz 2020. gada 10. martam.</w:t>
            </w:r>
          </w:p>
        </w:tc>
      </w:tr>
      <w:tr w:rsidR="000E1E68" w:rsidRPr="00316650" w14:paraId="4D0A900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3B425AA" w14:textId="77777777" w:rsidR="00655F2C" w:rsidRPr="00316650" w:rsidRDefault="00E5323B"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5115C1D3" w14:textId="77777777" w:rsidR="00E5323B" w:rsidRPr="00316650"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316650">
              <w:rPr>
                <w:rFonts w:ascii="Times New Roman" w:eastAsia="Times New Roman" w:hAnsi="Times New Roman" w:cs="Times New Roman"/>
                <w:iCs/>
                <w:sz w:val="24"/>
                <w:szCs w:val="24"/>
                <w:lang w:val="en-US" w:eastAsia="lv-LV"/>
              </w:rPr>
              <w:t>Citas</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starptautiskās</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saistības</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4AB9980A" w14:textId="3EC2616A" w:rsidR="00E5323B" w:rsidRPr="00316650" w:rsidRDefault="004B67CC"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eastAsia="lv-LV"/>
              </w:rPr>
              <w:t>Nav.</w:t>
            </w:r>
          </w:p>
        </w:tc>
      </w:tr>
      <w:tr w:rsidR="000E1E68" w:rsidRPr="00316650" w14:paraId="0C2CC57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9450316" w14:textId="77777777" w:rsidR="00655F2C" w:rsidRPr="00316650" w:rsidRDefault="00E5323B"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57943DF4" w14:textId="77777777" w:rsidR="00E5323B" w:rsidRPr="00316650"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316650">
              <w:rPr>
                <w:rFonts w:ascii="Times New Roman" w:eastAsia="Times New Roman" w:hAnsi="Times New Roman" w:cs="Times New Roman"/>
                <w:iCs/>
                <w:sz w:val="24"/>
                <w:szCs w:val="24"/>
                <w:lang w:val="en-US" w:eastAsia="lv-LV"/>
              </w:rPr>
              <w:t>Cita</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informācija</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6D19A71C" w14:textId="3502F91E" w:rsidR="00E5323B" w:rsidRPr="00316650" w:rsidRDefault="00A75D30"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eastAsia="lv-LV"/>
              </w:rPr>
              <w:t>Nav.</w:t>
            </w:r>
          </w:p>
        </w:tc>
      </w:tr>
    </w:tbl>
    <w:p w14:paraId="2CA086CE" w14:textId="77777777" w:rsidR="00E5323B" w:rsidRPr="00316650" w:rsidRDefault="00E5323B"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63"/>
        <w:gridCol w:w="2249"/>
        <w:gridCol w:w="1006"/>
        <w:gridCol w:w="1273"/>
        <w:gridCol w:w="2264"/>
      </w:tblGrid>
      <w:tr w:rsidR="000E1E68" w:rsidRPr="00316650" w14:paraId="7A089DCA" w14:textId="77777777" w:rsidTr="00E5323B">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25604A21" w14:textId="77777777" w:rsidR="00655F2C" w:rsidRPr="00316650" w:rsidRDefault="00E5323B" w:rsidP="00E5323B">
            <w:pPr>
              <w:spacing w:after="0" w:line="240" w:lineRule="auto"/>
              <w:rPr>
                <w:rFonts w:ascii="Times New Roman" w:eastAsia="Times New Roman" w:hAnsi="Times New Roman" w:cs="Times New Roman"/>
                <w:b/>
                <w:bCs/>
                <w:iCs/>
                <w:sz w:val="24"/>
                <w:szCs w:val="24"/>
                <w:lang w:val="sv-SE" w:eastAsia="lv-LV"/>
              </w:rPr>
            </w:pPr>
            <w:r w:rsidRPr="00316650">
              <w:rPr>
                <w:rFonts w:ascii="Times New Roman" w:eastAsia="Times New Roman" w:hAnsi="Times New Roman" w:cs="Times New Roman"/>
                <w:b/>
                <w:bCs/>
                <w:iCs/>
                <w:sz w:val="24"/>
                <w:szCs w:val="24"/>
                <w:lang w:val="sv-SE" w:eastAsia="lv-LV"/>
              </w:rPr>
              <w:t>1. tabula</w:t>
            </w:r>
            <w:r w:rsidRPr="00316650">
              <w:rPr>
                <w:rFonts w:ascii="Times New Roman" w:eastAsia="Times New Roman" w:hAnsi="Times New Roman" w:cs="Times New Roman"/>
                <w:b/>
                <w:bCs/>
                <w:iCs/>
                <w:sz w:val="24"/>
                <w:szCs w:val="24"/>
                <w:lang w:val="sv-SE" w:eastAsia="lv-LV"/>
              </w:rPr>
              <w:br/>
              <w:t>Tiesību akta projekta atbilstība ES tiesību aktiem</w:t>
            </w:r>
          </w:p>
        </w:tc>
      </w:tr>
      <w:tr w:rsidR="000E1E68" w:rsidRPr="00316650" w14:paraId="74173559" w14:textId="77777777" w:rsidTr="00E5323B">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379A4B5D" w14:textId="77777777" w:rsidR="00E5323B" w:rsidRPr="00316650" w:rsidRDefault="00E5323B" w:rsidP="00E5323B">
            <w:pPr>
              <w:spacing w:after="0" w:line="240" w:lineRule="auto"/>
              <w:rPr>
                <w:rFonts w:ascii="Times New Roman" w:eastAsia="Times New Roman" w:hAnsi="Times New Roman" w:cs="Times New Roman"/>
                <w:iCs/>
                <w:sz w:val="24"/>
                <w:szCs w:val="24"/>
                <w:lang w:val="de-DE" w:eastAsia="lv-LV"/>
              </w:rPr>
            </w:pPr>
            <w:proofErr w:type="spellStart"/>
            <w:r w:rsidRPr="00316650">
              <w:rPr>
                <w:rFonts w:ascii="Times New Roman" w:eastAsia="Times New Roman" w:hAnsi="Times New Roman" w:cs="Times New Roman"/>
                <w:iCs/>
                <w:sz w:val="24"/>
                <w:szCs w:val="24"/>
                <w:lang w:val="de-DE" w:eastAsia="lv-LV"/>
              </w:rPr>
              <w:lastRenderedPageBreak/>
              <w:t>Attiecīgā</w:t>
            </w:r>
            <w:proofErr w:type="spellEnd"/>
            <w:r w:rsidRPr="00316650">
              <w:rPr>
                <w:rFonts w:ascii="Times New Roman" w:eastAsia="Times New Roman" w:hAnsi="Times New Roman" w:cs="Times New Roman"/>
                <w:iCs/>
                <w:sz w:val="24"/>
                <w:szCs w:val="24"/>
                <w:lang w:val="de-DE" w:eastAsia="lv-LV"/>
              </w:rPr>
              <w:t xml:space="preserve"> ES </w:t>
            </w:r>
            <w:proofErr w:type="spellStart"/>
            <w:r w:rsidRPr="00316650">
              <w:rPr>
                <w:rFonts w:ascii="Times New Roman" w:eastAsia="Times New Roman" w:hAnsi="Times New Roman" w:cs="Times New Roman"/>
                <w:iCs/>
                <w:sz w:val="24"/>
                <w:szCs w:val="24"/>
                <w:lang w:val="de-DE" w:eastAsia="lv-LV"/>
              </w:rPr>
              <w:t>tiesību</w:t>
            </w:r>
            <w:proofErr w:type="spellEnd"/>
            <w:r w:rsidRPr="00316650">
              <w:rPr>
                <w:rFonts w:ascii="Times New Roman" w:eastAsia="Times New Roman" w:hAnsi="Times New Roman" w:cs="Times New Roman"/>
                <w:iCs/>
                <w:sz w:val="24"/>
                <w:szCs w:val="24"/>
                <w:lang w:val="de-DE" w:eastAsia="lv-LV"/>
              </w:rPr>
              <w:t xml:space="preserve"> </w:t>
            </w:r>
            <w:proofErr w:type="spellStart"/>
            <w:r w:rsidRPr="00316650">
              <w:rPr>
                <w:rFonts w:ascii="Times New Roman" w:eastAsia="Times New Roman" w:hAnsi="Times New Roman" w:cs="Times New Roman"/>
                <w:iCs/>
                <w:sz w:val="24"/>
                <w:szCs w:val="24"/>
                <w:lang w:val="de-DE" w:eastAsia="lv-LV"/>
              </w:rPr>
              <w:t>akta</w:t>
            </w:r>
            <w:proofErr w:type="spellEnd"/>
            <w:r w:rsidRPr="00316650">
              <w:rPr>
                <w:rFonts w:ascii="Times New Roman" w:eastAsia="Times New Roman" w:hAnsi="Times New Roman" w:cs="Times New Roman"/>
                <w:iCs/>
                <w:sz w:val="24"/>
                <w:szCs w:val="24"/>
                <w:lang w:val="de-DE" w:eastAsia="lv-LV"/>
              </w:rPr>
              <w:t xml:space="preserve"> </w:t>
            </w:r>
            <w:proofErr w:type="spellStart"/>
            <w:r w:rsidRPr="00316650">
              <w:rPr>
                <w:rFonts w:ascii="Times New Roman" w:eastAsia="Times New Roman" w:hAnsi="Times New Roman" w:cs="Times New Roman"/>
                <w:iCs/>
                <w:sz w:val="24"/>
                <w:szCs w:val="24"/>
                <w:lang w:val="de-DE" w:eastAsia="lv-LV"/>
              </w:rPr>
              <w:t>datums</w:t>
            </w:r>
            <w:proofErr w:type="spellEnd"/>
            <w:r w:rsidRPr="00316650">
              <w:rPr>
                <w:rFonts w:ascii="Times New Roman" w:eastAsia="Times New Roman" w:hAnsi="Times New Roman" w:cs="Times New Roman"/>
                <w:iCs/>
                <w:sz w:val="24"/>
                <w:szCs w:val="24"/>
                <w:lang w:val="de-DE" w:eastAsia="lv-LV"/>
              </w:rPr>
              <w:t xml:space="preserve">, </w:t>
            </w:r>
            <w:proofErr w:type="spellStart"/>
            <w:r w:rsidRPr="00316650">
              <w:rPr>
                <w:rFonts w:ascii="Times New Roman" w:eastAsia="Times New Roman" w:hAnsi="Times New Roman" w:cs="Times New Roman"/>
                <w:iCs/>
                <w:sz w:val="24"/>
                <w:szCs w:val="24"/>
                <w:lang w:val="de-DE" w:eastAsia="lv-LV"/>
              </w:rPr>
              <w:t>numurs</w:t>
            </w:r>
            <w:proofErr w:type="spellEnd"/>
            <w:r w:rsidRPr="00316650">
              <w:rPr>
                <w:rFonts w:ascii="Times New Roman" w:eastAsia="Times New Roman" w:hAnsi="Times New Roman" w:cs="Times New Roman"/>
                <w:iCs/>
                <w:sz w:val="24"/>
                <w:szCs w:val="24"/>
                <w:lang w:val="de-DE" w:eastAsia="lv-LV"/>
              </w:rPr>
              <w:t xml:space="preserve"> un </w:t>
            </w:r>
            <w:proofErr w:type="spellStart"/>
            <w:r w:rsidRPr="00316650">
              <w:rPr>
                <w:rFonts w:ascii="Times New Roman" w:eastAsia="Times New Roman" w:hAnsi="Times New Roman" w:cs="Times New Roman"/>
                <w:iCs/>
                <w:sz w:val="24"/>
                <w:szCs w:val="24"/>
                <w:lang w:val="de-DE" w:eastAsia="lv-LV"/>
              </w:rPr>
              <w:t>nosaukums</w:t>
            </w:r>
            <w:proofErr w:type="spellEnd"/>
          </w:p>
        </w:tc>
        <w:tc>
          <w:tcPr>
            <w:tcW w:w="3750" w:type="pct"/>
            <w:gridSpan w:val="4"/>
            <w:tcBorders>
              <w:top w:val="outset" w:sz="6" w:space="0" w:color="auto"/>
              <w:left w:val="outset" w:sz="6" w:space="0" w:color="auto"/>
              <w:bottom w:val="outset" w:sz="6" w:space="0" w:color="auto"/>
              <w:right w:val="outset" w:sz="6" w:space="0" w:color="auto"/>
            </w:tcBorders>
            <w:hideMark/>
          </w:tcPr>
          <w:p w14:paraId="354A07BA" w14:textId="1485EB41" w:rsidR="00E5323B" w:rsidRPr="00316650" w:rsidRDefault="00AE6DA7" w:rsidP="00E5323B">
            <w:pPr>
              <w:spacing w:after="0" w:line="240" w:lineRule="auto"/>
              <w:rPr>
                <w:rFonts w:ascii="Times New Roman" w:eastAsia="Times New Roman" w:hAnsi="Times New Roman" w:cs="Times New Roman"/>
                <w:iCs/>
                <w:sz w:val="24"/>
                <w:szCs w:val="24"/>
                <w:lang w:val="de-DE" w:eastAsia="lv-LV"/>
              </w:rPr>
            </w:pPr>
            <w:r w:rsidRPr="00316650">
              <w:rPr>
                <w:rFonts w:ascii="Times New Roman" w:hAnsi="Times New Roman" w:cs="Times New Roman"/>
                <w:sz w:val="24"/>
                <w:szCs w:val="24"/>
              </w:rPr>
              <w:t xml:space="preserve">Eiropas Parlamenta un Padomes 2018. gada 30. maija </w:t>
            </w:r>
            <w:r w:rsidRPr="00316650">
              <w:rPr>
                <w:rFonts w:ascii="Times New Roman" w:eastAsia="Calibri" w:hAnsi="Times New Roman" w:cs="Times New Roman"/>
                <w:bCs/>
                <w:sz w:val="24"/>
                <w:szCs w:val="24"/>
              </w:rPr>
              <w:t>Direktīva (ES) 2018/844,</w:t>
            </w:r>
            <w:r w:rsidRPr="00316650">
              <w:rPr>
                <w:rFonts w:ascii="Times New Roman" w:hAnsi="Times New Roman" w:cs="Times New Roman"/>
                <w:sz w:val="24"/>
                <w:szCs w:val="24"/>
              </w:rPr>
              <w:t xml:space="preserve"> ar ko groza Direktīvu 2010/31/ES par ēku energoefektivitāti un Direktīvu 2012/27/ES par energoefektivitāti</w:t>
            </w:r>
            <w:r w:rsidRPr="00316650">
              <w:rPr>
                <w:rFonts w:ascii="Times New Roman" w:eastAsia="Times New Roman" w:hAnsi="Times New Roman" w:cs="Times New Roman"/>
                <w:sz w:val="24"/>
                <w:szCs w:val="24"/>
                <w:lang w:eastAsia="lv-LV"/>
              </w:rPr>
              <w:t>.</w:t>
            </w:r>
          </w:p>
        </w:tc>
      </w:tr>
      <w:tr w:rsidR="000E1E68" w:rsidRPr="00316650" w14:paraId="40832E4C" w14:textId="77777777" w:rsidTr="00E5323B">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14:paraId="39667BD0" w14:textId="77777777" w:rsidR="00655F2C" w:rsidRPr="00316650" w:rsidRDefault="00E5323B"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A</w:t>
            </w:r>
          </w:p>
        </w:tc>
        <w:tc>
          <w:tcPr>
            <w:tcW w:w="1250" w:type="pct"/>
            <w:tcBorders>
              <w:top w:val="outset" w:sz="6" w:space="0" w:color="auto"/>
              <w:left w:val="outset" w:sz="6" w:space="0" w:color="auto"/>
              <w:bottom w:val="outset" w:sz="6" w:space="0" w:color="auto"/>
              <w:right w:val="outset" w:sz="6" w:space="0" w:color="auto"/>
            </w:tcBorders>
            <w:vAlign w:val="center"/>
            <w:hideMark/>
          </w:tcPr>
          <w:p w14:paraId="2BA8A45E" w14:textId="77777777" w:rsidR="00655F2C" w:rsidRPr="00316650" w:rsidRDefault="00E5323B"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B</w:t>
            </w:r>
          </w:p>
        </w:tc>
        <w:tc>
          <w:tcPr>
            <w:tcW w:w="1250" w:type="pct"/>
            <w:gridSpan w:val="2"/>
            <w:tcBorders>
              <w:top w:val="outset" w:sz="6" w:space="0" w:color="auto"/>
              <w:left w:val="outset" w:sz="6" w:space="0" w:color="auto"/>
              <w:bottom w:val="outset" w:sz="6" w:space="0" w:color="auto"/>
              <w:right w:val="outset" w:sz="6" w:space="0" w:color="auto"/>
            </w:tcBorders>
            <w:vAlign w:val="center"/>
            <w:hideMark/>
          </w:tcPr>
          <w:p w14:paraId="7FB680C3" w14:textId="77777777" w:rsidR="00655F2C" w:rsidRPr="00316650" w:rsidRDefault="00E5323B"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C</w:t>
            </w:r>
          </w:p>
        </w:tc>
        <w:tc>
          <w:tcPr>
            <w:tcW w:w="1250" w:type="pct"/>
            <w:tcBorders>
              <w:top w:val="outset" w:sz="6" w:space="0" w:color="auto"/>
              <w:left w:val="outset" w:sz="6" w:space="0" w:color="auto"/>
              <w:bottom w:val="outset" w:sz="6" w:space="0" w:color="auto"/>
              <w:right w:val="outset" w:sz="6" w:space="0" w:color="auto"/>
            </w:tcBorders>
            <w:vAlign w:val="center"/>
            <w:hideMark/>
          </w:tcPr>
          <w:p w14:paraId="1776B825" w14:textId="77777777" w:rsidR="00655F2C" w:rsidRPr="00316650" w:rsidRDefault="00E5323B"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D</w:t>
            </w:r>
          </w:p>
        </w:tc>
      </w:tr>
      <w:tr w:rsidR="000E1E68" w:rsidRPr="00316650" w14:paraId="56E84B72" w14:textId="77777777" w:rsidTr="00E5323B">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0393DEB3" w14:textId="77777777" w:rsidR="00E5323B" w:rsidRPr="00316650" w:rsidRDefault="00E5323B" w:rsidP="00E5323B">
            <w:pPr>
              <w:spacing w:after="0" w:line="240" w:lineRule="auto"/>
              <w:rPr>
                <w:rFonts w:ascii="Times New Roman" w:eastAsia="Times New Roman" w:hAnsi="Times New Roman" w:cs="Times New Roman"/>
                <w:iCs/>
                <w:sz w:val="24"/>
                <w:szCs w:val="24"/>
                <w:lang w:eastAsia="lv-LV"/>
              </w:rPr>
            </w:pPr>
            <w:r w:rsidRPr="00316650">
              <w:rPr>
                <w:rFonts w:ascii="Times New Roman" w:eastAsia="Times New Roman" w:hAnsi="Times New Roman" w:cs="Times New Roman"/>
                <w:iCs/>
                <w:sz w:val="24"/>
                <w:szCs w:val="24"/>
                <w:lang w:eastAsia="lv-LV"/>
              </w:rPr>
              <w:t>Attiecīgā ES tiesību akta panta numurs (uzskaitot katru tiesību akta vienību – pantu, daļu, punktu, apakšpunktu)</w:t>
            </w:r>
          </w:p>
        </w:tc>
        <w:tc>
          <w:tcPr>
            <w:tcW w:w="1250" w:type="pct"/>
            <w:tcBorders>
              <w:top w:val="outset" w:sz="6" w:space="0" w:color="auto"/>
              <w:left w:val="outset" w:sz="6" w:space="0" w:color="auto"/>
              <w:bottom w:val="outset" w:sz="6" w:space="0" w:color="auto"/>
              <w:right w:val="outset" w:sz="6" w:space="0" w:color="auto"/>
            </w:tcBorders>
            <w:hideMark/>
          </w:tcPr>
          <w:p w14:paraId="5AD31845" w14:textId="77777777" w:rsidR="00E5323B" w:rsidRPr="00316650" w:rsidRDefault="00E5323B" w:rsidP="00E5323B">
            <w:pPr>
              <w:spacing w:after="0" w:line="240" w:lineRule="auto"/>
              <w:rPr>
                <w:rFonts w:ascii="Times New Roman" w:eastAsia="Times New Roman" w:hAnsi="Times New Roman" w:cs="Times New Roman"/>
                <w:iCs/>
                <w:sz w:val="24"/>
                <w:szCs w:val="24"/>
                <w:lang w:eastAsia="lv-LV"/>
              </w:rPr>
            </w:pPr>
            <w:r w:rsidRPr="00316650">
              <w:rPr>
                <w:rFonts w:ascii="Times New Roman" w:eastAsia="Times New Roman" w:hAnsi="Times New Roman" w:cs="Times New Roman"/>
                <w:iCs/>
                <w:sz w:val="24"/>
                <w:szCs w:val="24"/>
                <w:lang w:eastAsia="lv-LV"/>
              </w:rPr>
              <w:t>Projekta vienība, kas pārņem vai ievieš katru šīs tabulas A ailē minēto ES tiesību akta vienību, vai tiesību akts, kur attiecīgā ES tiesību akta vienība pārņemta vai ieviesta</w:t>
            </w:r>
          </w:p>
        </w:tc>
        <w:tc>
          <w:tcPr>
            <w:tcW w:w="1250" w:type="pct"/>
            <w:gridSpan w:val="2"/>
            <w:tcBorders>
              <w:top w:val="outset" w:sz="6" w:space="0" w:color="auto"/>
              <w:left w:val="outset" w:sz="6" w:space="0" w:color="auto"/>
              <w:bottom w:val="outset" w:sz="6" w:space="0" w:color="auto"/>
              <w:right w:val="outset" w:sz="6" w:space="0" w:color="auto"/>
            </w:tcBorders>
            <w:hideMark/>
          </w:tcPr>
          <w:p w14:paraId="6F570573" w14:textId="77777777" w:rsidR="00E5323B" w:rsidRPr="00316650" w:rsidRDefault="00E5323B" w:rsidP="00E5323B">
            <w:pPr>
              <w:spacing w:after="0" w:line="240" w:lineRule="auto"/>
              <w:rPr>
                <w:rFonts w:ascii="Times New Roman" w:eastAsia="Times New Roman" w:hAnsi="Times New Roman" w:cs="Times New Roman"/>
                <w:iCs/>
                <w:sz w:val="24"/>
                <w:szCs w:val="24"/>
                <w:lang w:eastAsia="lv-LV"/>
              </w:rPr>
            </w:pPr>
            <w:r w:rsidRPr="00316650">
              <w:rPr>
                <w:rFonts w:ascii="Times New Roman" w:eastAsia="Times New Roman" w:hAnsi="Times New Roman" w:cs="Times New Roman"/>
                <w:iCs/>
                <w:sz w:val="24"/>
                <w:szCs w:val="24"/>
                <w:lang w:eastAsia="lv-LV"/>
              </w:rPr>
              <w:t>Informācija par to, vai šīs tabulas A ailē minētās ES tiesību akta vienības tiek pārņemtas vai ieviestas pilnībā vai daļēji.</w:t>
            </w:r>
            <w:r w:rsidRPr="00316650">
              <w:rPr>
                <w:rFonts w:ascii="Times New Roman" w:eastAsia="Times New Roman" w:hAnsi="Times New Roman" w:cs="Times New Roman"/>
                <w:iCs/>
                <w:sz w:val="24"/>
                <w:szCs w:val="24"/>
                <w:lang w:eastAsia="lv-LV"/>
              </w:rPr>
              <w:br/>
              <w:t>Ja attiecīgā ES tiesību akta vienība tiek pārņemta vai ieviesta daļēji, sniedz attiecīgu skaidrojumu, kā arī precīzi norāda, kad un kādā veidā ES tiesību akta vienība tiks pārņemta vai ieviesta pilnībā.</w:t>
            </w:r>
            <w:r w:rsidRPr="00316650">
              <w:rPr>
                <w:rFonts w:ascii="Times New Roman" w:eastAsia="Times New Roman" w:hAnsi="Times New Roman" w:cs="Times New Roman"/>
                <w:iCs/>
                <w:sz w:val="24"/>
                <w:szCs w:val="24"/>
                <w:lang w:eastAsia="lv-LV"/>
              </w:rPr>
              <w:br/>
              <w:t>Norāda institūciju, kas ir atbildīga par šo saistību izpildi pilnībā</w:t>
            </w:r>
          </w:p>
        </w:tc>
        <w:tc>
          <w:tcPr>
            <w:tcW w:w="1250" w:type="pct"/>
            <w:tcBorders>
              <w:top w:val="outset" w:sz="6" w:space="0" w:color="auto"/>
              <w:left w:val="outset" w:sz="6" w:space="0" w:color="auto"/>
              <w:bottom w:val="outset" w:sz="6" w:space="0" w:color="auto"/>
              <w:right w:val="outset" w:sz="6" w:space="0" w:color="auto"/>
            </w:tcBorders>
            <w:hideMark/>
          </w:tcPr>
          <w:p w14:paraId="78790CAD" w14:textId="77777777" w:rsidR="00E5323B" w:rsidRPr="00316650" w:rsidRDefault="00E5323B" w:rsidP="00E5323B">
            <w:pPr>
              <w:spacing w:after="0" w:line="240" w:lineRule="auto"/>
              <w:rPr>
                <w:rFonts w:ascii="Times New Roman" w:eastAsia="Times New Roman" w:hAnsi="Times New Roman" w:cs="Times New Roman"/>
                <w:iCs/>
                <w:sz w:val="24"/>
                <w:szCs w:val="24"/>
                <w:lang w:eastAsia="lv-LV"/>
              </w:rPr>
            </w:pPr>
            <w:r w:rsidRPr="00316650">
              <w:rPr>
                <w:rFonts w:ascii="Times New Roman" w:eastAsia="Times New Roman" w:hAnsi="Times New Roman" w:cs="Times New Roman"/>
                <w:iCs/>
                <w:sz w:val="24"/>
                <w:szCs w:val="24"/>
                <w:lang w:eastAsia="lv-LV"/>
              </w:rPr>
              <w:t>Informācija par to, vai šīs tabulas B ailē minētās projekta vienības paredz stingrākas prasības nekā šīs tabulas A ailē minētās ES tiesību akta vienības.</w:t>
            </w:r>
            <w:r w:rsidRPr="00316650">
              <w:rPr>
                <w:rFonts w:ascii="Times New Roman" w:eastAsia="Times New Roman" w:hAnsi="Times New Roman" w:cs="Times New Roman"/>
                <w:iCs/>
                <w:sz w:val="24"/>
                <w:szCs w:val="24"/>
                <w:lang w:eastAsia="lv-LV"/>
              </w:rPr>
              <w:br/>
              <w:t>Ja projekts satur stingrākas prasības nekā attiecīgais ES tiesību akts, norāda pamatojumu un samērīgumu.</w:t>
            </w:r>
            <w:r w:rsidRPr="00316650">
              <w:rPr>
                <w:rFonts w:ascii="Times New Roman" w:eastAsia="Times New Roman" w:hAnsi="Times New Roman" w:cs="Times New Roman"/>
                <w:iCs/>
                <w:sz w:val="24"/>
                <w:szCs w:val="24"/>
                <w:lang w:eastAsia="lv-LV"/>
              </w:rPr>
              <w:br/>
              <w:t>Norāda iespējamās alternatīvas (t. sk. alternatīvas, kas neparedz tiesiskā regulējuma izstrādi) – kādos gadījumos būtu iespējams izvairīties no stingrāku prasību noteikšanas, nekā paredzēts attiecīgajos ES tiesību aktos</w:t>
            </w:r>
          </w:p>
        </w:tc>
      </w:tr>
      <w:tr w:rsidR="000E1E68" w:rsidRPr="00316650" w14:paraId="6F4C566A" w14:textId="77777777" w:rsidTr="00E5323B">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28A34555" w14:textId="77777777" w:rsidR="00E5323B" w:rsidRPr="00316650" w:rsidRDefault="00E5323B" w:rsidP="00E5323B">
            <w:pPr>
              <w:spacing w:after="0" w:line="240" w:lineRule="auto"/>
              <w:rPr>
                <w:rFonts w:ascii="Times New Roman" w:eastAsia="Times New Roman" w:hAnsi="Times New Roman" w:cs="Times New Roman"/>
                <w:iCs/>
                <w:sz w:val="24"/>
                <w:szCs w:val="24"/>
                <w:lang w:eastAsia="lv-LV"/>
              </w:rPr>
            </w:pPr>
            <w:r w:rsidRPr="00316650">
              <w:rPr>
                <w:rFonts w:ascii="Times New Roman" w:eastAsia="Times New Roman" w:hAnsi="Times New Roman" w:cs="Times New Roman"/>
                <w:iCs/>
                <w:sz w:val="24"/>
                <w:szCs w:val="24"/>
                <w:lang w:eastAsia="lv-LV"/>
              </w:rPr>
              <w:t>Iekļauj informāciju atbilstoši instrukcijas 56.1. apakšpunktam</w:t>
            </w:r>
          </w:p>
        </w:tc>
        <w:tc>
          <w:tcPr>
            <w:tcW w:w="1250" w:type="pct"/>
            <w:tcBorders>
              <w:top w:val="outset" w:sz="6" w:space="0" w:color="auto"/>
              <w:left w:val="outset" w:sz="6" w:space="0" w:color="auto"/>
              <w:bottom w:val="outset" w:sz="6" w:space="0" w:color="auto"/>
              <w:right w:val="outset" w:sz="6" w:space="0" w:color="auto"/>
            </w:tcBorders>
            <w:hideMark/>
          </w:tcPr>
          <w:p w14:paraId="1AA79D75" w14:textId="77777777" w:rsidR="00E5323B" w:rsidRPr="00316650" w:rsidRDefault="00E5323B" w:rsidP="00E5323B">
            <w:pPr>
              <w:spacing w:after="0" w:line="240" w:lineRule="auto"/>
              <w:rPr>
                <w:rFonts w:ascii="Times New Roman" w:eastAsia="Times New Roman" w:hAnsi="Times New Roman" w:cs="Times New Roman"/>
                <w:iCs/>
                <w:sz w:val="24"/>
                <w:szCs w:val="24"/>
                <w:lang w:eastAsia="lv-LV"/>
              </w:rPr>
            </w:pPr>
            <w:r w:rsidRPr="00316650">
              <w:rPr>
                <w:rFonts w:ascii="Times New Roman" w:eastAsia="Times New Roman" w:hAnsi="Times New Roman" w:cs="Times New Roman"/>
                <w:iCs/>
                <w:sz w:val="24"/>
                <w:szCs w:val="24"/>
                <w:lang w:eastAsia="lv-LV"/>
              </w:rPr>
              <w:t>Iekļauj informāciju atbilstoši instrukcijas 56.2. apakšpunktam</w:t>
            </w:r>
          </w:p>
        </w:tc>
        <w:tc>
          <w:tcPr>
            <w:tcW w:w="1250" w:type="pct"/>
            <w:gridSpan w:val="2"/>
            <w:tcBorders>
              <w:top w:val="outset" w:sz="6" w:space="0" w:color="auto"/>
              <w:left w:val="outset" w:sz="6" w:space="0" w:color="auto"/>
              <w:bottom w:val="outset" w:sz="6" w:space="0" w:color="auto"/>
              <w:right w:val="outset" w:sz="6" w:space="0" w:color="auto"/>
            </w:tcBorders>
            <w:hideMark/>
          </w:tcPr>
          <w:p w14:paraId="2B50413C" w14:textId="77777777" w:rsidR="00E5323B" w:rsidRPr="00316650" w:rsidRDefault="00E5323B" w:rsidP="00E5323B">
            <w:pPr>
              <w:spacing w:after="0" w:line="240" w:lineRule="auto"/>
              <w:rPr>
                <w:rFonts w:ascii="Times New Roman" w:eastAsia="Times New Roman" w:hAnsi="Times New Roman" w:cs="Times New Roman"/>
                <w:iCs/>
                <w:sz w:val="24"/>
                <w:szCs w:val="24"/>
                <w:lang w:eastAsia="lv-LV"/>
              </w:rPr>
            </w:pPr>
            <w:r w:rsidRPr="00316650">
              <w:rPr>
                <w:rFonts w:ascii="Times New Roman" w:eastAsia="Times New Roman" w:hAnsi="Times New Roman" w:cs="Times New Roman"/>
                <w:iCs/>
                <w:sz w:val="24"/>
                <w:szCs w:val="24"/>
                <w:lang w:eastAsia="lv-LV"/>
              </w:rPr>
              <w:t>Iekļauj informāciju atbilstoši instrukcijas 56.3. apakšpunktam.</w:t>
            </w:r>
            <w:r w:rsidRPr="00316650">
              <w:rPr>
                <w:rFonts w:ascii="Times New Roman" w:eastAsia="Times New Roman" w:hAnsi="Times New Roman" w:cs="Times New Roman"/>
                <w:iCs/>
                <w:sz w:val="24"/>
                <w:szCs w:val="24"/>
                <w:lang w:eastAsia="lv-LV"/>
              </w:rPr>
              <w:br/>
              <w:t>Ja attiecināms, iekļauj arī informāciju atbilstoši instrukcijas 56.3.1., 56.3.2. un 56.3.3. apakšpunktam</w:t>
            </w:r>
          </w:p>
        </w:tc>
        <w:tc>
          <w:tcPr>
            <w:tcW w:w="1250" w:type="pct"/>
            <w:tcBorders>
              <w:top w:val="outset" w:sz="6" w:space="0" w:color="auto"/>
              <w:left w:val="outset" w:sz="6" w:space="0" w:color="auto"/>
              <w:bottom w:val="outset" w:sz="6" w:space="0" w:color="auto"/>
              <w:right w:val="outset" w:sz="6" w:space="0" w:color="auto"/>
            </w:tcBorders>
            <w:hideMark/>
          </w:tcPr>
          <w:p w14:paraId="40E36952" w14:textId="77777777" w:rsidR="00E5323B" w:rsidRPr="00316650" w:rsidRDefault="00E5323B" w:rsidP="00E5323B">
            <w:pPr>
              <w:spacing w:after="0" w:line="240" w:lineRule="auto"/>
              <w:rPr>
                <w:rFonts w:ascii="Times New Roman" w:eastAsia="Times New Roman" w:hAnsi="Times New Roman" w:cs="Times New Roman"/>
                <w:iCs/>
                <w:sz w:val="24"/>
                <w:szCs w:val="24"/>
                <w:lang w:eastAsia="lv-LV"/>
              </w:rPr>
            </w:pPr>
            <w:r w:rsidRPr="00316650">
              <w:rPr>
                <w:rFonts w:ascii="Times New Roman" w:eastAsia="Times New Roman" w:hAnsi="Times New Roman" w:cs="Times New Roman"/>
                <w:iCs/>
                <w:sz w:val="24"/>
                <w:szCs w:val="24"/>
                <w:lang w:eastAsia="lv-LV"/>
              </w:rPr>
              <w:t>Iekļauj informāciju atbilstoši instrukcijas 56.4. apakšpunktam.</w:t>
            </w:r>
            <w:r w:rsidRPr="00316650">
              <w:rPr>
                <w:rFonts w:ascii="Times New Roman" w:eastAsia="Times New Roman" w:hAnsi="Times New Roman" w:cs="Times New Roman"/>
                <w:iCs/>
                <w:sz w:val="24"/>
                <w:szCs w:val="24"/>
                <w:lang w:eastAsia="lv-LV"/>
              </w:rPr>
              <w:br/>
              <w:t>Ja attiecināms, iekļauj arī informāciju atbilstoši instrukcijas 56.4.1. un 56.4.2. apakšpunktam</w:t>
            </w:r>
          </w:p>
        </w:tc>
      </w:tr>
      <w:tr w:rsidR="000E1E68" w:rsidRPr="00316650" w14:paraId="62FAD3CB" w14:textId="77777777" w:rsidTr="00E5323B">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5E9C025D" w14:textId="77777777" w:rsidR="00E5323B" w:rsidRPr="00316650" w:rsidRDefault="00E5323B" w:rsidP="00E5323B">
            <w:pPr>
              <w:spacing w:after="0" w:line="240" w:lineRule="auto"/>
              <w:rPr>
                <w:rFonts w:ascii="Times New Roman" w:eastAsia="Times New Roman" w:hAnsi="Times New Roman" w:cs="Times New Roman"/>
                <w:iCs/>
                <w:sz w:val="24"/>
                <w:szCs w:val="24"/>
                <w:lang w:eastAsia="lv-LV"/>
              </w:rPr>
            </w:pPr>
            <w:r w:rsidRPr="00316650">
              <w:rPr>
                <w:rFonts w:ascii="Times New Roman" w:eastAsia="Times New Roman" w:hAnsi="Times New Roman" w:cs="Times New Roman"/>
                <w:iCs/>
                <w:sz w:val="24"/>
                <w:szCs w:val="24"/>
                <w:lang w:eastAsia="lv-LV"/>
              </w:rPr>
              <w:t>Kā ir izmantota ES tiesību aktā paredzētā rīcības brīvība dalībvalstij pārņemt vai ieviest noteiktas ES tiesību akta normas? Kādēļ?</w:t>
            </w:r>
          </w:p>
        </w:tc>
        <w:tc>
          <w:tcPr>
            <w:tcW w:w="3750" w:type="pct"/>
            <w:gridSpan w:val="4"/>
            <w:tcBorders>
              <w:top w:val="outset" w:sz="6" w:space="0" w:color="auto"/>
              <w:left w:val="outset" w:sz="6" w:space="0" w:color="auto"/>
              <w:bottom w:val="outset" w:sz="6" w:space="0" w:color="auto"/>
              <w:right w:val="outset" w:sz="6" w:space="0" w:color="auto"/>
            </w:tcBorders>
            <w:hideMark/>
          </w:tcPr>
          <w:p w14:paraId="22138C51" w14:textId="65D037A3" w:rsidR="00E5323B" w:rsidRPr="00316650" w:rsidRDefault="00E5323B" w:rsidP="00E5323B">
            <w:pPr>
              <w:spacing w:after="0" w:line="240" w:lineRule="auto"/>
              <w:rPr>
                <w:rFonts w:ascii="Times New Roman" w:eastAsia="Times New Roman" w:hAnsi="Times New Roman" w:cs="Times New Roman"/>
                <w:iCs/>
                <w:sz w:val="24"/>
                <w:szCs w:val="24"/>
                <w:lang w:eastAsia="lv-LV"/>
              </w:rPr>
            </w:pPr>
          </w:p>
        </w:tc>
      </w:tr>
      <w:tr w:rsidR="000E1E68" w:rsidRPr="00316650" w14:paraId="1119BB21" w14:textId="77777777" w:rsidTr="00E5323B">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4B9C00D1" w14:textId="77777777" w:rsidR="00E5323B" w:rsidRPr="00316650" w:rsidRDefault="00E5323B" w:rsidP="00E5323B">
            <w:pPr>
              <w:spacing w:after="0" w:line="240" w:lineRule="auto"/>
              <w:rPr>
                <w:rFonts w:ascii="Times New Roman" w:eastAsia="Times New Roman" w:hAnsi="Times New Roman" w:cs="Times New Roman"/>
                <w:iCs/>
                <w:sz w:val="24"/>
                <w:szCs w:val="24"/>
                <w:lang w:eastAsia="lv-LV"/>
              </w:rPr>
            </w:pPr>
            <w:r w:rsidRPr="00316650">
              <w:rPr>
                <w:rFonts w:ascii="Times New Roman" w:eastAsia="Times New Roman" w:hAnsi="Times New Roman" w:cs="Times New Roman"/>
                <w:iCs/>
                <w:sz w:val="24"/>
                <w:szCs w:val="24"/>
                <w:lang w:eastAsia="lv-LV"/>
              </w:rPr>
              <w:t xml:space="preserve">Saistības sniegt paziņojumu ES institūcijām un ES dalībvalstīm atbilstoši normatīvajiem </w:t>
            </w:r>
            <w:r w:rsidRPr="00316650">
              <w:rPr>
                <w:rFonts w:ascii="Times New Roman" w:eastAsia="Times New Roman" w:hAnsi="Times New Roman" w:cs="Times New Roman"/>
                <w:iCs/>
                <w:sz w:val="24"/>
                <w:szCs w:val="24"/>
                <w:lang w:eastAsia="lv-LV"/>
              </w:rPr>
              <w:lastRenderedPageBreak/>
              <w:t>aktiem, kas regulē informācijas sniegšanu par tehnisko noteikumu, valsts atbalsta piešķiršanas un finanšu noteikumu (attiecībā uz monetāro politiku) projektiem</w:t>
            </w:r>
          </w:p>
        </w:tc>
        <w:tc>
          <w:tcPr>
            <w:tcW w:w="3750" w:type="pct"/>
            <w:gridSpan w:val="4"/>
            <w:tcBorders>
              <w:top w:val="outset" w:sz="6" w:space="0" w:color="auto"/>
              <w:left w:val="outset" w:sz="6" w:space="0" w:color="auto"/>
              <w:bottom w:val="outset" w:sz="6" w:space="0" w:color="auto"/>
              <w:right w:val="outset" w:sz="6" w:space="0" w:color="auto"/>
            </w:tcBorders>
            <w:hideMark/>
          </w:tcPr>
          <w:p w14:paraId="3AD8253F" w14:textId="3514460D" w:rsidR="00E5323B" w:rsidRPr="00316650" w:rsidRDefault="00E5323B" w:rsidP="00E5323B">
            <w:pPr>
              <w:spacing w:after="0" w:line="240" w:lineRule="auto"/>
              <w:rPr>
                <w:rFonts w:ascii="Times New Roman" w:eastAsia="Times New Roman" w:hAnsi="Times New Roman" w:cs="Times New Roman"/>
                <w:iCs/>
                <w:sz w:val="24"/>
                <w:szCs w:val="24"/>
                <w:lang w:eastAsia="lv-LV"/>
              </w:rPr>
            </w:pPr>
          </w:p>
        </w:tc>
      </w:tr>
      <w:tr w:rsidR="000E1E68" w:rsidRPr="00316650" w14:paraId="1E42B49D" w14:textId="77777777" w:rsidTr="00E5323B">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232CA147" w14:textId="77777777" w:rsidR="00E5323B" w:rsidRPr="00316650"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316650">
              <w:rPr>
                <w:rFonts w:ascii="Times New Roman" w:eastAsia="Times New Roman" w:hAnsi="Times New Roman" w:cs="Times New Roman"/>
                <w:iCs/>
                <w:sz w:val="24"/>
                <w:szCs w:val="24"/>
                <w:lang w:val="en-US" w:eastAsia="lv-LV"/>
              </w:rPr>
              <w:t>Cita</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informācija</w:t>
            </w:r>
            <w:proofErr w:type="spellEnd"/>
          </w:p>
        </w:tc>
        <w:tc>
          <w:tcPr>
            <w:tcW w:w="3750" w:type="pct"/>
            <w:gridSpan w:val="4"/>
            <w:tcBorders>
              <w:top w:val="outset" w:sz="6" w:space="0" w:color="auto"/>
              <w:left w:val="outset" w:sz="6" w:space="0" w:color="auto"/>
              <w:bottom w:val="outset" w:sz="6" w:space="0" w:color="auto"/>
              <w:right w:val="outset" w:sz="6" w:space="0" w:color="auto"/>
            </w:tcBorders>
            <w:hideMark/>
          </w:tcPr>
          <w:p w14:paraId="0233F4CB" w14:textId="11146B01" w:rsidR="00E5323B" w:rsidRPr="00316650" w:rsidRDefault="00F32C9D"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Nav.</w:t>
            </w:r>
          </w:p>
        </w:tc>
      </w:tr>
      <w:tr w:rsidR="000E1E68" w:rsidRPr="00316650" w14:paraId="274557F4" w14:textId="77777777" w:rsidTr="00E5323B">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0017AC9B" w14:textId="77777777" w:rsidR="00655F2C" w:rsidRPr="00316650" w:rsidRDefault="00E5323B" w:rsidP="00E5323B">
            <w:pPr>
              <w:spacing w:after="0" w:line="240" w:lineRule="auto"/>
              <w:rPr>
                <w:rFonts w:ascii="Times New Roman" w:eastAsia="Times New Roman" w:hAnsi="Times New Roman" w:cs="Times New Roman"/>
                <w:b/>
                <w:bCs/>
                <w:iCs/>
                <w:sz w:val="24"/>
                <w:szCs w:val="24"/>
                <w:lang w:eastAsia="lv-LV"/>
              </w:rPr>
            </w:pPr>
            <w:r w:rsidRPr="00316650">
              <w:rPr>
                <w:rFonts w:ascii="Times New Roman" w:eastAsia="Times New Roman" w:hAnsi="Times New Roman" w:cs="Times New Roman"/>
                <w:b/>
                <w:bCs/>
                <w:iCs/>
                <w:sz w:val="24"/>
                <w:szCs w:val="24"/>
                <w:lang w:eastAsia="lv-LV"/>
              </w:rPr>
              <w:t>2. tabula</w:t>
            </w:r>
            <w:r w:rsidRPr="00316650">
              <w:rPr>
                <w:rFonts w:ascii="Times New Roman" w:eastAsia="Times New Roman" w:hAnsi="Times New Roman" w:cs="Times New Roman"/>
                <w:b/>
                <w:bCs/>
                <w:iCs/>
                <w:sz w:val="24"/>
                <w:szCs w:val="24"/>
                <w:lang w:eastAsia="lv-LV"/>
              </w:rPr>
              <w:br/>
              <w:t>Ar tiesību akta projektu izpildītās vai uzņemtās saistības, kas izriet no starptautiskajiem tiesību aktiem vai starptautiskas institūcijas vai organizācijas dokumentiem.</w:t>
            </w:r>
            <w:r w:rsidRPr="00316650">
              <w:rPr>
                <w:rFonts w:ascii="Times New Roman" w:eastAsia="Times New Roman" w:hAnsi="Times New Roman" w:cs="Times New Roman"/>
                <w:b/>
                <w:bCs/>
                <w:iCs/>
                <w:sz w:val="24"/>
                <w:szCs w:val="24"/>
                <w:lang w:eastAsia="lv-LV"/>
              </w:rPr>
              <w:br/>
              <w:t>Pasākumi šo saistību izpildei</w:t>
            </w:r>
          </w:p>
        </w:tc>
      </w:tr>
      <w:tr w:rsidR="000E1E68" w:rsidRPr="00316650" w14:paraId="62F0ECBA" w14:textId="77777777" w:rsidTr="00E5323B">
        <w:trPr>
          <w:tblCellSpacing w:w="15" w:type="dxa"/>
        </w:trPr>
        <w:tc>
          <w:tcPr>
            <w:tcW w:w="1200" w:type="pct"/>
            <w:tcBorders>
              <w:top w:val="outset" w:sz="6" w:space="0" w:color="auto"/>
              <w:left w:val="outset" w:sz="6" w:space="0" w:color="auto"/>
              <w:bottom w:val="outset" w:sz="6" w:space="0" w:color="auto"/>
              <w:right w:val="outset" w:sz="6" w:space="0" w:color="auto"/>
            </w:tcBorders>
            <w:hideMark/>
          </w:tcPr>
          <w:p w14:paraId="2A4BF479" w14:textId="77777777" w:rsidR="00E5323B" w:rsidRPr="00316650" w:rsidRDefault="00E5323B" w:rsidP="00E5323B">
            <w:pPr>
              <w:spacing w:after="0" w:line="240" w:lineRule="auto"/>
              <w:rPr>
                <w:rFonts w:ascii="Times New Roman" w:eastAsia="Times New Roman" w:hAnsi="Times New Roman" w:cs="Times New Roman"/>
                <w:iCs/>
                <w:sz w:val="24"/>
                <w:szCs w:val="24"/>
                <w:lang w:eastAsia="lv-LV"/>
              </w:rPr>
            </w:pPr>
            <w:r w:rsidRPr="00316650">
              <w:rPr>
                <w:rFonts w:ascii="Times New Roman" w:eastAsia="Times New Roman" w:hAnsi="Times New Roman" w:cs="Times New Roman"/>
                <w:iCs/>
                <w:sz w:val="24"/>
                <w:szCs w:val="24"/>
                <w:lang w:eastAsia="lv-LV"/>
              </w:rPr>
              <w:t>Attiecīgā starptautiskā tiesību akta vai starptautiskas institūcijas vai organizācijas dokumenta (turpmāk – starptautiskais dokuments) datums, numurs un nosaukums</w:t>
            </w:r>
          </w:p>
        </w:tc>
        <w:tc>
          <w:tcPr>
            <w:tcW w:w="3750" w:type="pct"/>
            <w:gridSpan w:val="4"/>
            <w:tcBorders>
              <w:top w:val="outset" w:sz="6" w:space="0" w:color="auto"/>
              <w:left w:val="outset" w:sz="6" w:space="0" w:color="auto"/>
              <w:bottom w:val="outset" w:sz="6" w:space="0" w:color="auto"/>
              <w:right w:val="outset" w:sz="6" w:space="0" w:color="auto"/>
            </w:tcBorders>
            <w:hideMark/>
          </w:tcPr>
          <w:p w14:paraId="3EEE9C5A" w14:textId="74D00CC6" w:rsidR="00E5323B" w:rsidRPr="00316650" w:rsidRDefault="00E5323B" w:rsidP="00E5323B">
            <w:pPr>
              <w:spacing w:after="0" w:line="240" w:lineRule="auto"/>
              <w:rPr>
                <w:rFonts w:ascii="Times New Roman" w:eastAsia="Times New Roman" w:hAnsi="Times New Roman" w:cs="Times New Roman"/>
                <w:iCs/>
                <w:sz w:val="24"/>
                <w:szCs w:val="24"/>
                <w:lang w:eastAsia="lv-LV"/>
              </w:rPr>
            </w:pPr>
          </w:p>
        </w:tc>
      </w:tr>
      <w:tr w:rsidR="000E1E68" w:rsidRPr="00316650" w14:paraId="43E7AF2B" w14:textId="77777777" w:rsidTr="00E5323B">
        <w:trPr>
          <w:tblCellSpacing w:w="15" w:type="dxa"/>
        </w:trPr>
        <w:tc>
          <w:tcPr>
            <w:tcW w:w="1200" w:type="pct"/>
            <w:tcBorders>
              <w:top w:val="outset" w:sz="6" w:space="0" w:color="auto"/>
              <w:left w:val="outset" w:sz="6" w:space="0" w:color="auto"/>
              <w:bottom w:val="outset" w:sz="6" w:space="0" w:color="auto"/>
              <w:right w:val="outset" w:sz="6" w:space="0" w:color="auto"/>
            </w:tcBorders>
            <w:vAlign w:val="center"/>
            <w:hideMark/>
          </w:tcPr>
          <w:p w14:paraId="4FB69913" w14:textId="77777777" w:rsidR="00655F2C" w:rsidRPr="00316650" w:rsidRDefault="00E5323B"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A</w:t>
            </w:r>
          </w:p>
        </w:tc>
        <w:tc>
          <w:tcPr>
            <w:tcW w:w="1800" w:type="pct"/>
            <w:gridSpan w:val="2"/>
            <w:tcBorders>
              <w:top w:val="outset" w:sz="6" w:space="0" w:color="auto"/>
              <w:left w:val="outset" w:sz="6" w:space="0" w:color="auto"/>
              <w:bottom w:val="outset" w:sz="6" w:space="0" w:color="auto"/>
              <w:right w:val="outset" w:sz="6" w:space="0" w:color="auto"/>
            </w:tcBorders>
            <w:vAlign w:val="center"/>
            <w:hideMark/>
          </w:tcPr>
          <w:p w14:paraId="2B1B5142" w14:textId="77777777" w:rsidR="00655F2C" w:rsidRPr="00316650" w:rsidRDefault="00E5323B"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B</w:t>
            </w:r>
          </w:p>
        </w:tc>
        <w:tc>
          <w:tcPr>
            <w:tcW w:w="1950" w:type="pct"/>
            <w:gridSpan w:val="2"/>
            <w:tcBorders>
              <w:top w:val="outset" w:sz="6" w:space="0" w:color="auto"/>
              <w:left w:val="outset" w:sz="6" w:space="0" w:color="auto"/>
              <w:bottom w:val="outset" w:sz="6" w:space="0" w:color="auto"/>
              <w:right w:val="outset" w:sz="6" w:space="0" w:color="auto"/>
            </w:tcBorders>
            <w:vAlign w:val="center"/>
            <w:hideMark/>
          </w:tcPr>
          <w:p w14:paraId="52092545" w14:textId="77777777" w:rsidR="00655F2C" w:rsidRPr="00316650" w:rsidRDefault="00E5323B"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C</w:t>
            </w:r>
          </w:p>
        </w:tc>
      </w:tr>
      <w:tr w:rsidR="000E1E68" w:rsidRPr="00316650" w14:paraId="48C8BD6B" w14:textId="77777777" w:rsidTr="00E5323B">
        <w:trPr>
          <w:tblCellSpacing w:w="15" w:type="dxa"/>
        </w:trPr>
        <w:tc>
          <w:tcPr>
            <w:tcW w:w="1200" w:type="pct"/>
            <w:tcBorders>
              <w:top w:val="outset" w:sz="6" w:space="0" w:color="auto"/>
              <w:left w:val="outset" w:sz="6" w:space="0" w:color="auto"/>
              <w:bottom w:val="outset" w:sz="6" w:space="0" w:color="auto"/>
              <w:right w:val="outset" w:sz="6" w:space="0" w:color="auto"/>
            </w:tcBorders>
            <w:hideMark/>
          </w:tcPr>
          <w:p w14:paraId="2A37DC10" w14:textId="77777777" w:rsidR="00E5323B" w:rsidRPr="00316650" w:rsidRDefault="00E5323B" w:rsidP="00E5323B">
            <w:pPr>
              <w:spacing w:after="0" w:line="240" w:lineRule="auto"/>
              <w:rPr>
                <w:rFonts w:ascii="Times New Roman" w:eastAsia="Times New Roman" w:hAnsi="Times New Roman" w:cs="Times New Roman"/>
                <w:iCs/>
                <w:sz w:val="24"/>
                <w:szCs w:val="24"/>
                <w:lang w:eastAsia="lv-LV"/>
              </w:rPr>
            </w:pPr>
            <w:r w:rsidRPr="00316650">
              <w:rPr>
                <w:rFonts w:ascii="Times New Roman" w:eastAsia="Times New Roman" w:hAnsi="Times New Roman" w:cs="Times New Roman"/>
                <w:iCs/>
                <w:sz w:val="24"/>
                <w:szCs w:val="24"/>
                <w:lang w:eastAsia="lv-LV"/>
              </w:rPr>
              <w:t>Starptautiskās saistības (pēc būtības), kas izriet no norādītā starptautiskā dokumenta.</w:t>
            </w:r>
            <w:r w:rsidRPr="00316650">
              <w:rPr>
                <w:rFonts w:ascii="Times New Roman" w:eastAsia="Times New Roman" w:hAnsi="Times New Roman" w:cs="Times New Roman"/>
                <w:iCs/>
                <w:sz w:val="24"/>
                <w:szCs w:val="24"/>
                <w:lang w:eastAsia="lv-LV"/>
              </w:rPr>
              <w:br/>
              <w:t>Konkrēti veicamie pasākumi vai uzdevumi, kas nepieciešami šo starptautisko saistību izpildei</w:t>
            </w:r>
          </w:p>
        </w:tc>
        <w:tc>
          <w:tcPr>
            <w:tcW w:w="1800" w:type="pct"/>
            <w:gridSpan w:val="2"/>
            <w:tcBorders>
              <w:top w:val="outset" w:sz="6" w:space="0" w:color="auto"/>
              <w:left w:val="outset" w:sz="6" w:space="0" w:color="auto"/>
              <w:bottom w:val="outset" w:sz="6" w:space="0" w:color="auto"/>
              <w:right w:val="outset" w:sz="6" w:space="0" w:color="auto"/>
            </w:tcBorders>
            <w:hideMark/>
          </w:tcPr>
          <w:p w14:paraId="3C022AAE" w14:textId="77777777" w:rsidR="00E5323B" w:rsidRPr="00316650" w:rsidRDefault="00E5323B" w:rsidP="00E5323B">
            <w:pPr>
              <w:spacing w:after="0" w:line="240" w:lineRule="auto"/>
              <w:rPr>
                <w:rFonts w:ascii="Times New Roman" w:eastAsia="Times New Roman" w:hAnsi="Times New Roman" w:cs="Times New Roman"/>
                <w:iCs/>
                <w:sz w:val="24"/>
                <w:szCs w:val="24"/>
                <w:lang w:eastAsia="lv-LV"/>
              </w:rPr>
            </w:pPr>
            <w:r w:rsidRPr="00316650">
              <w:rPr>
                <w:rFonts w:ascii="Times New Roman" w:eastAsia="Times New Roman" w:hAnsi="Times New Roman" w:cs="Times New Roman"/>
                <w:iCs/>
                <w:sz w:val="24"/>
                <w:szCs w:val="24"/>
                <w:lang w:eastAsia="lv-LV"/>
              </w:rPr>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1950" w:type="pct"/>
            <w:gridSpan w:val="2"/>
            <w:tcBorders>
              <w:top w:val="outset" w:sz="6" w:space="0" w:color="auto"/>
              <w:left w:val="outset" w:sz="6" w:space="0" w:color="auto"/>
              <w:bottom w:val="outset" w:sz="6" w:space="0" w:color="auto"/>
              <w:right w:val="outset" w:sz="6" w:space="0" w:color="auto"/>
            </w:tcBorders>
            <w:hideMark/>
          </w:tcPr>
          <w:p w14:paraId="3A2C1906" w14:textId="77777777" w:rsidR="00E5323B" w:rsidRPr="00316650" w:rsidRDefault="00E5323B" w:rsidP="00E5323B">
            <w:pPr>
              <w:spacing w:after="0" w:line="240" w:lineRule="auto"/>
              <w:rPr>
                <w:rFonts w:ascii="Times New Roman" w:eastAsia="Times New Roman" w:hAnsi="Times New Roman" w:cs="Times New Roman"/>
                <w:iCs/>
                <w:sz w:val="24"/>
                <w:szCs w:val="24"/>
                <w:lang w:eastAsia="lv-LV"/>
              </w:rPr>
            </w:pPr>
            <w:r w:rsidRPr="00316650">
              <w:rPr>
                <w:rFonts w:ascii="Times New Roman" w:eastAsia="Times New Roman" w:hAnsi="Times New Roman" w:cs="Times New Roman"/>
                <w:iCs/>
                <w:sz w:val="24"/>
                <w:szCs w:val="24"/>
                <w:lang w:eastAsia="lv-LV"/>
              </w:rPr>
              <w:t>Informācija par to, vai starptautiskās saistības, kas minētas šīs tabulas A ailē, tiek izpildītas pilnībā vai daļēji.</w:t>
            </w:r>
            <w:r w:rsidRPr="00316650">
              <w:rPr>
                <w:rFonts w:ascii="Times New Roman" w:eastAsia="Times New Roman" w:hAnsi="Times New Roman" w:cs="Times New Roman"/>
                <w:iCs/>
                <w:sz w:val="24"/>
                <w:szCs w:val="24"/>
                <w:lang w:eastAsia="lv-LV"/>
              </w:rPr>
              <w:br/>
              <w:t>Ja attiecīgās starptautiskās saistības tiek izpildītas daļēji, sniedz skaidrojumu, kā arī precīzi norāda, kad un kādā veidā starptautiskās saistības tiks izpildītas pilnībā.</w:t>
            </w:r>
            <w:r w:rsidRPr="00316650">
              <w:rPr>
                <w:rFonts w:ascii="Times New Roman" w:eastAsia="Times New Roman" w:hAnsi="Times New Roman" w:cs="Times New Roman"/>
                <w:iCs/>
                <w:sz w:val="24"/>
                <w:szCs w:val="24"/>
                <w:lang w:eastAsia="lv-LV"/>
              </w:rPr>
              <w:br/>
              <w:t>Norāda institūciju, kas ir atbildīga par šo saistību izpildi pilnībā</w:t>
            </w:r>
          </w:p>
        </w:tc>
      </w:tr>
      <w:tr w:rsidR="000E1E68" w:rsidRPr="00316650" w14:paraId="4D36398C" w14:textId="77777777" w:rsidTr="00E5323B">
        <w:trPr>
          <w:tblCellSpacing w:w="15" w:type="dxa"/>
        </w:trPr>
        <w:tc>
          <w:tcPr>
            <w:tcW w:w="1200" w:type="pct"/>
            <w:tcBorders>
              <w:top w:val="outset" w:sz="6" w:space="0" w:color="auto"/>
              <w:left w:val="outset" w:sz="6" w:space="0" w:color="auto"/>
              <w:bottom w:val="outset" w:sz="6" w:space="0" w:color="auto"/>
              <w:right w:val="outset" w:sz="6" w:space="0" w:color="auto"/>
            </w:tcBorders>
            <w:hideMark/>
          </w:tcPr>
          <w:p w14:paraId="58177B3A" w14:textId="77777777" w:rsidR="00E5323B" w:rsidRPr="00316650" w:rsidRDefault="00E5323B" w:rsidP="00E5323B">
            <w:pPr>
              <w:spacing w:after="0" w:line="240" w:lineRule="auto"/>
              <w:rPr>
                <w:rFonts w:ascii="Times New Roman" w:eastAsia="Times New Roman" w:hAnsi="Times New Roman" w:cs="Times New Roman"/>
                <w:iCs/>
                <w:sz w:val="24"/>
                <w:szCs w:val="24"/>
                <w:lang w:eastAsia="lv-LV"/>
              </w:rPr>
            </w:pPr>
            <w:r w:rsidRPr="00316650">
              <w:rPr>
                <w:rFonts w:ascii="Times New Roman" w:eastAsia="Times New Roman" w:hAnsi="Times New Roman" w:cs="Times New Roman"/>
                <w:iCs/>
                <w:sz w:val="24"/>
                <w:szCs w:val="24"/>
                <w:lang w:eastAsia="lv-LV"/>
              </w:rPr>
              <w:t>Iekļauj informāciju atbilstoši instrukcijas 58.1. apakšpunktam</w:t>
            </w:r>
          </w:p>
        </w:tc>
        <w:tc>
          <w:tcPr>
            <w:tcW w:w="1800" w:type="pct"/>
            <w:gridSpan w:val="2"/>
            <w:tcBorders>
              <w:top w:val="outset" w:sz="6" w:space="0" w:color="auto"/>
              <w:left w:val="outset" w:sz="6" w:space="0" w:color="auto"/>
              <w:bottom w:val="outset" w:sz="6" w:space="0" w:color="auto"/>
              <w:right w:val="outset" w:sz="6" w:space="0" w:color="auto"/>
            </w:tcBorders>
            <w:hideMark/>
          </w:tcPr>
          <w:p w14:paraId="17DF333E" w14:textId="77777777" w:rsidR="00E5323B" w:rsidRPr="00316650" w:rsidRDefault="00E5323B" w:rsidP="00E5323B">
            <w:pPr>
              <w:spacing w:after="0" w:line="240" w:lineRule="auto"/>
              <w:rPr>
                <w:rFonts w:ascii="Times New Roman" w:eastAsia="Times New Roman" w:hAnsi="Times New Roman" w:cs="Times New Roman"/>
                <w:iCs/>
                <w:sz w:val="24"/>
                <w:szCs w:val="24"/>
                <w:lang w:eastAsia="lv-LV"/>
              </w:rPr>
            </w:pPr>
            <w:r w:rsidRPr="00316650">
              <w:rPr>
                <w:rFonts w:ascii="Times New Roman" w:eastAsia="Times New Roman" w:hAnsi="Times New Roman" w:cs="Times New Roman"/>
                <w:iCs/>
                <w:sz w:val="24"/>
                <w:szCs w:val="24"/>
                <w:lang w:eastAsia="lv-LV"/>
              </w:rPr>
              <w:t>Iekļauj informāciju atbilstoši instrukcijas 58.2. apakšpunktam</w:t>
            </w:r>
          </w:p>
        </w:tc>
        <w:tc>
          <w:tcPr>
            <w:tcW w:w="1950" w:type="pct"/>
            <w:gridSpan w:val="2"/>
            <w:tcBorders>
              <w:top w:val="outset" w:sz="6" w:space="0" w:color="auto"/>
              <w:left w:val="outset" w:sz="6" w:space="0" w:color="auto"/>
              <w:bottom w:val="outset" w:sz="6" w:space="0" w:color="auto"/>
              <w:right w:val="outset" w:sz="6" w:space="0" w:color="auto"/>
            </w:tcBorders>
            <w:hideMark/>
          </w:tcPr>
          <w:p w14:paraId="68BD9CD3" w14:textId="77777777" w:rsidR="00E5323B" w:rsidRPr="00316650" w:rsidRDefault="00E5323B" w:rsidP="00E5323B">
            <w:pPr>
              <w:spacing w:after="0" w:line="240" w:lineRule="auto"/>
              <w:rPr>
                <w:rFonts w:ascii="Times New Roman" w:eastAsia="Times New Roman" w:hAnsi="Times New Roman" w:cs="Times New Roman"/>
                <w:iCs/>
                <w:sz w:val="24"/>
                <w:szCs w:val="24"/>
                <w:lang w:eastAsia="lv-LV"/>
              </w:rPr>
            </w:pPr>
            <w:r w:rsidRPr="00316650">
              <w:rPr>
                <w:rFonts w:ascii="Times New Roman" w:eastAsia="Times New Roman" w:hAnsi="Times New Roman" w:cs="Times New Roman"/>
                <w:iCs/>
                <w:sz w:val="24"/>
                <w:szCs w:val="24"/>
                <w:lang w:eastAsia="lv-LV"/>
              </w:rPr>
              <w:t>Iekļauj informāciju atbilstoši instrukcijas 58.3. apakšpunktam.</w:t>
            </w:r>
            <w:r w:rsidRPr="00316650">
              <w:rPr>
                <w:rFonts w:ascii="Times New Roman" w:eastAsia="Times New Roman" w:hAnsi="Times New Roman" w:cs="Times New Roman"/>
                <w:iCs/>
                <w:sz w:val="24"/>
                <w:szCs w:val="24"/>
                <w:lang w:eastAsia="lv-LV"/>
              </w:rPr>
              <w:br/>
              <w:t>Ja attiecināms, iekļauj arī informāciju atbilstoši instrukcijas 58.3.1., 58.3.2. un 58.3.3. apakšpunktam</w:t>
            </w:r>
          </w:p>
        </w:tc>
      </w:tr>
      <w:tr w:rsidR="000E1E68" w:rsidRPr="00316650" w14:paraId="3F5C6B0A" w14:textId="77777777" w:rsidTr="00E5323B">
        <w:trPr>
          <w:tblCellSpacing w:w="15" w:type="dxa"/>
        </w:trPr>
        <w:tc>
          <w:tcPr>
            <w:tcW w:w="1200" w:type="pct"/>
            <w:tcBorders>
              <w:top w:val="outset" w:sz="6" w:space="0" w:color="auto"/>
              <w:left w:val="outset" w:sz="6" w:space="0" w:color="auto"/>
              <w:bottom w:val="outset" w:sz="6" w:space="0" w:color="auto"/>
              <w:right w:val="outset" w:sz="6" w:space="0" w:color="auto"/>
            </w:tcBorders>
            <w:hideMark/>
          </w:tcPr>
          <w:p w14:paraId="344A831B" w14:textId="77777777" w:rsidR="00E5323B" w:rsidRPr="00316650" w:rsidRDefault="00E5323B" w:rsidP="00E5323B">
            <w:pPr>
              <w:spacing w:after="0" w:line="240" w:lineRule="auto"/>
              <w:rPr>
                <w:rFonts w:ascii="Times New Roman" w:eastAsia="Times New Roman" w:hAnsi="Times New Roman" w:cs="Times New Roman"/>
                <w:iCs/>
                <w:sz w:val="24"/>
                <w:szCs w:val="24"/>
                <w:lang w:eastAsia="lv-LV"/>
              </w:rPr>
            </w:pPr>
            <w:r w:rsidRPr="00316650">
              <w:rPr>
                <w:rFonts w:ascii="Times New Roman" w:eastAsia="Times New Roman" w:hAnsi="Times New Roman" w:cs="Times New Roman"/>
                <w:iCs/>
                <w:sz w:val="24"/>
                <w:szCs w:val="24"/>
                <w:lang w:eastAsia="lv-LV"/>
              </w:rPr>
              <w:t xml:space="preserve">Vai starptautiskajā dokumentā paredzētās saistības </w:t>
            </w:r>
            <w:r w:rsidRPr="00316650">
              <w:rPr>
                <w:rFonts w:ascii="Times New Roman" w:eastAsia="Times New Roman" w:hAnsi="Times New Roman" w:cs="Times New Roman"/>
                <w:iCs/>
                <w:sz w:val="24"/>
                <w:szCs w:val="24"/>
                <w:lang w:eastAsia="lv-LV"/>
              </w:rPr>
              <w:lastRenderedPageBreak/>
              <w:t>nav pretrunā ar jau esošajām Latvijas Republikas starptautiskajām saistībām</w:t>
            </w:r>
          </w:p>
        </w:tc>
        <w:tc>
          <w:tcPr>
            <w:tcW w:w="3750" w:type="pct"/>
            <w:gridSpan w:val="4"/>
            <w:tcBorders>
              <w:top w:val="outset" w:sz="6" w:space="0" w:color="auto"/>
              <w:left w:val="outset" w:sz="6" w:space="0" w:color="auto"/>
              <w:bottom w:val="outset" w:sz="6" w:space="0" w:color="auto"/>
              <w:right w:val="outset" w:sz="6" w:space="0" w:color="auto"/>
            </w:tcBorders>
            <w:hideMark/>
          </w:tcPr>
          <w:p w14:paraId="29947515" w14:textId="56C5941D" w:rsidR="00E5323B" w:rsidRPr="00316650" w:rsidRDefault="00E5323B" w:rsidP="00E5323B">
            <w:pPr>
              <w:spacing w:after="0" w:line="240" w:lineRule="auto"/>
              <w:rPr>
                <w:rFonts w:ascii="Times New Roman" w:eastAsia="Times New Roman" w:hAnsi="Times New Roman" w:cs="Times New Roman"/>
                <w:iCs/>
                <w:sz w:val="24"/>
                <w:szCs w:val="24"/>
                <w:lang w:eastAsia="lv-LV"/>
              </w:rPr>
            </w:pPr>
          </w:p>
        </w:tc>
      </w:tr>
      <w:tr w:rsidR="000E1E68" w:rsidRPr="00316650" w14:paraId="2AFFE3F4" w14:textId="77777777" w:rsidTr="00E5323B">
        <w:trPr>
          <w:tblCellSpacing w:w="15" w:type="dxa"/>
        </w:trPr>
        <w:tc>
          <w:tcPr>
            <w:tcW w:w="1200" w:type="pct"/>
            <w:tcBorders>
              <w:top w:val="outset" w:sz="6" w:space="0" w:color="auto"/>
              <w:left w:val="outset" w:sz="6" w:space="0" w:color="auto"/>
              <w:bottom w:val="outset" w:sz="6" w:space="0" w:color="auto"/>
              <w:right w:val="outset" w:sz="6" w:space="0" w:color="auto"/>
            </w:tcBorders>
            <w:hideMark/>
          </w:tcPr>
          <w:p w14:paraId="57833240" w14:textId="77777777" w:rsidR="00E5323B" w:rsidRPr="00316650"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316650">
              <w:rPr>
                <w:rFonts w:ascii="Times New Roman" w:eastAsia="Times New Roman" w:hAnsi="Times New Roman" w:cs="Times New Roman"/>
                <w:iCs/>
                <w:sz w:val="24"/>
                <w:szCs w:val="24"/>
                <w:lang w:val="en-US" w:eastAsia="lv-LV"/>
              </w:rPr>
              <w:t>Cita</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informācija</w:t>
            </w:r>
            <w:proofErr w:type="spellEnd"/>
          </w:p>
        </w:tc>
        <w:tc>
          <w:tcPr>
            <w:tcW w:w="3750" w:type="pct"/>
            <w:gridSpan w:val="4"/>
            <w:tcBorders>
              <w:top w:val="outset" w:sz="6" w:space="0" w:color="auto"/>
              <w:left w:val="outset" w:sz="6" w:space="0" w:color="auto"/>
              <w:bottom w:val="outset" w:sz="6" w:space="0" w:color="auto"/>
              <w:right w:val="outset" w:sz="6" w:space="0" w:color="auto"/>
            </w:tcBorders>
            <w:hideMark/>
          </w:tcPr>
          <w:p w14:paraId="5F2BB65D" w14:textId="3B06BB98" w:rsidR="00E5323B" w:rsidRPr="00316650" w:rsidRDefault="00F32C9D"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Nav.</w:t>
            </w:r>
          </w:p>
        </w:tc>
      </w:tr>
    </w:tbl>
    <w:p w14:paraId="35D8DD22" w14:textId="77777777" w:rsidR="00E5323B" w:rsidRPr="00316650" w:rsidRDefault="00E5323B"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E1E68" w:rsidRPr="00316650" w14:paraId="616667C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BA844DB" w14:textId="77777777" w:rsidR="00655F2C" w:rsidRPr="00316650" w:rsidRDefault="00E5323B" w:rsidP="00E5323B">
            <w:pPr>
              <w:spacing w:after="0" w:line="240" w:lineRule="auto"/>
              <w:rPr>
                <w:rFonts w:ascii="Times New Roman" w:eastAsia="Times New Roman" w:hAnsi="Times New Roman" w:cs="Times New Roman"/>
                <w:b/>
                <w:bCs/>
                <w:iCs/>
                <w:sz w:val="24"/>
                <w:szCs w:val="24"/>
                <w:lang w:val="en-US" w:eastAsia="lv-LV"/>
              </w:rPr>
            </w:pPr>
            <w:r w:rsidRPr="00316650">
              <w:rPr>
                <w:rFonts w:ascii="Times New Roman" w:eastAsia="Times New Roman" w:hAnsi="Times New Roman" w:cs="Times New Roman"/>
                <w:b/>
                <w:bCs/>
                <w:iCs/>
                <w:sz w:val="24"/>
                <w:szCs w:val="24"/>
                <w:lang w:val="en-US" w:eastAsia="lv-LV"/>
              </w:rPr>
              <w:t xml:space="preserve">VI. </w:t>
            </w:r>
            <w:proofErr w:type="spellStart"/>
            <w:r w:rsidRPr="00316650">
              <w:rPr>
                <w:rFonts w:ascii="Times New Roman" w:eastAsia="Times New Roman" w:hAnsi="Times New Roman" w:cs="Times New Roman"/>
                <w:b/>
                <w:bCs/>
                <w:iCs/>
                <w:sz w:val="24"/>
                <w:szCs w:val="24"/>
                <w:lang w:val="en-US" w:eastAsia="lv-LV"/>
              </w:rPr>
              <w:t>Sabiedrības</w:t>
            </w:r>
            <w:proofErr w:type="spellEnd"/>
            <w:r w:rsidRPr="00316650">
              <w:rPr>
                <w:rFonts w:ascii="Times New Roman" w:eastAsia="Times New Roman" w:hAnsi="Times New Roman" w:cs="Times New Roman"/>
                <w:b/>
                <w:bCs/>
                <w:iCs/>
                <w:sz w:val="24"/>
                <w:szCs w:val="24"/>
                <w:lang w:val="en-US" w:eastAsia="lv-LV"/>
              </w:rPr>
              <w:t xml:space="preserve"> </w:t>
            </w:r>
            <w:proofErr w:type="spellStart"/>
            <w:r w:rsidRPr="00316650">
              <w:rPr>
                <w:rFonts w:ascii="Times New Roman" w:eastAsia="Times New Roman" w:hAnsi="Times New Roman" w:cs="Times New Roman"/>
                <w:b/>
                <w:bCs/>
                <w:iCs/>
                <w:sz w:val="24"/>
                <w:szCs w:val="24"/>
                <w:lang w:val="en-US" w:eastAsia="lv-LV"/>
              </w:rPr>
              <w:t>līdzdalība</w:t>
            </w:r>
            <w:proofErr w:type="spellEnd"/>
            <w:r w:rsidRPr="00316650">
              <w:rPr>
                <w:rFonts w:ascii="Times New Roman" w:eastAsia="Times New Roman" w:hAnsi="Times New Roman" w:cs="Times New Roman"/>
                <w:b/>
                <w:bCs/>
                <w:iCs/>
                <w:sz w:val="24"/>
                <w:szCs w:val="24"/>
                <w:lang w:val="en-US" w:eastAsia="lv-LV"/>
              </w:rPr>
              <w:t xml:space="preserve"> un </w:t>
            </w:r>
            <w:proofErr w:type="spellStart"/>
            <w:r w:rsidRPr="00316650">
              <w:rPr>
                <w:rFonts w:ascii="Times New Roman" w:eastAsia="Times New Roman" w:hAnsi="Times New Roman" w:cs="Times New Roman"/>
                <w:b/>
                <w:bCs/>
                <w:iCs/>
                <w:sz w:val="24"/>
                <w:szCs w:val="24"/>
                <w:lang w:val="en-US" w:eastAsia="lv-LV"/>
              </w:rPr>
              <w:t>komunikācijas</w:t>
            </w:r>
            <w:proofErr w:type="spellEnd"/>
            <w:r w:rsidRPr="00316650">
              <w:rPr>
                <w:rFonts w:ascii="Times New Roman" w:eastAsia="Times New Roman" w:hAnsi="Times New Roman" w:cs="Times New Roman"/>
                <w:b/>
                <w:bCs/>
                <w:iCs/>
                <w:sz w:val="24"/>
                <w:szCs w:val="24"/>
                <w:lang w:val="en-US" w:eastAsia="lv-LV"/>
              </w:rPr>
              <w:t xml:space="preserve"> </w:t>
            </w:r>
            <w:proofErr w:type="spellStart"/>
            <w:r w:rsidRPr="00316650">
              <w:rPr>
                <w:rFonts w:ascii="Times New Roman" w:eastAsia="Times New Roman" w:hAnsi="Times New Roman" w:cs="Times New Roman"/>
                <w:b/>
                <w:bCs/>
                <w:iCs/>
                <w:sz w:val="24"/>
                <w:szCs w:val="24"/>
                <w:lang w:val="en-US" w:eastAsia="lv-LV"/>
              </w:rPr>
              <w:t>aktivitātes</w:t>
            </w:r>
            <w:proofErr w:type="spellEnd"/>
          </w:p>
        </w:tc>
      </w:tr>
      <w:tr w:rsidR="000E1E68" w:rsidRPr="00316650" w14:paraId="6B68744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0A88F3E" w14:textId="77777777" w:rsidR="00655F2C" w:rsidRPr="00316650" w:rsidRDefault="00E5323B"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D8C15B7" w14:textId="77777777" w:rsidR="00E5323B" w:rsidRPr="00316650"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316650">
              <w:rPr>
                <w:rFonts w:ascii="Times New Roman" w:eastAsia="Times New Roman" w:hAnsi="Times New Roman" w:cs="Times New Roman"/>
                <w:iCs/>
                <w:sz w:val="24"/>
                <w:szCs w:val="24"/>
                <w:lang w:val="en-US" w:eastAsia="lv-LV"/>
              </w:rPr>
              <w:t>Plānotās</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sabiedrības</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līdzdalības</w:t>
            </w:r>
            <w:proofErr w:type="spellEnd"/>
            <w:r w:rsidRPr="00316650">
              <w:rPr>
                <w:rFonts w:ascii="Times New Roman" w:eastAsia="Times New Roman" w:hAnsi="Times New Roman" w:cs="Times New Roman"/>
                <w:iCs/>
                <w:sz w:val="24"/>
                <w:szCs w:val="24"/>
                <w:lang w:val="en-US" w:eastAsia="lv-LV"/>
              </w:rPr>
              <w:t xml:space="preserve"> un </w:t>
            </w:r>
            <w:proofErr w:type="spellStart"/>
            <w:r w:rsidRPr="00316650">
              <w:rPr>
                <w:rFonts w:ascii="Times New Roman" w:eastAsia="Times New Roman" w:hAnsi="Times New Roman" w:cs="Times New Roman"/>
                <w:iCs/>
                <w:sz w:val="24"/>
                <w:szCs w:val="24"/>
                <w:lang w:val="en-US" w:eastAsia="lv-LV"/>
              </w:rPr>
              <w:t>komunikācijas</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aktivitātes</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saistībā</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ar</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projektu</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1229DF4E" w14:textId="15A41CB7" w:rsidR="00E5323B" w:rsidRPr="00316650" w:rsidRDefault="00F32C9D"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w:t>
            </w:r>
          </w:p>
        </w:tc>
      </w:tr>
      <w:tr w:rsidR="000E1E68" w:rsidRPr="00316650" w14:paraId="199230B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14273F5" w14:textId="77777777" w:rsidR="00655F2C" w:rsidRPr="00316650" w:rsidRDefault="00E5323B"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D674AA9" w14:textId="77777777" w:rsidR="00E5323B" w:rsidRPr="00316650"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316650">
              <w:rPr>
                <w:rFonts w:ascii="Times New Roman" w:eastAsia="Times New Roman" w:hAnsi="Times New Roman" w:cs="Times New Roman"/>
                <w:iCs/>
                <w:sz w:val="24"/>
                <w:szCs w:val="24"/>
                <w:lang w:val="en-US" w:eastAsia="lv-LV"/>
              </w:rPr>
              <w:t>Sabiedrības</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līdzdalība</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projekta</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izstrādē</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4EA7E1E7" w14:textId="6C563639" w:rsidR="00E5323B" w:rsidRPr="00316650" w:rsidRDefault="00F32C9D"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w:t>
            </w:r>
          </w:p>
        </w:tc>
      </w:tr>
      <w:tr w:rsidR="000E1E68" w:rsidRPr="00316650" w14:paraId="173E012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8638F22" w14:textId="77777777" w:rsidR="00655F2C" w:rsidRPr="00316650" w:rsidRDefault="00E5323B"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3E76DD19" w14:textId="77777777" w:rsidR="00E5323B" w:rsidRPr="00316650"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316650">
              <w:rPr>
                <w:rFonts w:ascii="Times New Roman" w:eastAsia="Times New Roman" w:hAnsi="Times New Roman" w:cs="Times New Roman"/>
                <w:iCs/>
                <w:sz w:val="24"/>
                <w:szCs w:val="24"/>
                <w:lang w:val="en-US" w:eastAsia="lv-LV"/>
              </w:rPr>
              <w:t>Sabiedrības</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līdzdalības</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rezultāti</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710CE870" w14:textId="5B44AB06" w:rsidR="00E5323B" w:rsidRPr="00316650" w:rsidRDefault="00F32C9D"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w:t>
            </w:r>
          </w:p>
        </w:tc>
      </w:tr>
      <w:tr w:rsidR="000E1E68" w:rsidRPr="00316650" w14:paraId="14A7798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0BF27BC" w14:textId="77777777" w:rsidR="00655F2C" w:rsidRPr="00316650" w:rsidRDefault="00E5323B"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006426BA" w14:textId="77777777" w:rsidR="00E5323B" w:rsidRPr="00316650"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316650">
              <w:rPr>
                <w:rFonts w:ascii="Times New Roman" w:eastAsia="Times New Roman" w:hAnsi="Times New Roman" w:cs="Times New Roman"/>
                <w:iCs/>
                <w:sz w:val="24"/>
                <w:szCs w:val="24"/>
                <w:lang w:val="en-US" w:eastAsia="lv-LV"/>
              </w:rPr>
              <w:t>Cita</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informācija</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1D2E4F5E" w14:textId="16EB3CA0" w:rsidR="00E5323B" w:rsidRPr="00316650" w:rsidRDefault="00F32C9D"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w:t>
            </w:r>
          </w:p>
        </w:tc>
      </w:tr>
    </w:tbl>
    <w:p w14:paraId="77EF0B7B" w14:textId="77777777" w:rsidR="00E5323B" w:rsidRPr="00316650" w:rsidRDefault="00E5323B"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E1E68" w:rsidRPr="00316650" w14:paraId="7C463D6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8987827" w14:textId="77777777" w:rsidR="00655F2C" w:rsidRPr="00316650" w:rsidRDefault="00E5323B" w:rsidP="00E5323B">
            <w:pPr>
              <w:spacing w:after="0" w:line="240" w:lineRule="auto"/>
              <w:rPr>
                <w:rFonts w:ascii="Times New Roman" w:eastAsia="Times New Roman" w:hAnsi="Times New Roman" w:cs="Times New Roman"/>
                <w:b/>
                <w:bCs/>
                <w:iCs/>
                <w:sz w:val="24"/>
                <w:szCs w:val="24"/>
                <w:lang w:val="en-US" w:eastAsia="lv-LV"/>
              </w:rPr>
            </w:pPr>
            <w:r w:rsidRPr="00316650">
              <w:rPr>
                <w:rFonts w:ascii="Times New Roman" w:eastAsia="Times New Roman" w:hAnsi="Times New Roman" w:cs="Times New Roman"/>
                <w:b/>
                <w:bCs/>
                <w:iCs/>
                <w:sz w:val="24"/>
                <w:szCs w:val="24"/>
                <w:lang w:val="en-US" w:eastAsia="lv-LV"/>
              </w:rPr>
              <w:t xml:space="preserve">VII. </w:t>
            </w:r>
            <w:proofErr w:type="spellStart"/>
            <w:r w:rsidRPr="00316650">
              <w:rPr>
                <w:rFonts w:ascii="Times New Roman" w:eastAsia="Times New Roman" w:hAnsi="Times New Roman" w:cs="Times New Roman"/>
                <w:b/>
                <w:bCs/>
                <w:iCs/>
                <w:sz w:val="24"/>
                <w:szCs w:val="24"/>
                <w:lang w:val="en-US" w:eastAsia="lv-LV"/>
              </w:rPr>
              <w:t>Tiesību</w:t>
            </w:r>
            <w:proofErr w:type="spellEnd"/>
            <w:r w:rsidRPr="00316650">
              <w:rPr>
                <w:rFonts w:ascii="Times New Roman" w:eastAsia="Times New Roman" w:hAnsi="Times New Roman" w:cs="Times New Roman"/>
                <w:b/>
                <w:bCs/>
                <w:iCs/>
                <w:sz w:val="24"/>
                <w:szCs w:val="24"/>
                <w:lang w:val="en-US" w:eastAsia="lv-LV"/>
              </w:rPr>
              <w:t xml:space="preserve"> </w:t>
            </w:r>
            <w:proofErr w:type="spellStart"/>
            <w:r w:rsidRPr="00316650">
              <w:rPr>
                <w:rFonts w:ascii="Times New Roman" w:eastAsia="Times New Roman" w:hAnsi="Times New Roman" w:cs="Times New Roman"/>
                <w:b/>
                <w:bCs/>
                <w:iCs/>
                <w:sz w:val="24"/>
                <w:szCs w:val="24"/>
                <w:lang w:val="en-US" w:eastAsia="lv-LV"/>
              </w:rPr>
              <w:t>akta</w:t>
            </w:r>
            <w:proofErr w:type="spellEnd"/>
            <w:r w:rsidRPr="00316650">
              <w:rPr>
                <w:rFonts w:ascii="Times New Roman" w:eastAsia="Times New Roman" w:hAnsi="Times New Roman" w:cs="Times New Roman"/>
                <w:b/>
                <w:bCs/>
                <w:iCs/>
                <w:sz w:val="24"/>
                <w:szCs w:val="24"/>
                <w:lang w:val="en-US" w:eastAsia="lv-LV"/>
              </w:rPr>
              <w:t xml:space="preserve"> </w:t>
            </w:r>
            <w:proofErr w:type="spellStart"/>
            <w:r w:rsidRPr="00316650">
              <w:rPr>
                <w:rFonts w:ascii="Times New Roman" w:eastAsia="Times New Roman" w:hAnsi="Times New Roman" w:cs="Times New Roman"/>
                <w:b/>
                <w:bCs/>
                <w:iCs/>
                <w:sz w:val="24"/>
                <w:szCs w:val="24"/>
                <w:lang w:val="en-US" w:eastAsia="lv-LV"/>
              </w:rPr>
              <w:t>projekta</w:t>
            </w:r>
            <w:proofErr w:type="spellEnd"/>
            <w:r w:rsidRPr="00316650">
              <w:rPr>
                <w:rFonts w:ascii="Times New Roman" w:eastAsia="Times New Roman" w:hAnsi="Times New Roman" w:cs="Times New Roman"/>
                <w:b/>
                <w:bCs/>
                <w:iCs/>
                <w:sz w:val="24"/>
                <w:szCs w:val="24"/>
                <w:lang w:val="en-US" w:eastAsia="lv-LV"/>
              </w:rPr>
              <w:t xml:space="preserve"> </w:t>
            </w:r>
            <w:proofErr w:type="spellStart"/>
            <w:r w:rsidRPr="00316650">
              <w:rPr>
                <w:rFonts w:ascii="Times New Roman" w:eastAsia="Times New Roman" w:hAnsi="Times New Roman" w:cs="Times New Roman"/>
                <w:b/>
                <w:bCs/>
                <w:iCs/>
                <w:sz w:val="24"/>
                <w:szCs w:val="24"/>
                <w:lang w:val="en-US" w:eastAsia="lv-LV"/>
              </w:rPr>
              <w:t>izpildes</w:t>
            </w:r>
            <w:proofErr w:type="spellEnd"/>
            <w:r w:rsidRPr="00316650">
              <w:rPr>
                <w:rFonts w:ascii="Times New Roman" w:eastAsia="Times New Roman" w:hAnsi="Times New Roman" w:cs="Times New Roman"/>
                <w:b/>
                <w:bCs/>
                <w:iCs/>
                <w:sz w:val="24"/>
                <w:szCs w:val="24"/>
                <w:lang w:val="en-US" w:eastAsia="lv-LV"/>
              </w:rPr>
              <w:t xml:space="preserve"> </w:t>
            </w:r>
            <w:proofErr w:type="spellStart"/>
            <w:r w:rsidRPr="00316650">
              <w:rPr>
                <w:rFonts w:ascii="Times New Roman" w:eastAsia="Times New Roman" w:hAnsi="Times New Roman" w:cs="Times New Roman"/>
                <w:b/>
                <w:bCs/>
                <w:iCs/>
                <w:sz w:val="24"/>
                <w:szCs w:val="24"/>
                <w:lang w:val="en-US" w:eastAsia="lv-LV"/>
              </w:rPr>
              <w:t>nodrošināšana</w:t>
            </w:r>
            <w:proofErr w:type="spellEnd"/>
            <w:r w:rsidRPr="00316650">
              <w:rPr>
                <w:rFonts w:ascii="Times New Roman" w:eastAsia="Times New Roman" w:hAnsi="Times New Roman" w:cs="Times New Roman"/>
                <w:b/>
                <w:bCs/>
                <w:iCs/>
                <w:sz w:val="24"/>
                <w:szCs w:val="24"/>
                <w:lang w:val="en-US" w:eastAsia="lv-LV"/>
              </w:rPr>
              <w:t xml:space="preserve"> un </w:t>
            </w:r>
            <w:proofErr w:type="spellStart"/>
            <w:r w:rsidRPr="00316650">
              <w:rPr>
                <w:rFonts w:ascii="Times New Roman" w:eastAsia="Times New Roman" w:hAnsi="Times New Roman" w:cs="Times New Roman"/>
                <w:b/>
                <w:bCs/>
                <w:iCs/>
                <w:sz w:val="24"/>
                <w:szCs w:val="24"/>
                <w:lang w:val="en-US" w:eastAsia="lv-LV"/>
              </w:rPr>
              <w:t>tās</w:t>
            </w:r>
            <w:proofErr w:type="spellEnd"/>
            <w:r w:rsidRPr="00316650">
              <w:rPr>
                <w:rFonts w:ascii="Times New Roman" w:eastAsia="Times New Roman" w:hAnsi="Times New Roman" w:cs="Times New Roman"/>
                <w:b/>
                <w:bCs/>
                <w:iCs/>
                <w:sz w:val="24"/>
                <w:szCs w:val="24"/>
                <w:lang w:val="en-US" w:eastAsia="lv-LV"/>
              </w:rPr>
              <w:t xml:space="preserve"> </w:t>
            </w:r>
            <w:proofErr w:type="spellStart"/>
            <w:r w:rsidRPr="00316650">
              <w:rPr>
                <w:rFonts w:ascii="Times New Roman" w:eastAsia="Times New Roman" w:hAnsi="Times New Roman" w:cs="Times New Roman"/>
                <w:b/>
                <w:bCs/>
                <w:iCs/>
                <w:sz w:val="24"/>
                <w:szCs w:val="24"/>
                <w:lang w:val="en-US" w:eastAsia="lv-LV"/>
              </w:rPr>
              <w:t>ietekme</w:t>
            </w:r>
            <w:proofErr w:type="spellEnd"/>
            <w:r w:rsidRPr="00316650">
              <w:rPr>
                <w:rFonts w:ascii="Times New Roman" w:eastAsia="Times New Roman" w:hAnsi="Times New Roman" w:cs="Times New Roman"/>
                <w:b/>
                <w:bCs/>
                <w:iCs/>
                <w:sz w:val="24"/>
                <w:szCs w:val="24"/>
                <w:lang w:val="en-US" w:eastAsia="lv-LV"/>
              </w:rPr>
              <w:t xml:space="preserve"> </w:t>
            </w:r>
            <w:proofErr w:type="spellStart"/>
            <w:r w:rsidRPr="00316650">
              <w:rPr>
                <w:rFonts w:ascii="Times New Roman" w:eastAsia="Times New Roman" w:hAnsi="Times New Roman" w:cs="Times New Roman"/>
                <w:b/>
                <w:bCs/>
                <w:iCs/>
                <w:sz w:val="24"/>
                <w:szCs w:val="24"/>
                <w:lang w:val="en-US" w:eastAsia="lv-LV"/>
              </w:rPr>
              <w:t>uz</w:t>
            </w:r>
            <w:proofErr w:type="spellEnd"/>
            <w:r w:rsidRPr="00316650">
              <w:rPr>
                <w:rFonts w:ascii="Times New Roman" w:eastAsia="Times New Roman" w:hAnsi="Times New Roman" w:cs="Times New Roman"/>
                <w:b/>
                <w:bCs/>
                <w:iCs/>
                <w:sz w:val="24"/>
                <w:szCs w:val="24"/>
                <w:lang w:val="en-US" w:eastAsia="lv-LV"/>
              </w:rPr>
              <w:t xml:space="preserve"> </w:t>
            </w:r>
            <w:proofErr w:type="spellStart"/>
            <w:r w:rsidRPr="00316650">
              <w:rPr>
                <w:rFonts w:ascii="Times New Roman" w:eastAsia="Times New Roman" w:hAnsi="Times New Roman" w:cs="Times New Roman"/>
                <w:b/>
                <w:bCs/>
                <w:iCs/>
                <w:sz w:val="24"/>
                <w:szCs w:val="24"/>
                <w:lang w:val="en-US" w:eastAsia="lv-LV"/>
              </w:rPr>
              <w:t>institūcijām</w:t>
            </w:r>
            <w:proofErr w:type="spellEnd"/>
          </w:p>
        </w:tc>
      </w:tr>
      <w:tr w:rsidR="000E1E68" w:rsidRPr="00316650" w14:paraId="51BD061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DAF1620" w14:textId="77777777" w:rsidR="00655F2C" w:rsidRPr="00316650" w:rsidRDefault="00E5323B"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0F0A4F7" w14:textId="77777777" w:rsidR="00E5323B" w:rsidRPr="00316650"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316650">
              <w:rPr>
                <w:rFonts w:ascii="Times New Roman" w:eastAsia="Times New Roman" w:hAnsi="Times New Roman" w:cs="Times New Roman"/>
                <w:iCs/>
                <w:sz w:val="24"/>
                <w:szCs w:val="24"/>
                <w:lang w:val="en-US" w:eastAsia="lv-LV"/>
              </w:rPr>
              <w:t>Projekta</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izpildē</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iesaistītās</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institūcijas</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1AF55B52" w14:textId="525C564B" w:rsidR="00E5323B" w:rsidRPr="00316650" w:rsidRDefault="00695958"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bCs/>
                <w:sz w:val="24"/>
                <w:szCs w:val="24"/>
                <w:lang w:eastAsia="lv-LV"/>
              </w:rPr>
              <w:t>Noteikumu projekta izpildē nav iesaistītas valsts pārvaldes institūcijas.</w:t>
            </w:r>
          </w:p>
        </w:tc>
      </w:tr>
      <w:tr w:rsidR="000E1E68" w:rsidRPr="00316650" w14:paraId="5695B1F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BA0A8FA" w14:textId="77777777" w:rsidR="00655F2C" w:rsidRPr="00316650" w:rsidRDefault="00E5323B"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D7F773B" w14:textId="77777777" w:rsidR="00E5323B" w:rsidRPr="00316650"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316650">
              <w:rPr>
                <w:rFonts w:ascii="Times New Roman" w:eastAsia="Times New Roman" w:hAnsi="Times New Roman" w:cs="Times New Roman"/>
                <w:iCs/>
                <w:sz w:val="24"/>
                <w:szCs w:val="24"/>
                <w:lang w:val="en-US" w:eastAsia="lv-LV"/>
              </w:rPr>
              <w:t>Projekta</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izpildes</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ietekme</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uz</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pārvaldes</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funkcijām</w:t>
            </w:r>
            <w:proofErr w:type="spellEnd"/>
            <w:r w:rsidRPr="00316650">
              <w:rPr>
                <w:rFonts w:ascii="Times New Roman" w:eastAsia="Times New Roman" w:hAnsi="Times New Roman" w:cs="Times New Roman"/>
                <w:iCs/>
                <w:sz w:val="24"/>
                <w:szCs w:val="24"/>
                <w:lang w:val="en-US" w:eastAsia="lv-LV"/>
              </w:rPr>
              <w:t xml:space="preserve"> un </w:t>
            </w:r>
            <w:proofErr w:type="spellStart"/>
            <w:r w:rsidRPr="00316650">
              <w:rPr>
                <w:rFonts w:ascii="Times New Roman" w:eastAsia="Times New Roman" w:hAnsi="Times New Roman" w:cs="Times New Roman"/>
                <w:iCs/>
                <w:sz w:val="24"/>
                <w:szCs w:val="24"/>
                <w:lang w:val="en-US" w:eastAsia="lv-LV"/>
              </w:rPr>
              <w:t>institucionālo</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struktūru</w:t>
            </w:r>
            <w:proofErr w:type="spellEnd"/>
            <w:r w:rsidRPr="00316650">
              <w:rPr>
                <w:rFonts w:ascii="Times New Roman" w:eastAsia="Times New Roman" w:hAnsi="Times New Roman" w:cs="Times New Roman"/>
                <w:iCs/>
                <w:sz w:val="24"/>
                <w:szCs w:val="24"/>
                <w:lang w:val="en-US" w:eastAsia="lv-LV"/>
              </w:rPr>
              <w:t>.</w:t>
            </w:r>
            <w:r w:rsidRPr="00316650">
              <w:rPr>
                <w:rFonts w:ascii="Times New Roman" w:eastAsia="Times New Roman" w:hAnsi="Times New Roman" w:cs="Times New Roman"/>
                <w:iCs/>
                <w:sz w:val="24"/>
                <w:szCs w:val="24"/>
                <w:lang w:val="en-US" w:eastAsia="lv-LV"/>
              </w:rPr>
              <w:br/>
            </w:r>
            <w:proofErr w:type="spellStart"/>
            <w:r w:rsidRPr="00316650">
              <w:rPr>
                <w:rFonts w:ascii="Times New Roman" w:eastAsia="Times New Roman" w:hAnsi="Times New Roman" w:cs="Times New Roman"/>
                <w:iCs/>
                <w:sz w:val="24"/>
                <w:szCs w:val="24"/>
                <w:lang w:val="en-US" w:eastAsia="lv-LV"/>
              </w:rPr>
              <w:t>Jaunu</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institūciju</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izveide</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esošu</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institūciju</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likvidācija</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vai</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reorganizācija</w:t>
            </w:r>
            <w:proofErr w:type="spellEnd"/>
            <w:r w:rsidRPr="00316650">
              <w:rPr>
                <w:rFonts w:ascii="Times New Roman" w:eastAsia="Times New Roman" w:hAnsi="Times New Roman" w:cs="Times New Roman"/>
                <w:iCs/>
                <w:sz w:val="24"/>
                <w:szCs w:val="24"/>
                <w:lang w:val="en-US" w:eastAsia="lv-LV"/>
              </w:rPr>
              <w:t xml:space="preserve">, to </w:t>
            </w:r>
            <w:proofErr w:type="spellStart"/>
            <w:r w:rsidRPr="00316650">
              <w:rPr>
                <w:rFonts w:ascii="Times New Roman" w:eastAsia="Times New Roman" w:hAnsi="Times New Roman" w:cs="Times New Roman"/>
                <w:iCs/>
                <w:sz w:val="24"/>
                <w:szCs w:val="24"/>
                <w:lang w:val="en-US" w:eastAsia="lv-LV"/>
              </w:rPr>
              <w:t>ietekme</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uz</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institūcijas</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cilvēkresursiem</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25B21478" w14:textId="77777777" w:rsidR="00432832" w:rsidRPr="00316650" w:rsidRDefault="00432832" w:rsidP="00432832">
            <w:pPr>
              <w:jc w:val="both"/>
              <w:rPr>
                <w:rFonts w:ascii="Times New Roman" w:eastAsia="Times New Roman" w:hAnsi="Times New Roman" w:cs="Times New Roman"/>
                <w:bCs/>
                <w:sz w:val="24"/>
                <w:szCs w:val="24"/>
                <w:lang w:eastAsia="lv-LV"/>
              </w:rPr>
            </w:pPr>
            <w:r w:rsidRPr="00316650">
              <w:rPr>
                <w:rFonts w:ascii="Times New Roman" w:eastAsia="Times New Roman" w:hAnsi="Times New Roman" w:cs="Times New Roman"/>
                <w:bCs/>
                <w:sz w:val="24"/>
                <w:szCs w:val="24"/>
                <w:lang w:eastAsia="lv-LV"/>
              </w:rPr>
              <w:t>Noteikumu projekts neietekmē institūciju funkcijas un struktūru. Nav plānota jaunu institūciju izveide, esošu institūciju likvidācija vai reorganizācija. Noteikumu projekts tiks izpildīts esošo cilvēkresursu ietvaros.</w:t>
            </w:r>
          </w:p>
          <w:p w14:paraId="5E0DE84D" w14:textId="295E676A" w:rsidR="00E5323B" w:rsidRPr="00316650" w:rsidRDefault="00E5323B" w:rsidP="00E5323B">
            <w:pPr>
              <w:spacing w:after="0" w:line="240" w:lineRule="auto"/>
              <w:rPr>
                <w:rFonts w:ascii="Times New Roman" w:eastAsia="Times New Roman" w:hAnsi="Times New Roman" w:cs="Times New Roman"/>
                <w:iCs/>
                <w:sz w:val="24"/>
                <w:szCs w:val="24"/>
                <w:lang w:val="sv-SE" w:eastAsia="lv-LV"/>
              </w:rPr>
            </w:pPr>
          </w:p>
        </w:tc>
      </w:tr>
      <w:tr w:rsidR="000E1E68" w:rsidRPr="00316650" w14:paraId="0A2B3FC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7D8D1A1" w14:textId="77777777" w:rsidR="00655F2C" w:rsidRPr="00316650" w:rsidRDefault="00E5323B"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val="en-US"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63EEEE38" w14:textId="77777777" w:rsidR="00E5323B" w:rsidRPr="00316650"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316650">
              <w:rPr>
                <w:rFonts w:ascii="Times New Roman" w:eastAsia="Times New Roman" w:hAnsi="Times New Roman" w:cs="Times New Roman"/>
                <w:iCs/>
                <w:sz w:val="24"/>
                <w:szCs w:val="24"/>
                <w:lang w:val="en-US" w:eastAsia="lv-LV"/>
              </w:rPr>
              <w:t>Cita</w:t>
            </w:r>
            <w:proofErr w:type="spellEnd"/>
            <w:r w:rsidRPr="00316650">
              <w:rPr>
                <w:rFonts w:ascii="Times New Roman" w:eastAsia="Times New Roman" w:hAnsi="Times New Roman" w:cs="Times New Roman"/>
                <w:iCs/>
                <w:sz w:val="24"/>
                <w:szCs w:val="24"/>
                <w:lang w:val="en-US" w:eastAsia="lv-LV"/>
              </w:rPr>
              <w:t xml:space="preserve"> </w:t>
            </w:r>
            <w:proofErr w:type="spellStart"/>
            <w:r w:rsidRPr="00316650">
              <w:rPr>
                <w:rFonts w:ascii="Times New Roman" w:eastAsia="Times New Roman" w:hAnsi="Times New Roman" w:cs="Times New Roman"/>
                <w:iCs/>
                <w:sz w:val="24"/>
                <w:szCs w:val="24"/>
                <w:lang w:val="en-US" w:eastAsia="lv-LV"/>
              </w:rPr>
              <w:t>informācija</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6035C74A" w14:textId="36026D1C" w:rsidR="00E5323B" w:rsidRPr="00316650" w:rsidRDefault="00656D92" w:rsidP="00E5323B">
            <w:pPr>
              <w:spacing w:after="0" w:line="240" w:lineRule="auto"/>
              <w:rPr>
                <w:rFonts w:ascii="Times New Roman" w:eastAsia="Times New Roman" w:hAnsi="Times New Roman" w:cs="Times New Roman"/>
                <w:iCs/>
                <w:sz w:val="24"/>
                <w:szCs w:val="24"/>
                <w:lang w:val="en-US" w:eastAsia="lv-LV"/>
              </w:rPr>
            </w:pPr>
            <w:r w:rsidRPr="00316650">
              <w:rPr>
                <w:rFonts w:ascii="Times New Roman" w:eastAsia="Times New Roman" w:hAnsi="Times New Roman" w:cs="Times New Roman"/>
                <w:iCs/>
                <w:sz w:val="24"/>
                <w:szCs w:val="24"/>
                <w:lang w:eastAsia="lv-LV"/>
              </w:rPr>
              <w:t>Nav.</w:t>
            </w:r>
          </w:p>
        </w:tc>
      </w:tr>
    </w:tbl>
    <w:p w14:paraId="383A32E5" w14:textId="77777777" w:rsidR="00C25B49" w:rsidRPr="00316650" w:rsidRDefault="00C25B49" w:rsidP="00894C55">
      <w:pPr>
        <w:spacing w:after="0" w:line="240" w:lineRule="auto"/>
        <w:rPr>
          <w:rFonts w:ascii="Times New Roman" w:hAnsi="Times New Roman" w:cs="Times New Roman"/>
          <w:sz w:val="24"/>
          <w:szCs w:val="24"/>
        </w:rPr>
      </w:pPr>
    </w:p>
    <w:p w14:paraId="57210E6E" w14:textId="77777777" w:rsidR="0066039B" w:rsidRPr="00316650" w:rsidRDefault="0066039B" w:rsidP="0066039B">
      <w:pPr>
        <w:tabs>
          <w:tab w:val="left" w:pos="7230"/>
        </w:tabs>
        <w:rPr>
          <w:rFonts w:ascii="Times New Roman" w:hAnsi="Times New Roman" w:cs="Times New Roman"/>
          <w:sz w:val="24"/>
          <w:szCs w:val="24"/>
        </w:rPr>
      </w:pPr>
    </w:p>
    <w:p w14:paraId="2A33814F" w14:textId="77777777" w:rsidR="0066039B" w:rsidRPr="00316650" w:rsidRDefault="0066039B" w:rsidP="0066039B">
      <w:pPr>
        <w:tabs>
          <w:tab w:val="left" w:pos="7230"/>
        </w:tabs>
        <w:rPr>
          <w:rFonts w:ascii="Times New Roman" w:hAnsi="Times New Roman" w:cs="Times New Roman"/>
          <w:sz w:val="24"/>
          <w:szCs w:val="24"/>
        </w:rPr>
      </w:pPr>
      <w:r w:rsidRPr="00316650">
        <w:rPr>
          <w:rFonts w:ascii="Times New Roman" w:hAnsi="Times New Roman" w:cs="Times New Roman"/>
          <w:sz w:val="24"/>
          <w:szCs w:val="24"/>
        </w:rPr>
        <w:t>Ekonomikas ministrs</w:t>
      </w:r>
      <w:r w:rsidRPr="00316650">
        <w:rPr>
          <w:rFonts w:ascii="Times New Roman" w:hAnsi="Times New Roman" w:cs="Times New Roman"/>
          <w:sz w:val="24"/>
          <w:szCs w:val="24"/>
        </w:rPr>
        <w:tab/>
        <w:t xml:space="preserve">J. </w:t>
      </w:r>
      <w:proofErr w:type="spellStart"/>
      <w:r w:rsidRPr="00316650">
        <w:rPr>
          <w:rFonts w:ascii="Times New Roman" w:hAnsi="Times New Roman" w:cs="Times New Roman"/>
          <w:sz w:val="24"/>
          <w:szCs w:val="24"/>
        </w:rPr>
        <w:t>Vitenbergs</w:t>
      </w:r>
      <w:proofErr w:type="spellEnd"/>
    </w:p>
    <w:p w14:paraId="14F47B09" w14:textId="77777777" w:rsidR="0066039B" w:rsidRPr="00316650" w:rsidRDefault="0066039B" w:rsidP="0066039B">
      <w:pPr>
        <w:tabs>
          <w:tab w:val="left" w:pos="7230"/>
        </w:tabs>
        <w:rPr>
          <w:rFonts w:ascii="Times New Roman" w:hAnsi="Times New Roman" w:cs="Times New Roman"/>
          <w:sz w:val="24"/>
          <w:szCs w:val="24"/>
        </w:rPr>
      </w:pPr>
    </w:p>
    <w:p w14:paraId="0220B8C1" w14:textId="77777777" w:rsidR="0066039B" w:rsidRPr="00316650" w:rsidRDefault="0066039B" w:rsidP="0066039B">
      <w:pPr>
        <w:tabs>
          <w:tab w:val="left" w:pos="6237"/>
          <w:tab w:val="left" w:pos="7230"/>
        </w:tabs>
        <w:rPr>
          <w:rFonts w:ascii="Times New Roman" w:hAnsi="Times New Roman" w:cs="Times New Roman"/>
          <w:bCs/>
          <w:sz w:val="24"/>
          <w:szCs w:val="24"/>
        </w:rPr>
      </w:pPr>
      <w:r w:rsidRPr="00316650">
        <w:rPr>
          <w:rFonts w:ascii="Times New Roman" w:hAnsi="Times New Roman" w:cs="Times New Roman"/>
          <w:bCs/>
          <w:sz w:val="24"/>
          <w:szCs w:val="24"/>
        </w:rPr>
        <w:t>Vīza:</w:t>
      </w:r>
    </w:p>
    <w:p w14:paraId="3C5C653B" w14:textId="77777777" w:rsidR="0066039B" w:rsidRPr="00316650" w:rsidRDefault="0066039B" w:rsidP="0066039B">
      <w:pPr>
        <w:tabs>
          <w:tab w:val="left" w:pos="7371"/>
        </w:tabs>
        <w:rPr>
          <w:rFonts w:ascii="Times New Roman" w:hAnsi="Times New Roman" w:cs="Times New Roman"/>
          <w:sz w:val="24"/>
          <w:szCs w:val="24"/>
        </w:rPr>
      </w:pPr>
      <w:r w:rsidRPr="00316650">
        <w:rPr>
          <w:rFonts w:ascii="Times New Roman" w:hAnsi="Times New Roman" w:cs="Times New Roman"/>
          <w:bCs/>
          <w:sz w:val="24"/>
          <w:szCs w:val="24"/>
        </w:rPr>
        <w:t>Valsts sekretārs</w:t>
      </w:r>
      <w:r w:rsidRPr="00316650">
        <w:rPr>
          <w:rFonts w:ascii="Times New Roman" w:hAnsi="Times New Roman" w:cs="Times New Roman"/>
          <w:bCs/>
          <w:sz w:val="24"/>
          <w:szCs w:val="24"/>
        </w:rPr>
        <w:tab/>
        <w:t>E. Valantis</w:t>
      </w:r>
    </w:p>
    <w:p w14:paraId="3FA46D37" w14:textId="77777777" w:rsidR="0066039B" w:rsidRPr="00316650" w:rsidRDefault="0066039B" w:rsidP="0066039B">
      <w:pPr>
        <w:tabs>
          <w:tab w:val="left" w:pos="6237"/>
        </w:tabs>
        <w:rPr>
          <w:rFonts w:ascii="Times New Roman" w:hAnsi="Times New Roman" w:cs="Times New Roman"/>
          <w:sz w:val="24"/>
          <w:szCs w:val="24"/>
        </w:rPr>
      </w:pPr>
    </w:p>
    <w:p w14:paraId="4D8F53FC" w14:textId="77777777" w:rsidR="0066039B" w:rsidRPr="00E413F0" w:rsidRDefault="0066039B" w:rsidP="0066039B">
      <w:pPr>
        <w:tabs>
          <w:tab w:val="left" w:pos="6237"/>
        </w:tabs>
        <w:spacing w:after="0" w:line="240" w:lineRule="auto"/>
        <w:rPr>
          <w:rFonts w:ascii="Times New Roman" w:hAnsi="Times New Roman" w:cs="Times New Roman"/>
          <w:sz w:val="20"/>
          <w:szCs w:val="20"/>
        </w:rPr>
      </w:pPr>
    </w:p>
    <w:p w14:paraId="0E95C537" w14:textId="77777777" w:rsidR="0066039B" w:rsidRPr="00E413F0" w:rsidRDefault="0066039B" w:rsidP="0066039B">
      <w:pPr>
        <w:tabs>
          <w:tab w:val="left" w:pos="6237"/>
        </w:tabs>
        <w:spacing w:after="0" w:line="240" w:lineRule="auto"/>
        <w:rPr>
          <w:rFonts w:ascii="Times New Roman" w:hAnsi="Times New Roman" w:cs="Times New Roman"/>
          <w:sz w:val="20"/>
          <w:szCs w:val="20"/>
        </w:rPr>
      </w:pPr>
      <w:r w:rsidRPr="00E413F0">
        <w:rPr>
          <w:rFonts w:ascii="Times New Roman" w:hAnsi="Times New Roman" w:cs="Times New Roman"/>
          <w:sz w:val="20"/>
          <w:szCs w:val="20"/>
        </w:rPr>
        <w:t>Truhanova 67013006</w:t>
      </w:r>
    </w:p>
    <w:p w14:paraId="22BB7A37" w14:textId="77777777" w:rsidR="0066039B" w:rsidRPr="00E413F0" w:rsidRDefault="0066039B" w:rsidP="0066039B">
      <w:pPr>
        <w:tabs>
          <w:tab w:val="left" w:pos="6237"/>
        </w:tabs>
        <w:spacing w:after="0" w:line="240" w:lineRule="auto"/>
        <w:rPr>
          <w:rFonts w:ascii="Times New Roman" w:hAnsi="Times New Roman" w:cs="Times New Roman"/>
          <w:sz w:val="20"/>
          <w:szCs w:val="20"/>
        </w:rPr>
      </w:pPr>
      <w:r w:rsidRPr="00E413F0">
        <w:rPr>
          <w:rFonts w:ascii="Times New Roman" w:hAnsi="Times New Roman" w:cs="Times New Roman"/>
          <w:sz w:val="20"/>
          <w:szCs w:val="20"/>
        </w:rPr>
        <w:t>karina.truhanova@em.gov.lv</w:t>
      </w:r>
    </w:p>
    <w:p w14:paraId="0BBC2B0D" w14:textId="03546130" w:rsidR="00894C55" w:rsidRPr="00316650" w:rsidRDefault="00894C55" w:rsidP="0066039B">
      <w:pPr>
        <w:spacing w:after="0" w:line="240" w:lineRule="auto"/>
        <w:rPr>
          <w:rFonts w:ascii="Times New Roman" w:hAnsi="Times New Roman" w:cs="Times New Roman"/>
          <w:sz w:val="24"/>
          <w:szCs w:val="24"/>
        </w:rPr>
      </w:pPr>
    </w:p>
    <w:sectPr w:rsidR="00894C55" w:rsidRPr="00316650" w:rsidSect="009A2654">
      <w:headerReference w:type="default" r:id="rId16"/>
      <w:footerReference w:type="default" r:id="rId17"/>
      <w:footerReference w:type="first" r:id="rId18"/>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03F0C" w14:textId="77777777" w:rsidR="008C6F37" w:rsidRDefault="008C6F37" w:rsidP="00894C55">
      <w:pPr>
        <w:spacing w:after="0" w:line="240" w:lineRule="auto"/>
      </w:pPr>
      <w:r>
        <w:separator/>
      </w:r>
    </w:p>
  </w:endnote>
  <w:endnote w:type="continuationSeparator" w:id="0">
    <w:p w14:paraId="32744CE7" w14:textId="77777777" w:rsidR="008C6F37" w:rsidRDefault="008C6F37"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81159" w14:textId="20D120C8" w:rsidR="008C6F37" w:rsidRPr="00894C55" w:rsidRDefault="008C6F37">
    <w:pPr>
      <w:pStyle w:val="Footer"/>
      <w:rPr>
        <w:rFonts w:ascii="Times New Roman" w:hAnsi="Times New Roman" w:cs="Times New Roman"/>
        <w:sz w:val="20"/>
        <w:szCs w:val="20"/>
      </w:rPr>
    </w:pPr>
    <w:proofErr w:type="spellStart"/>
    <w:r>
      <w:rPr>
        <w:rFonts w:ascii="Times New Roman" w:hAnsi="Times New Roman" w:cs="Times New Roman"/>
        <w:sz w:val="20"/>
        <w:szCs w:val="20"/>
      </w:rPr>
      <w:t>MKanot</w:t>
    </w:r>
    <w:proofErr w:type="spellEnd"/>
    <w:r>
      <w:rPr>
        <w:rFonts w:ascii="Times New Roman" w:hAnsi="Times New Roman" w:cs="Times New Roman"/>
        <w:sz w:val="20"/>
        <w:szCs w:val="20"/>
      </w:rPr>
      <w:t xml:space="preserve"> _</w:t>
    </w:r>
    <w:proofErr w:type="spellStart"/>
    <w:r>
      <w:rPr>
        <w:rFonts w:ascii="Times New Roman" w:hAnsi="Times New Roman" w:cs="Times New Roman"/>
        <w:sz w:val="20"/>
        <w:szCs w:val="20"/>
      </w:rPr>
      <w:t>MK</w:t>
    </w:r>
    <w:r w:rsidR="003E52FA">
      <w:rPr>
        <w:rFonts w:ascii="Times New Roman" w:hAnsi="Times New Roman" w:cs="Times New Roman"/>
        <w:sz w:val="20"/>
        <w:szCs w:val="20"/>
      </w:rPr>
      <w:t>sertif</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803FC" w14:textId="431185F5" w:rsidR="008C6F37" w:rsidRPr="009A2654" w:rsidRDefault="008C6F37">
    <w:pPr>
      <w:pStyle w:val="Footer"/>
      <w:rPr>
        <w:rFonts w:ascii="Times New Roman" w:hAnsi="Times New Roman" w:cs="Times New Roman"/>
        <w:sz w:val="20"/>
        <w:szCs w:val="20"/>
      </w:rPr>
    </w:pPr>
    <w:proofErr w:type="spellStart"/>
    <w:r>
      <w:rPr>
        <w:rFonts w:ascii="Times New Roman" w:hAnsi="Times New Roman" w:cs="Times New Roman"/>
        <w:sz w:val="20"/>
        <w:szCs w:val="20"/>
      </w:rPr>
      <w:t>MKanot_</w:t>
    </w:r>
    <w:r w:rsidR="003E52FA">
      <w:rPr>
        <w:rFonts w:ascii="Times New Roman" w:hAnsi="Times New Roman" w:cs="Times New Roman"/>
        <w:sz w:val="20"/>
        <w:szCs w:val="20"/>
      </w:rPr>
      <w:t>MKsertif</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7CE34" w14:textId="77777777" w:rsidR="008C6F37" w:rsidRDefault="008C6F37" w:rsidP="00894C55">
      <w:pPr>
        <w:spacing w:after="0" w:line="240" w:lineRule="auto"/>
      </w:pPr>
      <w:r>
        <w:separator/>
      </w:r>
    </w:p>
  </w:footnote>
  <w:footnote w:type="continuationSeparator" w:id="0">
    <w:p w14:paraId="4B425225" w14:textId="77777777" w:rsidR="008C6F37" w:rsidRDefault="008C6F37"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1D6DC3E4" w14:textId="77777777" w:rsidR="008C6F37" w:rsidRPr="00C25B49" w:rsidRDefault="008C6F37">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3D229E"/>
    <w:multiLevelType w:val="hybridMultilevel"/>
    <w:tmpl w:val="46CC88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70A89"/>
    <w:rsid w:val="00080CAF"/>
    <w:rsid w:val="000812FC"/>
    <w:rsid w:val="00086A73"/>
    <w:rsid w:val="000E1E68"/>
    <w:rsid w:val="000E6EF1"/>
    <w:rsid w:val="001627C1"/>
    <w:rsid w:val="001D465F"/>
    <w:rsid w:val="00200C91"/>
    <w:rsid w:val="00215CC9"/>
    <w:rsid w:val="00243426"/>
    <w:rsid w:val="002640A8"/>
    <w:rsid w:val="0026422B"/>
    <w:rsid w:val="00293D39"/>
    <w:rsid w:val="00296E70"/>
    <w:rsid w:val="002A0133"/>
    <w:rsid w:val="002A422A"/>
    <w:rsid w:val="002A5103"/>
    <w:rsid w:val="002C6E5D"/>
    <w:rsid w:val="002E1C05"/>
    <w:rsid w:val="00314FBE"/>
    <w:rsid w:val="00316650"/>
    <w:rsid w:val="0032488B"/>
    <w:rsid w:val="00331849"/>
    <w:rsid w:val="00340C17"/>
    <w:rsid w:val="00360143"/>
    <w:rsid w:val="00373AAC"/>
    <w:rsid w:val="003B0BF9"/>
    <w:rsid w:val="003B10DA"/>
    <w:rsid w:val="003D3F51"/>
    <w:rsid w:val="003E0791"/>
    <w:rsid w:val="003E42E4"/>
    <w:rsid w:val="003E52FA"/>
    <w:rsid w:val="003F28AC"/>
    <w:rsid w:val="00411980"/>
    <w:rsid w:val="00432832"/>
    <w:rsid w:val="004454FE"/>
    <w:rsid w:val="00456E40"/>
    <w:rsid w:val="00471F27"/>
    <w:rsid w:val="004B67CC"/>
    <w:rsid w:val="004C6306"/>
    <w:rsid w:val="004F38DB"/>
    <w:rsid w:val="0050178F"/>
    <w:rsid w:val="005342A7"/>
    <w:rsid w:val="005524E8"/>
    <w:rsid w:val="00557686"/>
    <w:rsid w:val="005938EA"/>
    <w:rsid w:val="005A73FF"/>
    <w:rsid w:val="005B454A"/>
    <w:rsid w:val="005D0DE7"/>
    <w:rsid w:val="00637973"/>
    <w:rsid w:val="00655F2C"/>
    <w:rsid w:val="00656D92"/>
    <w:rsid w:val="0066039B"/>
    <w:rsid w:val="00682425"/>
    <w:rsid w:val="00695958"/>
    <w:rsid w:val="006E1081"/>
    <w:rsid w:val="007009D0"/>
    <w:rsid w:val="007076AC"/>
    <w:rsid w:val="00712D20"/>
    <w:rsid w:val="00720585"/>
    <w:rsid w:val="007245EC"/>
    <w:rsid w:val="007360FF"/>
    <w:rsid w:val="00773AF6"/>
    <w:rsid w:val="00794B18"/>
    <w:rsid w:val="00795F71"/>
    <w:rsid w:val="007A0B99"/>
    <w:rsid w:val="007A70F3"/>
    <w:rsid w:val="007B2504"/>
    <w:rsid w:val="007E5F7A"/>
    <w:rsid w:val="007E73AB"/>
    <w:rsid w:val="007E7D6A"/>
    <w:rsid w:val="00810C72"/>
    <w:rsid w:val="00816C11"/>
    <w:rsid w:val="00823220"/>
    <w:rsid w:val="00894C55"/>
    <w:rsid w:val="008B093F"/>
    <w:rsid w:val="008C6F37"/>
    <w:rsid w:val="00937509"/>
    <w:rsid w:val="00945AE8"/>
    <w:rsid w:val="009836D1"/>
    <w:rsid w:val="00996B14"/>
    <w:rsid w:val="009A2654"/>
    <w:rsid w:val="00A10FC3"/>
    <w:rsid w:val="00A30102"/>
    <w:rsid w:val="00A302B7"/>
    <w:rsid w:val="00A6073E"/>
    <w:rsid w:val="00A6353B"/>
    <w:rsid w:val="00A75D30"/>
    <w:rsid w:val="00A9053A"/>
    <w:rsid w:val="00AB4365"/>
    <w:rsid w:val="00AD7B6C"/>
    <w:rsid w:val="00AE5567"/>
    <w:rsid w:val="00AE6DA7"/>
    <w:rsid w:val="00AE77C4"/>
    <w:rsid w:val="00AF1239"/>
    <w:rsid w:val="00B10CB7"/>
    <w:rsid w:val="00B14081"/>
    <w:rsid w:val="00B16480"/>
    <w:rsid w:val="00B210CF"/>
    <w:rsid w:val="00B2165C"/>
    <w:rsid w:val="00BA20AA"/>
    <w:rsid w:val="00BB496E"/>
    <w:rsid w:val="00BD4021"/>
    <w:rsid w:val="00BD4425"/>
    <w:rsid w:val="00BD5104"/>
    <w:rsid w:val="00BD6B14"/>
    <w:rsid w:val="00BE4C7B"/>
    <w:rsid w:val="00C13A1C"/>
    <w:rsid w:val="00C22524"/>
    <w:rsid w:val="00C25B49"/>
    <w:rsid w:val="00C5536E"/>
    <w:rsid w:val="00C678A1"/>
    <w:rsid w:val="00C71026"/>
    <w:rsid w:val="00C76351"/>
    <w:rsid w:val="00C928DB"/>
    <w:rsid w:val="00CA6C69"/>
    <w:rsid w:val="00CC0D2D"/>
    <w:rsid w:val="00CC5F91"/>
    <w:rsid w:val="00CE16FD"/>
    <w:rsid w:val="00CE5657"/>
    <w:rsid w:val="00D11683"/>
    <w:rsid w:val="00D133F8"/>
    <w:rsid w:val="00D14A3E"/>
    <w:rsid w:val="00D25359"/>
    <w:rsid w:val="00DB0F6B"/>
    <w:rsid w:val="00DF3BFB"/>
    <w:rsid w:val="00E3716B"/>
    <w:rsid w:val="00E413F0"/>
    <w:rsid w:val="00E5323B"/>
    <w:rsid w:val="00E60B71"/>
    <w:rsid w:val="00E8749E"/>
    <w:rsid w:val="00E90C01"/>
    <w:rsid w:val="00E96E63"/>
    <w:rsid w:val="00EA41CD"/>
    <w:rsid w:val="00EA486E"/>
    <w:rsid w:val="00F074A4"/>
    <w:rsid w:val="00F14DE9"/>
    <w:rsid w:val="00F20850"/>
    <w:rsid w:val="00F22D81"/>
    <w:rsid w:val="00F32C9D"/>
    <w:rsid w:val="00F458DE"/>
    <w:rsid w:val="00F57B0C"/>
    <w:rsid w:val="00F92207"/>
    <w:rsid w:val="00FA0F4A"/>
    <w:rsid w:val="00FB7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758147"/>
  <w15:docId w15:val="{C56EF9F7-F8F8-4A2F-BA65-798E7B8D2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Default">
    <w:name w:val="Default"/>
    <w:rsid w:val="00CE16F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H&amp;P List Paragraph,2,Strip,Colorful List - Accent 12,Normal bullet 2,Bullet list,Syle 1,PPS_Bullet,Saistīto dokumentu saraksts,Numurets,Table of contents numbered,Citation List,Virsraksti,List Paragraph1,Bullet EY,ERP-List Paragraph"/>
    <w:basedOn w:val="Normal"/>
    <w:link w:val="ListParagraphChar"/>
    <w:uiPriority w:val="99"/>
    <w:qFormat/>
    <w:rsid w:val="00937509"/>
    <w:pPr>
      <w:spacing w:after="0" w:line="240" w:lineRule="auto"/>
      <w:ind w:left="720"/>
      <w:contextualSpacing/>
    </w:pPr>
    <w:rPr>
      <w:rFonts w:ascii="Times New Roman" w:eastAsia="Times New Roman" w:hAnsi="Times New Roman" w:cs="Times New Roman"/>
      <w:sz w:val="24"/>
      <w:szCs w:val="24"/>
      <w:lang w:eastAsia="x-none"/>
    </w:rPr>
  </w:style>
  <w:style w:type="character" w:customStyle="1" w:styleId="ListParagraphChar">
    <w:name w:val="List Paragraph Char"/>
    <w:aliases w:val="H&amp;P List Paragraph Char,2 Char,Strip Char,Colorful List - Accent 12 Char,Normal bullet 2 Char,Bullet list Char,Syle 1 Char,PPS_Bullet Char,Saistīto dokumentu saraksts Char,Numurets Char,Table of contents numbered Char,Virsraksti Char"/>
    <w:link w:val="ListParagraph"/>
    <w:uiPriority w:val="99"/>
    <w:qFormat/>
    <w:rsid w:val="00937509"/>
    <w:rPr>
      <w:rFonts w:ascii="Times New Roman" w:eastAsia="Times New Roman" w:hAnsi="Times New Roman" w:cs="Times New Roman"/>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48347">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7175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likumi.lv/ta/id/253635-eku-energoefektivitates-likum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likumi.lv/ta/id/253635-eku-energoefektivitates-liku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likumi.lv/ta/id/253635-eku-energoefektivitates-likums" TargetMode="External"/><Relationship Id="rId5" Type="http://schemas.openxmlformats.org/officeDocument/2006/relationships/styles" Target="styles.xml"/><Relationship Id="rId15" Type="http://schemas.openxmlformats.org/officeDocument/2006/relationships/hyperlink" Target="https://likumi.lv/ta/id/258322-noteikumi-par-eku-energosertifikaciju" TargetMode="External"/><Relationship Id="rId10" Type="http://schemas.openxmlformats.org/officeDocument/2006/relationships/hyperlink" Target="https://m.likumi.lv/ta/id/253635-eku-energoefektivitates-likum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kumi.lv/ta/id/258128-ekas-energoefektivitates-aprekina-met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75856F525BC6B4AAC9326C419DA09EB" ma:contentTypeVersion="12" ma:contentTypeDescription="Izveidot jaunu dokumentu." ma:contentTypeScope="" ma:versionID="1a9b0dba46ba38b649c2b787736e7bf2">
  <xsd:schema xmlns:xsd="http://www.w3.org/2001/XMLSchema" xmlns:xs="http://www.w3.org/2001/XMLSchema" xmlns:p="http://schemas.microsoft.com/office/2006/metadata/properties" xmlns:ns2="e793aee2-0702-45ff-9c51-b29030239f5c" xmlns:ns3="98d6c3d8-aeaf-4e5b-adb6-e1ad8a72b2c7" targetNamespace="http://schemas.microsoft.com/office/2006/metadata/properties" ma:root="true" ma:fieldsID="45049233dfb8188568c7a0ec69f3ffa1" ns2:_="" ns3:_="">
    <xsd:import namespace="e793aee2-0702-45ff-9c51-b29030239f5c"/>
    <xsd:import namespace="98d6c3d8-aeaf-4e5b-adb6-e1ad8a72b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3aee2-0702-45ff-9c51-b29030239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6c3d8-aeaf-4e5b-adb6-e1ad8a72b2c7"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E31136-4D3E-4A4C-B061-A85D66A92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3aee2-0702-45ff-9c51-b29030239f5c"/>
    <ds:schemaRef ds:uri="98d6c3d8-aeaf-4e5b-adb6-e1ad8a72b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6D91DB-A8D9-459B-AB84-71194F1E1B0E}">
  <ds:schemaRefs>
    <ds:schemaRef ds:uri="http://schemas.microsoft.com/sharepoint/v3/contenttype/forms"/>
  </ds:schemaRefs>
</ds:datastoreItem>
</file>

<file path=customXml/itemProps3.xml><?xml version="1.0" encoding="utf-8"?>
<ds:datastoreItem xmlns:ds="http://schemas.openxmlformats.org/officeDocument/2006/customXml" ds:itemID="{A2CFC412-9E0C-463E-B2C1-76F2D9160ED0}">
  <ds:schemaRefs>
    <ds:schemaRef ds:uri="http://purl.org/dc/elements/1.1/"/>
    <ds:schemaRef ds:uri="http://purl.org/dc/term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98d6c3d8-aeaf-4e5b-adb6-e1ad8a72b2c7"/>
    <ds:schemaRef ds:uri="http://schemas.microsoft.com/office/infopath/2007/PartnerControls"/>
    <ds:schemaRef ds:uri="e793aee2-0702-45ff-9c51-b29030239f5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18</Pages>
  <Words>16781</Words>
  <Characters>9566</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26295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Karina Truhanova</cp:lastModifiedBy>
  <cp:revision>64</cp:revision>
  <dcterms:created xsi:type="dcterms:W3CDTF">2021-02-16T09:44:00Z</dcterms:created>
  <dcterms:modified xsi:type="dcterms:W3CDTF">2021-02-17T15:08:00Z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0x010100D75856F525BC6B4AAC9326C419DA09EB</vt:lpwstr>
  </property>
</Properties>
</file>