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34554FA5" w14:textId="572E51B6" w:rsidR="001A75F3" w:rsidRPr="00783BC9" w:rsidRDefault="001A75F3" w:rsidP="001A75F3">
      <w:pPr>
        <w:jc w:val="right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783BC9">
        <w:rPr>
          <w:rFonts w:ascii="Times New Roman" w:eastAsia="Times New Roman" w:hAnsi="Times New Roman"/>
          <w:sz w:val="24"/>
          <w:szCs w:val="24"/>
          <w:lang w:eastAsia="lv-LV"/>
        </w:rPr>
        <w:fldChar w:fldCharType="begin"/>
      </w:r>
      <w:r w:rsidRPr="00783BC9">
        <w:rPr>
          <w:rFonts w:ascii="Times New Roman" w:eastAsia="Times New Roman" w:hAnsi="Times New Roman"/>
          <w:sz w:val="24"/>
          <w:szCs w:val="24"/>
          <w:lang w:val="de-DE" w:eastAsia="lv-LV"/>
        </w:rPr>
        <w:instrText xml:space="preserve"> HYPERLINK "https://m.likumi.lv/wwwraksti/2013/138/383/P3.DOC" \o "Atvērt citā formātā" </w:instrText>
      </w:r>
      <w:r w:rsidRPr="00783BC9">
        <w:rPr>
          <w:rFonts w:ascii="Times New Roman" w:eastAsia="Times New Roman" w:hAnsi="Times New Roman"/>
          <w:sz w:val="24"/>
          <w:szCs w:val="24"/>
          <w:lang w:eastAsia="lv-LV"/>
        </w:rPr>
        <w:fldChar w:fldCharType="separate"/>
      </w:r>
      <w:r w:rsidRPr="00783BC9">
        <w:rPr>
          <w:rFonts w:ascii="Times New Roman" w:eastAsia="Times New Roman" w:hAnsi="Times New Roman"/>
          <w:sz w:val="24"/>
          <w:szCs w:val="24"/>
          <w:lang w:val="de-DE" w:eastAsia="lv-LV"/>
        </w:rPr>
        <w:t xml:space="preserve">4. </w:t>
      </w:r>
      <w:proofErr w:type="spellStart"/>
      <w:r w:rsidRPr="00783BC9">
        <w:rPr>
          <w:rFonts w:ascii="Times New Roman" w:eastAsia="Times New Roman" w:hAnsi="Times New Roman"/>
          <w:sz w:val="24"/>
          <w:szCs w:val="24"/>
          <w:lang w:val="de-DE" w:eastAsia="lv-LV"/>
        </w:rPr>
        <w:t>pielikums</w:t>
      </w:r>
      <w:proofErr w:type="spellEnd"/>
      <w:r w:rsidRPr="00783BC9">
        <w:rPr>
          <w:rFonts w:ascii="Times New Roman" w:eastAsia="Times New Roman" w:hAnsi="Times New Roman"/>
          <w:sz w:val="24"/>
          <w:szCs w:val="24"/>
          <w:lang w:eastAsia="lv-LV"/>
        </w:rPr>
        <w:fldChar w:fldCharType="end"/>
      </w:r>
      <w:r w:rsidRPr="00783BC9">
        <w:rPr>
          <w:rFonts w:ascii="Times New Roman" w:eastAsia="Times New Roman" w:hAnsi="Times New Roman"/>
          <w:sz w:val="24"/>
          <w:szCs w:val="24"/>
          <w:lang w:val="de-DE" w:eastAsia="lv-LV"/>
        </w:rPr>
        <w:br/>
      </w:r>
      <w:proofErr w:type="spellStart"/>
      <w:r w:rsidRPr="00783BC9">
        <w:rPr>
          <w:rFonts w:ascii="Times New Roman" w:eastAsia="Times New Roman" w:hAnsi="Times New Roman"/>
          <w:sz w:val="24"/>
          <w:szCs w:val="24"/>
          <w:lang w:val="de-DE" w:eastAsia="lv-LV"/>
        </w:rPr>
        <w:t>Ministru</w:t>
      </w:r>
      <w:proofErr w:type="spellEnd"/>
      <w:r w:rsidRPr="00783BC9">
        <w:rPr>
          <w:rFonts w:ascii="Times New Roman" w:eastAsia="Times New Roman" w:hAnsi="Times New Roman"/>
          <w:sz w:val="24"/>
          <w:szCs w:val="24"/>
          <w:lang w:val="de-DE" w:eastAsia="lv-LV"/>
        </w:rPr>
        <w:t xml:space="preserve"> </w:t>
      </w:r>
      <w:proofErr w:type="spellStart"/>
      <w:r w:rsidRPr="00783BC9">
        <w:rPr>
          <w:rFonts w:ascii="Times New Roman" w:eastAsia="Times New Roman" w:hAnsi="Times New Roman"/>
          <w:sz w:val="24"/>
          <w:szCs w:val="24"/>
          <w:lang w:val="de-DE" w:eastAsia="lv-LV"/>
        </w:rPr>
        <w:t>kabineta</w:t>
      </w:r>
      <w:proofErr w:type="spellEnd"/>
      <w:r w:rsidRPr="00783BC9">
        <w:rPr>
          <w:rFonts w:ascii="Times New Roman" w:eastAsia="Times New Roman" w:hAnsi="Times New Roman"/>
          <w:sz w:val="24"/>
          <w:szCs w:val="24"/>
          <w:lang w:val="de-DE" w:eastAsia="lv-LV"/>
        </w:rPr>
        <w:br/>
        <w:t xml:space="preserve">2021. </w:t>
      </w:r>
      <w:proofErr w:type="spellStart"/>
      <w:r w:rsidRPr="00783BC9">
        <w:rPr>
          <w:rFonts w:ascii="Times New Roman" w:eastAsia="Times New Roman" w:hAnsi="Times New Roman"/>
          <w:sz w:val="24"/>
          <w:szCs w:val="24"/>
          <w:lang w:val="de-DE" w:eastAsia="lv-LV"/>
        </w:rPr>
        <w:t>gada</w:t>
      </w:r>
      <w:proofErr w:type="spellEnd"/>
      <w:r w:rsidRPr="00783BC9">
        <w:rPr>
          <w:rFonts w:ascii="Times New Roman" w:eastAsia="Times New Roman" w:hAnsi="Times New Roman"/>
          <w:sz w:val="24"/>
          <w:szCs w:val="24"/>
          <w:lang w:val="de-DE" w:eastAsia="lv-LV"/>
        </w:rPr>
        <w:t xml:space="preserve"> _________</w:t>
      </w:r>
      <w:r w:rsidRPr="00783BC9">
        <w:rPr>
          <w:rFonts w:ascii="Times New Roman" w:eastAsia="Times New Roman" w:hAnsi="Times New Roman"/>
          <w:sz w:val="24"/>
          <w:szCs w:val="24"/>
          <w:lang w:val="de-DE" w:eastAsia="lv-LV"/>
        </w:rPr>
        <w:br/>
      </w:r>
      <w:proofErr w:type="spellStart"/>
      <w:r w:rsidRPr="00783BC9">
        <w:rPr>
          <w:rFonts w:ascii="Times New Roman" w:eastAsia="Times New Roman" w:hAnsi="Times New Roman"/>
          <w:sz w:val="24"/>
          <w:szCs w:val="24"/>
          <w:lang w:val="de-DE" w:eastAsia="lv-LV"/>
        </w:rPr>
        <w:t>noteikumiem</w:t>
      </w:r>
      <w:proofErr w:type="spellEnd"/>
      <w:r w:rsidRPr="00783BC9">
        <w:rPr>
          <w:rFonts w:ascii="Times New Roman" w:eastAsia="Times New Roman" w:hAnsi="Times New Roman"/>
          <w:sz w:val="24"/>
          <w:szCs w:val="24"/>
          <w:lang w:val="de-DE" w:eastAsia="lv-LV"/>
        </w:rPr>
        <w:t xml:space="preserve"> Nr. </w:t>
      </w:r>
      <w:bookmarkStart w:id="1" w:name="piel-568461"/>
      <w:bookmarkEnd w:id="1"/>
      <w:r w:rsidRPr="00783BC9">
        <w:rPr>
          <w:rFonts w:ascii="Times New Roman" w:eastAsia="Times New Roman" w:hAnsi="Times New Roman"/>
          <w:sz w:val="24"/>
          <w:szCs w:val="24"/>
          <w:lang w:eastAsia="lv-LV"/>
        </w:rPr>
        <w:t>____</w:t>
      </w:r>
    </w:p>
    <w:p w14:paraId="186812BB" w14:textId="7D800BE5" w:rsidR="00DE1F72" w:rsidRPr="00783BC9" w:rsidRDefault="001A75F3" w:rsidP="001A75F3">
      <w:pPr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783BC9">
        <w:rPr>
          <w:rFonts w:ascii="Times New Roman" w:hAnsi="Times New Roman"/>
          <w:b/>
          <w:bCs/>
          <w:sz w:val="24"/>
          <w:szCs w:val="24"/>
          <w:lang w:val="lv-LV"/>
        </w:rPr>
        <w:t>Ēku energoefektivitātes aprēķina standarti</w:t>
      </w:r>
    </w:p>
    <w:p w14:paraId="7194825B" w14:textId="4BE1B4D2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ISO 52000-1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Vispārējs ēku energoefektivitātes novērtējums. 1.daļa: Vispārīgas pamatnostādnes un procedūras (ISO 52000-1:2017);</w:t>
      </w:r>
    </w:p>
    <w:p w14:paraId="373F6873" w14:textId="086CAAD0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ISO 52000-1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Vispārējs ēku energoefektivitātes novērtējums. 1.daļa: Vispārīgas pamatnostādnes un procedūras (ISO 52000-1:2017);</w:t>
      </w:r>
    </w:p>
    <w:p w14:paraId="348A2A87" w14:textId="6BD93FAC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ISO  52003-1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Rādītāji, prasības un sertifikācija. 1.daļa: Vispārīgie aspekti un pielietošana kopējai energoefektivitātei (ISO 52003-1:2017);</w:t>
      </w:r>
    </w:p>
    <w:p w14:paraId="76D30BD5" w14:textId="32EDE790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ISO 52000-1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Vispārējs ēku energoefektivitātes novērtējums. 1.daļa: Vispārīgas pamatnostādnes un procedūras (ISO 52000-1:2017);</w:t>
      </w:r>
    </w:p>
    <w:p w14:paraId="7194310E" w14:textId="72FB6F68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ISO 52000-1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Vispārējs ēku energoefektivitātes novērtējums. 1.daļa: Vispārīgas pamatnostādnes un procedūras (ISO 52000-1:2017);</w:t>
      </w:r>
    </w:p>
    <w:p w14:paraId="5D2AC9BD" w14:textId="0EF392DD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ISO 17772-1</w:t>
      </w:r>
      <w:r w:rsidRPr="00783BC9">
        <w:rPr>
          <w:rFonts w:ascii="Times New Roman" w:hAnsi="Times New Roman"/>
          <w:sz w:val="24"/>
          <w:szCs w:val="24"/>
          <w:lang w:val="lv-LV"/>
        </w:rPr>
        <w:tab/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Energy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performance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of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buildings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—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Indoor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environmental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quality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—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Part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1: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Indoor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environmental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input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parameters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for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the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design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and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assessment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of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energy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performance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of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buildings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>;</w:t>
      </w:r>
    </w:p>
    <w:p w14:paraId="4D8A47FA" w14:textId="16048592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16798-1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Ēku ventilācija. 1.daļa: Telpu mikroklimata ievades parametri ēku energoefektivitātes projektēšanai un novērtēšanai, ņemot vērā telpu gaisa kvalitāti, temperatūras režīmu, apgaismojumu un akustiku. M1-6 modulis;</w:t>
      </w:r>
    </w:p>
    <w:p w14:paraId="4CF82660" w14:textId="1E8CAE39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ISO 17772 1</w:t>
      </w:r>
      <w:r w:rsidRPr="00783BC9">
        <w:rPr>
          <w:rFonts w:ascii="Times New Roman" w:hAnsi="Times New Roman"/>
          <w:sz w:val="24"/>
          <w:szCs w:val="24"/>
          <w:lang w:val="lv-LV"/>
        </w:rPr>
        <w:tab/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Energy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performance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of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buildings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—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Indoor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environmental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quality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—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Part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1: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Indoor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environmental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input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parameters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for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the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design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and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assessment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of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energy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performance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of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buildings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>;</w:t>
      </w:r>
    </w:p>
    <w:p w14:paraId="66E50192" w14:textId="26CCEC29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ISO  52010-1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Ārējās vides apstākļi. 1.daļa: Klimatisko datu pārveidošana enerģijas aprēķinos (ISO 52010-1:2017);</w:t>
      </w:r>
    </w:p>
    <w:p w14:paraId="7A7A2FED" w14:textId="359EC3DE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15459-1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Ēku energosistēmu ekonomiskā izvērtēšanas procedūra. 1.daļa: Aprēķinu procedūras, M1-14 modulis;</w:t>
      </w:r>
    </w:p>
    <w:p w14:paraId="3C8D9AE6" w14:textId="2323F5F0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ISO 52016-1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Apkurei un dzesēšanai nepieciešamās enerģijas, iekšējās temperatūras un sajūtamā un latentā siltuma slodzes. 1.daļa: Aprēķina procedūras (ISO 52016-1:2017);</w:t>
      </w:r>
    </w:p>
    <w:p w14:paraId="7A5DEBF3" w14:textId="013D2E40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ISO 52017-1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Sajūtamā un latentā siltuma slodzes un telpu temperatūras. 1.daļa. Vispārējas aprēķina procedūras (ISO 52017-1:2017);</w:t>
      </w:r>
    </w:p>
    <w:p w14:paraId="0031CBBB" w14:textId="1DCA9EDC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ISO 52018-1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Rādītāji daļai ēku energoefektivitātes (EPB) prasību, kas saistītas ar siltumenerģijas bilanci un struktūras īpatnībām. 1.daļa: Pārskats par iespējām (ISO 52018-1:2017);</w:t>
      </w:r>
    </w:p>
    <w:p w14:paraId="64B3D60A" w14:textId="5D0AB28D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ISO 13789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 xml:space="preserve">Ēku siltumtehniskās īpašības.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Siltumpārvades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un ventilācijas siltumapmaiņas koeficienti. Aprēķināšanas metodika (ISO 13789:2017)</w:t>
      </w:r>
    </w:p>
    <w:p w14:paraId="62272158" w14:textId="4224EDFB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ISO 13370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siltumtehniskās īpašības. Siltuma zudumi caur zemi. Aprēķina metodes (ISO 13370:2017);</w:t>
      </w:r>
    </w:p>
    <w:p w14:paraId="1237059D" w14:textId="3E5E490B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ISO 6946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 xml:space="preserve">Būvdetaļas un būvelementi.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Siltumpretestība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un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siltumcaurlaidība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>. Aprēķinu metodes (ISO 6946:2017) ;</w:t>
      </w:r>
    </w:p>
    <w:p w14:paraId="63DF06F0" w14:textId="7E70C01B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ISO 10211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Termiskie tilti būvkonstrukcijās. Siltuma plūsmas un virsmas temperatūras. Detalizēti aprēķini (ISO 10211:2017);</w:t>
      </w:r>
    </w:p>
    <w:p w14:paraId="4A6A1266" w14:textId="5BE08DFC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ISO 14683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Termiskie tilti būvkonstrukcijās. Lineārās siltuma caurlaidības koeficients. Vienkāršotas metodes un pieņemtās vērtības (ISO 14683:2017);</w:t>
      </w:r>
    </w:p>
    <w:p w14:paraId="6250B0CA" w14:textId="21452255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lastRenderedPageBreak/>
        <w:t>LVS EN ISO 10077 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 xml:space="preserve">Logu, durvju un slēģu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siltumefektivitāte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>. Siltuma caurlaidības aprēķini. 1.daļa: Vispārīgi (ISO 10077-1:2017) ;</w:t>
      </w:r>
    </w:p>
    <w:p w14:paraId="4C9B1823" w14:textId="45284AE4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ISO 10077 2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 xml:space="preserve">Logu, durvju un slēģu termiskās īpašības -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Siltumvadītspējas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koeficienta aprēķināšana - 2.daļa: Aprēķina metode rāmjiem ;</w:t>
      </w:r>
    </w:p>
    <w:p w14:paraId="3112CE9E" w14:textId="35CDD655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ISO 12631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 xml:space="preserve">Piekārto sienu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termoefektivitāte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.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Siltumcaurlaidības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aprēķini (ISO 12631:2017);</w:t>
      </w:r>
    </w:p>
    <w:p w14:paraId="398D57D8" w14:textId="34A45BFD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ISO 13786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 xml:space="preserve">Ēku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būvkomponentu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siltumtehniskās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īpašības. Dinamiskie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siltumtehniskie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raksturlielumi. Aprēķinu metodes (ISO 13786:2017, koriģēta versija 2018-03);</w:t>
      </w:r>
    </w:p>
    <w:p w14:paraId="7E6FC824" w14:textId="2069BBF9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ISO EN 52022 3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 xml:space="preserve">Ēku energoefektivitāte. Būvdetaļu un būvelementu siltumenerģijas, saules starojuma un dienasgaismas īpašības. 3.daļa: Saules starojuma un dienasgaismas raksturlielumu detalizēta aprēķinu metode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saulsargiem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kopā ar stiklojumu (ISO 52022-3:2017);</w:t>
      </w:r>
    </w:p>
    <w:p w14:paraId="215E02A5" w14:textId="135D08BD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ISO EN 52022 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 xml:space="preserve">Ēku energoefektivitāte. Būvdetaļu un būvelementu siltumenerģijas, saules starojuma un dienasgaismas īpašības. 1.daļa: Saules starojuma un dienasgaismas raksturlielumu vienkāršota aprēķinu metode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saulsargiem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kopā ar stiklojumu (ISO 52022-1:2017);</w:t>
      </w:r>
    </w:p>
    <w:p w14:paraId="2E982745" w14:textId="732506DC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15316-1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Sistēmu energoprasību un efektivitātes aprēķināšanas metodes. 1.daļa: Vispārējā un energoefektivitātes atspoguļošana M3-1, M3-4, M3-9, M8-1 un M8-4 moduļiem;</w:t>
      </w:r>
    </w:p>
    <w:p w14:paraId="1E2745CE" w14:textId="6E851BB5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12831-1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 xml:space="preserve">Ēku energoefektivitāte. Siltumslodzes projektēšanas aprēķina metode. 1.daļa: Telpu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siltumslodze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>. M3-3 modulis;</w:t>
      </w:r>
    </w:p>
    <w:p w14:paraId="1889F84A" w14:textId="1B299D46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15316-2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Sistēmu energoprasību un efektivitātes aprēķināšanas metodes. 2.daļa: Telpu emisijas sistēmas (apkure un dzesēšana), M3-5 un M4-5 moduļi ;</w:t>
      </w:r>
    </w:p>
    <w:p w14:paraId="0006DB52" w14:textId="1650C86D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15316-3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Sistēmu energoprasību un efektivitātes aprēķināšanas metodes. 3.daļa: Telpu apgādes sistēmas (DHW, apkure un dzesēšana). M3-6, M4-6 un M8-6 moduļi ;</w:t>
      </w:r>
    </w:p>
    <w:p w14:paraId="22188141" w14:textId="26CA4346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15316-5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Sistēmu energoprasību un efektivitātes aprēķināšanas metodes. 5.daļa: Telpu apkures un DHW uzglabāšanas sistēmas (izņemot dzesēšanu), M3-7 un M8-7 moduļi ;</w:t>
      </w:r>
    </w:p>
    <w:p w14:paraId="21235164" w14:textId="29B6B8CF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15316-4-1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 xml:space="preserve">Ēku energoefektivitāte. Sistēmu energoprasību un efektivitātes aprēķināšanas metodes. 4-1.daļa: Telpu apkure un DHW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ģenerētājsistēmas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,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degsistēmas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(biomasas boileri), M3-8-1 un M8-8-1 moduļi ;</w:t>
      </w:r>
    </w:p>
    <w:p w14:paraId="62F621F9" w14:textId="66EBDFE7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15316-4-2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 xml:space="preserve">Ēku energoefektivitāte. Sistēmu energoprasību un efektivitātes aprēķināšanas metodes. 4-2.daļa: Telpu apkures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ģenerētājsistēmas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un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siltumsūkņu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sistēmas. M3-8-2 un M8-8-2 moduļi ;</w:t>
      </w:r>
    </w:p>
    <w:p w14:paraId="17823396" w14:textId="5FC99DE4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15316-4-3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 xml:space="preserve">Ēku apkures sistēmas un dzesēšanas sistēmas uz ūdens bāzes. Sistēmu energoprasību un efektivitātes aprēķināšanas metodes. 4-3.daļa: Siltuma ģenerēšanas, saules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siltumenerģētiskās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un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fotoelektriskās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sistēmas M3-8-3, M8-8-3 un M11-8-3 moduļi ;</w:t>
      </w:r>
    </w:p>
    <w:p w14:paraId="7901CB12" w14:textId="28869099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15316-4-4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Sistēmu energoprasību un efektivitātes aprēķināšanas metodes. 4-4.daļa: Siltuma ģenerēšanas un ēkās integrētās koģenerācijas sistēmas, M8-3-4, M8-8-4 un M8-11-4 moduļi ;</w:t>
      </w:r>
    </w:p>
    <w:p w14:paraId="54D8599D" w14:textId="5D89BF57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15316-4-5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Sistēmu energoprasību un efektivitātes aprēķināšanas metodes. 4-5.daļa: Centralizētā apkure un dzesēšana, M3-8-5, M4-8-5, M8-8-5 un M11-8-5 moduļi ;</w:t>
      </w:r>
    </w:p>
    <w:p w14:paraId="0AF2C16B" w14:textId="087E56A2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15316-4-8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 xml:space="preserve">Ēku energoefektivitāte. Sistēmu energoprasību un efektivitātes aprēķināšanas metodes. 4-8.daļa: Telpu apkures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ģenerētājsistēmas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>, gaisa apsildes un pie griestiem piestiprināmu siltuma izstarotāju sistēmas, ieskaitot krāsnis (vietējās). M3-8-8 modulis;</w:t>
      </w:r>
    </w:p>
    <w:p w14:paraId="1DF2D022" w14:textId="71CE3926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lastRenderedPageBreak/>
        <w:t>LVS EN 15378-3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Ēku apkures sistēmas un DHW. 3.daļa: Izmērītā energoefektivitāte M3-10 un M8-10 moduļiem;</w:t>
      </w:r>
    </w:p>
    <w:p w14:paraId="07276CEA" w14:textId="0F735EC5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15378-1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Ēku apkures sistēmas un DHW. 1.daļa: Apkures katlu, sistēmu un DHW inspicēšana, M3-11 un M8-11 moduļi;</w:t>
      </w:r>
    </w:p>
    <w:p w14:paraId="0E8A0834" w14:textId="580757B3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16798-9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Ēku ventilācija. 9.daļa: Dzesēšanas sistēmu energoprasību aprēķināšanas metodes (M4-1,M4-4 un M4-9 moduļi). Vispārīgi;</w:t>
      </w:r>
    </w:p>
    <w:p w14:paraId="60697966" w14:textId="2CBC4758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16798-15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Ēku ventilācija. 15.daļa: Dzesēšanas sistēmu aprēķins (M4-7 modulis). Uzglabāšana;</w:t>
      </w:r>
    </w:p>
    <w:p w14:paraId="496314F9" w14:textId="4E09C23A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16798-13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Ēku ventilācija. 13.daļa: Dzesēšanas sistēmu aprēķins (M4-8 modulis). Ģenerēšana;</w:t>
      </w:r>
    </w:p>
    <w:p w14:paraId="792862E7" w14:textId="676CFAF1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16798-17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Ēku ventilācija. 17.daļa: Vadlīnijas ventilācijas un gaisa kondicionēšanas sistēmu inspicēšanai (M4-11, M5-11, M6-11 un M7-11 moduļi);</w:t>
      </w:r>
    </w:p>
    <w:p w14:paraId="1D673EF1" w14:textId="5AE3E184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16798-3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Ēku ventilācija. 3.daļa: Nedzīvojamās ēkas. Veiktspējas prasības ventilācijas un telpu kondicionēšanas sistēmām (M5-1 un M5-4 moduļi);</w:t>
      </w:r>
    </w:p>
    <w:p w14:paraId="1CE66351" w14:textId="734F695B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16798-7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Ēku ventilācija. 7.daļa: Aprēķina metodes gaisa plūsmas intensitātes noteikšanai ēkās, ieskaitot infiltrāciju (M5-5 modulis);</w:t>
      </w:r>
    </w:p>
    <w:p w14:paraId="4D7CE401" w14:textId="4889B12F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16798-5-1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Ēku ventilācija. 5-1.daļa: Ventilācijas un gaisa kondicionēšanas sistēmu energoprasību aprēķināšanas metodes (M5-6, M5-8, M6-5, M6-8, M7-5 un M7-8 moduļi). 1.metode: Izplatīšana un ģenerēšana;</w:t>
      </w:r>
    </w:p>
    <w:p w14:paraId="4B43E270" w14:textId="655F2BEB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12831-3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Siltumslodzes projektēšanas aprēķina metode. 3.daļa: Mājsaimniecību karstā ūdens sistēmu siltumslodzes un prasību raksturošana. M8-2 un M8-3 moduļi;</w:t>
      </w:r>
    </w:p>
    <w:p w14:paraId="0652C7FF" w14:textId="0F24BA07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15193-1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 xml:space="preserve">Ēku energoefektivitāte. </w:t>
      </w:r>
      <w:proofErr w:type="spellStart"/>
      <w:r w:rsidRPr="00783BC9">
        <w:rPr>
          <w:rFonts w:ascii="Times New Roman" w:hAnsi="Times New Roman"/>
          <w:sz w:val="24"/>
          <w:szCs w:val="24"/>
          <w:lang w:val="lv-LV"/>
        </w:rPr>
        <w:t>Energoprasības</w:t>
      </w:r>
      <w:proofErr w:type="spellEnd"/>
      <w:r w:rsidRPr="00783BC9">
        <w:rPr>
          <w:rFonts w:ascii="Times New Roman" w:hAnsi="Times New Roman"/>
          <w:sz w:val="24"/>
          <w:szCs w:val="24"/>
          <w:lang w:val="lv-LV"/>
        </w:rPr>
        <w:t xml:space="preserve"> apgaismei. 1.daļa: M9 moduļa specifikācija;</w:t>
      </w:r>
    </w:p>
    <w:p w14:paraId="30CF24EE" w14:textId="0F01685A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15232-1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1.daļa: Ēku vadības un automātikas sistēmas ietekme. M10-4,5,6,7,8,9,10 moduļi;</w:t>
      </w:r>
    </w:p>
    <w:p w14:paraId="15C88725" w14:textId="440CF4F3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16946-1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Automatizācijas, kontroles un ēkas tehniskās vadības inspicēšana. 1.daļa. Modulis M10-11;</w:t>
      </w:r>
    </w:p>
    <w:p w14:paraId="48F55143" w14:textId="1BFEE9E2" w:rsidR="00DE1F72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16947-1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Ēkas vadības sistēma. 1.daļa: Modulis</w:t>
      </w:r>
      <w:r w:rsidR="001A75F3" w:rsidRPr="00783BC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A75F3" w:rsidRPr="00783BC9">
        <w:rPr>
          <w:rFonts w:ascii="Times New Roman" w:hAnsi="Times New Roman"/>
          <w:color w:val="000000"/>
          <w:sz w:val="24"/>
          <w:szCs w:val="24"/>
        </w:rPr>
        <w:t>M10-12</w:t>
      </w:r>
      <w:r w:rsidRPr="00783BC9">
        <w:rPr>
          <w:rFonts w:ascii="Times New Roman" w:hAnsi="Times New Roman"/>
          <w:sz w:val="24"/>
          <w:szCs w:val="24"/>
          <w:lang w:val="lv-LV"/>
        </w:rPr>
        <w:t>;</w:t>
      </w:r>
    </w:p>
    <w:p w14:paraId="1F8C3F9A" w14:textId="2CC649B8" w:rsidR="00E071D0" w:rsidRPr="00783BC9" w:rsidRDefault="00DE1F72" w:rsidP="001A75F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  <w:lang w:val="lv-LV"/>
        </w:rPr>
      </w:pPr>
      <w:r w:rsidRPr="00783BC9">
        <w:rPr>
          <w:rFonts w:ascii="Times New Roman" w:hAnsi="Times New Roman"/>
          <w:sz w:val="24"/>
          <w:szCs w:val="24"/>
          <w:lang w:val="lv-LV"/>
        </w:rPr>
        <w:t>LVS EN 15316-4-10</w:t>
      </w:r>
      <w:r w:rsidRPr="00783BC9">
        <w:rPr>
          <w:rFonts w:ascii="Times New Roman" w:hAnsi="Times New Roman"/>
          <w:sz w:val="24"/>
          <w:szCs w:val="24"/>
          <w:lang w:val="lv-LV"/>
        </w:rPr>
        <w:tab/>
        <w:t>Ēku energoefektivitāte. Sistēmu energoprasību un efektivitātes aprēķināšanas metodes. 4-10.daļa: Vēja enerģijas ģenerēšanas sistēmas, M11-8-7 modulis</w:t>
      </w:r>
      <w:r w:rsidR="001A75F3" w:rsidRPr="00783BC9">
        <w:rPr>
          <w:rFonts w:ascii="Times New Roman" w:hAnsi="Times New Roman"/>
          <w:sz w:val="24"/>
          <w:szCs w:val="24"/>
          <w:lang w:val="lv-LV"/>
        </w:rPr>
        <w:t>.</w:t>
      </w:r>
      <w:bookmarkEnd w:id="0"/>
    </w:p>
    <w:sectPr w:rsidR="00E071D0" w:rsidRPr="00783BC9" w:rsidSect="00DE1F72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45DEA" w14:textId="77777777" w:rsidR="008A2F32" w:rsidRDefault="008A2F32" w:rsidP="008A2F32">
      <w:pPr>
        <w:spacing w:after="0" w:line="240" w:lineRule="auto"/>
      </w:pPr>
      <w:r>
        <w:separator/>
      </w:r>
    </w:p>
  </w:endnote>
  <w:endnote w:type="continuationSeparator" w:id="0">
    <w:p w14:paraId="4EE14A15" w14:textId="77777777" w:rsidR="008A2F32" w:rsidRDefault="008A2F32" w:rsidP="008A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Tahoma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E3B19" w14:textId="77777777" w:rsidR="008A2F32" w:rsidRDefault="008A2F32" w:rsidP="008A2F32">
      <w:pPr>
        <w:spacing w:after="0" w:line="240" w:lineRule="auto"/>
      </w:pPr>
      <w:r>
        <w:separator/>
      </w:r>
    </w:p>
  </w:footnote>
  <w:footnote w:type="continuationSeparator" w:id="0">
    <w:p w14:paraId="57BE1DE6" w14:textId="77777777" w:rsidR="008A2F32" w:rsidRDefault="008A2F32" w:rsidP="008A2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E25C5"/>
    <w:multiLevelType w:val="hybridMultilevel"/>
    <w:tmpl w:val="5532C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72"/>
    <w:rsid w:val="0006218D"/>
    <w:rsid w:val="001A75F3"/>
    <w:rsid w:val="0062331D"/>
    <w:rsid w:val="00783BC9"/>
    <w:rsid w:val="00885BF1"/>
    <w:rsid w:val="008A2F32"/>
    <w:rsid w:val="00BE6EE9"/>
    <w:rsid w:val="00D135F2"/>
    <w:rsid w:val="00DE1F72"/>
    <w:rsid w:val="00E6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8AB32DF"/>
  <w15:chartTrackingRefBased/>
  <w15:docId w15:val="{D6643402-8A9F-49B0-A943-EE712DA4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F72"/>
    <w:pPr>
      <w:spacing w:after="240" w:line="240" w:lineRule="atLeast"/>
      <w:jc w:val="both"/>
    </w:pPr>
    <w:rPr>
      <w:rFonts w:ascii="Cambria" w:eastAsia="MS Mincho" w:hAnsi="Cambria" w:cs="Times New Roman"/>
      <w:szCs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basedOn w:val="Normal"/>
    <w:rsid w:val="00DE1F72"/>
    <w:pPr>
      <w:spacing w:before="60" w:after="60" w:line="210" w:lineRule="atLeast"/>
      <w:jc w:val="left"/>
    </w:pPr>
    <w:rPr>
      <w:rFonts w:eastAsia="Calibri"/>
      <w:szCs w:val="22"/>
      <w:lang w:eastAsia="en-US"/>
    </w:rPr>
  </w:style>
  <w:style w:type="paragraph" w:customStyle="1" w:styleId="Tableheader">
    <w:name w:val="Table header"/>
    <w:basedOn w:val="Tablebody"/>
    <w:rsid w:val="00DE1F72"/>
  </w:style>
  <w:style w:type="paragraph" w:styleId="BalloonText">
    <w:name w:val="Balloon Text"/>
    <w:basedOn w:val="Normal"/>
    <w:link w:val="BalloonTextChar"/>
    <w:uiPriority w:val="99"/>
    <w:semiHidden/>
    <w:unhideWhenUsed/>
    <w:rsid w:val="00DE1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F72"/>
    <w:rPr>
      <w:rFonts w:ascii="Segoe UI" w:eastAsia="MS Mincho" w:hAnsi="Segoe UI" w:cs="Segoe UI"/>
      <w:sz w:val="18"/>
      <w:szCs w:val="18"/>
      <w:lang w:val="en-GB" w:eastAsia="ja-JP"/>
    </w:rPr>
  </w:style>
  <w:style w:type="paragraph" w:styleId="ListParagraph">
    <w:name w:val="List Paragraph"/>
    <w:basedOn w:val="Normal"/>
    <w:uiPriority w:val="34"/>
    <w:qFormat/>
    <w:rsid w:val="00DE1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75856F525BC6B4AAC9326C419DA09EB" ma:contentTypeVersion="12" ma:contentTypeDescription="Izveidot jaunu dokumentu." ma:contentTypeScope="" ma:versionID="1a9b0dba46ba38b649c2b787736e7bf2">
  <xsd:schema xmlns:xsd="http://www.w3.org/2001/XMLSchema" xmlns:xs="http://www.w3.org/2001/XMLSchema" xmlns:p="http://schemas.microsoft.com/office/2006/metadata/properties" xmlns:ns2="e793aee2-0702-45ff-9c51-b29030239f5c" xmlns:ns3="98d6c3d8-aeaf-4e5b-adb6-e1ad8a72b2c7" targetNamespace="http://schemas.microsoft.com/office/2006/metadata/properties" ma:root="true" ma:fieldsID="45049233dfb8188568c7a0ec69f3ffa1" ns2:_="" ns3:_="">
    <xsd:import namespace="e793aee2-0702-45ff-9c51-b29030239f5c"/>
    <xsd:import namespace="98d6c3d8-aeaf-4e5b-adb6-e1ad8a7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3aee2-0702-45ff-9c51-b29030239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c3d8-aeaf-4e5b-adb6-e1ad8a72b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4DA681-45BB-4413-8482-EEB3EDAA7791}"/>
</file>

<file path=customXml/itemProps2.xml><?xml version="1.0" encoding="utf-8"?>
<ds:datastoreItem xmlns:ds="http://schemas.openxmlformats.org/officeDocument/2006/customXml" ds:itemID="{689B1AE1-F524-4A54-BAC3-031C265A8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890CF-2E1D-49BB-B4F6-15B7469C438B}">
  <ds:schemaRefs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e793aee2-0702-45ff-9c51-b29030239f5c"/>
    <ds:schemaRef ds:uri="http://schemas.microsoft.com/office/2006/documentManagement/types"/>
    <ds:schemaRef ds:uri="http://schemas.microsoft.com/office/infopath/2007/PartnerControls"/>
    <ds:schemaRef ds:uri="98d6c3d8-aeaf-4e5b-adb6-e1ad8a72b2c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5503</Words>
  <Characters>3138</Characters>
  <Application>Microsoft Office Word</Application>
  <DocSecurity>4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Dzintars Grasmanis</dc:creator>
  <cp:keywords/>
  <dc:description/>
  <cp:lastModifiedBy>Karina Truhanova</cp:lastModifiedBy>
  <cp:revision>2</cp:revision>
  <dcterms:created xsi:type="dcterms:W3CDTF">2021-02-17T13:24:00Z</dcterms:created>
  <dcterms:modified xsi:type="dcterms:W3CDTF">2021-02-17T13:24:00Z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0x010100D75856F525BC6B4AAC9326C419DA09EB</vt:lpwstr>
  </property>
</Properties>
</file>