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156A12" w14:textId="397C5EDF" w:rsidR="00EF572E" w:rsidRPr="0016606C" w:rsidRDefault="00EF572E" w:rsidP="00EF572E">
      <w:pPr>
        <w:shd w:val="clear" w:color="auto" w:fill="FFFFFF"/>
        <w:contextualSpacing/>
        <w:jc w:val="center"/>
        <w:rPr>
          <w:b/>
          <w:bCs/>
        </w:rPr>
      </w:pPr>
      <w:r w:rsidRPr="0016606C">
        <w:rPr>
          <w:b/>
          <w:bCs/>
        </w:rPr>
        <w:t>Ministru kabineta noteikum</w:t>
      </w:r>
      <w:r w:rsidR="00E071E9">
        <w:rPr>
          <w:b/>
          <w:bCs/>
        </w:rPr>
        <w:t>u projekta</w:t>
      </w:r>
    </w:p>
    <w:p w14:paraId="12930038" w14:textId="13935D41" w:rsidR="00EF572E" w:rsidRDefault="00EF572E" w:rsidP="00EF572E">
      <w:pPr>
        <w:shd w:val="clear" w:color="auto" w:fill="FFFFFF"/>
        <w:contextualSpacing/>
        <w:jc w:val="center"/>
        <w:rPr>
          <w:b/>
          <w:bCs/>
        </w:rPr>
      </w:pPr>
      <w:r w:rsidRPr="0016606C">
        <w:rPr>
          <w:b/>
          <w:bCs/>
        </w:rPr>
        <w:t>“</w:t>
      </w:r>
      <w:r w:rsidR="006B7493" w:rsidRPr="006B7493">
        <w:rPr>
          <w:b/>
          <w:bCs/>
        </w:rPr>
        <w:t>Noteikumi par publisko būvdarbu līgumos obligāti iekļaujamiem nosacījumiem un to saturu</w:t>
      </w:r>
      <w:bookmarkStart w:id="0" w:name="_GoBack"/>
      <w:bookmarkEnd w:id="0"/>
      <w:r w:rsidRPr="0016606C">
        <w:rPr>
          <w:b/>
          <w:bCs/>
        </w:rPr>
        <w:t>”</w:t>
      </w:r>
      <w:r w:rsidRPr="0016606C">
        <w:t xml:space="preserve"> </w:t>
      </w:r>
      <w:r w:rsidRPr="0016606C">
        <w:rPr>
          <w:b/>
          <w:bCs/>
        </w:rPr>
        <w:t>sākotnējās ietekmes novērtējuma ziņojums (anotācija)</w:t>
      </w:r>
    </w:p>
    <w:p w14:paraId="0DABEB10" w14:textId="77777777" w:rsidR="00BD5588" w:rsidRPr="00D722BB" w:rsidRDefault="00BD5588"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2988"/>
        <w:gridCol w:w="5308"/>
      </w:tblGrid>
      <w:tr w:rsidR="005D342C" w:rsidRPr="00D722BB" w14:paraId="2AF3EE6C" w14:textId="77777777" w:rsidTr="00D824C2">
        <w:trPr>
          <w:cantSplit/>
        </w:trPr>
        <w:tc>
          <w:tcPr>
            <w:tcW w:w="9581" w:type="dxa"/>
            <w:gridSpan w:val="2"/>
            <w:shd w:val="clear" w:color="auto" w:fill="FFFFFF"/>
            <w:vAlign w:val="center"/>
            <w:hideMark/>
          </w:tcPr>
          <w:p w14:paraId="17657987" w14:textId="77777777" w:rsidR="00BD5588" w:rsidRPr="00D722BB" w:rsidRDefault="00F44C2A" w:rsidP="000B3D6C">
            <w:pPr>
              <w:contextualSpacing/>
              <w:jc w:val="center"/>
              <w:rPr>
                <w:b/>
                <w:iCs/>
                <w:lang w:eastAsia="en-US"/>
              </w:rPr>
            </w:pPr>
            <w:r w:rsidRPr="00D722BB">
              <w:rPr>
                <w:b/>
                <w:iCs/>
                <w:lang w:eastAsia="en-US"/>
              </w:rPr>
              <w:t>Tiesību akta projekta anotācijas kopsavilkums</w:t>
            </w:r>
          </w:p>
        </w:tc>
      </w:tr>
      <w:tr w:rsidR="008D2A1C" w:rsidRPr="00D722BB" w14:paraId="330DD2D4" w14:textId="77777777" w:rsidTr="00D824C2">
        <w:trPr>
          <w:cantSplit/>
        </w:trPr>
        <w:tc>
          <w:tcPr>
            <w:tcW w:w="3430" w:type="dxa"/>
            <w:shd w:val="clear" w:color="auto" w:fill="FFFFFF"/>
            <w:hideMark/>
          </w:tcPr>
          <w:p w14:paraId="6B0E742B" w14:textId="77777777" w:rsidR="00BD5588" w:rsidRPr="00D722BB" w:rsidRDefault="00F44C2A" w:rsidP="000B3D6C">
            <w:pPr>
              <w:contextualSpacing/>
              <w:rPr>
                <w:iCs/>
                <w:lang w:eastAsia="en-US"/>
              </w:rPr>
            </w:pPr>
            <w:r w:rsidRPr="00D722BB">
              <w:rPr>
                <w:iCs/>
                <w:lang w:eastAsia="en-US"/>
              </w:rPr>
              <w:t>Mērķis, risinājums un projekta spēkā stāšanās laiks (500 zīmes bez atstarpēm)</w:t>
            </w:r>
          </w:p>
        </w:tc>
        <w:tc>
          <w:tcPr>
            <w:tcW w:w="6151" w:type="dxa"/>
            <w:shd w:val="clear" w:color="auto" w:fill="FFFFFF"/>
            <w:hideMark/>
          </w:tcPr>
          <w:p w14:paraId="3301BF39" w14:textId="38D3F8F0" w:rsidR="00A302B4" w:rsidRDefault="002D04BF" w:rsidP="00287CA0">
            <w:pPr>
              <w:contextualSpacing/>
              <w:jc w:val="both"/>
            </w:pPr>
            <w:r>
              <w:t xml:space="preserve">Ministru kabineta noteikumu projekts ir izstrādāts, lai būtiski uzlabotu publisko būvdarbu iepirkumu procesu un pilnveidotu publisko būvdarbu </w:t>
            </w:r>
            <w:proofErr w:type="spellStart"/>
            <w:r>
              <w:t>līgumtiesisko</w:t>
            </w:r>
            <w:proofErr w:type="spellEnd"/>
            <w:r w:rsidR="009A2026">
              <w:t xml:space="preserve"> </w:t>
            </w:r>
            <w:r>
              <w:t xml:space="preserve"> regulējumu, balstot to uz samērīguma, efektivitātes un vienlīdzības principiem.</w:t>
            </w:r>
          </w:p>
          <w:p w14:paraId="72A03FE1" w14:textId="77777777" w:rsidR="002D04BF" w:rsidRDefault="002D04BF" w:rsidP="00287CA0">
            <w:pPr>
              <w:contextualSpacing/>
              <w:jc w:val="both"/>
            </w:pPr>
          </w:p>
          <w:p w14:paraId="1B698F83" w14:textId="77777777" w:rsidR="002D04BF" w:rsidRDefault="002D04BF" w:rsidP="00287CA0">
            <w:pPr>
              <w:contextualSpacing/>
              <w:jc w:val="both"/>
            </w:pPr>
            <w:r>
              <w:t xml:space="preserve">Ministru kabineta noteikumu projekts paredz ieviest publiskajos būvdarbu līgumos vienotus būvdarbu pieņemšanas – nodošanas un samaksas nosacījumus, kā arī </w:t>
            </w:r>
            <w:r w:rsidR="008D2A1C">
              <w:t xml:space="preserve">vienotus līgumsaistību izpildes garantijas nosacījumus. </w:t>
            </w:r>
          </w:p>
          <w:p w14:paraId="6708EF8C" w14:textId="77777777" w:rsidR="008D2A1C" w:rsidRDefault="008D2A1C" w:rsidP="00287CA0">
            <w:pPr>
              <w:contextualSpacing/>
              <w:jc w:val="both"/>
            </w:pPr>
          </w:p>
          <w:p w14:paraId="061485FB" w14:textId="4495B1AC" w:rsidR="008D2A1C" w:rsidRDefault="008D2A1C" w:rsidP="00287CA0">
            <w:pPr>
              <w:contextualSpacing/>
              <w:jc w:val="both"/>
            </w:pPr>
            <w:r>
              <w:t xml:space="preserve">Būvniecības process ir daudzšķautnains un sarežģīts, katras būvniecības ieceres īstenošanai būs savi raksturīgi apstākļi, </w:t>
            </w:r>
            <w:r w:rsidR="003620EE">
              <w:t xml:space="preserve">tas lielā mērā ietekmēs būvdarbu veikšanas procesu, termiņus, būvdarbu organizācijas kārtību, pasūtītāja un izpildītāja tiesību un pienākumu kopumu. Līdz ar to, šajos aspektos vienota </w:t>
            </w:r>
            <w:proofErr w:type="spellStart"/>
            <w:r w:rsidR="003620EE">
              <w:t>līgumtiesiskā</w:t>
            </w:r>
            <w:proofErr w:type="spellEnd"/>
            <w:r w:rsidR="003620EE">
              <w:t xml:space="preserve"> regulējuma izstrāde nav iespējama. Vienlaicīgi būvdarbu pieņemšanas – nodošanas kārtību, samaksas kārtību un līgumsaistību pastiprināšanas instrumentus neietekmē būvniecības ieceres specifika un vienotu nosacījumu izstrāde būtu lietderīga. </w:t>
            </w:r>
          </w:p>
          <w:p w14:paraId="3DCDF14C" w14:textId="77777777" w:rsidR="002B7E6D" w:rsidRDefault="002B7E6D" w:rsidP="00287CA0">
            <w:pPr>
              <w:contextualSpacing/>
              <w:jc w:val="both"/>
            </w:pPr>
          </w:p>
          <w:p w14:paraId="797B095E" w14:textId="77777777" w:rsidR="003620EE" w:rsidRDefault="003620EE" w:rsidP="00287CA0">
            <w:pPr>
              <w:contextualSpacing/>
              <w:jc w:val="both"/>
            </w:pPr>
            <w:r>
              <w:t xml:space="preserve">Jāatzīst, ka nereti nekvalitatīvi izstrādāti </w:t>
            </w:r>
            <w:r w:rsidR="00E870A0">
              <w:t xml:space="preserve">būvdarbu pieņemšanas – nodošanas </w:t>
            </w:r>
            <w:r w:rsidR="002B7E6D">
              <w:t xml:space="preserve">nosacījumi, samaksas nosacījumi un nesamērīga līgumsaistību pastiprināšana ir iemesls līguma izpildes būtiskai kavēšanai, citu līguma saistību nekvalitatīvai izpildei, kas rezultējas ar līguma laušanu vienpusējā kārtā, būvniecības ieceres īstenošanas apturēšanu un finanšu zaudējumiem valstij  un pašvaldībām. </w:t>
            </w:r>
          </w:p>
          <w:p w14:paraId="6408E713" w14:textId="77777777" w:rsidR="002B7E6D" w:rsidRDefault="002B7E6D" w:rsidP="002B7E6D">
            <w:pPr>
              <w:contextualSpacing/>
              <w:jc w:val="both"/>
            </w:pPr>
          </w:p>
          <w:p w14:paraId="63CB498C" w14:textId="2C44FD67" w:rsidR="002B7E6D" w:rsidRDefault="002B7E6D" w:rsidP="002B7E6D">
            <w:pPr>
              <w:contextualSpacing/>
              <w:jc w:val="both"/>
            </w:pPr>
            <w:r>
              <w:t>Vienotu būvdarbu pieņemšanas – nodošanas nosacījumu, samaksas kārtības un līguma izpildes garantiju nosacījumu ieviešana veicinās publisko būvdarbu procesa caurspīdīgumu, mazinās korupcijas un neveiksmīgu procesu īstenošanas risku.</w:t>
            </w:r>
          </w:p>
          <w:p w14:paraId="6DBA3494" w14:textId="1B7FFBA4" w:rsidR="00A15718" w:rsidRDefault="00A15718" w:rsidP="002B7E6D">
            <w:pPr>
              <w:contextualSpacing/>
              <w:jc w:val="both"/>
            </w:pPr>
          </w:p>
          <w:p w14:paraId="2601EDD5" w14:textId="11EDCCEE" w:rsidR="002B7E6D" w:rsidRPr="00A302B4" w:rsidRDefault="00A15718" w:rsidP="00A15718">
            <w:pPr>
              <w:contextualSpacing/>
              <w:jc w:val="both"/>
            </w:pPr>
            <w:r>
              <w:t>Noteikumi stāsies spēkā 2021.gada 1.janvārī.</w:t>
            </w:r>
          </w:p>
        </w:tc>
      </w:tr>
    </w:tbl>
    <w:p w14:paraId="345DEFAD" w14:textId="77777777" w:rsidR="00BD5588" w:rsidRPr="00D722BB" w:rsidRDefault="00BD5588" w:rsidP="000B3D6C">
      <w:pPr>
        <w:pStyle w:val="Title"/>
        <w:ind w:firstLine="539"/>
        <w:contextualSpacing/>
        <w:jc w:val="both"/>
        <w:rPr>
          <w:sz w:val="24"/>
          <w:szCs w:val="24"/>
        </w:rPr>
      </w:pPr>
    </w:p>
    <w:tbl>
      <w:tblPr>
        <w:tblW w:w="50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406"/>
      </w:tblGrid>
      <w:tr w:rsidR="005D342C" w:rsidRPr="00D722BB" w14:paraId="7DE6B3DF" w14:textId="77777777" w:rsidTr="00CF3794">
        <w:tc>
          <w:tcPr>
            <w:tcW w:w="5000" w:type="pct"/>
            <w:gridSpan w:val="3"/>
            <w:vAlign w:val="center"/>
            <w:hideMark/>
          </w:tcPr>
          <w:p w14:paraId="12C07F77" w14:textId="77777777" w:rsidR="00BD5588" w:rsidRPr="00D722BB" w:rsidRDefault="00F44C2A" w:rsidP="000B3D6C">
            <w:pPr>
              <w:contextualSpacing/>
              <w:jc w:val="center"/>
              <w:rPr>
                <w:b/>
                <w:bCs/>
              </w:rPr>
            </w:pPr>
            <w:r w:rsidRPr="00D722BB">
              <w:rPr>
                <w:b/>
                <w:bCs/>
              </w:rPr>
              <w:t>I. Tiesību akta projekta izstrādes nepieciešamība</w:t>
            </w:r>
          </w:p>
        </w:tc>
      </w:tr>
      <w:tr w:rsidR="005D342C" w:rsidRPr="00D722BB" w14:paraId="429E6D94" w14:textId="77777777" w:rsidTr="00CF3794">
        <w:tc>
          <w:tcPr>
            <w:tcW w:w="308" w:type="pct"/>
            <w:hideMark/>
          </w:tcPr>
          <w:p w14:paraId="168F6255" w14:textId="77777777" w:rsidR="00BD5588" w:rsidRPr="00D722BB" w:rsidRDefault="00F44C2A" w:rsidP="000B3D6C">
            <w:pPr>
              <w:contextualSpacing/>
              <w:jc w:val="center"/>
            </w:pPr>
            <w:r w:rsidRPr="00D722BB">
              <w:lastRenderedPageBreak/>
              <w:t>1.</w:t>
            </w:r>
          </w:p>
        </w:tc>
        <w:tc>
          <w:tcPr>
            <w:tcW w:w="1465" w:type="pct"/>
            <w:hideMark/>
          </w:tcPr>
          <w:p w14:paraId="15BC1526" w14:textId="77777777" w:rsidR="00BD5588" w:rsidRPr="00D722BB" w:rsidRDefault="00F44C2A" w:rsidP="000B3D6C">
            <w:pPr>
              <w:contextualSpacing/>
            </w:pPr>
            <w:r w:rsidRPr="00D722BB">
              <w:t>Pamatojums</w:t>
            </w:r>
          </w:p>
        </w:tc>
        <w:tc>
          <w:tcPr>
            <w:tcW w:w="3227" w:type="pct"/>
            <w:hideMark/>
          </w:tcPr>
          <w:p w14:paraId="01843ED6" w14:textId="77777777" w:rsidR="00B35625" w:rsidRPr="00B35625" w:rsidRDefault="00B35625" w:rsidP="00B35625">
            <w:pPr>
              <w:contextualSpacing/>
              <w:jc w:val="both"/>
              <w:rPr>
                <w:iCs/>
              </w:rPr>
            </w:pPr>
            <w:r w:rsidRPr="00B35625">
              <w:rPr>
                <w:iCs/>
              </w:rPr>
              <w:t>Ministru kabineta noteikumu projekts ir izstrādāts, lai izpildītu Valdības rīcības plāna Deklarācijas par Artura Krišjāņa Kariņa vadītā Ministru kabineta iecerēto darbību īstenošanai 53.1. pasākumu, t.i. iesniegt Ministru kabineta noteikumus par tipveida nosacījumiem publisko būvdarbu līgumos (Ministru kabineta 2019. gada 7. maijā rīkojums Nr. 210).</w:t>
            </w:r>
          </w:p>
          <w:p w14:paraId="496B558F" w14:textId="77777777" w:rsidR="00B35625" w:rsidRPr="00B35625" w:rsidRDefault="00B35625" w:rsidP="00B35625">
            <w:pPr>
              <w:contextualSpacing/>
              <w:jc w:val="both"/>
              <w:rPr>
                <w:iCs/>
              </w:rPr>
            </w:pPr>
          </w:p>
          <w:p w14:paraId="35BE232C" w14:textId="77777777" w:rsidR="00B35625" w:rsidRPr="00B35625" w:rsidRDefault="00B35625" w:rsidP="00B35625">
            <w:pPr>
              <w:contextualSpacing/>
              <w:jc w:val="both"/>
              <w:rPr>
                <w:iCs/>
              </w:rPr>
            </w:pPr>
            <w:r w:rsidRPr="00B35625">
              <w:rPr>
                <w:iCs/>
              </w:rPr>
              <w:t xml:space="preserve">Uzdevums izstrādāt un iesniegt Ministru kabineta noteikumus par tipveida nosacījumiem publisko būvdarbu līgumos ir paredzēts arī ar Ministru kabineta 2020.gada 11.februāra rīkojumu Nr. 49 “Par rīcības plānu publisko iepirkumu sistēmas uzlabošanai” apstiprinātajā rīcības plānā. Proti rīcības plāna 4.punkts paredz uzdevumu izstrādāt tipveida darbu pieņemšanas - nodošanas un norēķinu kārtību publiskos būvdarbu līgumos. </w:t>
            </w:r>
          </w:p>
          <w:p w14:paraId="5A581438" w14:textId="77777777" w:rsidR="00B35625" w:rsidRPr="00B35625" w:rsidRDefault="00B35625" w:rsidP="00B35625">
            <w:pPr>
              <w:contextualSpacing/>
              <w:jc w:val="both"/>
              <w:rPr>
                <w:iCs/>
              </w:rPr>
            </w:pPr>
          </w:p>
          <w:p w14:paraId="02B87FEB" w14:textId="000C7BE5" w:rsidR="00530473" w:rsidRPr="00D722BB" w:rsidRDefault="00B35625" w:rsidP="00B35625">
            <w:pPr>
              <w:contextualSpacing/>
              <w:jc w:val="both"/>
            </w:pPr>
            <w:r w:rsidRPr="00B35625">
              <w:rPr>
                <w:iCs/>
              </w:rPr>
              <w:t xml:space="preserve">Deleģējums ministru kabineta noteikumu izdošanai ir iekļauts Būvniecības likuma 5.panta pirmās daļas 14.punktā. </w:t>
            </w:r>
          </w:p>
          <w:p w14:paraId="6B84041B" w14:textId="27F50B8B" w:rsidR="003E010B" w:rsidRPr="00D722BB" w:rsidRDefault="003E010B" w:rsidP="000B3D6C">
            <w:pPr>
              <w:contextualSpacing/>
              <w:jc w:val="both"/>
            </w:pPr>
          </w:p>
        </w:tc>
      </w:tr>
      <w:tr w:rsidR="00727D81" w:rsidRPr="00AF7D8D" w14:paraId="69F54EBF" w14:textId="77777777" w:rsidTr="00CF3794">
        <w:tc>
          <w:tcPr>
            <w:tcW w:w="308" w:type="pct"/>
            <w:hideMark/>
          </w:tcPr>
          <w:p w14:paraId="52DEA4A6" w14:textId="77777777" w:rsidR="00BD5588" w:rsidRPr="00D722BB" w:rsidRDefault="00F44C2A" w:rsidP="000B3D6C">
            <w:pPr>
              <w:contextualSpacing/>
              <w:jc w:val="center"/>
            </w:pPr>
            <w:r w:rsidRPr="00D722BB">
              <w:t>2.</w:t>
            </w:r>
          </w:p>
        </w:tc>
        <w:tc>
          <w:tcPr>
            <w:tcW w:w="1465" w:type="pct"/>
            <w:hideMark/>
          </w:tcPr>
          <w:p w14:paraId="425F64FF" w14:textId="359D96E9" w:rsidR="00BD5588" w:rsidRPr="00D722BB" w:rsidRDefault="00F44C2A" w:rsidP="000B3D6C">
            <w:pPr>
              <w:contextualSpacing/>
            </w:pPr>
            <w:r w:rsidRPr="00D722BB">
              <w:t>Pašreizējā situācija un problēmas, kuru risināšanai tiesību akta projekts izstrādāts, tiesiskā regulējuma mērķis un</w:t>
            </w:r>
          </w:p>
        </w:tc>
        <w:tc>
          <w:tcPr>
            <w:tcW w:w="3227" w:type="pct"/>
          </w:tcPr>
          <w:p w14:paraId="058CF05F" w14:textId="3CFF14B9" w:rsidR="007B6582" w:rsidRDefault="00586DEE" w:rsidP="00586DEE">
            <w:pPr>
              <w:jc w:val="both"/>
              <w:rPr>
                <w:lang w:eastAsia="zh-CN"/>
              </w:rPr>
            </w:pPr>
            <w:r>
              <w:rPr>
                <w:lang w:eastAsia="zh-CN"/>
              </w:rPr>
              <w:t xml:space="preserve">Būvniecības process ir sarežģīts, daudzšķautnains un reglamentēts process. Neskatoties uz to, ka atbildība par būvniecības procesa un tā rezultātā tapušās būves  kvalitāti Būvniecības likumā ir noteikta attiecīgajiem būvniecības procesa dalībniekiem, kas balstoties uz savām profesionālām zināšanām un kompetenci pieņem lēmumus, kas ir saistīti ar būvniecības ieceres īstenošanu, būvniecības ierosinātāja loma un ietekme būvniecības ieceres īstenošana ir </w:t>
            </w:r>
            <w:r w:rsidR="007B6582">
              <w:rPr>
                <w:lang w:eastAsia="zh-CN"/>
              </w:rPr>
              <w:t xml:space="preserve">nozīmīga. Būvniecības ieceres procesa kvalitāti būtiski ietekme būvniecības ierosinātāja spēja rīkoties un pieņemt lēmumus, tai skaitā pieņemt būvdarbus un veikt par tiem samaksu. </w:t>
            </w:r>
          </w:p>
          <w:p w14:paraId="20CAC18B" w14:textId="1D6FBE26" w:rsidR="007B6582" w:rsidRDefault="007B6582" w:rsidP="00586DEE">
            <w:pPr>
              <w:jc w:val="both"/>
              <w:rPr>
                <w:lang w:eastAsia="zh-CN"/>
              </w:rPr>
            </w:pPr>
          </w:p>
          <w:p w14:paraId="62DE8AAC" w14:textId="52576F3C" w:rsidR="007B6582" w:rsidRDefault="007B6582" w:rsidP="00586DEE">
            <w:pPr>
              <w:jc w:val="both"/>
              <w:rPr>
                <w:lang w:eastAsia="zh-CN"/>
              </w:rPr>
            </w:pPr>
            <w:r>
              <w:rPr>
                <w:lang w:eastAsia="zh-CN"/>
              </w:rPr>
              <w:t>Līgumsaistību pastiprināšana ir labs instruments būvniecības ierosinātāja interešu aizsardzībai, samazinot nekvalitatīvu būvdarbu risku, kā arī risku, ka būvdarbu veicējs nepamatoti kavēs līgumsaistību izpildi vai prettiesiski vienpusēji atkāpsies no līguma izpildes. Taču pārmērīgas garantijas</w:t>
            </w:r>
            <w:r w:rsidR="00CE10C6">
              <w:rPr>
                <w:lang w:eastAsia="zh-CN"/>
              </w:rPr>
              <w:t xml:space="preserve"> var negatīvi ietekmēt ne tikai konkrētās </w:t>
            </w:r>
            <w:proofErr w:type="spellStart"/>
            <w:r w:rsidR="00CE10C6">
              <w:rPr>
                <w:lang w:eastAsia="zh-CN"/>
              </w:rPr>
              <w:t>līgumtiesiskās</w:t>
            </w:r>
            <w:proofErr w:type="spellEnd"/>
            <w:r w:rsidR="00CE10C6">
              <w:rPr>
                <w:lang w:eastAsia="zh-CN"/>
              </w:rPr>
              <w:t xml:space="preserve"> attiecības un to kvalitatīvu izpildi, bet būvniecības nozares konkurētspēju kopumā.</w:t>
            </w:r>
          </w:p>
          <w:p w14:paraId="6B98E6BA" w14:textId="77777777" w:rsidR="007B6582" w:rsidRDefault="007B6582" w:rsidP="00586DEE">
            <w:pPr>
              <w:jc w:val="both"/>
              <w:rPr>
                <w:lang w:eastAsia="zh-CN"/>
              </w:rPr>
            </w:pPr>
          </w:p>
          <w:p w14:paraId="7B15139B" w14:textId="77777777" w:rsidR="00C05894" w:rsidRDefault="00CE10C6" w:rsidP="00586DEE">
            <w:pPr>
              <w:jc w:val="both"/>
              <w:rPr>
                <w:lang w:eastAsia="zh-CN"/>
              </w:rPr>
            </w:pPr>
            <w:r>
              <w:rPr>
                <w:lang w:eastAsia="zh-CN"/>
              </w:rPr>
              <w:t xml:space="preserve">Valsts un pašvaldību pasūtījumi kopējā būvniecības produkcijas apjomā veido nozīmīgu daļu, atkarībā no ekonomiskās situācijas un izaugsmes tempa publiskā pasūtījuma apjoms variē no 50 līdz pat 75%. Publiskās investīcijas var kalpot tirgus stabilizēšanai un </w:t>
            </w:r>
            <w:r>
              <w:rPr>
                <w:lang w:eastAsia="zh-CN"/>
              </w:rPr>
              <w:lastRenderedPageBreak/>
              <w:t xml:space="preserve">ekonomikas sildīšanai ekonomiskās lejupslīdes vai krīzes apstākļos. </w:t>
            </w:r>
          </w:p>
          <w:p w14:paraId="389DA325" w14:textId="77777777" w:rsidR="00CE10C6" w:rsidRDefault="00CE10C6" w:rsidP="00586DEE">
            <w:pPr>
              <w:jc w:val="both"/>
              <w:rPr>
                <w:lang w:eastAsia="zh-CN"/>
              </w:rPr>
            </w:pPr>
          </w:p>
          <w:p w14:paraId="065952CA" w14:textId="48863E63" w:rsidR="0045681B" w:rsidRDefault="00CE10C6" w:rsidP="0045681B">
            <w:pPr>
              <w:jc w:val="both"/>
              <w:rPr>
                <w:lang w:eastAsia="zh-CN"/>
              </w:rPr>
            </w:pPr>
            <w:r>
              <w:rPr>
                <w:lang w:eastAsia="zh-CN"/>
              </w:rPr>
              <w:t>Jāatzīst, ka publiskajos būvniecības iepirkumu veikšana ir vērojama centralizācija, valsts pusē investīcijas infrastruktūrā veic atsevišķas iestādes</w:t>
            </w:r>
            <w:r w:rsidR="0045681B">
              <w:rPr>
                <w:lang w:eastAsia="zh-CN"/>
              </w:rPr>
              <w:t>.</w:t>
            </w:r>
            <w:r>
              <w:rPr>
                <w:lang w:eastAsia="zh-CN"/>
              </w:rPr>
              <w:t xml:space="preserve"> </w:t>
            </w:r>
            <w:r w:rsidR="0045681B">
              <w:rPr>
                <w:lang w:eastAsia="zh-CN"/>
              </w:rPr>
              <w:t>P</w:t>
            </w:r>
            <w:r>
              <w:rPr>
                <w:lang w:eastAsia="zh-CN"/>
              </w:rPr>
              <w:t>amatā valsts nekustamo īpašumu politiku īsteno Valsts akciju sabiedrība “Valsts nekustamie īpašumi”</w:t>
            </w:r>
            <w:r w:rsidR="0045681B">
              <w:rPr>
                <w:lang w:eastAsia="zh-CN"/>
              </w:rPr>
              <w:t>, kas akumulē kompetenci, zināšanas un pieredzi nekustamā īpašuma attīstības un uzturēšanas procesos. Vienlaicīgi valsts nekustamo īpašumu uzturēšanu un attīstību savas kompetences ietvaros veic arī citas ministrijas un to iestādes, piemēram,</w:t>
            </w:r>
            <w:r>
              <w:rPr>
                <w:lang w:eastAsia="zh-CN"/>
              </w:rPr>
              <w:t xml:space="preserve"> </w:t>
            </w:r>
            <w:r w:rsidR="0045681B">
              <w:rPr>
                <w:lang w:eastAsia="zh-CN"/>
              </w:rPr>
              <w:t xml:space="preserve">Nodrošinājuma valsts aģentūra, Kultūras ministrija, </w:t>
            </w:r>
            <w:r w:rsidR="0045681B" w:rsidRPr="0045681B">
              <w:rPr>
                <w:lang w:eastAsia="zh-CN"/>
              </w:rPr>
              <w:t>Valsts sabiedrība ar ierobežotu atbildību “Šampētera nams”</w:t>
            </w:r>
            <w:r w:rsidR="0045681B">
              <w:rPr>
                <w:lang w:eastAsia="zh-CN"/>
              </w:rPr>
              <w:t>, Valsts aizsardzības</w:t>
            </w:r>
          </w:p>
          <w:p w14:paraId="0FD8915F" w14:textId="77777777" w:rsidR="00F83329" w:rsidRDefault="0045681B" w:rsidP="0045681B">
            <w:pPr>
              <w:jc w:val="both"/>
              <w:rPr>
                <w:lang w:eastAsia="zh-CN"/>
              </w:rPr>
            </w:pPr>
            <w:r>
              <w:rPr>
                <w:lang w:eastAsia="zh-CN"/>
              </w:rPr>
              <w:t xml:space="preserve">militāro objektu un iepirkumu centrs, slimnīcas. Par pašvaldībai piederošā nekustamā īpašuma attīstību un uzturēšanu atbild katra pašvaldība. </w:t>
            </w:r>
            <w:r w:rsidR="00613557">
              <w:rPr>
                <w:lang w:eastAsia="zh-CN"/>
              </w:rPr>
              <w:t xml:space="preserve">Jāuzsver, ka valsts </w:t>
            </w:r>
            <w:r w:rsidR="00F83329">
              <w:rPr>
                <w:lang w:eastAsia="zh-CN"/>
              </w:rPr>
              <w:t xml:space="preserve">un pašvaldību būvniecības ieceres attiecas uz publiskām būvēm un būvēm, kas kalpo sabiedrības interešu aizsardzībai un nodrošināšanai, līdz ar to, būvniecības ieceres pārsvarā ir komplicētas un satur lielākus riskus. </w:t>
            </w:r>
          </w:p>
          <w:p w14:paraId="777AFCD8" w14:textId="77777777" w:rsidR="00F83329" w:rsidRDefault="00F83329" w:rsidP="0045681B">
            <w:pPr>
              <w:jc w:val="both"/>
              <w:rPr>
                <w:lang w:eastAsia="zh-CN"/>
              </w:rPr>
            </w:pPr>
          </w:p>
          <w:p w14:paraId="1231705F" w14:textId="77777777" w:rsidR="00F83329" w:rsidRDefault="00337BAF" w:rsidP="0045681B">
            <w:pPr>
              <w:jc w:val="both"/>
              <w:rPr>
                <w:lang w:eastAsia="zh-CN"/>
              </w:rPr>
            </w:pPr>
            <w:r>
              <w:rPr>
                <w:lang w:eastAsia="zh-CN"/>
              </w:rPr>
              <w:t xml:space="preserve">Katra institūcija publiskā būvdarbu iepirkuma procesa ietvaros patstāvīgi izstrādā būvdarbu līguma projektus, pēc saviem ieskatiem un atbilstoši savām zināšanām un izpratnei veidojot līgumsaistību apjomu un līguma izpildes kārtību. </w:t>
            </w:r>
          </w:p>
          <w:p w14:paraId="4A6F902C" w14:textId="77777777" w:rsidR="00F83329" w:rsidRDefault="00F83329" w:rsidP="0045681B">
            <w:pPr>
              <w:jc w:val="both"/>
              <w:rPr>
                <w:lang w:eastAsia="zh-CN"/>
              </w:rPr>
            </w:pPr>
          </w:p>
          <w:p w14:paraId="216AEE7C" w14:textId="77777777" w:rsidR="00C7176C" w:rsidRDefault="00F83329" w:rsidP="0045681B">
            <w:pPr>
              <w:jc w:val="both"/>
              <w:rPr>
                <w:lang w:eastAsia="zh-CN"/>
              </w:rPr>
            </w:pPr>
            <w:r>
              <w:rPr>
                <w:lang w:eastAsia="zh-CN"/>
              </w:rPr>
              <w:t xml:space="preserve">Ņemot vērā publiskā iepirkuma īpatsvaru kopējā būvniecības produkcijas apjomā, nekvalitatīvi veidotas </w:t>
            </w:r>
            <w:proofErr w:type="spellStart"/>
            <w:r>
              <w:rPr>
                <w:lang w:eastAsia="zh-CN"/>
              </w:rPr>
              <w:t>līgumtiesiskās</w:t>
            </w:r>
            <w:proofErr w:type="spellEnd"/>
            <w:r>
              <w:rPr>
                <w:lang w:eastAsia="zh-CN"/>
              </w:rPr>
              <w:t xml:space="preserve"> attiecības </w:t>
            </w:r>
            <w:r w:rsidR="00C7176C">
              <w:rPr>
                <w:lang w:eastAsia="zh-CN"/>
              </w:rPr>
              <w:t xml:space="preserve">būvdarbu pieņemšanas – nodošanas, samaksas un saistību pastiprināšanas jautājumos var atstāt negatīvu ietekmi uz konkrētās būvniecības ieceres īstenošanas kvalitāti un uz nozares konkurētspēju kopumā. </w:t>
            </w:r>
          </w:p>
          <w:p w14:paraId="5E9EC0E6" w14:textId="77777777" w:rsidR="00C7176C" w:rsidRDefault="00C7176C" w:rsidP="0045681B">
            <w:pPr>
              <w:jc w:val="both"/>
              <w:rPr>
                <w:lang w:eastAsia="zh-CN"/>
              </w:rPr>
            </w:pPr>
          </w:p>
          <w:p w14:paraId="0043D744" w14:textId="791EE8F8" w:rsidR="00CE10C6" w:rsidRDefault="00C7176C" w:rsidP="0045681B">
            <w:pPr>
              <w:jc w:val="both"/>
              <w:rPr>
                <w:lang w:eastAsia="zh-CN"/>
              </w:rPr>
            </w:pPr>
            <w:r>
              <w:rPr>
                <w:lang w:eastAsia="zh-CN"/>
              </w:rPr>
              <w:t xml:space="preserve">Noteikumu projekts paredz ieviest vienotus nosacījumus būvdarbu pieņemšanas-nodošanas un  samaksas kārtībai kā arī vienotus saistību pastiprināšanas nosacījumus, kas ir iekļaujami katrā publisko iepirkumu būvdarbu līgumā, negrozot to saturu. </w:t>
            </w:r>
            <w:r w:rsidR="00E94BB5">
              <w:rPr>
                <w:lang w:eastAsia="zh-CN"/>
              </w:rPr>
              <w:t xml:space="preserve">Saturu saglabāšana nozīmē, ka pasūtītājam publiskajā būvdarbu pasūtījumā ir tiesības līgumā šos nosacījumus izteikt redakcionāli savādāk, paredzot lielāku detalizāciju. Vienlaicīgi pasūtītājam nav tiesību paredzēt lielāku vai mazāku saistību apjomu, vai grozīt nosacījumu būtību. Piemēram,  pasūtītājam nav tiesību paredzēt garākus būvdarbu samaksas termiņus. </w:t>
            </w:r>
            <w:r>
              <w:rPr>
                <w:lang w:eastAsia="zh-CN"/>
              </w:rPr>
              <w:t xml:space="preserve">Pārējie </w:t>
            </w:r>
            <w:r w:rsidR="00E94BB5">
              <w:rPr>
                <w:lang w:eastAsia="zh-CN"/>
              </w:rPr>
              <w:lastRenderedPageBreak/>
              <w:t xml:space="preserve">būvdarba līgumu nosacījumi ir veidojami tā, lai tie nenonāktu pretrunā ar šajos noteikumos ietvertajiem. </w:t>
            </w:r>
          </w:p>
          <w:p w14:paraId="31DC658F" w14:textId="6F30F557" w:rsidR="00E94BB5" w:rsidRDefault="00E94BB5" w:rsidP="0045681B">
            <w:pPr>
              <w:jc w:val="both"/>
              <w:rPr>
                <w:lang w:eastAsia="zh-CN"/>
              </w:rPr>
            </w:pPr>
          </w:p>
          <w:p w14:paraId="4440F501" w14:textId="24D81632" w:rsidR="00E94BB5" w:rsidRDefault="00E94BB5" w:rsidP="00E94BB5">
            <w:pPr>
              <w:pStyle w:val="ListParagraph"/>
              <w:numPr>
                <w:ilvl w:val="0"/>
                <w:numId w:val="11"/>
              </w:numPr>
              <w:jc w:val="both"/>
              <w:rPr>
                <w:lang w:eastAsia="zh-CN"/>
              </w:rPr>
            </w:pPr>
            <w:r>
              <w:rPr>
                <w:lang w:eastAsia="zh-CN"/>
              </w:rPr>
              <w:t>Būvdarbu pieņemšanas – nodošanas kārtība.</w:t>
            </w:r>
          </w:p>
          <w:p w14:paraId="6773BFB3" w14:textId="22DCBA93" w:rsidR="00E433A1" w:rsidRDefault="00E433A1" w:rsidP="00E94BB5">
            <w:pPr>
              <w:jc w:val="both"/>
              <w:rPr>
                <w:lang w:eastAsia="zh-CN"/>
              </w:rPr>
            </w:pPr>
            <w:r>
              <w:rPr>
                <w:lang w:eastAsia="zh-CN"/>
              </w:rPr>
              <w:t xml:space="preserve">Noteikumu projekts paredz, ka pasūtītājs (būvniecības ierosinātājs) var nepieņemt izpildītos būvdarbus tikai </w:t>
            </w:r>
            <w:r w:rsidR="00284BE7">
              <w:rPr>
                <w:lang w:eastAsia="zh-CN"/>
              </w:rPr>
              <w:t xml:space="preserve">tad, </w:t>
            </w:r>
            <w:r>
              <w:rPr>
                <w:lang w:eastAsia="zh-CN"/>
              </w:rPr>
              <w:t xml:space="preserve">ja būvuzraugs tajos konstatē trūkumus un nepilnības. Ja būvuzraugs atzīst būvdarbus par izpildītiem kvalitatīvi un atbilstoši būvprojektam, pasūtītājam nav tiesību atteikties parakstīt būvdarbu </w:t>
            </w:r>
            <w:r w:rsidR="003D796F">
              <w:rPr>
                <w:lang w:eastAsia="zh-CN"/>
              </w:rPr>
              <w:t xml:space="preserve">izpildes aktu vai būvdarbu </w:t>
            </w:r>
            <w:r>
              <w:rPr>
                <w:lang w:eastAsia="zh-CN"/>
              </w:rPr>
              <w:t xml:space="preserve">pieņemšanas </w:t>
            </w:r>
            <w:r w:rsidR="003D796F">
              <w:rPr>
                <w:lang w:eastAsia="zh-CN"/>
              </w:rPr>
              <w:t>un</w:t>
            </w:r>
            <w:r>
              <w:rPr>
                <w:lang w:eastAsia="zh-CN"/>
              </w:rPr>
              <w:t xml:space="preserve"> nodošanas aktu un </w:t>
            </w:r>
            <w:r w:rsidR="003D796F">
              <w:rPr>
                <w:lang w:eastAsia="zh-CN"/>
              </w:rPr>
              <w:t>ne</w:t>
            </w:r>
            <w:r>
              <w:rPr>
                <w:lang w:eastAsia="zh-CN"/>
              </w:rPr>
              <w:t xml:space="preserve">veikt par tiem samaksu. </w:t>
            </w:r>
          </w:p>
          <w:p w14:paraId="3AD9D076" w14:textId="77777777" w:rsidR="003D796F" w:rsidRDefault="003D796F" w:rsidP="00D32DCC">
            <w:pPr>
              <w:jc w:val="both"/>
              <w:rPr>
                <w:lang w:eastAsia="zh-CN"/>
              </w:rPr>
            </w:pPr>
          </w:p>
          <w:p w14:paraId="52DBE9B7" w14:textId="08EE5905" w:rsidR="00EA3F0B" w:rsidRDefault="00E433A1" w:rsidP="00D32DCC">
            <w:pPr>
              <w:jc w:val="both"/>
              <w:rPr>
                <w:lang w:eastAsia="zh-CN"/>
              </w:rPr>
            </w:pPr>
            <w:r>
              <w:rPr>
                <w:lang w:eastAsia="zh-CN"/>
              </w:rPr>
              <w:t xml:space="preserve">Saskaņā ar Būvniecības likuma 19. panta nosacījumiem būvdarbu veicējs ir atbildīgs par normatīvo aktu prasību ievērošanu būvlaukumā un būvdarbu rezultātā tapušās būves vai tās daļas atbilstību būvprojektam, kā arī normatīvajiem aktiem atbilstošu būvizstrādājumu izvēli un to iestrādes tehnoloģiju. Saskaņā ar Būvniecības likuma 19. panta sesto daļu un Ministru kabineta 2014. gada 19.augusta </w:t>
            </w:r>
            <w:r w:rsidR="00D32DCC">
              <w:rPr>
                <w:lang w:eastAsia="zh-CN"/>
              </w:rPr>
              <w:t xml:space="preserve">noteikumu Nr. 500 “Vispārīgie būvnoteikumi” 117.punktu būvuzraudzības veicēja pienākums ir  nodrošināt būvniecības ierosinātāja tiesības un intereses būvdarbu veikšanas procesā, kā arī nepieļaut būvniecības dalībnieku patvaļīgas atkāpes no būvprojekta, būvniecību reglamentējošo normatīvo aktu pārkāpumus, atkāpes no būvprojektā un darbu veikšanas projektā noteiktajām un citām darbu veikšanas tehnoloģijām. </w:t>
            </w:r>
          </w:p>
          <w:p w14:paraId="2EA244D8" w14:textId="77777777" w:rsidR="003D796F" w:rsidRDefault="003D796F" w:rsidP="00D32DCC">
            <w:pPr>
              <w:jc w:val="both"/>
              <w:rPr>
                <w:lang w:eastAsia="zh-CN"/>
              </w:rPr>
            </w:pPr>
          </w:p>
          <w:p w14:paraId="08F6DF06" w14:textId="511F08D2" w:rsidR="00613557" w:rsidRDefault="0066532C" w:rsidP="00D32DCC">
            <w:pPr>
              <w:jc w:val="both"/>
              <w:rPr>
                <w:lang w:eastAsia="zh-CN"/>
              </w:rPr>
            </w:pPr>
            <w:r>
              <w:rPr>
                <w:lang w:eastAsia="zh-CN"/>
              </w:rPr>
              <w:t xml:space="preserve">Būvuzraudzības institūts būvniecības procesā ir ieviests, lai nodrošinātu </w:t>
            </w:r>
            <w:r w:rsidR="00EA3F0B" w:rsidRPr="00EA3F0B">
              <w:rPr>
                <w:u w:val="single"/>
                <w:lang w:eastAsia="zh-CN"/>
              </w:rPr>
              <w:t>kompetentu un kvalitatīvu</w:t>
            </w:r>
            <w:r w:rsidR="00D40DAE">
              <w:rPr>
                <w:lang w:eastAsia="zh-CN"/>
              </w:rPr>
              <w:t>,</w:t>
            </w:r>
            <w:r w:rsidR="00EA3F0B" w:rsidRPr="00EA3F0B">
              <w:rPr>
                <w:u w:val="single"/>
                <w:lang w:eastAsia="zh-CN"/>
              </w:rPr>
              <w:t xml:space="preserve"> uz profesionālām zināšanām un pieredzi balstītu</w:t>
            </w:r>
            <w:r w:rsidR="00EA3F0B">
              <w:rPr>
                <w:lang w:eastAsia="zh-CN"/>
              </w:rPr>
              <w:t xml:space="preserve"> pasūtītāja interešu pārstāvību būvniecības procesā, samazinot risku, ka pasūtītāja kompetences trūkums var nepamatoti kavēt būvniecības ieceres īstenošanu, radot zaudējumus pašam pasūtītājam. Līdz ar to tieši būvuzrauga pienākums ir novērtēt izpildīto būvdarbu kvalitāti un atbilstību normatīvo aktu prasībām. </w:t>
            </w:r>
          </w:p>
          <w:p w14:paraId="20AE796C" w14:textId="6074F528" w:rsidR="00EA3F0B" w:rsidRDefault="00EA3F0B" w:rsidP="00D32DCC">
            <w:pPr>
              <w:jc w:val="both"/>
              <w:rPr>
                <w:lang w:eastAsia="zh-CN"/>
              </w:rPr>
            </w:pPr>
          </w:p>
          <w:p w14:paraId="01EDDFF8" w14:textId="39A14760" w:rsidR="00EA3F0B" w:rsidRDefault="00EA3F0B" w:rsidP="00D32DCC">
            <w:pPr>
              <w:jc w:val="both"/>
              <w:rPr>
                <w:lang w:eastAsia="zh-CN"/>
              </w:rPr>
            </w:pPr>
            <w:r>
              <w:rPr>
                <w:lang w:eastAsia="zh-CN"/>
              </w:rPr>
              <w:t xml:space="preserve">Saskaņā ar </w:t>
            </w:r>
            <w:r w:rsidR="002F68EB">
              <w:rPr>
                <w:lang w:eastAsia="zh-CN"/>
              </w:rPr>
              <w:t xml:space="preserve">Būvniecības likuma 13.pantu būvuzraugs un būvdarbu vadītājs ir reglamentētās profesijas būvniecības jomā. Profesionālo pakalpojumu sniedzējiem ir izvirzītas minimālās izglītības un pieredzes prasības, pretendenta profesionālo kvalifikāciju novērtē sertificēšanas institūcija, piešķirot patstāvīgās prakses tiesības, tāpat sertificēšanas institūcija veic būvdarbu vadītāja un būvuzrauga profesionālās darbības uzraudzību. </w:t>
            </w:r>
          </w:p>
          <w:p w14:paraId="7B3C089C" w14:textId="4923479A" w:rsidR="002F68EB" w:rsidRDefault="002F68EB" w:rsidP="00D32DCC">
            <w:pPr>
              <w:jc w:val="both"/>
              <w:rPr>
                <w:lang w:eastAsia="zh-CN"/>
              </w:rPr>
            </w:pPr>
          </w:p>
          <w:p w14:paraId="697EAD65" w14:textId="3CDC3F0C" w:rsidR="002F68EB" w:rsidRDefault="00F6602B" w:rsidP="00D32DCC">
            <w:pPr>
              <w:jc w:val="both"/>
              <w:rPr>
                <w:lang w:eastAsia="zh-CN"/>
              </w:rPr>
            </w:pPr>
            <w:r>
              <w:rPr>
                <w:lang w:eastAsia="zh-CN"/>
              </w:rPr>
              <w:lastRenderedPageBreak/>
              <w:t xml:space="preserve">Saskaņā ar Ministru kabineta 2014.gada 19.augusta noteikumu Nr. 500 “Vispārīgie būvnoteikumi” 61.punktu strīds starp būvniecības procesa dalībniekiem attiecībā uz būvdarbu kvalitāti ir risināms būves ekspertīzes ietvaros. Līdz ar to noteikumu projektā ir ietverts nosacījums, kas paredz pienākumu pasūtītājam pasūtīt būves ekspertīzi, ja būvdarbu veicējs argumentēti nepiekrīt būvuzrauga konstatētiem būvdarbu kvalitātes trūkumiem. Būves eksperts ir reglamentētā profesija būvniecības jomā, patstāvīgās prakses tiesības būveksperta profesijā piešķir un būves ekspertu profesionālās darbības uzraudzību veic Būvniecības valsts kontroles birojs. </w:t>
            </w:r>
          </w:p>
          <w:p w14:paraId="5A551213" w14:textId="0CA34F1A" w:rsidR="00F6602B" w:rsidRDefault="00F6602B" w:rsidP="00D32DCC">
            <w:pPr>
              <w:jc w:val="both"/>
              <w:rPr>
                <w:lang w:eastAsia="zh-CN"/>
              </w:rPr>
            </w:pPr>
          </w:p>
          <w:p w14:paraId="701E5702" w14:textId="2237E32B" w:rsidR="00F6602B" w:rsidRDefault="00F6602B" w:rsidP="00D32DCC">
            <w:pPr>
              <w:jc w:val="both"/>
              <w:rPr>
                <w:lang w:eastAsia="zh-CN"/>
              </w:rPr>
            </w:pPr>
            <w:r>
              <w:rPr>
                <w:lang w:eastAsia="zh-CN"/>
              </w:rPr>
              <w:t xml:space="preserve">Vienlaicīgi, lai veicinātu strīdu ātru izskatīšanu un risināšanu, noteikumu projekts paredz tiesības pasūtītājam un būvdarbu veicējam līgumā vienoties par </w:t>
            </w:r>
            <w:proofErr w:type="spellStart"/>
            <w:r>
              <w:rPr>
                <w:lang w:eastAsia="zh-CN"/>
              </w:rPr>
              <w:t>inženierkonsultanta</w:t>
            </w:r>
            <w:proofErr w:type="spellEnd"/>
            <w:r>
              <w:rPr>
                <w:lang w:eastAsia="zh-CN"/>
              </w:rPr>
              <w:t xml:space="preserve"> iesaistīšanu pasūtītāja interešu pārstāvībai, tai skaitā piešķirot tam tiesības izšķirt strīdu par būvdarbu kvalitāti. </w:t>
            </w:r>
            <w:proofErr w:type="spellStart"/>
            <w:r>
              <w:rPr>
                <w:lang w:eastAsia="zh-CN"/>
              </w:rPr>
              <w:t>Inženierkonsultanta</w:t>
            </w:r>
            <w:proofErr w:type="spellEnd"/>
            <w:r>
              <w:rPr>
                <w:lang w:eastAsia="zh-CN"/>
              </w:rPr>
              <w:t xml:space="preserve"> iesaistīšana pasūtītāja interešu aizstāvībai ir atzīta par </w:t>
            </w:r>
            <w:r w:rsidR="0029781E">
              <w:rPr>
                <w:lang w:eastAsia="zh-CN"/>
              </w:rPr>
              <w:t xml:space="preserve">labās prakses piemēru, </w:t>
            </w:r>
            <w:proofErr w:type="spellStart"/>
            <w:r w:rsidR="0029781E">
              <w:rPr>
                <w:lang w:eastAsia="zh-CN"/>
              </w:rPr>
              <w:t>inženierkonsultanta</w:t>
            </w:r>
            <w:proofErr w:type="spellEnd"/>
            <w:r w:rsidR="0029781E">
              <w:rPr>
                <w:lang w:eastAsia="zh-CN"/>
              </w:rPr>
              <w:t xml:space="preserve"> institūts un tā regulējums ir ietverts Starptautiskās </w:t>
            </w:r>
            <w:proofErr w:type="spellStart"/>
            <w:r w:rsidR="0029781E">
              <w:rPr>
                <w:lang w:eastAsia="zh-CN"/>
              </w:rPr>
              <w:t>inženierkonsultācijas</w:t>
            </w:r>
            <w:proofErr w:type="spellEnd"/>
            <w:r w:rsidR="0029781E">
              <w:rPr>
                <w:lang w:eastAsia="zh-CN"/>
              </w:rPr>
              <w:t xml:space="preserve"> konfederācijas izstrādātajos tipveida līgumos (</w:t>
            </w:r>
            <w:r w:rsidR="00C93118">
              <w:rPr>
                <w:lang w:eastAsia="zh-CN"/>
              </w:rPr>
              <w:t xml:space="preserve">turpmāk - </w:t>
            </w:r>
            <w:r w:rsidR="0029781E">
              <w:rPr>
                <w:i/>
                <w:iCs/>
                <w:lang w:eastAsia="zh-CN"/>
              </w:rPr>
              <w:t>FIDIC līgumos)</w:t>
            </w:r>
            <w:r w:rsidR="0029781E">
              <w:rPr>
                <w:lang w:eastAsia="zh-CN"/>
              </w:rPr>
              <w:t xml:space="preserve">, kurus plaši izmanto valsts publiskajos būvdarbu  iepirkumos. Līdz ar to, ja pasūtītājs izvēlas izmantot </w:t>
            </w:r>
            <w:r w:rsidR="0029781E">
              <w:rPr>
                <w:i/>
                <w:iCs/>
                <w:lang w:eastAsia="zh-CN"/>
              </w:rPr>
              <w:t>FIDIC līgumu</w:t>
            </w:r>
            <w:r w:rsidR="0029781E">
              <w:rPr>
                <w:lang w:eastAsia="zh-CN"/>
              </w:rPr>
              <w:t xml:space="preserve"> publiskajā būvdarbu iepirkumā, tam būtu tiesības līgumā piešķirt strīdu izskatīšanas kompetenci </w:t>
            </w:r>
            <w:proofErr w:type="spellStart"/>
            <w:r w:rsidR="0029781E">
              <w:rPr>
                <w:lang w:eastAsia="zh-CN"/>
              </w:rPr>
              <w:t>inženierkonsultantam</w:t>
            </w:r>
            <w:proofErr w:type="spellEnd"/>
            <w:r w:rsidR="0029781E">
              <w:rPr>
                <w:lang w:eastAsia="zh-CN"/>
              </w:rPr>
              <w:t>.</w:t>
            </w:r>
          </w:p>
          <w:p w14:paraId="5512B426" w14:textId="4995F33D" w:rsidR="003D796F" w:rsidRDefault="003D796F" w:rsidP="00D32DCC">
            <w:pPr>
              <w:jc w:val="both"/>
              <w:rPr>
                <w:lang w:eastAsia="zh-CN"/>
              </w:rPr>
            </w:pPr>
          </w:p>
          <w:p w14:paraId="18A15869" w14:textId="5DA8C631" w:rsidR="003D796F" w:rsidRPr="0029781E" w:rsidRDefault="003D796F" w:rsidP="00D32DCC">
            <w:pPr>
              <w:jc w:val="both"/>
              <w:rPr>
                <w:lang w:eastAsia="zh-CN"/>
              </w:rPr>
            </w:pPr>
            <w:r>
              <w:rPr>
                <w:lang w:eastAsia="zh-CN"/>
              </w:rPr>
              <w:t xml:space="preserve">Vienlaicīgi šī kārtība neietekmē pasūtītāja tiesības vēlāk izvirzīt pretenzijas par jau pieņemtajiem būvdarbiem, ja tas konstatē tajos defektus. Šīs tiesības paliek nemainīgas gan gadījumā, ja pieņemot būvdarbus, pasūtītājs </w:t>
            </w:r>
            <w:r w:rsidR="004F5B9B">
              <w:rPr>
                <w:lang w:eastAsia="zh-CN"/>
              </w:rPr>
              <w:t>ir</w:t>
            </w:r>
            <w:r>
              <w:rPr>
                <w:lang w:eastAsia="zh-CN"/>
              </w:rPr>
              <w:t xml:space="preserve"> izsniedzis defektu aktu, gad gadījumā, ja šāds akts </w:t>
            </w:r>
            <w:r w:rsidR="004F5B9B">
              <w:rPr>
                <w:lang w:eastAsia="zh-CN"/>
              </w:rPr>
              <w:t>ne</w:t>
            </w:r>
            <w:r>
              <w:rPr>
                <w:lang w:eastAsia="zh-CN"/>
              </w:rPr>
              <w:t xml:space="preserve">tika izsniegts. </w:t>
            </w:r>
            <w:r w:rsidR="00C83463">
              <w:rPr>
                <w:lang w:eastAsia="zh-CN"/>
              </w:rPr>
              <w:t xml:space="preserve">Tas ir saistīts ar faktu būvdarbu izpildes akta parakstīšana un pieņemšana attiecas uz būvdarbu apjomu, faktiskās izpildes un vispārējās kvalitātes novērtēšanu, balstoties uz informāciju, kas ir pieejama būvdarbu izpildes akta saņemšanas brīdī. Regulējuma mērķis ir līdzsvarot pasūtītāja un būvdarbu veicēja tiesiskās intereses, no vienas puses, aizsargājot būvdarbu veicēju no nepamatotām pasūtītāja pretenzijām un nodrošinot samaksu veikšanu par faktiski izpildītajiem darbiem,  no otrās puses, atstājot tiesības iesniegt pretenzijas par būvdarbu kvalitāti arī vēlāk, </w:t>
            </w:r>
            <w:r w:rsidR="00B35F50">
              <w:rPr>
                <w:lang w:eastAsia="zh-CN"/>
              </w:rPr>
              <w:t xml:space="preserve">ja problēmas ar veikto būvdarbu kvalitāti tiek atklātas pēc būvdarbu pieņemšanas un samaksas veikšanas. Šāda nostāja atbilst būvdarbu garantijas regulējuma jēgai. </w:t>
            </w:r>
            <w:r w:rsidR="0049025D">
              <w:rPr>
                <w:lang w:eastAsia="zh-CN"/>
              </w:rPr>
              <w:t xml:space="preserve">Proti, </w:t>
            </w:r>
            <w:r w:rsidR="0049025D">
              <w:rPr>
                <w:lang w:eastAsia="zh-CN"/>
              </w:rPr>
              <w:lastRenderedPageBreak/>
              <w:t xml:space="preserve">būvdarbu vadītājam ir pienākums novērst konstatētos defektus, neatkarīgi no tā vai pasūtītājs būvdarbus ir pieņēmis un veicis par tām samaksu. </w:t>
            </w:r>
          </w:p>
          <w:p w14:paraId="4A443E37" w14:textId="593AA087" w:rsidR="00EA3F0B" w:rsidRDefault="00EA3F0B" w:rsidP="00D32DCC">
            <w:pPr>
              <w:jc w:val="both"/>
              <w:rPr>
                <w:lang w:eastAsia="zh-CN"/>
              </w:rPr>
            </w:pPr>
          </w:p>
          <w:p w14:paraId="392D2E24" w14:textId="3DDEFB0D" w:rsidR="00EA3F0B" w:rsidRDefault="00EA3F0B" w:rsidP="00EA3F0B">
            <w:pPr>
              <w:pStyle w:val="ListParagraph"/>
              <w:numPr>
                <w:ilvl w:val="0"/>
                <w:numId w:val="11"/>
              </w:numPr>
              <w:jc w:val="both"/>
              <w:rPr>
                <w:lang w:eastAsia="zh-CN"/>
              </w:rPr>
            </w:pPr>
            <w:r>
              <w:rPr>
                <w:lang w:eastAsia="zh-CN"/>
              </w:rPr>
              <w:t xml:space="preserve">Būvdarbu </w:t>
            </w:r>
            <w:r w:rsidR="00F6602B">
              <w:rPr>
                <w:lang w:eastAsia="zh-CN"/>
              </w:rPr>
              <w:t>samaksas kārtība</w:t>
            </w:r>
            <w:r>
              <w:rPr>
                <w:lang w:eastAsia="zh-CN"/>
              </w:rPr>
              <w:t xml:space="preserve"> </w:t>
            </w:r>
          </w:p>
          <w:p w14:paraId="602C855C" w14:textId="77777777" w:rsidR="00E6542E" w:rsidRDefault="00E6542E" w:rsidP="00E6542E">
            <w:pPr>
              <w:jc w:val="both"/>
              <w:rPr>
                <w:lang w:eastAsia="zh-CN"/>
              </w:rPr>
            </w:pPr>
          </w:p>
          <w:p w14:paraId="2E51FD70" w14:textId="2C6C1B33" w:rsidR="00E6542E" w:rsidRDefault="00E6542E" w:rsidP="00E6542E">
            <w:pPr>
              <w:jc w:val="both"/>
              <w:rPr>
                <w:lang w:eastAsia="zh-CN"/>
              </w:rPr>
            </w:pPr>
            <w:r>
              <w:rPr>
                <w:lang w:eastAsia="zh-CN"/>
              </w:rPr>
              <w:t xml:space="preserve">Lai veicinātu efektīvu naudas plūsmu publiskā būvdarbu līguma izpildē, ir paredzēti vienoti un objektīvi termiņi samaksas veikšanai par pieņemtajiem būvdarbiem. </w:t>
            </w:r>
          </w:p>
          <w:p w14:paraId="4A5C2BCC" w14:textId="4D091AC2" w:rsidR="00E6542E" w:rsidRDefault="00E6542E" w:rsidP="00E6542E">
            <w:pPr>
              <w:jc w:val="both"/>
              <w:rPr>
                <w:lang w:eastAsia="zh-CN"/>
              </w:rPr>
            </w:pPr>
          </w:p>
          <w:p w14:paraId="715462A9" w14:textId="78A1CCBB" w:rsidR="00E6542E" w:rsidRDefault="00E6542E" w:rsidP="00E6542E">
            <w:pPr>
              <w:jc w:val="both"/>
              <w:rPr>
                <w:lang w:eastAsia="zh-CN"/>
              </w:rPr>
            </w:pPr>
            <w:r>
              <w:rPr>
                <w:lang w:eastAsia="zh-CN"/>
              </w:rPr>
              <w:t xml:space="preserve">Ņemot vērā, ka samaksa par veiktajiem būvdarbiem ir paredzēta tikai par </w:t>
            </w:r>
            <w:r w:rsidR="00CC21EC">
              <w:rPr>
                <w:lang w:eastAsia="zh-CN"/>
              </w:rPr>
              <w:t xml:space="preserve">būvdarbiem, kas ir novērtēti un pieņemti no pasūtītāja puses, vai kuru kvalitāte ir novērtēta būves ekspertīzes procesā vai no </w:t>
            </w:r>
            <w:proofErr w:type="spellStart"/>
            <w:r w:rsidR="00CC21EC">
              <w:rPr>
                <w:lang w:eastAsia="zh-CN"/>
              </w:rPr>
              <w:t>inženierkonsultanta</w:t>
            </w:r>
            <w:proofErr w:type="spellEnd"/>
            <w:r w:rsidR="00CC21EC">
              <w:rPr>
                <w:lang w:eastAsia="zh-CN"/>
              </w:rPr>
              <w:t xml:space="preserve"> puses, </w:t>
            </w:r>
            <w:r w:rsidR="009F569A">
              <w:rPr>
                <w:lang w:eastAsia="zh-CN"/>
              </w:rPr>
              <w:t xml:space="preserve">15 darba dienas ir pietiekams termiņš samaksas veikšanai. </w:t>
            </w:r>
          </w:p>
          <w:p w14:paraId="5D87B73B" w14:textId="3A8D4DC4" w:rsidR="009F569A" w:rsidRDefault="009F569A" w:rsidP="00E6542E">
            <w:pPr>
              <w:jc w:val="both"/>
              <w:rPr>
                <w:lang w:eastAsia="zh-CN"/>
              </w:rPr>
            </w:pPr>
          </w:p>
          <w:p w14:paraId="59ED314B" w14:textId="144DF7B6" w:rsidR="009F569A" w:rsidRDefault="009F569A" w:rsidP="00E6542E">
            <w:pPr>
              <w:jc w:val="both"/>
              <w:rPr>
                <w:lang w:eastAsia="zh-CN"/>
              </w:rPr>
            </w:pPr>
            <w:r>
              <w:rPr>
                <w:lang w:eastAsia="zh-CN"/>
              </w:rPr>
              <w:t xml:space="preserve">Savukārt objektīvs samaksas termiņš nodrošinās galvenajam būvdarbu veicējam stabilu naudas plūsmu, lai tālāk pildītu savas saistības pret saviem darbiniekiem un piegādātājiem, kā arī pildītu nodokļu nomaksas saistības. </w:t>
            </w:r>
          </w:p>
          <w:p w14:paraId="0E24C5D4" w14:textId="33C61F26" w:rsidR="00390CC2" w:rsidRDefault="00390CC2" w:rsidP="00E6542E">
            <w:pPr>
              <w:jc w:val="both"/>
              <w:rPr>
                <w:lang w:eastAsia="zh-CN"/>
              </w:rPr>
            </w:pPr>
          </w:p>
          <w:p w14:paraId="52A5B312" w14:textId="73D207F4" w:rsidR="00390CC2" w:rsidRDefault="00390CC2" w:rsidP="00390CC2">
            <w:pPr>
              <w:pStyle w:val="ListParagraph"/>
              <w:numPr>
                <w:ilvl w:val="0"/>
                <w:numId w:val="11"/>
              </w:numPr>
              <w:jc w:val="both"/>
              <w:rPr>
                <w:lang w:eastAsia="zh-CN"/>
              </w:rPr>
            </w:pPr>
            <w:r>
              <w:rPr>
                <w:lang w:eastAsia="zh-CN"/>
              </w:rPr>
              <w:t xml:space="preserve">Līgumsaistību izpildes garantijas. </w:t>
            </w:r>
          </w:p>
          <w:p w14:paraId="5B88200A" w14:textId="7EE58BE4" w:rsidR="007F4775" w:rsidRDefault="007F4775" w:rsidP="007F4775">
            <w:pPr>
              <w:jc w:val="both"/>
              <w:rPr>
                <w:lang w:eastAsia="zh-CN"/>
              </w:rPr>
            </w:pPr>
          </w:p>
          <w:p w14:paraId="4734B1F9" w14:textId="4B41E7CC" w:rsidR="007F4775" w:rsidRDefault="007F4775" w:rsidP="00ED59C3">
            <w:pPr>
              <w:jc w:val="both"/>
              <w:rPr>
                <w:lang w:eastAsia="zh-CN"/>
              </w:rPr>
            </w:pPr>
            <w:r w:rsidRPr="007F4775">
              <w:rPr>
                <w:lang w:eastAsia="zh-CN"/>
              </w:rPr>
              <w:t xml:space="preserve">Iepazīstoties ar izsludināto publisko būvdarbu iepirkumu līgumu projektiem, </w:t>
            </w:r>
            <w:r>
              <w:rPr>
                <w:lang w:eastAsia="zh-CN"/>
              </w:rPr>
              <w:t xml:space="preserve">ir </w:t>
            </w:r>
            <w:r w:rsidRPr="007F4775">
              <w:rPr>
                <w:lang w:eastAsia="zh-CN"/>
              </w:rPr>
              <w:t>konstatē</w:t>
            </w:r>
            <w:r>
              <w:rPr>
                <w:lang w:eastAsia="zh-CN"/>
              </w:rPr>
              <w:t>ts</w:t>
            </w:r>
            <w:r w:rsidRPr="007F4775">
              <w:rPr>
                <w:lang w:eastAsia="zh-CN"/>
              </w:rPr>
              <w:t>, ka pasūtītāji līdzīga rakstura būv</w:t>
            </w:r>
            <w:r>
              <w:rPr>
                <w:lang w:eastAsia="zh-CN"/>
              </w:rPr>
              <w:t>darbu</w:t>
            </w:r>
            <w:r w:rsidRPr="007F4775">
              <w:rPr>
                <w:lang w:eastAsia="zh-CN"/>
              </w:rPr>
              <w:t xml:space="preserve"> iepirkuma līgumos paredz ļoti atšķirīgus saistību izpildes nodrošinājumus un nav vienotas prakses to piemērošanā - atšķiras gan nodrošinājumu veidi, līdzekļi un nodrošinājuma apmēri. Atšķirīgi nodrošinājumi tiek piemēroti arī viena pasūtītāja rīkotajās iepirkuma procedūrās, lai gan būvobjekti pēc sava rakstura un būvdarbu veida ir līdzīgi. Tas savukārt ļauj secināt, ka prasītie nodrošinājumi, iespējams, ir pārmērīgi attiecībā pret iespējamiem riskiem un iesniedzamo nodrošinājumu izmaksas nav ekonomiski pamatotas.</w:t>
            </w:r>
            <w:r w:rsidR="00143F1B">
              <w:t xml:space="preserve"> </w:t>
            </w:r>
            <w:r w:rsidR="00143F1B" w:rsidRPr="00143F1B">
              <w:rPr>
                <w:lang w:eastAsia="zh-CN"/>
              </w:rPr>
              <w:t xml:space="preserve">Lai risinātu minētās problēmas un veidotu dialogu starp pasūtītājiem un būvdarbu veicējiem par samērīgu un konkrētajiem apstākļiem atbilstošu nodrošinājumu iekļaušanu publisko būvdarbu iepirkumu līgumos, </w:t>
            </w:r>
            <w:r w:rsidR="00143F1B">
              <w:rPr>
                <w:lang w:eastAsia="zh-CN"/>
              </w:rPr>
              <w:t>Latvijas Būvuzņēmēju partnerība</w:t>
            </w:r>
            <w:r w:rsidR="00143F1B" w:rsidRPr="00143F1B">
              <w:rPr>
                <w:lang w:eastAsia="zh-CN"/>
              </w:rPr>
              <w:t xml:space="preserve"> 2019. gadā veica pētījumu par nodrošinājumiem publiskos būvdarbu iepirkumos.</w:t>
            </w:r>
            <w:r w:rsidR="00ED59C3">
              <w:rPr>
                <w:lang w:eastAsia="zh-CN"/>
              </w:rPr>
              <w:t xml:space="preserve"> Pētījumā tika secināts, ka kopš 2014.gada 1.oktobra ir ievērojami pagarināti </w:t>
            </w:r>
            <w:r w:rsidR="00C93118">
              <w:rPr>
                <w:lang w:eastAsia="zh-CN"/>
              </w:rPr>
              <w:t>būvniecības regulējumā</w:t>
            </w:r>
            <w:r w:rsidR="00ED59C3">
              <w:rPr>
                <w:lang w:eastAsia="zh-CN"/>
              </w:rPr>
              <w:t xml:space="preserve"> noteiktie minimālie būvdarbu garantijas laika termiņi. Vienlaicīgi valstī ir būtiski audzis kopējais būvdarbu apjoms. Līdz ar to ir ievērojami pieaudzis arī būvdarbu veicēju </w:t>
            </w:r>
            <w:r w:rsidR="00ED59C3">
              <w:rPr>
                <w:lang w:eastAsia="zh-CN"/>
              </w:rPr>
              <w:lastRenderedPageBreak/>
              <w:t>pasūtītājiem iesniegto saistību izpildes nodrošinājumu kopējais apjoms. Turpinoties esošai dinamikai, tuvākajā laikā arvien vairāk būvdarbu veicējiem radīsies grūtības kredītiestādēs un apdrošināšanas sabiedrībās saņemt nepieciešamos nodrošinājumus. Tas, savukārt, rada risku būtiskam nodrošinājumu izmaksu pieaugumam, kas jau šobrīd veido ievērojamu daļu no būvdarbu izmaksām. Vienlaikus pastāv risks, ka grūtības iesniegt prasītos nodrošinājumus var būtiski ierobežot pretendentu loku iepirkumos un tādējādi var palielināties būvdarbu izmaksas.</w:t>
            </w:r>
          </w:p>
          <w:p w14:paraId="71189FAF" w14:textId="65A864FB" w:rsidR="00ED59C3" w:rsidRDefault="00ED59C3" w:rsidP="00ED59C3">
            <w:pPr>
              <w:jc w:val="both"/>
              <w:rPr>
                <w:lang w:eastAsia="zh-CN"/>
              </w:rPr>
            </w:pPr>
          </w:p>
          <w:p w14:paraId="0836E673" w14:textId="62B88B08" w:rsidR="00ED59C3" w:rsidRDefault="00ED59C3" w:rsidP="00ED59C3">
            <w:pPr>
              <w:jc w:val="both"/>
              <w:rPr>
                <w:lang w:eastAsia="zh-CN"/>
              </w:rPr>
            </w:pPr>
            <w:r>
              <w:rPr>
                <w:lang w:eastAsia="zh-CN"/>
              </w:rPr>
              <w:t xml:space="preserve">Iepazīstoties ar pētījuma rezultātiem Latvijas Būvniecības padome aicināja Ekonomikas ministriju izstrādāt vienotu līgumsaistību nodrošinājumu regulējumu publiskajos būvdarbu līgumos paredzot, ka </w:t>
            </w:r>
          </w:p>
          <w:p w14:paraId="5CBA97CF" w14:textId="7D5EBB3C" w:rsidR="00ED59C3" w:rsidRDefault="00ED59C3" w:rsidP="00ED59C3">
            <w:pPr>
              <w:jc w:val="both"/>
              <w:rPr>
                <w:lang w:eastAsia="zh-CN"/>
              </w:rPr>
            </w:pPr>
          </w:p>
          <w:p w14:paraId="5512129B" w14:textId="77777777" w:rsidR="00ED59C3" w:rsidRPr="00ED59C3" w:rsidRDefault="00ED59C3" w:rsidP="00ED59C3">
            <w:pPr>
              <w:pStyle w:val="ListParagraph"/>
              <w:numPr>
                <w:ilvl w:val="0"/>
                <w:numId w:val="12"/>
              </w:numPr>
              <w:ind w:hanging="753"/>
              <w:jc w:val="both"/>
              <w:rPr>
                <w:lang w:eastAsia="zh-CN"/>
              </w:rPr>
            </w:pPr>
            <w:r w:rsidRPr="00ED59C3">
              <w:rPr>
                <w:lang w:eastAsia="zh-CN"/>
              </w:rPr>
              <w:t>Pasūtītājs līguma izpildes nodrošinājuma un ieturējuma procentus var noteikt pēc saviem ieskatiem, bet kopā tie nedrīkst pārsniegt 10 % no līguma summas.</w:t>
            </w:r>
          </w:p>
          <w:p w14:paraId="193876B2" w14:textId="27E6CA00" w:rsidR="00ED59C3" w:rsidRPr="00ED59C3" w:rsidRDefault="00ED59C3" w:rsidP="00ED59C3">
            <w:pPr>
              <w:pStyle w:val="ListParagraph"/>
              <w:numPr>
                <w:ilvl w:val="0"/>
                <w:numId w:val="12"/>
              </w:numPr>
              <w:ind w:hanging="753"/>
              <w:jc w:val="both"/>
              <w:rPr>
                <w:lang w:eastAsia="zh-CN"/>
              </w:rPr>
            </w:pPr>
            <w:r w:rsidRPr="00ED59C3">
              <w:rPr>
                <w:lang w:eastAsia="zh-CN"/>
              </w:rPr>
              <w:t>Līguma izpildes nodrošinājums pirmos divus gadus pēc visu darbu pieņemšanas-nodošanas akta parakstīšanas (garantijas periodā) nedrīkst pārsniegt 5 % no līguma summas, bet pārējā garantijas periodā 2 % no līguma summas.</w:t>
            </w:r>
          </w:p>
          <w:p w14:paraId="1DB06FA5" w14:textId="0C6ADF8C" w:rsidR="00ED59C3" w:rsidRPr="00ED59C3" w:rsidRDefault="00ED59C3" w:rsidP="00ED59C3">
            <w:pPr>
              <w:pStyle w:val="ListParagraph"/>
              <w:numPr>
                <w:ilvl w:val="0"/>
                <w:numId w:val="12"/>
              </w:numPr>
              <w:ind w:hanging="753"/>
              <w:jc w:val="both"/>
              <w:rPr>
                <w:lang w:eastAsia="zh-CN"/>
              </w:rPr>
            </w:pPr>
            <w:r w:rsidRPr="00ED59C3">
              <w:rPr>
                <w:lang w:eastAsia="zh-CN"/>
              </w:rPr>
              <w:t>Visos gadījumos kā nodrošinājumu jābūt iespējai izmantot gan bankas garantiju, gan apdrošināšanas polisi, gan naudas iemaksu.</w:t>
            </w:r>
          </w:p>
          <w:p w14:paraId="24AF04C9" w14:textId="77777777" w:rsidR="00ED59C3" w:rsidRDefault="00ED59C3" w:rsidP="00ED59C3">
            <w:pPr>
              <w:ind w:left="-33"/>
              <w:jc w:val="both"/>
              <w:rPr>
                <w:lang w:eastAsia="zh-CN"/>
              </w:rPr>
            </w:pPr>
          </w:p>
          <w:p w14:paraId="3641E13D" w14:textId="03A3D422" w:rsidR="00ED59C3" w:rsidRDefault="00ED59C3" w:rsidP="00ED59C3">
            <w:pPr>
              <w:ind w:left="-33"/>
              <w:jc w:val="both"/>
              <w:rPr>
                <w:lang w:eastAsia="zh-CN"/>
              </w:rPr>
            </w:pPr>
            <w:r>
              <w:rPr>
                <w:lang w:eastAsia="zh-CN"/>
              </w:rPr>
              <w:t>Noteikumu projekta regulējums kopumā atbilst Latvijas Būvniecības padomes ieteikumiem.</w:t>
            </w:r>
          </w:p>
          <w:p w14:paraId="3F0DD5BF" w14:textId="77777777" w:rsidR="00C93118" w:rsidRDefault="00C93118" w:rsidP="00ED59C3">
            <w:pPr>
              <w:ind w:left="-33"/>
              <w:jc w:val="both"/>
              <w:rPr>
                <w:lang w:eastAsia="zh-CN"/>
              </w:rPr>
            </w:pPr>
          </w:p>
          <w:p w14:paraId="136ACEB6" w14:textId="32AC5F17" w:rsidR="00ED59C3" w:rsidRDefault="00ED59C3" w:rsidP="00ED59C3">
            <w:pPr>
              <w:ind w:left="-33"/>
              <w:jc w:val="both"/>
              <w:rPr>
                <w:lang w:eastAsia="zh-CN"/>
              </w:rPr>
            </w:pPr>
            <w:r>
              <w:rPr>
                <w:lang w:eastAsia="zh-CN"/>
              </w:rPr>
              <w:t xml:space="preserve">Noteikumu projekts paredz pasūtītājam tiesības </w:t>
            </w:r>
            <w:r w:rsidR="008C1533">
              <w:rPr>
                <w:lang w:eastAsia="zh-CN"/>
              </w:rPr>
              <w:t xml:space="preserve">prasīt līguma saistību izpildes nodrošinājumu 5 % apmērā no līguma summas, garantijas saistību izpildes nodrošinājumu 5% apmērā no līguma summas pirmajos divos garantijas termiņa </w:t>
            </w:r>
            <w:proofErr w:type="spellStart"/>
            <w:r w:rsidR="008C1533">
              <w:rPr>
                <w:lang w:eastAsia="zh-CN"/>
              </w:rPr>
              <w:t>gadios</w:t>
            </w:r>
            <w:proofErr w:type="spellEnd"/>
            <w:r w:rsidR="008C1533">
              <w:rPr>
                <w:lang w:eastAsia="zh-CN"/>
              </w:rPr>
              <w:t xml:space="preserve"> un 2% apmērā no līguma summas pārējā garantijas termiņa laikā. Garantijas saistību apmērs samazināts, sākot ar trešo garantijas termiņa gadu, ņemot vērā, ka būtiskie būvdarbu trūkumi un slēptie defekti atklājas pirmajos divos gados, vēlāk trūkumu parādīšanas risks samazinās. </w:t>
            </w:r>
          </w:p>
          <w:p w14:paraId="19C8C89A" w14:textId="46C48E37" w:rsidR="008C1533" w:rsidRDefault="008C1533" w:rsidP="00ED59C3">
            <w:pPr>
              <w:ind w:left="-33"/>
              <w:jc w:val="both"/>
              <w:rPr>
                <w:lang w:eastAsia="zh-CN"/>
              </w:rPr>
            </w:pPr>
          </w:p>
          <w:p w14:paraId="7D90BEC0" w14:textId="74940BAE" w:rsidR="008C1533" w:rsidRDefault="008C1533" w:rsidP="00ED59C3">
            <w:pPr>
              <w:ind w:left="-33"/>
              <w:jc w:val="both"/>
              <w:rPr>
                <w:lang w:eastAsia="zh-CN"/>
              </w:rPr>
            </w:pPr>
            <w:r>
              <w:rPr>
                <w:lang w:eastAsia="zh-CN"/>
              </w:rPr>
              <w:t xml:space="preserve">Kopējais nodrošinājuma apmērs nepārsniedz 10% no līguma summas. </w:t>
            </w:r>
          </w:p>
          <w:p w14:paraId="637048DE" w14:textId="77777777" w:rsidR="00ED59C3" w:rsidRDefault="00ED59C3" w:rsidP="00ED59C3">
            <w:pPr>
              <w:jc w:val="both"/>
              <w:rPr>
                <w:lang w:eastAsia="zh-CN"/>
              </w:rPr>
            </w:pPr>
          </w:p>
          <w:p w14:paraId="5A4A2835" w14:textId="395A986E" w:rsidR="00613557" w:rsidRPr="00AF7D8D" w:rsidRDefault="00613557" w:rsidP="0045681B">
            <w:pPr>
              <w:jc w:val="both"/>
              <w:rPr>
                <w:lang w:eastAsia="zh-CN"/>
              </w:rPr>
            </w:pPr>
          </w:p>
        </w:tc>
      </w:tr>
      <w:tr w:rsidR="005D342C" w:rsidRPr="00D722BB" w14:paraId="049B18E6" w14:textId="77777777" w:rsidTr="00CF3794">
        <w:tc>
          <w:tcPr>
            <w:tcW w:w="308" w:type="pct"/>
            <w:hideMark/>
          </w:tcPr>
          <w:p w14:paraId="02DAD8E5" w14:textId="77777777" w:rsidR="00BD5588" w:rsidRPr="00D722BB" w:rsidRDefault="00F44C2A" w:rsidP="000B3D6C">
            <w:pPr>
              <w:contextualSpacing/>
              <w:jc w:val="center"/>
            </w:pPr>
            <w:r w:rsidRPr="00D722BB">
              <w:lastRenderedPageBreak/>
              <w:t>3.</w:t>
            </w:r>
          </w:p>
        </w:tc>
        <w:tc>
          <w:tcPr>
            <w:tcW w:w="1465" w:type="pct"/>
            <w:hideMark/>
          </w:tcPr>
          <w:p w14:paraId="20BF8510" w14:textId="77777777" w:rsidR="00BD5588" w:rsidRPr="00D722BB" w:rsidRDefault="00F44C2A" w:rsidP="000B3D6C">
            <w:pPr>
              <w:contextualSpacing/>
            </w:pPr>
            <w:r w:rsidRPr="00D722BB">
              <w:t xml:space="preserve">Projekta izstrādē iesaistītās institūcijas un </w:t>
            </w:r>
            <w:r w:rsidRPr="00D722BB">
              <w:lastRenderedPageBreak/>
              <w:t>publiskas personas kapitālsabiedrības</w:t>
            </w:r>
          </w:p>
        </w:tc>
        <w:tc>
          <w:tcPr>
            <w:tcW w:w="3227" w:type="pct"/>
            <w:hideMark/>
          </w:tcPr>
          <w:p w14:paraId="5AFBB155" w14:textId="0A6F471B" w:rsidR="00323D0F" w:rsidRDefault="00323D0F" w:rsidP="000B3D6C">
            <w:pPr>
              <w:contextualSpacing/>
              <w:jc w:val="both"/>
            </w:pPr>
            <w:r>
              <w:lastRenderedPageBreak/>
              <w:t xml:space="preserve">Noteikumu projektu izstrādāja Ekonomikas ministrija. </w:t>
            </w:r>
            <w:r w:rsidR="00F44C2A" w:rsidRPr="00D722BB">
              <w:t xml:space="preserve"> </w:t>
            </w:r>
          </w:p>
          <w:p w14:paraId="6A079419" w14:textId="0FCE0CCB" w:rsidR="00247996" w:rsidRDefault="00247996" w:rsidP="000B3D6C">
            <w:pPr>
              <w:contextualSpacing/>
              <w:jc w:val="both"/>
            </w:pPr>
            <w:r>
              <w:lastRenderedPageBreak/>
              <w:t xml:space="preserve">Izstrādājot noteikumu projektu, Ekonomikas ministrija balstījās uz Latvijas Būvniecības padomes izteiktajām rekomendācijām. </w:t>
            </w:r>
          </w:p>
          <w:p w14:paraId="6E606F4F" w14:textId="45CC9F97" w:rsidR="0097782F" w:rsidRPr="00D722BB" w:rsidRDefault="0097782F" w:rsidP="000B3D6C">
            <w:pPr>
              <w:contextualSpacing/>
              <w:jc w:val="both"/>
            </w:pPr>
          </w:p>
        </w:tc>
      </w:tr>
      <w:tr w:rsidR="008B2C2C" w:rsidRPr="00D722BB" w14:paraId="489E7C9A" w14:textId="77777777" w:rsidTr="00CF3794">
        <w:tc>
          <w:tcPr>
            <w:tcW w:w="308" w:type="pct"/>
            <w:hideMark/>
          </w:tcPr>
          <w:p w14:paraId="4D16D1F2" w14:textId="77777777" w:rsidR="00BD5588" w:rsidRPr="00D722BB" w:rsidRDefault="00F44C2A" w:rsidP="000B3D6C">
            <w:pPr>
              <w:contextualSpacing/>
              <w:jc w:val="center"/>
            </w:pPr>
            <w:r w:rsidRPr="00D722BB">
              <w:lastRenderedPageBreak/>
              <w:t>4.</w:t>
            </w:r>
          </w:p>
        </w:tc>
        <w:tc>
          <w:tcPr>
            <w:tcW w:w="1465" w:type="pct"/>
            <w:hideMark/>
          </w:tcPr>
          <w:p w14:paraId="7F811910" w14:textId="77777777" w:rsidR="00BD5588" w:rsidRPr="00D722BB" w:rsidRDefault="00F44C2A" w:rsidP="000B3D6C">
            <w:pPr>
              <w:contextualSpacing/>
            </w:pPr>
            <w:r w:rsidRPr="00D722BB">
              <w:t>Cita informācija</w:t>
            </w:r>
          </w:p>
        </w:tc>
        <w:tc>
          <w:tcPr>
            <w:tcW w:w="3227" w:type="pct"/>
            <w:hideMark/>
          </w:tcPr>
          <w:p w14:paraId="16AB6716" w14:textId="77777777" w:rsidR="00BD5588" w:rsidRPr="00D722BB" w:rsidRDefault="00F44C2A" w:rsidP="000B3D6C">
            <w:pPr>
              <w:contextualSpacing/>
            </w:pPr>
            <w:r w:rsidRPr="00D722BB">
              <w:t>Nav</w:t>
            </w:r>
          </w:p>
        </w:tc>
      </w:tr>
    </w:tbl>
    <w:p w14:paraId="031EEFF9" w14:textId="77777777" w:rsidR="00BD5588" w:rsidRPr="00D722BB" w:rsidRDefault="00BD5588" w:rsidP="000B3D6C">
      <w:pPr>
        <w:pStyle w:val="Title"/>
        <w:ind w:firstLine="539"/>
        <w:contextualSpacing/>
        <w:jc w:val="both"/>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4"/>
        <w:gridCol w:w="5326"/>
      </w:tblGrid>
      <w:tr w:rsidR="005D342C" w:rsidRPr="00D722BB" w14:paraId="037EE105" w14:textId="77777777" w:rsidTr="00B31464">
        <w:tc>
          <w:tcPr>
            <w:tcW w:w="5000" w:type="pct"/>
            <w:gridSpan w:val="3"/>
            <w:vAlign w:val="center"/>
            <w:hideMark/>
          </w:tcPr>
          <w:p w14:paraId="54E8D6A2" w14:textId="77777777" w:rsidR="00BD5588" w:rsidRPr="00D722BB" w:rsidRDefault="00F44C2A" w:rsidP="000B3D6C">
            <w:pPr>
              <w:contextualSpacing/>
              <w:jc w:val="center"/>
              <w:rPr>
                <w:b/>
                <w:bCs/>
              </w:rPr>
            </w:pPr>
            <w:r w:rsidRPr="00D722BB">
              <w:rPr>
                <w:b/>
                <w:bCs/>
              </w:rPr>
              <w:t>II. Tiesību akta projekta ietekme uz sabiedrību, tautsaimniecības attīstību un administratīvo slogu</w:t>
            </w:r>
          </w:p>
        </w:tc>
      </w:tr>
      <w:tr w:rsidR="00B31464" w:rsidRPr="00D722BB" w14:paraId="7B7543D1" w14:textId="77777777" w:rsidTr="00B31464">
        <w:tc>
          <w:tcPr>
            <w:tcW w:w="311" w:type="pct"/>
          </w:tcPr>
          <w:p w14:paraId="0E7418DF" w14:textId="2E5CF2AA" w:rsidR="00B31464" w:rsidRPr="00D722BB" w:rsidRDefault="00B31464" w:rsidP="000B3D6C">
            <w:pPr>
              <w:contextualSpacing/>
              <w:jc w:val="center"/>
            </w:pPr>
            <w:r>
              <w:t>1.</w:t>
            </w:r>
          </w:p>
        </w:tc>
        <w:tc>
          <w:tcPr>
            <w:tcW w:w="1479" w:type="pct"/>
          </w:tcPr>
          <w:p w14:paraId="16EADC1C" w14:textId="66E075CB" w:rsidR="00B31464" w:rsidRPr="00D722BB" w:rsidRDefault="00B31464" w:rsidP="000B3D6C">
            <w:pPr>
              <w:contextualSpacing/>
            </w:pPr>
            <w:r w:rsidRPr="00B31464">
              <w:t xml:space="preserve">Sabiedrības </w:t>
            </w:r>
            <w:proofErr w:type="spellStart"/>
            <w:r w:rsidRPr="00B31464">
              <w:t>mērķgrupas</w:t>
            </w:r>
            <w:proofErr w:type="spellEnd"/>
            <w:r w:rsidRPr="00B31464">
              <w:t>, kuras tiesiskais regulējums ietekmē vai varētu ietekmēt</w:t>
            </w:r>
          </w:p>
        </w:tc>
        <w:tc>
          <w:tcPr>
            <w:tcW w:w="3210" w:type="pct"/>
          </w:tcPr>
          <w:p w14:paraId="7E58A93D" w14:textId="77777777" w:rsidR="00B31464" w:rsidRDefault="00B31464" w:rsidP="00B31464">
            <w:pPr>
              <w:contextualSpacing/>
              <w:jc w:val="both"/>
            </w:pPr>
            <w:r>
              <w:t xml:space="preserve">Noteikumu projekts tiešā veidā attiecas uz publiskajiem būvdarbu pasūtītājiem (būvniecības ierosinātājiem) un būvdarbu veicējiem, kas piedalās publisko būvdarbu iepirkumu procesos. </w:t>
            </w:r>
          </w:p>
          <w:p w14:paraId="2A617C67" w14:textId="77777777" w:rsidR="00B31464" w:rsidRDefault="00B31464" w:rsidP="00B31464">
            <w:pPr>
              <w:contextualSpacing/>
              <w:jc w:val="both"/>
            </w:pPr>
          </w:p>
          <w:p w14:paraId="78EE3CFA" w14:textId="77777777" w:rsidR="00B31464" w:rsidRDefault="00B31464" w:rsidP="00B31464">
            <w:pPr>
              <w:contextualSpacing/>
              <w:jc w:val="both"/>
            </w:pPr>
            <w:r>
              <w:t xml:space="preserve">Visaktuālāk standartizētu līgumu noteikumu ieviešana ir būvdarbu iepirkumos, un kā būtiskus ieguvumus var minēt procesu standartizāciju un nozares vienotas izpratnes un prakses veidošanos. Šobrīd katrs publiskais pasūtītājs pirms iepirkuma izsludināšanas atbilstoši savām zināšanām un pieredzei gatavo iepirkuma līguma projektu. Līdz ar to valsts pārvaldes iestādes un valsts un pašvaldību kapitālsabiedrības kopumā katru gadu tērē ievērojamus cilvēkresursus un līdzekļus būvniecības līgumu sagatavošanai. Ņemot vērā, ka līgumu noteikumi mēdz būt ļoti atšķirīgi, arī pretendentiem šobrīd ir jāvelta ievērojami resursi, lai izvērtētu publisko būvdarbu līgumu projektus, tajā skaitā tajos iekļauto risku sadalījumu un norēķinu kārtību, kas ir svarīgi pretendenta finanšu piedāvājuma sagatavošanai. Savukārt, ieviešot vienotus būvniecības līguma obligātos noteikumus un tos aprobējot praksē, visas valsts ietvaros izveidotos vienota izpratne un prakse būvniecības līgumu piemērošanā. </w:t>
            </w:r>
          </w:p>
          <w:p w14:paraId="66A6408C" w14:textId="77777777" w:rsidR="00B31464" w:rsidRDefault="00B31464" w:rsidP="00B31464">
            <w:pPr>
              <w:contextualSpacing/>
              <w:jc w:val="both"/>
            </w:pPr>
          </w:p>
          <w:p w14:paraId="4B0AE162" w14:textId="13073346" w:rsidR="00B31464" w:rsidRDefault="00B31464" w:rsidP="00B31464">
            <w:pPr>
              <w:contextualSpacing/>
              <w:jc w:val="both"/>
            </w:pPr>
            <w:r>
              <w:t>Netiešā veidā Noteikumu projekts ietekmēs būvniecības procesa dalībniekus un sabiedrību kopumā, ņemot vērā publisko investīciju projektu īpatsvaru kopējā būvniecības produkcijas apjomā.</w:t>
            </w:r>
          </w:p>
        </w:tc>
      </w:tr>
      <w:tr w:rsidR="005D342C" w:rsidRPr="00D722BB" w14:paraId="3CC0594D" w14:textId="77777777" w:rsidTr="00B31464">
        <w:tc>
          <w:tcPr>
            <w:tcW w:w="311" w:type="pct"/>
            <w:hideMark/>
          </w:tcPr>
          <w:p w14:paraId="49EC7B40" w14:textId="77777777" w:rsidR="00BD5588" w:rsidRPr="00D722BB" w:rsidRDefault="00F44C2A" w:rsidP="000B3D6C">
            <w:pPr>
              <w:contextualSpacing/>
              <w:jc w:val="center"/>
            </w:pPr>
            <w:r w:rsidRPr="00D722BB">
              <w:t>2.</w:t>
            </w:r>
          </w:p>
        </w:tc>
        <w:tc>
          <w:tcPr>
            <w:tcW w:w="1479" w:type="pct"/>
            <w:hideMark/>
          </w:tcPr>
          <w:p w14:paraId="10412F9A" w14:textId="77777777" w:rsidR="00BD5588" w:rsidRPr="00D722BB" w:rsidRDefault="00F44C2A" w:rsidP="000B3D6C">
            <w:pPr>
              <w:contextualSpacing/>
            </w:pPr>
            <w:r w:rsidRPr="00D722BB">
              <w:t>Tiesiskā regulējuma ietekme uz tautsaimniecību un administratīvo slogu</w:t>
            </w:r>
          </w:p>
        </w:tc>
        <w:tc>
          <w:tcPr>
            <w:tcW w:w="3210" w:type="pct"/>
            <w:hideMark/>
          </w:tcPr>
          <w:p w14:paraId="2FCBE942" w14:textId="6BF4C43A" w:rsidR="00BD5588" w:rsidRPr="00D722BB" w:rsidRDefault="005569B0" w:rsidP="000B3D6C">
            <w:pPr>
              <w:contextualSpacing/>
              <w:jc w:val="both"/>
            </w:pPr>
            <w:r w:rsidRPr="005569B0">
              <w:t xml:space="preserve">Noteikumu projekts mazina korupcijas riskus un veicina būvniecības kvalitāti. </w:t>
            </w:r>
            <w:r w:rsidR="001029F1">
              <w:t xml:space="preserve">Noteikumu projekts pastiprina būvuzrauga atbildību būvdarbu kvalitātes nodrošināšanā, samazina birokrātiju būvdarbu pieņemšanas – nodošanas procesā, veicina ātru un efektīvu strīdu risināšanu. </w:t>
            </w:r>
          </w:p>
        </w:tc>
      </w:tr>
      <w:tr w:rsidR="005D342C" w:rsidRPr="00D722BB" w14:paraId="31FC3A77" w14:textId="77777777" w:rsidTr="00B31464">
        <w:tc>
          <w:tcPr>
            <w:tcW w:w="311" w:type="pct"/>
            <w:hideMark/>
          </w:tcPr>
          <w:p w14:paraId="3A2EAE06" w14:textId="77777777" w:rsidR="00BD5588" w:rsidRPr="00D722BB" w:rsidRDefault="00F44C2A" w:rsidP="000B3D6C">
            <w:pPr>
              <w:contextualSpacing/>
              <w:jc w:val="center"/>
            </w:pPr>
            <w:r w:rsidRPr="00D722BB">
              <w:t>3.</w:t>
            </w:r>
          </w:p>
        </w:tc>
        <w:tc>
          <w:tcPr>
            <w:tcW w:w="1479" w:type="pct"/>
            <w:hideMark/>
          </w:tcPr>
          <w:p w14:paraId="2BD6E7DC" w14:textId="77777777" w:rsidR="00BD5588" w:rsidRPr="00D722BB" w:rsidRDefault="00F44C2A" w:rsidP="000B3D6C">
            <w:pPr>
              <w:contextualSpacing/>
            </w:pPr>
            <w:r w:rsidRPr="00D722BB">
              <w:t>Administratīvo izmaksu monetārs novērtējums</w:t>
            </w:r>
          </w:p>
        </w:tc>
        <w:tc>
          <w:tcPr>
            <w:tcW w:w="3210" w:type="pct"/>
            <w:hideMark/>
          </w:tcPr>
          <w:p w14:paraId="6E89A7EE" w14:textId="60EF6F24" w:rsidR="00BD5588" w:rsidRPr="00D722BB" w:rsidRDefault="005569B0" w:rsidP="000B3D6C">
            <w:pPr>
              <w:contextualSpacing/>
            </w:pPr>
            <w:r w:rsidRPr="005569B0">
              <w:t>Noteikumu projekts šo jomu neskar.</w:t>
            </w:r>
          </w:p>
        </w:tc>
      </w:tr>
      <w:tr w:rsidR="005D342C" w:rsidRPr="00D722BB" w14:paraId="09FC418C" w14:textId="77777777" w:rsidTr="00B31464">
        <w:tc>
          <w:tcPr>
            <w:tcW w:w="311" w:type="pct"/>
            <w:hideMark/>
          </w:tcPr>
          <w:p w14:paraId="345BBB60" w14:textId="77777777" w:rsidR="00BD5588" w:rsidRPr="00D722BB" w:rsidRDefault="00F44C2A" w:rsidP="000B3D6C">
            <w:pPr>
              <w:contextualSpacing/>
              <w:jc w:val="center"/>
            </w:pPr>
            <w:r w:rsidRPr="00D722BB">
              <w:t>4.</w:t>
            </w:r>
          </w:p>
        </w:tc>
        <w:tc>
          <w:tcPr>
            <w:tcW w:w="1479" w:type="pct"/>
            <w:hideMark/>
          </w:tcPr>
          <w:p w14:paraId="3E302B0A" w14:textId="77777777" w:rsidR="00BD5588" w:rsidRPr="00D722BB" w:rsidRDefault="00F44C2A" w:rsidP="000B3D6C">
            <w:pPr>
              <w:contextualSpacing/>
            </w:pPr>
            <w:r w:rsidRPr="00D722BB">
              <w:t>Atbilstības izmaksu monetārs novērtējums</w:t>
            </w:r>
          </w:p>
        </w:tc>
        <w:tc>
          <w:tcPr>
            <w:tcW w:w="3210" w:type="pct"/>
            <w:hideMark/>
          </w:tcPr>
          <w:p w14:paraId="58EFFE51" w14:textId="347E17EA" w:rsidR="00BD5588" w:rsidRPr="00D722BB" w:rsidRDefault="00BB06F2" w:rsidP="000B3D6C">
            <w:pPr>
              <w:contextualSpacing/>
            </w:pPr>
            <w:r>
              <w:t>Noteikumu p</w:t>
            </w:r>
            <w:r w:rsidR="00F44C2A" w:rsidRPr="00D722BB">
              <w:t>rojekts šo jomu neskar</w:t>
            </w:r>
            <w:r w:rsidR="003E4FBB" w:rsidRPr="00D722BB">
              <w:t>.</w:t>
            </w:r>
          </w:p>
        </w:tc>
      </w:tr>
      <w:tr w:rsidR="008B2C2C" w:rsidRPr="00D722BB" w14:paraId="18643BBB" w14:textId="77777777" w:rsidTr="00B31464">
        <w:tc>
          <w:tcPr>
            <w:tcW w:w="311" w:type="pct"/>
            <w:hideMark/>
          </w:tcPr>
          <w:p w14:paraId="2D6B3C5A" w14:textId="77777777" w:rsidR="00BD5588" w:rsidRPr="00D722BB" w:rsidRDefault="00F44C2A" w:rsidP="000B3D6C">
            <w:pPr>
              <w:contextualSpacing/>
              <w:jc w:val="center"/>
            </w:pPr>
            <w:r w:rsidRPr="00D722BB">
              <w:t>5.</w:t>
            </w:r>
          </w:p>
        </w:tc>
        <w:tc>
          <w:tcPr>
            <w:tcW w:w="1479" w:type="pct"/>
            <w:hideMark/>
          </w:tcPr>
          <w:p w14:paraId="05F70DC8" w14:textId="77777777" w:rsidR="00BD5588" w:rsidRPr="00D722BB" w:rsidRDefault="00F44C2A" w:rsidP="000B3D6C">
            <w:pPr>
              <w:contextualSpacing/>
            </w:pPr>
            <w:r w:rsidRPr="00D722BB">
              <w:t>Cita informācija</w:t>
            </w:r>
          </w:p>
        </w:tc>
        <w:tc>
          <w:tcPr>
            <w:tcW w:w="3210" w:type="pct"/>
            <w:hideMark/>
          </w:tcPr>
          <w:p w14:paraId="71D87743" w14:textId="77777777" w:rsidR="00BD5588" w:rsidRPr="00D722BB" w:rsidRDefault="00F44C2A" w:rsidP="000B3D6C">
            <w:pPr>
              <w:contextualSpacing/>
            </w:pPr>
            <w:r w:rsidRPr="00D722BB">
              <w:t>Nav</w:t>
            </w:r>
          </w:p>
        </w:tc>
      </w:tr>
    </w:tbl>
    <w:p w14:paraId="39C712C6" w14:textId="718EFB08" w:rsidR="00AF61C6" w:rsidRDefault="00AF61C6" w:rsidP="000B3D6C">
      <w:pPr>
        <w:contextualSpacing/>
      </w:pPr>
    </w:p>
    <w:p w14:paraId="311D5E38" w14:textId="77777777" w:rsidR="00C93118" w:rsidRPr="00D722BB" w:rsidRDefault="00C93118" w:rsidP="00C93118">
      <w:pPr>
        <w:pStyle w:val="Title"/>
        <w:ind w:firstLine="539"/>
        <w:contextualSpacing/>
        <w:jc w:val="both"/>
        <w:rPr>
          <w:sz w:val="24"/>
          <w:szCs w:val="24"/>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16"/>
      </w:tblGrid>
      <w:tr w:rsidR="00C93118" w:rsidRPr="00D722BB" w14:paraId="7577BEA7" w14:textId="77777777" w:rsidTr="005A60B5">
        <w:trPr>
          <w:cantSplit/>
        </w:trPr>
        <w:tc>
          <w:tcPr>
            <w:tcW w:w="5000" w:type="pct"/>
            <w:vAlign w:val="center"/>
            <w:hideMark/>
          </w:tcPr>
          <w:p w14:paraId="4EB44995" w14:textId="121E4199" w:rsidR="00C93118" w:rsidRPr="00D722BB" w:rsidRDefault="00C93118" w:rsidP="007D2589">
            <w:pPr>
              <w:contextualSpacing/>
              <w:jc w:val="center"/>
              <w:rPr>
                <w:b/>
                <w:bCs/>
              </w:rPr>
            </w:pPr>
            <w:r w:rsidRPr="002E01CE">
              <w:rPr>
                <w:b/>
              </w:rPr>
              <w:t>III. Tiesību akta projekta ietekme uz valsts budžetu un pašvaldību budžetiem</w:t>
            </w:r>
          </w:p>
        </w:tc>
      </w:tr>
      <w:tr w:rsidR="00C93118" w:rsidRPr="00D722BB" w14:paraId="01E1B0B1" w14:textId="77777777" w:rsidTr="005A60B5">
        <w:trPr>
          <w:cantSplit/>
          <w:trHeight w:val="556"/>
        </w:trPr>
        <w:tc>
          <w:tcPr>
            <w:tcW w:w="5000" w:type="pct"/>
          </w:tcPr>
          <w:p w14:paraId="0DDA1198" w14:textId="77777777" w:rsidR="00C93118" w:rsidRPr="00D722BB" w:rsidRDefault="00C93118" w:rsidP="007D2589">
            <w:pPr>
              <w:contextualSpacing/>
              <w:jc w:val="center"/>
            </w:pPr>
            <w:r>
              <w:t>Noteikumu p</w:t>
            </w:r>
            <w:r w:rsidRPr="00D722BB">
              <w:t>rojekts šo jomu neskar</w:t>
            </w:r>
          </w:p>
        </w:tc>
      </w:tr>
    </w:tbl>
    <w:p w14:paraId="1B835F64" w14:textId="77777777" w:rsidR="00C93118" w:rsidRPr="00AB2D0D" w:rsidRDefault="00C93118" w:rsidP="00C92A99"/>
    <w:tbl>
      <w:tblPr>
        <w:tblW w:w="4954"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8220"/>
      </w:tblGrid>
      <w:tr w:rsidR="005D342C" w:rsidRPr="00D722BB" w14:paraId="58D79B5E" w14:textId="77777777" w:rsidTr="005A60B5">
        <w:tc>
          <w:tcPr>
            <w:tcW w:w="8220" w:type="dxa"/>
            <w:vAlign w:val="center"/>
            <w:hideMark/>
          </w:tcPr>
          <w:p w14:paraId="6B1D29C0" w14:textId="77777777" w:rsidR="004E1BF0" w:rsidRPr="00D722BB" w:rsidRDefault="00F44C2A" w:rsidP="000B3D6C">
            <w:pPr>
              <w:contextualSpacing/>
              <w:jc w:val="center"/>
              <w:rPr>
                <w:b/>
                <w:bCs/>
              </w:rPr>
            </w:pPr>
            <w:r w:rsidRPr="00D722BB">
              <w:rPr>
                <w:b/>
                <w:bCs/>
              </w:rPr>
              <w:t>IV. Tiesību akta projekta ietekme uz spēkā esošo tiesību normu sistēmu</w:t>
            </w:r>
          </w:p>
        </w:tc>
      </w:tr>
      <w:tr w:rsidR="005A60B5" w:rsidRPr="00D722BB" w14:paraId="474C5F5A" w14:textId="77777777" w:rsidTr="005A60B5">
        <w:trPr>
          <w:trHeight w:val="407"/>
        </w:trPr>
        <w:tc>
          <w:tcPr>
            <w:tcW w:w="8220" w:type="dxa"/>
          </w:tcPr>
          <w:p w14:paraId="27537215" w14:textId="475A66DD" w:rsidR="005A60B5" w:rsidRPr="00727D81" w:rsidRDefault="005A60B5" w:rsidP="005A60B5">
            <w:pPr>
              <w:contextualSpacing/>
              <w:jc w:val="center"/>
            </w:pPr>
            <w:r>
              <w:t>Noteikumu p</w:t>
            </w:r>
            <w:r w:rsidRPr="00D722BB">
              <w:t>rojekts šo jomu neskar</w:t>
            </w:r>
          </w:p>
        </w:tc>
      </w:tr>
    </w:tbl>
    <w:p w14:paraId="729D0D78" w14:textId="77777777" w:rsidR="00FF3506" w:rsidRPr="00D722BB" w:rsidRDefault="00FF3506" w:rsidP="000B3D6C">
      <w:pPr>
        <w:pStyle w:val="Title"/>
        <w:ind w:firstLine="539"/>
        <w:contextualSpacing/>
        <w:jc w:val="both"/>
        <w:rPr>
          <w:sz w:val="24"/>
          <w:szCs w:val="24"/>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8216"/>
      </w:tblGrid>
      <w:tr w:rsidR="005D342C" w:rsidRPr="00D722BB" w14:paraId="6C9C8699" w14:textId="77777777" w:rsidTr="005A60B5">
        <w:trPr>
          <w:cantSplit/>
        </w:trPr>
        <w:tc>
          <w:tcPr>
            <w:tcW w:w="5000" w:type="pct"/>
            <w:vAlign w:val="center"/>
            <w:hideMark/>
          </w:tcPr>
          <w:p w14:paraId="64DC25A1" w14:textId="77777777" w:rsidR="00BD5588" w:rsidRPr="00D722BB" w:rsidRDefault="00F44C2A" w:rsidP="000B3D6C">
            <w:pPr>
              <w:contextualSpacing/>
              <w:jc w:val="center"/>
              <w:rPr>
                <w:b/>
                <w:bCs/>
              </w:rPr>
            </w:pPr>
            <w:r w:rsidRPr="00D722BB">
              <w:rPr>
                <w:b/>
                <w:bCs/>
              </w:rPr>
              <w:t>V. Tiesību akta projekta atbilstība Latvijas Republikas starptautiskajām saistībām</w:t>
            </w:r>
          </w:p>
        </w:tc>
      </w:tr>
      <w:tr w:rsidR="008B2C2C" w:rsidRPr="00D722BB" w14:paraId="1BAC662E" w14:textId="77777777" w:rsidTr="005A60B5">
        <w:trPr>
          <w:cantSplit/>
          <w:trHeight w:val="556"/>
        </w:trPr>
        <w:tc>
          <w:tcPr>
            <w:tcW w:w="5000" w:type="pct"/>
          </w:tcPr>
          <w:p w14:paraId="4BE4981D" w14:textId="2425AF81" w:rsidR="00FD6E15" w:rsidRPr="00D722BB" w:rsidRDefault="00BB06F2" w:rsidP="000B3D6C">
            <w:pPr>
              <w:contextualSpacing/>
              <w:jc w:val="center"/>
            </w:pPr>
            <w:r>
              <w:t>Noteikumu p</w:t>
            </w:r>
            <w:r w:rsidR="00F44C2A" w:rsidRPr="00D722BB">
              <w:t>rojekts šo jomu neskar</w:t>
            </w:r>
          </w:p>
        </w:tc>
      </w:tr>
    </w:tbl>
    <w:p w14:paraId="416C4374" w14:textId="77777777" w:rsidR="00FF3506" w:rsidRPr="00D722BB" w:rsidRDefault="00FF3506" w:rsidP="000B3D6C">
      <w:pPr>
        <w:pStyle w:val="Title"/>
        <w:ind w:firstLine="539"/>
        <w:contextualSpacing/>
        <w:jc w:val="both"/>
        <w:rPr>
          <w:sz w:val="24"/>
          <w:szCs w:val="24"/>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3"/>
        <w:gridCol w:w="5247"/>
      </w:tblGrid>
      <w:tr w:rsidR="005D342C" w:rsidRPr="00D722BB" w14:paraId="0814C420" w14:textId="77777777" w:rsidTr="005A60B5">
        <w:trPr>
          <w:cantSplit/>
        </w:trPr>
        <w:tc>
          <w:tcPr>
            <w:tcW w:w="5000" w:type="pct"/>
            <w:gridSpan w:val="3"/>
            <w:vAlign w:val="center"/>
            <w:hideMark/>
          </w:tcPr>
          <w:p w14:paraId="78F5C85E" w14:textId="77777777" w:rsidR="00BD5588" w:rsidRPr="00D722BB" w:rsidRDefault="00F44C2A" w:rsidP="000B3D6C">
            <w:pPr>
              <w:contextualSpacing/>
              <w:jc w:val="center"/>
              <w:rPr>
                <w:b/>
                <w:bCs/>
              </w:rPr>
            </w:pPr>
            <w:r w:rsidRPr="00D722BB">
              <w:rPr>
                <w:b/>
                <w:bCs/>
              </w:rPr>
              <w:t>VI. Sabiedrības līdzdalība un komunikācijas aktivitātes</w:t>
            </w:r>
          </w:p>
        </w:tc>
      </w:tr>
      <w:tr w:rsidR="00FA29F6" w:rsidRPr="00D722BB" w14:paraId="04CB9E80" w14:textId="77777777" w:rsidTr="005A60B5">
        <w:tc>
          <w:tcPr>
            <w:tcW w:w="314" w:type="pct"/>
            <w:hideMark/>
          </w:tcPr>
          <w:p w14:paraId="050DCA79" w14:textId="77777777" w:rsidR="00FA29F6" w:rsidRPr="00D722BB" w:rsidRDefault="00FA29F6" w:rsidP="00EA3F0B">
            <w:pPr>
              <w:contextualSpacing/>
              <w:jc w:val="center"/>
            </w:pPr>
            <w:r w:rsidRPr="00D722BB">
              <w:t>1.</w:t>
            </w:r>
          </w:p>
        </w:tc>
        <w:tc>
          <w:tcPr>
            <w:tcW w:w="1493" w:type="pct"/>
            <w:hideMark/>
          </w:tcPr>
          <w:p w14:paraId="7D1D437E" w14:textId="75629647" w:rsidR="00FA29F6" w:rsidRPr="00D722BB" w:rsidRDefault="00FA29F6" w:rsidP="00EA3F0B">
            <w:pPr>
              <w:contextualSpacing/>
            </w:pPr>
            <w:r w:rsidRPr="00FA29F6">
              <w:t>Plānotās sabiedrības līdzdalības un komunikācijas aktivitātes saistībā ar projektu</w:t>
            </w:r>
          </w:p>
        </w:tc>
        <w:tc>
          <w:tcPr>
            <w:tcW w:w="3193" w:type="pct"/>
            <w:hideMark/>
          </w:tcPr>
          <w:p w14:paraId="66B33A2C" w14:textId="7CF7F216" w:rsidR="00FA29F6" w:rsidRPr="00D722BB" w:rsidRDefault="00CB6596" w:rsidP="00EA3F0B">
            <w:pPr>
              <w:contextualSpacing/>
              <w:jc w:val="both"/>
            </w:pPr>
            <w:r>
              <w:t>Noteikumu projekts papildus tiks skaņots ar Latvijas Būvniecības padomi</w:t>
            </w:r>
            <w:r w:rsidR="00C93118">
              <w:t>, kā arī tiks nodrošināta sabiedrības līdzdalība normatīvajā regulējumā noteiktajā kārtībā.</w:t>
            </w:r>
          </w:p>
        </w:tc>
      </w:tr>
      <w:tr w:rsidR="009C3911" w:rsidRPr="00D722BB" w14:paraId="0809E4EF" w14:textId="77777777" w:rsidTr="005A60B5">
        <w:tc>
          <w:tcPr>
            <w:tcW w:w="314" w:type="pct"/>
          </w:tcPr>
          <w:p w14:paraId="16B51F2C" w14:textId="69094C66" w:rsidR="009C3911" w:rsidRPr="00D722BB" w:rsidRDefault="009C3911" w:rsidP="00EA3F0B">
            <w:pPr>
              <w:contextualSpacing/>
              <w:jc w:val="center"/>
            </w:pPr>
            <w:r>
              <w:t>2.</w:t>
            </w:r>
          </w:p>
        </w:tc>
        <w:tc>
          <w:tcPr>
            <w:tcW w:w="1493" w:type="pct"/>
          </w:tcPr>
          <w:p w14:paraId="3D79919C" w14:textId="3C9F5102" w:rsidR="009C3911" w:rsidRPr="00FA29F6" w:rsidRDefault="009C3911" w:rsidP="00EA3F0B">
            <w:pPr>
              <w:contextualSpacing/>
            </w:pPr>
            <w:r w:rsidRPr="00D722BB">
              <w:t>Sabiedrības līdzdalība projekta izstrādē</w:t>
            </w:r>
          </w:p>
        </w:tc>
        <w:tc>
          <w:tcPr>
            <w:tcW w:w="3193" w:type="pct"/>
          </w:tcPr>
          <w:p w14:paraId="7BD3D11B" w14:textId="6BB236E8" w:rsidR="009C3911" w:rsidRDefault="005A60B5" w:rsidP="00EA3F0B">
            <w:pPr>
              <w:contextualSpacing/>
              <w:jc w:val="both"/>
            </w:pPr>
            <w:r>
              <w:t>Nav</w:t>
            </w:r>
          </w:p>
        </w:tc>
      </w:tr>
      <w:tr w:rsidR="009C3911" w:rsidRPr="00D722BB" w14:paraId="052B7EB3" w14:textId="77777777" w:rsidTr="005A60B5">
        <w:tc>
          <w:tcPr>
            <w:tcW w:w="314" w:type="pct"/>
          </w:tcPr>
          <w:p w14:paraId="596BEFC4" w14:textId="1748B3C8" w:rsidR="009C3911" w:rsidRPr="00083BDF" w:rsidRDefault="00E0340C" w:rsidP="00EA3F0B">
            <w:pPr>
              <w:contextualSpacing/>
              <w:jc w:val="center"/>
            </w:pPr>
            <w:r w:rsidRPr="00083BDF">
              <w:t>3.</w:t>
            </w:r>
          </w:p>
        </w:tc>
        <w:tc>
          <w:tcPr>
            <w:tcW w:w="1493" w:type="pct"/>
          </w:tcPr>
          <w:p w14:paraId="1CDA21D9" w14:textId="5A1CC42E" w:rsidR="009C3911" w:rsidRPr="00083BDF" w:rsidRDefault="009C3911" w:rsidP="00EA3F0B">
            <w:pPr>
              <w:contextualSpacing/>
            </w:pPr>
            <w:r w:rsidRPr="00083BDF">
              <w:t>Sabiedrības līdzdalības rezultāti</w:t>
            </w:r>
          </w:p>
        </w:tc>
        <w:tc>
          <w:tcPr>
            <w:tcW w:w="3193" w:type="pct"/>
          </w:tcPr>
          <w:p w14:paraId="77514E08" w14:textId="0CC01750" w:rsidR="004F21B7" w:rsidRPr="009C3911" w:rsidRDefault="005A60B5" w:rsidP="009B4974">
            <w:pPr>
              <w:pStyle w:val="ListParagraph"/>
              <w:tabs>
                <w:tab w:val="left" w:pos="6840"/>
              </w:tabs>
              <w:ind w:left="0"/>
              <w:jc w:val="both"/>
            </w:pPr>
            <w:r>
              <w:t>Nav</w:t>
            </w:r>
          </w:p>
        </w:tc>
      </w:tr>
      <w:tr w:rsidR="009C3911" w:rsidRPr="00D722BB" w14:paraId="777659CD" w14:textId="77777777" w:rsidTr="005A60B5">
        <w:trPr>
          <w:cantSplit/>
        </w:trPr>
        <w:tc>
          <w:tcPr>
            <w:tcW w:w="314" w:type="pct"/>
          </w:tcPr>
          <w:p w14:paraId="785954A9" w14:textId="153A5203" w:rsidR="009C3911" w:rsidRDefault="009C3911" w:rsidP="00EA3F0B">
            <w:pPr>
              <w:contextualSpacing/>
              <w:jc w:val="center"/>
            </w:pPr>
            <w:r>
              <w:t>4.</w:t>
            </w:r>
          </w:p>
        </w:tc>
        <w:tc>
          <w:tcPr>
            <w:tcW w:w="1493" w:type="pct"/>
          </w:tcPr>
          <w:p w14:paraId="1611C684" w14:textId="22B6D84D" w:rsidR="009C3911" w:rsidRPr="00D722BB" w:rsidRDefault="009C3911" w:rsidP="00EA3F0B">
            <w:pPr>
              <w:contextualSpacing/>
            </w:pPr>
            <w:r w:rsidRPr="00D722BB">
              <w:t>Cita informācija</w:t>
            </w:r>
          </w:p>
        </w:tc>
        <w:tc>
          <w:tcPr>
            <w:tcW w:w="3193" w:type="pct"/>
          </w:tcPr>
          <w:p w14:paraId="42F977D1" w14:textId="32A42672" w:rsidR="009C3911" w:rsidRPr="009C3911" w:rsidRDefault="009C3911" w:rsidP="00EA3F0B">
            <w:pPr>
              <w:contextualSpacing/>
              <w:jc w:val="both"/>
            </w:pPr>
            <w:r>
              <w:t>Nav</w:t>
            </w:r>
          </w:p>
        </w:tc>
      </w:tr>
    </w:tbl>
    <w:p w14:paraId="348F6EDC" w14:textId="7D9CAD4F" w:rsidR="00FA29F6" w:rsidRDefault="00FA29F6" w:rsidP="000B3D6C">
      <w:pPr>
        <w:pStyle w:val="Title"/>
        <w:ind w:firstLine="539"/>
        <w:contextualSpacing/>
        <w:jc w:val="both"/>
        <w:rPr>
          <w:sz w:val="24"/>
          <w:szCs w:val="24"/>
        </w:rPr>
      </w:pPr>
    </w:p>
    <w:p w14:paraId="30517086" w14:textId="77777777" w:rsidR="00FA29F6" w:rsidRPr="00D722BB" w:rsidRDefault="00FA29F6" w:rsidP="000B3D6C">
      <w:pPr>
        <w:pStyle w:val="Title"/>
        <w:ind w:firstLine="539"/>
        <w:contextualSpacing/>
        <w:jc w:val="both"/>
        <w:rPr>
          <w:sz w:val="24"/>
          <w:szCs w:val="24"/>
        </w:rPr>
      </w:pPr>
    </w:p>
    <w:tbl>
      <w:tblPr>
        <w:tblW w:w="49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516"/>
        <w:gridCol w:w="2453"/>
        <w:gridCol w:w="5247"/>
      </w:tblGrid>
      <w:tr w:rsidR="005D342C" w:rsidRPr="00D722BB" w14:paraId="4E3FDEFF" w14:textId="77777777" w:rsidTr="005A60B5">
        <w:trPr>
          <w:cantSplit/>
        </w:trPr>
        <w:tc>
          <w:tcPr>
            <w:tcW w:w="5000" w:type="pct"/>
            <w:gridSpan w:val="3"/>
            <w:vAlign w:val="center"/>
            <w:hideMark/>
          </w:tcPr>
          <w:p w14:paraId="577568BC" w14:textId="77777777" w:rsidR="00BD5588" w:rsidRPr="00D722BB" w:rsidRDefault="00F44C2A" w:rsidP="000B3D6C">
            <w:pPr>
              <w:contextualSpacing/>
              <w:jc w:val="center"/>
              <w:rPr>
                <w:b/>
                <w:bCs/>
              </w:rPr>
            </w:pPr>
            <w:r w:rsidRPr="00D722BB">
              <w:rPr>
                <w:b/>
                <w:bCs/>
              </w:rPr>
              <w:t>VII. Tiesību akta projekta izpildes nodrošināšana un tās ietekme uz institūcijām</w:t>
            </w:r>
          </w:p>
        </w:tc>
      </w:tr>
      <w:tr w:rsidR="005D342C" w:rsidRPr="00D722BB" w14:paraId="1F98F84C" w14:textId="77777777" w:rsidTr="005A60B5">
        <w:trPr>
          <w:cantSplit/>
        </w:trPr>
        <w:tc>
          <w:tcPr>
            <w:tcW w:w="314" w:type="pct"/>
            <w:hideMark/>
          </w:tcPr>
          <w:p w14:paraId="035AA94B" w14:textId="77777777" w:rsidR="00BD5588" w:rsidRPr="00D722BB" w:rsidRDefault="00F44C2A" w:rsidP="000B3D6C">
            <w:pPr>
              <w:contextualSpacing/>
              <w:jc w:val="center"/>
            </w:pPr>
            <w:r w:rsidRPr="00D722BB">
              <w:t>1.</w:t>
            </w:r>
          </w:p>
        </w:tc>
        <w:tc>
          <w:tcPr>
            <w:tcW w:w="1493" w:type="pct"/>
            <w:hideMark/>
          </w:tcPr>
          <w:p w14:paraId="481D4EC1" w14:textId="77777777" w:rsidR="00BD5588" w:rsidRPr="00D722BB" w:rsidRDefault="00F44C2A" w:rsidP="000B3D6C">
            <w:pPr>
              <w:contextualSpacing/>
            </w:pPr>
            <w:r w:rsidRPr="00D722BB">
              <w:t>Projekta izpildē iesaistītās institūcijas</w:t>
            </w:r>
          </w:p>
        </w:tc>
        <w:tc>
          <w:tcPr>
            <w:tcW w:w="3193" w:type="pct"/>
            <w:hideMark/>
          </w:tcPr>
          <w:p w14:paraId="276317E8" w14:textId="47A2A6A5" w:rsidR="00BD5588" w:rsidRPr="00D722BB" w:rsidRDefault="009B4974" w:rsidP="000B3D6C">
            <w:pPr>
              <w:contextualSpacing/>
              <w:jc w:val="both"/>
            </w:pPr>
            <w:r>
              <w:t>Noteikumu projekts šo jomu neskar.</w:t>
            </w:r>
          </w:p>
        </w:tc>
      </w:tr>
      <w:tr w:rsidR="005D342C" w:rsidRPr="00D722BB" w14:paraId="4AE9E8F2" w14:textId="77777777" w:rsidTr="005A60B5">
        <w:trPr>
          <w:cantSplit/>
        </w:trPr>
        <w:tc>
          <w:tcPr>
            <w:tcW w:w="314" w:type="pct"/>
            <w:hideMark/>
          </w:tcPr>
          <w:p w14:paraId="4A7A4D5B" w14:textId="77777777" w:rsidR="00BD5588" w:rsidRPr="00D722BB" w:rsidRDefault="00F44C2A" w:rsidP="000B3D6C">
            <w:pPr>
              <w:contextualSpacing/>
              <w:jc w:val="center"/>
            </w:pPr>
            <w:r w:rsidRPr="00D722BB">
              <w:t>2.</w:t>
            </w:r>
          </w:p>
        </w:tc>
        <w:tc>
          <w:tcPr>
            <w:tcW w:w="1493" w:type="pct"/>
            <w:hideMark/>
          </w:tcPr>
          <w:p w14:paraId="50F67C6A" w14:textId="77777777" w:rsidR="00BD5588" w:rsidRPr="00D722BB" w:rsidRDefault="00F44C2A" w:rsidP="000B3D6C">
            <w:pPr>
              <w:contextualSpacing/>
            </w:pPr>
            <w:r w:rsidRPr="00D722BB">
              <w:t>Projekta izpildes ietekme uz pārvaldes funkcijām un institucionālo struktūru.</w:t>
            </w:r>
            <w:r w:rsidRPr="00D722BB">
              <w:br/>
              <w:t>Jaunu institūciju izveide, esošu institūciju likvidācija vai reorganizācija, to ietekme uz institūcijas cilvēkresursiem</w:t>
            </w:r>
          </w:p>
        </w:tc>
        <w:tc>
          <w:tcPr>
            <w:tcW w:w="3193" w:type="pct"/>
            <w:hideMark/>
          </w:tcPr>
          <w:p w14:paraId="1B0FDEFA" w14:textId="2FE73039" w:rsidR="00BD5588" w:rsidRPr="00D722BB" w:rsidRDefault="005A60B5" w:rsidP="000B3D6C">
            <w:pPr>
              <w:contextualSpacing/>
              <w:jc w:val="both"/>
            </w:pPr>
            <w:r w:rsidRPr="00EB5A4B">
              <w:t>Saistībā ar Projekta izpildi nav paredzēta jaunu institūciju izveide, esošu institūciju likvidācija vai reorganizācija.</w:t>
            </w:r>
          </w:p>
        </w:tc>
      </w:tr>
      <w:tr w:rsidR="008B2C2C" w:rsidRPr="00D722BB" w14:paraId="303AB925" w14:textId="77777777" w:rsidTr="005A60B5">
        <w:trPr>
          <w:cantSplit/>
        </w:trPr>
        <w:tc>
          <w:tcPr>
            <w:tcW w:w="314" w:type="pct"/>
            <w:hideMark/>
          </w:tcPr>
          <w:p w14:paraId="0A9A7ABD" w14:textId="77777777" w:rsidR="00BD5588" w:rsidRPr="00D722BB" w:rsidRDefault="00F44C2A" w:rsidP="000B3D6C">
            <w:pPr>
              <w:contextualSpacing/>
              <w:jc w:val="center"/>
            </w:pPr>
            <w:r w:rsidRPr="00D722BB">
              <w:t>3.</w:t>
            </w:r>
          </w:p>
        </w:tc>
        <w:tc>
          <w:tcPr>
            <w:tcW w:w="1493" w:type="pct"/>
            <w:hideMark/>
          </w:tcPr>
          <w:p w14:paraId="63634A92" w14:textId="77777777" w:rsidR="00BD5588" w:rsidRPr="00D722BB" w:rsidRDefault="00F44C2A" w:rsidP="000B3D6C">
            <w:pPr>
              <w:contextualSpacing/>
            </w:pPr>
            <w:r w:rsidRPr="00D722BB">
              <w:t>Cita informācija</w:t>
            </w:r>
          </w:p>
        </w:tc>
        <w:tc>
          <w:tcPr>
            <w:tcW w:w="3193" w:type="pct"/>
            <w:hideMark/>
          </w:tcPr>
          <w:p w14:paraId="7330BFCB" w14:textId="77777777" w:rsidR="00BD5588" w:rsidRPr="00D722BB" w:rsidRDefault="00F44C2A" w:rsidP="000B3D6C">
            <w:pPr>
              <w:contextualSpacing/>
            </w:pPr>
            <w:r w:rsidRPr="00D722BB">
              <w:t>Nav</w:t>
            </w:r>
          </w:p>
        </w:tc>
      </w:tr>
    </w:tbl>
    <w:p w14:paraId="41EBDB95" w14:textId="77777777" w:rsidR="009F2129" w:rsidRPr="00D722BB" w:rsidRDefault="009F2129" w:rsidP="009F2129">
      <w:pPr>
        <w:tabs>
          <w:tab w:val="left" w:pos="6840"/>
        </w:tabs>
        <w:jc w:val="both"/>
      </w:pPr>
    </w:p>
    <w:p w14:paraId="1053ABF6" w14:textId="77777777" w:rsidR="009F2129" w:rsidRPr="00D722BB" w:rsidRDefault="009F2129" w:rsidP="009F2129">
      <w:pPr>
        <w:jc w:val="both"/>
      </w:pPr>
      <w:r w:rsidRPr="00D722BB">
        <w:t>Iesniedzējs:</w:t>
      </w:r>
    </w:p>
    <w:p w14:paraId="74F8C51F" w14:textId="0FBD91ED" w:rsidR="009F2129" w:rsidRPr="00D722BB" w:rsidRDefault="009F2129" w:rsidP="009F2129">
      <w:pPr>
        <w:jc w:val="both"/>
      </w:pPr>
      <w:r w:rsidRPr="00D722BB">
        <w:t>Ekonomikas ministrs</w:t>
      </w:r>
      <w:r w:rsidRPr="00D722BB">
        <w:tab/>
      </w:r>
      <w:r w:rsidRPr="00D722BB">
        <w:tab/>
      </w:r>
      <w:r w:rsidRPr="00D722BB">
        <w:tab/>
      </w:r>
      <w:r w:rsidRPr="00D722BB">
        <w:tab/>
      </w:r>
      <w:r w:rsidR="003754C0" w:rsidRPr="00D722BB">
        <w:tab/>
      </w:r>
      <w:r w:rsidRPr="00D722BB">
        <w:tab/>
      </w:r>
      <w:r w:rsidRPr="00D722BB">
        <w:tab/>
      </w:r>
      <w:r w:rsidR="003621FC">
        <w:t>J.</w:t>
      </w:r>
      <w:r w:rsidR="00A8525A">
        <w:t xml:space="preserve"> </w:t>
      </w:r>
      <w:proofErr w:type="spellStart"/>
      <w:r w:rsidR="003621FC">
        <w:t>Vitenbergs</w:t>
      </w:r>
      <w:proofErr w:type="spellEnd"/>
    </w:p>
    <w:p w14:paraId="06AF1E6A" w14:textId="77777777" w:rsidR="009F2129" w:rsidRPr="00D722BB" w:rsidRDefault="009F2129" w:rsidP="009F2129"/>
    <w:p w14:paraId="072E8E92" w14:textId="77777777" w:rsidR="009F2129" w:rsidRPr="00D722BB" w:rsidRDefault="009F2129" w:rsidP="009F2129">
      <w:r w:rsidRPr="00D722BB">
        <w:lastRenderedPageBreak/>
        <w:t>Vīza:</w:t>
      </w:r>
    </w:p>
    <w:p w14:paraId="7DB67F98" w14:textId="77777777" w:rsidR="005148FB" w:rsidRDefault="009F2129" w:rsidP="009F2129">
      <w:pPr>
        <w:jc w:val="both"/>
      </w:pPr>
      <w:r w:rsidRPr="00D722BB">
        <w:t>Valsts sekretār</w:t>
      </w:r>
      <w:r w:rsidR="00A8525A">
        <w:t>s</w:t>
      </w:r>
      <w:r w:rsidR="00A8525A">
        <w:tab/>
      </w:r>
      <w:r w:rsidR="003621FC">
        <w:tab/>
      </w:r>
      <w:r w:rsidR="003621FC">
        <w:tab/>
      </w:r>
      <w:r w:rsidR="003621FC">
        <w:tab/>
      </w:r>
      <w:r w:rsidR="003621FC">
        <w:tab/>
      </w:r>
      <w:r w:rsidR="003621FC">
        <w:tab/>
      </w:r>
      <w:r w:rsidR="003621FC">
        <w:tab/>
        <w:t>E.</w:t>
      </w:r>
      <w:r w:rsidR="00A8525A">
        <w:t xml:space="preserve"> </w:t>
      </w:r>
      <w:r w:rsidR="003621FC">
        <w:t>Valantis</w:t>
      </w:r>
      <w:r w:rsidRPr="00D722BB">
        <w:tab/>
      </w:r>
      <w:r w:rsidRPr="00D722BB">
        <w:tab/>
      </w:r>
    </w:p>
    <w:p w14:paraId="76B32E90" w14:textId="77777777" w:rsidR="005148FB" w:rsidRDefault="005148FB" w:rsidP="009F2129">
      <w:pPr>
        <w:jc w:val="both"/>
      </w:pPr>
    </w:p>
    <w:p w14:paraId="20202426" w14:textId="5D49E3C0" w:rsidR="009F2129" w:rsidRPr="00D722BB" w:rsidRDefault="009F2129" w:rsidP="009F2129">
      <w:pPr>
        <w:jc w:val="both"/>
      </w:pPr>
      <w:r w:rsidRPr="00D722BB">
        <w:tab/>
      </w:r>
      <w:r w:rsidRPr="00D722BB">
        <w:tab/>
      </w:r>
      <w:r w:rsidRPr="00D722BB">
        <w:tab/>
      </w:r>
      <w:r w:rsidRPr="00D722BB">
        <w:tab/>
      </w:r>
      <w:r w:rsidRPr="00D722BB">
        <w:tab/>
      </w:r>
      <w:r w:rsidRPr="00D722BB">
        <w:tab/>
      </w:r>
    </w:p>
    <w:p w14:paraId="68AE2F9D" w14:textId="53918BC7" w:rsidR="0051655D" w:rsidRPr="00D722BB" w:rsidRDefault="00F44C2A" w:rsidP="000B3D6C">
      <w:pPr>
        <w:contextualSpacing/>
        <w:jc w:val="both"/>
        <w:rPr>
          <w:sz w:val="20"/>
          <w:szCs w:val="20"/>
        </w:rPr>
      </w:pPr>
      <w:r w:rsidRPr="00D722BB">
        <w:rPr>
          <w:sz w:val="20"/>
          <w:szCs w:val="20"/>
        </w:rPr>
        <w:fldChar w:fldCharType="begin"/>
      </w:r>
      <w:r w:rsidRPr="00D722BB">
        <w:rPr>
          <w:sz w:val="20"/>
          <w:szCs w:val="20"/>
        </w:rPr>
        <w:instrText xml:space="preserve"> DATE  \@ "dd.MM.yyyy HH:mm"  \* MERGEFORMAT </w:instrText>
      </w:r>
      <w:r w:rsidRPr="00D722BB">
        <w:rPr>
          <w:sz w:val="20"/>
          <w:szCs w:val="20"/>
        </w:rPr>
        <w:fldChar w:fldCharType="separate"/>
      </w:r>
      <w:r w:rsidR="006B7493">
        <w:rPr>
          <w:noProof/>
          <w:sz w:val="20"/>
          <w:szCs w:val="20"/>
        </w:rPr>
        <w:t>10.11.2020 13:54</w:t>
      </w:r>
      <w:r w:rsidRPr="00D722BB">
        <w:rPr>
          <w:sz w:val="20"/>
          <w:szCs w:val="20"/>
        </w:rPr>
        <w:fldChar w:fldCharType="end"/>
      </w:r>
    </w:p>
    <w:p w14:paraId="7D658F38" w14:textId="4A8C0C24" w:rsidR="0051655D" w:rsidRPr="00D722BB" w:rsidRDefault="00F44C2A" w:rsidP="000B3D6C">
      <w:pPr>
        <w:contextualSpacing/>
        <w:jc w:val="both"/>
        <w:rPr>
          <w:sz w:val="20"/>
          <w:szCs w:val="20"/>
        </w:rPr>
      </w:pPr>
      <w:r w:rsidRPr="00D722BB">
        <w:rPr>
          <w:sz w:val="20"/>
          <w:szCs w:val="20"/>
        </w:rPr>
        <w:fldChar w:fldCharType="begin"/>
      </w:r>
      <w:r w:rsidRPr="00D722BB">
        <w:rPr>
          <w:sz w:val="20"/>
          <w:szCs w:val="20"/>
        </w:rPr>
        <w:instrText xml:space="preserve"> NUMWORDS   \* MERGEFORMAT </w:instrText>
      </w:r>
      <w:r w:rsidRPr="00D722BB">
        <w:rPr>
          <w:sz w:val="20"/>
          <w:szCs w:val="20"/>
        </w:rPr>
        <w:fldChar w:fldCharType="separate"/>
      </w:r>
      <w:r w:rsidR="00BB5F1D">
        <w:rPr>
          <w:noProof/>
          <w:sz w:val="20"/>
          <w:szCs w:val="20"/>
        </w:rPr>
        <w:t>4119</w:t>
      </w:r>
      <w:r w:rsidRPr="00D722BB">
        <w:rPr>
          <w:sz w:val="20"/>
          <w:szCs w:val="20"/>
        </w:rPr>
        <w:fldChar w:fldCharType="end"/>
      </w:r>
    </w:p>
    <w:p w14:paraId="3C345AD8" w14:textId="2B385FAD" w:rsidR="0051655D" w:rsidRPr="00D722BB" w:rsidRDefault="002D490E" w:rsidP="000B3D6C">
      <w:pPr>
        <w:contextualSpacing/>
        <w:jc w:val="both"/>
        <w:rPr>
          <w:sz w:val="20"/>
          <w:szCs w:val="20"/>
        </w:rPr>
      </w:pPr>
      <w:r>
        <w:rPr>
          <w:sz w:val="20"/>
          <w:szCs w:val="20"/>
        </w:rPr>
        <w:t>Feldmane</w:t>
      </w:r>
      <w:r w:rsidR="00F44C2A" w:rsidRPr="00D722BB">
        <w:rPr>
          <w:sz w:val="20"/>
          <w:szCs w:val="20"/>
        </w:rPr>
        <w:t>, 67013</w:t>
      </w:r>
      <w:r>
        <w:rPr>
          <w:sz w:val="20"/>
          <w:szCs w:val="20"/>
        </w:rPr>
        <w:t>257</w:t>
      </w:r>
    </w:p>
    <w:p w14:paraId="3F8DE1EB" w14:textId="2E235754" w:rsidR="0051655D" w:rsidRPr="00D722BB" w:rsidRDefault="002D490E" w:rsidP="000B3D6C">
      <w:pPr>
        <w:contextualSpacing/>
        <w:jc w:val="both"/>
        <w:rPr>
          <w:sz w:val="20"/>
          <w:szCs w:val="20"/>
        </w:rPr>
      </w:pPr>
      <w:r>
        <w:rPr>
          <w:sz w:val="20"/>
          <w:szCs w:val="20"/>
        </w:rPr>
        <w:t>Olga.Feldmane</w:t>
      </w:r>
      <w:r w:rsidR="00F44C2A" w:rsidRPr="00D722BB">
        <w:rPr>
          <w:sz w:val="20"/>
          <w:szCs w:val="20"/>
        </w:rPr>
        <w:t>@em.gov.lv</w:t>
      </w:r>
    </w:p>
    <w:sectPr w:rsidR="0051655D" w:rsidRPr="00D722BB" w:rsidSect="008B4858">
      <w:headerReference w:type="default" r:id="rId8"/>
      <w:footerReference w:type="default" r:id="rId9"/>
      <w:footerReference w:type="firs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7F6B4" w14:textId="77777777" w:rsidR="00721205" w:rsidRDefault="00721205">
      <w:r>
        <w:separator/>
      </w:r>
    </w:p>
  </w:endnote>
  <w:endnote w:type="continuationSeparator" w:id="0">
    <w:p w14:paraId="1A6034DF" w14:textId="77777777" w:rsidR="00721205" w:rsidRDefault="00721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0EAAE" w14:textId="3128ED43" w:rsidR="00EA3F0B" w:rsidRDefault="00EA3F0B">
    <w:pPr>
      <w:pStyle w:val="Footer"/>
    </w:pPr>
    <w:r w:rsidRPr="00501E99">
      <w:rPr>
        <w:sz w:val="20"/>
        <w:szCs w:val="20"/>
      </w:rPr>
      <w:fldChar w:fldCharType="begin"/>
    </w:r>
    <w:r w:rsidRPr="00501E99">
      <w:rPr>
        <w:sz w:val="20"/>
        <w:szCs w:val="20"/>
      </w:rPr>
      <w:instrText xml:space="preserve"> FILENAME   \* MERGEFORMAT </w:instrText>
    </w:r>
    <w:r w:rsidRPr="00501E99">
      <w:rPr>
        <w:sz w:val="20"/>
        <w:szCs w:val="20"/>
      </w:rPr>
      <w:fldChar w:fldCharType="separate"/>
    </w:r>
    <w:r>
      <w:rPr>
        <w:noProof/>
        <w:sz w:val="20"/>
        <w:szCs w:val="20"/>
      </w:rPr>
      <w:t>EMAnot_080720_Not_par_būvinsp_groz</w:t>
    </w:r>
    <w:r w:rsidRPr="00501E9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14C0" w14:textId="0AF09860" w:rsidR="00EA3F0B" w:rsidRPr="00501E99" w:rsidRDefault="00EA3F0B">
    <w:pPr>
      <w:pStyle w:val="Footer"/>
      <w:rPr>
        <w:sz w:val="20"/>
        <w:szCs w:val="20"/>
      </w:rPr>
    </w:pPr>
    <w:r w:rsidRPr="00501E99">
      <w:rPr>
        <w:sz w:val="20"/>
        <w:szCs w:val="20"/>
      </w:rPr>
      <w:fldChar w:fldCharType="begin"/>
    </w:r>
    <w:r w:rsidRPr="00501E99">
      <w:rPr>
        <w:sz w:val="20"/>
        <w:szCs w:val="20"/>
      </w:rPr>
      <w:instrText xml:space="preserve"> FILENAME   \* MERGEFORMAT </w:instrText>
    </w:r>
    <w:r w:rsidRPr="00501E99">
      <w:rPr>
        <w:sz w:val="20"/>
        <w:szCs w:val="20"/>
      </w:rPr>
      <w:fldChar w:fldCharType="separate"/>
    </w:r>
    <w:r>
      <w:rPr>
        <w:noProof/>
        <w:sz w:val="20"/>
        <w:szCs w:val="20"/>
      </w:rPr>
      <w:t>EMAnot_080720_Not_par_būvinsp_groz</w:t>
    </w:r>
    <w:r w:rsidRPr="00501E9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2E5647" w14:textId="77777777" w:rsidR="00721205" w:rsidRDefault="00721205">
      <w:r>
        <w:separator/>
      </w:r>
    </w:p>
  </w:footnote>
  <w:footnote w:type="continuationSeparator" w:id="0">
    <w:p w14:paraId="0C5C1F7E" w14:textId="77777777" w:rsidR="00721205" w:rsidRDefault="007212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203803"/>
      <w:docPartObj>
        <w:docPartGallery w:val="Page Numbers (Top of Page)"/>
        <w:docPartUnique/>
      </w:docPartObj>
    </w:sdtPr>
    <w:sdtEndPr>
      <w:rPr>
        <w:noProof/>
      </w:rPr>
    </w:sdtEndPr>
    <w:sdtContent>
      <w:p w14:paraId="60AB8086" w14:textId="042EB9CC" w:rsidR="00EA3F0B" w:rsidRDefault="00EA3F0B">
        <w:pPr>
          <w:pStyle w:val="Header"/>
          <w:jc w:val="center"/>
        </w:pPr>
        <w:r>
          <w:fldChar w:fldCharType="begin"/>
        </w:r>
        <w:r>
          <w:instrText xml:space="preserve"> PAGE   \* MERGEFORMAT </w:instrText>
        </w:r>
        <w:r>
          <w:fldChar w:fldCharType="separate"/>
        </w:r>
        <w:r>
          <w:rPr>
            <w:noProof/>
          </w:rPr>
          <w:t>32</w:t>
        </w:r>
        <w:r>
          <w:rPr>
            <w:noProof/>
          </w:rPr>
          <w:fldChar w:fldCharType="end"/>
        </w:r>
      </w:p>
    </w:sdtContent>
  </w:sdt>
  <w:p w14:paraId="2E6E751D" w14:textId="77777777" w:rsidR="00EA3F0B" w:rsidRDefault="00EA3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91B84"/>
    <w:multiLevelType w:val="hybridMultilevel"/>
    <w:tmpl w:val="B8725F72"/>
    <w:lvl w:ilvl="0" w:tplc="04260001">
      <w:start w:val="1"/>
      <w:numFmt w:val="bullet"/>
      <w:lvlText w:val=""/>
      <w:lvlJc w:val="left"/>
      <w:pPr>
        <w:ind w:left="785" w:hanging="360"/>
      </w:pPr>
      <w:rPr>
        <w:rFonts w:ascii="Symbol" w:hAnsi="Symbol"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1" w15:restartNumberingAfterBreak="0">
    <w:nsid w:val="11906869"/>
    <w:multiLevelType w:val="hybridMultilevel"/>
    <w:tmpl w:val="8B4EC3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151A75"/>
    <w:multiLevelType w:val="hybridMultilevel"/>
    <w:tmpl w:val="71F2A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1">
    <w:nsid w:val="2BD53345"/>
    <w:multiLevelType w:val="hybridMultilevel"/>
    <w:tmpl w:val="166CB36A"/>
    <w:lvl w:ilvl="0" w:tplc="67800702">
      <w:start w:val="1"/>
      <w:numFmt w:val="decimal"/>
      <w:lvlText w:val="%1."/>
      <w:lvlJc w:val="left"/>
      <w:pPr>
        <w:ind w:left="720" w:hanging="360"/>
      </w:pPr>
      <w:rPr>
        <w:rFonts w:hint="default"/>
      </w:rPr>
    </w:lvl>
    <w:lvl w:ilvl="1" w:tplc="3942E268" w:tentative="1">
      <w:start w:val="1"/>
      <w:numFmt w:val="lowerLetter"/>
      <w:lvlText w:val="%2."/>
      <w:lvlJc w:val="left"/>
      <w:pPr>
        <w:ind w:left="1440" w:hanging="360"/>
      </w:pPr>
    </w:lvl>
    <w:lvl w:ilvl="2" w:tplc="7556059E" w:tentative="1">
      <w:start w:val="1"/>
      <w:numFmt w:val="lowerRoman"/>
      <w:lvlText w:val="%3."/>
      <w:lvlJc w:val="right"/>
      <w:pPr>
        <w:ind w:left="2160" w:hanging="180"/>
      </w:pPr>
    </w:lvl>
    <w:lvl w:ilvl="3" w:tplc="EC0895EC" w:tentative="1">
      <w:start w:val="1"/>
      <w:numFmt w:val="decimal"/>
      <w:lvlText w:val="%4."/>
      <w:lvlJc w:val="left"/>
      <w:pPr>
        <w:ind w:left="2880" w:hanging="360"/>
      </w:pPr>
    </w:lvl>
    <w:lvl w:ilvl="4" w:tplc="0728E918" w:tentative="1">
      <w:start w:val="1"/>
      <w:numFmt w:val="lowerLetter"/>
      <w:lvlText w:val="%5."/>
      <w:lvlJc w:val="left"/>
      <w:pPr>
        <w:ind w:left="3600" w:hanging="360"/>
      </w:pPr>
    </w:lvl>
    <w:lvl w:ilvl="5" w:tplc="EFE6E768" w:tentative="1">
      <w:start w:val="1"/>
      <w:numFmt w:val="lowerRoman"/>
      <w:lvlText w:val="%6."/>
      <w:lvlJc w:val="right"/>
      <w:pPr>
        <w:ind w:left="4320" w:hanging="180"/>
      </w:pPr>
    </w:lvl>
    <w:lvl w:ilvl="6" w:tplc="2D56A4D2" w:tentative="1">
      <w:start w:val="1"/>
      <w:numFmt w:val="decimal"/>
      <w:lvlText w:val="%7."/>
      <w:lvlJc w:val="left"/>
      <w:pPr>
        <w:ind w:left="5040" w:hanging="360"/>
      </w:pPr>
    </w:lvl>
    <w:lvl w:ilvl="7" w:tplc="B0985EB4" w:tentative="1">
      <w:start w:val="1"/>
      <w:numFmt w:val="lowerLetter"/>
      <w:lvlText w:val="%8."/>
      <w:lvlJc w:val="left"/>
      <w:pPr>
        <w:ind w:left="5760" w:hanging="360"/>
      </w:pPr>
    </w:lvl>
    <w:lvl w:ilvl="8" w:tplc="92A89C74" w:tentative="1">
      <w:start w:val="1"/>
      <w:numFmt w:val="lowerRoman"/>
      <w:lvlText w:val="%9."/>
      <w:lvlJc w:val="right"/>
      <w:pPr>
        <w:ind w:left="6480" w:hanging="180"/>
      </w:pPr>
    </w:lvl>
  </w:abstractNum>
  <w:abstractNum w:abstractNumId="4" w15:restartNumberingAfterBreak="0">
    <w:nsid w:val="2CAE40EF"/>
    <w:multiLevelType w:val="hybridMultilevel"/>
    <w:tmpl w:val="93D0038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B14249"/>
    <w:multiLevelType w:val="hybridMultilevel"/>
    <w:tmpl w:val="E5E64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CCC1BD8"/>
    <w:multiLevelType w:val="hybridMultilevel"/>
    <w:tmpl w:val="B922F6BC"/>
    <w:lvl w:ilvl="0" w:tplc="452AD5AC">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 w15:restartNumberingAfterBreak="0">
    <w:nsid w:val="3EFA3EE5"/>
    <w:multiLevelType w:val="hybridMultilevel"/>
    <w:tmpl w:val="E5E64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82B18A4"/>
    <w:multiLevelType w:val="hybridMultilevel"/>
    <w:tmpl w:val="E5E64D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6AD4167C"/>
    <w:multiLevelType w:val="hybridMultilevel"/>
    <w:tmpl w:val="E12C10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B9A4CA8"/>
    <w:multiLevelType w:val="hybridMultilevel"/>
    <w:tmpl w:val="B44660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797F45D9"/>
    <w:multiLevelType w:val="hybridMultilevel"/>
    <w:tmpl w:val="0AFA77F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CFA4D6B"/>
    <w:multiLevelType w:val="hybridMultilevel"/>
    <w:tmpl w:val="BD342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1"/>
  </w:num>
  <w:num w:numId="4">
    <w:abstractNumId w:val="2"/>
  </w:num>
  <w:num w:numId="5">
    <w:abstractNumId w:val="0"/>
  </w:num>
  <w:num w:numId="6">
    <w:abstractNumId w:val="0"/>
  </w:num>
  <w:num w:numId="7">
    <w:abstractNumId w:val="6"/>
  </w:num>
  <w:num w:numId="8">
    <w:abstractNumId w:val="4"/>
  </w:num>
  <w:num w:numId="9">
    <w:abstractNumId w:val="12"/>
  </w:num>
  <w:num w:numId="10">
    <w:abstractNumId w:val="1"/>
  </w:num>
  <w:num w:numId="11">
    <w:abstractNumId w:val="9"/>
  </w:num>
  <w:num w:numId="12">
    <w:abstractNumId w:val="7"/>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0061"/>
    <w:rsid w:val="00002138"/>
    <w:rsid w:val="00002DB0"/>
    <w:rsid w:val="00004315"/>
    <w:rsid w:val="00004C15"/>
    <w:rsid w:val="00004E0A"/>
    <w:rsid w:val="00005018"/>
    <w:rsid w:val="00010149"/>
    <w:rsid w:val="00011333"/>
    <w:rsid w:val="000114E4"/>
    <w:rsid w:val="00011AA3"/>
    <w:rsid w:val="0001651F"/>
    <w:rsid w:val="000225DE"/>
    <w:rsid w:val="0002290D"/>
    <w:rsid w:val="00024EF0"/>
    <w:rsid w:val="00025626"/>
    <w:rsid w:val="00025AB3"/>
    <w:rsid w:val="00027176"/>
    <w:rsid w:val="000304E3"/>
    <w:rsid w:val="000351A6"/>
    <w:rsid w:val="0003545A"/>
    <w:rsid w:val="00040197"/>
    <w:rsid w:val="00040C37"/>
    <w:rsid w:val="000412B8"/>
    <w:rsid w:val="00043B84"/>
    <w:rsid w:val="00045603"/>
    <w:rsid w:val="0004719B"/>
    <w:rsid w:val="0005445F"/>
    <w:rsid w:val="0005644D"/>
    <w:rsid w:val="000575A6"/>
    <w:rsid w:val="000601BF"/>
    <w:rsid w:val="000641EE"/>
    <w:rsid w:val="00064FBA"/>
    <w:rsid w:val="00066520"/>
    <w:rsid w:val="000671CB"/>
    <w:rsid w:val="00067E6B"/>
    <w:rsid w:val="000710C7"/>
    <w:rsid w:val="00071202"/>
    <w:rsid w:val="0007255F"/>
    <w:rsid w:val="0007358D"/>
    <w:rsid w:val="0007519D"/>
    <w:rsid w:val="000755F0"/>
    <w:rsid w:val="00077D29"/>
    <w:rsid w:val="00081509"/>
    <w:rsid w:val="00081649"/>
    <w:rsid w:val="0008372C"/>
    <w:rsid w:val="000837C4"/>
    <w:rsid w:val="00083BDF"/>
    <w:rsid w:val="00086033"/>
    <w:rsid w:val="00087F90"/>
    <w:rsid w:val="00090755"/>
    <w:rsid w:val="000945FF"/>
    <w:rsid w:val="000A2A54"/>
    <w:rsid w:val="000A33D5"/>
    <w:rsid w:val="000A37B2"/>
    <w:rsid w:val="000A514C"/>
    <w:rsid w:val="000A5216"/>
    <w:rsid w:val="000B221B"/>
    <w:rsid w:val="000B3D6C"/>
    <w:rsid w:val="000B50B5"/>
    <w:rsid w:val="000D0764"/>
    <w:rsid w:val="000D6498"/>
    <w:rsid w:val="000E3A7D"/>
    <w:rsid w:val="000E3C31"/>
    <w:rsid w:val="000E756E"/>
    <w:rsid w:val="000F4242"/>
    <w:rsid w:val="000F55A1"/>
    <w:rsid w:val="001029F1"/>
    <w:rsid w:val="0010344F"/>
    <w:rsid w:val="00105029"/>
    <w:rsid w:val="0010728A"/>
    <w:rsid w:val="0011333A"/>
    <w:rsid w:val="00116A5B"/>
    <w:rsid w:val="00120DA4"/>
    <w:rsid w:val="0012231F"/>
    <w:rsid w:val="00124DC9"/>
    <w:rsid w:val="001271B2"/>
    <w:rsid w:val="00133A1D"/>
    <w:rsid w:val="00135D4A"/>
    <w:rsid w:val="00140C15"/>
    <w:rsid w:val="00143F1B"/>
    <w:rsid w:val="00144D93"/>
    <w:rsid w:val="001461E6"/>
    <w:rsid w:val="00146490"/>
    <w:rsid w:val="00154258"/>
    <w:rsid w:val="001543AE"/>
    <w:rsid w:val="00160610"/>
    <w:rsid w:val="00162346"/>
    <w:rsid w:val="001657AB"/>
    <w:rsid w:val="001672EB"/>
    <w:rsid w:val="001677D2"/>
    <w:rsid w:val="00171872"/>
    <w:rsid w:val="00171E82"/>
    <w:rsid w:val="00174445"/>
    <w:rsid w:val="00175BEF"/>
    <w:rsid w:val="001771DC"/>
    <w:rsid w:val="00181AF7"/>
    <w:rsid w:val="00186F45"/>
    <w:rsid w:val="00187D69"/>
    <w:rsid w:val="001925DF"/>
    <w:rsid w:val="00192AD0"/>
    <w:rsid w:val="00193A9E"/>
    <w:rsid w:val="00193E06"/>
    <w:rsid w:val="001945A4"/>
    <w:rsid w:val="00194EB0"/>
    <w:rsid w:val="00196034"/>
    <w:rsid w:val="001971C0"/>
    <w:rsid w:val="001A58E5"/>
    <w:rsid w:val="001B0C6D"/>
    <w:rsid w:val="001B2D9D"/>
    <w:rsid w:val="001B4F8D"/>
    <w:rsid w:val="001B6373"/>
    <w:rsid w:val="001C3A34"/>
    <w:rsid w:val="001C3AF4"/>
    <w:rsid w:val="001C523C"/>
    <w:rsid w:val="001D01BC"/>
    <w:rsid w:val="001D2E3B"/>
    <w:rsid w:val="001D4AE6"/>
    <w:rsid w:val="001D4DDE"/>
    <w:rsid w:val="001D59B1"/>
    <w:rsid w:val="001D75F2"/>
    <w:rsid w:val="001E194D"/>
    <w:rsid w:val="001E1BFE"/>
    <w:rsid w:val="001E1CC8"/>
    <w:rsid w:val="001E6A8B"/>
    <w:rsid w:val="001F6B37"/>
    <w:rsid w:val="002002F6"/>
    <w:rsid w:val="00201443"/>
    <w:rsid w:val="00202CD6"/>
    <w:rsid w:val="002047FD"/>
    <w:rsid w:val="00204D75"/>
    <w:rsid w:val="0020616A"/>
    <w:rsid w:val="00206E17"/>
    <w:rsid w:val="002107B7"/>
    <w:rsid w:val="002138D4"/>
    <w:rsid w:val="00214550"/>
    <w:rsid w:val="00215F45"/>
    <w:rsid w:val="002167B7"/>
    <w:rsid w:val="00223740"/>
    <w:rsid w:val="002257BA"/>
    <w:rsid w:val="002267F5"/>
    <w:rsid w:val="00232A6B"/>
    <w:rsid w:val="00235258"/>
    <w:rsid w:val="00241CAC"/>
    <w:rsid w:val="00245C1E"/>
    <w:rsid w:val="00246C39"/>
    <w:rsid w:val="00247996"/>
    <w:rsid w:val="002504C7"/>
    <w:rsid w:val="00251AA3"/>
    <w:rsid w:val="00253127"/>
    <w:rsid w:val="00254A5F"/>
    <w:rsid w:val="00256032"/>
    <w:rsid w:val="002600BD"/>
    <w:rsid w:val="00260BFD"/>
    <w:rsid w:val="00260EB2"/>
    <w:rsid w:val="00263DBC"/>
    <w:rsid w:val="00264E23"/>
    <w:rsid w:val="00267083"/>
    <w:rsid w:val="00271E2D"/>
    <w:rsid w:val="00272D57"/>
    <w:rsid w:val="00273456"/>
    <w:rsid w:val="002747F1"/>
    <w:rsid w:val="002775DC"/>
    <w:rsid w:val="002825E8"/>
    <w:rsid w:val="00283743"/>
    <w:rsid w:val="0028391F"/>
    <w:rsid w:val="00284BE7"/>
    <w:rsid w:val="00287CA0"/>
    <w:rsid w:val="00290911"/>
    <w:rsid w:val="002912BB"/>
    <w:rsid w:val="00296137"/>
    <w:rsid w:val="00296992"/>
    <w:rsid w:val="0029781E"/>
    <w:rsid w:val="002A307F"/>
    <w:rsid w:val="002A32C2"/>
    <w:rsid w:val="002A3FB8"/>
    <w:rsid w:val="002B0CD3"/>
    <w:rsid w:val="002B357D"/>
    <w:rsid w:val="002B3C7D"/>
    <w:rsid w:val="002B4F3F"/>
    <w:rsid w:val="002B7E6D"/>
    <w:rsid w:val="002C2156"/>
    <w:rsid w:val="002C3A15"/>
    <w:rsid w:val="002C6CEB"/>
    <w:rsid w:val="002C6FBE"/>
    <w:rsid w:val="002D014D"/>
    <w:rsid w:val="002D04BF"/>
    <w:rsid w:val="002D0500"/>
    <w:rsid w:val="002D0822"/>
    <w:rsid w:val="002D17B1"/>
    <w:rsid w:val="002D1BF8"/>
    <w:rsid w:val="002D4736"/>
    <w:rsid w:val="002D490E"/>
    <w:rsid w:val="002D572B"/>
    <w:rsid w:val="002D5A88"/>
    <w:rsid w:val="002E01CE"/>
    <w:rsid w:val="002E0341"/>
    <w:rsid w:val="002E1C33"/>
    <w:rsid w:val="002E1C5D"/>
    <w:rsid w:val="002E1E58"/>
    <w:rsid w:val="002E24B0"/>
    <w:rsid w:val="002E2C51"/>
    <w:rsid w:val="002E373C"/>
    <w:rsid w:val="002E4864"/>
    <w:rsid w:val="002E49FE"/>
    <w:rsid w:val="002E5157"/>
    <w:rsid w:val="002E5A32"/>
    <w:rsid w:val="002F0991"/>
    <w:rsid w:val="002F24C8"/>
    <w:rsid w:val="002F3441"/>
    <w:rsid w:val="002F3664"/>
    <w:rsid w:val="002F68EB"/>
    <w:rsid w:val="002F78C1"/>
    <w:rsid w:val="0030068E"/>
    <w:rsid w:val="00300A23"/>
    <w:rsid w:val="0030111F"/>
    <w:rsid w:val="00302B45"/>
    <w:rsid w:val="00303E36"/>
    <w:rsid w:val="003063BB"/>
    <w:rsid w:val="00312B45"/>
    <w:rsid w:val="00314B1A"/>
    <w:rsid w:val="0031630C"/>
    <w:rsid w:val="00317494"/>
    <w:rsid w:val="00320754"/>
    <w:rsid w:val="003211AC"/>
    <w:rsid w:val="00321AE4"/>
    <w:rsid w:val="00323D0F"/>
    <w:rsid w:val="003304A6"/>
    <w:rsid w:val="00330DD9"/>
    <w:rsid w:val="00337BAF"/>
    <w:rsid w:val="00341BC3"/>
    <w:rsid w:val="00342758"/>
    <w:rsid w:val="00342D5D"/>
    <w:rsid w:val="00343282"/>
    <w:rsid w:val="00343A12"/>
    <w:rsid w:val="003443ED"/>
    <w:rsid w:val="003455EB"/>
    <w:rsid w:val="0034569F"/>
    <w:rsid w:val="00346973"/>
    <w:rsid w:val="00352137"/>
    <w:rsid w:val="00354D1F"/>
    <w:rsid w:val="0035569D"/>
    <w:rsid w:val="00355E8C"/>
    <w:rsid w:val="00357483"/>
    <w:rsid w:val="003620EE"/>
    <w:rsid w:val="003621FC"/>
    <w:rsid w:val="00362A49"/>
    <w:rsid w:val="003652DB"/>
    <w:rsid w:val="003679B9"/>
    <w:rsid w:val="00367C3A"/>
    <w:rsid w:val="00367EF8"/>
    <w:rsid w:val="003754C0"/>
    <w:rsid w:val="00377835"/>
    <w:rsid w:val="00377B09"/>
    <w:rsid w:val="00381043"/>
    <w:rsid w:val="003810B3"/>
    <w:rsid w:val="00383B3A"/>
    <w:rsid w:val="00384B62"/>
    <w:rsid w:val="003852D3"/>
    <w:rsid w:val="00386E6C"/>
    <w:rsid w:val="003902F8"/>
    <w:rsid w:val="00390CC2"/>
    <w:rsid w:val="0039124B"/>
    <w:rsid w:val="0039533E"/>
    <w:rsid w:val="00396EA6"/>
    <w:rsid w:val="0039741B"/>
    <w:rsid w:val="003A03D2"/>
    <w:rsid w:val="003A220A"/>
    <w:rsid w:val="003A3DAA"/>
    <w:rsid w:val="003A4CA3"/>
    <w:rsid w:val="003A592C"/>
    <w:rsid w:val="003B103D"/>
    <w:rsid w:val="003B4AFA"/>
    <w:rsid w:val="003B4BC8"/>
    <w:rsid w:val="003B4FE3"/>
    <w:rsid w:val="003B6DE8"/>
    <w:rsid w:val="003B7FE1"/>
    <w:rsid w:val="003C2A67"/>
    <w:rsid w:val="003C3524"/>
    <w:rsid w:val="003C4099"/>
    <w:rsid w:val="003D01B9"/>
    <w:rsid w:val="003D0440"/>
    <w:rsid w:val="003D0CC2"/>
    <w:rsid w:val="003D13CC"/>
    <w:rsid w:val="003D3D27"/>
    <w:rsid w:val="003D4C37"/>
    <w:rsid w:val="003D5404"/>
    <w:rsid w:val="003D6EFF"/>
    <w:rsid w:val="003D796F"/>
    <w:rsid w:val="003E010B"/>
    <w:rsid w:val="003E1BEF"/>
    <w:rsid w:val="003E420A"/>
    <w:rsid w:val="003E46D0"/>
    <w:rsid w:val="003E4FBB"/>
    <w:rsid w:val="003E5FA2"/>
    <w:rsid w:val="003E6B9D"/>
    <w:rsid w:val="003E74D5"/>
    <w:rsid w:val="003F057F"/>
    <w:rsid w:val="003F22FD"/>
    <w:rsid w:val="003F2495"/>
    <w:rsid w:val="003F49EF"/>
    <w:rsid w:val="003F7875"/>
    <w:rsid w:val="004000D7"/>
    <w:rsid w:val="00401047"/>
    <w:rsid w:val="00401E96"/>
    <w:rsid w:val="00401F3B"/>
    <w:rsid w:val="00402349"/>
    <w:rsid w:val="00403AAB"/>
    <w:rsid w:val="00403CCE"/>
    <w:rsid w:val="00403F2A"/>
    <w:rsid w:val="00405F1C"/>
    <w:rsid w:val="00406976"/>
    <w:rsid w:val="0041161B"/>
    <w:rsid w:val="004124B2"/>
    <w:rsid w:val="0041507D"/>
    <w:rsid w:val="00420261"/>
    <w:rsid w:val="00423868"/>
    <w:rsid w:val="004251AF"/>
    <w:rsid w:val="00432758"/>
    <w:rsid w:val="0043294A"/>
    <w:rsid w:val="00433EA7"/>
    <w:rsid w:val="00436609"/>
    <w:rsid w:val="00436A5D"/>
    <w:rsid w:val="004370B7"/>
    <w:rsid w:val="0044518C"/>
    <w:rsid w:val="00445713"/>
    <w:rsid w:val="00450BFF"/>
    <w:rsid w:val="00452407"/>
    <w:rsid w:val="00452550"/>
    <w:rsid w:val="004564C3"/>
    <w:rsid w:val="0045681B"/>
    <w:rsid w:val="00457485"/>
    <w:rsid w:val="004632F2"/>
    <w:rsid w:val="0046399A"/>
    <w:rsid w:val="00463FD3"/>
    <w:rsid w:val="00467123"/>
    <w:rsid w:val="004674CC"/>
    <w:rsid w:val="00470EC3"/>
    <w:rsid w:val="00473464"/>
    <w:rsid w:val="00481E51"/>
    <w:rsid w:val="00482A84"/>
    <w:rsid w:val="004833DB"/>
    <w:rsid w:val="004835E5"/>
    <w:rsid w:val="004849A5"/>
    <w:rsid w:val="00485567"/>
    <w:rsid w:val="0048603D"/>
    <w:rsid w:val="0048651A"/>
    <w:rsid w:val="00486A3C"/>
    <w:rsid w:val="004875C2"/>
    <w:rsid w:val="0049025D"/>
    <w:rsid w:val="00490ECB"/>
    <w:rsid w:val="004937DE"/>
    <w:rsid w:val="004A12F0"/>
    <w:rsid w:val="004A169E"/>
    <w:rsid w:val="004A395D"/>
    <w:rsid w:val="004A6FEA"/>
    <w:rsid w:val="004B0BB7"/>
    <w:rsid w:val="004B0C4E"/>
    <w:rsid w:val="004B5967"/>
    <w:rsid w:val="004C3DF0"/>
    <w:rsid w:val="004C6025"/>
    <w:rsid w:val="004C7672"/>
    <w:rsid w:val="004C7DA5"/>
    <w:rsid w:val="004D31A4"/>
    <w:rsid w:val="004D40DD"/>
    <w:rsid w:val="004E1BF0"/>
    <w:rsid w:val="004E2767"/>
    <w:rsid w:val="004E3437"/>
    <w:rsid w:val="004E3A87"/>
    <w:rsid w:val="004F053A"/>
    <w:rsid w:val="004F21B7"/>
    <w:rsid w:val="004F3067"/>
    <w:rsid w:val="004F3AFB"/>
    <w:rsid w:val="004F5B9B"/>
    <w:rsid w:val="004F6184"/>
    <w:rsid w:val="004F6863"/>
    <w:rsid w:val="004F7250"/>
    <w:rsid w:val="00501E99"/>
    <w:rsid w:val="005100A7"/>
    <w:rsid w:val="0051089B"/>
    <w:rsid w:val="00511D7B"/>
    <w:rsid w:val="00514089"/>
    <w:rsid w:val="005148FB"/>
    <w:rsid w:val="00514E31"/>
    <w:rsid w:val="0051655D"/>
    <w:rsid w:val="00522C37"/>
    <w:rsid w:val="005232C7"/>
    <w:rsid w:val="00527DEA"/>
    <w:rsid w:val="005300AC"/>
    <w:rsid w:val="00530473"/>
    <w:rsid w:val="0053233B"/>
    <w:rsid w:val="00534588"/>
    <w:rsid w:val="00535D2C"/>
    <w:rsid w:val="00536AC5"/>
    <w:rsid w:val="0054024D"/>
    <w:rsid w:val="0054343C"/>
    <w:rsid w:val="00544B6E"/>
    <w:rsid w:val="00545909"/>
    <w:rsid w:val="00546C1D"/>
    <w:rsid w:val="00552BED"/>
    <w:rsid w:val="00553B80"/>
    <w:rsid w:val="005569B0"/>
    <w:rsid w:val="00556B1A"/>
    <w:rsid w:val="00560A7A"/>
    <w:rsid w:val="005616B7"/>
    <w:rsid w:val="00562396"/>
    <w:rsid w:val="005630E4"/>
    <w:rsid w:val="00565009"/>
    <w:rsid w:val="00565D86"/>
    <w:rsid w:val="0056629A"/>
    <w:rsid w:val="00572B18"/>
    <w:rsid w:val="0057307A"/>
    <w:rsid w:val="00573301"/>
    <w:rsid w:val="0057550E"/>
    <w:rsid w:val="00575D09"/>
    <w:rsid w:val="005779CC"/>
    <w:rsid w:val="00577FD5"/>
    <w:rsid w:val="00580C36"/>
    <w:rsid w:val="0058326E"/>
    <w:rsid w:val="005859D7"/>
    <w:rsid w:val="00585A88"/>
    <w:rsid w:val="00586A1F"/>
    <w:rsid w:val="00586DEE"/>
    <w:rsid w:val="00591735"/>
    <w:rsid w:val="00593253"/>
    <w:rsid w:val="00593A49"/>
    <w:rsid w:val="00596B8A"/>
    <w:rsid w:val="005A1244"/>
    <w:rsid w:val="005A4BB9"/>
    <w:rsid w:val="005A5C73"/>
    <w:rsid w:val="005A60B5"/>
    <w:rsid w:val="005A626B"/>
    <w:rsid w:val="005B2990"/>
    <w:rsid w:val="005C0D91"/>
    <w:rsid w:val="005C3E5E"/>
    <w:rsid w:val="005C5093"/>
    <w:rsid w:val="005D0495"/>
    <w:rsid w:val="005D33F5"/>
    <w:rsid w:val="005D342C"/>
    <w:rsid w:val="005D3488"/>
    <w:rsid w:val="005D474A"/>
    <w:rsid w:val="005D5166"/>
    <w:rsid w:val="005D5586"/>
    <w:rsid w:val="005D6AF5"/>
    <w:rsid w:val="005D7307"/>
    <w:rsid w:val="005E2140"/>
    <w:rsid w:val="005E577B"/>
    <w:rsid w:val="005E7A6C"/>
    <w:rsid w:val="005F2428"/>
    <w:rsid w:val="005F2C74"/>
    <w:rsid w:val="005F36D3"/>
    <w:rsid w:val="005F39EB"/>
    <w:rsid w:val="005F3F30"/>
    <w:rsid w:val="005F467D"/>
    <w:rsid w:val="005F51EA"/>
    <w:rsid w:val="005F594B"/>
    <w:rsid w:val="005F6660"/>
    <w:rsid w:val="005F74AF"/>
    <w:rsid w:val="005F7CB3"/>
    <w:rsid w:val="00600752"/>
    <w:rsid w:val="006030C4"/>
    <w:rsid w:val="0060329E"/>
    <w:rsid w:val="00611D3E"/>
    <w:rsid w:val="00613557"/>
    <w:rsid w:val="006202A4"/>
    <w:rsid w:val="00621D04"/>
    <w:rsid w:val="00621EC6"/>
    <w:rsid w:val="00622537"/>
    <w:rsid w:val="00624244"/>
    <w:rsid w:val="00625ECE"/>
    <w:rsid w:val="00631AED"/>
    <w:rsid w:val="00635CDB"/>
    <w:rsid w:val="006368F3"/>
    <w:rsid w:val="0064029D"/>
    <w:rsid w:val="00641B40"/>
    <w:rsid w:val="00642888"/>
    <w:rsid w:val="00647DAA"/>
    <w:rsid w:val="0065040C"/>
    <w:rsid w:val="00650CAB"/>
    <w:rsid w:val="00654D1F"/>
    <w:rsid w:val="00656177"/>
    <w:rsid w:val="006571B8"/>
    <w:rsid w:val="00660FA9"/>
    <w:rsid w:val="00661F8C"/>
    <w:rsid w:val="00663464"/>
    <w:rsid w:val="00664DC6"/>
    <w:rsid w:val="00664E51"/>
    <w:rsid w:val="0066532C"/>
    <w:rsid w:val="00665EB6"/>
    <w:rsid w:val="006673B2"/>
    <w:rsid w:val="00673DAA"/>
    <w:rsid w:val="00673E13"/>
    <w:rsid w:val="0067614D"/>
    <w:rsid w:val="0067798B"/>
    <w:rsid w:val="00680B06"/>
    <w:rsid w:val="00685AB2"/>
    <w:rsid w:val="00686DDE"/>
    <w:rsid w:val="006903BF"/>
    <w:rsid w:val="00690C0D"/>
    <w:rsid w:val="00690F3B"/>
    <w:rsid w:val="00694902"/>
    <w:rsid w:val="0069661B"/>
    <w:rsid w:val="00697860"/>
    <w:rsid w:val="006A1FA9"/>
    <w:rsid w:val="006A4C8A"/>
    <w:rsid w:val="006A5009"/>
    <w:rsid w:val="006A567C"/>
    <w:rsid w:val="006A6331"/>
    <w:rsid w:val="006A63E2"/>
    <w:rsid w:val="006B5F15"/>
    <w:rsid w:val="006B73E0"/>
    <w:rsid w:val="006B7493"/>
    <w:rsid w:val="006B7D33"/>
    <w:rsid w:val="006B7EC5"/>
    <w:rsid w:val="006C08D6"/>
    <w:rsid w:val="006C2E99"/>
    <w:rsid w:val="006C3DC4"/>
    <w:rsid w:val="006C412A"/>
    <w:rsid w:val="006C5649"/>
    <w:rsid w:val="006D178B"/>
    <w:rsid w:val="006D182E"/>
    <w:rsid w:val="006D48D4"/>
    <w:rsid w:val="006D71C2"/>
    <w:rsid w:val="006D7CBE"/>
    <w:rsid w:val="006D7FF9"/>
    <w:rsid w:val="006E1E59"/>
    <w:rsid w:val="006E4C50"/>
    <w:rsid w:val="006E685C"/>
    <w:rsid w:val="006F22D5"/>
    <w:rsid w:val="006F2CA3"/>
    <w:rsid w:val="006F4455"/>
    <w:rsid w:val="006F5484"/>
    <w:rsid w:val="006F795D"/>
    <w:rsid w:val="007017DF"/>
    <w:rsid w:val="00703928"/>
    <w:rsid w:val="00704D86"/>
    <w:rsid w:val="0071197A"/>
    <w:rsid w:val="00711D27"/>
    <w:rsid w:val="0071413C"/>
    <w:rsid w:val="00716562"/>
    <w:rsid w:val="007207CD"/>
    <w:rsid w:val="007209FC"/>
    <w:rsid w:val="0072116E"/>
    <w:rsid w:val="00721205"/>
    <w:rsid w:val="00724624"/>
    <w:rsid w:val="00725042"/>
    <w:rsid w:val="00727141"/>
    <w:rsid w:val="00727522"/>
    <w:rsid w:val="00727D81"/>
    <w:rsid w:val="00733B90"/>
    <w:rsid w:val="007362EB"/>
    <w:rsid w:val="00736745"/>
    <w:rsid w:val="007368A6"/>
    <w:rsid w:val="00740A0A"/>
    <w:rsid w:val="007444EC"/>
    <w:rsid w:val="007470B4"/>
    <w:rsid w:val="00747818"/>
    <w:rsid w:val="007601B2"/>
    <w:rsid w:val="00761940"/>
    <w:rsid w:val="007645EF"/>
    <w:rsid w:val="00764718"/>
    <w:rsid w:val="007669C9"/>
    <w:rsid w:val="00770B60"/>
    <w:rsid w:val="00771ED5"/>
    <w:rsid w:val="00772BB7"/>
    <w:rsid w:val="00773C51"/>
    <w:rsid w:val="00775DFC"/>
    <w:rsid w:val="007766CD"/>
    <w:rsid w:val="007807EB"/>
    <w:rsid w:val="00780C42"/>
    <w:rsid w:val="00782A97"/>
    <w:rsid w:val="00787F90"/>
    <w:rsid w:val="00790A70"/>
    <w:rsid w:val="00794874"/>
    <w:rsid w:val="00797763"/>
    <w:rsid w:val="007A0CE0"/>
    <w:rsid w:val="007A1CEF"/>
    <w:rsid w:val="007A2383"/>
    <w:rsid w:val="007A4AB5"/>
    <w:rsid w:val="007A527F"/>
    <w:rsid w:val="007A5EC2"/>
    <w:rsid w:val="007B07CC"/>
    <w:rsid w:val="007B1467"/>
    <w:rsid w:val="007B20BD"/>
    <w:rsid w:val="007B3B0E"/>
    <w:rsid w:val="007B451A"/>
    <w:rsid w:val="007B6582"/>
    <w:rsid w:val="007B678A"/>
    <w:rsid w:val="007C30AB"/>
    <w:rsid w:val="007C69B6"/>
    <w:rsid w:val="007C6D80"/>
    <w:rsid w:val="007D2E05"/>
    <w:rsid w:val="007D49A3"/>
    <w:rsid w:val="007D67FD"/>
    <w:rsid w:val="007E078B"/>
    <w:rsid w:val="007E0AB4"/>
    <w:rsid w:val="007E203B"/>
    <w:rsid w:val="007E2E0C"/>
    <w:rsid w:val="007E4E20"/>
    <w:rsid w:val="007F33A3"/>
    <w:rsid w:val="007F4775"/>
    <w:rsid w:val="007F690A"/>
    <w:rsid w:val="00805017"/>
    <w:rsid w:val="00806D91"/>
    <w:rsid w:val="0081018A"/>
    <w:rsid w:val="00811F3C"/>
    <w:rsid w:val="0081224A"/>
    <w:rsid w:val="008140C6"/>
    <w:rsid w:val="008152DD"/>
    <w:rsid w:val="008166AA"/>
    <w:rsid w:val="008201B0"/>
    <w:rsid w:val="008216B5"/>
    <w:rsid w:val="00822AC9"/>
    <w:rsid w:val="00823F60"/>
    <w:rsid w:val="008242AC"/>
    <w:rsid w:val="00826446"/>
    <w:rsid w:val="00831A46"/>
    <w:rsid w:val="00831DE7"/>
    <w:rsid w:val="008337BF"/>
    <w:rsid w:val="00834B21"/>
    <w:rsid w:val="00835885"/>
    <w:rsid w:val="008430D1"/>
    <w:rsid w:val="00843504"/>
    <w:rsid w:val="008442E5"/>
    <w:rsid w:val="008456D4"/>
    <w:rsid w:val="00847927"/>
    <w:rsid w:val="00847E81"/>
    <w:rsid w:val="00850762"/>
    <w:rsid w:val="008566E9"/>
    <w:rsid w:val="00861960"/>
    <w:rsid w:val="00872A83"/>
    <w:rsid w:val="008733D1"/>
    <w:rsid w:val="00873B42"/>
    <w:rsid w:val="00875D68"/>
    <w:rsid w:val="00876CC0"/>
    <w:rsid w:val="00877CF1"/>
    <w:rsid w:val="008865B3"/>
    <w:rsid w:val="00891B0C"/>
    <w:rsid w:val="0089373E"/>
    <w:rsid w:val="008955D5"/>
    <w:rsid w:val="008A0737"/>
    <w:rsid w:val="008A086D"/>
    <w:rsid w:val="008A360D"/>
    <w:rsid w:val="008A42A2"/>
    <w:rsid w:val="008A6C0E"/>
    <w:rsid w:val="008B27B4"/>
    <w:rsid w:val="008B2A86"/>
    <w:rsid w:val="008B2C2C"/>
    <w:rsid w:val="008B3A4F"/>
    <w:rsid w:val="008B4858"/>
    <w:rsid w:val="008B4FA2"/>
    <w:rsid w:val="008B57CE"/>
    <w:rsid w:val="008B66FF"/>
    <w:rsid w:val="008C0F9C"/>
    <w:rsid w:val="008C1533"/>
    <w:rsid w:val="008C2A95"/>
    <w:rsid w:val="008C4958"/>
    <w:rsid w:val="008C6E3E"/>
    <w:rsid w:val="008C78AF"/>
    <w:rsid w:val="008D0793"/>
    <w:rsid w:val="008D23DD"/>
    <w:rsid w:val="008D2A1C"/>
    <w:rsid w:val="008D2AB2"/>
    <w:rsid w:val="008D5BA3"/>
    <w:rsid w:val="008E1BD5"/>
    <w:rsid w:val="008E26FC"/>
    <w:rsid w:val="008E4BEB"/>
    <w:rsid w:val="008E55DF"/>
    <w:rsid w:val="008E5EFD"/>
    <w:rsid w:val="008E7A9F"/>
    <w:rsid w:val="008E7E68"/>
    <w:rsid w:val="008F3314"/>
    <w:rsid w:val="008F3323"/>
    <w:rsid w:val="008F67BC"/>
    <w:rsid w:val="0090030A"/>
    <w:rsid w:val="0090279A"/>
    <w:rsid w:val="00904EC5"/>
    <w:rsid w:val="009058E0"/>
    <w:rsid w:val="00907848"/>
    <w:rsid w:val="00911FFB"/>
    <w:rsid w:val="0091238C"/>
    <w:rsid w:val="009126B1"/>
    <w:rsid w:val="00915C94"/>
    <w:rsid w:val="00916735"/>
    <w:rsid w:val="00923511"/>
    <w:rsid w:val="009239A3"/>
    <w:rsid w:val="0092539A"/>
    <w:rsid w:val="00927AAC"/>
    <w:rsid w:val="009324C3"/>
    <w:rsid w:val="009329DA"/>
    <w:rsid w:val="00933F0C"/>
    <w:rsid w:val="00934A21"/>
    <w:rsid w:val="00937ADC"/>
    <w:rsid w:val="009457E9"/>
    <w:rsid w:val="0094616F"/>
    <w:rsid w:val="00952225"/>
    <w:rsid w:val="00954262"/>
    <w:rsid w:val="009561FE"/>
    <w:rsid w:val="00956BE4"/>
    <w:rsid w:val="00956C37"/>
    <w:rsid w:val="009607FD"/>
    <w:rsid w:val="0096265F"/>
    <w:rsid w:val="00964076"/>
    <w:rsid w:val="00964867"/>
    <w:rsid w:val="00973C6E"/>
    <w:rsid w:val="00976E85"/>
    <w:rsid w:val="0097782F"/>
    <w:rsid w:val="00980379"/>
    <w:rsid w:val="00981806"/>
    <w:rsid w:val="009851A0"/>
    <w:rsid w:val="009862D6"/>
    <w:rsid w:val="00986B40"/>
    <w:rsid w:val="00986F40"/>
    <w:rsid w:val="0099068E"/>
    <w:rsid w:val="009909D5"/>
    <w:rsid w:val="00994784"/>
    <w:rsid w:val="009957CB"/>
    <w:rsid w:val="009960ED"/>
    <w:rsid w:val="009A0A6C"/>
    <w:rsid w:val="009A1353"/>
    <w:rsid w:val="009A2026"/>
    <w:rsid w:val="009A2452"/>
    <w:rsid w:val="009A320C"/>
    <w:rsid w:val="009B2077"/>
    <w:rsid w:val="009B4974"/>
    <w:rsid w:val="009B5E7D"/>
    <w:rsid w:val="009C0E22"/>
    <w:rsid w:val="009C1806"/>
    <w:rsid w:val="009C2A84"/>
    <w:rsid w:val="009C37CE"/>
    <w:rsid w:val="009C3911"/>
    <w:rsid w:val="009C560A"/>
    <w:rsid w:val="009C74DE"/>
    <w:rsid w:val="009D6095"/>
    <w:rsid w:val="009D66C8"/>
    <w:rsid w:val="009E3593"/>
    <w:rsid w:val="009E55CE"/>
    <w:rsid w:val="009F04D0"/>
    <w:rsid w:val="009F1021"/>
    <w:rsid w:val="009F1161"/>
    <w:rsid w:val="009F2129"/>
    <w:rsid w:val="009F569A"/>
    <w:rsid w:val="00A016AC"/>
    <w:rsid w:val="00A02405"/>
    <w:rsid w:val="00A06C18"/>
    <w:rsid w:val="00A108E3"/>
    <w:rsid w:val="00A13C30"/>
    <w:rsid w:val="00A15718"/>
    <w:rsid w:val="00A15E00"/>
    <w:rsid w:val="00A1761F"/>
    <w:rsid w:val="00A238D7"/>
    <w:rsid w:val="00A241CE"/>
    <w:rsid w:val="00A26A9A"/>
    <w:rsid w:val="00A27BB5"/>
    <w:rsid w:val="00A302B4"/>
    <w:rsid w:val="00A3099F"/>
    <w:rsid w:val="00A3156A"/>
    <w:rsid w:val="00A33092"/>
    <w:rsid w:val="00A33988"/>
    <w:rsid w:val="00A34DB2"/>
    <w:rsid w:val="00A4291D"/>
    <w:rsid w:val="00A44779"/>
    <w:rsid w:val="00A463DE"/>
    <w:rsid w:val="00A46E92"/>
    <w:rsid w:val="00A539D2"/>
    <w:rsid w:val="00A5453C"/>
    <w:rsid w:val="00A55394"/>
    <w:rsid w:val="00A572F8"/>
    <w:rsid w:val="00A57BB9"/>
    <w:rsid w:val="00A64313"/>
    <w:rsid w:val="00A6566A"/>
    <w:rsid w:val="00A65A43"/>
    <w:rsid w:val="00A671BE"/>
    <w:rsid w:val="00A7108F"/>
    <w:rsid w:val="00A74D25"/>
    <w:rsid w:val="00A74D3F"/>
    <w:rsid w:val="00A766DE"/>
    <w:rsid w:val="00A76789"/>
    <w:rsid w:val="00A77386"/>
    <w:rsid w:val="00A822E9"/>
    <w:rsid w:val="00A82BC9"/>
    <w:rsid w:val="00A84983"/>
    <w:rsid w:val="00A84BEB"/>
    <w:rsid w:val="00A85120"/>
    <w:rsid w:val="00A8525A"/>
    <w:rsid w:val="00A8576D"/>
    <w:rsid w:val="00A91206"/>
    <w:rsid w:val="00A953CB"/>
    <w:rsid w:val="00AA00A4"/>
    <w:rsid w:val="00AA0DFA"/>
    <w:rsid w:val="00AA4642"/>
    <w:rsid w:val="00AA4976"/>
    <w:rsid w:val="00AA6631"/>
    <w:rsid w:val="00AA733F"/>
    <w:rsid w:val="00AB0A78"/>
    <w:rsid w:val="00AB2695"/>
    <w:rsid w:val="00AB5079"/>
    <w:rsid w:val="00AC0572"/>
    <w:rsid w:val="00AC3081"/>
    <w:rsid w:val="00AC6A32"/>
    <w:rsid w:val="00AC76C8"/>
    <w:rsid w:val="00AD130F"/>
    <w:rsid w:val="00AD652F"/>
    <w:rsid w:val="00AE1E87"/>
    <w:rsid w:val="00AE1F9D"/>
    <w:rsid w:val="00AE2D7F"/>
    <w:rsid w:val="00AF1A01"/>
    <w:rsid w:val="00AF1F3F"/>
    <w:rsid w:val="00AF2396"/>
    <w:rsid w:val="00AF3119"/>
    <w:rsid w:val="00AF52EB"/>
    <w:rsid w:val="00AF5A68"/>
    <w:rsid w:val="00AF61C6"/>
    <w:rsid w:val="00AF6365"/>
    <w:rsid w:val="00AF7745"/>
    <w:rsid w:val="00AF7D8D"/>
    <w:rsid w:val="00AF7D9C"/>
    <w:rsid w:val="00B01FDB"/>
    <w:rsid w:val="00B028B6"/>
    <w:rsid w:val="00B03DDE"/>
    <w:rsid w:val="00B0464D"/>
    <w:rsid w:val="00B04DA1"/>
    <w:rsid w:val="00B06150"/>
    <w:rsid w:val="00B10AFE"/>
    <w:rsid w:val="00B1306A"/>
    <w:rsid w:val="00B14DB0"/>
    <w:rsid w:val="00B1563C"/>
    <w:rsid w:val="00B16335"/>
    <w:rsid w:val="00B175C0"/>
    <w:rsid w:val="00B17BA6"/>
    <w:rsid w:val="00B17CA8"/>
    <w:rsid w:val="00B211DE"/>
    <w:rsid w:val="00B216B3"/>
    <w:rsid w:val="00B222D1"/>
    <w:rsid w:val="00B22FD4"/>
    <w:rsid w:val="00B24B11"/>
    <w:rsid w:val="00B25FEA"/>
    <w:rsid w:val="00B30257"/>
    <w:rsid w:val="00B31464"/>
    <w:rsid w:val="00B32012"/>
    <w:rsid w:val="00B33A1A"/>
    <w:rsid w:val="00B35625"/>
    <w:rsid w:val="00B35B29"/>
    <w:rsid w:val="00B35F50"/>
    <w:rsid w:val="00B36694"/>
    <w:rsid w:val="00B3772E"/>
    <w:rsid w:val="00B42808"/>
    <w:rsid w:val="00B43EEC"/>
    <w:rsid w:val="00B51B2E"/>
    <w:rsid w:val="00B524EC"/>
    <w:rsid w:val="00B52C6C"/>
    <w:rsid w:val="00B53A6E"/>
    <w:rsid w:val="00B62435"/>
    <w:rsid w:val="00B62E3A"/>
    <w:rsid w:val="00B635CE"/>
    <w:rsid w:val="00B63B12"/>
    <w:rsid w:val="00B66A37"/>
    <w:rsid w:val="00B70BB0"/>
    <w:rsid w:val="00B71C53"/>
    <w:rsid w:val="00B721CC"/>
    <w:rsid w:val="00B72CD4"/>
    <w:rsid w:val="00B737B4"/>
    <w:rsid w:val="00B75324"/>
    <w:rsid w:val="00B8301F"/>
    <w:rsid w:val="00B9152A"/>
    <w:rsid w:val="00B94112"/>
    <w:rsid w:val="00BA18FE"/>
    <w:rsid w:val="00BA524A"/>
    <w:rsid w:val="00BA578F"/>
    <w:rsid w:val="00BA5E4E"/>
    <w:rsid w:val="00BA6B31"/>
    <w:rsid w:val="00BB06F2"/>
    <w:rsid w:val="00BB2DE4"/>
    <w:rsid w:val="00BB30AD"/>
    <w:rsid w:val="00BB50BD"/>
    <w:rsid w:val="00BB5F1D"/>
    <w:rsid w:val="00BB7CEA"/>
    <w:rsid w:val="00BC01B4"/>
    <w:rsid w:val="00BC3EF6"/>
    <w:rsid w:val="00BC6BA8"/>
    <w:rsid w:val="00BC7CA7"/>
    <w:rsid w:val="00BD00E6"/>
    <w:rsid w:val="00BD09A3"/>
    <w:rsid w:val="00BD1B1D"/>
    <w:rsid w:val="00BD27B7"/>
    <w:rsid w:val="00BD4295"/>
    <w:rsid w:val="00BD4523"/>
    <w:rsid w:val="00BD5588"/>
    <w:rsid w:val="00BE30B3"/>
    <w:rsid w:val="00BE7AAA"/>
    <w:rsid w:val="00BF0441"/>
    <w:rsid w:val="00BF5F64"/>
    <w:rsid w:val="00BF7248"/>
    <w:rsid w:val="00C01A36"/>
    <w:rsid w:val="00C02FBE"/>
    <w:rsid w:val="00C04CD4"/>
    <w:rsid w:val="00C05894"/>
    <w:rsid w:val="00C079FF"/>
    <w:rsid w:val="00C12794"/>
    <w:rsid w:val="00C133AB"/>
    <w:rsid w:val="00C1416D"/>
    <w:rsid w:val="00C141E5"/>
    <w:rsid w:val="00C149F0"/>
    <w:rsid w:val="00C164C4"/>
    <w:rsid w:val="00C1680A"/>
    <w:rsid w:val="00C17885"/>
    <w:rsid w:val="00C2025C"/>
    <w:rsid w:val="00C228EF"/>
    <w:rsid w:val="00C23609"/>
    <w:rsid w:val="00C23D97"/>
    <w:rsid w:val="00C2750F"/>
    <w:rsid w:val="00C2785C"/>
    <w:rsid w:val="00C30A72"/>
    <w:rsid w:val="00C32848"/>
    <w:rsid w:val="00C32947"/>
    <w:rsid w:val="00C331B7"/>
    <w:rsid w:val="00C35C32"/>
    <w:rsid w:val="00C36E0A"/>
    <w:rsid w:val="00C4205E"/>
    <w:rsid w:val="00C45BA2"/>
    <w:rsid w:val="00C45D95"/>
    <w:rsid w:val="00C474CE"/>
    <w:rsid w:val="00C510F6"/>
    <w:rsid w:val="00C62309"/>
    <w:rsid w:val="00C64CCD"/>
    <w:rsid w:val="00C6584D"/>
    <w:rsid w:val="00C70FDF"/>
    <w:rsid w:val="00C7176C"/>
    <w:rsid w:val="00C73C70"/>
    <w:rsid w:val="00C740A4"/>
    <w:rsid w:val="00C7599E"/>
    <w:rsid w:val="00C76494"/>
    <w:rsid w:val="00C77EAE"/>
    <w:rsid w:val="00C80E00"/>
    <w:rsid w:val="00C81F92"/>
    <w:rsid w:val="00C83463"/>
    <w:rsid w:val="00C84092"/>
    <w:rsid w:val="00C84304"/>
    <w:rsid w:val="00C86437"/>
    <w:rsid w:val="00C86CE5"/>
    <w:rsid w:val="00C87869"/>
    <w:rsid w:val="00C901F1"/>
    <w:rsid w:val="00C92A99"/>
    <w:rsid w:val="00C93118"/>
    <w:rsid w:val="00C97CE5"/>
    <w:rsid w:val="00CA0067"/>
    <w:rsid w:val="00CA7243"/>
    <w:rsid w:val="00CB0A96"/>
    <w:rsid w:val="00CB1E24"/>
    <w:rsid w:val="00CB24B0"/>
    <w:rsid w:val="00CB3585"/>
    <w:rsid w:val="00CB4753"/>
    <w:rsid w:val="00CB6596"/>
    <w:rsid w:val="00CC03DA"/>
    <w:rsid w:val="00CC1405"/>
    <w:rsid w:val="00CC21EC"/>
    <w:rsid w:val="00CC2EE5"/>
    <w:rsid w:val="00CC30CE"/>
    <w:rsid w:val="00CC3B66"/>
    <w:rsid w:val="00CC3D4F"/>
    <w:rsid w:val="00CC5A34"/>
    <w:rsid w:val="00CC7F90"/>
    <w:rsid w:val="00CD00A8"/>
    <w:rsid w:val="00CD346E"/>
    <w:rsid w:val="00CD44C1"/>
    <w:rsid w:val="00CE0B43"/>
    <w:rsid w:val="00CE10C6"/>
    <w:rsid w:val="00CE3436"/>
    <w:rsid w:val="00CE4041"/>
    <w:rsid w:val="00CE4352"/>
    <w:rsid w:val="00CE56D3"/>
    <w:rsid w:val="00CF0165"/>
    <w:rsid w:val="00CF0FDA"/>
    <w:rsid w:val="00CF2A26"/>
    <w:rsid w:val="00CF3794"/>
    <w:rsid w:val="00CF52F0"/>
    <w:rsid w:val="00CF6E78"/>
    <w:rsid w:val="00D00592"/>
    <w:rsid w:val="00D02A22"/>
    <w:rsid w:val="00D033B9"/>
    <w:rsid w:val="00D03B76"/>
    <w:rsid w:val="00D13051"/>
    <w:rsid w:val="00D24ECA"/>
    <w:rsid w:val="00D276E5"/>
    <w:rsid w:val="00D27E61"/>
    <w:rsid w:val="00D31C81"/>
    <w:rsid w:val="00D32273"/>
    <w:rsid w:val="00D323AE"/>
    <w:rsid w:val="00D32DCC"/>
    <w:rsid w:val="00D366B0"/>
    <w:rsid w:val="00D40B48"/>
    <w:rsid w:val="00D40DAE"/>
    <w:rsid w:val="00D51B7F"/>
    <w:rsid w:val="00D51DF0"/>
    <w:rsid w:val="00D56293"/>
    <w:rsid w:val="00D71D8D"/>
    <w:rsid w:val="00D722BB"/>
    <w:rsid w:val="00D766C6"/>
    <w:rsid w:val="00D76C05"/>
    <w:rsid w:val="00D80977"/>
    <w:rsid w:val="00D824C2"/>
    <w:rsid w:val="00D83FDB"/>
    <w:rsid w:val="00D85A2F"/>
    <w:rsid w:val="00D9671C"/>
    <w:rsid w:val="00DA661F"/>
    <w:rsid w:val="00DA736A"/>
    <w:rsid w:val="00DA7D5A"/>
    <w:rsid w:val="00DB4F8D"/>
    <w:rsid w:val="00DC0439"/>
    <w:rsid w:val="00DC17E7"/>
    <w:rsid w:val="00DC244A"/>
    <w:rsid w:val="00DC32AC"/>
    <w:rsid w:val="00DC5BB1"/>
    <w:rsid w:val="00DC6052"/>
    <w:rsid w:val="00DD20F3"/>
    <w:rsid w:val="00DD5627"/>
    <w:rsid w:val="00DD6D2E"/>
    <w:rsid w:val="00DD7E1C"/>
    <w:rsid w:val="00DE578D"/>
    <w:rsid w:val="00DE5AD5"/>
    <w:rsid w:val="00DE7F4A"/>
    <w:rsid w:val="00DF2D98"/>
    <w:rsid w:val="00DF47D5"/>
    <w:rsid w:val="00DF6BB6"/>
    <w:rsid w:val="00E0340C"/>
    <w:rsid w:val="00E045EB"/>
    <w:rsid w:val="00E04C2E"/>
    <w:rsid w:val="00E052EC"/>
    <w:rsid w:val="00E07159"/>
    <w:rsid w:val="00E071E9"/>
    <w:rsid w:val="00E1199C"/>
    <w:rsid w:val="00E136B8"/>
    <w:rsid w:val="00E15CE3"/>
    <w:rsid w:val="00E176A3"/>
    <w:rsid w:val="00E21CFE"/>
    <w:rsid w:val="00E2246E"/>
    <w:rsid w:val="00E2364F"/>
    <w:rsid w:val="00E26503"/>
    <w:rsid w:val="00E2662D"/>
    <w:rsid w:val="00E26B4B"/>
    <w:rsid w:val="00E30292"/>
    <w:rsid w:val="00E342D0"/>
    <w:rsid w:val="00E367AD"/>
    <w:rsid w:val="00E36A94"/>
    <w:rsid w:val="00E36F38"/>
    <w:rsid w:val="00E376B2"/>
    <w:rsid w:val="00E42AD7"/>
    <w:rsid w:val="00E433A1"/>
    <w:rsid w:val="00E44472"/>
    <w:rsid w:val="00E45771"/>
    <w:rsid w:val="00E52D43"/>
    <w:rsid w:val="00E55672"/>
    <w:rsid w:val="00E56516"/>
    <w:rsid w:val="00E6080B"/>
    <w:rsid w:val="00E6118D"/>
    <w:rsid w:val="00E611FD"/>
    <w:rsid w:val="00E6542E"/>
    <w:rsid w:val="00E70212"/>
    <w:rsid w:val="00E710E9"/>
    <w:rsid w:val="00E71272"/>
    <w:rsid w:val="00E716D5"/>
    <w:rsid w:val="00E7321A"/>
    <w:rsid w:val="00E75F79"/>
    <w:rsid w:val="00E81BDF"/>
    <w:rsid w:val="00E83F22"/>
    <w:rsid w:val="00E8409F"/>
    <w:rsid w:val="00E842DC"/>
    <w:rsid w:val="00E85773"/>
    <w:rsid w:val="00E870A0"/>
    <w:rsid w:val="00E90940"/>
    <w:rsid w:val="00E945F2"/>
    <w:rsid w:val="00E94BB5"/>
    <w:rsid w:val="00EA31C0"/>
    <w:rsid w:val="00EA39FC"/>
    <w:rsid w:val="00EA3F0B"/>
    <w:rsid w:val="00EA4198"/>
    <w:rsid w:val="00EA7222"/>
    <w:rsid w:val="00EB71A1"/>
    <w:rsid w:val="00EB7A6D"/>
    <w:rsid w:val="00EB7CB2"/>
    <w:rsid w:val="00EC1BE5"/>
    <w:rsid w:val="00EC259F"/>
    <w:rsid w:val="00EC56B9"/>
    <w:rsid w:val="00EC7570"/>
    <w:rsid w:val="00ED3872"/>
    <w:rsid w:val="00ED59C3"/>
    <w:rsid w:val="00ED5E67"/>
    <w:rsid w:val="00ED6182"/>
    <w:rsid w:val="00EE1DA5"/>
    <w:rsid w:val="00EE2516"/>
    <w:rsid w:val="00EE3261"/>
    <w:rsid w:val="00EE429F"/>
    <w:rsid w:val="00EE47A3"/>
    <w:rsid w:val="00EE7F79"/>
    <w:rsid w:val="00EF057B"/>
    <w:rsid w:val="00EF2CD8"/>
    <w:rsid w:val="00EF572E"/>
    <w:rsid w:val="00EF5DA8"/>
    <w:rsid w:val="00F0018C"/>
    <w:rsid w:val="00F02237"/>
    <w:rsid w:val="00F029EA"/>
    <w:rsid w:val="00F03FC6"/>
    <w:rsid w:val="00F15DB3"/>
    <w:rsid w:val="00F160E7"/>
    <w:rsid w:val="00F220A6"/>
    <w:rsid w:val="00F3082F"/>
    <w:rsid w:val="00F314D2"/>
    <w:rsid w:val="00F33D02"/>
    <w:rsid w:val="00F347B2"/>
    <w:rsid w:val="00F37A4B"/>
    <w:rsid w:val="00F37C20"/>
    <w:rsid w:val="00F44C2A"/>
    <w:rsid w:val="00F45629"/>
    <w:rsid w:val="00F45818"/>
    <w:rsid w:val="00F47877"/>
    <w:rsid w:val="00F51B1F"/>
    <w:rsid w:val="00F55F0D"/>
    <w:rsid w:val="00F578F0"/>
    <w:rsid w:val="00F61C0B"/>
    <w:rsid w:val="00F6602B"/>
    <w:rsid w:val="00F663C4"/>
    <w:rsid w:val="00F700BC"/>
    <w:rsid w:val="00F707DB"/>
    <w:rsid w:val="00F7100F"/>
    <w:rsid w:val="00F7259A"/>
    <w:rsid w:val="00F7277D"/>
    <w:rsid w:val="00F746A4"/>
    <w:rsid w:val="00F74759"/>
    <w:rsid w:val="00F74AA5"/>
    <w:rsid w:val="00F74E9F"/>
    <w:rsid w:val="00F75E37"/>
    <w:rsid w:val="00F76F8E"/>
    <w:rsid w:val="00F77EA2"/>
    <w:rsid w:val="00F8032A"/>
    <w:rsid w:val="00F807D6"/>
    <w:rsid w:val="00F83329"/>
    <w:rsid w:val="00F83C9A"/>
    <w:rsid w:val="00F9083A"/>
    <w:rsid w:val="00F92564"/>
    <w:rsid w:val="00F94B04"/>
    <w:rsid w:val="00F956BD"/>
    <w:rsid w:val="00F97242"/>
    <w:rsid w:val="00F978F3"/>
    <w:rsid w:val="00FA0094"/>
    <w:rsid w:val="00FA0475"/>
    <w:rsid w:val="00FA18C8"/>
    <w:rsid w:val="00FA29F6"/>
    <w:rsid w:val="00FA4750"/>
    <w:rsid w:val="00FA59F2"/>
    <w:rsid w:val="00FA7790"/>
    <w:rsid w:val="00FA7DAC"/>
    <w:rsid w:val="00FB1B97"/>
    <w:rsid w:val="00FC1864"/>
    <w:rsid w:val="00FC1B68"/>
    <w:rsid w:val="00FC225B"/>
    <w:rsid w:val="00FC546D"/>
    <w:rsid w:val="00FC6FC8"/>
    <w:rsid w:val="00FC7CC1"/>
    <w:rsid w:val="00FD11EE"/>
    <w:rsid w:val="00FD14F7"/>
    <w:rsid w:val="00FD3B7C"/>
    <w:rsid w:val="00FD3F86"/>
    <w:rsid w:val="00FD5F92"/>
    <w:rsid w:val="00FD6E15"/>
    <w:rsid w:val="00FE3A2D"/>
    <w:rsid w:val="00FE5EE4"/>
    <w:rsid w:val="00FE76F4"/>
    <w:rsid w:val="00FF2538"/>
    <w:rsid w:val="00FF2779"/>
    <w:rsid w:val="00FF3506"/>
    <w:rsid w:val="00FF3E5C"/>
    <w:rsid w:val="00FF41FB"/>
    <w:rsid w:val="00FF5706"/>
    <w:rsid w:val="00FF666B"/>
    <w:rsid w:val="00FF785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38E2"/>
  <w15:docId w15:val="{F88839AE-ABFF-42F0-B1A7-A91B1669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ListParagraph">
    <w:name w:val="List Paragraph"/>
    <w:basedOn w:val="Normal"/>
    <w:link w:val="ListParagraphChar"/>
    <w:uiPriority w:val="34"/>
    <w:qFormat/>
    <w:rsid w:val="001B6373"/>
    <w:pPr>
      <w:ind w:left="720"/>
      <w:contextualSpacing/>
    </w:pPr>
  </w:style>
  <w:style w:type="paragraph" w:styleId="Header">
    <w:name w:val="header"/>
    <w:basedOn w:val="Normal"/>
    <w:link w:val="HeaderChar"/>
    <w:uiPriority w:val="99"/>
    <w:unhideWhenUsed/>
    <w:rsid w:val="008B4858"/>
    <w:pPr>
      <w:tabs>
        <w:tab w:val="center" w:pos="4153"/>
        <w:tab w:val="right" w:pos="8306"/>
      </w:tabs>
    </w:pPr>
  </w:style>
  <w:style w:type="character" w:customStyle="1" w:styleId="HeaderChar">
    <w:name w:val="Header Char"/>
    <w:basedOn w:val="DefaultParagraphFont"/>
    <w:link w:val="Header"/>
    <w:uiPriority w:val="99"/>
    <w:rsid w:val="008B4858"/>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8B4858"/>
    <w:pPr>
      <w:tabs>
        <w:tab w:val="center" w:pos="4153"/>
        <w:tab w:val="right" w:pos="8306"/>
      </w:tabs>
    </w:pPr>
  </w:style>
  <w:style w:type="character" w:customStyle="1" w:styleId="FooterChar">
    <w:name w:val="Footer Char"/>
    <w:basedOn w:val="DefaultParagraphFont"/>
    <w:link w:val="Footer"/>
    <w:uiPriority w:val="99"/>
    <w:rsid w:val="008B4858"/>
    <w:rPr>
      <w:rFonts w:ascii="Times New Roman" w:eastAsia="Times New Roman" w:hAnsi="Times New Roman" w:cs="Times New Roman"/>
      <w:sz w:val="24"/>
      <w:szCs w:val="24"/>
      <w:lang w:eastAsia="lv-LV"/>
    </w:rPr>
  </w:style>
  <w:style w:type="paragraph" w:styleId="BalloonText">
    <w:name w:val="Balloon Text"/>
    <w:basedOn w:val="Normal"/>
    <w:link w:val="BalloonTextChar"/>
    <w:uiPriority w:val="99"/>
    <w:semiHidden/>
    <w:unhideWhenUsed/>
    <w:rsid w:val="0051655D"/>
    <w:rPr>
      <w:rFonts w:ascii="Tahoma" w:hAnsi="Tahoma" w:cs="Tahoma"/>
      <w:sz w:val="16"/>
      <w:szCs w:val="16"/>
    </w:rPr>
  </w:style>
  <w:style w:type="character" w:customStyle="1" w:styleId="BalloonTextChar">
    <w:name w:val="Balloon Text Char"/>
    <w:basedOn w:val="DefaultParagraphFont"/>
    <w:link w:val="BalloonText"/>
    <w:uiPriority w:val="99"/>
    <w:semiHidden/>
    <w:rsid w:val="0051655D"/>
    <w:rPr>
      <w:rFonts w:ascii="Tahoma" w:eastAsia="Times New Roman" w:hAnsi="Tahoma" w:cs="Tahoma"/>
      <w:sz w:val="16"/>
      <w:szCs w:val="16"/>
      <w:lang w:eastAsia="lv-LV"/>
    </w:rPr>
  </w:style>
  <w:style w:type="character" w:styleId="CommentReference">
    <w:name w:val="annotation reference"/>
    <w:basedOn w:val="DefaultParagraphFont"/>
    <w:uiPriority w:val="99"/>
    <w:semiHidden/>
    <w:unhideWhenUsed/>
    <w:rsid w:val="00EA39FC"/>
    <w:rPr>
      <w:sz w:val="16"/>
      <w:szCs w:val="16"/>
    </w:rPr>
  </w:style>
  <w:style w:type="paragraph" w:styleId="CommentText">
    <w:name w:val="annotation text"/>
    <w:basedOn w:val="Normal"/>
    <w:link w:val="CommentTextChar"/>
    <w:uiPriority w:val="99"/>
    <w:semiHidden/>
    <w:unhideWhenUsed/>
    <w:rsid w:val="00EA39FC"/>
    <w:rPr>
      <w:sz w:val="20"/>
      <w:szCs w:val="20"/>
    </w:rPr>
  </w:style>
  <w:style w:type="character" w:customStyle="1" w:styleId="CommentTextChar">
    <w:name w:val="Comment Text Char"/>
    <w:basedOn w:val="DefaultParagraphFont"/>
    <w:link w:val="CommentText"/>
    <w:uiPriority w:val="99"/>
    <w:semiHidden/>
    <w:rsid w:val="00EA39FC"/>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EA39FC"/>
    <w:rPr>
      <w:b/>
      <w:bCs/>
    </w:rPr>
  </w:style>
  <w:style w:type="character" w:customStyle="1" w:styleId="CommentSubjectChar">
    <w:name w:val="Comment Subject Char"/>
    <w:basedOn w:val="CommentTextChar"/>
    <w:link w:val="CommentSubject"/>
    <w:uiPriority w:val="99"/>
    <w:semiHidden/>
    <w:rsid w:val="00EA39FC"/>
    <w:rPr>
      <w:rFonts w:ascii="Times New Roman" w:eastAsia="Times New Roman" w:hAnsi="Times New Roman" w:cs="Times New Roman"/>
      <w:b/>
      <w:bCs/>
      <w:sz w:val="20"/>
      <w:szCs w:val="20"/>
      <w:lang w:eastAsia="lv-LV"/>
    </w:rPr>
  </w:style>
  <w:style w:type="paragraph" w:customStyle="1" w:styleId="naisc">
    <w:name w:val="naisc"/>
    <w:basedOn w:val="Normal"/>
    <w:rsid w:val="000B3D6C"/>
    <w:pPr>
      <w:spacing w:before="75" w:after="75"/>
      <w:jc w:val="center"/>
    </w:pPr>
  </w:style>
  <w:style w:type="character" w:styleId="UnresolvedMention">
    <w:name w:val="Unresolved Mention"/>
    <w:basedOn w:val="DefaultParagraphFont"/>
    <w:uiPriority w:val="99"/>
    <w:semiHidden/>
    <w:unhideWhenUsed/>
    <w:rsid w:val="002D490E"/>
    <w:rPr>
      <w:color w:val="605E5C"/>
      <w:shd w:val="clear" w:color="auto" w:fill="E1DFDD"/>
    </w:rPr>
  </w:style>
  <w:style w:type="character" w:customStyle="1" w:styleId="ListParagraphChar">
    <w:name w:val="List Paragraph Char"/>
    <w:link w:val="ListParagraph"/>
    <w:uiPriority w:val="34"/>
    <w:locked/>
    <w:rsid w:val="004F21B7"/>
    <w:rPr>
      <w:rFonts w:ascii="Times New Roman" w:eastAsia="Times New Roman" w:hAnsi="Times New Roman" w:cs="Times New Roman"/>
      <w:sz w:val="24"/>
      <w:szCs w:val="24"/>
      <w:lang w:eastAsia="lv-LV"/>
    </w:rPr>
  </w:style>
  <w:style w:type="table" w:customStyle="1" w:styleId="TableGridLight1">
    <w:name w:val="Table Grid Light1"/>
    <w:basedOn w:val="TableNormal"/>
    <w:uiPriority w:val="40"/>
    <w:rsid w:val="00C92A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9179">
      <w:bodyDiv w:val="1"/>
      <w:marLeft w:val="0"/>
      <w:marRight w:val="0"/>
      <w:marTop w:val="0"/>
      <w:marBottom w:val="0"/>
      <w:divBdr>
        <w:top w:val="none" w:sz="0" w:space="0" w:color="auto"/>
        <w:left w:val="none" w:sz="0" w:space="0" w:color="auto"/>
        <w:bottom w:val="none" w:sz="0" w:space="0" w:color="auto"/>
        <w:right w:val="none" w:sz="0" w:space="0" w:color="auto"/>
      </w:divBdr>
    </w:div>
    <w:div w:id="1213426380">
      <w:bodyDiv w:val="1"/>
      <w:marLeft w:val="0"/>
      <w:marRight w:val="0"/>
      <w:marTop w:val="0"/>
      <w:marBottom w:val="0"/>
      <w:divBdr>
        <w:top w:val="none" w:sz="0" w:space="0" w:color="auto"/>
        <w:left w:val="none" w:sz="0" w:space="0" w:color="auto"/>
        <w:bottom w:val="none" w:sz="0" w:space="0" w:color="auto"/>
        <w:right w:val="none" w:sz="0" w:space="0" w:color="auto"/>
      </w:divBdr>
    </w:div>
    <w:div w:id="1260023483">
      <w:bodyDiv w:val="1"/>
      <w:marLeft w:val="0"/>
      <w:marRight w:val="0"/>
      <w:marTop w:val="0"/>
      <w:marBottom w:val="0"/>
      <w:divBdr>
        <w:top w:val="none" w:sz="0" w:space="0" w:color="auto"/>
        <w:left w:val="none" w:sz="0" w:space="0" w:color="auto"/>
        <w:bottom w:val="none" w:sz="0" w:space="0" w:color="auto"/>
        <w:right w:val="none" w:sz="0" w:space="0" w:color="auto"/>
      </w:divBdr>
    </w:div>
    <w:div w:id="2083409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25D08-8574-4F4F-8064-0ACFCC1D53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12289</Words>
  <Characters>7006</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vija.skutane</dc:creator>
  <cp:lastModifiedBy>Andris Lazarevs</cp:lastModifiedBy>
  <cp:revision>20</cp:revision>
  <cp:lastPrinted>2019-06-28T11:21:00Z</cp:lastPrinted>
  <dcterms:created xsi:type="dcterms:W3CDTF">2020-10-23T16:02:00Z</dcterms:created>
  <dcterms:modified xsi:type="dcterms:W3CDTF">2020-11-10T11:54:00Z</dcterms:modified>
</cp:coreProperties>
</file>