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F6EE1" w14:textId="4C6AD07D" w:rsidR="00EC6B06" w:rsidRPr="008E4EB0" w:rsidRDefault="00EC6B06" w:rsidP="00EC6B06">
      <w:pPr>
        <w:pBdr>
          <w:bottom w:val="single" w:sz="4" w:space="1" w:color="auto"/>
        </w:pBdr>
        <w:spacing w:after="200" w:line="240" w:lineRule="auto"/>
        <w:contextualSpacing/>
        <w:jc w:val="center"/>
        <w:rPr>
          <w:rFonts w:ascii="Times New Roman" w:eastAsia="Times New Roman" w:hAnsi="Times New Roman" w:cs="Times New Roman"/>
          <w:b/>
          <w:spacing w:val="5"/>
          <w:sz w:val="28"/>
          <w:szCs w:val="52"/>
        </w:rPr>
      </w:pPr>
      <w:bookmarkStart w:id="0" w:name="_GoBack"/>
      <w:bookmarkEnd w:id="0"/>
    </w:p>
    <w:p w14:paraId="69CB55A7" w14:textId="77777777" w:rsidR="00EC6B06" w:rsidRPr="008E4EB0" w:rsidRDefault="00EC6B06" w:rsidP="00EC6B06">
      <w:pPr>
        <w:pBdr>
          <w:bottom w:val="single" w:sz="4" w:space="1" w:color="auto"/>
        </w:pBdr>
        <w:spacing w:after="200" w:line="240" w:lineRule="auto"/>
        <w:contextualSpacing/>
        <w:jc w:val="center"/>
        <w:rPr>
          <w:rFonts w:ascii="Times New Roman" w:eastAsia="Times New Roman" w:hAnsi="Times New Roman" w:cs="Times New Roman"/>
          <w:b/>
          <w:spacing w:val="5"/>
          <w:sz w:val="28"/>
          <w:szCs w:val="52"/>
        </w:rPr>
      </w:pPr>
    </w:p>
    <w:p w14:paraId="43EC574E" w14:textId="77777777" w:rsidR="00EC6B06" w:rsidRPr="008E4EB0" w:rsidRDefault="00EC6B06" w:rsidP="00EC6B06">
      <w:pPr>
        <w:pBdr>
          <w:bottom w:val="single" w:sz="4" w:space="1" w:color="auto"/>
        </w:pBdr>
        <w:spacing w:after="200" w:line="240" w:lineRule="auto"/>
        <w:contextualSpacing/>
        <w:jc w:val="center"/>
        <w:rPr>
          <w:rFonts w:ascii="Times New Roman" w:eastAsia="Times New Roman" w:hAnsi="Times New Roman" w:cs="Times New Roman"/>
          <w:b/>
          <w:spacing w:val="5"/>
          <w:sz w:val="28"/>
          <w:szCs w:val="52"/>
        </w:rPr>
      </w:pPr>
    </w:p>
    <w:p w14:paraId="5BC47B7D" w14:textId="77777777" w:rsidR="00EC6B06" w:rsidRPr="008E4EB0" w:rsidRDefault="00EC6B06" w:rsidP="00EC6B06">
      <w:pPr>
        <w:pBdr>
          <w:bottom w:val="single" w:sz="4" w:space="1" w:color="auto"/>
        </w:pBdr>
        <w:spacing w:after="200" w:line="240" w:lineRule="auto"/>
        <w:contextualSpacing/>
        <w:jc w:val="center"/>
        <w:rPr>
          <w:rFonts w:ascii="Times New Roman" w:eastAsia="Times New Roman" w:hAnsi="Times New Roman" w:cs="Times New Roman"/>
          <w:b/>
          <w:spacing w:val="5"/>
          <w:sz w:val="28"/>
          <w:szCs w:val="52"/>
        </w:rPr>
      </w:pPr>
    </w:p>
    <w:p w14:paraId="7D67BCCF" w14:textId="77777777" w:rsidR="00EC6B06" w:rsidRPr="008E4EB0" w:rsidRDefault="00EC6B06" w:rsidP="00EC6B06">
      <w:pPr>
        <w:pBdr>
          <w:bottom w:val="single" w:sz="4" w:space="1" w:color="auto"/>
        </w:pBdr>
        <w:spacing w:after="200" w:line="240" w:lineRule="auto"/>
        <w:contextualSpacing/>
        <w:jc w:val="center"/>
        <w:rPr>
          <w:rFonts w:ascii="Times New Roman" w:eastAsia="Times New Roman" w:hAnsi="Times New Roman" w:cs="Times New Roman"/>
          <w:b/>
          <w:spacing w:val="5"/>
          <w:sz w:val="28"/>
          <w:szCs w:val="52"/>
        </w:rPr>
      </w:pPr>
    </w:p>
    <w:p w14:paraId="60600E4C" w14:textId="77777777" w:rsidR="00EC6B06" w:rsidRPr="008E4EB0" w:rsidRDefault="00EC6B06" w:rsidP="00EC6B06">
      <w:pPr>
        <w:pBdr>
          <w:bottom w:val="single" w:sz="4" w:space="1" w:color="auto"/>
        </w:pBdr>
        <w:spacing w:after="200" w:line="240" w:lineRule="auto"/>
        <w:contextualSpacing/>
        <w:jc w:val="center"/>
        <w:rPr>
          <w:rFonts w:ascii="Times New Roman" w:eastAsia="Times New Roman" w:hAnsi="Times New Roman" w:cs="Times New Roman"/>
          <w:b/>
          <w:spacing w:val="5"/>
          <w:sz w:val="28"/>
          <w:szCs w:val="52"/>
        </w:rPr>
      </w:pPr>
    </w:p>
    <w:p w14:paraId="5706B90F" w14:textId="77777777" w:rsidR="00EC6B06" w:rsidRPr="008E4EB0" w:rsidRDefault="00EC6B06" w:rsidP="00EC6B06">
      <w:pPr>
        <w:pBdr>
          <w:bottom w:val="single" w:sz="4" w:space="1" w:color="auto"/>
        </w:pBdr>
        <w:spacing w:after="200" w:line="240" w:lineRule="auto"/>
        <w:contextualSpacing/>
        <w:jc w:val="center"/>
        <w:rPr>
          <w:rFonts w:ascii="Times New Roman" w:eastAsia="Times New Roman" w:hAnsi="Times New Roman" w:cs="Times New Roman"/>
          <w:b/>
          <w:spacing w:val="5"/>
          <w:sz w:val="28"/>
          <w:szCs w:val="52"/>
        </w:rPr>
      </w:pPr>
    </w:p>
    <w:p w14:paraId="7EF328F9" w14:textId="77777777" w:rsidR="00EC6B06" w:rsidRPr="008E4EB0" w:rsidRDefault="00EC6B06" w:rsidP="00EC6B06">
      <w:pPr>
        <w:pBdr>
          <w:bottom w:val="single" w:sz="4" w:space="1" w:color="auto"/>
        </w:pBdr>
        <w:spacing w:after="200" w:line="240" w:lineRule="auto"/>
        <w:contextualSpacing/>
        <w:jc w:val="center"/>
        <w:rPr>
          <w:rFonts w:ascii="Times New Roman" w:eastAsia="Times New Roman" w:hAnsi="Times New Roman" w:cs="Times New Roman"/>
          <w:b/>
          <w:spacing w:val="5"/>
          <w:sz w:val="28"/>
          <w:szCs w:val="52"/>
        </w:rPr>
      </w:pPr>
    </w:p>
    <w:p w14:paraId="1F889C63" w14:textId="77777777" w:rsidR="00EC6B06" w:rsidRPr="008E4EB0" w:rsidRDefault="00EC6B06" w:rsidP="00EC6B06">
      <w:pPr>
        <w:pBdr>
          <w:bottom w:val="single" w:sz="4" w:space="1" w:color="auto"/>
        </w:pBdr>
        <w:spacing w:after="200" w:line="240" w:lineRule="auto"/>
        <w:contextualSpacing/>
        <w:jc w:val="center"/>
        <w:rPr>
          <w:rFonts w:ascii="Times New Roman" w:eastAsia="Times New Roman" w:hAnsi="Times New Roman" w:cs="Times New Roman"/>
          <w:b/>
          <w:spacing w:val="5"/>
          <w:sz w:val="28"/>
          <w:szCs w:val="52"/>
        </w:rPr>
      </w:pPr>
    </w:p>
    <w:p w14:paraId="40C8F00A" w14:textId="77777777" w:rsidR="00EC6B06" w:rsidRPr="008E4EB0" w:rsidRDefault="00EC6B06" w:rsidP="00EC6B06">
      <w:pPr>
        <w:pBdr>
          <w:bottom w:val="single" w:sz="4" w:space="1" w:color="auto"/>
        </w:pBdr>
        <w:spacing w:after="200" w:line="240" w:lineRule="auto"/>
        <w:contextualSpacing/>
        <w:jc w:val="center"/>
        <w:rPr>
          <w:rFonts w:ascii="Times New Roman" w:eastAsia="Times New Roman" w:hAnsi="Times New Roman" w:cs="Times New Roman"/>
          <w:b/>
          <w:spacing w:val="5"/>
          <w:sz w:val="28"/>
          <w:szCs w:val="52"/>
        </w:rPr>
      </w:pPr>
    </w:p>
    <w:p w14:paraId="3F32ED38" w14:textId="77777777" w:rsidR="00EC6B06" w:rsidRPr="008E4EB0" w:rsidRDefault="00EC6B06" w:rsidP="00EC6B06">
      <w:pPr>
        <w:pBdr>
          <w:bottom w:val="single" w:sz="4" w:space="1" w:color="auto"/>
        </w:pBdr>
        <w:spacing w:after="200" w:line="240" w:lineRule="auto"/>
        <w:contextualSpacing/>
        <w:jc w:val="center"/>
        <w:rPr>
          <w:rFonts w:ascii="Times New Roman" w:eastAsia="Times New Roman" w:hAnsi="Times New Roman" w:cs="Times New Roman"/>
          <w:b/>
          <w:spacing w:val="5"/>
          <w:sz w:val="28"/>
          <w:szCs w:val="52"/>
        </w:rPr>
      </w:pPr>
    </w:p>
    <w:p w14:paraId="0245245C" w14:textId="77777777" w:rsidR="00EC6B06" w:rsidRPr="008E4EB0" w:rsidRDefault="00EC6B06" w:rsidP="00EC6B06">
      <w:pPr>
        <w:pBdr>
          <w:bottom w:val="single" w:sz="4" w:space="1" w:color="auto"/>
        </w:pBdr>
        <w:spacing w:after="200" w:line="240" w:lineRule="auto"/>
        <w:contextualSpacing/>
        <w:jc w:val="center"/>
        <w:rPr>
          <w:rFonts w:ascii="Times New Roman" w:eastAsia="Times New Roman" w:hAnsi="Times New Roman" w:cs="Times New Roman"/>
          <w:b/>
          <w:spacing w:val="5"/>
          <w:sz w:val="28"/>
          <w:szCs w:val="52"/>
        </w:rPr>
      </w:pPr>
    </w:p>
    <w:p w14:paraId="6223FB48" w14:textId="77777777" w:rsidR="00EC6B06" w:rsidRPr="008E4EB0" w:rsidRDefault="00EC6B06" w:rsidP="00EC6B06">
      <w:pPr>
        <w:pBdr>
          <w:bottom w:val="single" w:sz="4" w:space="1" w:color="auto"/>
        </w:pBdr>
        <w:spacing w:after="200" w:line="240" w:lineRule="auto"/>
        <w:contextualSpacing/>
        <w:jc w:val="center"/>
        <w:rPr>
          <w:rFonts w:ascii="Times New Roman" w:eastAsia="Times New Roman" w:hAnsi="Times New Roman" w:cs="Times New Roman"/>
          <w:b/>
          <w:spacing w:val="5"/>
          <w:sz w:val="28"/>
          <w:szCs w:val="52"/>
        </w:rPr>
      </w:pPr>
    </w:p>
    <w:p w14:paraId="066956A3" w14:textId="77777777" w:rsidR="00EC6B06" w:rsidRPr="008E4EB0" w:rsidRDefault="00EC6B06" w:rsidP="00EC6B06">
      <w:pPr>
        <w:pBdr>
          <w:bottom w:val="single" w:sz="4" w:space="1" w:color="auto"/>
        </w:pBdr>
        <w:spacing w:after="200" w:line="240" w:lineRule="auto"/>
        <w:contextualSpacing/>
        <w:jc w:val="center"/>
        <w:rPr>
          <w:rFonts w:ascii="Times New Roman" w:eastAsia="Times New Roman" w:hAnsi="Times New Roman" w:cs="Times New Roman"/>
          <w:b/>
          <w:spacing w:val="5"/>
          <w:sz w:val="28"/>
          <w:szCs w:val="52"/>
        </w:rPr>
      </w:pPr>
    </w:p>
    <w:p w14:paraId="0BDCB13E" w14:textId="77777777" w:rsidR="00EC6B06" w:rsidRPr="008E4EB0" w:rsidRDefault="00EC6B06" w:rsidP="00EC6B06">
      <w:pPr>
        <w:pBdr>
          <w:bottom w:val="single" w:sz="4" w:space="1" w:color="auto"/>
        </w:pBdr>
        <w:spacing w:after="200" w:line="240" w:lineRule="auto"/>
        <w:contextualSpacing/>
        <w:jc w:val="center"/>
        <w:rPr>
          <w:rFonts w:ascii="Times New Roman" w:eastAsia="Times New Roman" w:hAnsi="Times New Roman" w:cs="Times New Roman"/>
          <w:b/>
          <w:spacing w:val="5"/>
          <w:sz w:val="28"/>
          <w:szCs w:val="52"/>
        </w:rPr>
      </w:pPr>
    </w:p>
    <w:p w14:paraId="66F1DF9D" w14:textId="77777777" w:rsidR="00EC6B06" w:rsidRPr="008E4EB0" w:rsidRDefault="00EC6B06" w:rsidP="00EC6B06">
      <w:pPr>
        <w:pBdr>
          <w:bottom w:val="single" w:sz="4" w:space="1" w:color="auto"/>
        </w:pBdr>
        <w:spacing w:after="200" w:line="240" w:lineRule="auto"/>
        <w:contextualSpacing/>
        <w:jc w:val="center"/>
        <w:rPr>
          <w:rFonts w:ascii="Times New Roman" w:eastAsia="Times New Roman" w:hAnsi="Times New Roman" w:cs="Times New Roman"/>
          <w:b/>
          <w:spacing w:val="5"/>
          <w:sz w:val="28"/>
          <w:szCs w:val="52"/>
        </w:rPr>
      </w:pPr>
    </w:p>
    <w:p w14:paraId="316F3034" w14:textId="77777777" w:rsidR="00EC6B06" w:rsidRPr="008E4EB0" w:rsidRDefault="00EC6B06" w:rsidP="00EC6B06">
      <w:pPr>
        <w:pBdr>
          <w:bottom w:val="single" w:sz="4" w:space="1" w:color="auto"/>
        </w:pBdr>
        <w:spacing w:after="200" w:line="240" w:lineRule="auto"/>
        <w:contextualSpacing/>
        <w:jc w:val="center"/>
        <w:rPr>
          <w:rFonts w:ascii="Times New Roman" w:eastAsia="Times New Roman" w:hAnsi="Times New Roman" w:cs="Times New Roman"/>
          <w:b/>
          <w:spacing w:val="5"/>
          <w:sz w:val="28"/>
          <w:szCs w:val="52"/>
        </w:rPr>
      </w:pPr>
    </w:p>
    <w:p w14:paraId="77F411C2" w14:textId="77777777" w:rsidR="00EC6B06" w:rsidRPr="008E4EB0" w:rsidRDefault="00EC6B06" w:rsidP="00EC6B06">
      <w:pPr>
        <w:pBdr>
          <w:bottom w:val="single" w:sz="4" w:space="1" w:color="auto"/>
        </w:pBdr>
        <w:spacing w:after="200" w:line="240" w:lineRule="auto"/>
        <w:contextualSpacing/>
        <w:jc w:val="center"/>
        <w:rPr>
          <w:rFonts w:ascii="Times New Roman" w:eastAsia="Times New Roman" w:hAnsi="Times New Roman" w:cs="Times New Roman"/>
          <w:b/>
          <w:spacing w:val="5"/>
          <w:sz w:val="28"/>
          <w:szCs w:val="52"/>
        </w:rPr>
      </w:pPr>
    </w:p>
    <w:p w14:paraId="65357541" w14:textId="4DD41C0A" w:rsidR="00EC6B06" w:rsidRPr="008E4EB0" w:rsidRDefault="00EC6B06" w:rsidP="00EC6B06">
      <w:pPr>
        <w:pBdr>
          <w:bottom w:val="single" w:sz="4" w:space="1" w:color="auto"/>
        </w:pBdr>
        <w:spacing w:after="200" w:line="240" w:lineRule="auto"/>
        <w:contextualSpacing/>
        <w:jc w:val="center"/>
        <w:rPr>
          <w:rFonts w:ascii="Times New Roman" w:eastAsia="Times New Roman" w:hAnsi="Times New Roman" w:cs="Times New Roman"/>
          <w:b/>
          <w:spacing w:val="5"/>
          <w:sz w:val="28"/>
          <w:szCs w:val="52"/>
        </w:rPr>
      </w:pPr>
      <w:r w:rsidRPr="008E4EB0">
        <w:rPr>
          <w:rFonts w:ascii="Times New Roman" w:eastAsia="Times New Roman" w:hAnsi="Times New Roman" w:cs="Times New Roman"/>
          <w:b/>
          <w:spacing w:val="5"/>
          <w:sz w:val="28"/>
          <w:szCs w:val="52"/>
        </w:rPr>
        <w:t xml:space="preserve">Ēku atjaunošanas ilgtermiņa stratēģija </w:t>
      </w:r>
    </w:p>
    <w:p w14:paraId="4EE02304" w14:textId="77777777" w:rsidR="00EC6B06" w:rsidRPr="008E4EB0" w:rsidRDefault="00EC6B06" w:rsidP="00EC6B06">
      <w:pPr>
        <w:pBdr>
          <w:bottom w:val="single" w:sz="4" w:space="1" w:color="auto"/>
        </w:pBdr>
        <w:spacing w:after="200" w:line="240" w:lineRule="auto"/>
        <w:contextualSpacing/>
        <w:jc w:val="center"/>
        <w:rPr>
          <w:rFonts w:ascii="Times New Roman" w:eastAsia="Times New Roman" w:hAnsi="Times New Roman" w:cs="Times New Roman"/>
          <w:spacing w:val="5"/>
          <w:sz w:val="28"/>
          <w:szCs w:val="52"/>
        </w:rPr>
      </w:pPr>
    </w:p>
    <w:p w14:paraId="07AC3995" w14:textId="77777777" w:rsidR="00EC6B06" w:rsidRPr="008E4EB0" w:rsidRDefault="00EC6B06" w:rsidP="00EC6B06">
      <w:pPr>
        <w:pBdr>
          <w:bottom w:val="single" w:sz="4" w:space="1" w:color="auto"/>
        </w:pBdr>
        <w:spacing w:after="200" w:line="240" w:lineRule="auto"/>
        <w:contextualSpacing/>
        <w:jc w:val="center"/>
        <w:rPr>
          <w:rFonts w:ascii="Times New Roman" w:eastAsia="Times New Roman" w:hAnsi="Times New Roman" w:cs="Times New Roman"/>
          <w:spacing w:val="5"/>
          <w:sz w:val="28"/>
          <w:szCs w:val="52"/>
        </w:rPr>
      </w:pPr>
    </w:p>
    <w:p w14:paraId="7529B688" w14:textId="77777777" w:rsidR="00EC6B06" w:rsidRPr="008E4EB0" w:rsidRDefault="00EC6B06" w:rsidP="00EC6B06">
      <w:pPr>
        <w:pBdr>
          <w:bottom w:val="single" w:sz="4" w:space="1" w:color="auto"/>
        </w:pBdr>
        <w:spacing w:after="200" w:line="240" w:lineRule="auto"/>
        <w:contextualSpacing/>
        <w:jc w:val="center"/>
        <w:rPr>
          <w:rFonts w:ascii="Times New Roman" w:eastAsia="Times New Roman" w:hAnsi="Times New Roman" w:cs="Times New Roman"/>
          <w:spacing w:val="5"/>
          <w:sz w:val="28"/>
          <w:szCs w:val="52"/>
        </w:rPr>
      </w:pPr>
    </w:p>
    <w:p w14:paraId="5C4C8274" w14:textId="77777777" w:rsidR="00EC6B06" w:rsidRPr="008E4EB0" w:rsidRDefault="00EC6B06" w:rsidP="00EC6B06">
      <w:pPr>
        <w:pBdr>
          <w:bottom w:val="single" w:sz="4" w:space="1" w:color="auto"/>
        </w:pBdr>
        <w:spacing w:after="200" w:line="240" w:lineRule="auto"/>
        <w:contextualSpacing/>
        <w:jc w:val="center"/>
        <w:rPr>
          <w:rFonts w:ascii="Times New Roman" w:eastAsia="Times New Roman" w:hAnsi="Times New Roman" w:cs="Times New Roman"/>
          <w:spacing w:val="5"/>
          <w:sz w:val="28"/>
          <w:szCs w:val="52"/>
        </w:rPr>
      </w:pPr>
    </w:p>
    <w:p w14:paraId="7E359080" w14:textId="77777777" w:rsidR="00EC6B06" w:rsidRPr="008E4EB0" w:rsidRDefault="00EC6B06" w:rsidP="00EC6B06">
      <w:pPr>
        <w:pBdr>
          <w:bottom w:val="single" w:sz="4" w:space="1" w:color="auto"/>
        </w:pBdr>
        <w:spacing w:after="200" w:line="240" w:lineRule="auto"/>
        <w:contextualSpacing/>
        <w:jc w:val="center"/>
        <w:rPr>
          <w:rFonts w:ascii="Times New Roman" w:eastAsia="Times New Roman" w:hAnsi="Times New Roman" w:cs="Times New Roman"/>
          <w:spacing w:val="5"/>
          <w:sz w:val="28"/>
          <w:szCs w:val="52"/>
        </w:rPr>
      </w:pPr>
    </w:p>
    <w:p w14:paraId="67F58212" w14:textId="77777777" w:rsidR="00EC6B06" w:rsidRPr="008E4EB0" w:rsidRDefault="00EC6B06" w:rsidP="00EC6B06">
      <w:pPr>
        <w:pBdr>
          <w:bottom w:val="single" w:sz="4" w:space="1" w:color="auto"/>
        </w:pBdr>
        <w:spacing w:after="200" w:line="240" w:lineRule="auto"/>
        <w:contextualSpacing/>
        <w:jc w:val="center"/>
        <w:rPr>
          <w:rFonts w:ascii="Times New Roman" w:eastAsia="Times New Roman" w:hAnsi="Times New Roman" w:cs="Times New Roman"/>
          <w:spacing w:val="5"/>
          <w:sz w:val="28"/>
          <w:szCs w:val="52"/>
        </w:rPr>
      </w:pPr>
    </w:p>
    <w:p w14:paraId="508BEB3E" w14:textId="77777777" w:rsidR="00EC6B06" w:rsidRPr="008E4EB0" w:rsidRDefault="00EC6B06" w:rsidP="00EC6B06">
      <w:pPr>
        <w:pBdr>
          <w:bottom w:val="single" w:sz="4" w:space="1" w:color="auto"/>
        </w:pBdr>
        <w:spacing w:after="200" w:line="240" w:lineRule="auto"/>
        <w:contextualSpacing/>
        <w:jc w:val="center"/>
        <w:rPr>
          <w:rFonts w:ascii="Times New Roman" w:eastAsia="Times New Roman" w:hAnsi="Times New Roman" w:cs="Times New Roman"/>
          <w:spacing w:val="5"/>
          <w:sz w:val="28"/>
          <w:szCs w:val="52"/>
        </w:rPr>
      </w:pPr>
    </w:p>
    <w:p w14:paraId="22CC8949" w14:textId="77777777" w:rsidR="00EC6B06" w:rsidRPr="008E4EB0" w:rsidRDefault="00EC6B06" w:rsidP="00EC6B06">
      <w:pPr>
        <w:pBdr>
          <w:bottom w:val="single" w:sz="4" w:space="1" w:color="auto"/>
        </w:pBdr>
        <w:spacing w:after="200" w:line="240" w:lineRule="auto"/>
        <w:contextualSpacing/>
        <w:jc w:val="center"/>
        <w:rPr>
          <w:rFonts w:ascii="Times New Roman" w:eastAsia="Times New Roman" w:hAnsi="Times New Roman" w:cs="Times New Roman"/>
          <w:spacing w:val="5"/>
          <w:sz w:val="28"/>
          <w:szCs w:val="52"/>
        </w:rPr>
      </w:pPr>
    </w:p>
    <w:p w14:paraId="1BBB6E3E" w14:textId="77777777" w:rsidR="00EC6B06" w:rsidRPr="008E4EB0" w:rsidRDefault="00EC6B06" w:rsidP="00EC6B06">
      <w:pPr>
        <w:pBdr>
          <w:bottom w:val="single" w:sz="4" w:space="1" w:color="auto"/>
        </w:pBdr>
        <w:spacing w:after="200" w:line="240" w:lineRule="auto"/>
        <w:contextualSpacing/>
        <w:jc w:val="center"/>
        <w:rPr>
          <w:rFonts w:ascii="Times New Roman" w:eastAsia="Times New Roman" w:hAnsi="Times New Roman" w:cs="Times New Roman"/>
          <w:spacing w:val="5"/>
          <w:sz w:val="28"/>
          <w:szCs w:val="52"/>
        </w:rPr>
      </w:pPr>
    </w:p>
    <w:p w14:paraId="00810743" w14:textId="77777777" w:rsidR="00EC6B06" w:rsidRPr="008E4EB0" w:rsidRDefault="00EC6B06" w:rsidP="00EC6B06">
      <w:pPr>
        <w:pBdr>
          <w:bottom w:val="single" w:sz="4" w:space="1" w:color="auto"/>
        </w:pBdr>
        <w:spacing w:after="200" w:line="240" w:lineRule="auto"/>
        <w:contextualSpacing/>
        <w:jc w:val="center"/>
        <w:rPr>
          <w:rFonts w:ascii="Times New Roman" w:eastAsia="Times New Roman" w:hAnsi="Times New Roman" w:cs="Times New Roman"/>
          <w:spacing w:val="5"/>
          <w:sz w:val="28"/>
          <w:szCs w:val="52"/>
        </w:rPr>
      </w:pPr>
    </w:p>
    <w:p w14:paraId="7100346F" w14:textId="77777777" w:rsidR="00EC6B06" w:rsidRPr="008E4EB0" w:rsidRDefault="00EC6B06" w:rsidP="00EC6B06">
      <w:pPr>
        <w:pBdr>
          <w:bottom w:val="single" w:sz="4" w:space="1" w:color="auto"/>
        </w:pBdr>
        <w:spacing w:after="200" w:line="240" w:lineRule="auto"/>
        <w:contextualSpacing/>
        <w:jc w:val="center"/>
        <w:rPr>
          <w:rFonts w:ascii="Times New Roman" w:eastAsia="Times New Roman" w:hAnsi="Times New Roman" w:cs="Times New Roman"/>
          <w:spacing w:val="5"/>
          <w:sz w:val="28"/>
          <w:szCs w:val="52"/>
        </w:rPr>
      </w:pPr>
    </w:p>
    <w:p w14:paraId="2FE86EC7" w14:textId="77777777" w:rsidR="00EC6B06" w:rsidRPr="008E4EB0" w:rsidRDefault="00EC6B06" w:rsidP="00EC6B06">
      <w:pPr>
        <w:pBdr>
          <w:bottom w:val="single" w:sz="4" w:space="1" w:color="auto"/>
        </w:pBdr>
        <w:spacing w:after="200" w:line="240" w:lineRule="auto"/>
        <w:contextualSpacing/>
        <w:jc w:val="center"/>
        <w:rPr>
          <w:rFonts w:ascii="Times New Roman" w:eastAsia="Times New Roman" w:hAnsi="Times New Roman" w:cs="Times New Roman"/>
          <w:spacing w:val="5"/>
          <w:sz w:val="28"/>
          <w:szCs w:val="52"/>
        </w:rPr>
      </w:pPr>
    </w:p>
    <w:p w14:paraId="02EE8F41" w14:textId="77777777" w:rsidR="00EC6B06" w:rsidRPr="008E4EB0" w:rsidRDefault="00EC6B06" w:rsidP="00EC6B06">
      <w:pPr>
        <w:pBdr>
          <w:bottom w:val="single" w:sz="4" w:space="1" w:color="auto"/>
        </w:pBdr>
        <w:spacing w:after="200" w:line="240" w:lineRule="auto"/>
        <w:contextualSpacing/>
        <w:jc w:val="center"/>
        <w:rPr>
          <w:rFonts w:ascii="Times New Roman" w:eastAsia="Times New Roman" w:hAnsi="Times New Roman" w:cs="Times New Roman"/>
          <w:spacing w:val="5"/>
          <w:sz w:val="28"/>
          <w:szCs w:val="52"/>
        </w:rPr>
      </w:pPr>
    </w:p>
    <w:p w14:paraId="14FA649E" w14:textId="77777777" w:rsidR="00EC6B06" w:rsidRPr="008E4EB0" w:rsidRDefault="00EC6B06" w:rsidP="00EC6B06">
      <w:pPr>
        <w:pBdr>
          <w:bottom w:val="single" w:sz="4" w:space="1" w:color="auto"/>
        </w:pBdr>
        <w:spacing w:after="200" w:line="240" w:lineRule="auto"/>
        <w:contextualSpacing/>
        <w:jc w:val="center"/>
        <w:rPr>
          <w:rFonts w:ascii="Times New Roman" w:eastAsia="Times New Roman" w:hAnsi="Times New Roman" w:cs="Times New Roman"/>
          <w:spacing w:val="5"/>
          <w:sz w:val="28"/>
          <w:szCs w:val="52"/>
        </w:rPr>
      </w:pPr>
    </w:p>
    <w:p w14:paraId="64F2B71F" w14:textId="77777777" w:rsidR="00EC6B06" w:rsidRPr="008E4EB0" w:rsidRDefault="00EC6B06" w:rsidP="00EC6B06">
      <w:pPr>
        <w:pBdr>
          <w:bottom w:val="single" w:sz="4" w:space="1" w:color="auto"/>
        </w:pBdr>
        <w:spacing w:after="200" w:line="240" w:lineRule="auto"/>
        <w:contextualSpacing/>
        <w:jc w:val="center"/>
        <w:rPr>
          <w:rFonts w:ascii="Times New Roman" w:eastAsia="Times New Roman" w:hAnsi="Times New Roman" w:cs="Times New Roman"/>
          <w:spacing w:val="5"/>
          <w:sz w:val="28"/>
          <w:szCs w:val="52"/>
        </w:rPr>
      </w:pPr>
    </w:p>
    <w:p w14:paraId="4E681A2B" w14:textId="77777777" w:rsidR="00EC6B06" w:rsidRPr="008E4EB0" w:rsidRDefault="00EC6B06" w:rsidP="00EC6B06">
      <w:pPr>
        <w:pBdr>
          <w:bottom w:val="single" w:sz="4" w:space="1" w:color="auto"/>
        </w:pBdr>
        <w:spacing w:after="200" w:line="240" w:lineRule="auto"/>
        <w:contextualSpacing/>
        <w:jc w:val="center"/>
        <w:rPr>
          <w:rFonts w:ascii="Times New Roman" w:eastAsia="Times New Roman" w:hAnsi="Times New Roman" w:cs="Times New Roman"/>
          <w:spacing w:val="5"/>
          <w:sz w:val="28"/>
          <w:szCs w:val="52"/>
        </w:rPr>
      </w:pPr>
    </w:p>
    <w:p w14:paraId="0AC0D1C5" w14:textId="77777777" w:rsidR="00EC6B06" w:rsidRPr="008E4EB0" w:rsidRDefault="00EC6B06" w:rsidP="00EC6B06">
      <w:pPr>
        <w:pBdr>
          <w:bottom w:val="single" w:sz="4" w:space="1" w:color="auto"/>
        </w:pBdr>
        <w:spacing w:after="200" w:line="240" w:lineRule="auto"/>
        <w:contextualSpacing/>
        <w:jc w:val="center"/>
        <w:rPr>
          <w:rFonts w:ascii="Times New Roman" w:eastAsia="Times New Roman" w:hAnsi="Times New Roman" w:cs="Times New Roman"/>
          <w:spacing w:val="5"/>
          <w:sz w:val="28"/>
          <w:szCs w:val="52"/>
        </w:rPr>
      </w:pPr>
    </w:p>
    <w:p w14:paraId="223C267E" w14:textId="77777777" w:rsidR="00EC6B06" w:rsidRPr="008E4EB0" w:rsidRDefault="00EC6B06" w:rsidP="00EC6B06">
      <w:pPr>
        <w:pBdr>
          <w:bottom w:val="single" w:sz="4" w:space="1" w:color="auto"/>
        </w:pBdr>
        <w:spacing w:after="200" w:line="240" w:lineRule="auto"/>
        <w:contextualSpacing/>
        <w:jc w:val="center"/>
        <w:rPr>
          <w:rFonts w:ascii="Times New Roman" w:eastAsia="Times New Roman" w:hAnsi="Times New Roman" w:cs="Times New Roman"/>
          <w:spacing w:val="5"/>
          <w:sz w:val="28"/>
          <w:szCs w:val="52"/>
        </w:rPr>
      </w:pPr>
    </w:p>
    <w:p w14:paraId="789D84E4" w14:textId="77777777" w:rsidR="00EC6B06" w:rsidRPr="008E4EB0" w:rsidRDefault="00EC6B06" w:rsidP="00EC6B06">
      <w:pPr>
        <w:pBdr>
          <w:bottom w:val="single" w:sz="4" w:space="1" w:color="auto"/>
        </w:pBdr>
        <w:spacing w:after="200" w:line="240" w:lineRule="auto"/>
        <w:contextualSpacing/>
        <w:jc w:val="center"/>
        <w:rPr>
          <w:rFonts w:ascii="Times New Roman" w:eastAsia="Times New Roman" w:hAnsi="Times New Roman" w:cs="Times New Roman"/>
          <w:spacing w:val="5"/>
          <w:sz w:val="28"/>
          <w:szCs w:val="52"/>
        </w:rPr>
      </w:pPr>
    </w:p>
    <w:p w14:paraId="4E0005DB" w14:textId="77777777" w:rsidR="00EC6B06" w:rsidRPr="008E4EB0" w:rsidRDefault="00EC6B06" w:rsidP="00EC6B06">
      <w:pPr>
        <w:pBdr>
          <w:bottom w:val="single" w:sz="4" w:space="1" w:color="auto"/>
        </w:pBdr>
        <w:spacing w:after="200" w:line="240" w:lineRule="auto"/>
        <w:contextualSpacing/>
        <w:jc w:val="center"/>
        <w:rPr>
          <w:rFonts w:ascii="Times New Roman" w:eastAsia="Times New Roman" w:hAnsi="Times New Roman" w:cs="Times New Roman"/>
          <w:spacing w:val="5"/>
          <w:sz w:val="28"/>
          <w:szCs w:val="52"/>
        </w:rPr>
      </w:pPr>
    </w:p>
    <w:p w14:paraId="71ED731B" w14:textId="77777777" w:rsidR="00EC6B06" w:rsidRPr="008E4EB0" w:rsidRDefault="00EC6B06" w:rsidP="00EC6B06">
      <w:pPr>
        <w:pBdr>
          <w:bottom w:val="single" w:sz="4" w:space="1" w:color="auto"/>
        </w:pBdr>
        <w:spacing w:after="200" w:line="240" w:lineRule="auto"/>
        <w:contextualSpacing/>
        <w:jc w:val="center"/>
        <w:rPr>
          <w:rFonts w:ascii="Times New Roman" w:eastAsia="Times New Roman" w:hAnsi="Times New Roman" w:cs="Times New Roman"/>
          <w:spacing w:val="5"/>
          <w:sz w:val="28"/>
          <w:szCs w:val="52"/>
        </w:rPr>
      </w:pPr>
    </w:p>
    <w:p w14:paraId="3D65B6C3" w14:textId="77777777" w:rsidR="00EC6B06" w:rsidRPr="008E4EB0" w:rsidRDefault="00EC6B06" w:rsidP="00EC6B06">
      <w:pPr>
        <w:pBdr>
          <w:bottom w:val="single" w:sz="4" w:space="1" w:color="auto"/>
        </w:pBdr>
        <w:spacing w:after="200" w:line="240" w:lineRule="auto"/>
        <w:contextualSpacing/>
        <w:jc w:val="center"/>
        <w:rPr>
          <w:rFonts w:ascii="Times New Roman" w:eastAsia="Times New Roman" w:hAnsi="Times New Roman" w:cs="Times New Roman"/>
          <w:spacing w:val="5"/>
          <w:sz w:val="28"/>
          <w:szCs w:val="52"/>
        </w:rPr>
      </w:pPr>
      <w:r w:rsidRPr="008E4EB0">
        <w:rPr>
          <w:rFonts w:ascii="Times New Roman" w:eastAsia="Times New Roman" w:hAnsi="Times New Roman" w:cs="Times New Roman"/>
          <w:spacing w:val="5"/>
          <w:sz w:val="28"/>
          <w:szCs w:val="52"/>
        </w:rPr>
        <w:t>Rīga - 2017.gads</w:t>
      </w:r>
    </w:p>
    <w:p w14:paraId="6BE154F4" w14:textId="77777777" w:rsidR="00EC6B06" w:rsidRPr="008E4EB0" w:rsidRDefault="00EC6B06">
      <w:pPr>
        <w:rPr>
          <w:rFonts w:ascii="Times New Roman" w:hAnsi="Times New Roman" w:cs="Times New Roman"/>
          <w:b/>
          <w:bCs/>
          <w:caps/>
          <w:sz w:val="24"/>
          <w:szCs w:val="24"/>
        </w:rPr>
      </w:pPr>
      <w:r w:rsidRPr="008E4EB0">
        <w:rPr>
          <w:rFonts w:ascii="Times New Roman" w:hAnsi="Times New Roman" w:cs="Times New Roman"/>
        </w:rPr>
        <w:br w:type="page"/>
      </w:r>
    </w:p>
    <w:p w14:paraId="101DAAF6" w14:textId="4355F70B" w:rsidR="00EC6B06" w:rsidRPr="008E4EB0" w:rsidRDefault="00EC6B06" w:rsidP="00EC6B06">
      <w:pPr>
        <w:pStyle w:val="TOC1"/>
      </w:pPr>
      <w:r w:rsidRPr="008E4EB0">
        <w:lastRenderedPageBreak/>
        <w:t>Satura rādītājs</w:t>
      </w:r>
    </w:p>
    <w:p w14:paraId="743CE8B6" w14:textId="684185A9" w:rsidR="00AD42D0" w:rsidRDefault="008B5B9E">
      <w:pPr>
        <w:pStyle w:val="TOC1"/>
        <w:rPr>
          <w:rFonts w:asciiTheme="minorHAnsi" w:eastAsiaTheme="minorEastAsia" w:hAnsiTheme="minorHAnsi"/>
          <w:b w:val="0"/>
          <w:bCs w:val="0"/>
          <w:caps w:val="0"/>
          <w:noProof/>
          <w:sz w:val="22"/>
          <w:szCs w:val="22"/>
          <w:lang w:eastAsia="lv-LV"/>
        </w:rPr>
      </w:pPr>
      <w:r w:rsidRPr="008E4EB0">
        <w:fldChar w:fldCharType="begin"/>
      </w:r>
      <w:r w:rsidRPr="008E4EB0">
        <w:instrText xml:space="preserve"> TOC \f \h \z \t "apakš apakš virsraksts;3;apakšvirsraksts;2;virsraksts;1;3apakš virsraksts;4" </w:instrText>
      </w:r>
      <w:r w:rsidRPr="008E4EB0">
        <w:fldChar w:fldCharType="separate"/>
      </w:r>
      <w:hyperlink w:anchor="_Toc491870898" w:history="1">
        <w:r w:rsidR="00AD42D0" w:rsidRPr="00AF325F">
          <w:rPr>
            <w:rStyle w:val="Hyperlink"/>
            <w:noProof/>
          </w:rPr>
          <w:t>1.</w:t>
        </w:r>
        <w:r w:rsidR="00AD42D0">
          <w:rPr>
            <w:rFonts w:asciiTheme="minorHAnsi" w:eastAsiaTheme="minorEastAsia" w:hAnsiTheme="minorHAnsi"/>
            <w:b w:val="0"/>
            <w:bCs w:val="0"/>
            <w:caps w:val="0"/>
            <w:noProof/>
            <w:sz w:val="22"/>
            <w:szCs w:val="22"/>
            <w:lang w:eastAsia="lv-LV"/>
          </w:rPr>
          <w:tab/>
        </w:r>
        <w:r w:rsidR="00AD42D0" w:rsidRPr="00AF325F">
          <w:rPr>
            <w:rStyle w:val="Hyperlink"/>
            <w:noProof/>
          </w:rPr>
          <w:t>Ievads</w:t>
        </w:r>
        <w:r w:rsidR="00AD42D0">
          <w:rPr>
            <w:noProof/>
            <w:webHidden/>
          </w:rPr>
          <w:tab/>
        </w:r>
        <w:r w:rsidR="00AD42D0">
          <w:rPr>
            <w:noProof/>
            <w:webHidden/>
          </w:rPr>
          <w:fldChar w:fldCharType="begin"/>
        </w:r>
        <w:r w:rsidR="00AD42D0">
          <w:rPr>
            <w:noProof/>
            <w:webHidden/>
          </w:rPr>
          <w:instrText xml:space="preserve"> PAGEREF _Toc491870898 \h </w:instrText>
        </w:r>
        <w:r w:rsidR="00AD42D0">
          <w:rPr>
            <w:noProof/>
            <w:webHidden/>
          </w:rPr>
        </w:r>
        <w:r w:rsidR="00AD42D0">
          <w:rPr>
            <w:noProof/>
            <w:webHidden/>
          </w:rPr>
          <w:fldChar w:fldCharType="separate"/>
        </w:r>
        <w:r w:rsidR="00AD42D0">
          <w:rPr>
            <w:noProof/>
            <w:webHidden/>
          </w:rPr>
          <w:t>4</w:t>
        </w:r>
        <w:r w:rsidR="00AD42D0">
          <w:rPr>
            <w:noProof/>
            <w:webHidden/>
          </w:rPr>
          <w:fldChar w:fldCharType="end"/>
        </w:r>
      </w:hyperlink>
    </w:p>
    <w:p w14:paraId="5FB87DC2" w14:textId="4462BC7D" w:rsidR="00AD42D0" w:rsidRDefault="00E427BD">
      <w:pPr>
        <w:pStyle w:val="TOC1"/>
        <w:rPr>
          <w:rFonts w:asciiTheme="minorHAnsi" w:eastAsiaTheme="minorEastAsia" w:hAnsiTheme="minorHAnsi"/>
          <w:b w:val="0"/>
          <w:bCs w:val="0"/>
          <w:caps w:val="0"/>
          <w:noProof/>
          <w:sz w:val="22"/>
          <w:szCs w:val="22"/>
          <w:lang w:eastAsia="lv-LV"/>
        </w:rPr>
      </w:pPr>
      <w:hyperlink w:anchor="_Toc491870899" w:history="1">
        <w:r w:rsidR="00AD42D0" w:rsidRPr="00AF325F">
          <w:rPr>
            <w:rStyle w:val="Hyperlink"/>
            <w:noProof/>
          </w:rPr>
          <w:t>2.</w:t>
        </w:r>
        <w:r w:rsidR="00AD42D0">
          <w:rPr>
            <w:rFonts w:asciiTheme="minorHAnsi" w:eastAsiaTheme="minorEastAsia" w:hAnsiTheme="minorHAnsi"/>
            <w:b w:val="0"/>
            <w:bCs w:val="0"/>
            <w:caps w:val="0"/>
            <w:noProof/>
            <w:sz w:val="22"/>
            <w:szCs w:val="22"/>
            <w:lang w:eastAsia="lv-LV"/>
          </w:rPr>
          <w:tab/>
        </w:r>
        <w:r w:rsidR="00AD42D0" w:rsidRPr="00AF325F">
          <w:rPr>
            <w:rStyle w:val="Hyperlink"/>
            <w:noProof/>
          </w:rPr>
          <w:t>Pārskats par valsts ēku fondu</w:t>
        </w:r>
        <w:r w:rsidR="00AD42D0">
          <w:rPr>
            <w:noProof/>
            <w:webHidden/>
          </w:rPr>
          <w:tab/>
        </w:r>
        <w:r w:rsidR="00AD42D0">
          <w:rPr>
            <w:noProof/>
            <w:webHidden/>
          </w:rPr>
          <w:fldChar w:fldCharType="begin"/>
        </w:r>
        <w:r w:rsidR="00AD42D0">
          <w:rPr>
            <w:noProof/>
            <w:webHidden/>
          </w:rPr>
          <w:instrText xml:space="preserve"> PAGEREF _Toc491870899 \h </w:instrText>
        </w:r>
        <w:r w:rsidR="00AD42D0">
          <w:rPr>
            <w:noProof/>
            <w:webHidden/>
          </w:rPr>
        </w:r>
        <w:r w:rsidR="00AD42D0">
          <w:rPr>
            <w:noProof/>
            <w:webHidden/>
          </w:rPr>
          <w:fldChar w:fldCharType="separate"/>
        </w:r>
        <w:r w:rsidR="00AD42D0">
          <w:rPr>
            <w:noProof/>
            <w:webHidden/>
          </w:rPr>
          <w:t>5</w:t>
        </w:r>
        <w:r w:rsidR="00AD42D0">
          <w:rPr>
            <w:noProof/>
            <w:webHidden/>
          </w:rPr>
          <w:fldChar w:fldCharType="end"/>
        </w:r>
      </w:hyperlink>
    </w:p>
    <w:p w14:paraId="43BD6E31" w14:textId="64060FED" w:rsidR="00AD42D0" w:rsidRDefault="00E427BD">
      <w:pPr>
        <w:pStyle w:val="TOC2"/>
        <w:tabs>
          <w:tab w:val="left" w:pos="660"/>
          <w:tab w:val="right" w:pos="8296"/>
        </w:tabs>
        <w:rPr>
          <w:rFonts w:eastAsiaTheme="minorEastAsia" w:cstheme="minorBidi"/>
          <w:b w:val="0"/>
          <w:bCs w:val="0"/>
          <w:noProof/>
          <w:sz w:val="22"/>
          <w:szCs w:val="22"/>
          <w:lang w:eastAsia="lv-LV"/>
        </w:rPr>
      </w:pPr>
      <w:hyperlink w:anchor="_Toc491870900" w:history="1">
        <w:r w:rsidR="00AD42D0" w:rsidRPr="00AF325F">
          <w:rPr>
            <w:rStyle w:val="Hyperlink"/>
            <w:noProof/>
          </w:rPr>
          <w:t>2.1.</w:t>
        </w:r>
        <w:r w:rsidR="00AD42D0">
          <w:rPr>
            <w:rFonts w:eastAsiaTheme="minorEastAsia" w:cstheme="minorBidi"/>
            <w:b w:val="0"/>
            <w:bCs w:val="0"/>
            <w:noProof/>
            <w:sz w:val="22"/>
            <w:szCs w:val="22"/>
            <w:lang w:eastAsia="lv-LV"/>
          </w:rPr>
          <w:tab/>
        </w:r>
        <w:r w:rsidR="00AD42D0" w:rsidRPr="00AF325F">
          <w:rPr>
            <w:rStyle w:val="Hyperlink"/>
            <w:noProof/>
          </w:rPr>
          <w:t>Pārskatā apzinātās galveno ēku kategorijas</w:t>
        </w:r>
        <w:r w:rsidR="00AD42D0">
          <w:rPr>
            <w:noProof/>
            <w:webHidden/>
          </w:rPr>
          <w:tab/>
        </w:r>
        <w:r w:rsidR="00AD42D0">
          <w:rPr>
            <w:noProof/>
            <w:webHidden/>
          </w:rPr>
          <w:fldChar w:fldCharType="begin"/>
        </w:r>
        <w:r w:rsidR="00AD42D0">
          <w:rPr>
            <w:noProof/>
            <w:webHidden/>
          </w:rPr>
          <w:instrText xml:space="preserve"> PAGEREF _Toc491870900 \h </w:instrText>
        </w:r>
        <w:r w:rsidR="00AD42D0">
          <w:rPr>
            <w:noProof/>
            <w:webHidden/>
          </w:rPr>
        </w:r>
        <w:r w:rsidR="00AD42D0">
          <w:rPr>
            <w:noProof/>
            <w:webHidden/>
          </w:rPr>
          <w:fldChar w:fldCharType="separate"/>
        </w:r>
        <w:r w:rsidR="00AD42D0">
          <w:rPr>
            <w:noProof/>
            <w:webHidden/>
          </w:rPr>
          <w:t>5</w:t>
        </w:r>
        <w:r w:rsidR="00AD42D0">
          <w:rPr>
            <w:noProof/>
            <w:webHidden/>
          </w:rPr>
          <w:fldChar w:fldCharType="end"/>
        </w:r>
      </w:hyperlink>
    </w:p>
    <w:p w14:paraId="55392B29" w14:textId="218AA7FA" w:rsidR="00AD42D0" w:rsidRDefault="00E427BD">
      <w:pPr>
        <w:pStyle w:val="TOC2"/>
        <w:tabs>
          <w:tab w:val="left" w:pos="660"/>
          <w:tab w:val="right" w:pos="8296"/>
        </w:tabs>
        <w:rPr>
          <w:rFonts w:eastAsiaTheme="minorEastAsia" w:cstheme="minorBidi"/>
          <w:b w:val="0"/>
          <w:bCs w:val="0"/>
          <w:noProof/>
          <w:sz w:val="22"/>
          <w:szCs w:val="22"/>
          <w:lang w:eastAsia="lv-LV"/>
        </w:rPr>
      </w:pPr>
      <w:hyperlink w:anchor="_Toc491870901" w:history="1">
        <w:r w:rsidR="00AD42D0" w:rsidRPr="00AF325F">
          <w:rPr>
            <w:rStyle w:val="Hyperlink"/>
            <w:noProof/>
          </w:rPr>
          <w:t>2.2.</w:t>
        </w:r>
        <w:r w:rsidR="00AD42D0">
          <w:rPr>
            <w:rFonts w:eastAsiaTheme="minorEastAsia" w:cstheme="minorBidi"/>
            <w:b w:val="0"/>
            <w:bCs w:val="0"/>
            <w:noProof/>
            <w:sz w:val="22"/>
            <w:szCs w:val="22"/>
            <w:lang w:eastAsia="lv-LV"/>
          </w:rPr>
          <w:tab/>
        </w:r>
        <w:r w:rsidR="00AD42D0" w:rsidRPr="00AF325F">
          <w:rPr>
            <w:rStyle w:val="Hyperlink"/>
            <w:noProof/>
          </w:rPr>
          <w:t>Apzināto ēku vecuma grupas</w:t>
        </w:r>
        <w:r w:rsidR="00AD42D0">
          <w:rPr>
            <w:noProof/>
            <w:webHidden/>
          </w:rPr>
          <w:tab/>
        </w:r>
        <w:r w:rsidR="00AD42D0">
          <w:rPr>
            <w:noProof/>
            <w:webHidden/>
          </w:rPr>
          <w:fldChar w:fldCharType="begin"/>
        </w:r>
        <w:r w:rsidR="00AD42D0">
          <w:rPr>
            <w:noProof/>
            <w:webHidden/>
          </w:rPr>
          <w:instrText xml:space="preserve"> PAGEREF _Toc491870901 \h </w:instrText>
        </w:r>
        <w:r w:rsidR="00AD42D0">
          <w:rPr>
            <w:noProof/>
            <w:webHidden/>
          </w:rPr>
        </w:r>
        <w:r w:rsidR="00AD42D0">
          <w:rPr>
            <w:noProof/>
            <w:webHidden/>
          </w:rPr>
          <w:fldChar w:fldCharType="separate"/>
        </w:r>
        <w:r w:rsidR="00AD42D0">
          <w:rPr>
            <w:noProof/>
            <w:webHidden/>
          </w:rPr>
          <w:t>6</w:t>
        </w:r>
        <w:r w:rsidR="00AD42D0">
          <w:rPr>
            <w:noProof/>
            <w:webHidden/>
          </w:rPr>
          <w:fldChar w:fldCharType="end"/>
        </w:r>
      </w:hyperlink>
    </w:p>
    <w:p w14:paraId="0D39AA2D" w14:textId="2F472AE2" w:rsidR="00AD42D0" w:rsidRDefault="00E427BD">
      <w:pPr>
        <w:pStyle w:val="TOC2"/>
        <w:tabs>
          <w:tab w:val="left" w:pos="660"/>
          <w:tab w:val="right" w:pos="8296"/>
        </w:tabs>
        <w:rPr>
          <w:rFonts w:eastAsiaTheme="minorEastAsia" w:cstheme="minorBidi"/>
          <w:b w:val="0"/>
          <w:bCs w:val="0"/>
          <w:noProof/>
          <w:sz w:val="22"/>
          <w:szCs w:val="22"/>
          <w:lang w:eastAsia="lv-LV"/>
        </w:rPr>
      </w:pPr>
      <w:hyperlink w:anchor="_Toc491870902" w:history="1">
        <w:r w:rsidR="00AD42D0" w:rsidRPr="00AF325F">
          <w:rPr>
            <w:rStyle w:val="Hyperlink"/>
            <w:noProof/>
          </w:rPr>
          <w:t>2.3.</w:t>
        </w:r>
        <w:r w:rsidR="00AD42D0">
          <w:rPr>
            <w:rFonts w:eastAsiaTheme="minorEastAsia" w:cstheme="minorBidi"/>
            <w:b w:val="0"/>
            <w:bCs w:val="0"/>
            <w:noProof/>
            <w:sz w:val="22"/>
            <w:szCs w:val="22"/>
            <w:lang w:eastAsia="lv-LV"/>
          </w:rPr>
          <w:tab/>
        </w:r>
        <w:r w:rsidR="00AD42D0" w:rsidRPr="00AF325F">
          <w:rPr>
            <w:rStyle w:val="Hyperlink"/>
            <w:noProof/>
          </w:rPr>
          <w:t>Klimatiskās zonas</w:t>
        </w:r>
        <w:r w:rsidR="00AD42D0">
          <w:rPr>
            <w:noProof/>
            <w:webHidden/>
          </w:rPr>
          <w:tab/>
        </w:r>
        <w:r w:rsidR="00AD42D0">
          <w:rPr>
            <w:noProof/>
            <w:webHidden/>
          </w:rPr>
          <w:fldChar w:fldCharType="begin"/>
        </w:r>
        <w:r w:rsidR="00AD42D0">
          <w:rPr>
            <w:noProof/>
            <w:webHidden/>
          </w:rPr>
          <w:instrText xml:space="preserve"> PAGEREF _Toc491870902 \h </w:instrText>
        </w:r>
        <w:r w:rsidR="00AD42D0">
          <w:rPr>
            <w:noProof/>
            <w:webHidden/>
          </w:rPr>
        </w:r>
        <w:r w:rsidR="00AD42D0">
          <w:rPr>
            <w:noProof/>
            <w:webHidden/>
          </w:rPr>
          <w:fldChar w:fldCharType="separate"/>
        </w:r>
        <w:r w:rsidR="00AD42D0">
          <w:rPr>
            <w:noProof/>
            <w:webHidden/>
          </w:rPr>
          <w:t>8</w:t>
        </w:r>
        <w:r w:rsidR="00AD42D0">
          <w:rPr>
            <w:noProof/>
            <w:webHidden/>
          </w:rPr>
          <w:fldChar w:fldCharType="end"/>
        </w:r>
      </w:hyperlink>
    </w:p>
    <w:p w14:paraId="7842317F" w14:textId="67049F3E" w:rsidR="00AD42D0" w:rsidRDefault="00E427BD">
      <w:pPr>
        <w:pStyle w:val="TOC2"/>
        <w:tabs>
          <w:tab w:val="left" w:pos="660"/>
          <w:tab w:val="right" w:pos="8296"/>
        </w:tabs>
        <w:rPr>
          <w:rFonts w:eastAsiaTheme="minorEastAsia" w:cstheme="minorBidi"/>
          <w:b w:val="0"/>
          <w:bCs w:val="0"/>
          <w:noProof/>
          <w:sz w:val="22"/>
          <w:szCs w:val="22"/>
          <w:lang w:eastAsia="lv-LV"/>
        </w:rPr>
      </w:pPr>
      <w:hyperlink w:anchor="_Toc491870903" w:history="1">
        <w:r w:rsidR="00AD42D0" w:rsidRPr="00AF325F">
          <w:rPr>
            <w:rStyle w:val="Hyperlink"/>
            <w:noProof/>
          </w:rPr>
          <w:t>2.4.</w:t>
        </w:r>
        <w:r w:rsidR="00AD42D0">
          <w:rPr>
            <w:rFonts w:eastAsiaTheme="minorEastAsia" w:cstheme="minorBidi"/>
            <w:b w:val="0"/>
            <w:bCs w:val="0"/>
            <w:noProof/>
            <w:sz w:val="22"/>
            <w:szCs w:val="22"/>
            <w:lang w:eastAsia="lv-LV"/>
          </w:rPr>
          <w:tab/>
        </w:r>
        <w:r w:rsidR="00AD42D0" w:rsidRPr="00AF325F">
          <w:rPr>
            <w:rStyle w:val="Hyperlink"/>
            <w:noProof/>
          </w:rPr>
          <w:t>Iedalījums pēc atrašanās vietas</w:t>
        </w:r>
        <w:r w:rsidR="00AD42D0">
          <w:rPr>
            <w:noProof/>
            <w:webHidden/>
          </w:rPr>
          <w:tab/>
        </w:r>
        <w:r w:rsidR="00AD42D0">
          <w:rPr>
            <w:noProof/>
            <w:webHidden/>
          </w:rPr>
          <w:fldChar w:fldCharType="begin"/>
        </w:r>
        <w:r w:rsidR="00AD42D0">
          <w:rPr>
            <w:noProof/>
            <w:webHidden/>
          </w:rPr>
          <w:instrText xml:space="preserve"> PAGEREF _Toc491870903 \h </w:instrText>
        </w:r>
        <w:r w:rsidR="00AD42D0">
          <w:rPr>
            <w:noProof/>
            <w:webHidden/>
          </w:rPr>
        </w:r>
        <w:r w:rsidR="00AD42D0">
          <w:rPr>
            <w:noProof/>
            <w:webHidden/>
          </w:rPr>
          <w:fldChar w:fldCharType="separate"/>
        </w:r>
        <w:r w:rsidR="00AD42D0">
          <w:rPr>
            <w:noProof/>
            <w:webHidden/>
          </w:rPr>
          <w:t>8</w:t>
        </w:r>
        <w:r w:rsidR="00AD42D0">
          <w:rPr>
            <w:noProof/>
            <w:webHidden/>
          </w:rPr>
          <w:fldChar w:fldCharType="end"/>
        </w:r>
      </w:hyperlink>
    </w:p>
    <w:p w14:paraId="1E71DB56" w14:textId="065B1FBB" w:rsidR="00AD42D0" w:rsidRDefault="00E427BD">
      <w:pPr>
        <w:pStyle w:val="TOC2"/>
        <w:tabs>
          <w:tab w:val="left" w:pos="660"/>
          <w:tab w:val="right" w:pos="8296"/>
        </w:tabs>
        <w:rPr>
          <w:rFonts w:eastAsiaTheme="minorEastAsia" w:cstheme="minorBidi"/>
          <w:b w:val="0"/>
          <w:bCs w:val="0"/>
          <w:noProof/>
          <w:sz w:val="22"/>
          <w:szCs w:val="22"/>
          <w:lang w:eastAsia="lv-LV"/>
        </w:rPr>
      </w:pPr>
      <w:hyperlink w:anchor="_Toc491870904" w:history="1">
        <w:r w:rsidR="00AD42D0" w:rsidRPr="00AF325F">
          <w:rPr>
            <w:rStyle w:val="Hyperlink"/>
            <w:noProof/>
          </w:rPr>
          <w:t>2.5.</w:t>
        </w:r>
        <w:r w:rsidR="00AD42D0">
          <w:rPr>
            <w:rFonts w:eastAsiaTheme="minorEastAsia" w:cstheme="minorBidi"/>
            <w:b w:val="0"/>
            <w:bCs w:val="0"/>
            <w:noProof/>
            <w:sz w:val="22"/>
            <w:szCs w:val="22"/>
            <w:lang w:eastAsia="lv-LV"/>
          </w:rPr>
          <w:tab/>
        </w:r>
        <w:r w:rsidR="00AD42D0" w:rsidRPr="00AF325F">
          <w:rPr>
            <w:rStyle w:val="Hyperlink"/>
            <w:noProof/>
          </w:rPr>
          <w:t>Enerģijas izmantošanas un lietderības raksturlielumi katrai ēku kombinācijai</w:t>
        </w:r>
        <w:r w:rsidR="00AD42D0">
          <w:rPr>
            <w:noProof/>
            <w:webHidden/>
          </w:rPr>
          <w:tab/>
        </w:r>
        <w:r w:rsidR="00AD42D0">
          <w:rPr>
            <w:noProof/>
            <w:webHidden/>
          </w:rPr>
          <w:fldChar w:fldCharType="begin"/>
        </w:r>
        <w:r w:rsidR="00AD42D0">
          <w:rPr>
            <w:noProof/>
            <w:webHidden/>
          </w:rPr>
          <w:instrText xml:space="preserve"> PAGEREF _Toc491870904 \h </w:instrText>
        </w:r>
        <w:r w:rsidR="00AD42D0">
          <w:rPr>
            <w:noProof/>
            <w:webHidden/>
          </w:rPr>
        </w:r>
        <w:r w:rsidR="00AD42D0">
          <w:rPr>
            <w:noProof/>
            <w:webHidden/>
          </w:rPr>
          <w:fldChar w:fldCharType="separate"/>
        </w:r>
        <w:r w:rsidR="00AD42D0">
          <w:rPr>
            <w:noProof/>
            <w:webHidden/>
          </w:rPr>
          <w:t>10</w:t>
        </w:r>
        <w:r w:rsidR="00AD42D0">
          <w:rPr>
            <w:noProof/>
            <w:webHidden/>
          </w:rPr>
          <w:fldChar w:fldCharType="end"/>
        </w:r>
      </w:hyperlink>
    </w:p>
    <w:p w14:paraId="10F83202" w14:textId="73A0A91B" w:rsidR="00AD42D0" w:rsidRDefault="00E427BD">
      <w:pPr>
        <w:pStyle w:val="TOC3"/>
        <w:tabs>
          <w:tab w:val="left" w:pos="1100"/>
          <w:tab w:val="right" w:pos="8296"/>
        </w:tabs>
        <w:rPr>
          <w:rFonts w:eastAsiaTheme="minorEastAsia" w:cstheme="minorBidi"/>
          <w:noProof/>
          <w:sz w:val="22"/>
          <w:szCs w:val="22"/>
          <w:lang w:eastAsia="lv-LV"/>
        </w:rPr>
      </w:pPr>
      <w:hyperlink w:anchor="_Toc491870905" w:history="1">
        <w:r w:rsidR="00AD42D0" w:rsidRPr="00AF325F">
          <w:rPr>
            <w:rStyle w:val="Hyperlink"/>
            <w:noProof/>
            <w14:scene3d>
              <w14:camera w14:prst="orthographicFront"/>
              <w14:lightRig w14:rig="threePt" w14:dir="t">
                <w14:rot w14:lat="0" w14:lon="0" w14:rev="0"/>
              </w14:lightRig>
            </w14:scene3d>
          </w:rPr>
          <w:t>2.5.1.</w:t>
        </w:r>
        <w:r w:rsidR="00AD42D0">
          <w:rPr>
            <w:rFonts w:eastAsiaTheme="minorEastAsia" w:cstheme="minorBidi"/>
            <w:noProof/>
            <w:sz w:val="22"/>
            <w:szCs w:val="22"/>
            <w:lang w:eastAsia="lv-LV"/>
          </w:rPr>
          <w:tab/>
        </w:r>
        <w:r w:rsidR="00AD42D0" w:rsidRPr="00AF325F">
          <w:rPr>
            <w:rStyle w:val="Hyperlink"/>
            <w:noProof/>
          </w:rPr>
          <w:t>Ēkas galveno elementu izbūves veids un U vērtība</w:t>
        </w:r>
        <w:r w:rsidR="00AD42D0">
          <w:rPr>
            <w:noProof/>
            <w:webHidden/>
          </w:rPr>
          <w:tab/>
        </w:r>
        <w:r w:rsidR="00AD42D0">
          <w:rPr>
            <w:noProof/>
            <w:webHidden/>
          </w:rPr>
          <w:fldChar w:fldCharType="begin"/>
        </w:r>
        <w:r w:rsidR="00AD42D0">
          <w:rPr>
            <w:noProof/>
            <w:webHidden/>
          </w:rPr>
          <w:instrText xml:space="preserve"> PAGEREF _Toc491870905 \h </w:instrText>
        </w:r>
        <w:r w:rsidR="00AD42D0">
          <w:rPr>
            <w:noProof/>
            <w:webHidden/>
          </w:rPr>
        </w:r>
        <w:r w:rsidR="00AD42D0">
          <w:rPr>
            <w:noProof/>
            <w:webHidden/>
          </w:rPr>
          <w:fldChar w:fldCharType="separate"/>
        </w:r>
        <w:r w:rsidR="00AD42D0">
          <w:rPr>
            <w:noProof/>
            <w:webHidden/>
          </w:rPr>
          <w:t>10</w:t>
        </w:r>
        <w:r w:rsidR="00AD42D0">
          <w:rPr>
            <w:noProof/>
            <w:webHidden/>
          </w:rPr>
          <w:fldChar w:fldCharType="end"/>
        </w:r>
      </w:hyperlink>
    </w:p>
    <w:p w14:paraId="1CA3404F" w14:textId="01CC7191" w:rsidR="00AD42D0" w:rsidRDefault="00E427BD">
      <w:pPr>
        <w:pStyle w:val="TOC3"/>
        <w:tabs>
          <w:tab w:val="left" w:pos="1100"/>
          <w:tab w:val="right" w:pos="8296"/>
        </w:tabs>
        <w:rPr>
          <w:rFonts w:eastAsiaTheme="minorEastAsia" w:cstheme="minorBidi"/>
          <w:noProof/>
          <w:sz w:val="22"/>
          <w:szCs w:val="22"/>
          <w:lang w:eastAsia="lv-LV"/>
        </w:rPr>
      </w:pPr>
      <w:hyperlink w:anchor="_Toc491870906" w:history="1">
        <w:r w:rsidR="00AD42D0" w:rsidRPr="00AF325F">
          <w:rPr>
            <w:rStyle w:val="Hyperlink"/>
            <w:noProof/>
            <w14:scene3d>
              <w14:camera w14:prst="orthographicFront"/>
              <w14:lightRig w14:rig="threePt" w14:dir="t">
                <w14:rot w14:lat="0" w14:lon="0" w14:rev="0"/>
              </w14:lightRig>
            </w14:scene3d>
          </w:rPr>
          <w:t>2.5.2.</w:t>
        </w:r>
        <w:r w:rsidR="00AD42D0">
          <w:rPr>
            <w:rFonts w:eastAsiaTheme="minorEastAsia" w:cstheme="minorBidi"/>
            <w:noProof/>
            <w:sz w:val="22"/>
            <w:szCs w:val="22"/>
            <w:lang w:eastAsia="lv-LV"/>
          </w:rPr>
          <w:tab/>
        </w:r>
        <w:r w:rsidR="00AD42D0" w:rsidRPr="00AF325F">
          <w:rPr>
            <w:rStyle w:val="Hyperlink"/>
            <w:noProof/>
          </w:rPr>
          <w:t>Uzturēšanas režīmi (obligātās ikgadējās drošības pārbaudes/apkopes)</w:t>
        </w:r>
        <w:r w:rsidR="00AD42D0">
          <w:rPr>
            <w:noProof/>
            <w:webHidden/>
          </w:rPr>
          <w:tab/>
        </w:r>
        <w:r w:rsidR="00AD42D0">
          <w:rPr>
            <w:noProof/>
            <w:webHidden/>
          </w:rPr>
          <w:fldChar w:fldCharType="begin"/>
        </w:r>
        <w:r w:rsidR="00AD42D0">
          <w:rPr>
            <w:noProof/>
            <w:webHidden/>
          </w:rPr>
          <w:instrText xml:space="preserve"> PAGEREF _Toc491870906 \h </w:instrText>
        </w:r>
        <w:r w:rsidR="00AD42D0">
          <w:rPr>
            <w:noProof/>
            <w:webHidden/>
          </w:rPr>
        </w:r>
        <w:r w:rsidR="00AD42D0">
          <w:rPr>
            <w:noProof/>
            <w:webHidden/>
          </w:rPr>
          <w:fldChar w:fldCharType="separate"/>
        </w:r>
        <w:r w:rsidR="00AD42D0">
          <w:rPr>
            <w:noProof/>
            <w:webHidden/>
          </w:rPr>
          <w:t>12</w:t>
        </w:r>
        <w:r w:rsidR="00AD42D0">
          <w:rPr>
            <w:noProof/>
            <w:webHidden/>
          </w:rPr>
          <w:fldChar w:fldCharType="end"/>
        </w:r>
      </w:hyperlink>
    </w:p>
    <w:p w14:paraId="3DE6D869" w14:textId="19248A39" w:rsidR="00AD42D0" w:rsidRDefault="00E427BD">
      <w:pPr>
        <w:pStyle w:val="TOC3"/>
        <w:tabs>
          <w:tab w:val="left" w:pos="1100"/>
          <w:tab w:val="right" w:pos="8296"/>
        </w:tabs>
        <w:rPr>
          <w:rFonts w:eastAsiaTheme="minorEastAsia" w:cstheme="minorBidi"/>
          <w:noProof/>
          <w:sz w:val="22"/>
          <w:szCs w:val="22"/>
          <w:lang w:eastAsia="lv-LV"/>
        </w:rPr>
      </w:pPr>
      <w:hyperlink w:anchor="_Toc491870907" w:history="1">
        <w:r w:rsidR="00AD42D0" w:rsidRPr="00AF325F">
          <w:rPr>
            <w:rStyle w:val="Hyperlink"/>
            <w:noProof/>
            <w14:scene3d>
              <w14:camera w14:prst="orthographicFront"/>
              <w14:lightRig w14:rig="threePt" w14:dir="t">
                <w14:rot w14:lat="0" w14:lon="0" w14:rev="0"/>
              </w14:lightRig>
            </w14:scene3d>
          </w:rPr>
          <w:t>2.5.3.</w:t>
        </w:r>
        <w:r w:rsidR="00AD42D0">
          <w:rPr>
            <w:rFonts w:eastAsiaTheme="minorEastAsia" w:cstheme="minorBidi"/>
            <w:noProof/>
            <w:sz w:val="22"/>
            <w:szCs w:val="22"/>
            <w:lang w:eastAsia="lv-LV"/>
          </w:rPr>
          <w:tab/>
        </w:r>
        <w:r w:rsidR="00AD42D0" w:rsidRPr="00AF325F">
          <w:rPr>
            <w:rStyle w:val="Hyperlink"/>
            <w:noProof/>
          </w:rPr>
          <w:t>Enerģijas patēriņš ēkās</w:t>
        </w:r>
        <w:r w:rsidR="00AD42D0">
          <w:rPr>
            <w:noProof/>
            <w:webHidden/>
          </w:rPr>
          <w:tab/>
        </w:r>
        <w:r w:rsidR="00AD42D0">
          <w:rPr>
            <w:noProof/>
            <w:webHidden/>
          </w:rPr>
          <w:fldChar w:fldCharType="begin"/>
        </w:r>
        <w:r w:rsidR="00AD42D0">
          <w:rPr>
            <w:noProof/>
            <w:webHidden/>
          </w:rPr>
          <w:instrText xml:space="preserve"> PAGEREF _Toc491870907 \h </w:instrText>
        </w:r>
        <w:r w:rsidR="00AD42D0">
          <w:rPr>
            <w:noProof/>
            <w:webHidden/>
          </w:rPr>
        </w:r>
        <w:r w:rsidR="00AD42D0">
          <w:rPr>
            <w:noProof/>
            <w:webHidden/>
          </w:rPr>
          <w:fldChar w:fldCharType="separate"/>
        </w:r>
        <w:r w:rsidR="00AD42D0">
          <w:rPr>
            <w:noProof/>
            <w:webHidden/>
          </w:rPr>
          <w:t>12</w:t>
        </w:r>
        <w:r w:rsidR="00AD42D0">
          <w:rPr>
            <w:noProof/>
            <w:webHidden/>
          </w:rPr>
          <w:fldChar w:fldCharType="end"/>
        </w:r>
      </w:hyperlink>
    </w:p>
    <w:p w14:paraId="5C091972" w14:textId="2C95DB3A" w:rsidR="00AD42D0" w:rsidRDefault="00E427BD">
      <w:pPr>
        <w:pStyle w:val="TOC3"/>
        <w:tabs>
          <w:tab w:val="left" w:pos="1100"/>
          <w:tab w:val="right" w:pos="8296"/>
        </w:tabs>
        <w:rPr>
          <w:rFonts w:eastAsiaTheme="minorEastAsia" w:cstheme="minorBidi"/>
          <w:noProof/>
          <w:sz w:val="22"/>
          <w:szCs w:val="22"/>
          <w:lang w:eastAsia="lv-LV"/>
        </w:rPr>
      </w:pPr>
      <w:hyperlink w:anchor="_Toc491870908" w:history="1">
        <w:r w:rsidR="00AD42D0" w:rsidRPr="00AF325F">
          <w:rPr>
            <w:rStyle w:val="Hyperlink"/>
            <w:noProof/>
            <w14:scene3d>
              <w14:camera w14:prst="orthographicFront"/>
              <w14:lightRig w14:rig="threePt" w14:dir="t">
                <w14:rot w14:lat="0" w14:lon="0" w14:rev="0"/>
              </w14:lightRig>
            </w14:scene3d>
          </w:rPr>
          <w:t>2.5.4.</w:t>
        </w:r>
        <w:r w:rsidR="00AD42D0">
          <w:rPr>
            <w:rFonts w:eastAsiaTheme="minorEastAsia" w:cstheme="minorBidi"/>
            <w:noProof/>
            <w:sz w:val="22"/>
            <w:szCs w:val="22"/>
            <w:lang w:eastAsia="lv-LV"/>
          </w:rPr>
          <w:tab/>
        </w:r>
        <w:r w:rsidR="00AD42D0" w:rsidRPr="00AF325F">
          <w:rPr>
            <w:rStyle w:val="Hyperlink"/>
            <w:noProof/>
          </w:rPr>
          <w:t>Enerģijas nesēji</w:t>
        </w:r>
        <w:r w:rsidR="00AD42D0">
          <w:rPr>
            <w:noProof/>
            <w:webHidden/>
          </w:rPr>
          <w:tab/>
        </w:r>
        <w:r w:rsidR="00AD42D0">
          <w:rPr>
            <w:noProof/>
            <w:webHidden/>
          </w:rPr>
          <w:fldChar w:fldCharType="begin"/>
        </w:r>
        <w:r w:rsidR="00AD42D0">
          <w:rPr>
            <w:noProof/>
            <w:webHidden/>
          </w:rPr>
          <w:instrText xml:space="preserve"> PAGEREF _Toc491870908 \h </w:instrText>
        </w:r>
        <w:r w:rsidR="00AD42D0">
          <w:rPr>
            <w:noProof/>
            <w:webHidden/>
          </w:rPr>
        </w:r>
        <w:r w:rsidR="00AD42D0">
          <w:rPr>
            <w:noProof/>
            <w:webHidden/>
          </w:rPr>
          <w:fldChar w:fldCharType="separate"/>
        </w:r>
        <w:r w:rsidR="00AD42D0">
          <w:rPr>
            <w:noProof/>
            <w:webHidden/>
          </w:rPr>
          <w:t>15</w:t>
        </w:r>
        <w:r w:rsidR="00AD42D0">
          <w:rPr>
            <w:noProof/>
            <w:webHidden/>
          </w:rPr>
          <w:fldChar w:fldCharType="end"/>
        </w:r>
      </w:hyperlink>
    </w:p>
    <w:p w14:paraId="64221A6E" w14:textId="37EC9227" w:rsidR="00AD42D0" w:rsidRDefault="00E427BD">
      <w:pPr>
        <w:pStyle w:val="TOC4"/>
        <w:tabs>
          <w:tab w:val="left" w:pos="1320"/>
          <w:tab w:val="right" w:pos="8296"/>
        </w:tabs>
        <w:rPr>
          <w:rFonts w:eastAsiaTheme="minorEastAsia" w:cstheme="minorBidi"/>
          <w:noProof/>
          <w:sz w:val="22"/>
          <w:szCs w:val="22"/>
          <w:lang w:eastAsia="lv-LV"/>
        </w:rPr>
      </w:pPr>
      <w:hyperlink w:anchor="_Toc491870909" w:history="1">
        <w:r w:rsidR="00AD42D0" w:rsidRPr="00AF325F">
          <w:rPr>
            <w:rStyle w:val="Hyperlink"/>
            <w:noProof/>
          </w:rPr>
          <w:t>2.5.4.1.</w:t>
        </w:r>
        <w:r w:rsidR="00AD42D0">
          <w:rPr>
            <w:rFonts w:eastAsiaTheme="minorEastAsia" w:cstheme="minorBidi"/>
            <w:noProof/>
            <w:sz w:val="22"/>
            <w:szCs w:val="22"/>
            <w:lang w:eastAsia="lv-LV"/>
          </w:rPr>
          <w:tab/>
        </w:r>
        <w:r w:rsidR="00AD42D0" w:rsidRPr="00AF325F">
          <w:rPr>
            <w:rStyle w:val="Hyperlink"/>
            <w:noProof/>
          </w:rPr>
          <w:t>Energoresursi</w:t>
        </w:r>
        <w:r w:rsidR="00AD42D0">
          <w:rPr>
            <w:noProof/>
            <w:webHidden/>
          </w:rPr>
          <w:tab/>
        </w:r>
        <w:r w:rsidR="00AD42D0">
          <w:rPr>
            <w:noProof/>
            <w:webHidden/>
          </w:rPr>
          <w:fldChar w:fldCharType="begin"/>
        </w:r>
        <w:r w:rsidR="00AD42D0">
          <w:rPr>
            <w:noProof/>
            <w:webHidden/>
          </w:rPr>
          <w:instrText xml:space="preserve"> PAGEREF _Toc491870909 \h </w:instrText>
        </w:r>
        <w:r w:rsidR="00AD42D0">
          <w:rPr>
            <w:noProof/>
            <w:webHidden/>
          </w:rPr>
        </w:r>
        <w:r w:rsidR="00AD42D0">
          <w:rPr>
            <w:noProof/>
            <w:webHidden/>
          </w:rPr>
          <w:fldChar w:fldCharType="separate"/>
        </w:r>
        <w:r w:rsidR="00AD42D0">
          <w:rPr>
            <w:noProof/>
            <w:webHidden/>
          </w:rPr>
          <w:t>15</w:t>
        </w:r>
        <w:r w:rsidR="00AD42D0">
          <w:rPr>
            <w:noProof/>
            <w:webHidden/>
          </w:rPr>
          <w:fldChar w:fldCharType="end"/>
        </w:r>
      </w:hyperlink>
    </w:p>
    <w:p w14:paraId="0B5CDD02" w14:textId="06903366" w:rsidR="00AD42D0" w:rsidRDefault="00E427BD">
      <w:pPr>
        <w:pStyle w:val="TOC4"/>
        <w:tabs>
          <w:tab w:val="left" w:pos="1320"/>
          <w:tab w:val="right" w:pos="8296"/>
        </w:tabs>
        <w:rPr>
          <w:rFonts w:eastAsiaTheme="minorEastAsia" w:cstheme="minorBidi"/>
          <w:noProof/>
          <w:sz w:val="22"/>
          <w:szCs w:val="22"/>
          <w:lang w:eastAsia="lv-LV"/>
        </w:rPr>
      </w:pPr>
      <w:hyperlink w:anchor="_Toc491870910" w:history="1">
        <w:r w:rsidR="00AD42D0" w:rsidRPr="00AF325F">
          <w:rPr>
            <w:rStyle w:val="Hyperlink"/>
            <w:noProof/>
          </w:rPr>
          <w:t>2.5.4.2.</w:t>
        </w:r>
        <w:r w:rsidR="00AD42D0">
          <w:rPr>
            <w:rFonts w:eastAsiaTheme="minorEastAsia" w:cstheme="minorBidi"/>
            <w:noProof/>
            <w:sz w:val="22"/>
            <w:szCs w:val="22"/>
            <w:lang w:eastAsia="lv-LV"/>
          </w:rPr>
          <w:tab/>
        </w:r>
        <w:r w:rsidR="00AD42D0" w:rsidRPr="00AF325F">
          <w:rPr>
            <w:rStyle w:val="Hyperlink"/>
            <w:noProof/>
          </w:rPr>
          <w:t>Atjaunojamie energoresursi</w:t>
        </w:r>
        <w:r w:rsidR="00AD42D0">
          <w:rPr>
            <w:noProof/>
            <w:webHidden/>
          </w:rPr>
          <w:tab/>
        </w:r>
        <w:r w:rsidR="00AD42D0">
          <w:rPr>
            <w:noProof/>
            <w:webHidden/>
          </w:rPr>
          <w:fldChar w:fldCharType="begin"/>
        </w:r>
        <w:r w:rsidR="00AD42D0">
          <w:rPr>
            <w:noProof/>
            <w:webHidden/>
          </w:rPr>
          <w:instrText xml:space="preserve"> PAGEREF _Toc491870910 \h </w:instrText>
        </w:r>
        <w:r w:rsidR="00AD42D0">
          <w:rPr>
            <w:noProof/>
            <w:webHidden/>
          </w:rPr>
        </w:r>
        <w:r w:rsidR="00AD42D0">
          <w:rPr>
            <w:noProof/>
            <w:webHidden/>
          </w:rPr>
          <w:fldChar w:fldCharType="separate"/>
        </w:r>
        <w:r w:rsidR="00AD42D0">
          <w:rPr>
            <w:noProof/>
            <w:webHidden/>
          </w:rPr>
          <w:t>17</w:t>
        </w:r>
        <w:r w:rsidR="00AD42D0">
          <w:rPr>
            <w:noProof/>
            <w:webHidden/>
          </w:rPr>
          <w:fldChar w:fldCharType="end"/>
        </w:r>
      </w:hyperlink>
    </w:p>
    <w:p w14:paraId="0497508D" w14:textId="1F6A657C" w:rsidR="00AD42D0" w:rsidRDefault="00E427BD">
      <w:pPr>
        <w:pStyle w:val="TOC1"/>
        <w:rPr>
          <w:rFonts w:asciiTheme="minorHAnsi" w:eastAsiaTheme="minorEastAsia" w:hAnsiTheme="minorHAnsi"/>
          <w:b w:val="0"/>
          <w:bCs w:val="0"/>
          <w:caps w:val="0"/>
          <w:noProof/>
          <w:sz w:val="22"/>
          <w:szCs w:val="22"/>
          <w:lang w:eastAsia="lv-LV"/>
        </w:rPr>
      </w:pPr>
      <w:hyperlink w:anchor="_Toc491870911" w:history="1">
        <w:r w:rsidR="00AD42D0" w:rsidRPr="00AF325F">
          <w:rPr>
            <w:rStyle w:val="Hyperlink"/>
            <w:noProof/>
          </w:rPr>
          <w:t>3.</w:t>
        </w:r>
        <w:r w:rsidR="00AD42D0">
          <w:rPr>
            <w:rFonts w:asciiTheme="minorHAnsi" w:eastAsiaTheme="minorEastAsia" w:hAnsiTheme="minorHAnsi"/>
            <w:b w:val="0"/>
            <w:bCs w:val="0"/>
            <w:caps w:val="0"/>
            <w:noProof/>
            <w:sz w:val="22"/>
            <w:szCs w:val="22"/>
            <w:lang w:eastAsia="lv-LV"/>
          </w:rPr>
          <w:tab/>
        </w:r>
        <w:r w:rsidR="00AD42D0" w:rsidRPr="00AF325F">
          <w:rPr>
            <w:rStyle w:val="Hyperlink"/>
            <w:noProof/>
          </w:rPr>
          <w:t>Rentabla pieeja ēku atjaunošanai</w:t>
        </w:r>
        <w:r w:rsidR="00AD42D0">
          <w:rPr>
            <w:noProof/>
            <w:webHidden/>
          </w:rPr>
          <w:tab/>
        </w:r>
        <w:r w:rsidR="00AD42D0">
          <w:rPr>
            <w:noProof/>
            <w:webHidden/>
          </w:rPr>
          <w:fldChar w:fldCharType="begin"/>
        </w:r>
        <w:r w:rsidR="00AD42D0">
          <w:rPr>
            <w:noProof/>
            <w:webHidden/>
          </w:rPr>
          <w:instrText xml:space="preserve"> PAGEREF _Toc491870911 \h </w:instrText>
        </w:r>
        <w:r w:rsidR="00AD42D0">
          <w:rPr>
            <w:noProof/>
            <w:webHidden/>
          </w:rPr>
        </w:r>
        <w:r w:rsidR="00AD42D0">
          <w:rPr>
            <w:noProof/>
            <w:webHidden/>
          </w:rPr>
          <w:fldChar w:fldCharType="separate"/>
        </w:r>
        <w:r w:rsidR="00AD42D0">
          <w:rPr>
            <w:noProof/>
            <w:webHidden/>
          </w:rPr>
          <w:t>19</w:t>
        </w:r>
        <w:r w:rsidR="00AD42D0">
          <w:rPr>
            <w:noProof/>
            <w:webHidden/>
          </w:rPr>
          <w:fldChar w:fldCharType="end"/>
        </w:r>
      </w:hyperlink>
    </w:p>
    <w:p w14:paraId="3BF9D4E4" w14:textId="0CB570F9" w:rsidR="00AD42D0" w:rsidRDefault="00E427BD">
      <w:pPr>
        <w:pStyle w:val="TOC2"/>
        <w:tabs>
          <w:tab w:val="left" w:pos="660"/>
          <w:tab w:val="right" w:pos="8296"/>
        </w:tabs>
        <w:rPr>
          <w:rFonts w:eastAsiaTheme="minorEastAsia" w:cstheme="minorBidi"/>
          <w:b w:val="0"/>
          <w:bCs w:val="0"/>
          <w:noProof/>
          <w:sz w:val="22"/>
          <w:szCs w:val="22"/>
          <w:lang w:eastAsia="lv-LV"/>
        </w:rPr>
      </w:pPr>
      <w:hyperlink w:anchor="_Toc491870912" w:history="1">
        <w:r w:rsidR="00AD42D0" w:rsidRPr="00AF325F">
          <w:rPr>
            <w:rStyle w:val="Hyperlink"/>
            <w:noProof/>
          </w:rPr>
          <w:t>3.1.</w:t>
        </w:r>
        <w:r w:rsidR="00AD42D0">
          <w:rPr>
            <w:rFonts w:eastAsiaTheme="minorEastAsia" w:cstheme="minorBidi"/>
            <w:b w:val="0"/>
            <w:bCs w:val="0"/>
            <w:noProof/>
            <w:sz w:val="22"/>
            <w:szCs w:val="22"/>
            <w:lang w:eastAsia="lv-LV"/>
          </w:rPr>
          <w:tab/>
        </w:r>
        <w:r w:rsidR="00AD42D0" w:rsidRPr="00AF325F">
          <w:rPr>
            <w:rStyle w:val="Hyperlink"/>
            <w:noProof/>
          </w:rPr>
          <w:t>Izmaksu ziņā optimāls minimālo energoefektivitātes prasību līmenis</w:t>
        </w:r>
        <w:r w:rsidR="00AD42D0">
          <w:rPr>
            <w:noProof/>
            <w:webHidden/>
          </w:rPr>
          <w:tab/>
        </w:r>
        <w:r w:rsidR="00AD42D0">
          <w:rPr>
            <w:noProof/>
            <w:webHidden/>
          </w:rPr>
          <w:fldChar w:fldCharType="begin"/>
        </w:r>
        <w:r w:rsidR="00AD42D0">
          <w:rPr>
            <w:noProof/>
            <w:webHidden/>
          </w:rPr>
          <w:instrText xml:space="preserve"> PAGEREF _Toc491870912 \h </w:instrText>
        </w:r>
        <w:r w:rsidR="00AD42D0">
          <w:rPr>
            <w:noProof/>
            <w:webHidden/>
          </w:rPr>
        </w:r>
        <w:r w:rsidR="00AD42D0">
          <w:rPr>
            <w:noProof/>
            <w:webHidden/>
          </w:rPr>
          <w:fldChar w:fldCharType="separate"/>
        </w:r>
        <w:r w:rsidR="00AD42D0">
          <w:rPr>
            <w:noProof/>
            <w:webHidden/>
          </w:rPr>
          <w:t>19</w:t>
        </w:r>
        <w:r w:rsidR="00AD42D0">
          <w:rPr>
            <w:noProof/>
            <w:webHidden/>
          </w:rPr>
          <w:fldChar w:fldCharType="end"/>
        </w:r>
      </w:hyperlink>
    </w:p>
    <w:p w14:paraId="7A68F3FC" w14:textId="7204FB9C" w:rsidR="00AD42D0" w:rsidRDefault="00E427BD">
      <w:pPr>
        <w:pStyle w:val="TOC2"/>
        <w:tabs>
          <w:tab w:val="left" w:pos="660"/>
          <w:tab w:val="right" w:pos="8296"/>
        </w:tabs>
        <w:rPr>
          <w:rFonts w:eastAsiaTheme="minorEastAsia" w:cstheme="minorBidi"/>
          <w:b w:val="0"/>
          <w:bCs w:val="0"/>
          <w:noProof/>
          <w:sz w:val="22"/>
          <w:szCs w:val="22"/>
          <w:lang w:eastAsia="lv-LV"/>
        </w:rPr>
      </w:pPr>
      <w:hyperlink w:anchor="_Toc491870913" w:history="1">
        <w:r w:rsidR="00AD42D0" w:rsidRPr="00AF325F">
          <w:rPr>
            <w:rStyle w:val="Hyperlink"/>
            <w:noProof/>
          </w:rPr>
          <w:t>3.2.</w:t>
        </w:r>
        <w:r w:rsidR="00AD42D0">
          <w:rPr>
            <w:rFonts w:eastAsiaTheme="minorEastAsia" w:cstheme="minorBidi"/>
            <w:b w:val="0"/>
            <w:bCs w:val="0"/>
            <w:noProof/>
            <w:sz w:val="22"/>
            <w:szCs w:val="22"/>
            <w:lang w:eastAsia="lv-LV"/>
          </w:rPr>
          <w:tab/>
        </w:r>
        <w:r w:rsidR="00AD42D0" w:rsidRPr="00AF325F">
          <w:rPr>
            <w:rStyle w:val="Hyperlink"/>
            <w:noProof/>
          </w:rPr>
          <w:t>Minimālās energoefektivitātes prasības šobrīd</w:t>
        </w:r>
        <w:r w:rsidR="00AD42D0">
          <w:rPr>
            <w:noProof/>
            <w:webHidden/>
          </w:rPr>
          <w:tab/>
        </w:r>
        <w:r w:rsidR="00AD42D0">
          <w:rPr>
            <w:noProof/>
            <w:webHidden/>
          </w:rPr>
          <w:fldChar w:fldCharType="begin"/>
        </w:r>
        <w:r w:rsidR="00AD42D0">
          <w:rPr>
            <w:noProof/>
            <w:webHidden/>
          </w:rPr>
          <w:instrText xml:space="preserve"> PAGEREF _Toc491870913 \h </w:instrText>
        </w:r>
        <w:r w:rsidR="00AD42D0">
          <w:rPr>
            <w:noProof/>
            <w:webHidden/>
          </w:rPr>
        </w:r>
        <w:r w:rsidR="00AD42D0">
          <w:rPr>
            <w:noProof/>
            <w:webHidden/>
          </w:rPr>
          <w:fldChar w:fldCharType="separate"/>
        </w:r>
        <w:r w:rsidR="00AD42D0">
          <w:rPr>
            <w:noProof/>
            <w:webHidden/>
          </w:rPr>
          <w:t>19</w:t>
        </w:r>
        <w:r w:rsidR="00AD42D0">
          <w:rPr>
            <w:noProof/>
            <w:webHidden/>
          </w:rPr>
          <w:fldChar w:fldCharType="end"/>
        </w:r>
      </w:hyperlink>
    </w:p>
    <w:p w14:paraId="2764FD7D" w14:textId="0DBB1DA8" w:rsidR="00AD42D0" w:rsidRDefault="00E427BD">
      <w:pPr>
        <w:pStyle w:val="TOC2"/>
        <w:tabs>
          <w:tab w:val="left" w:pos="660"/>
          <w:tab w:val="right" w:pos="8296"/>
        </w:tabs>
        <w:rPr>
          <w:rFonts w:eastAsiaTheme="minorEastAsia" w:cstheme="minorBidi"/>
          <w:b w:val="0"/>
          <w:bCs w:val="0"/>
          <w:noProof/>
          <w:sz w:val="22"/>
          <w:szCs w:val="22"/>
          <w:lang w:eastAsia="lv-LV"/>
        </w:rPr>
      </w:pPr>
      <w:hyperlink w:anchor="_Toc491870914" w:history="1">
        <w:r w:rsidR="00AD42D0" w:rsidRPr="00AF325F">
          <w:rPr>
            <w:rStyle w:val="Hyperlink"/>
            <w:noProof/>
          </w:rPr>
          <w:t>3.3.</w:t>
        </w:r>
        <w:r w:rsidR="00AD42D0">
          <w:rPr>
            <w:rFonts w:eastAsiaTheme="minorEastAsia" w:cstheme="minorBidi"/>
            <w:b w:val="0"/>
            <w:bCs w:val="0"/>
            <w:noProof/>
            <w:sz w:val="22"/>
            <w:szCs w:val="22"/>
            <w:lang w:eastAsia="lv-LV"/>
          </w:rPr>
          <w:tab/>
        </w:r>
        <w:r w:rsidR="00AD42D0" w:rsidRPr="00AF325F">
          <w:rPr>
            <w:rStyle w:val="Hyperlink"/>
            <w:noProof/>
          </w:rPr>
          <w:t>Plānotās prasību izmaiņas nākotnē</w:t>
        </w:r>
        <w:r w:rsidR="00AD42D0">
          <w:rPr>
            <w:noProof/>
            <w:webHidden/>
          </w:rPr>
          <w:tab/>
        </w:r>
        <w:r w:rsidR="00AD42D0">
          <w:rPr>
            <w:noProof/>
            <w:webHidden/>
          </w:rPr>
          <w:fldChar w:fldCharType="begin"/>
        </w:r>
        <w:r w:rsidR="00AD42D0">
          <w:rPr>
            <w:noProof/>
            <w:webHidden/>
          </w:rPr>
          <w:instrText xml:space="preserve"> PAGEREF _Toc491870914 \h </w:instrText>
        </w:r>
        <w:r w:rsidR="00AD42D0">
          <w:rPr>
            <w:noProof/>
            <w:webHidden/>
          </w:rPr>
        </w:r>
        <w:r w:rsidR="00AD42D0">
          <w:rPr>
            <w:noProof/>
            <w:webHidden/>
          </w:rPr>
          <w:fldChar w:fldCharType="separate"/>
        </w:r>
        <w:r w:rsidR="00AD42D0">
          <w:rPr>
            <w:noProof/>
            <w:webHidden/>
          </w:rPr>
          <w:t>21</w:t>
        </w:r>
        <w:r w:rsidR="00AD42D0">
          <w:rPr>
            <w:noProof/>
            <w:webHidden/>
          </w:rPr>
          <w:fldChar w:fldCharType="end"/>
        </w:r>
      </w:hyperlink>
    </w:p>
    <w:p w14:paraId="685D7076" w14:textId="1D64B859" w:rsidR="00AD42D0" w:rsidRDefault="00E427BD">
      <w:pPr>
        <w:pStyle w:val="TOC1"/>
        <w:rPr>
          <w:rFonts w:asciiTheme="minorHAnsi" w:eastAsiaTheme="minorEastAsia" w:hAnsiTheme="minorHAnsi"/>
          <w:b w:val="0"/>
          <w:bCs w:val="0"/>
          <w:caps w:val="0"/>
          <w:noProof/>
          <w:sz w:val="22"/>
          <w:szCs w:val="22"/>
          <w:lang w:eastAsia="lv-LV"/>
        </w:rPr>
      </w:pPr>
      <w:hyperlink w:anchor="_Toc491870915" w:history="1">
        <w:r w:rsidR="00AD42D0" w:rsidRPr="00AF325F">
          <w:rPr>
            <w:rStyle w:val="Hyperlink"/>
            <w:noProof/>
          </w:rPr>
          <w:t>4.</w:t>
        </w:r>
        <w:r w:rsidR="00AD42D0">
          <w:rPr>
            <w:rFonts w:asciiTheme="minorHAnsi" w:eastAsiaTheme="minorEastAsia" w:hAnsiTheme="minorHAnsi"/>
            <w:b w:val="0"/>
            <w:bCs w:val="0"/>
            <w:caps w:val="0"/>
            <w:noProof/>
            <w:sz w:val="22"/>
            <w:szCs w:val="22"/>
            <w:lang w:eastAsia="lv-LV"/>
          </w:rPr>
          <w:tab/>
        </w:r>
        <w:r w:rsidR="00AD42D0" w:rsidRPr="00AF325F">
          <w:rPr>
            <w:rStyle w:val="Hyperlink"/>
            <w:noProof/>
          </w:rPr>
          <w:t>Politika un pasākumi ēku atjaunošanas stimulēšanai</w:t>
        </w:r>
        <w:r w:rsidR="00AD42D0">
          <w:rPr>
            <w:noProof/>
            <w:webHidden/>
          </w:rPr>
          <w:tab/>
        </w:r>
        <w:r w:rsidR="00AD42D0">
          <w:rPr>
            <w:noProof/>
            <w:webHidden/>
          </w:rPr>
          <w:fldChar w:fldCharType="begin"/>
        </w:r>
        <w:r w:rsidR="00AD42D0">
          <w:rPr>
            <w:noProof/>
            <w:webHidden/>
          </w:rPr>
          <w:instrText xml:space="preserve"> PAGEREF _Toc491870915 \h </w:instrText>
        </w:r>
        <w:r w:rsidR="00AD42D0">
          <w:rPr>
            <w:noProof/>
            <w:webHidden/>
          </w:rPr>
        </w:r>
        <w:r w:rsidR="00AD42D0">
          <w:rPr>
            <w:noProof/>
            <w:webHidden/>
          </w:rPr>
          <w:fldChar w:fldCharType="separate"/>
        </w:r>
        <w:r w:rsidR="00AD42D0">
          <w:rPr>
            <w:noProof/>
            <w:webHidden/>
          </w:rPr>
          <w:t>22</w:t>
        </w:r>
        <w:r w:rsidR="00AD42D0">
          <w:rPr>
            <w:noProof/>
            <w:webHidden/>
          </w:rPr>
          <w:fldChar w:fldCharType="end"/>
        </w:r>
      </w:hyperlink>
    </w:p>
    <w:p w14:paraId="63B046B7" w14:textId="5515071E" w:rsidR="00AD42D0" w:rsidRDefault="00E427BD">
      <w:pPr>
        <w:pStyle w:val="TOC2"/>
        <w:tabs>
          <w:tab w:val="left" w:pos="660"/>
          <w:tab w:val="right" w:pos="8296"/>
        </w:tabs>
        <w:rPr>
          <w:rFonts w:eastAsiaTheme="minorEastAsia" w:cstheme="minorBidi"/>
          <w:b w:val="0"/>
          <w:bCs w:val="0"/>
          <w:noProof/>
          <w:sz w:val="22"/>
          <w:szCs w:val="22"/>
          <w:lang w:eastAsia="lv-LV"/>
        </w:rPr>
      </w:pPr>
      <w:hyperlink w:anchor="_Toc491870916" w:history="1">
        <w:r w:rsidR="00AD42D0" w:rsidRPr="00AF325F">
          <w:rPr>
            <w:rStyle w:val="Hyperlink"/>
            <w:noProof/>
          </w:rPr>
          <w:t>4.1.</w:t>
        </w:r>
        <w:r w:rsidR="00AD42D0">
          <w:rPr>
            <w:rFonts w:eastAsiaTheme="minorEastAsia" w:cstheme="minorBidi"/>
            <w:b w:val="0"/>
            <w:bCs w:val="0"/>
            <w:noProof/>
            <w:sz w:val="22"/>
            <w:szCs w:val="22"/>
            <w:lang w:eastAsia="lv-LV"/>
          </w:rPr>
          <w:tab/>
        </w:r>
        <w:r w:rsidR="00AD42D0" w:rsidRPr="00AF325F">
          <w:rPr>
            <w:rStyle w:val="Hyperlink"/>
            <w:noProof/>
          </w:rPr>
          <w:t>Ēku energoefektivitātes politikas plānošanas dokumenti</w:t>
        </w:r>
        <w:r w:rsidR="00AD42D0">
          <w:rPr>
            <w:noProof/>
            <w:webHidden/>
          </w:rPr>
          <w:tab/>
        </w:r>
        <w:r w:rsidR="00AD42D0">
          <w:rPr>
            <w:noProof/>
            <w:webHidden/>
          </w:rPr>
          <w:fldChar w:fldCharType="begin"/>
        </w:r>
        <w:r w:rsidR="00AD42D0">
          <w:rPr>
            <w:noProof/>
            <w:webHidden/>
          </w:rPr>
          <w:instrText xml:space="preserve"> PAGEREF _Toc491870916 \h </w:instrText>
        </w:r>
        <w:r w:rsidR="00AD42D0">
          <w:rPr>
            <w:noProof/>
            <w:webHidden/>
          </w:rPr>
        </w:r>
        <w:r w:rsidR="00AD42D0">
          <w:rPr>
            <w:noProof/>
            <w:webHidden/>
          </w:rPr>
          <w:fldChar w:fldCharType="separate"/>
        </w:r>
        <w:r w:rsidR="00AD42D0">
          <w:rPr>
            <w:noProof/>
            <w:webHidden/>
          </w:rPr>
          <w:t>22</w:t>
        </w:r>
        <w:r w:rsidR="00AD42D0">
          <w:rPr>
            <w:noProof/>
            <w:webHidden/>
          </w:rPr>
          <w:fldChar w:fldCharType="end"/>
        </w:r>
      </w:hyperlink>
    </w:p>
    <w:p w14:paraId="7C95D13D" w14:textId="4ABF894A" w:rsidR="00AD42D0" w:rsidRDefault="00E427BD">
      <w:pPr>
        <w:pStyle w:val="TOC2"/>
        <w:tabs>
          <w:tab w:val="left" w:pos="660"/>
          <w:tab w:val="right" w:pos="8296"/>
        </w:tabs>
        <w:rPr>
          <w:rFonts w:eastAsiaTheme="minorEastAsia" w:cstheme="minorBidi"/>
          <w:b w:val="0"/>
          <w:bCs w:val="0"/>
          <w:noProof/>
          <w:sz w:val="22"/>
          <w:szCs w:val="22"/>
          <w:lang w:eastAsia="lv-LV"/>
        </w:rPr>
      </w:pPr>
      <w:hyperlink w:anchor="_Toc491870917" w:history="1">
        <w:r w:rsidR="00AD42D0" w:rsidRPr="00AF325F">
          <w:rPr>
            <w:rStyle w:val="Hyperlink"/>
            <w:noProof/>
          </w:rPr>
          <w:t>4.2.</w:t>
        </w:r>
        <w:r w:rsidR="00AD42D0">
          <w:rPr>
            <w:rFonts w:eastAsiaTheme="minorEastAsia" w:cstheme="minorBidi"/>
            <w:b w:val="0"/>
            <w:bCs w:val="0"/>
            <w:noProof/>
            <w:sz w:val="22"/>
            <w:szCs w:val="22"/>
            <w:lang w:eastAsia="lv-LV"/>
          </w:rPr>
          <w:tab/>
        </w:r>
        <w:r w:rsidR="00AD42D0" w:rsidRPr="00AF325F">
          <w:rPr>
            <w:rStyle w:val="Hyperlink"/>
            <w:noProof/>
          </w:rPr>
          <w:t>Pieejamais finansējums no fondiem un finanšu instrumentiem</w:t>
        </w:r>
        <w:r w:rsidR="00AD42D0">
          <w:rPr>
            <w:noProof/>
            <w:webHidden/>
          </w:rPr>
          <w:tab/>
        </w:r>
        <w:r w:rsidR="00AD42D0">
          <w:rPr>
            <w:noProof/>
            <w:webHidden/>
          </w:rPr>
          <w:fldChar w:fldCharType="begin"/>
        </w:r>
        <w:r w:rsidR="00AD42D0">
          <w:rPr>
            <w:noProof/>
            <w:webHidden/>
          </w:rPr>
          <w:instrText xml:space="preserve"> PAGEREF _Toc491870917 \h </w:instrText>
        </w:r>
        <w:r w:rsidR="00AD42D0">
          <w:rPr>
            <w:noProof/>
            <w:webHidden/>
          </w:rPr>
        </w:r>
        <w:r w:rsidR="00AD42D0">
          <w:rPr>
            <w:noProof/>
            <w:webHidden/>
          </w:rPr>
          <w:fldChar w:fldCharType="separate"/>
        </w:r>
        <w:r w:rsidR="00AD42D0">
          <w:rPr>
            <w:noProof/>
            <w:webHidden/>
          </w:rPr>
          <w:t>23</w:t>
        </w:r>
        <w:r w:rsidR="00AD42D0">
          <w:rPr>
            <w:noProof/>
            <w:webHidden/>
          </w:rPr>
          <w:fldChar w:fldCharType="end"/>
        </w:r>
      </w:hyperlink>
    </w:p>
    <w:p w14:paraId="1A890D8B" w14:textId="525122F2" w:rsidR="00AD42D0" w:rsidRDefault="00E427BD">
      <w:pPr>
        <w:pStyle w:val="TOC3"/>
        <w:tabs>
          <w:tab w:val="left" w:pos="1100"/>
          <w:tab w:val="right" w:pos="8296"/>
        </w:tabs>
        <w:rPr>
          <w:rFonts w:eastAsiaTheme="minorEastAsia" w:cstheme="minorBidi"/>
          <w:noProof/>
          <w:sz w:val="22"/>
          <w:szCs w:val="22"/>
          <w:lang w:eastAsia="lv-LV"/>
        </w:rPr>
      </w:pPr>
      <w:hyperlink w:anchor="_Toc491870918" w:history="1">
        <w:r w:rsidR="00AD42D0" w:rsidRPr="00AF325F">
          <w:rPr>
            <w:rStyle w:val="Hyperlink"/>
            <w:noProof/>
            <w14:scene3d>
              <w14:camera w14:prst="orthographicFront"/>
              <w14:lightRig w14:rig="threePt" w14:dir="t">
                <w14:rot w14:lat="0" w14:lon="0" w14:rev="0"/>
              </w14:lightRig>
            </w14:scene3d>
          </w:rPr>
          <w:t>4.2.1.</w:t>
        </w:r>
        <w:r w:rsidR="00AD42D0">
          <w:rPr>
            <w:rFonts w:eastAsiaTheme="minorEastAsia" w:cstheme="minorBidi"/>
            <w:noProof/>
            <w:sz w:val="22"/>
            <w:szCs w:val="22"/>
            <w:lang w:eastAsia="lv-LV"/>
          </w:rPr>
          <w:tab/>
        </w:r>
        <w:r w:rsidR="00AD42D0" w:rsidRPr="00AF325F">
          <w:rPr>
            <w:rStyle w:val="Hyperlink"/>
            <w:noProof/>
          </w:rPr>
          <w:t>Eiropas Savienības fondu izmantošana</w:t>
        </w:r>
        <w:r w:rsidR="00AD42D0">
          <w:rPr>
            <w:noProof/>
            <w:webHidden/>
          </w:rPr>
          <w:tab/>
        </w:r>
        <w:r w:rsidR="00AD42D0">
          <w:rPr>
            <w:noProof/>
            <w:webHidden/>
          </w:rPr>
          <w:fldChar w:fldCharType="begin"/>
        </w:r>
        <w:r w:rsidR="00AD42D0">
          <w:rPr>
            <w:noProof/>
            <w:webHidden/>
          </w:rPr>
          <w:instrText xml:space="preserve"> PAGEREF _Toc491870918 \h </w:instrText>
        </w:r>
        <w:r w:rsidR="00AD42D0">
          <w:rPr>
            <w:noProof/>
            <w:webHidden/>
          </w:rPr>
        </w:r>
        <w:r w:rsidR="00AD42D0">
          <w:rPr>
            <w:noProof/>
            <w:webHidden/>
          </w:rPr>
          <w:fldChar w:fldCharType="separate"/>
        </w:r>
        <w:r w:rsidR="00AD42D0">
          <w:rPr>
            <w:noProof/>
            <w:webHidden/>
          </w:rPr>
          <w:t>23</w:t>
        </w:r>
        <w:r w:rsidR="00AD42D0">
          <w:rPr>
            <w:noProof/>
            <w:webHidden/>
          </w:rPr>
          <w:fldChar w:fldCharType="end"/>
        </w:r>
      </w:hyperlink>
    </w:p>
    <w:p w14:paraId="16D9550E" w14:textId="4FDE27B2" w:rsidR="00AD42D0" w:rsidRDefault="00E427BD">
      <w:pPr>
        <w:pStyle w:val="TOC3"/>
        <w:tabs>
          <w:tab w:val="left" w:pos="1100"/>
          <w:tab w:val="right" w:pos="8296"/>
        </w:tabs>
        <w:rPr>
          <w:rFonts w:eastAsiaTheme="minorEastAsia" w:cstheme="minorBidi"/>
          <w:noProof/>
          <w:sz w:val="22"/>
          <w:szCs w:val="22"/>
          <w:lang w:eastAsia="lv-LV"/>
        </w:rPr>
      </w:pPr>
      <w:hyperlink w:anchor="_Toc491870919" w:history="1">
        <w:r w:rsidR="00AD42D0" w:rsidRPr="00AF325F">
          <w:rPr>
            <w:rStyle w:val="Hyperlink"/>
            <w:noProof/>
            <w14:scene3d>
              <w14:camera w14:prst="orthographicFront"/>
              <w14:lightRig w14:rig="threePt" w14:dir="t">
                <w14:rot w14:lat="0" w14:lon="0" w14:rev="0"/>
              </w14:lightRig>
            </w14:scene3d>
          </w:rPr>
          <w:t>4.2.2.</w:t>
        </w:r>
        <w:r w:rsidR="00AD42D0">
          <w:rPr>
            <w:rFonts w:eastAsiaTheme="minorEastAsia" w:cstheme="minorBidi"/>
            <w:noProof/>
            <w:sz w:val="22"/>
            <w:szCs w:val="22"/>
            <w:lang w:eastAsia="lv-LV"/>
          </w:rPr>
          <w:tab/>
        </w:r>
        <w:r w:rsidR="00AD42D0" w:rsidRPr="00AF325F">
          <w:rPr>
            <w:rStyle w:val="Hyperlink"/>
            <w:noProof/>
          </w:rPr>
          <w:t>Eiropas Savienības fondu izmantošanas apkopojums</w:t>
        </w:r>
        <w:r w:rsidR="00AD42D0">
          <w:rPr>
            <w:noProof/>
            <w:webHidden/>
          </w:rPr>
          <w:tab/>
        </w:r>
        <w:r w:rsidR="00AD42D0">
          <w:rPr>
            <w:noProof/>
            <w:webHidden/>
          </w:rPr>
          <w:fldChar w:fldCharType="begin"/>
        </w:r>
        <w:r w:rsidR="00AD42D0">
          <w:rPr>
            <w:noProof/>
            <w:webHidden/>
          </w:rPr>
          <w:instrText xml:space="preserve"> PAGEREF _Toc491870919 \h </w:instrText>
        </w:r>
        <w:r w:rsidR="00AD42D0">
          <w:rPr>
            <w:noProof/>
            <w:webHidden/>
          </w:rPr>
        </w:r>
        <w:r w:rsidR="00AD42D0">
          <w:rPr>
            <w:noProof/>
            <w:webHidden/>
          </w:rPr>
          <w:fldChar w:fldCharType="separate"/>
        </w:r>
        <w:r w:rsidR="00AD42D0">
          <w:rPr>
            <w:noProof/>
            <w:webHidden/>
          </w:rPr>
          <w:t>30</w:t>
        </w:r>
        <w:r w:rsidR="00AD42D0">
          <w:rPr>
            <w:noProof/>
            <w:webHidden/>
          </w:rPr>
          <w:fldChar w:fldCharType="end"/>
        </w:r>
      </w:hyperlink>
    </w:p>
    <w:p w14:paraId="2AA0BF79" w14:textId="172BBB0E" w:rsidR="00AD42D0" w:rsidRDefault="00E427BD">
      <w:pPr>
        <w:pStyle w:val="TOC2"/>
        <w:tabs>
          <w:tab w:val="left" w:pos="660"/>
          <w:tab w:val="right" w:pos="8296"/>
        </w:tabs>
        <w:rPr>
          <w:rFonts w:eastAsiaTheme="minorEastAsia" w:cstheme="minorBidi"/>
          <w:b w:val="0"/>
          <w:bCs w:val="0"/>
          <w:noProof/>
          <w:sz w:val="22"/>
          <w:szCs w:val="22"/>
          <w:lang w:eastAsia="lv-LV"/>
        </w:rPr>
      </w:pPr>
      <w:hyperlink w:anchor="_Toc491870920" w:history="1">
        <w:r w:rsidR="00AD42D0" w:rsidRPr="00AF325F">
          <w:rPr>
            <w:rStyle w:val="Hyperlink"/>
            <w:noProof/>
          </w:rPr>
          <w:t>4.3.</w:t>
        </w:r>
        <w:r w:rsidR="00AD42D0">
          <w:rPr>
            <w:rFonts w:eastAsiaTheme="minorEastAsia" w:cstheme="minorBidi"/>
            <w:b w:val="0"/>
            <w:bCs w:val="0"/>
            <w:noProof/>
            <w:sz w:val="22"/>
            <w:szCs w:val="22"/>
            <w:lang w:eastAsia="lv-LV"/>
          </w:rPr>
          <w:tab/>
        </w:r>
        <w:r w:rsidR="00AD42D0" w:rsidRPr="00AF325F">
          <w:rPr>
            <w:rStyle w:val="Hyperlink"/>
            <w:noProof/>
          </w:rPr>
          <w:t>Valsts un pašvaldības tiešais atbalsts energoefektivitātes paaugstināšanas pasākumu īstenošanai</w:t>
        </w:r>
        <w:r w:rsidR="00AD42D0">
          <w:rPr>
            <w:noProof/>
            <w:webHidden/>
          </w:rPr>
          <w:tab/>
        </w:r>
        <w:r w:rsidR="00AD42D0">
          <w:rPr>
            <w:noProof/>
            <w:webHidden/>
          </w:rPr>
          <w:fldChar w:fldCharType="begin"/>
        </w:r>
        <w:r w:rsidR="00AD42D0">
          <w:rPr>
            <w:noProof/>
            <w:webHidden/>
          </w:rPr>
          <w:instrText xml:space="preserve"> PAGEREF _Toc491870920 \h </w:instrText>
        </w:r>
        <w:r w:rsidR="00AD42D0">
          <w:rPr>
            <w:noProof/>
            <w:webHidden/>
          </w:rPr>
        </w:r>
        <w:r w:rsidR="00AD42D0">
          <w:rPr>
            <w:noProof/>
            <w:webHidden/>
          </w:rPr>
          <w:fldChar w:fldCharType="separate"/>
        </w:r>
        <w:r w:rsidR="00AD42D0">
          <w:rPr>
            <w:noProof/>
            <w:webHidden/>
          </w:rPr>
          <w:t>32</w:t>
        </w:r>
        <w:r w:rsidR="00AD42D0">
          <w:rPr>
            <w:noProof/>
            <w:webHidden/>
          </w:rPr>
          <w:fldChar w:fldCharType="end"/>
        </w:r>
      </w:hyperlink>
    </w:p>
    <w:p w14:paraId="73DE4013" w14:textId="7C1564BA" w:rsidR="00AD42D0" w:rsidRDefault="00E427BD">
      <w:pPr>
        <w:pStyle w:val="TOC2"/>
        <w:tabs>
          <w:tab w:val="left" w:pos="660"/>
          <w:tab w:val="right" w:pos="8296"/>
        </w:tabs>
        <w:rPr>
          <w:rFonts w:eastAsiaTheme="minorEastAsia" w:cstheme="minorBidi"/>
          <w:b w:val="0"/>
          <w:bCs w:val="0"/>
          <w:noProof/>
          <w:sz w:val="22"/>
          <w:szCs w:val="22"/>
          <w:lang w:eastAsia="lv-LV"/>
        </w:rPr>
      </w:pPr>
      <w:hyperlink w:anchor="_Toc491870921" w:history="1">
        <w:r w:rsidR="00AD42D0" w:rsidRPr="00AF325F">
          <w:rPr>
            <w:rStyle w:val="Hyperlink"/>
            <w:noProof/>
          </w:rPr>
          <w:t>4.4.</w:t>
        </w:r>
        <w:r w:rsidR="00AD42D0">
          <w:rPr>
            <w:rFonts w:eastAsiaTheme="minorEastAsia" w:cstheme="minorBidi"/>
            <w:b w:val="0"/>
            <w:bCs w:val="0"/>
            <w:noProof/>
            <w:sz w:val="22"/>
            <w:szCs w:val="22"/>
            <w:lang w:eastAsia="lv-LV"/>
          </w:rPr>
          <w:tab/>
        </w:r>
        <w:r w:rsidR="00AD42D0" w:rsidRPr="00AF325F">
          <w:rPr>
            <w:rStyle w:val="Hyperlink"/>
            <w:noProof/>
          </w:rPr>
          <w:t>Atbalsts ar nodokļu atvieglojumiem</w:t>
        </w:r>
        <w:r w:rsidR="00AD42D0">
          <w:rPr>
            <w:noProof/>
            <w:webHidden/>
          </w:rPr>
          <w:tab/>
        </w:r>
        <w:r w:rsidR="00AD42D0">
          <w:rPr>
            <w:noProof/>
            <w:webHidden/>
          </w:rPr>
          <w:fldChar w:fldCharType="begin"/>
        </w:r>
        <w:r w:rsidR="00AD42D0">
          <w:rPr>
            <w:noProof/>
            <w:webHidden/>
          </w:rPr>
          <w:instrText xml:space="preserve"> PAGEREF _Toc491870921 \h </w:instrText>
        </w:r>
        <w:r w:rsidR="00AD42D0">
          <w:rPr>
            <w:noProof/>
            <w:webHidden/>
          </w:rPr>
        </w:r>
        <w:r w:rsidR="00AD42D0">
          <w:rPr>
            <w:noProof/>
            <w:webHidden/>
          </w:rPr>
          <w:fldChar w:fldCharType="separate"/>
        </w:r>
        <w:r w:rsidR="00AD42D0">
          <w:rPr>
            <w:noProof/>
            <w:webHidden/>
          </w:rPr>
          <w:t>34</w:t>
        </w:r>
        <w:r w:rsidR="00AD42D0">
          <w:rPr>
            <w:noProof/>
            <w:webHidden/>
          </w:rPr>
          <w:fldChar w:fldCharType="end"/>
        </w:r>
      </w:hyperlink>
    </w:p>
    <w:p w14:paraId="304CFECE" w14:textId="4BF678DD" w:rsidR="00AD42D0" w:rsidRDefault="00E427BD">
      <w:pPr>
        <w:pStyle w:val="TOC2"/>
        <w:tabs>
          <w:tab w:val="left" w:pos="660"/>
          <w:tab w:val="right" w:pos="8296"/>
        </w:tabs>
        <w:rPr>
          <w:rFonts w:eastAsiaTheme="minorEastAsia" w:cstheme="minorBidi"/>
          <w:b w:val="0"/>
          <w:bCs w:val="0"/>
          <w:noProof/>
          <w:sz w:val="22"/>
          <w:szCs w:val="22"/>
          <w:lang w:eastAsia="lv-LV"/>
        </w:rPr>
      </w:pPr>
      <w:hyperlink w:anchor="_Toc491870922" w:history="1">
        <w:r w:rsidR="00AD42D0" w:rsidRPr="00AF325F">
          <w:rPr>
            <w:rStyle w:val="Hyperlink"/>
            <w:noProof/>
          </w:rPr>
          <w:t>4.5.</w:t>
        </w:r>
        <w:r w:rsidR="00AD42D0">
          <w:rPr>
            <w:rFonts w:eastAsiaTheme="minorEastAsia" w:cstheme="minorBidi"/>
            <w:b w:val="0"/>
            <w:bCs w:val="0"/>
            <w:noProof/>
            <w:sz w:val="22"/>
            <w:szCs w:val="22"/>
            <w:lang w:eastAsia="lv-LV"/>
          </w:rPr>
          <w:tab/>
        </w:r>
        <w:r w:rsidR="00AD42D0" w:rsidRPr="00AF325F">
          <w:rPr>
            <w:rStyle w:val="Hyperlink"/>
            <w:noProof/>
          </w:rPr>
          <w:t>Informācijas kampaņas</w:t>
        </w:r>
        <w:r w:rsidR="00AD42D0">
          <w:rPr>
            <w:noProof/>
            <w:webHidden/>
          </w:rPr>
          <w:tab/>
        </w:r>
        <w:r w:rsidR="00AD42D0">
          <w:rPr>
            <w:noProof/>
            <w:webHidden/>
          </w:rPr>
          <w:fldChar w:fldCharType="begin"/>
        </w:r>
        <w:r w:rsidR="00AD42D0">
          <w:rPr>
            <w:noProof/>
            <w:webHidden/>
          </w:rPr>
          <w:instrText xml:space="preserve"> PAGEREF _Toc491870922 \h </w:instrText>
        </w:r>
        <w:r w:rsidR="00AD42D0">
          <w:rPr>
            <w:noProof/>
            <w:webHidden/>
          </w:rPr>
        </w:r>
        <w:r w:rsidR="00AD42D0">
          <w:rPr>
            <w:noProof/>
            <w:webHidden/>
          </w:rPr>
          <w:fldChar w:fldCharType="separate"/>
        </w:r>
        <w:r w:rsidR="00AD42D0">
          <w:rPr>
            <w:noProof/>
            <w:webHidden/>
          </w:rPr>
          <w:t>35</w:t>
        </w:r>
        <w:r w:rsidR="00AD42D0">
          <w:rPr>
            <w:noProof/>
            <w:webHidden/>
          </w:rPr>
          <w:fldChar w:fldCharType="end"/>
        </w:r>
      </w:hyperlink>
    </w:p>
    <w:p w14:paraId="14D7FFE0" w14:textId="3E4FDD56" w:rsidR="00AD42D0" w:rsidRDefault="00E427BD">
      <w:pPr>
        <w:pStyle w:val="TOC3"/>
        <w:tabs>
          <w:tab w:val="left" w:pos="1100"/>
          <w:tab w:val="right" w:pos="8296"/>
        </w:tabs>
        <w:rPr>
          <w:rFonts w:eastAsiaTheme="minorEastAsia" w:cstheme="minorBidi"/>
          <w:noProof/>
          <w:sz w:val="22"/>
          <w:szCs w:val="22"/>
          <w:lang w:eastAsia="lv-LV"/>
        </w:rPr>
      </w:pPr>
      <w:hyperlink w:anchor="_Toc491870923" w:history="1">
        <w:r w:rsidR="00AD42D0" w:rsidRPr="00AF325F">
          <w:rPr>
            <w:rStyle w:val="Hyperlink"/>
            <w:noProof/>
            <w14:scene3d>
              <w14:camera w14:prst="orthographicFront"/>
              <w14:lightRig w14:rig="threePt" w14:dir="t">
                <w14:rot w14:lat="0" w14:lon="0" w14:rev="0"/>
              </w14:lightRig>
            </w14:scene3d>
          </w:rPr>
          <w:t>4.5.1.</w:t>
        </w:r>
        <w:r w:rsidR="00AD42D0">
          <w:rPr>
            <w:rFonts w:eastAsiaTheme="minorEastAsia" w:cstheme="minorBidi"/>
            <w:noProof/>
            <w:sz w:val="22"/>
            <w:szCs w:val="22"/>
            <w:lang w:eastAsia="lv-LV"/>
          </w:rPr>
          <w:tab/>
        </w:r>
        <w:r w:rsidR="00AD42D0" w:rsidRPr="00AF325F">
          <w:rPr>
            <w:rStyle w:val="Hyperlink"/>
            <w:noProof/>
          </w:rPr>
          <w:t>Informatīvā kampaņa „Dzīvo siltāk!”</w:t>
        </w:r>
        <w:r w:rsidR="00AD42D0">
          <w:rPr>
            <w:noProof/>
            <w:webHidden/>
          </w:rPr>
          <w:tab/>
        </w:r>
        <w:r w:rsidR="00AD42D0">
          <w:rPr>
            <w:noProof/>
            <w:webHidden/>
          </w:rPr>
          <w:fldChar w:fldCharType="begin"/>
        </w:r>
        <w:r w:rsidR="00AD42D0">
          <w:rPr>
            <w:noProof/>
            <w:webHidden/>
          </w:rPr>
          <w:instrText xml:space="preserve"> PAGEREF _Toc491870923 \h </w:instrText>
        </w:r>
        <w:r w:rsidR="00AD42D0">
          <w:rPr>
            <w:noProof/>
            <w:webHidden/>
          </w:rPr>
        </w:r>
        <w:r w:rsidR="00AD42D0">
          <w:rPr>
            <w:noProof/>
            <w:webHidden/>
          </w:rPr>
          <w:fldChar w:fldCharType="separate"/>
        </w:r>
        <w:r w:rsidR="00AD42D0">
          <w:rPr>
            <w:noProof/>
            <w:webHidden/>
          </w:rPr>
          <w:t>35</w:t>
        </w:r>
        <w:r w:rsidR="00AD42D0">
          <w:rPr>
            <w:noProof/>
            <w:webHidden/>
          </w:rPr>
          <w:fldChar w:fldCharType="end"/>
        </w:r>
      </w:hyperlink>
    </w:p>
    <w:p w14:paraId="3D800273" w14:textId="7CCBD502" w:rsidR="00AD42D0" w:rsidRDefault="00E427BD">
      <w:pPr>
        <w:pStyle w:val="TOC3"/>
        <w:tabs>
          <w:tab w:val="left" w:pos="1100"/>
          <w:tab w:val="right" w:pos="8296"/>
        </w:tabs>
        <w:rPr>
          <w:rFonts w:eastAsiaTheme="minorEastAsia" w:cstheme="minorBidi"/>
          <w:noProof/>
          <w:sz w:val="22"/>
          <w:szCs w:val="22"/>
          <w:lang w:eastAsia="lv-LV"/>
        </w:rPr>
      </w:pPr>
      <w:hyperlink w:anchor="_Toc491870924" w:history="1">
        <w:r w:rsidR="00AD42D0" w:rsidRPr="00AF325F">
          <w:rPr>
            <w:rStyle w:val="Hyperlink"/>
            <w:noProof/>
            <w14:scene3d>
              <w14:camera w14:prst="orthographicFront"/>
              <w14:lightRig w14:rig="threePt" w14:dir="t">
                <w14:rot w14:lat="0" w14:lon="0" w14:rev="0"/>
              </w14:lightRig>
            </w14:scene3d>
          </w:rPr>
          <w:t>4.5.2.</w:t>
        </w:r>
        <w:r w:rsidR="00AD42D0">
          <w:rPr>
            <w:rFonts w:eastAsiaTheme="minorEastAsia" w:cstheme="minorBidi"/>
            <w:noProof/>
            <w:sz w:val="22"/>
            <w:szCs w:val="22"/>
            <w:lang w:eastAsia="lv-LV"/>
          </w:rPr>
          <w:tab/>
        </w:r>
        <w:r w:rsidR="00AD42D0" w:rsidRPr="00AF325F">
          <w:rPr>
            <w:rStyle w:val="Hyperlink"/>
            <w:noProof/>
          </w:rPr>
          <w:t>AS „Latvenergo” Energoefektivitātes centrs</w:t>
        </w:r>
        <w:r w:rsidR="00AD42D0">
          <w:rPr>
            <w:noProof/>
            <w:webHidden/>
          </w:rPr>
          <w:tab/>
        </w:r>
        <w:r w:rsidR="00AD42D0">
          <w:rPr>
            <w:noProof/>
            <w:webHidden/>
          </w:rPr>
          <w:fldChar w:fldCharType="begin"/>
        </w:r>
        <w:r w:rsidR="00AD42D0">
          <w:rPr>
            <w:noProof/>
            <w:webHidden/>
          </w:rPr>
          <w:instrText xml:space="preserve"> PAGEREF _Toc491870924 \h </w:instrText>
        </w:r>
        <w:r w:rsidR="00AD42D0">
          <w:rPr>
            <w:noProof/>
            <w:webHidden/>
          </w:rPr>
        </w:r>
        <w:r w:rsidR="00AD42D0">
          <w:rPr>
            <w:noProof/>
            <w:webHidden/>
          </w:rPr>
          <w:fldChar w:fldCharType="separate"/>
        </w:r>
        <w:r w:rsidR="00AD42D0">
          <w:rPr>
            <w:noProof/>
            <w:webHidden/>
          </w:rPr>
          <w:t>36</w:t>
        </w:r>
        <w:r w:rsidR="00AD42D0">
          <w:rPr>
            <w:noProof/>
            <w:webHidden/>
          </w:rPr>
          <w:fldChar w:fldCharType="end"/>
        </w:r>
      </w:hyperlink>
    </w:p>
    <w:p w14:paraId="72EAD9F4" w14:textId="1609DBA7" w:rsidR="00AD42D0" w:rsidRDefault="00E427BD">
      <w:pPr>
        <w:pStyle w:val="TOC3"/>
        <w:tabs>
          <w:tab w:val="left" w:pos="1100"/>
          <w:tab w:val="right" w:pos="8296"/>
        </w:tabs>
        <w:rPr>
          <w:rFonts w:eastAsiaTheme="minorEastAsia" w:cstheme="minorBidi"/>
          <w:noProof/>
          <w:sz w:val="22"/>
          <w:szCs w:val="22"/>
          <w:lang w:eastAsia="lv-LV"/>
        </w:rPr>
      </w:pPr>
      <w:hyperlink w:anchor="_Toc491870925" w:history="1">
        <w:r w:rsidR="00AD42D0" w:rsidRPr="00AF325F">
          <w:rPr>
            <w:rStyle w:val="Hyperlink"/>
            <w:noProof/>
            <w14:scene3d>
              <w14:camera w14:prst="orthographicFront"/>
              <w14:lightRig w14:rig="threePt" w14:dir="t">
                <w14:rot w14:lat="0" w14:lon="0" w14:rev="0"/>
              </w14:lightRig>
            </w14:scene3d>
          </w:rPr>
          <w:t>4.5.3.</w:t>
        </w:r>
        <w:r w:rsidR="00AD42D0">
          <w:rPr>
            <w:rFonts w:eastAsiaTheme="minorEastAsia" w:cstheme="minorBidi"/>
            <w:noProof/>
            <w:sz w:val="22"/>
            <w:szCs w:val="22"/>
            <w:lang w:eastAsia="lv-LV"/>
          </w:rPr>
          <w:tab/>
        </w:r>
        <w:r w:rsidR="00AD42D0" w:rsidRPr="00AF325F">
          <w:rPr>
            <w:rStyle w:val="Hyperlink"/>
            <w:noProof/>
          </w:rPr>
          <w:t>Klimata pārmaiņu finanšu instrumenta konkurss „Sabiedrības izpratnes attīstīšana par siltumnīcefekta gāzu emisiju samazināšanas nozīmi un iespējām” (I un II kārta)</w:t>
        </w:r>
        <w:r w:rsidR="00AD42D0">
          <w:rPr>
            <w:noProof/>
            <w:webHidden/>
          </w:rPr>
          <w:tab/>
        </w:r>
        <w:r w:rsidR="00AD42D0">
          <w:rPr>
            <w:noProof/>
            <w:webHidden/>
          </w:rPr>
          <w:fldChar w:fldCharType="begin"/>
        </w:r>
        <w:r w:rsidR="00AD42D0">
          <w:rPr>
            <w:noProof/>
            <w:webHidden/>
          </w:rPr>
          <w:instrText xml:space="preserve"> PAGEREF _Toc491870925 \h </w:instrText>
        </w:r>
        <w:r w:rsidR="00AD42D0">
          <w:rPr>
            <w:noProof/>
            <w:webHidden/>
          </w:rPr>
        </w:r>
        <w:r w:rsidR="00AD42D0">
          <w:rPr>
            <w:noProof/>
            <w:webHidden/>
          </w:rPr>
          <w:fldChar w:fldCharType="separate"/>
        </w:r>
        <w:r w:rsidR="00AD42D0">
          <w:rPr>
            <w:noProof/>
            <w:webHidden/>
          </w:rPr>
          <w:t>36</w:t>
        </w:r>
        <w:r w:rsidR="00AD42D0">
          <w:rPr>
            <w:noProof/>
            <w:webHidden/>
          </w:rPr>
          <w:fldChar w:fldCharType="end"/>
        </w:r>
      </w:hyperlink>
    </w:p>
    <w:p w14:paraId="36B86039" w14:textId="5DB13769" w:rsidR="00AD42D0" w:rsidRDefault="00E427BD">
      <w:pPr>
        <w:pStyle w:val="TOC3"/>
        <w:tabs>
          <w:tab w:val="left" w:pos="1100"/>
          <w:tab w:val="right" w:pos="8296"/>
        </w:tabs>
        <w:rPr>
          <w:rFonts w:eastAsiaTheme="minorEastAsia" w:cstheme="minorBidi"/>
          <w:noProof/>
          <w:sz w:val="22"/>
          <w:szCs w:val="22"/>
          <w:lang w:eastAsia="lv-LV"/>
        </w:rPr>
      </w:pPr>
      <w:hyperlink w:anchor="_Toc491870926" w:history="1">
        <w:r w:rsidR="00AD42D0" w:rsidRPr="00AF325F">
          <w:rPr>
            <w:rStyle w:val="Hyperlink"/>
            <w:noProof/>
            <w14:scene3d>
              <w14:camera w14:prst="orthographicFront"/>
              <w14:lightRig w14:rig="threePt" w14:dir="t">
                <w14:rot w14:lat="0" w14:lon="0" w14:rev="0"/>
              </w14:lightRig>
            </w14:scene3d>
          </w:rPr>
          <w:t>4.5.4.</w:t>
        </w:r>
        <w:r w:rsidR="00AD42D0">
          <w:rPr>
            <w:rFonts w:eastAsiaTheme="minorEastAsia" w:cstheme="minorBidi"/>
            <w:noProof/>
            <w:sz w:val="22"/>
            <w:szCs w:val="22"/>
            <w:lang w:eastAsia="lv-LV"/>
          </w:rPr>
          <w:tab/>
        </w:r>
        <w:r w:rsidR="00AD42D0" w:rsidRPr="00AF325F">
          <w:rPr>
            <w:rStyle w:val="Hyperlink"/>
            <w:noProof/>
          </w:rPr>
          <w:t>Sabiedrības iesaiste ēku ilgtermiņa atjaunošanas izstrādē</w:t>
        </w:r>
        <w:r w:rsidR="00AD42D0">
          <w:rPr>
            <w:noProof/>
            <w:webHidden/>
          </w:rPr>
          <w:tab/>
        </w:r>
        <w:r w:rsidR="00AD42D0">
          <w:rPr>
            <w:noProof/>
            <w:webHidden/>
          </w:rPr>
          <w:fldChar w:fldCharType="begin"/>
        </w:r>
        <w:r w:rsidR="00AD42D0">
          <w:rPr>
            <w:noProof/>
            <w:webHidden/>
          </w:rPr>
          <w:instrText xml:space="preserve"> PAGEREF _Toc491870926 \h </w:instrText>
        </w:r>
        <w:r w:rsidR="00AD42D0">
          <w:rPr>
            <w:noProof/>
            <w:webHidden/>
          </w:rPr>
        </w:r>
        <w:r w:rsidR="00AD42D0">
          <w:rPr>
            <w:noProof/>
            <w:webHidden/>
          </w:rPr>
          <w:fldChar w:fldCharType="separate"/>
        </w:r>
        <w:r w:rsidR="00AD42D0">
          <w:rPr>
            <w:noProof/>
            <w:webHidden/>
          </w:rPr>
          <w:t>37</w:t>
        </w:r>
        <w:r w:rsidR="00AD42D0">
          <w:rPr>
            <w:noProof/>
            <w:webHidden/>
          </w:rPr>
          <w:fldChar w:fldCharType="end"/>
        </w:r>
      </w:hyperlink>
    </w:p>
    <w:p w14:paraId="5A504AD7" w14:textId="0AA69B79" w:rsidR="00AD42D0" w:rsidRDefault="00E427BD">
      <w:pPr>
        <w:pStyle w:val="TOC2"/>
        <w:tabs>
          <w:tab w:val="left" w:pos="660"/>
          <w:tab w:val="right" w:pos="8296"/>
        </w:tabs>
        <w:rPr>
          <w:rFonts w:eastAsiaTheme="minorEastAsia" w:cstheme="minorBidi"/>
          <w:b w:val="0"/>
          <w:bCs w:val="0"/>
          <w:noProof/>
          <w:sz w:val="22"/>
          <w:szCs w:val="22"/>
          <w:lang w:eastAsia="lv-LV"/>
        </w:rPr>
      </w:pPr>
      <w:hyperlink w:anchor="_Toc491870927" w:history="1">
        <w:r w:rsidR="00AD42D0" w:rsidRPr="00AF325F">
          <w:rPr>
            <w:rStyle w:val="Hyperlink"/>
            <w:noProof/>
          </w:rPr>
          <w:t>4.6.</w:t>
        </w:r>
        <w:r w:rsidR="00AD42D0">
          <w:rPr>
            <w:rFonts w:eastAsiaTheme="minorEastAsia" w:cstheme="minorBidi"/>
            <w:b w:val="0"/>
            <w:bCs w:val="0"/>
            <w:noProof/>
            <w:sz w:val="22"/>
            <w:szCs w:val="22"/>
            <w:lang w:eastAsia="lv-LV"/>
          </w:rPr>
          <w:tab/>
        </w:r>
        <w:r w:rsidR="00AD42D0" w:rsidRPr="00AF325F">
          <w:rPr>
            <w:rStyle w:val="Hyperlink"/>
            <w:noProof/>
          </w:rPr>
          <w:t>Marķēšana</w:t>
        </w:r>
        <w:r w:rsidR="00AD42D0">
          <w:rPr>
            <w:noProof/>
            <w:webHidden/>
          </w:rPr>
          <w:tab/>
        </w:r>
        <w:r w:rsidR="00AD42D0">
          <w:rPr>
            <w:noProof/>
            <w:webHidden/>
          </w:rPr>
          <w:fldChar w:fldCharType="begin"/>
        </w:r>
        <w:r w:rsidR="00AD42D0">
          <w:rPr>
            <w:noProof/>
            <w:webHidden/>
          </w:rPr>
          <w:instrText xml:space="preserve"> PAGEREF _Toc491870927 \h </w:instrText>
        </w:r>
        <w:r w:rsidR="00AD42D0">
          <w:rPr>
            <w:noProof/>
            <w:webHidden/>
          </w:rPr>
        </w:r>
        <w:r w:rsidR="00AD42D0">
          <w:rPr>
            <w:noProof/>
            <w:webHidden/>
          </w:rPr>
          <w:fldChar w:fldCharType="separate"/>
        </w:r>
        <w:r w:rsidR="00AD42D0">
          <w:rPr>
            <w:noProof/>
            <w:webHidden/>
          </w:rPr>
          <w:t>38</w:t>
        </w:r>
        <w:r w:rsidR="00AD42D0">
          <w:rPr>
            <w:noProof/>
            <w:webHidden/>
          </w:rPr>
          <w:fldChar w:fldCharType="end"/>
        </w:r>
      </w:hyperlink>
    </w:p>
    <w:p w14:paraId="5553F5AB" w14:textId="5BDC9E23" w:rsidR="00AD42D0" w:rsidRDefault="00E427BD">
      <w:pPr>
        <w:pStyle w:val="TOC1"/>
        <w:rPr>
          <w:rFonts w:asciiTheme="minorHAnsi" w:eastAsiaTheme="minorEastAsia" w:hAnsiTheme="minorHAnsi"/>
          <w:b w:val="0"/>
          <w:bCs w:val="0"/>
          <w:caps w:val="0"/>
          <w:noProof/>
          <w:sz w:val="22"/>
          <w:szCs w:val="22"/>
          <w:lang w:eastAsia="lv-LV"/>
        </w:rPr>
      </w:pPr>
      <w:hyperlink w:anchor="_Toc491870928" w:history="1">
        <w:r w:rsidR="00AD42D0" w:rsidRPr="00AF325F">
          <w:rPr>
            <w:rStyle w:val="Hyperlink"/>
            <w:noProof/>
          </w:rPr>
          <w:t>5.</w:t>
        </w:r>
        <w:r w:rsidR="00AD42D0">
          <w:rPr>
            <w:rFonts w:asciiTheme="minorHAnsi" w:eastAsiaTheme="minorEastAsia" w:hAnsiTheme="minorHAnsi"/>
            <w:b w:val="0"/>
            <w:bCs w:val="0"/>
            <w:caps w:val="0"/>
            <w:noProof/>
            <w:sz w:val="22"/>
            <w:szCs w:val="22"/>
            <w:lang w:eastAsia="lv-LV"/>
          </w:rPr>
          <w:tab/>
        </w:r>
        <w:r w:rsidR="00AD42D0" w:rsidRPr="00AF325F">
          <w:rPr>
            <w:rStyle w:val="Hyperlink"/>
            <w:noProof/>
          </w:rPr>
          <w:t>Ilgtermiņa perspektīvas ēku atjaunošanā, kas veicinātu pieņemt lēmumu par ieguldījumiem</w:t>
        </w:r>
        <w:r w:rsidR="00AD42D0">
          <w:rPr>
            <w:noProof/>
            <w:webHidden/>
          </w:rPr>
          <w:tab/>
        </w:r>
        <w:r w:rsidR="00AD42D0">
          <w:rPr>
            <w:noProof/>
            <w:webHidden/>
          </w:rPr>
          <w:fldChar w:fldCharType="begin"/>
        </w:r>
        <w:r w:rsidR="00AD42D0">
          <w:rPr>
            <w:noProof/>
            <w:webHidden/>
          </w:rPr>
          <w:instrText xml:space="preserve"> PAGEREF _Toc491870928 \h </w:instrText>
        </w:r>
        <w:r w:rsidR="00AD42D0">
          <w:rPr>
            <w:noProof/>
            <w:webHidden/>
          </w:rPr>
        </w:r>
        <w:r w:rsidR="00AD42D0">
          <w:rPr>
            <w:noProof/>
            <w:webHidden/>
          </w:rPr>
          <w:fldChar w:fldCharType="separate"/>
        </w:r>
        <w:r w:rsidR="00AD42D0">
          <w:rPr>
            <w:noProof/>
            <w:webHidden/>
          </w:rPr>
          <w:t>40</w:t>
        </w:r>
        <w:r w:rsidR="00AD42D0">
          <w:rPr>
            <w:noProof/>
            <w:webHidden/>
          </w:rPr>
          <w:fldChar w:fldCharType="end"/>
        </w:r>
      </w:hyperlink>
    </w:p>
    <w:p w14:paraId="1104799D" w14:textId="612BC31F" w:rsidR="00AD42D0" w:rsidRDefault="00E427BD">
      <w:pPr>
        <w:pStyle w:val="TOC2"/>
        <w:tabs>
          <w:tab w:val="left" w:pos="660"/>
          <w:tab w:val="right" w:pos="8296"/>
        </w:tabs>
        <w:rPr>
          <w:rFonts w:eastAsiaTheme="minorEastAsia" w:cstheme="minorBidi"/>
          <w:b w:val="0"/>
          <w:bCs w:val="0"/>
          <w:noProof/>
          <w:sz w:val="22"/>
          <w:szCs w:val="22"/>
          <w:lang w:eastAsia="lv-LV"/>
        </w:rPr>
      </w:pPr>
      <w:hyperlink w:anchor="_Toc491870929" w:history="1">
        <w:r w:rsidR="00AD42D0" w:rsidRPr="00AF325F">
          <w:rPr>
            <w:rStyle w:val="Hyperlink"/>
            <w:noProof/>
          </w:rPr>
          <w:t>5.1.</w:t>
        </w:r>
        <w:r w:rsidR="00AD42D0">
          <w:rPr>
            <w:rFonts w:eastAsiaTheme="minorEastAsia" w:cstheme="minorBidi"/>
            <w:b w:val="0"/>
            <w:bCs w:val="0"/>
            <w:noProof/>
            <w:sz w:val="22"/>
            <w:szCs w:val="22"/>
            <w:lang w:eastAsia="lv-LV"/>
          </w:rPr>
          <w:tab/>
        </w:r>
        <w:r w:rsidR="00AD42D0" w:rsidRPr="00AF325F">
          <w:rPr>
            <w:rStyle w:val="Hyperlink"/>
            <w:noProof/>
          </w:rPr>
          <w:t>Iespējamie avoti ēku atjaunošanai</w:t>
        </w:r>
        <w:r w:rsidR="00AD42D0">
          <w:rPr>
            <w:noProof/>
            <w:webHidden/>
          </w:rPr>
          <w:tab/>
        </w:r>
        <w:r w:rsidR="00AD42D0">
          <w:rPr>
            <w:noProof/>
            <w:webHidden/>
          </w:rPr>
          <w:fldChar w:fldCharType="begin"/>
        </w:r>
        <w:r w:rsidR="00AD42D0">
          <w:rPr>
            <w:noProof/>
            <w:webHidden/>
          </w:rPr>
          <w:instrText xml:space="preserve"> PAGEREF _Toc491870929 \h </w:instrText>
        </w:r>
        <w:r w:rsidR="00AD42D0">
          <w:rPr>
            <w:noProof/>
            <w:webHidden/>
          </w:rPr>
        </w:r>
        <w:r w:rsidR="00AD42D0">
          <w:rPr>
            <w:noProof/>
            <w:webHidden/>
          </w:rPr>
          <w:fldChar w:fldCharType="separate"/>
        </w:r>
        <w:r w:rsidR="00AD42D0">
          <w:rPr>
            <w:noProof/>
            <w:webHidden/>
          </w:rPr>
          <w:t>40</w:t>
        </w:r>
        <w:r w:rsidR="00AD42D0">
          <w:rPr>
            <w:noProof/>
            <w:webHidden/>
          </w:rPr>
          <w:fldChar w:fldCharType="end"/>
        </w:r>
      </w:hyperlink>
    </w:p>
    <w:p w14:paraId="73BA435D" w14:textId="48C813FD" w:rsidR="00AD42D0" w:rsidRDefault="00E427BD">
      <w:pPr>
        <w:pStyle w:val="TOC3"/>
        <w:tabs>
          <w:tab w:val="left" w:pos="1100"/>
          <w:tab w:val="right" w:pos="8296"/>
        </w:tabs>
        <w:rPr>
          <w:rFonts w:eastAsiaTheme="minorEastAsia" w:cstheme="minorBidi"/>
          <w:noProof/>
          <w:sz w:val="22"/>
          <w:szCs w:val="22"/>
          <w:lang w:eastAsia="lv-LV"/>
        </w:rPr>
      </w:pPr>
      <w:hyperlink w:anchor="_Toc491870930" w:history="1">
        <w:r w:rsidR="00AD42D0" w:rsidRPr="00AF325F">
          <w:rPr>
            <w:rStyle w:val="Hyperlink"/>
            <w:noProof/>
            <w14:scene3d>
              <w14:camera w14:prst="orthographicFront"/>
              <w14:lightRig w14:rig="threePt" w14:dir="t">
                <w14:rot w14:lat="0" w14:lon="0" w14:rev="0"/>
              </w14:lightRig>
            </w14:scene3d>
          </w:rPr>
          <w:t>5.1.1.</w:t>
        </w:r>
        <w:r w:rsidR="00AD42D0">
          <w:rPr>
            <w:rFonts w:eastAsiaTheme="minorEastAsia" w:cstheme="minorBidi"/>
            <w:noProof/>
            <w:sz w:val="22"/>
            <w:szCs w:val="22"/>
            <w:lang w:eastAsia="lv-LV"/>
          </w:rPr>
          <w:tab/>
        </w:r>
        <w:r w:rsidR="00AD42D0" w:rsidRPr="00AF325F">
          <w:rPr>
            <w:rStyle w:val="Hyperlink"/>
            <w:noProof/>
          </w:rPr>
          <w:t>Īpašnieku privātais kapitāls</w:t>
        </w:r>
        <w:r w:rsidR="00AD42D0">
          <w:rPr>
            <w:noProof/>
            <w:webHidden/>
          </w:rPr>
          <w:tab/>
        </w:r>
        <w:r w:rsidR="00AD42D0">
          <w:rPr>
            <w:noProof/>
            <w:webHidden/>
          </w:rPr>
          <w:fldChar w:fldCharType="begin"/>
        </w:r>
        <w:r w:rsidR="00AD42D0">
          <w:rPr>
            <w:noProof/>
            <w:webHidden/>
          </w:rPr>
          <w:instrText xml:space="preserve"> PAGEREF _Toc491870930 \h </w:instrText>
        </w:r>
        <w:r w:rsidR="00AD42D0">
          <w:rPr>
            <w:noProof/>
            <w:webHidden/>
          </w:rPr>
        </w:r>
        <w:r w:rsidR="00AD42D0">
          <w:rPr>
            <w:noProof/>
            <w:webHidden/>
          </w:rPr>
          <w:fldChar w:fldCharType="separate"/>
        </w:r>
        <w:r w:rsidR="00AD42D0">
          <w:rPr>
            <w:noProof/>
            <w:webHidden/>
          </w:rPr>
          <w:t>40</w:t>
        </w:r>
        <w:r w:rsidR="00AD42D0">
          <w:rPr>
            <w:noProof/>
            <w:webHidden/>
          </w:rPr>
          <w:fldChar w:fldCharType="end"/>
        </w:r>
      </w:hyperlink>
    </w:p>
    <w:p w14:paraId="4BB743FD" w14:textId="28E0E552" w:rsidR="00AD42D0" w:rsidRDefault="00E427BD">
      <w:pPr>
        <w:pStyle w:val="TOC3"/>
        <w:tabs>
          <w:tab w:val="left" w:pos="1100"/>
          <w:tab w:val="right" w:pos="8296"/>
        </w:tabs>
        <w:rPr>
          <w:rFonts w:eastAsiaTheme="minorEastAsia" w:cstheme="minorBidi"/>
          <w:noProof/>
          <w:sz w:val="22"/>
          <w:szCs w:val="22"/>
          <w:lang w:eastAsia="lv-LV"/>
        </w:rPr>
      </w:pPr>
      <w:hyperlink w:anchor="_Toc491870931" w:history="1">
        <w:r w:rsidR="00AD42D0" w:rsidRPr="00AF325F">
          <w:rPr>
            <w:rStyle w:val="Hyperlink"/>
            <w:noProof/>
            <w14:scene3d>
              <w14:camera w14:prst="orthographicFront"/>
              <w14:lightRig w14:rig="threePt" w14:dir="t">
                <w14:rot w14:lat="0" w14:lon="0" w14:rev="0"/>
              </w14:lightRig>
            </w14:scene3d>
          </w:rPr>
          <w:t>5.1.2.</w:t>
        </w:r>
        <w:r w:rsidR="00AD42D0">
          <w:rPr>
            <w:rFonts w:eastAsiaTheme="minorEastAsia" w:cstheme="minorBidi"/>
            <w:noProof/>
            <w:sz w:val="22"/>
            <w:szCs w:val="22"/>
            <w:lang w:eastAsia="lv-LV"/>
          </w:rPr>
          <w:tab/>
        </w:r>
        <w:r w:rsidR="00AD42D0" w:rsidRPr="00AF325F">
          <w:rPr>
            <w:rStyle w:val="Hyperlink"/>
            <w:noProof/>
          </w:rPr>
          <w:t>Valsts līdzekļi (ieskaitot Eiropas Savienības struktūrfondus un inovāciju fondus)</w:t>
        </w:r>
        <w:r w:rsidR="00AD42D0">
          <w:rPr>
            <w:noProof/>
            <w:webHidden/>
          </w:rPr>
          <w:tab/>
        </w:r>
        <w:r w:rsidR="00AD42D0">
          <w:rPr>
            <w:noProof/>
            <w:webHidden/>
          </w:rPr>
          <w:fldChar w:fldCharType="begin"/>
        </w:r>
        <w:r w:rsidR="00AD42D0">
          <w:rPr>
            <w:noProof/>
            <w:webHidden/>
          </w:rPr>
          <w:instrText xml:space="preserve"> PAGEREF _Toc491870931 \h </w:instrText>
        </w:r>
        <w:r w:rsidR="00AD42D0">
          <w:rPr>
            <w:noProof/>
            <w:webHidden/>
          </w:rPr>
        </w:r>
        <w:r w:rsidR="00AD42D0">
          <w:rPr>
            <w:noProof/>
            <w:webHidden/>
          </w:rPr>
          <w:fldChar w:fldCharType="separate"/>
        </w:r>
        <w:r w:rsidR="00AD42D0">
          <w:rPr>
            <w:noProof/>
            <w:webHidden/>
          </w:rPr>
          <w:t>40</w:t>
        </w:r>
        <w:r w:rsidR="00AD42D0">
          <w:rPr>
            <w:noProof/>
            <w:webHidden/>
          </w:rPr>
          <w:fldChar w:fldCharType="end"/>
        </w:r>
      </w:hyperlink>
    </w:p>
    <w:p w14:paraId="50B82ED4" w14:textId="3A0A5983" w:rsidR="00AD42D0" w:rsidRDefault="00E427BD">
      <w:pPr>
        <w:pStyle w:val="TOC3"/>
        <w:tabs>
          <w:tab w:val="left" w:pos="1100"/>
          <w:tab w:val="right" w:pos="8296"/>
        </w:tabs>
        <w:rPr>
          <w:rFonts w:eastAsiaTheme="minorEastAsia" w:cstheme="minorBidi"/>
          <w:noProof/>
          <w:sz w:val="22"/>
          <w:szCs w:val="22"/>
          <w:lang w:eastAsia="lv-LV"/>
        </w:rPr>
      </w:pPr>
      <w:hyperlink w:anchor="_Toc491870932" w:history="1">
        <w:r w:rsidR="00AD42D0" w:rsidRPr="00AF325F">
          <w:rPr>
            <w:rStyle w:val="Hyperlink"/>
            <w:noProof/>
            <w14:scene3d>
              <w14:camera w14:prst="orthographicFront"/>
              <w14:lightRig w14:rig="threePt" w14:dir="t">
                <w14:rot w14:lat="0" w14:lon="0" w14:rev="0"/>
              </w14:lightRig>
            </w14:scene3d>
          </w:rPr>
          <w:t>5.1.3.</w:t>
        </w:r>
        <w:r w:rsidR="00AD42D0">
          <w:rPr>
            <w:rFonts w:eastAsiaTheme="minorEastAsia" w:cstheme="minorBidi"/>
            <w:noProof/>
            <w:sz w:val="22"/>
            <w:szCs w:val="22"/>
            <w:lang w:eastAsia="lv-LV"/>
          </w:rPr>
          <w:tab/>
        </w:r>
        <w:r w:rsidR="00AD42D0" w:rsidRPr="00AF325F">
          <w:rPr>
            <w:rStyle w:val="Hyperlink"/>
            <w:noProof/>
          </w:rPr>
          <w:t>Bankas un citi privātpersonu ieguldījuma fondi</w:t>
        </w:r>
        <w:r w:rsidR="00AD42D0">
          <w:rPr>
            <w:noProof/>
            <w:webHidden/>
          </w:rPr>
          <w:tab/>
        </w:r>
        <w:r w:rsidR="00AD42D0">
          <w:rPr>
            <w:noProof/>
            <w:webHidden/>
          </w:rPr>
          <w:fldChar w:fldCharType="begin"/>
        </w:r>
        <w:r w:rsidR="00AD42D0">
          <w:rPr>
            <w:noProof/>
            <w:webHidden/>
          </w:rPr>
          <w:instrText xml:space="preserve"> PAGEREF _Toc491870932 \h </w:instrText>
        </w:r>
        <w:r w:rsidR="00AD42D0">
          <w:rPr>
            <w:noProof/>
            <w:webHidden/>
          </w:rPr>
        </w:r>
        <w:r w:rsidR="00AD42D0">
          <w:rPr>
            <w:noProof/>
            <w:webHidden/>
          </w:rPr>
          <w:fldChar w:fldCharType="separate"/>
        </w:r>
        <w:r w:rsidR="00AD42D0">
          <w:rPr>
            <w:noProof/>
            <w:webHidden/>
          </w:rPr>
          <w:t>41</w:t>
        </w:r>
        <w:r w:rsidR="00AD42D0">
          <w:rPr>
            <w:noProof/>
            <w:webHidden/>
          </w:rPr>
          <w:fldChar w:fldCharType="end"/>
        </w:r>
      </w:hyperlink>
    </w:p>
    <w:p w14:paraId="44E966C3" w14:textId="0590F3D5" w:rsidR="00AD42D0" w:rsidRDefault="00E427BD">
      <w:pPr>
        <w:pStyle w:val="TOC4"/>
        <w:tabs>
          <w:tab w:val="left" w:pos="1320"/>
          <w:tab w:val="right" w:pos="8296"/>
        </w:tabs>
        <w:rPr>
          <w:rFonts w:eastAsiaTheme="minorEastAsia" w:cstheme="minorBidi"/>
          <w:noProof/>
          <w:sz w:val="22"/>
          <w:szCs w:val="22"/>
          <w:lang w:eastAsia="lv-LV"/>
        </w:rPr>
      </w:pPr>
      <w:hyperlink w:anchor="_Toc491870933" w:history="1">
        <w:r w:rsidR="00AD42D0" w:rsidRPr="00AF325F">
          <w:rPr>
            <w:rStyle w:val="Hyperlink"/>
            <w:noProof/>
          </w:rPr>
          <w:t>5.1.3.1.</w:t>
        </w:r>
        <w:r w:rsidR="00AD42D0">
          <w:rPr>
            <w:rFonts w:eastAsiaTheme="minorEastAsia" w:cstheme="minorBidi"/>
            <w:noProof/>
            <w:sz w:val="22"/>
            <w:szCs w:val="22"/>
            <w:lang w:eastAsia="lv-LV"/>
          </w:rPr>
          <w:tab/>
        </w:r>
        <w:r w:rsidR="00AD42D0" w:rsidRPr="00AF325F">
          <w:rPr>
            <w:rStyle w:val="Hyperlink"/>
            <w:noProof/>
          </w:rPr>
          <w:t>Latvijas kredītiestāžu finanšu produkti</w:t>
        </w:r>
        <w:r w:rsidR="00AD42D0">
          <w:rPr>
            <w:noProof/>
            <w:webHidden/>
          </w:rPr>
          <w:tab/>
        </w:r>
        <w:r w:rsidR="00AD42D0">
          <w:rPr>
            <w:noProof/>
            <w:webHidden/>
          </w:rPr>
          <w:fldChar w:fldCharType="begin"/>
        </w:r>
        <w:r w:rsidR="00AD42D0">
          <w:rPr>
            <w:noProof/>
            <w:webHidden/>
          </w:rPr>
          <w:instrText xml:space="preserve"> PAGEREF _Toc491870933 \h </w:instrText>
        </w:r>
        <w:r w:rsidR="00AD42D0">
          <w:rPr>
            <w:noProof/>
            <w:webHidden/>
          </w:rPr>
        </w:r>
        <w:r w:rsidR="00AD42D0">
          <w:rPr>
            <w:noProof/>
            <w:webHidden/>
          </w:rPr>
          <w:fldChar w:fldCharType="separate"/>
        </w:r>
        <w:r w:rsidR="00AD42D0">
          <w:rPr>
            <w:noProof/>
            <w:webHidden/>
          </w:rPr>
          <w:t>41</w:t>
        </w:r>
        <w:r w:rsidR="00AD42D0">
          <w:rPr>
            <w:noProof/>
            <w:webHidden/>
          </w:rPr>
          <w:fldChar w:fldCharType="end"/>
        </w:r>
      </w:hyperlink>
    </w:p>
    <w:p w14:paraId="49182852" w14:textId="3D60DFB5" w:rsidR="00AD42D0" w:rsidRDefault="00E427BD">
      <w:pPr>
        <w:pStyle w:val="TOC4"/>
        <w:tabs>
          <w:tab w:val="left" w:pos="1320"/>
          <w:tab w:val="right" w:pos="8296"/>
        </w:tabs>
        <w:rPr>
          <w:rFonts w:eastAsiaTheme="minorEastAsia" w:cstheme="minorBidi"/>
          <w:noProof/>
          <w:sz w:val="22"/>
          <w:szCs w:val="22"/>
          <w:lang w:eastAsia="lv-LV"/>
        </w:rPr>
      </w:pPr>
      <w:hyperlink w:anchor="_Toc491870934" w:history="1">
        <w:r w:rsidR="00AD42D0" w:rsidRPr="00AF325F">
          <w:rPr>
            <w:rStyle w:val="Hyperlink"/>
            <w:noProof/>
          </w:rPr>
          <w:t>5.1.3.2.</w:t>
        </w:r>
        <w:r w:rsidR="00AD42D0">
          <w:rPr>
            <w:rFonts w:eastAsiaTheme="minorEastAsia" w:cstheme="minorBidi"/>
            <w:noProof/>
            <w:sz w:val="22"/>
            <w:szCs w:val="22"/>
            <w:lang w:eastAsia="lv-LV"/>
          </w:rPr>
          <w:tab/>
        </w:r>
        <w:r w:rsidR="00AD42D0" w:rsidRPr="00AF325F">
          <w:rPr>
            <w:rStyle w:val="Hyperlink"/>
            <w:noProof/>
          </w:rPr>
          <w:t>Starptautiskās bankas</w:t>
        </w:r>
        <w:r w:rsidR="00AD42D0">
          <w:rPr>
            <w:noProof/>
            <w:webHidden/>
          </w:rPr>
          <w:tab/>
        </w:r>
        <w:r w:rsidR="00AD42D0">
          <w:rPr>
            <w:noProof/>
            <w:webHidden/>
          </w:rPr>
          <w:fldChar w:fldCharType="begin"/>
        </w:r>
        <w:r w:rsidR="00AD42D0">
          <w:rPr>
            <w:noProof/>
            <w:webHidden/>
          </w:rPr>
          <w:instrText xml:space="preserve"> PAGEREF _Toc491870934 \h </w:instrText>
        </w:r>
        <w:r w:rsidR="00AD42D0">
          <w:rPr>
            <w:noProof/>
            <w:webHidden/>
          </w:rPr>
        </w:r>
        <w:r w:rsidR="00AD42D0">
          <w:rPr>
            <w:noProof/>
            <w:webHidden/>
          </w:rPr>
          <w:fldChar w:fldCharType="separate"/>
        </w:r>
        <w:r w:rsidR="00AD42D0">
          <w:rPr>
            <w:noProof/>
            <w:webHidden/>
          </w:rPr>
          <w:t>43</w:t>
        </w:r>
        <w:r w:rsidR="00AD42D0">
          <w:rPr>
            <w:noProof/>
            <w:webHidden/>
          </w:rPr>
          <w:fldChar w:fldCharType="end"/>
        </w:r>
      </w:hyperlink>
    </w:p>
    <w:p w14:paraId="3ECFB7B1" w14:textId="347824F1" w:rsidR="00AD42D0" w:rsidRDefault="00E427BD">
      <w:pPr>
        <w:pStyle w:val="TOC3"/>
        <w:tabs>
          <w:tab w:val="left" w:pos="1100"/>
          <w:tab w:val="right" w:pos="8296"/>
        </w:tabs>
        <w:rPr>
          <w:rFonts w:eastAsiaTheme="minorEastAsia" w:cstheme="minorBidi"/>
          <w:noProof/>
          <w:sz w:val="22"/>
          <w:szCs w:val="22"/>
          <w:lang w:eastAsia="lv-LV"/>
        </w:rPr>
      </w:pPr>
      <w:hyperlink w:anchor="_Toc491870935" w:history="1">
        <w:r w:rsidR="00AD42D0" w:rsidRPr="00AF325F">
          <w:rPr>
            <w:rStyle w:val="Hyperlink"/>
            <w:noProof/>
            <w14:scene3d>
              <w14:camera w14:prst="orthographicFront"/>
              <w14:lightRig w14:rig="threePt" w14:dir="t">
                <w14:rot w14:lat="0" w14:lon="0" w14:rev="0"/>
              </w14:lightRig>
            </w14:scene3d>
          </w:rPr>
          <w:t>5.1.4.</w:t>
        </w:r>
        <w:r w:rsidR="00AD42D0">
          <w:rPr>
            <w:rFonts w:eastAsiaTheme="minorEastAsia" w:cstheme="minorBidi"/>
            <w:noProof/>
            <w:sz w:val="22"/>
            <w:szCs w:val="22"/>
            <w:lang w:eastAsia="lv-LV"/>
          </w:rPr>
          <w:tab/>
        </w:r>
        <w:r w:rsidR="00AD42D0" w:rsidRPr="00AF325F">
          <w:rPr>
            <w:rStyle w:val="Hyperlink"/>
            <w:noProof/>
          </w:rPr>
          <w:t>Pašvaldības energoservisa uzņēmums (PESKO)</w:t>
        </w:r>
        <w:r w:rsidR="00AD42D0">
          <w:rPr>
            <w:noProof/>
            <w:webHidden/>
          </w:rPr>
          <w:tab/>
        </w:r>
        <w:r w:rsidR="00AD42D0">
          <w:rPr>
            <w:noProof/>
            <w:webHidden/>
          </w:rPr>
          <w:fldChar w:fldCharType="begin"/>
        </w:r>
        <w:r w:rsidR="00AD42D0">
          <w:rPr>
            <w:noProof/>
            <w:webHidden/>
          </w:rPr>
          <w:instrText xml:space="preserve"> PAGEREF _Toc491870935 \h </w:instrText>
        </w:r>
        <w:r w:rsidR="00AD42D0">
          <w:rPr>
            <w:noProof/>
            <w:webHidden/>
          </w:rPr>
        </w:r>
        <w:r w:rsidR="00AD42D0">
          <w:rPr>
            <w:noProof/>
            <w:webHidden/>
          </w:rPr>
          <w:fldChar w:fldCharType="separate"/>
        </w:r>
        <w:r w:rsidR="00AD42D0">
          <w:rPr>
            <w:noProof/>
            <w:webHidden/>
          </w:rPr>
          <w:t>45</w:t>
        </w:r>
        <w:r w:rsidR="00AD42D0">
          <w:rPr>
            <w:noProof/>
            <w:webHidden/>
          </w:rPr>
          <w:fldChar w:fldCharType="end"/>
        </w:r>
      </w:hyperlink>
    </w:p>
    <w:p w14:paraId="41C6DC57" w14:textId="1903276C" w:rsidR="00AD42D0" w:rsidRDefault="00E427BD">
      <w:pPr>
        <w:pStyle w:val="TOC3"/>
        <w:tabs>
          <w:tab w:val="left" w:pos="1100"/>
          <w:tab w:val="right" w:pos="8296"/>
        </w:tabs>
        <w:rPr>
          <w:rFonts w:eastAsiaTheme="minorEastAsia" w:cstheme="minorBidi"/>
          <w:noProof/>
          <w:sz w:val="22"/>
          <w:szCs w:val="22"/>
          <w:lang w:eastAsia="lv-LV"/>
        </w:rPr>
      </w:pPr>
      <w:hyperlink w:anchor="_Toc491870936" w:history="1">
        <w:r w:rsidR="00AD42D0" w:rsidRPr="00AF325F">
          <w:rPr>
            <w:rStyle w:val="Hyperlink"/>
            <w:noProof/>
            <w14:scene3d>
              <w14:camera w14:prst="orthographicFront"/>
              <w14:lightRig w14:rig="threePt" w14:dir="t">
                <w14:rot w14:lat="0" w14:lon="0" w14:rev="0"/>
              </w14:lightRig>
            </w14:scene3d>
          </w:rPr>
          <w:t>5.1.5.</w:t>
        </w:r>
        <w:r w:rsidR="00AD42D0">
          <w:rPr>
            <w:rFonts w:eastAsiaTheme="minorEastAsia" w:cstheme="minorBidi"/>
            <w:noProof/>
            <w:sz w:val="22"/>
            <w:szCs w:val="22"/>
            <w:lang w:eastAsia="lv-LV"/>
          </w:rPr>
          <w:tab/>
        </w:r>
        <w:r w:rsidR="00AD42D0" w:rsidRPr="00AF325F">
          <w:rPr>
            <w:rStyle w:val="Hyperlink"/>
            <w:noProof/>
          </w:rPr>
          <w:t>Energoservisa pakalpojumi (ESKO)</w:t>
        </w:r>
        <w:r w:rsidR="00AD42D0">
          <w:rPr>
            <w:noProof/>
            <w:webHidden/>
          </w:rPr>
          <w:tab/>
        </w:r>
        <w:r w:rsidR="00AD42D0">
          <w:rPr>
            <w:noProof/>
            <w:webHidden/>
          </w:rPr>
          <w:fldChar w:fldCharType="begin"/>
        </w:r>
        <w:r w:rsidR="00AD42D0">
          <w:rPr>
            <w:noProof/>
            <w:webHidden/>
          </w:rPr>
          <w:instrText xml:space="preserve"> PAGEREF _Toc491870936 \h </w:instrText>
        </w:r>
        <w:r w:rsidR="00AD42D0">
          <w:rPr>
            <w:noProof/>
            <w:webHidden/>
          </w:rPr>
        </w:r>
        <w:r w:rsidR="00AD42D0">
          <w:rPr>
            <w:noProof/>
            <w:webHidden/>
          </w:rPr>
          <w:fldChar w:fldCharType="separate"/>
        </w:r>
        <w:r w:rsidR="00AD42D0">
          <w:rPr>
            <w:noProof/>
            <w:webHidden/>
          </w:rPr>
          <w:t>45</w:t>
        </w:r>
        <w:r w:rsidR="00AD42D0">
          <w:rPr>
            <w:noProof/>
            <w:webHidden/>
          </w:rPr>
          <w:fldChar w:fldCharType="end"/>
        </w:r>
      </w:hyperlink>
    </w:p>
    <w:p w14:paraId="04FFC3AF" w14:textId="032EBB07" w:rsidR="00AD42D0" w:rsidRDefault="00E427BD">
      <w:pPr>
        <w:pStyle w:val="TOC2"/>
        <w:tabs>
          <w:tab w:val="left" w:pos="660"/>
          <w:tab w:val="right" w:pos="8296"/>
        </w:tabs>
        <w:rPr>
          <w:rFonts w:eastAsiaTheme="minorEastAsia" w:cstheme="minorBidi"/>
          <w:b w:val="0"/>
          <w:bCs w:val="0"/>
          <w:noProof/>
          <w:sz w:val="22"/>
          <w:szCs w:val="22"/>
          <w:lang w:eastAsia="lv-LV"/>
        </w:rPr>
      </w:pPr>
      <w:hyperlink w:anchor="_Toc491870937" w:history="1">
        <w:r w:rsidR="00AD42D0" w:rsidRPr="00AF325F">
          <w:rPr>
            <w:rStyle w:val="Hyperlink"/>
            <w:noProof/>
          </w:rPr>
          <w:t>5.2.</w:t>
        </w:r>
        <w:r w:rsidR="00AD42D0">
          <w:rPr>
            <w:rFonts w:eastAsiaTheme="minorEastAsia" w:cstheme="minorBidi"/>
            <w:b w:val="0"/>
            <w:bCs w:val="0"/>
            <w:noProof/>
            <w:sz w:val="22"/>
            <w:szCs w:val="22"/>
            <w:lang w:eastAsia="lv-LV"/>
          </w:rPr>
          <w:tab/>
        </w:r>
        <w:r w:rsidR="00AD42D0" w:rsidRPr="00AF325F">
          <w:rPr>
            <w:rStyle w:val="Hyperlink"/>
            <w:noProof/>
          </w:rPr>
          <w:t>Ēku atjaunošanas šķēršļu analīze</w:t>
        </w:r>
        <w:r w:rsidR="00AD42D0">
          <w:rPr>
            <w:noProof/>
            <w:webHidden/>
          </w:rPr>
          <w:tab/>
        </w:r>
        <w:r w:rsidR="00AD42D0">
          <w:rPr>
            <w:noProof/>
            <w:webHidden/>
          </w:rPr>
          <w:fldChar w:fldCharType="begin"/>
        </w:r>
        <w:r w:rsidR="00AD42D0">
          <w:rPr>
            <w:noProof/>
            <w:webHidden/>
          </w:rPr>
          <w:instrText xml:space="preserve"> PAGEREF _Toc491870937 \h </w:instrText>
        </w:r>
        <w:r w:rsidR="00AD42D0">
          <w:rPr>
            <w:noProof/>
            <w:webHidden/>
          </w:rPr>
        </w:r>
        <w:r w:rsidR="00AD42D0">
          <w:rPr>
            <w:noProof/>
            <w:webHidden/>
          </w:rPr>
          <w:fldChar w:fldCharType="separate"/>
        </w:r>
        <w:r w:rsidR="00AD42D0">
          <w:rPr>
            <w:noProof/>
            <w:webHidden/>
          </w:rPr>
          <w:t>49</w:t>
        </w:r>
        <w:r w:rsidR="00AD42D0">
          <w:rPr>
            <w:noProof/>
            <w:webHidden/>
          </w:rPr>
          <w:fldChar w:fldCharType="end"/>
        </w:r>
      </w:hyperlink>
    </w:p>
    <w:p w14:paraId="6302CE63" w14:textId="7E2E08D3" w:rsidR="00AD42D0" w:rsidRDefault="00E427BD">
      <w:pPr>
        <w:pStyle w:val="TOC3"/>
        <w:tabs>
          <w:tab w:val="left" w:pos="1100"/>
          <w:tab w:val="right" w:pos="8296"/>
        </w:tabs>
        <w:rPr>
          <w:rFonts w:eastAsiaTheme="minorEastAsia" w:cstheme="minorBidi"/>
          <w:noProof/>
          <w:sz w:val="22"/>
          <w:szCs w:val="22"/>
          <w:lang w:eastAsia="lv-LV"/>
        </w:rPr>
      </w:pPr>
      <w:hyperlink w:anchor="_Toc491870938" w:history="1">
        <w:r w:rsidR="00AD42D0" w:rsidRPr="00AF325F">
          <w:rPr>
            <w:rStyle w:val="Hyperlink"/>
            <w:noProof/>
            <w14:scene3d>
              <w14:camera w14:prst="orthographicFront"/>
              <w14:lightRig w14:rig="threePt" w14:dir="t">
                <w14:rot w14:lat="0" w14:lon="0" w14:rev="0"/>
              </w14:lightRig>
            </w14:scene3d>
          </w:rPr>
          <w:t>5.2.1.</w:t>
        </w:r>
        <w:r w:rsidR="00AD42D0">
          <w:rPr>
            <w:rFonts w:eastAsiaTheme="minorEastAsia" w:cstheme="minorBidi"/>
            <w:noProof/>
            <w:sz w:val="22"/>
            <w:szCs w:val="22"/>
            <w:lang w:eastAsia="lv-LV"/>
          </w:rPr>
          <w:tab/>
        </w:r>
        <w:r w:rsidR="00AD42D0" w:rsidRPr="00AF325F">
          <w:rPr>
            <w:rStyle w:val="Hyperlink"/>
            <w:noProof/>
          </w:rPr>
          <w:t>ES fondu aktivitāšu šķēršļi</w:t>
        </w:r>
        <w:r w:rsidR="00AD42D0">
          <w:rPr>
            <w:noProof/>
            <w:webHidden/>
          </w:rPr>
          <w:tab/>
        </w:r>
        <w:r w:rsidR="00AD42D0">
          <w:rPr>
            <w:noProof/>
            <w:webHidden/>
          </w:rPr>
          <w:fldChar w:fldCharType="begin"/>
        </w:r>
        <w:r w:rsidR="00AD42D0">
          <w:rPr>
            <w:noProof/>
            <w:webHidden/>
          </w:rPr>
          <w:instrText xml:space="preserve"> PAGEREF _Toc491870938 \h </w:instrText>
        </w:r>
        <w:r w:rsidR="00AD42D0">
          <w:rPr>
            <w:noProof/>
            <w:webHidden/>
          </w:rPr>
        </w:r>
        <w:r w:rsidR="00AD42D0">
          <w:rPr>
            <w:noProof/>
            <w:webHidden/>
          </w:rPr>
          <w:fldChar w:fldCharType="separate"/>
        </w:r>
        <w:r w:rsidR="00AD42D0">
          <w:rPr>
            <w:noProof/>
            <w:webHidden/>
          </w:rPr>
          <w:t>49</w:t>
        </w:r>
        <w:r w:rsidR="00AD42D0">
          <w:rPr>
            <w:noProof/>
            <w:webHidden/>
          </w:rPr>
          <w:fldChar w:fldCharType="end"/>
        </w:r>
      </w:hyperlink>
    </w:p>
    <w:p w14:paraId="7DB4A68B" w14:textId="1E869024" w:rsidR="00AD42D0" w:rsidRDefault="00E427BD">
      <w:pPr>
        <w:pStyle w:val="TOC3"/>
        <w:tabs>
          <w:tab w:val="left" w:pos="1100"/>
          <w:tab w:val="right" w:pos="8296"/>
        </w:tabs>
        <w:rPr>
          <w:rFonts w:eastAsiaTheme="minorEastAsia" w:cstheme="minorBidi"/>
          <w:noProof/>
          <w:sz w:val="22"/>
          <w:szCs w:val="22"/>
          <w:lang w:eastAsia="lv-LV"/>
        </w:rPr>
      </w:pPr>
      <w:hyperlink w:anchor="_Toc491870939" w:history="1">
        <w:r w:rsidR="00AD42D0" w:rsidRPr="00AF325F">
          <w:rPr>
            <w:rStyle w:val="Hyperlink"/>
            <w:noProof/>
            <w14:scene3d>
              <w14:camera w14:prst="orthographicFront"/>
              <w14:lightRig w14:rig="threePt" w14:dir="t">
                <w14:rot w14:lat="0" w14:lon="0" w14:rev="0"/>
              </w14:lightRig>
            </w14:scene3d>
          </w:rPr>
          <w:t>5.2.2.</w:t>
        </w:r>
        <w:r w:rsidR="00AD42D0">
          <w:rPr>
            <w:rFonts w:eastAsiaTheme="minorEastAsia" w:cstheme="minorBidi"/>
            <w:noProof/>
            <w:sz w:val="22"/>
            <w:szCs w:val="22"/>
            <w:lang w:eastAsia="lv-LV"/>
          </w:rPr>
          <w:tab/>
        </w:r>
        <w:r w:rsidR="00AD42D0" w:rsidRPr="00AF325F">
          <w:rPr>
            <w:rStyle w:val="Hyperlink"/>
            <w:noProof/>
          </w:rPr>
          <w:t>Ieguldījumu šķēršļu analīze</w:t>
        </w:r>
        <w:r w:rsidR="00AD42D0">
          <w:rPr>
            <w:noProof/>
            <w:webHidden/>
          </w:rPr>
          <w:tab/>
        </w:r>
        <w:r w:rsidR="00AD42D0">
          <w:rPr>
            <w:noProof/>
            <w:webHidden/>
          </w:rPr>
          <w:fldChar w:fldCharType="begin"/>
        </w:r>
        <w:r w:rsidR="00AD42D0">
          <w:rPr>
            <w:noProof/>
            <w:webHidden/>
          </w:rPr>
          <w:instrText xml:space="preserve"> PAGEREF _Toc491870939 \h </w:instrText>
        </w:r>
        <w:r w:rsidR="00AD42D0">
          <w:rPr>
            <w:noProof/>
            <w:webHidden/>
          </w:rPr>
        </w:r>
        <w:r w:rsidR="00AD42D0">
          <w:rPr>
            <w:noProof/>
            <w:webHidden/>
          </w:rPr>
          <w:fldChar w:fldCharType="separate"/>
        </w:r>
        <w:r w:rsidR="00AD42D0">
          <w:rPr>
            <w:noProof/>
            <w:webHidden/>
          </w:rPr>
          <w:t>53</w:t>
        </w:r>
        <w:r w:rsidR="00AD42D0">
          <w:rPr>
            <w:noProof/>
            <w:webHidden/>
          </w:rPr>
          <w:fldChar w:fldCharType="end"/>
        </w:r>
      </w:hyperlink>
    </w:p>
    <w:p w14:paraId="166628FF" w14:textId="3BC6231D" w:rsidR="00AD42D0" w:rsidRDefault="00E427BD">
      <w:pPr>
        <w:pStyle w:val="TOC1"/>
        <w:rPr>
          <w:rFonts w:asciiTheme="minorHAnsi" w:eastAsiaTheme="minorEastAsia" w:hAnsiTheme="minorHAnsi"/>
          <w:b w:val="0"/>
          <w:bCs w:val="0"/>
          <w:caps w:val="0"/>
          <w:noProof/>
          <w:sz w:val="22"/>
          <w:szCs w:val="22"/>
          <w:lang w:eastAsia="lv-LV"/>
        </w:rPr>
      </w:pPr>
      <w:hyperlink w:anchor="_Toc491870940" w:history="1">
        <w:r w:rsidR="00AD42D0" w:rsidRPr="00AF325F">
          <w:rPr>
            <w:rStyle w:val="Hyperlink"/>
            <w:noProof/>
          </w:rPr>
          <w:t>6.</w:t>
        </w:r>
        <w:r w:rsidR="00AD42D0">
          <w:rPr>
            <w:rFonts w:asciiTheme="minorHAnsi" w:eastAsiaTheme="minorEastAsia" w:hAnsiTheme="minorHAnsi"/>
            <w:b w:val="0"/>
            <w:bCs w:val="0"/>
            <w:caps w:val="0"/>
            <w:noProof/>
            <w:sz w:val="22"/>
            <w:szCs w:val="22"/>
            <w:lang w:eastAsia="lv-LV"/>
          </w:rPr>
          <w:tab/>
        </w:r>
        <w:r w:rsidR="00AD42D0" w:rsidRPr="00AF325F">
          <w:rPr>
            <w:rStyle w:val="Hyperlink"/>
            <w:noProof/>
          </w:rPr>
          <w:t>Latvijas ēku energoefektivitātes ilgtermiņa mērķi un paredzētie enerģijas ietaupījumi</w:t>
        </w:r>
        <w:r w:rsidR="00AD42D0">
          <w:rPr>
            <w:noProof/>
            <w:webHidden/>
          </w:rPr>
          <w:tab/>
        </w:r>
        <w:r w:rsidR="00AD42D0">
          <w:rPr>
            <w:noProof/>
            <w:webHidden/>
          </w:rPr>
          <w:fldChar w:fldCharType="begin"/>
        </w:r>
        <w:r w:rsidR="00AD42D0">
          <w:rPr>
            <w:noProof/>
            <w:webHidden/>
          </w:rPr>
          <w:instrText xml:space="preserve"> PAGEREF _Toc491870940 \h </w:instrText>
        </w:r>
        <w:r w:rsidR="00AD42D0">
          <w:rPr>
            <w:noProof/>
            <w:webHidden/>
          </w:rPr>
        </w:r>
        <w:r w:rsidR="00AD42D0">
          <w:rPr>
            <w:noProof/>
            <w:webHidden/>
          </w:rPr>
          <w:fldChar w:fldCharType="separate"/>
        </w:r>
        <w:r w:rsidR="00AD42D0">
          <w:rPr>
            <w:noProof/>
            <w:webHidden/>
          </w:rPr>
          <w:t>56</w:t>
        </w:r>
        <w:r w:rsidR="00AD42D0">
          <w:rPr>
            <w:noProof/>
            <w:webHidden/>
          </w:rPr>
          <w:fldChar w:fldCharType="end"/>
        </w:r>
      </w:hyperlink>
    </w:p>
    <w:p w14:paraId="683F73E9" w14:textId="297085C9" w:rsidR="00AD42D0" w:rsidRDefault="00E427BD">
      <w:pPr>
        <w:pStyle w:val="TOC2"/>
        <w:tabs>
          <w:tab w:val="left" w:pos="660"/>
          <w:tab w:val="right" w:pos="8296"/>
        </w:tabs>
        <w:rPr>
          <w:rFonts w:eastAsiaTheme="minorEastAsia" w:cstheme="minorBidi"/>
          <w:b w:val="0"/>
          <w:bCs w:val="0"/>
          <w:noProof/>
          <w:sz w:val="22"/>
          <w:szCs w:val="22"/>
          <w:lang w:eastAsia="lv-LV"/>
        </w:rPr>
      </w:pPr>
      <w:hyperlink w:anchor="_Toc491870941" w:history="1">
        <w:r w:rsidR="00AD42D0" w:rsidRPr="00AF325F">
          <w:rPr>
            <w:rStyle w:val="Hyperlink"/>
            <w:noProof/>
          </w:rPr>
          <w:t>6.1.</w:t>
        </w:r>
        <w:r w:rsidR="00AD42D0">
          <w:rPr>
            <w:rFonts w:eastAsiaTheme="minorEastAsia" w:cstheme="minorBidi"/>
            <w:b w:val="0"/>
            <w:bCs w:val="0"/>
            <w:noProof/>
            <w:sz w:val="22"/>
            <w:szCs w:val="22"/>
            <w:lang w:eastAsia="lv-LV"/>
          </w:rPr>
          <w:tab/>
        </w:r>
        <w:r w:rsidR="00AD42D0" w:rsidRPr="00AF325F">
          <w:rPr>
            <w:rStyle w:val="Hyperlink"/>
            <w:noProof/>
          </w:rPr>
          <w:t>Latvijas ēku energoefektivitātes plānotās saistības</w:t>
        </w:r>
        <w:r w:rsidR="00AD42D0">
          <w:rPr>
            <w:noProof/>
            <w:webHidden/>
          </w:rPr>
          <w:tab/>
        </w:r>
        <w:r w:rsidR="00AD42D0">
          <w:rPr>
            <w:noProof/>
            <w:webHidden/>
          </w:rPr>
          <w:fldChar w:fldCharType="begin"/>
        </w:r>
        <w:r w:rsidR="00AD42D0">
          <w:rPr>
            <w:noProof/>
            <w:webHidden/>
          </w:rPr>
          <w:instrText xml:space="preserve"> PAGEREF _Toc491870941 \h </w:instrText>
        </w:r>
        <w:r w:rsidR="00AD42D0">
          <w:rPr>
            <w:noProof/>
            <w:webHidden/>
          </w:rPr>
        </w:r>
        <w:r w:rsidR="00AD42D0">
          <w:rPr>
            <w:noProof/>
            <w:webHidden/>
          </w:rPr>
          <w:fldChar w:fldCharType="separate"/>
        </w:r>
        <w:r w:rsidR="00AD42D0">
          <w:rPr>
            <w:noProof/>
            <w:webHidden/>
          </w:rPr>
          <w:t>56</w:t>
        </w:r>
        <w:r w:rsidR="00AD42D0">
          <w:rPr>
            <w:noProof/>
            <w:webHidden/>
          </w:rPr>
          <w:fldChar w:fldCharType="end"/>
        </w:r>
      </w:hyperlink>
    </w:p>
    <w:p w14:paraId="654E911A" w14:textId="54B24278" w:rsidR="00AD42D0" w:rsidRDefault="00E427BD">
      <w:pPr>
        <w:pStyle w:val="TOC3"/>
        <w:tabs>
          <w:tab w:val="left" w:pos="1100"/>
          <w:tab w:val="right" w:pos="8296"/>
        </w:tabs>
        <w:rPr>
          <w:rFonts w:eastAsiaTheme="minorEastAsia" w:cstheme="minorBidi"/>
          <w:noProof/>
          <w:sz w:val="22"/>
          <w:szCs w:val="22"/>
          <w:lang w:eastAsia="lv-LV"/>
        </w:rPr>
      </w:pPr>
      <w:hyperlink w:anchor="_Toc491870942" w:history="1">
        <w:r w:rsidR="00AD42D0" w:rsidRPr="00AF325F">
          <w:rPr>
            <w:rStyle w:val="Hyperlink"/>
            <w:noProof/>
            <w14:scene3d>
              <w14:camera w14:prst="orthographicFront"/>
              <w14:lightRig w14:rig="threePt" w14:dir="t">
                <w14:rot w14:lat="0" w14:lon="0" w14:rev="0"/>
              </w14:lightRig>
            </w14:scene3d>
          </w:rPr>
          <w:t>6.1.1.</w:t>
        </w:r>
        <w:r w:rsidR="00AD42D0">
          <w:rPr>
            <w:rFonts w:eastAsiaTheme="minorEastAsia" w:cstheme="minorBidi"/>
            <w:noProof/>
            <w:sz w:val="22"/>
            <w:szCs w:val="22"/>
            <w:lang w:eastAsia="lv-LV"/>
          </w:rPr>
          <w:tab/>
        </w:r>
        <w:r w:rsidR="00AD42D0" w:rsidRPr="00AF325F">
          <w:rPr>
            <w:rStyle w:val="Hyperlink"/>
            <w:noProof/>
          </w:rPr>
          <w:t>Direktīva 2010/31/ES par ēku energoefektivitāti</w:t>
        </w:r>
        <w:r w:rsidR="00AD42D0">
          <w:rPr>
            <w:noProof/>
            <w:webHidden/>
          </w:rPr>
          <w:tab/>
        </w:r>
        <w:r w:rsidR="00AD42D0">
          <w:rPr>
            <w:noProof/>
            <w:webHidden/>
          </w:rPr>
          <w:fldChar w:fldCharType="begin"/>
        </w:r>
        <w:r w:rsidR="00AD42D0">
          <w:rPr>
            <w:noProof/>
            <w:webHidden/>
          </w:rPr>
          <w:instrText xml:space="preserve"> PAGEREF _Toc491870942 \h </w:instrText>
        </w:r>
        <w:r w:rsidR="00AD42D0">
          <w:rPr>
            <w:noProof/>
            <w:webHidden/>
          </w:rPr>
        </w:r>
        <w:r w:rsidR="00AD42D0">
          <w:rPr>
            <w:noProof/>
            <w:webHidden/>
          </w:rPr>
          <w:fldChar w:fldCharType="separate"/>
        </w:r>
        <w:r w:rsidR="00AD42D0">
          <w:rPr>
            <w:noProof/>
            <w:webHidden/>
          </w:rPr>
          <w:t>56</w:t>
        </w:r>
        <w:r w:rsidR="00AD42D0">
          <w:rPr>
            <w:noProof/>
            <w:webHidden/>
          </w:rPr>
          <w:fldChar w:fldCharType="end"/>
        </w:r>
      </w:hyperlink>
    </w:p>
    <w:p w14:paraId="12217C06" w14:textId="273F5152" w:rsidR="00AD42D0" w:rsidRDefault="00E427BD">
      <w:pPr>
        <w:pStyle w:val="TOC3"/>
        <w:tabs>
          <w:tab w:val="left" w:pos="1100"/>
          <w:tab w:val="right" w:pos="8296"/>
        </w:tabs>
        <w:rPr>
          <w:rFonts w:eastAsiaTheme="minorEastAsia" w:cstheme="minorBidi"/>
          <w:noProof/>
          <w:sz w:val="22"/>
          <w:szCs w:val="22"/>
          <w:lang w:eastAsia="lv-LV"/>
        </w:rPr>
      </w:pPr>
      <w:hyperlink w:anchor="_Toc491870943" w:history="1">
        <w:r w:rsidR="00AD42D0" w:rsidRPr="00AF325F">
          <w:rPr>
            <w:rStyle w:val="Hyperlink"/>
            <w:noProof/>
            <w14:scene3d>
              <w14:camera w14:prst="orthographicFront"/>
              <w14:lightRig w14:rig="threePt" w14:dir="t">
                <w14:rot w14:lat="0" w14:lon="0" w14:rev="0"/>
              </w14:lightRig>
            </w14:scene3d>
          </w:rPr>
          <w:t>6.1.2.</w:t>
        </w:r>
        <w:r w:rsidR="00AD42D0">
          <w:rPr>
            <w:rFonts w:eastAsiaTheme="minorEastAsia" w:cstheme="minorBidi"/>
            <w:noProof/>
            <w:sz w:val="22"/>
            <w:szCs w:val="22"/>
            <w:lang w:eastAsia="lv-LV"/>
          </w:rPr>
          <w:tab/>
        </w:r>
        <w:r w:rsidR="00AD42D0" w:rsidRPr="00AF325F">
          <w:rPr>
            <w:rStyle w:val="Hyperlink"/>
            <w:noProof/>
          </w:rPr>
          <w:t>Stratēģijā iekļaujamie un izvirzāmie mērķi 2030.gadam un 2050.gadam</w:t>
        </w:r>
        <w:r w:rsidR="00AD42D0">
          <w:rPr>
            <w:noProof/>
            <w:webHidden/>
          </w:rPr>
          <w:tab/>
        </w:r>
        <w:r w:rsidR="00AD42D0">
          <w:rPr>
            <w:noProof/>
            <w:webHidden/>
          </w:rPr>
          <w:fldChar w:fldCharType="begin"/>
        </w:r>
        <w:r w:rsidR="00AD42D0">
          <w:rPr>
            <w:noProof/>
            <w:webHidden/>
          </w:rPr>
          <w:instrText xml:space="preserve"> PAGEREF _Toc491870943 \h </w:instrText>
        </w:r>
        <w:r w:rsidR="00AD42D0">
          <w:rPr>
            <w:noProof/>
            <w:webHidden/>
          </w:rPr>
        </w:r>
        <w:r w:rsidR="00AD42D0">
          <w:rPr>
            <w:noProof/>
            <w:webHidden/>
          </w:rPr>
          <w:fldChar w:fldCharType="separate"/>
        </w:r>
        <w:r w:rsidR="00AD42D0">
          <w:rPr>
            <w:noProof/>
            <w:webHidden/>
          </w:rPr>
          <w:t>57</w:t>
        </w:r>
        <w:r w:rsidR="00AD42D0">
          <w:rPr>
            <w:noProof/>
            <w:webHidden/>
          </w:rPr>
          <w:fldChar w:fldCharType="end"/>
        </w:r>
      </w:hyperlink>
    </w:p>
    <w:p w14:paraId="299FA309" w14:textId="52AE85E0" w:rsidR="00AD42D0" w:rsidRDefault="00E427BD">
      <w:pPr>
        <w:pStyle w:val="TOC2"/>
        <w:tabs>
          <w:tab w:val="left" w:pos="660"/>
          <w:tab w:val="right" w:pos="8296"/>
        </w:tabs>
        <w:rPr>
          <w:rFonts w:eastAsiaTheme="minorEastAsia" w:cstheme="minorBidi"/>
          <w:b w:val="0"/>
          <w:bCs w:val="0"/>
          <w:noProof/>
          <w:sz w:val="22"/>
          <w:szCs w:val="22"/>
          <w:lang w:eastAsia="lv-LV"/>
        </w:rPr>
      </w:pPr>
      <w:hyperlink w:anchor="_Toc491870944" w:history="1">
        <w:r w:rsidR="00AD42D0" w:rsidRPr="00AF325F">
          <w:rPr>
            <w:rStyle w:val="Hyperlink"/>
            <w:noProof/>
          </w:rPr>
          <w:t>6.2.</w:t>
        </w:r>
        <w:r w:rsidR="00AD42D0">
          <w:rPr>
            <w:rFonts w:eastAsiaTheme="minorEastAsia" w:cstheme="minorBidi"/>
            <w:b w:val="0"/>
            <w:bCs w:val="0"/>
            <w:noProof/>
            <w:sz w:val="22"/>
            <w:szCs w:val="22"/>
            <w:lang w:eastAsia="lv-LV"/>
          </w:rPr>
          <w:tab/>
        </w:r>
        <w:r w:rsidR="00AD42D0" w:rsidRPr="00AF325F">
          <w:rPr>
            <w:rStyle w:val="Hyperlink"/>
            <w:noProof/>
          </w:rPr>
          <w:t>Latvijas ēku energoefektivitātes aktuālie mērķi un saistības</w:t>
        </w:r>
        <w:r w:rsidR="00AD42D0">
          <w:rPr>
            <w:noProof/>
            <w:webHidden/>
          </w:rPr>
          <w:tab/>
        </w:r>
        <w:r w:rsidR="00AD42D0">
          <w:rPr>
            <w:noProof/>
            <w:webHidden/>
          </w:rPr>
          <w:fldChar w:fldCharType="begin"/>
        </w:r>
        <w:r w:rsidR="00AD42D0">
          <w:rPr>
            <w:noProof/>
            <w:webHidden/>
          </w:rPr>
          <w:instrText xml:space="preserve"> PAGEREF _Toc491870944 \h </w:instrText>
        </w:r>
        <w:r w:rsidR="00AD42D0">
          <w:rPr>
            <w:noProof/>
            <w:webHidden/>
          </w:rPr>
        </w:r>
        <w:r w:rsidR="00AD42D0">
          <w:rPr>
            <w:noProof/>
            <w:webHidden/>
          </w:rPr>
          <w:fldChar w:fldCharType="separate"/>
        </w:r>
        <w:r w:rsidR="00AD42D0">
          <w:rPr>
            <w:noProof/>
            <w:webHidden/>
          </w:rPr>
          <w:t>58</w:t>
        </w:r>
        <w:r w:rsidR="00AD42D0">
          <w:rPr>
            <w:noProof/>
            <w:webHidden/>
          </w:rPr>
          <w:fldChar w:fldCharType="end"/>
        </w:r>
      </w:hyperlink>
    </w:p>
    <w:p w14:paraId="6C3E543A" w14:textId="513BC77D" w:rsidR="00AD42D0" w:rsidRDefault="00E427BD">
      <w:pPr>
        <w:pStyle w:val="TOC1"/>
        <w:rPr>
          <w:rFonts w:asciiTheme="minorHAnsi" w:eastAsiaTheme="minorEastAsia" w:hAnsiTheme="minorHAnsi"/>
          <w:b w:val="0"/>
          <w:bCs w:val="0"/>
          <w:caps w:val="0"/>
          <w:noProof/>
          <w:sz w:val="22"/>
          <w:szCs w:val="22"/>
          <w:lang w:eastAsia="lv-LV"/>
        </w:rPr>
      </w:pPr>
      <w:hyperlink w:anchor="_Toc491870945" w:history="1">
        <w:r w:rsidR="00AD42D0" w:rsidRPr="00AF325F">
          <w:rPr>
            <w:rStyle w:val="Hyperlink"/>
            <w:noProof/>
          </w:rPr>
          <w:t>7.</w:t>
        </w:r>
        <w:r w:rsidR="00AD42D0">
          <w:rPr>
            <w:rFonts w:asciiTheme="minorHAnsi" w:eastAsiaTheme="minorEastAsia" w:hAnsiTheme="minorHAnsi"/>
            <w:b w:val="0"/>
            <w:bCs w:val="0"/>
            <w:caps w:val="0"/>
            <w:noProof/>
            <w:sz w:val="22"/>
            <w:szCs w:val="22"/>
            <w:lang w:eastAsia="lv-LV"/>
          </w:rPr>
          <w:tab/>
        </w:r>
        <w:r w:rsidR="00AD42D0" w:rsidRPr="00AF325F">
          <w:rPr>
            <w:rStyle w:val="Hyperlink"/>
            <w:noProof/>
          </w:rPr>
          <w:t>Pielikumi</w:t>
        </w:r>
        <w:r w:rsidR="00AD42D0">
          <w:rPr>
            <w:noProof/>
            <w:webHidden/>
          </w:rPr>
          <w:tab/>
        </w:r>
        <w:r w:rsidR="00AD42D0">
          <w:rPr>
            <w:noProof/>
            <w:webHidden/>
          </w:rPr>
          <w:fldChar w:fldCharType="begin"/>
        </w:r>
        <w:r w:rsidR="00AD42D0">
          <w:rPr>
            <w:noProof/>
            <w:webHidden/>
          </w:rPr>
          <w:instrText xml:space="preserve"> PAGEREF _Toc491870945 \h </w:instrText>
        </w:r>
        <w:r w:rsidR="00AD42D0">
          <w:rPr>
            <w:noProof/>
            <w:webHidden/>
          </w:rPr>
        </w:r>
        <w:r w:rsidR="00AD42D0">
          <w:rPr>
            <w:noProof/>
            <w:webHidden/>
          </w:rPr>
          <w:fldChar w:fldCharType="separate"/>
        </w:r>
        <w:r w:rsidR="00AD42D0">
          <w:rPr>
            <w:noProof/>
            <w:webHidden/>
          </w:rPr>
          <w:t>62</w:t>
        </w:r>
        <w:r w:rsidR="00AD42D0">
          <w:rPr>
            <w:noProof/>
            <w:webHidden/>
          </w:rPr>
          <w:fldChar w:fldCharType="end"/>
        </w:r>
      </w:hyperlink>
    </w:p>
    <w:p w14:paraId="4E6B932D" w14:textId="285C33D3" w:rsidR="0045193E" w:rsidRPr="008E4EB0" w:rsidRDefault="008B5B9E" w:rsidP="007B2931">
      <w:pPr>
        <w:pStyle w:val="ListParagraph"/>
        <w:spacing w:after="0" w:line="276" w:lineRule="auto"/>
        <w:jc w:val="both"/>
        <w:rPr>
          <w:rFonts w:ascii="Times New Roman" w:hAnsi="Times New Roman" w:cs="Times New Roman"/>
          <w:sz w:val="24"/>
          <w:szCs w:val="24"/>
        </w:rPr>
      </w:pPr>
      <w:r w:rsidRPr="008E4EB0">
        <w:rPr>
          <w:rFonts w:ascii="Times New Roman" w:hAnsi="Times New Roman" w:cs="Times New Roman"/>
          <w:sz w:val="24"/>
          <w:szCs w:val="24"/>
        </w:rPr>
        <w:fldChar w:fldCharType="end"/>
      </w:r>
    </w:p>
    <w:p w14:paraId="0FFA1358" w14:textId="4982D28F" w:rsidR="00990903" w:rsidRPr="008E4EB0" w:rsidRDefault="00990903" w:rsidP="007B2931">
      <w:pPr>
        <w:spacing w:after="0" w:line="276" w:lineRule="auto"/>
        <w:rPr>
          <w:rFonts w:ascii="Times New Roman" w:hAnsi="Times New Roman" w:cs="Times New Roman"/>
          <w:sz w:val="24"/>
          <w:szCs w:val="24"/>
        </w:rPr>
      </w:pPr>
      <w:r w:rsidRPr="008E4EB0">
        <w:rPr>
          <w:rFonts w:ascii="Times New Roman" w:hAnsi="Times New Roman" w:cs="Times New Roman"/>
          <w:sz w:val="24"/>
          <w:szCs w:val="24"/>
        </w:rPr>
        <w:br w:type="page"/>
      </w:r>
    </w:p>
    <w:p w14:paraId="57175994" w14:textId="77777777" w:rsidR="001740B7" w:rsidRPr="008E4EB0" w:rsidRDefault="001740B7" w:rsidP="00D64CF6">
      <w:pPr>
        <w:pStyle w:val="virsraksts"/>
      </w:pPr>
      <w:bookmarkStart w:id="1" w:name="_Toc379286080"/>
      <w:bookmarkStart w:id="2" w:name="_Toc480527943"/>
      <w:bookmarkStart w:id="3" w:name="_Toc491870898"/>
      <w:r w:rsidRPr="008E4EB0">
        <w:lastRenderedPageBreak/>
        <w:t>Ievads</w:t>
      </w:r>
      <w:bookmarkEnd w:id="1"/>
      <w:bookmarkEnd w:id="2"/>
      <w:bookmarkEnd w:id="3"/>
    </w:p>
    <w:p w14:paraId="35D4550A" w14:textId="77777777" w:rsidR="001740B7" w:rsidRPr="008E4EB0" w:rsidRDefault="001740B7" w:rsidP="00125E09">
      <w:pPr>
        <w:widowControl w:val="0"/>
        <w:spacing w:after="0" w:line="240" w:lineRule="auto"/>
        <w:ind w:firstLine="851"/>
        <w:jc w:val="both"/>
        <w:rPr>
          <w:rFonts w:ascii="Times New Roman" w:eastAsia="Calibri" w:hAnsi="Times New Roman" w:cs="Times New Roman"/>
          <w:sz w:val="24"/>
          <w:szCs w:val="24"/>
          <w:lang w:eastAsia="lv-LV"/>
        </w:rPr>
      </w:pPr>
    </w:p>
    <w:p w14:paraId="2DCF250B" w14:textId="6ED77591" w:rsidR="001740B7" w:rsidRPr="008E4EB0" w:rsidRDefault="001740B7" w:rsidP="00125E09">
      <w:pPr>
        <w:keepLines/>
        <w:spacing w:after="0" w:line="240" w:lineRule="auto"/>
        <w:ind w:firstLine="851"/>
        <w:jc w:val="both"/>
        <w:rPr>
          <w:rFonts w:ascii="Times New Roman" w:eastAsia="Calibri" w:hAnsi="Times New Roman" w:cs="Times New Roman"/>
          <w:sz w:val="24"/>
          <w:szCs w:val="24"/>
          <w:lang w:eastAsia="lv-LV"/>
        </w:rPr>
      </w:pPr>
      <w:r w:rsidRPr="008E4EB0">
        <w:rPr>
          <w:rFonts w:ascii="Times New Roman" w:eastAsia="Calibri" w:hAnsi="Times New Roman" w:cs="Times New Roman"/>
          <w:sz w:val="24"/>
          <w:szCs w:val="24"/>
          <w:lang w:eastAsia="lv-LV"/>
        </w:rPr>
        <w:t xml:space="preserve">Saskaņā ar Eiropas Parlamenta un Padomes direktīvas 2012/27/ES (2012.gada 25.oktobris) par energoefektivitāti, ar ko groza Direktīvas 2009/125/EK un 2010/30/ES un atceļ Direktīvas 2004/8/EK un 2006/32/EK (turpmāk- Direktīvā 2012/27/ES) 4.pantu, Latvijai kā Eiropas Savienības (turpmāk – ES) dalībvalstij ir jāizstrādā ēku ilgtermiņa stratēģiju, lai mobilizētu ieguldījumus gan valsts, gan privāto dzīvojamo ēku un komercplatību fonda </w:t>
      </w:r>
      <w:r w:rsidR="00CE0F55" w:rsidRPr="008E4EB0">
        <w:rPr>
          <w:rFonts w:ascii="Times New Roman" w:eastAsia="Calibri" w:hAnsi="Times New Roman" w:cs="Times New Roman"/>
          <w:sz w:val="24"/>
          <w:szCs w:val="24"/>
          <w:lang w:eastAsia="lv-LV"/>
        </w:rPr>
        <w:t>atjaunošanā</w:t>
      </w:r>
      <w:r w:rsidRPr="008E4EB0">
        <w:rPr>
          <w:rFonts w:ascii="Times New Roman" w:eastAsia="Calibri" w:hAnsi="Times New Roman" w:cs="Times New Roman"/>
          <w:sz w:val="24"/>
          <w:szCs w:val="24"/>
          <w:lang w:eastAsia="lv-LV"/>
        </w:rPr>
        <w:t xml:space="preserve"> (turpmāk-Stratēģija).</w:t>
      </w:r>
    </w:p>
    <w:p w14:paraId="7ECCEA9D" w14:textId="77777777" w:rsidR="001740B7" w:rsidRPr="008E4EB0" w:rsidRDefault="001740B7" w:rsidP="00125E09">
      <w:pPr>
        <w:keepLines/>
        <w:spacing w:after="0" w:line="240" w:lineRule="auto"/>
        <w:ind w:firstLine="851"/>
        <w:jc w:val="both"/>
        <w:rPr>
          <w:rFonts w:ascii="Times New Roman" w:eastAsia="Calibri" w:hAnsi="Times New Roman" w:cs="Times New Roman"/>
          <w:sz w:val="24"/>
          <w:szCs w:val="24"/>
          <w:lang w:eastAsia="lv-LV"/>
        </w:rPr>
      </w:pPr>
    </w:p>
    <w:p w14:paraId="16517E27" w14:textId="77777777" w:rsidR="001740B7" w:rsidRPr="008E4EB0" w:rsidRDefault="001740B7" w:rsidP="00125E09">
      <w:pPr>
        <w:keepLines/>
        <w:spacing w:after="0" w:line="240" w:lineRule="auto"/>
        <w:ind w:firstLine="426"/>
        <w:jc w:val="both"/>
        <w:rPr>
          <w:rFonts w:ascii="Times New Roman" w:eastAsia="Calibri" w:hAnsi="Times New Roman" w:cs="Times New Roman"/>
          <w:sz w:val="24"/>
          <w:szCs w:val="24"/>
          <w:lang w:eastAsia="lv-LV"/>
        </w:rPr>
      </w:pPr>
      <w:r w:rsidRPr="008E4EB0">
        <w:rPr>
          <w:rFonts w:ascii="Times New Roman" w:eastAsia="Calibri" w:hAnsi="Times New Roman" w:cs="Times New Roman"/>
          <w:sz w:val="24"/>
          <w:szCs w:val="24"/>
          <w:lang w:eastAsia="lv-LV"/>
        </w:rPr>
        <w:t>Direktīvas 2012/27/ES 4. pants nosaka ka Stratēģijā jāiekļauj:</w:t>
      </w:r>
    </w:p>
    <w:p w14:paraId="4F614E0C" w14:textId="77777777" w:rsidR="001740B7" w:rsidRPr="008E4EB0" w:rsidRDefault="001740B7" w:rsidP="00D9693B">
      <w:pPr>
        <w:pStyle w:val="ListParagraph"/>
        <w:keepLines/>
        <w:numPr>
          <w:ilvl w:val="0"/>
          <w:numId w:val="31"/>
        </w:numPr>
        <w:spacing w:after="0" w:line="240" w:lineRule="auto"/>
        <w:ind w:left="851" w:hanging="425"/>
        <w:jc w:val="both"/>
        <w:rPr>
          <w:rFonts w:ascii="Times New Roman" w:eastAsia="Calibri" w:hAnsi="Times New Roman" w:cs="Times New Roman"/>
          <w:sz w:val="24"/>
          <w:szCs w:val="24"/>
          <w:lang w:eastAsia="lv-LV"/>
        </w:rPr>
      </w:pPr>
      <w:r w:rsidRPr="008E4EB0">
        <w:rPr>
          <w:rFonts w:ascii="Times New Roman" w:eastAsia="Calibri" w:hAnsi="Times New Roman" w:cs="Times New Roman"/>
          <w:sz w:val="24"/>
          <w:szCs w:val="24"/>
          <w:lang w:eastAsia="lv-LV"/>
        </w:rPr>
        <w:t>Pārskatu par valsts ēku fondu, kura pamatā attiecīgos gadījumos ir statistiska izlase;</w:t>
      </w:r>
    </w:p>
    <w:p w14:paraId="62FBFED2" w14:textId="78F74865" w:rsidR="001740B7" w:rsidRPr="008E4EB0" w:rsidRDefault="001740B7" w:rsidP="00D9693B">
      <w:pPr>
        <w:pStyle w:val="ListParagraph"/>
        <w:keepLines/>
        <w:numPr>
          <w:ilvl w:val="0"/>
          <w:numId w:val="31"/>
        </w:numPr>
        <w:spacing w:after="0" w:line="240" w:lineRule="auto"/>
        <w:ind w:left="851" w:hanging="425"/>
        <w:jc w:val="both"/>
        <w:rPr>
          <w:rFonts w:ascii="Times New Roman" w:eastAsia="Calibri" w:hAnsi="Times New Roman" w:cs="Times New Roman"/>
          <w:sz w:val="24"/>
          <w:szCs w:val="24"/>
          <w:lang w:eastAsia="lv-LV"/>
        </w:rPr>
      </w:pPr>
      <w:r w:rsidRPr="008E4EB0">
        <w:rPr>
          <w:rFonts w:ascii="Times New Roman" w:eastAsia="Calibri" w:hAnsi="Times New Roman" w:cs="Times New Roman"/>
          <w:sz w:val="24"/>
          <w:szCs w:val="24"/>
          <w:lang w:eastAsia="lv-LV"/>
        </w:rPr>
        <w:t xml:space="preserve">Rentablu </w:t>
      </w:r>
      <w:r w:rsidR="00CE0F55" w:rsidRPr="008E4EB0">
        <w:rPr>
          <w:rFonts w:ascii="Times New Roman" w:eastAsia="Calibri" w:hAnsi="Times New Roman" w:cs="Times New Roman"/>
          <w:sz w:val="24"/>
          <w:szCs w:val="24"/>
          <w:lang w:eastAsia="lv-LV"/>
        </w:rPr>
        <w:t>atjaunošanas</w:t>
      </w:r>
      <w:r w:rsidRPr="008E4EB0">
        <w:rPr>
          <w:rFonts w:ascii="Times New Roman" w:eastAsia="Calibri" w:hAnsi="Times New Roman" w:cs="Times New Roman"/>
          <w:sz w:val="24"/>
          <w:szCs w:val="24"/>
          <w:lang w:eastAsia="lv-LV"/>
        </w:rPr>
        <w:t xml:space="preserve"> pieeju noteikšan</w:t>
      </w:r>
      <w:r w:rsidR="007E23D6">
        <w:rPr>
          <w:rFonts w:ascii="Times New Roman" w:eastAsia="Calibri" w:hAnsi="Times New Roman" w:cs="Times New Roman"/>
          <w:sz w:val="24"/>
          <w:szCs w:val="24"/>
          <w:lang w:eastAsia="lv-LV"/>
        </w:rPr>
        <w:t>u</w:t>
      </w:r>
      <w:r w:rsidRPr="008E4EB0">
        <w:rPr>
          <w:rFonts w:ascii="Times New Roman" w:eastAsia="Calibri" w:hAnsi="Times New Roman" w:cs="Times New Roman"/>
          <w:sz w:val="24"/>
          <w:szCs w:val="24"/>
          <w:lang w:eastAsia="lv-LV"/>
        </w:rPr>
        <w:t xml:space="preserve"> atkarībā no ēku veida un klimatiskās joslas;</w:t>
      </w:r>
    </w:p>
    <w:p w14:paraId="786B9DAB" w14:textId="6577F147" w:rsidR="001740B7" w:rsidRPr="008E4EB0" w:rsidRDefault="001740B7" w:rsidP="00D9693B">
      <w:pPr>
        <w:pStyle w:val="ListParagraph"/>
        <w:keepLines/>
        <w:numPr>
          <w:ilvl w:val="0"/>
          <w:numId w:val="31"/>
        </w:numPr>
        <w:spacing w:after="0" w:line="240" w:lineRule="auto"/>
        <w:ind w:left="851" w:hanging="425"/>
        <w:jc w:val="both"/>
        <w:rPr>
          <w:rFonts w:ascii="Times New Roman" w:eastAsia="Calibri" w:hAnsi="Times New Roman" w:cs="Times New Roman"/>
          <w:sz w:val="24"/>
          <w:szCs w:val="24"/>
          <w:lang w:eastAsia="lv-LV"/>
        </w:rPr>
      </w:pPr>
      <w:r w:rsidRPr="008E4EB0">
        <w:rPr>
          <w:rFonts w:ascii="Times New Roman" w:eastAsia="Calibri" w:hAnsi="Times New Roman" w:cs="Times New Roman"/>
          <w:sz w:val="24"/>
          <w:szCs w:val="24"/>
          <w:lang w:eastAsia="lv-LV"/>
        </w:rPr>
        <w:t xml:space="preserve">Politikas jomas un </w:t>
      </w:r>
      <w:r w:rsidR="007E23D6" w:rsidRPr="008E4EB0">
        <w:rPr>
          <w:rFonts w:ascii="Times New Roman" w:eastAsia="Calibri" w:hAnsi="Times New Roman" w:cs="Times New Roman"/>
          <w:sz w:val="24"/>
          <w:szCs w:val="24"/>
          <w:lang w:eastAsia="lv-LV"/>
        </w:rPr>
        <w:t>pasākum</w:t>
      </w:r>
      <w:r w:rsidR="007E23D6">
        <w:rPr>
          <w:rFonts w:ascii="Times New Roman" w:eastAsia="Calibri" w:hAnsi="Times New Roman" w:cs="Times New Roman"/>
          <w:sz w:val="24"/>
          <w:szCs w:val="24"/>
          <w:lang w:eastAsia="lv-LV"/>
        </w:rPr>
        <w:t>us</w:t>
      </w:r>
      <w:r w:rsidRPr="008E4EB0">
        <w:rPr>
          <w:rFonts w:ascii="Times New Roman" w:eastAsia="Calibri" w:hAnsi="Times New Roman" w:cs="Times New Roman"/>
          <w:sz w:val="24"/>
          <w:szCs w:val="24"/>
          <w:lang w:eastAsia="lv-LV"/>
        </w:rPr>
        <w:t xml:space="preserve">, lai veicinātu ēku rentablu pilnīgu </w:t>
      </w:r>
      <w:r w:rsidR="00CE0F55" w:rsidRPr="008E4EB0">
        <w:rPr>
          <w:rFonts w:ascii="Times New Roman" w:eastAsia="Calibri" w:hAnsi="Times New Roman" w:cs="Times New Roman"/>
          <w:sz w:val="24"/>
          <w:szCs w:val="24"/>
          <w:lang w:eastAsia="lv-LV"/>
        </w:rPr>
        <w:t>atjaunošanu</w:t>
      </w:r>
      <w:r w:rsidRPr="008E4EB0">
        <w:rPr>
          <w:rFonts w:ascii="Times New Roman" w:eastAsia="Calibri" w:hAnsi="Times New Roman" w:cs="Times New Roman"/>
          <w:sz w:val="24"/>
          <w:szCs w:val="24"/>
          <w:lang w:eastAsia="lv-LV"/>
        </w:rPr>
        <w:t xml:space="preserve">, tostarp pakāpenisku pilnīgu </w:t>
      </w:r>
      <w:r w:rsidR="00CE0F55" w:rsidRPr="008E4EB0">
        <w:rPr>
          <w:rFonts w:ascii="Times New Roman" w:eastAsia="Calibri" w:hAnsi="Times New Roman" w:cs="Times New Roman"/>
          <w:sz w:val="24"/>
          <w:szCs w:val="24"/>
          <w:lang w:eastAsia="lv-LV"/>
        </w:rPr>
        <w:t>atjaunošanu</w:t>
      </w:r>
      <w:r w:rsidRPr="008E4EB0">
        <w:rPr>
          <w:rFonts w:ascii="Times New Roman" w:eastAsia="Calibri" w:hAnsi="Times New Roman" w:cs="Times New Roman"/>
          <w:sz w:val="24"/>
          <w:szCs w:val="24"/>
          <w:lang w:eastAsia="lv-LV"/>
        </w:rPr>
        <w:t>;</w:t>
      </w:r>
    </w:p>
    <w:p w14:paraId="538CB217" w14:textId="77777777" w:rsidR="001740B7" w:rsidRPr="008E4EB0" w:rsidRDefault="001740B7" w:rsidP="00D9693B">
      <w:pPr>
        <w:pStyle w:val="ListParagraph"/>
        <w:keepLines/>
        <w:numPr>
          <w:ilvl w:val="0"/>
          <w:numId w:val="31"/>
        </w:numPr>
        <w:spacing w:after="0" w:line="240" w:lineRule="auto"/>
        <w:ind w:left="851" w:hanging="425"/>
        <w:jc w:val="both"/>
        <w:rPr>
          <w:rFonts w:ascii="Times New Roman" w:eastAsia="Calibri" w:hAnsi="Times New Roman" w:cs="Times New Roman"/>
          <w:sz w:val="24"/>
          <w:szCs w:val="24"/>
          <w:lang w:eastAsia="lv-LV"/>
        </w:rPr>
      </w:pPr>
      <w:r w:rsidRPr="008E4EB0">
        <w:rPr>
          <w:rFonts w:ascii="Times New Roman" w:eastAsia="Calibri" w:hAnsi="Times New Roman" w:cs="Times New Roman"/>
          <w:sz w:val="24"/>
          <w:szCs w:val="24"/>
          <w:lang w:eastAsia="lv-LV"/>
        </w:rPr>
        <w:t>Ilgtermiņa perspektīvas, kas privātpersonām, būvniecības nozarei un finanšu iestādēm palīdzētu pieņemt lēmumus par ieguldījumiem;</w:t>
      </w:r>
    </w:p>
    <w:p w14:paraId="5798F7B1" w14:textId="77777777" w:rsidR="001740B7" w:rsidRPr="008E4EB0" w:rsidRDefault="001740B7" w:rsidP="00D9693B">
      <w:pPr>
        <w:pStyle w:val="ListParagraph"/>
        <w:keepLines/>
        <w:numPr>
          <w:ilvl w:val="0"/>
          <w:numId w:val="31"/>
        </w:numPr>
        <w:spacing w:after="0" w:line="240" w:lineRule="auto"/>
        <w:ind w:left="851" w:hanging="425"/>
        <w:jc w:val="both"/>
        <w:rPr>
          <w:rFonts w:ascii="Times New Roman" w:eastAsia="Calibri" w:hAnsi="Times New Roman" w:cs="Times New Roman"/>
          <w:sz w:val="24"/>
          <w:szCs w:val="24"/>
          <w:lang w:eastAsia="lv-LV"/>
        </w:rPr>
      </w:pPr>
      <w:r w:rsidRPr="008E4EB0">
        <w:rPr>
          <w:rFonts w:ascii="Times New Roman" w:eastAsia="Calibri" w:hAnsi="Times New Roman" w:cs="Times New Roman"/>
          <w:sz w:val="24"/>
          <w:szCs w:val="24"/>
          <w:lang w:eastAsia="lv-LV"/>
        </w:rPr>
        <w:t xml:space="preserve">Ar pierādījumiem pamatotas aplēses par paredzēto enerģijas ietaupījumu un plašākiem ieguvumiem. </w:t>
      </w:r>
    </w:p>
    <w:p w14:paraId="22632B40" w14:textId="77777777" w:rsidR="001740B7" w:rsidRPr="008E4EB0" w:rsidRDefault="001740B7" w:rsidP="00125E09">
      <w:pPr>
        <w:keepLines/>
        <w:spacing w:after="0" w:line="240" w:lineRule="auto"/>
        <w:ind w:firstLine="851"/>
        <w:jc w:val="both"/>
        <w:rPr>
          <w:rFonts w:ascii="Times New Roman" w:eastAsia="Calibri" w:hAnsi="Times New Roman" w:cs="Times New Roman"/>
          <w:sz w:val="24"/>
          <w:szCs w:val="24"/>
          <w:lang w:eastAsia="lv-LV"/>
        </w:rPr>
      </w:pPr>
    </w:p>
    <w:p w14:paraId="3A19BCC1" w14:textId="77777777" w:rsidR="009169A7" w:rsidRDefault="001740B7" w:rsidP="00125E09">
      <w:pPr>
        <w:keepLines/>
        <w:spacing w:after="0" w:line="240" w:lineRule="auto"/>
        <w:ind w:firstLine="851"/>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 xml:space="preserve">Stratēģijas pirmo versiju dalībvalstis publicē līdz 2014. gada 30. aprīlim. Pēc tam ik pēc trim gadiem dalībvalstis stratēģiju atjaunina un katru versiju iesniedz Komisijai kā daļu no valstu energoefektivitātes rīcības plāniem. </w:t>
      </w:r>
    </w:p>
    <w:p w14:paraId="4AAB995E" w14:textId="7BA6F6AD" w:rsidR="00125E09" w:rsidRPr="008E4EB0" w:rsidRDefault="009169A7" w:rsidP="00125E09">
      <w:pPr>
        <w:keepLines/>
        <w:spacing w:after="0" w:line="240" w:lineRule="auto"/>
        <w:ind w:firstLine="85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rPr>
        <w:t xml:space="preserve">2014.gada </w:t>
      </w:r>
      <w:r w:rsidR="00AC3D79">
        <w:rPr>
          <w:rFonts w:ascii="Times New Roman" w:eastAsia="Calibri" w:hAnsi="Times New Roman" w:cs="Times New Roman"/>
          <w:sz w:val="24"/>
          <w:szCs w:val="24"/>
        </w:rPr>
        <w:t xml:space="preserve">26.maija Ministru kabineta sēdē tikai apstiprināts </w:t>
      </w:r>
      <w:r w:rsidR="001740B7" w:rsidRPr="008E4EB0">
        <w:rPr>
          <w:rFonts w:ascii="Times New Roman" w:eastAsia="Calibri" w:hAnsi="Times New Roman" w:cs="Times New Roman"/>
          <w:sz w:val="24"/>
          <w:szCs w:val="24"/>
          <w:lang w:eastAsia="lv-LV"/>
        </w:rPr>
        <w:t>Informatīv</w:t>
      </w:r>
      <w:r w:rsidR="00AC3D79">
        <w:rPr>
          <w:rFonts w:ascii="Times New Roman" w:eastAsia="Calibri" w:hAnsi="Times New Roman" w:cs="Times New Roman"/>
          <w:sz w:val="24"/>
          <w:szCs w:val="24"/>
          <w:lang w:eastAsia="lv-LV"/>
        </w:rPr>
        <w:t xml:space="preserve">ais </w:t>
      </w:r>
      <w:r w:rsidR="001740B7" w:rsidRPr="008E4EB0">
        <w:rPr>
          <w:rFonts w:ascii="Times New Roman" w:eastAsia="Calibri" w:hAnsi="Times New Roman" w:cs="Times New Roman"/>
          <w:sz w:val="24"/>
          <w:szCs w:val="24"/>
          <w:lang w:eastAsia="lv-LV"/>
        </w:rPr>
        <w:t>ziņojum</w:t>
      </w:r>
      <w:r w:rsidR="00AC3D79">
        <w:rPr>
          <w:rFonts w:ascii="Times New Roman" w:eastAsia="Calibri" w:hAnsi="Times New Roman" w:cs="Times New Roman"/>
          <w:sz w:val="24"/>
          <w:szCs w:val="24"/>
          <w:lang w:eastAsia="lv-LV"/>
        </w:rPr>
        <w:t>s</w:t>
      </w:r>
      <w:r w:rsidR="001740B7" w:rsidRPr="008E4EB0">
        <w:rPr>
          <w:rFonts w:ascii="Times New Roman" w:eastAsia="Calibri" w:hAnsi="Times New Roman" w:cs="Times New Roman"/>
          <w:sz w:val="24"/>
          <w:szCs w:val="24"/>
          <w:lang w:eastAsia="lv-LV"/>
        </w:rPr>
        <w:t xml:space="preserve"> „Par virzību uz indikatīvo valsts energoefektivitātes mērķi 2014. – 2016. gadā saskaņā ar Eiropas Parlamenta un Padomes 2012. gada 25. oktobra Direktīvu 2012/27/ES par energoefektivitāti, ar ko groza Direktīvas 2009/125/EK un 2010/30/ES un atceļ Direktīvas 2004/8/EK un 2006/32/EK”</w:t>
      </w:r>
      <w:r w:rsidR="00AC3D79">
        <w:rPr>
          <w:rFonts w:ascii="Times New Roman" w:eastAsia="Calibri" w:hAnsi="Times New Roman" w:cs="Times New Roman"/>
          <w:sz w:val="24"/>
          <w:szCs w:val="24"/>
          <w:lang w:eastAsia="lv-LV"/>
        </w:rPr>
        <w:t>, kam kā 2.pilikums tika pievienota Ēku renovācijas ilgtermiņa stratēģija.</w:t>
      </w:r>
      <w:r w:rsidR="001740B7" w:rsidRPr="008E4EB0">
        <w:rPr>
          <w:rFonts w:ascii="Times New Roman" w:eastAsia="Calibri" w:hAnsi="Times New Roman" w:cs="Times New Roman"/>
          <w:sz w:val="24"/>
          <w:szCs w:val="24"/>
          <w:lang w:eastAsia="lv-LV"/>
        </w:rPr>
        <w:t xml:space="preserve"> </w:t>
      </w:r>
      <w:r w:rsidR="00125E09" w:rsidRPr="008E4EB0">
        <w:rPr>
          <w:rFonts w:ascii="Times New Roman" w:eastAsia="Calibri" w:hAnsi="Times New Roman" w:cs="Times New Roman"/>
          <w:sz w:val="24"/>
          <w:szCs w:val="24"/>
          <w:lang w:eastAsia="lv-LV"/>
        </w:rPr>
        <w:t>Turpmākajās sadaļās aktualizēta Stratēģijas otrā versija.</w:t>
      </w:r>
    </w:p>
    <w:p w14:paraId="3AD49623" w14:textId="08908806" w:rsidR="001740B7" w:rsidRPr="008E4EB0" w:rsidRDefault="001740B7" w:rsidP="00D64CF6">
      <w:pPr>
        <w:keepLines/>
        <w:spacing w:after="0" w:line="240" w:lineRule="auto"/>
        <w:ind w:firstLine="851"/>
        <w:jc w:val="both"/>
        <w:rPr>
          <w:rFonts w:ascii="Times New Roman" w:eastAsia="Calibri" w:hAnsi="Times New Roman" w:cs="Times New Roman"/>
          <w:sz w:val="24"/>
          <w:szCs w:val="24"/>
          <w:lang w:eastAsia="lv-LV"/>
        </w:rPr>
      </w:pPr>
      <w:r w:rsidRPr="008E4EB0">
        <w:rPr>
          <w:rFonts w:ascii="Times New Roman" w:eastAsia="Calibri" w:hAnsi="Times New Roman" w:cs="Times New Roman"/>
          <w:sz w:val="24"/>
          <w:szCs w:val="24"/>
          <w:lang w:eastAsia="lv-LV"/>
        </w:rPr>
        <w:br w:type="page"/>
      </w:r>
    </w:p>
    <w:p w14:paraId="2BBEF059" w14:textId="77777777" w:rsidR="001740B7" w:rsidRPr="008E4EB0" w:rsidRDefault="001740B7" w:rsidP="007B2931">
      <w:pPr>
        <w:spacing w:after="0" w:line="276" w:lineRule="auto"/>
        <w:rPr>
          <w:rFonts w:ascii="Times New Roman" w:hAnsi="Times New Roman" w:cs="Times New Roman"/>
          <w:sz w:val="24"/>
          <w:szCs w:val="24"/>
        </w:rPr>
      </w:pPr>
    </w:p>
    <w:p w14:paraId="5CCBDE8F" w14:textId="0B63FD99" w:rsidR="00990903" w:rsidRPr="008E4EB0" w:rsidRDefault="00990903" w:rsidP="00BF64AE">
      <w:pPr>
        <w:pStyle w:val="virsraksts"/>
      </w:pPr>
      <w:bookmarkStart w:id="4" w:name="_Toc480527944"/>
      <w:bookmarkStart w:id="5" w:name="_Toc491870899"/>
      <w:r w:rsidRPr="008E4EB0">
        <w:t>Pārskats par valsts ēku fondu</w:t>
      </w:r>
      <w:bookmarkEnd w:id="4"/>
      <w:bookmarkEnd w:id="5"/>
    </w:p>
    <w:p w14:paraId="010C9EEE" w14:textId="1ABCC07E" w:rsidR="00894854" w:rsidRPr="008E4EB0" w:rsidRDefault="00990903" w:rsidP="00BF64AE">
      <w:pPr>
        <w:pStyle w:val="apakvirsraksts"/>
      </w:pPr>
      <w:bookmarkStart w:id="6" w:name="_Toc480527945"/>
      <w:bookmarkStart w:id="7" w:name="_Toc491870900"/>
      <w:r w:rsidRPr="008E4EB0">
        <w:t>Pārskatā apzinātās galveno ēku kategorijas</w:t>
      </w:r>
      <w:bookmarkStart w:id="8" w:name="_Toc480527202"/>
      <w:bookmarkStart w:id="9" w:name="_Toc480527946"/>
      <w:bookmarkStart w:id="10" w:name="_Toc480528271"/>
      <w:bookmarkStart w:id="11" w:name="_Toc480527947"/>
      <w:bookmarkEnd w:id="6"/>
      <w:bookmarkEnd w:id="7"/>
      <w:bookmarkEnd w:id="8"/>
      <w:bookmarkEnd w:id="9"/>
      <w:bookmarkEnd w:id="10"/>
      <w:bookmarkEnd w:id="11"/>
    </w:p>
    <w:p w14:paraId="50F8DCFA" w14:textId="2CB04BF4" w:rsidR="00B744FC" w:rsidRPr="008E4EB0" w:rsidRDefault="00B744FC" w:rsidP="00B744FC">
      <w:pPr>
        <w:keepLines/>
        <w:spacing w:after="0" w:line="240" w:lineRule="auto"/>
        <w:ind w:firstLine="851"/>
        <w:jc w:val="both"/>
        <w:rPr>
          <w:rFonts w:ascii="Times New Roman" w:eastAsia="Calibri" w:hAnsi="Times New Roman" w:cs="Times New Roman"/>
          <w:sz w:val="24"/>
        </w:rPr>
      </w:pPr>
      <w:r w:rsidRPr="008E4EB0">
        <w:rPr>
          <w:rFonts w:ascii="Times New Roman" w:eastAsia="Calibri" w:hAnsi="Times New Roman" w:cs="Times New Roman"/>
          <w:sz w:val="24"/>
          <w:szCs w:val="24"/>
          <w:lang w:eastAsia="lv-LV"/>
        </w:rPr>
        <w:t xml:space="preserve">Ēku sektorā patērētā enerģija veido līdz 40% no visas energobilances, tādēļ ēku sektors ietver ievērojamu potenciālu kopējo energoefektivitātes mērķu sasniegšanā. Lielākajai daļai esošo ēku ir augsts energoresursu patēriņš, un tām ir būtiski zemākas siltumtehniskās īpašības, nekā var nodrošināt ar šobrīd pieejamām tehnoloģijām. Vairums šo ēku tiks ekspluatētas vēl ievērojamu laika periodu, līdz ar to aktuāla ir šo ēku pakāpeniska </w:t>
      </w:r>
      <w:r w:rsidR="001740B7" w:rsidRPr="008E4EB0">
        <w:rPr>
          <w:rFonts w:ascii="Times New Roman" w:eastAsia="Calibri" w:hAnsi="Times New Roman" w:cs="Times New Roman"/>
          <w:sz w:val="24"/>
          <w:szCs w:val="24"/>
          <w:lang w:eastAsia="lv-LV"/>
        </w:rPr>
        <w:t>atjaunošana</w:t>
      </w:r>
      <w:r w:rsidRPr="008E4EB0">
        <w:rPr>
          <w:rFonts w:ascii="Times New Roman" w:eastAsia="Calibri" w:hAnsi="Times New Roman" w:cs="Times New Roman"/>
          <w:sz w:val="24"/>
          <w:szCs w:val="24"/>
          <w:lang w:eastAsia="lv-LV"/>
        </w:rPr>
        <w:t>, uzlabojot to energoefektivitāti.</w:t>
      </w:r>
      <w:r w:rsidRPr="008E4EB0">
        <w:rPr>
          <w:rFonts w:ascii="Times New Roman" w:eastAsia="Calibri" w:hAnsi="Times New Roman" w:cs="Times New Roman"/>
          <w:sz w:val="24"/>
        </w:rPr>
        <w:t xml:space="preserve"> </w:t>
      </w:r>
    </w:p>
    <w:p w14:paraId="76424606" w14:textId="025E9BD9" w:rsidR="00B744FC" w:rsidRPr="008E4EB0" w:rsidRDefault="00B744FC" w:rsidP="00B744FC">
      <w:pPr>
        <w:widowControl w:val="0"/>
        <w:spacing w:after="0" w:line="240" w:lineRule="auto"/>
        <w:ind w:firstLine="851"/>
        <w:jc w:val="both"/>
        <w:rPr>
          <w:rFonts w:ascii="Times New Roman" w:eastAsia="Calibri" w:hAnsi="Times New Roman" w:cs="Times New Roman"/>
          <w:sz w:val="24"/>
        </w:rPr>
      </w:pPr>
      <w:r w:rsidRPr="008E4EB0">
        <w:rPr>
          <w:rFonts w:ascii="Times New Roman" w:eastAsia="Calibri" w:hAnsi="Times New Roman" w:cs="Times New Roman"/>
          <w:iCs/>
          <w:sz w:val="24"/>
          <w:szCs w:val="24"/>
        </w:rPr>
        <w:t>Nekustamā īpašuma valsts kadastra informācijas sistēmā (turpmāk - NĪVK IS) reģistrētas 1,</w:t>
      </w:r>
      <w:r w:rsidR="001740B7" w:rsidRPr="008E4EB0">
        <w:rPr>
          <w:rFonts w:ascii="Times New Roman" w:eastAsia="Calibri" w:hAnsi="Times New Roman" w:cs="Times New Roman"/>
          <w:iCs/>
          <w:sz w:val="24"/>
          <w:szCs w:val="24"/>
        </w:rPr>
        <w:t xml:space="preserve">36 </w:t>
      </w:r>
      <w:r w:rsidRPr="008E4EB0">
        <w:rPr>
          <w:rFonts w:ascii="Times New Roman" w:eastAsia="Calibri" w:hAnsi="Times New Roman" w:cs="Times New Roman"/>
          <w:iCs/>
          <w:sz w:val="24"/>
          <w:szCs w:val="24"/>
        </w:rPr>
        <w:t>miljoni ēkas, kuru kopējā platība ir 204,74 milj. m</w:t>
      </w:r>
      <w:r w:rsidRPr="008E4EB0">
        <w:rPr>
          <w:rFonts w:ascii="Times New Roman" w:eastAsia="Calibri" w:hAnsi="Times New Roman" w:cs="Times New Roman"/>
          <w:iCs/>
          <w:sz w:val="24"/>
          <w:szCs w:val="24"/>
          <w:vertAlign w:val="superscript"/>
        </w:rPr>
        <w:t>2</w:t>
      </w:r>
      <w:r w:rsidRPr="008E4EB0">
        <w:rPr>
          <w:rFonts w:ascii="Times New Roman" w:eastAsia="Calibri" w:hAnsi="Times New Roman" w:cs="Times New Roman"/>
          <w:iCs/>
          <w:sz w:val="24"/>
          <w:szCs w:val="24"/>
        </w:rPr>
        <w:t>, t.sk. dažāda tipa palīgēkas. No kopējā ēku skaita aptuveni 400 tūkstošos ēkās enerģiju izmanto iekštelpu mikroklimata regulēšanai (tiek apsildītas), no tām 361,8 tūkstoši ar kopējo platību 90,1 milj. m</w:t>
      </w:r>
      <w:r w:rsidRPr="008E4EB0">
        <w:rPr>
          <w:rFonts w:ascii="Times New Roman" w:eastAsia="Calibri" w:hAnsi="Times New Roman" w:cs="Times New Roman"/>
          <w:iCs/>
          <w:sz w:val="24"/>
          <w:szCs w:val="24"/>
          <w:vertAlign w:val="superscript"/>
        </w:rPr>
        <w:t>2</w:t>
      </w:r>
      <w:r w:rsidRPr="008E4EB0">
        <w:rPr>
          <w:rFonts w:ascii="Times New Roman" w:eastAsia="Calibri" w:hAnsi="Times New Roman" w:cs="Times New Roman"/>
          <w:iCs/>
          <w:sz w:val="24"/>
          <w:szCs w:val="24"/>
        </w:rPr>
        <w:t xml:space="preserve"> ir dzīvojamās mājas. </w:t>
      </w:r>
      <w:r w:rsidRPr="008E4EB0">
        <w:rPr>
          <w:rFonts w:ascii="Times New Roman" w:eastAsia="Calibri" w:hAnsi="Times New Roman" w:cs="Times New Roman"/>
          <w:sz w:val="24"/>
          <w:szCs w:val="24"/>
          <w:lang w:eastAsia="lv-LV"/>
        </w:rPr>
        <w:t>Pēc skaita visvairāk – 85% - ir viena dzīvokļa ēkas (307.8 tūkstoši), taču pēc platības viena dzīvokļa ēku īpatsvars ir tikai 39,7% un lielāko īpatsvaru – 59,3% - veido daudzdzīvokļu (triju un vairāku dzīvokļu) ēkas (53.4 milj. m</w:t>
      </w:r>
      <w:r w:rsidRPr="008E4EB0">
        <w:rPr>
          <w:rFonts w:ascii="Times New Roman" w:eastAsia="Calibri" w:hAnsi="Times New Roman" w:cs="Times New Roman"/>
          <w:sz w:val="24"/>
          <w:szCs w:val="24"/>
          <w:vertAlign w:val="superscript"/>
          <w:lang w:eastAsia="lv-LV"/>
        </w:rPr>
        <w:t>2</w:t>
      </w:r>
      <w:r w:rsidRPr="008E4EB0">
        <w:rPr>
          <w:rFonts w:ascii="Times New Roman" w:eastAsia="Calibri" w:hAnsi="Times New Roman" w:cs="Times New Roman"/>
          <w:sz w:val="24"/>
          <w:szCs w:val="24"/>
          <w:lang w:eastAsia="lv-LV"/>
        </w:rPr>
        <w:t xml:space="preserve">), kaut arī to skaits veido tikai 14,7% (53,3 tūkstoši). </w:t>
      </w:r>
    </w:p>
    <w:p w14:paraId="678540E6" w14:textId="77777777" w:rsidR="00B744FC" w:rsidRPr="008E4EB0" w:rsidRDefault="00B744FC" w:rsidP="00B744FC">
      <w:pPr>
        <w:spacing w:after="0" w:line="240" w:lineRule="auto"/>
        <w:ind w:firstLine="851"/>
        <w:jc w:val="both"/>
        <w:rPr>
          <w:rFonts w:ascii="Times New Roman" w:eastAsia="Calibri" w:hAnsi="Times New Roman" w:cs="Times New Roman"/>
          <w:sz w:val="24"/>
        </w:rPr>
      </w:pPr>
      <w:r w:rsidRPr="008E4EB0">
        <w:rPr>
          <w:rFonts w:ascii="Times New Roman" w:eastAsia="Calibri" w:hAnsi="Times New Roman" w:cs="Times New Roman"/>
          <w:sz w:val="24"/>
        </w:rPr>
        <w:t xml:space="preserve">Saskaņā ar </w:t>
      </w:r>
      <w:r w:rsidRPr="008E4EB0">
        <w:rPr>
          <w:rFonts w:ascii="Times New Roman" w:eastAsia="Calibri" w:hAnsi="Times New Roman" w:cs="Times New Roman"/>
          <w:iCs/>
          <w:sz w:val="24"/>
          <w:szCs w:val="24"/>
        </w:rPr>
        <w:t>NĪVK IS</w:t>
      </w:r>
      <w:r w:rsidRPr="008E4EB0">
        <w:rPr>
          <w:rFonts w:ascii="Times New Roman" w:eastAsia="Calibri" w:hAnsi="Times New Roman" w:cs="Times New Roman"/>
          <w:sz w:val="24"/>
          <w:vertAlign w:val="superscript"/>
        </w:rPr>
        <w:t>2</w:t>
      </w:r>
      <w:r w:rsidRPr="008E4EB0">
        <w:rPr>
          <w:rFonts w:ascii="Times New Roman" w:eastAsia="Calibri" w:hAnsi="Times New Roman" w:cs="Times New Roman"/>
          <w:sz w:val="24"/>
        </w:rPr>
        <w:t xml:space="preserve"> datiem Latvijā ir 361 tūkstotis dzīvojamo māju, no kurām 53 tūkstoši ir daudzdzīvokļu mājas, 307 tūkstoši ir individuālās mājās un 663 ir dažādu sociālo grupu kopdzīvojamās mājas. </w:t>
      </w:r>
    </w:p>
    <w:p w14:paraId="6C6D7C1D" w14:textId="4C8DB676" w:rsidR="00B744FC" w:rsidRPr="008E4EB0" w:rsidRDefault="00B744FC" w:rsidP="00B744FC">
      <w:pPr>
        <w:spacing w:after="0" w:line="240" w:lineRule="auto"/>
        <w:ind w:firstLine="851"/>
        <w:jc w:val="both"/>
        <w:rPr>
          <w:rFonts w:ascii="Times New Roman" w:eastAsia="Calibri" w:hAnsi="Times New Roman" w:cs="Times New Roman"/>
          <w:iCs/>
          <w:sz w:val="24"/>
          <w:szCs w:val="24"/>
        </w:rPr>
      </w:pPr>
      <w:r w:rsidRPr="008E4EB0">
        <w:rPr>
          <w:rFonts w:ascii="Times New Roman" w:eastAsia="Calibri" w:hAnsi="Times New Roman" w:cs="Times New Roman"/>
          <w:sz w:val="24"/>
        </w:rPr>
        <w:t xml:space="preserve">Ēku </w:t>
      </w:r>
      <w:r w:rsidRPr="008E4EB0">
        <w:rPr>
          <w:rFonts w:ascii="Times New Roman" w:eastAsia="Calibri" w:hAnsi="Times New Roman" w:cs="Times New Roman"/>
          <w:iCs/>
          <w:sz w:val="24"/>
          <w:szCs w:val="24"/>
        </w:rPr>
        <w:t>energoefektivitātes kontekstā izdalāmas 30 tūkstoši nedzīvojamās ēkas ar kopējo platību 26,4 milj. m</w:t>
      </w:r>
      <w:r w:rsidRPr="008E4EB0">
        <w:rPr>
          <w:rFonts w:ascii="Times New Roman" w:eastAsia="Calibri" w:hAnsi="Times New Roman" w:cs="Times New Roman"/>
          <w:iCs/>
          <w:sz w:val="24"/>
          <w:szCs w:val="24"/>
          <w:vertAlign w:val="superscript"/>
        </w:rPr>
        <w:t>2</w:t>
      </w:r>
      <w:r w:rsidRPr="008E4EB0">
        <w:rPr>
          <w:rFonts w:ascii="Times New Roman" w:eastAsia="Calibri" w:hAnsi="Times New Roman" w:cs="Times New Roman"/>
          <w:iCs/>
          <w:sz w:val="24"/>
          <w:szCs w:val="24"/>
        </w:rPr>
        <w:t>, kurās enerģija nepieciešama telpu mikroklimata uzturēšanai, kā arī 32,9 tūkstoši rūpnieciskās ražošanas ēkas ar kopējo platību 18,1 milj. m</w:t>
      </w:r>
      <w:r w:rsidRPr="008E4EB0">
        <w:rPr>
          <w:rFonts w:ascii="Times New Roman" w:eastAsia="Calibri" w:hAnsi="Times New Roman" w:cs="Times New Roman"/>
          <w:iCs/>
          <w:sz w:val="24"/>
          <w:szCs w:val="24"/>
          <w:vertAlign w:val="superscript"/>
        </w:rPr>
        <w:t>2</w:t>
      </w:r>
      <w:r w:rsidRPr="008E4EB0">
        <w:rPr>
          <w:rFonts w:ascii="Times New Roman" w:eastAsia="Calibri" w:hAnsi="Times New Roman" w:cs="Times New Roman"/>
          <w:iCs/>
          <w:sz w:val="24"/>
          <w:szCs w:val="24"/>
        </w:rPr>
        <w:t>, kurās arī tiek patērēta enerģija, vienlaikus šajās ēkās raksturīgas būtiskas enerģijas patēriņa atšķirības, ko ietekmē dažādās ražošanas procesu tehnoloģijas.</w:t>
      </w:r>
    </w:p>
    <w:p w14:paraId="3F3F66D6" w14:textId="53F5390F" w:rsidR="00B744FC" w:rsidRPr="008E4EB0" w:rsidRDefault="00B744FC" w:rsidP="00B744FC">
      <w:pPr>
        <w:spacing w:after="0" w:line="240" w:lineRule="auto"/>
        <w:ind w:firstLine="851"/>
        <w:jc w:val="both"/>
        <w:rPr>
          <w:rFonts w:ascii="Times New Roman" w:eastAsia="Calibri" w:hAnsi="Times New Roman" w:cs="Times New Roman"/>
          <w:iCs/>
          <w:sz w:val="24"/>
          <w:szCs w:val="24"/>
        </w:rPr>
      </w:pPr>
      <w:r w:rsidRPr="008E4EB0">
        <w:rPr>
          <w:rFonts w:ascii="Times New Roman" w:eastAsia="Calibri" w:hAnsi="Times New Roman" w:cs="Times New Roman"/>
          <w:iCs/>
          <w:sz w:val="24"/>
          <w:szCs w:val="24"/>
        </w:rPr>
        <w:t>Enerģiju patērējošo dzīvojamo un nedzīvojamo ēku skaits un platība apkopota 1.tabulā.</w:t>
      </w:r>
      <w:r w:rsidRPr="008E4EB0">
        <w:rPr>
          <w:rFonts w:ascii="Times New Roman" w:eastAsia="Calibri" w:hAnsi="Times New Roman" w:cs="Times New Roman"/>
          <w:iCs/>
          <w:sz w:val="24"/>
          <w:szCs w:val="24"/>
          <w:vertAlign w:val="superscript"/>
        </w:rPr>
        <w:footnoteReference w:id="1"/>
      </w:r>
    </w:p>
    <w:p w14:paraId="019AD3D6" w14:textId="77777777" w:rsidR="00894854" w:rsidRPr="008E4EB0" w:rsidRDefault="00894854" w:rsidP="00B744FC">
      <w:pPr>
        <w:spacing w:after="0" w:line="240" w:lineRule="auto"/>
        <w:ind w:firstLine="851"/>
        <w:jc w:val="both"/>
        <w:rPr>
          <w:rFonts w:ascii="Times New Roman" w:eastAsia="Calibri" w:hAnsi="Times New Roman" w:cs="Times New Roman"/>
          <w:iCs/>
          <w:sz w:val="24"/>
          <w:szCs w:val="24"/>
        </w:rPr>
      </w:pPr>
    </w:p>
    <w:p w14:paraId="35B3A314" w14:textId="77777777" w:rsidR="00B744FC" w:rsidRPr="008E4EB0" w:rsidRDefault="00B744FC" w:rsidP="00B744FC">
      <w:pPr>
        <w:keepNext/>
        <w:spacing w:after="0" w:line="240" w:lineRule="auto"/>
        <w:ind w:firstLine="851"/>
        <w:jc w:val="center"/>
        <w:rPr>
          <w:rFonts w:ascii="Times New Roman" w:eastAsia="Calibri" w:hAnsi="Times New Roman" w:cs="Times New Roman"/>
          <w:iCs/>
          <w:sz w:val="24"/>
          <w:szCs w:val="24"/>
        </w:rPr>
      </w:pPr>
      <w:r w:rsidRPr="008E4EB0">
        <w:rPr>
          <w:rFonts w:ascii="Times New Roman" w:eastAsia="Calibri" w:hAnsi="Times New Roman" w:cs="Times New Roman"/>
          <w:iCs/>
          <w:sz w:val="24"/>
          <w:szCs w:val="24"/>
        </w:rPr>
        <w:t xml:space="preserve">1.tabula. Enerģiju patērējošu dzīvojamo un nedzīvojamo ēku skaits un platība </w:t>
      </w:r>
      <w:r w:rsidRPr="008E4EB0">
        <w:rPr>
          <w:rFonts w:ascii="Times New Roman" w:eastAsia="Calibri" w:hAnsi="Times New Roman" w:cs="Times New Roman"/>
          <w:iCs/>
          <w:sz w:val="24"/>
          <w:szCs w:val="24"/>
          <w:vertAlign w:val="superscript"/>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0"/>
        <w:gridCol w:w="1311"/>
        <w:gridCol w:w="1455"/>
      </w:tblGrid>
      <w:tr w:rsidR="00B744FC" w:rsidRPr="008E4EB0" w14:paraId="7BC71CA5" w14:textId="77777777" w:rsidTr="00B744FC">
        <w:trPr>
          <w:trHeight w:val="315"/>
        </w:trPr>
        <w:tc>
          <w:tcPr>
            <w:tcW w:w="6219" w:type="dxa"/>
            <w:shd w:val="clear" w:color="auto" w:fill="auto"/>
            <w:hideMark/>
          </w:tcPr>
          <w:p w14:paraId="47840B02" w14:textId="77777777" w:rsidR="00B744FC" w:rsidRPr="008E4EB0" w:rsidRDefault="00B744FC" w:rsidP="00B744FC">
            <w:pPr>
              <w:spacing w:after="0" w:line="240" w:lineRule="auto"/>
              <w:ind w:firstLine="5"/>
              <w:jc w:val="center"/>
              <w:rPr>
                <w:rFonts w:ascii="Times New Roman" w:eastAsia="Times New Roman" w:hAnsi="Times New Roman" w:cs="Times New Roman"/>
                <w:b/>
                <w:bCs/>
                <w:sz w:val="20"/>
                <w:szCs w:val="20"/>
                <w:lang w:eastAsia="lv-LV"/>
              </w:rPr>
            </w:pPr>
            <w:r w:rsidRPr="008E4EB0">
              <w:rPr>
                <w:rFonts w:ascii="Times New Roman" w:eastAsia="Times New Roman" w:hAnsi="Times New Roman" w:cs="Times New Roman"/>
                <w:b/>
                <w:bCs/>
                <w:sz w:val="20"/>
                <w:szCs w:val="20"/>
                <w:lang w:eastAsia="lv-LV"/>
              </w:rPr>
              <w:t>Galvenais lietošanas veids</w:t>
            </w:r>
          </w:p>
        </w:tc>
        <w:tc>
          <w:tcPr>
            <w:tcW w:w="1453" w:type="dxa"/>
            <w:shd w:val="clear" w:color="auto" w:fill="auto"/>
            <w:noWrap/>
            <w:hideMark/>
          </w:tcPr>
          <w:p w14:paraId="2FA73647" w14:textId="77777777" w:rsidR="00B744FC" w:rsidRPr="008E4EB0" w:rsidRDefault="00B744FC" w:rsidP="00B744FC">
            <w:pPr>
              <w:spacing w:after="0" w:line="240" w:lineRule="auto"/>
              <w:ind w:firstLine="5"/>
              <w:jc w:val="center"/>
              <w:rPr>
                <w:rFonts w:ascii="Times New Roman" w:eastAsia="Times New Roman" w:hAnsi="Times New Roman" w:cs="Times New Roman"/>
                <w:b/>
                <w:bCs/>
                <w:sz w:val="20"/>
                <w:szCs w:val="20"/>
                <w:lang w:eastAsia="lv-LV"/>
              </w:rPr>
            </w:pPr>
            <w:r w:rsidRPr="008E4EB0">
              <w:rPr>
                <w:rFonts w:ascii="Times New Roman" w:eastAsia="Times New Roman" w:hAnsi="Times New Roman" w:cs="Times New Roman"/>
                <w:b/>
                <w:bCs/>
                <w:sz w:val="20"/>
                <w:szCs w:val="20"/>
                <w:lang w:eastAsia="lv-LV"/>
              </w:rPr>
              <w:t>Skaits</w:t>
            </w:r>
          </w:p>
        </w:tc>
        <w:tc>
          <w:tcPr>
            <w:tcW w:w="1616" w:type="dxa"/>
            <w:shd w:val="clear" w:color="auto" w:fill="auto"/>
            <w:noWrap/>
            <w:hideMark/>
          </w:tcPr>
          <w:p w14:paraId="3CDA0082" w14:textId="77777777" w:rsidR="00B744FC" w:rsidRPr="008E4EB0" w:rsidRDefault="00B744FC" w:rsidP="00B744FC">
            <w:pPr>
              <w:spacing w:after="0" w:line="240" w:lineRule="auto"/>
              <w:ind w:firstLine="5"/>
              <w:jc w:val="center"/>
              <w:rPr>
                <w:rFonts w:ascii="Times New Roman" w:eastAsia="Times New Roman" w:hAnsi="Times New Roman" w:cs="Times New Roman"/>
                <w:b/>
                <w:bCs/>
                <w:sz w:val="20"/>
                <w:szCs w:val="20"/>
                <w:lang w:eastAsia="lv-LV"/>
              </w:rPr>
            </w:pPr>
            <w:r w:rsidRPr="008E4EB0">
              <w:rPr>
                <w:rFonts w:ascii="Times New Roman" w:eastAsia="Times New Roman" w:hAnsi="Times New Roman" w:cs="Times New Roman"/>
                <w:b/>
                <w:bCs/>
                <w:sz w:val="20"/>
                <w:szCs w:val="20"/>
                <w:lang w:eastAsia="lv-LV"/>
              </w:rPr>
              <w:t>Platība,</w:t>
            </w:r>
          </w:p>
          <w:p w14:paraId="12525658" w14:textId="77777777" w:rsidR="00B744FC" w:rsidRPr="008E4EB0" w:rsidRDefault="00B744FC" w:rsidP="00B744FC">
            <w:pPr>
              <w:spacing w:after="0" w:line="240" w:lineRule="auto"/>
              <w:ind w:firstLine="5"/>
              <w:jc w:val="center"/>
              <w:rPr>
                <w:rFonts w:ascii="Times New Roman" w:eastAsia="Times New Roman" w:hAnsi="Times New Roman" w:cs="Times New Roman"/>
                <w:b/>
                <w:bCs/>
                <w:sz w:val="20"/>
                <w:szCs w:val="20"/>
                <w:lang w:eastAsia="lv-LV"/>
              </w:rPr>
            </w:pPr>
            <w:r w:rsidRPr="008E4EB0">
              <w:rPr>
                <w:rFonts w:ascii="Times New Roman" w:eastAsia="Times New Roman" w:hAnsi="Times New Roman" w:cs="Times New Roman"/>
                <w:b/>
                <w:bCs/>
                <w:sz w:val="20"/>
                <w:szCs w:val="20"/>
                <w:lang w:eastAsia="lv-LV"/>
              </w:rPr>
              <w:t>milj. m</w:t>
            </w:r>
            <w:r w:rsidRPr="008E4EB0">
              <w:rPr>
                <w:rFonts w:ascii="Times New Roman" w:eastAsia="Times New Roman" w:hAnsi="Times New Roman" w:cs="Times New Roman"/>
                <w:b/>
                <w:bCs/>
                <w:sz w:val="20"/>
                <w:szCs w:val="20"/>
                <w:vertAlign w:val="superscript"/>
                <w:lang w:eastAsia="lv-LV"/>
              </w:rPr>
              <w:t>2</w:t>
            </w:r>
          </w:p>
        </w:tc>
      </w:tr>
      <w:tr w:rsidR="00B744FC" w:rsidRPr="008E4EB0" w14:paraId="25528088" w14:textId="77777777" w:rsidTr="00B744FC">
        <w:trPr>
          <w:trHeight w:val="315"/>
        </w:trPr>
        <w:tc>
          <w:tcPr>
            <w:tcW w:w="9288" w:type="dxa"/>
            <w:gridSpan w:val="3"/>
            <w:shd w:val="clear" w:color="auto" w:fill="auto"/>
            <w:noWrap/>
            <w:hideMark/>
          </w:tcPr>
          <w:p w14:paraId="20A2EC5D" w14:textId="77777777" w:rsidR="00B744FC" w:rsidRPr="008E4EB0" w:rsidRDefault="00B744FC" w:rsidP="00B744FC">
            <w:pPr>
              <w:spacing w:after="0" w:line="240" w:lineRule="auto"/>
              <w:ind w:firstLine="5"/>
              <w:jc w:val="center"/>
              <w:rPr>
                <w:rFonts w:ascii="Times New Roman" w:eastAsia="Times New Roman" w:hAnsi="Times New Roman" w:cs="Times New Roman"/>
                <w:b/>
                <w:bCs/>
                <w:sz w:val="20"/>
                <w:szCs w:val="20"/>
                <w:lang w:eastAsia="lv-LV"/>
              </w:rPr>
            </w:pPr>
            <w:r w:rsidRPr="008E4EB0">
              <w:rPr>
                <w:rFonts w:ascii="Times New Roman" w:eastAsia="Times New Roman" w:hAnsi="Times New Roman" w:cs="Times New Roman"/>
                <w:b/>
                <w:bCs/>
                <w:sz w:val="20"/>
                <w:szCs w:val="20"/>
                <w:lang w:eastAsia="lv-LV"/>
              </w:rPr>
              <w:t>Dzīvojamās ēkas</w:t>
            </w:r>
          </w:p>
        </w:tc>
      </w:tr>
      <w:tr w:rsidR="00B744FC" w:rsidRPr="008E4EB0" w14:paraId="0DBD913C" w14:textId="77777777" w:rsidTr="00B744FC">
        <w:trPr>
          <w:trHeight w:val="315"/>
        </w:trPr>
        <w:tc>
          <w:tcPr>
            <w:tcW w:w="6219" w:type="dxa"/>
            <w:shd w:val="clear" w:color="auto" w:fill="auto"/>
            <w:noWrap/>
            <w:hideMark/>
          </w:tcPr>
          <w:p w14:paraId="6919A597" w14:textId="77777777" w:rsidR="00B744FC" w:rsidRPr="008E4EB0" w:rsidRDefault="00B744FC" w:rsidP="00B744FC">
            <w:pPr>
              <w:spacing w:after="0" w:line="240" w:lineRule="auto"/>
              <w:ind w:firstLine="5"/>
              <w:rPr>
                <w:rFonts w:ascii="Times New Roman" w:eastAsia="Times New Roman" w:hAnsi="Times New Roman" w:cs="Times New Roman"/>
                <w:bCs/>
                <w:sz w:val="20"/>
                <w:szCs w:val="20"/>
                <w:lang w:eastAsia="lv-LV"/>
              </w:rPr>
            </w:pPr>
            <w:r w:rsidRPr="008E4EB0">
              <w:rPr>
                <w:rFonts w:ascii="Times New Roman" w:eastAsia="Times New Roman" w:hAnsi="Times New Roman" w:cs="Times New Roman"/>
                <w:bCs/>
                <w:sz w:val="20"/>
                <w:szCs w:val="20"/>
                <w:lang w:eastAsia="lv-LV"/>
              </w:rPr>
              <w:t>Viena dzīvokļa māja</w:t>
            </w:r>
          </w:p>
        </w:tc>
        <w:tc>
          <w:tcPr>
            <w:tcW w:w="1453" w:type="dxa"/>
            <w:shd w:val="clear" w:color="auto" w:fill="auto"/>
            <w:noWrap/>
            <w:hideMark/>
          </w:tcPr>
          <w:p w14:paraId="17F276F0" w14:textId="77777777" w:rsidR="00B744FC" w:rsidRPr="008E4EB0" w:rsidRDefault="00B744FC" w:rsidP="00B744FC">
            <w:pPr>
              <w:spacing w:after="0" w:line="240" w:lineRule="auto"/>
              <w:ind w:firstLine="5"/>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307 861</w:t>
            </w:r>
          </w:p>
        </w:tc>
        <w:tc>
          <w:tcPr>
            <w:tcW w:w="1616" w:type="dxa"/>
            <w:shd w:val="clear" w:color="auto" w:fill="auto"/>
            <w:noWrap/>
            <w:hideMark/>
          </w:tcPr>
          <w:p w14:paraId="4BC989F0" w14:textId="77777777" w:rsidR="00B744FC" w:rsidRPr="008E4EB0" w:rsidRDefault="00B744FC" w:rsidP="00B744FC">
            <w:pPr>
              <w:spacing w:after="0" w:line="240" w:lineRule="auto"/>
              <w:ind w:firstLine="5"/>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35.82</w:t>
            </w:r>
          </w:p>
        </w:tc>
      </w:tr>
      <w:tr w:rsidR="00B744FC" w:rsidRPr="008E4EB0" w14:paraId="63A2C3CC" w14:textId="77777777" w:rsidTr="00B744FC">
        <w:trPr>
          <w:trHeight w:val="315"/>
        </w:trPr>
        <w:tc>
          <w:tcPr>
            <w:tcW w:w="6219" w:type="dxa"/>
            <w:shd w:val="clear" w:color="auto" w:fill="auto"/>
            <w:noWrap/>
            <w:hideMark/>
          </w:tcPr>
          <w:p w14:paraId="3C79647E" w14:textId="77777777" w:rsidR="00B744FC" w:rsidRPr="008E4EB0" w:rsidRDefault="00B744FC" w:rsidP="00B744FC">
            <w:pPr>
              <w:spacing w:after="0" w:line="240" w:lineRule="auto"/>
              <w:ind w:firstLine="5"/>
              <w:rPr>
                <w:rFonts w:ascii="Times New Roman" w:eastAsia="Times New Roman" w:hAnsi="Times New Roman" w:cs="Times New Roman"/>
                <w:bCs/>
                <w:sz w:val="20"/>
                <w:szCs w:val="20"/>
                <w:lang w:eastAsia="lv-LV"/>
              </w:rPr>
            </w:pPr>
            <w:r w:rsidRPr="008E4EB0">
              <w:rPr>
                <w:rFonts w:ascii="Times New Roman" w:eastAsia="Times New Roman" w:hAnsi="Times New Roman" w:cs="Times New Roman"/>
                <w:bCs/>
                <w:sz w:val="20"/>
                <w:szCs w:val="20"/>
                <w:lang w:eastAsia="lv-LV"/>
              </w:rPr>
              <w:t>Divu dzīvokļu</w:t>
            </w:r>
          </w:p>
        </w:tc>
        <w:tc>
          <w:tcPr>
            <w:tcW w:w="1453" w:type="dxa"/>
            <w:shd w:val="clear" w:color="auto" w:fill="auto"/>
            <w:noWrap/>
            <w:hideMark/>
          </w:tcPr>
          <w:p w14:paraId="18110A5F" w14:textId="77777777" w:rsidR="00B744FC" w:rsidRPr="008E4EB0" w:rsidRDefault="00B744FC" w:rsidP="00B744FC">
            <w:pPr>
              <w:spacing w:after="0" w:line="240" w:lineRule="auto"/>
              <w:ind w:firstLine="5"/>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13 861</w:t>
            </w:r>
          </w:p>
        </w:tc>
        <w:tc>
          <w:tcPr>
            <w:tcW w:w="1616" w:type="dxa"/>
            <w:shd w:val="clear" w:color="auto" w:fill="auto"/>
            <w:noWrap/>
            <w:hideMark/>
          </w:tcPr>
          <w:p w14:paraId="60C794C2" w14:textId="77777777" w:rsidR="00B744FC" w:rsidRPr="008E4EB0" w:rsidRDefault="00B744FC" w:rsidP="00B744FC">
            <w:pPr>
              <w:spacing w:after="0" w:line="240" w:lineRule="auto"/>
              <w:ind w:firstLine="5"/>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2.17</w:t>
            </w:r>
          </w:p>
        </w:tc>
      </w:tr>
      <w:tr w:rsidR="00B744FC" w:rsidRPr="008E4EB0" w14:paraId="731473A2" w14:textId="77777777" w:rsidTr="00B744FC">
        <w:trPr>
          <w:trHeight w:val="315"/>
        </w:trPr>
        <w:tc>
          <w:tcPr>
            <w:tcW w:w="6219" w:type="dxa"/>
            <w:shd w:val="clear" w:color="auto" w:fill="auto"/>
            <w:noWrap/>
            <w:hideMark/>
          </w:tcPr>
          <w:p w14:paraId="763E4378" w14:textId="77777777" w:rsidR="00B744FC" w:rsidRPr="008E4EB0" w:rsidRDefault="00B744FC" w:rsidP="00B744FC">
            <w:pPr>
              <w:spacing w:after="0" w:line="240" w:lineRule="auto"/>
              <w:ind w:firstLine="5"/>
              <w:rPr>
                <w:rFonts w:ascii="Times New Roman" w:eastAsia="Times New Roman" w:hAnsi="Times New Roman" w:cs="Times New Roman"/>
                <w:bCs/>
                <w:sz w:val="20"/>
                <w:szCs w:val="20"/>
                <w:lang w:eastAsia="lv-LV"/>
              </w:rPr>
            </w:pPr>
            <w:r w:rsidRPr="008E4EB0">
              <w:rPr>
                <w:rFonts w:ascii="Times New Roman" w:eastAsia="Times New Roman" w:hAnsi="Times New Roman" w:cs="Times New Roman"/>
                <w:bCs/>
                <w:sz w:val="20"/>
                <w:szCs w:val="20"/>
                <w:lang w:eastAsia="lv-LV"/>
              </w:rPr>
              <w:t>Triju un vairāku dzīvokļu</w:t>
            </w:r>
          </w:p>
        </w:tc>
        <w:tc>
          <w:tcPr>
            <w:tcW w:w="1453" w:type="dxa"/>
            <w:shd w:val="clear" w:color="auto" w:fill="auto"/>
            <w:noWrap/>
            <w:hideMark/>
          </w:tcPr>
          <w:p w14:paraId="4DAF550B" w14:textId="77777777" w:rsidR="00B744FC" w:rsidRPr="008E4EB0" w:rsidRDefault="00B744FC" w:rsidP="00B744FC">
            <w:pPr>
              <w:spacing w:after="0" w:line="240" w:lineRule="auto"/>
              <w:ind w:firstLine="5"/>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39 504</w:t>
            </w:r>
          </w:p>
        </w:tc>
        <w:tc>
          <w:tcPr>
            <w:tcW w:w="1616" w:type="dxa"/>
            <w:shd w:val="clear" w:color="auto" w:fill="auto"/>
            <w:noWrap/>
            <w:hideMark/>
          </w:tcPr>
          <w:p w14:paraId="5A5E69FA" w14:textId="77777777" w:rsidR="00B744FC" w:rsidRPr="008E4EB0" w:rsidRDefault="00B744FC" w:rsidP="00B744FC">
            <w:pPr>
              <w:spacing w:after="0" w:line="240" w:lineRule="auto"/>
              <w:ind w:firstLine="5"/>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51.26</w:t>
            </w:r>
          </w:p>
        </w:tc>
      </w:tr>
      <w:tr w:rsidR="00B744FC" w:rsidRPr="008E4EB0" w14:paraId="6C51EF77" w14:textId="77777777" w:rsidTr="00B744FC">
        <w:trPr>
          <w:trHeight w:val="315"/>
        </w:trPr>
        <w:tc>
          <w:tcPr>
            <w:tcW w:w="6219" w:type="dxa"/>
            <w:shd w:val="clear" w:color="auto" w:fill="auto"/>
            <w:noWrap/>
            <w:hideMark/>
          </w:tcPr>
          <w:p w14:paraId="72A5098E" w14:textId="77777777" w:rsidR="00B744FC" w:rsidRPr="008E4EB0" w:rsidRDefault="00B744FC" w:rsidP="00B744FC">
            <w:pPr>
              <w:spacing w:after="0" w:line="240" w:lineRule="auto"/>
              <w:ind w:firstLine="5"/>
              <w:rPr>
                <w:rFonts w:ascii="Times New Roman" w:eastAsia="Times New Roman" w:hAnsi="Times New Roman" w:cs="Times New Roman"/>
                <w:bCs/>
                <w:sz w:val="20"/>
                <w:szCs w:val="20"/>
                <w:lang w:eastAsia="lv-LV"/>
              </w:rPr>
            </w:pPr>
            <w:r w:rsidRPr="008E4EB0">
              <w:rPr>
                <w:rFonts w:ascii="Times New Roman" w:eastAsia="Times New Roman" w:hAnsi="Times New Roman" w:cs="Times New Roman"/>
                <w:bCs/>
                <w:sz w:val="20"/>
                <w:szCs w:val="20"/>
                <w:lang w:eastAsia="lv-LV"/>
              </w:rPr>
              <w:t>Dažādu sociālo grupu</w:t>
            </w:r>
          </w:p>
        </w:tc>
        <w:tc>
          <w:tcPr>
            <w:tcW w:w="1453" w:type="dxa"/>
            <w:shd w:val="clear" w:color="auto" w:fill="auto"/>
            <w:noWrap/>
            <w:hideMark/>
          </w:tcPr>
          <w:p w14:paraId="406C8898" w14:textId="77777777" w:rsidR="00B744FC" w:rsidRPr="008E4EB0" w:rsidRDefault="00B744FC" w:rsidP="00B744FC">
            <w:pPr>
              <w:spacing w:after="0" w:line="240" w:lineRule="auto"/>
              <w:ind w:firstLine="5"/>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663</w:t>
            </w:r>
          </w:p>
        </w:tc>
        <w:tc>
          <w:tcPr>
            <w:tcW w:w="1616" w:type="dxa"/>
            <w:shd w:val="clear" w:color="auto" w:fill="auto"/>
            <w:noWrap/>
            <w:hideMark/>
          </w:tcPr>
          <w:p w14:paraId="1EC0FA60" w14:textId="77777777" w:rsidR="00B744FC" w:rsidRPr="008E4EB0" w:rsidRDefault="00B744FC" w:rsidP="00B744FC">
            <w:pPr>
              <w:spacing w:after="0" w:line="240" w:lineRule="auto"/>
              <w:ind w:firstLine="5"/>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0.85</w:t>
            </w:r>
          </w:p>
        </w:tc>
      </w:tr>
      <w:tr w:rsidR="00B744FC" w:rsidRPr="008E4EB0" w14:paraId="0FE58C1F" w14:textId="77777777" w:rsidTr="00B744FC">
        <w:trPr>
          <w:trHeight w:val="315"/>
        </w:trPr>
        <w:tc>
          <w:tcPr>
            <w:tcW w:w="6219" w:type="dxa"/>
            <w:shd w:val="clear" w:color="auto" w:fill="auto"/>
            <w:noWrap/>
            <w:hideMark/>
          </w:tcPr>
          <w:p w14:paraId="1E5CAA15" w14:textId="77777777" w:rsidR="00B744FC" w:rsidRPr="008E4EB0" w:rsidRDefault="00B744FC" w:rsidP="00B744FC">
            <w:pPr>
              <w:spacing w:after="0" w:line="240" w:lineRule="auto"/>
              <w:ind w:firstLine="5"/>
              <w:rPr>
                <w:rFonts w:ascii="Times New Roman" w:eastAsia="Times New Roman" w:hAnsi="Times New Roman" w:cs="Times New Roman"/>
                <w:bCs/>
                <w:sz w:val="20"/>
                <w:szCs w:val="20"/>
                <w:lang w:eastAsia="lv-LV"/>
              </w:rPr>
            </w:pPr>
            <w:r w:rsidRPr="008E4EB0">
              <w:rPr>
                <w:rFonts w:ascii="Times New Roman" w:eastAsia="Times New Roman" w:hAnsi="Times New Roman" w:cs="Times New Roman"/>
                <w:bCs/>
                <w:sz w:val="20"/>
                <w:szCs w:val="20"/>
                <w:lang w:eastAsia="lv-LV"/>
              </w:rPr>
              <w:t>kopā</w:t>
            </w:r>
          </w:p>
        </w:tc>
        <w:tc>
          <w:tcPr>
            <w:tcW w:w="1453" w:type="dxa"/>
            <w:shd w:val="clear" w:color="auto" w:fill="auto"/>
            <w:noWrap/>
            <w:hideMark/>
          </w:tcPr>
          <w:p w14:paraId="63F5B939" w14:textId="77777777" w:rsidR="00B744FC" w:rsidRPr="008E4EB0" w:rsidRDefault="00B744FC" w:rsidP="00B744FC">
            <w:pPr>
              <w:spacing w:after="0" w:line="240" w:lineRule="auto"/>
              <w:ind w:firstLine="5"/>
              <w:jc w:val="center"/>
              <w:rPr>
                <w:rFonts w:ascii="Times New Roman" w:eastAsia="Times New Roman" w:hAnsi="Times New Roman" w:cs="Times New Roman"/>
                <w:b/>
                <w:sz w:val="20"/>
                <w:szCs w:val="20"/>
                <w:lang w:eastAsia="lv-LV"/>
              </w:rPr>
            </w:pPr>
            <w:r w:rsidRPr="008E4EB0">
              <w:rPr>
                <w:rFonts w:ascii="Times New Roman" w:eastAsia="Times New Roman" w:hAnsi="Times New Roman" w:cs="Times New Roman"/>
                <w:b/>
                <w:sz w:val="20"/>
                <w:szCs w:val="20"/>
                <w:lang w:eastAsia="lv-LV"/>
              </w:rPr>
              <w:t>361 889</w:t>
            </w:r>
          </w:p>
        </w:tc>
        <w:tc>
          <w:tcPr>
            <w:tcW w:w="1616" w:type="dxa"/>
            <w:shd w:val="clear" w:color="auto" w:fill="auto"/>
            <w:noWrap/>
            <w:hideMark/>
          </w:tcPr>
          <w:p w14:paraId="64CFB87D" w14:textId="77777777" w:rsidR="00B744FC" w:rsidRPr="008E4EB0" w:rsidRDefault="00B744FC" w:rsidP="00B744FC">
            <w:pPr>
              <w:spacing w:after="0" w:line="240" w:lineRule="auto"/>
              <w:ind w:firstLine="5"/>
              <w:jc w:val="center"/>
              <w:rPr>
                <w:rFonts w:ascii="Times New Roman" w:eastAsia="Times New Roman" w:hAnsi="Times New Roman" w:cs="Times New Roman"/>
                <w:b/>
                <w:sz w:val="20"/>
                <w:szCs w:val="20"/>
                <w:lang w:eastAsia="lv-LV"/>
              </w:rPr>
            </w:pPr>
            <w:r w:rsidRPr="008E4EB0">
              <w:rPr>
                <w:rFonts w:ascii="Times New Roman" w:eastAsia="Times New Roman" w:hAnsi="Times New Roman" w:cs="Times New Roman"/>
                <w:b/>
                <w:sz w:val="20"/>
                <w:szCs w:val="20"/>
                <w:lang w:eastAsia="lv-LV"/>
              </w:rPr>
              <w:t>90.10</w:t>
            </w:r>
          </w:p>
        </w:tc>
      </w:tr>
      <w:tr w:rsidR="00B744FC" w:rsidRPr="008E4EB0" w14:paraId="6EB1FF13" w14:textId="77777777" w:rsidTr="00B744FC">
        <w:trPr>
          <w:trHeight w:val="315"/>
        </w:trPr>
        <w:tc>
          <w:tcPr>
            <w:tcW w:w="9288" w:type="dxa"/>
            <w:gridSpan w:val="3"/>
            <w:shd w:val="clear" w:color="auto" w:fill="auto"/>
            <w:noWrap/>
            <w:hideMark/>
          </w:tcPr>
          <w:p w14:paraId="743D4CA3" w14:textId="77777777" w:rsidR="00B744FC" w:rsidRPr="008E4EB0" w:rsidRDefault="00B744FC" w:rsidP="003207BB">
            <w:pPr>
              <w:keepNext/>
              <w:spacing w:after="0" w:line="240" w:lineRule="auto"/>
              <w:ind w:firstLine="6"/>
              <w:jc w:val="center"/>
              <w:rPr>
                <w:rFonts w:ascii="Times New Roman" w:eastAsia="Times New Roman" w:hAnsi="Times New Roman" w:cs="Times New Roman"/>
                <w:b/>
                <w:bCs/>
                <w:sz w:val="20"/>
                <w:szCs w:val="20"/>
                <w:lang w:eastAsia="lv-LV"/>
              </w:rPr>
            </w:pPr>
            <w:r w:rsidRPr="008E4EB0">
              <w:rPr>
                <w:rFonts w:ascii="Times New Roman" w:eastAsia="Times New Roman" w:hAnsi="Times New Roman" w:cs="Times New Roman"/>
                <w:b/>
                <w:bCs/>
                <w:sz w:val="20"/>
                <w:szCs w:val="20"/>
                <w:lang w:eastAsia="lv-LV"/>
              </w:rPr>
              <w:t>Nedzīvojamās ēkas</w:t>
            </w:r>
          </w:p>
        </w:tc>
      </w:tr>
      <w:tr w:rsidR="00B744FC" w:rsidRPr="008E4EB0" w14:paraId="6B36AD39" w14:textId="77777777" w:rsidTr="00B744FC">
        <w:trPr>
          <w:trHeight w:val="315"/>
        </w:trPr>
        <w:tc>
          <w:tcPr>
            <w:tcW w:w="6219" w:type="dxa"/>
            <w:shd w:val="clear" w:color="auto" w:fill="auto"/>
            <w:noWrap/>
            <w:hideMark/>
          </w:tcPr>
          <w:p w14:paraId="3D937177" w14:textId="77777777" w:rsidR="00B744FC" w:rsidRPr="008E4EB0" w:rsidRDefault="00B744FC" w:rsidP="00B744FC">
            <w:pPr>
              <w:spacing w:after="0" w:line="240" w:lineRule="auto"/>
              <w:ind w:firstLine="5"/>
              <w:rPr>
                <w:rFonts w:ascii="Times New Roman" w:eastAsia="Times New Roman" w:hAnsi="Times New Roman" w:cs="Times New Roman"/>
                <w:bCs/>
                <w:sz w:val="20"/>
                <w:szCs w:val="20"/>
                <w:lang w:eastAsia="lv-LV"/>
              </w:rPr>
            </w:pPr>
            <w:r w:rsidRPr="008E4EB0">
              <w:rPr>
                <w:rFonts w:ascii="Times New Roman" w:eastAsia="Times New Roman" w:hAnsi="Times New Roman" w:cs="Times New Roman"/>
                <w:bCs/>
                <w:sz w:val="20"/>
                <w:szCs w:val="20"/>
                <w:lang w:eastAsia="lv-LV"/>
              </w:rPr>
              <w:t>Vairumtirdzniecības un mazumtirdzniecības ēkas</w:t>
            </w:r>
          </w:p>
        </w:tc>
        <w:tc>
          <w:tcPr>
            <w:tcW w:w="1453" w:type="dxa"/>
            <w:shd w:val="clear" w:color="auto" w:fill="auto"/>
            <w:noWrap/>
            <w:vAlign w:val="center"/>
            <w:hideMark/>
          </w:tcPr>
          <w:p w14:paraId="5C74BBEB" w14:textId="77777777" w:rsidR="00B744FC" w:rsidRPr="008E4EB0" w:rsidRDefault="00B744FC" w:rsidP="00B744FC">
            <w:pPr>
              <w:spacing w:after="0" w:line="240" w:lineRule="auto"/>
              <w:ind w:firstLine="5"/>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8 097</w:t>
            </w:r>
          </w:p>
        </w:tc>
        <w:tc>
          <w:tcPr>
            <w:tcW w:w="1616" w:type="dxa"/>
            <w:shd w:val="clear" w:color="auto" w:fill="auto"/>
            <w:noWrap/>
            <w:vAlign w:val="center"/>
            <w:hideMark/>
          </w:tcPr>
          <w:p w14:paraId="055A1079" w14:textId="77777777" w:rsidR="00B744FC" w:rsidRPr="008E4EB0" w:rsidRDefault="00B744FC" w:rsidP="00B744FC">
            <w:pPr>
              <w:spacing w:after="0" w:line="240" w:lineRule="auto"/>
              <w:ind w:firstLine="5"/>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4.92</w:t>
            </w:r>
          </w:p>
        </w:tc>
      </w:tr>
      <w:tr w:rsidR="00B744FC" w:rsidRPr="008E4EB0" w14:paraId="7FC55979" w14:textId="77777777" w:rsidTr="00B744FC">
        <w:trPr>
          <w:trHeight w:val="315"/>
        </w:trPr>
        <w:tc>
          <w:tcPr>
            <w:tcW w:w="6219" w:type="dxa"/>
            <w:shd w:val="clear" w:color="auto" w:fill="auto"/>
            <w:noWrap/>
            <w:hideMark/>
          </w:tcPr>
          <w:p w14:paraId="2BA0578C" w14:textId="77777777" w:rsidR="00B744FC" w:rsidRPr="008E4EB0" w:rsidRDefault="00B744FC" w:rsidP="00B744FC">
            <w:pPr>
              <w:spacing w:after="0" w:line="240" w:lineRule="auto"/>
              <w:ind w:firstLine="5"/>
              <w:rPr>
                <w:rFonts w:ascii="Times New Roman" w:eastAsia="Times New Roman" w:hAnsi="Times New Roman" w:cs="Times New Roman"/>
                <w:bCs/>
                <w:sz w:val="20"/>
                <w:szCs w:val="20"/>
                <w:lang w:eastAsia="lv-LV"/>
              </w:rPr>
            </w:pPr>
            <w:r w:rsidRPr="008E4EB0">
              <w:rPr>
                <w:rFonts w:ascii="Times New Roman" w:eastAsia="Times New Roman" w:hAnsi="Times New Roman" w:cs="Times New Roman"/>
                <w:bCs/>
                <w:sz w:val="20"/>
                <w:szCs w:val="20"/>
                <w:lang w:eastAsia="lv-LV"/>
              </w:rPr>
              <w:t>Biroju ēkas</w:t>
            </w:r>
          </w:p>
        </w:tc>
        <w:tc>
          <w:tcPr>
            <w:tcW w:w="1453" w:type="dxa"/>
            <w:shd w:val="clear" w:color="auto" w:fill="auto"/>
            <w:noWrap/>
            <w:vAlign w:val="center"/>
            <w:hideMark/>
          </w:tcPr>
          <w:p w14:paraId="414B68CE" w14:textId="77777777" w:rsidR="00B744FC" w:rsidRPr="008E4EB0" w:rsidRDefault="00B744FC" w:rsidP="00B744FC">
            <w:pPr>
              <w:spacing w:after="0" w:line="240" w:lineRule="auto"/>
              <w:ind w:firstLine="5"/>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7 144</w:t>
            </w:r>
          </w:p>
        </w:tc>
        <w:tc>
          <w:tcPr>
            <w:tcW w:w="1616" w:type="dxa"/>
            <w:shd w:val="clear" w:color="auto" w:fill="auto"/>
            <w:noWrap/>
            <w:vAlign w:val="center"/>
            <w:hideMark/>
          </w:tcPr>
          <w:p w14:paraId="0500839A" w14:textId="77777777" w:rsidR="00B744FC" w:rsidRPr="008E4EB0" w:rsidRDefault="00B744FC" w:rsidP="00B744FC">
            <w:pPr>
              <w:spacing w:after="0" w:line="240" w:lineRule="auto"/>
              <w:ind w:firstLine="5"/>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6.51</w:t>
            </w:r>
          </w:p>
        </w:tc>
      </w:tr>
      <w:tr w:rsidR="00B744FC" w:rsidRPr="008E4EB0" w14:paraId="477C52AA" w14:textId="77777777" w:rsidTr="00B744FC">
        <w:trPr>
          <w:trHeight w:val="315"/>
        </w:trPr>
        <w:tc>
          <w:tcPr>
            <w:tcW w:w="6219" w:type="dxa"/>
            <w:shd w:val="clear" w:color="auto" w:fill="auto"/>
            <w:noWrap/>
            <w:hideMark/>
          </w:tcPr>
          <w:p w14:paraId="51066F71" w14:textId="77777777" w:rsidR="00B744FC" w:rsidRPr="008E4EB0" w:rsidRDefault="00B744FC" w:rsidP="00B744FC">
            <w:pPr>
              <w:spacing w:after="0" w:line="240" w:lineRule="auto"/>
              <w:ind w:firstLine="5"/>
              <w:rPr>
                <w:rFonts w:ascii="Times New Roman" w:eastAsia="Times New Roman" w:hAnsi="Times New Roman" w:cs="Times New Roman"/>
                <w:bCs/>
                <w:sz w:val="20"/>
                <w:szCs w:val="20"/>
                <w:lang w:eastAsia="lv-LV"/>
              </w:rPr>
            </w:pPr>
            <w:r w:rsidRPr="008E4EB0">
              <w:rPr>
                <w:rFonts w:ascii="Times New Roman" w:eastAsia="Times New Roman" w:hAnsi="Times New Roman" w:cs="Times New Roman"/>
                <w:bCs/>
                <w:sz w:val="20"/>
                <w:szCs w:val="20"/>
                <w:lang w:eastAsia="lv-LV"/>
              </w:rPr>
              <w:t xml:space="preserve">Viesnīcu ēkas </w:t>
            </w:r>
          </w:p>
        </w:tc>
        <w:tc>
          <w:tcPr>
            <w:tcW w:w="1453" w:type="dxa"/>
            <w:shd w:val="clear" w:color="auto" w:fill="auto"/>
            <w:noWrap/>
            <w:vAlign w:val="center"/>
            <w:hideMark/>
          </w:tcPr>
          <w:p w14:paraId="7EEE1EE2" w14:textId="77777777" w:rsidR="00B744FC" w:rsidRPr="008E4EB0" w:rsidRDefault="00B744FC" w:rsidP="00B744FC">
            <w:pPr>
              <w:spacing w:after="0" w:line="240" w:lineRule="auto"/>
              <w:ind w:firstLine="5"/>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2 878</w:t>
            </w:r>
          </w:p>
        </w:tc>
        <w:tc>
          <w:tcPr>
            <w:tcW w:w="1616" w:type="dxa"/>
            <w:shd w:val="clear" w:color="auto" w:fill="auto"/>
            <w:noWrap/>
            <w:vAlign w:val="center"/>
            <w:hideMark/>
          </w:tcPr>
          <w:p w14:paraId="1023C655" w14:textId="77777777" w:rsidR="00B744FC" w:rsidRPr="008E4EB0" w:rsidRDefault="00B744FC" w:rsidP="00B744FC">
            <w:pPr>
              <w:spacing w:after="0" w:line="240" w:lineRule="auto"/>
              <w:ind w:firstLine="5"/>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2.31</w:t>
            </w:r>
          </w:p>
        </w:tc>
      </w:tr>
      <w:tr w:rsidR="00B744FC" w:rsidRPr="008E4EB0" w14:paraId="7DB0B66D" w14:textId="77777777" w:rsidTr="00B744FC">
        <w:trPr>
          <w:trHeight w:val="315"/>
        </w:trPr>
        <w:tc>
          <w:tcPr>
            <w:tcW w:w="6219" w:type="dxa"/>
            <w:shd w:val="clear" w:color="auto" w:fill="auto"/>
            <w:noWrap/>
          </w:tcPr>
          <w:p w14:paraId="077C2EE9" w14:textId="77777777" w:rsidR="00B744FC" w:rsidRPr="008E4EB0" w:rsidRDefault="00B744FC" w:rsidP="00B744FC">
            <w:pPr>
              <w:spacing w:after="0" w:line="240" w:lineRule="auto"/>
              <w:ind w:firstLine="5"/>
              <w:rPr>
                <w:rFonts w:ascii="Times New Roman" w:eastAsia="Times New Roman" w:hAnsi="Times New Roman" w:cs="Times New Roman"/>
                <w:bCs/>
                <w:sz w:val="20"/>
                <w:szCs w:val="20"/>
                <w:lang w:eastAsia="lv-LV"/>
              </w:rPr>
            </w:pPr>
            <w:r w:rsidRPr="008E4EB0">
              <w:rPr>
                <w:rFonts w:ascii="Times New Roman" w:eastAsia="Times New Roman" w:hAnsi="Times New Roman" w:cs="Times New Roman"/>
                <w:bCs/>
                <w:sz w:val="20"/>
                <w:szCs w:val="20"/>
                <w:lang w:eastAsia="lv-LV"/>
              </w:rPr>
              <w:t>Citas īslaicīgas apmešanās ēkas</w:t>
            </w:r>
          </w:p>
        </w:tc>
        <w:tc>
          <w:tcPr>
            <w:tcW w:w="1453" w:type="dxa"/>
            <w:shd w:val="clear" w:color="auto" w:fill="auto"/>
            <w:noWrap/>
            <w:vAlign w:val="center"/>
          </w:tcPr>
          <w:p w14:paraId="42204A61" w14:textId="77777777" w:rsidR="00B744FC" w:rsidRPr="008E4EB0" w:rsidRDefault="00B744FC" w:rsidP="00B744FC">
            <w:pPr>
              <w:spacing w:after="0" w:line="240" w:lineRule="auto"/>
              <w:ind w:firstLine="5"/>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2 655</w:t>
            </w:r>
          </w:p>
        </w:tc>
        <w:tc>
          <w:tcPr>
            <w:tcW w:w="1616" w:type="dxa"/>
            <w:shd w:val="clear" w:color="auto" w:fill="auto"/>
            <w:noWrap/>
            <w:vAlign w:val="center"/>
          </w:tcPr>
          <w:p w14:paraId="6BD24BBE" w14:textId="77777777" w:rsidR="00B744FC" w:rsidRPr="008E4EB0" w:rsidRDefault="00B744FC" w:rsidP="00B744FC">
            <w:pPr>
              <w:spacing w:after="0" w:line="240" w:lineRule="auto"/>
              <w:ind w:firstLine="5"/>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0.38</w:t>
            </w:r>
          </w:p>
        </w:tc>
      </w:tr>
      <w:tr w:rsidR="00B744FC" w:rsidRPr="008E4EB0" w14:paraId="3E7B7528" w14:textId="77777777" w:rsidTr="00B744FC">
        <w:trPr>
          <w:trHeight w:val="315"/>
        </w:trPr>
        <w:tc>
          <w:tcPr>
            <w:tcW w:w="6219" w:type="dxa"/>
            <w:shd w:val="clear" w:color="auto" w:fill="auto"/>
            <w:noWrap/>
            <w:hideMark/>
          </w:tcPr>
          <w:p w14:paraId="7F535DEB" w14:textId="77777777" w:rsidR="00B744FC" w:rsidRPr="008E4EB0" w:rsidRDefault="00B744FC" w:rsidP="00B744FC">
            <w:pPr>
              <w:spacing w:after="0" w:line="240" w:lineRule="auto"/>
              <w:ind w:firstLine="5"/>
              <w:rPr>
                <w:rFonts w:ascii="Times New Roman" w:eastAsia="Times New Roman" w:hAnsi="Times New Roman" w:cs="Times New Roman"/>
                <w:bCs/>
                <w:sz w:val="20"/>
                <w:szCs w:val="20"/>
                <w:lang w:eastAsia="lv-LV"/>
              </w:rPr>
            </w:pPr>
            <w:r w:rsidRPr="008E4EB0">
              <w:rPr>
                <w:rFonts w:ascii="Times New Roman" w:eastAsia="Times New Roman" w:hAnsi="Times New Roman" w:cs="Times New Roman"/>
                <w:bCs/>
                <w:sz w:val="20"/>
                <w:szCs w:val="20"/>
                <w:lang w:eastAsia="lv-LV"/>
              </w:rPr>
              <w:lastRenderedPageBreak/>
              <w:t>Skolas, universitātes un zinātniskās pētniecības ēkas</w:t>
            </w:r>
          </w:p>
        </w:tc>
        <w:tc>
          <w:tcPr>
            <w:tcW w:w="1453" w:type="dxa"/>
            <w:shd w:val="clear" w:color="auto" w:fill="auto"/>
            <w:noWrap/>
            <w:vAlign w:val="center"/>
            <w:hideMark/>
          </w:tcPr>
          <w:p w14:paraId="3C46F6FC" w14:textId="77777777" w:rsidR="00B744FC" w:rsidRPr="008E4EB0" w:rsidRDefault="00B744FC" w:rsidP="00B744FC">
            <w:pPr>
              <w:spacing w:after="0" w:line="240" w:lineRule="auto"/>
              <w:ind w:firstLine="5"/>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3 830</w:t>
            </w:r>
          </w:p>
        </w:tc>
        <w:tc>
          <w:tcPr>
            <w:tcW w:w="1616" w:type="dxa"/>
            <w:shd w:val="clear" w:color="auto" w:fill="auto"/>
            <w:noWrap/>
            <w:vAlign w:val="center"/>
            <w:hideMark/>
          </w:tcPr>
          <w:p w14:paraId="097DE9B5" w14:textId="77777777" w:rsidR="00B744FC" w:rsidRPr="008E4EB0" w:rsidRDefault="00B744FC" w:rsidP="00B744FC">
            <w:pPr>
              <w:spacing w:after="0" w:line="240" w:lineRule="auto"/>
              <w:ind w:firstLine="5"/>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6.94</w:t>
            </w:r>
          </w:p>
        </w:tc>
      </w:tr>
      <w:tr w:rsidR="00B744FC" w:rsidRPr="008E4EB0" w14:paraId="6D9EB5BC" w14:textId="77777777" w:rsidTr="00B744FC">
        <w:trPr>
          <w:trHeight w:val="315"/>
        </w:trPr>
        <w:tc>
          <w:tcPr>
            <w:tcW w:w="6219" w:type="dxa"/>
            <w:shd w:val="clear" w:color="auto" w:fill="auto"/>
            <w:noWrap/>
            <w:hideMark/>
          </w:tcPr>
          <w:p w14:paraId="214A6669" w14:textId="77777777" w:rsidR="00B744FC" w:rsidRPr="008E4EB0" w:rsidRDefault="00B744FC" w:rsidP="00B744FC">
            <w:pPr>
              <w:spacing w:after="0" w:line="240" w:lineRule="auto"/>
              <w:ind w:firstLine="5"/>
              <w:rPr>
                <w:rFonts w:ascii="Times New Roman" w:eastAsia="Times New Roman" w:hAnsi="Times New Roman" w:cs="Times New Roman"/>
                <w:bCs/>
                <w:sz w:val="20"/>
                <w:szCs w:val="20"/>
                <w:lang w:eastAsia="lv-LV"/>
              </w:rPr>
            </w:pPr>
            <w:r w:rsidRPr="008E4EB0">
              <w:rPr>
                <w:rFonts w:ascii="Times New Roman" w:eastAsia="Times New Roman" w:hAnsi="Times New Roman" w:cs="Times New Roman"/>
                <w:bCs/>
                <w:sz w:val="20"/>
                <w:szCs w:val="20"/>
                <w:lang w:eastAsia="lv-LV"/>
              </w:rPr>
              <w:t>Sakaru ēkas, stacijas, termināļi un ar tām saistītās ēkas</w:t>
            </w:r>
          </w:p>
        </w:tc>
        <w:tc>
          <w:tcPr>
            <w:tcW w:w="1453" w:type="dxa"/>
            <w:shd w:val="clear" w:color="auto" w:fill="auto"/>
            <w:noWrap/>
            <w:vAlign w:val="center"/>
            <w:hideMark/>
          </w:tcPr>
          <w:p w14:paraId="3E478CAE" w14:textId="77777777" w:rsidR="00B744FC" w:rsidRPr="008E4EB0" w:rsidRDefault="00B744FC" w:rsidP="00B744FC">
            <w:pPr>
              <w:spacing w:after="0" w:line="240" w:lineRule="auto"/>
              <w:ind w:firstLine="5"/>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2 661</w:t>
            </w:r>
          </w:p>
        </w:tc>
        <w:tc>
          <w:tcPr>
            <w:tcW w:w="1616" w:type="dxa"/>
            <w:shd w:val="clear" w:color="auto" w:fill="auto"/>
            <w:noWrap/>
            <w:vAlign w:val="center"/>
            <w:hideMark/>
          </w:tcPr>
          <w:p w14:paraId="59ECD470" w14:textId="77777777" w:rsidR="00B744FC" w:rsidRPr="008E4EB0" w:rsidRDefault="00B744FC" w:rsidP="00B744FC">
            <w:pPr>
              <w:spacing w:after="0" w:line="240" w:lineRule="auto"/>
              <w:ind w:firstLine="5"/>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0.89</w:t>
            </w:r>
          </w:p>
        </w:tc>
      </w:tr>
      <w:tr w:rsidR="00B744FC" w:rsidRPr="008E4EB0" w14:paraId="600EA594" w14:textId="77777777" w:rsidTr="00B744FC">
        <w:trPr>
          <w:trHeight w:val="315"/>
        </w:trPr>
        <w:tc>
          <w:tcPr>
            <w:tcW w:w="6219" w:type="dxa"/>
            <w:shd w:val="clear" w:color="auto" w:fill="auto"/>
            <w:noWrap/>
            <w:hideMark/>
          </w:tcPr>
          <w:p w14:paraId="7CAEE075" w14:textId="77777777" w:rsidR="00B744FC" w:rsidRPr="008E4EB0" w:rsidRDefault="00B744FC" w:rsidP="00B744FC">
            <w:pPr>
              <w:spacing w:after="0" w:line="240" w:lineRule="auto"/>
              <w:ind w:firstLine="5"/>
              <w:rPr>
                <w:rFonts w:ascii="Times New Roman" w:eastAsia="Times New Roman" w:hAnsi="Times New Roman" w:cs="Times New Roman"/>
                <w:bCs/>
                <w:sz w:val="20"/>
                <w:szCs w:val="20"/>
                <w:lang w:eastAsia="lv-LV"/>
              </w:rPr>
            </w:pPr>
            <w:r w:rsidRPr="008E4EB0">
              <w:rPr>
                <w:rFonts w:ascii="Times New Roman" w:eastAsia="Times New Roman" w:hAnsi="Times New Roman" w:cs="Times New Roman"/>
                <w:bCs/>
                <w:sz w:val="20"/>
                <w:szCs w:val="20"/>
                <w:lang w:eastAsia="lv-LV"/>
              </w:rPr>
              <w:t>Ārstniecības vai veselības aprūpes iestāžu ēkas</w:t>
            </w:r>
          </w:p>
        </w:tc>
        <w:tc>
          <w:tcPr>
            <w:tcW w:w="1453" w:type="dxa"/>
            <w:shd w:val="clear" w:color="auto" w:fill="auto"/>
            <w:noWrap/>
            <w:vAlign w:val="center"/>
            <w:hideMark/>
          </w:tcPr>
          <w:p w14:paraId="5BE5EFC0" w14:textId="77777777" w:rsidR="00B744FC" w:rsidRPr="008E4EB0" w:rsidRDefault="00B744FC" w:rsidP="00B744FC">
            <w:pPr>
              <w:spacing w:after="0" w:line="240" w:lineRule="auto"/>
              <w:ind w:firstLine="5"/>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1 344</w:t>
            </w:r>
          </w:p>
        </w:tc>
        <w:tc>
          <w:tcPr>
            <w:tcW w:w="1616" w:type="dxa"/>
            <w:shd w:val="clear" w:color="auto" w:fill="auto"/>
            <w:noWrap/>
            <w:vAlign w:val="center"/>
            <w:hideMark/>
          </w:tcPr>
          <w:p w14:paraId="1F2B6D59" w14:textId="77777777" w:rsidR="00B744FC" w:rsidRPr="008E4EB0" w:rsidRDefault="00B744FC" w:rsidP="00B744FC">
            <w:pPr>
              <w:spacing w:after="0" w:line="240" w:lineRule="auto"/>
              <w:ind w:firstLine="5"/>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2.02</w:t>
            </w:r>
          </w:p>
        </w:tc>
      </w:tr>
      <w:tr w:rsidR="00B744FC" w:rsidRPr="008E4EB0" w14:paraId="0E67A35A" w14:textId="77777777" w:rsidTr="00B744FC">
        <w:trPr>
          <w:trHeight w:val="315"/>
        </w:trPr>
        <w:tc>
          <w:tcPr>
            <w:tcW w:w="6219" w:type="dxa"/>
            <w:shd w:val="clear" w:color="auto" w:fill="auto"/>
            <w:noWrap/>
            <w:hideMark/>
          </w:tcPr>
          <w:p w14:paraId="2CF30C16" w14:textId="77777777" w:rsidR="00B744FC" w:rsidRPr="008E4EB0" w:rsidRDefault="00B744FC" w:rsidP="00B744FC">
            <w:pPr>
              <w:spacing w:after="0" w:line="240" w:lineRule="auto"/>
              <w:ind w:firstLine="5"/>
              <w:rPr>
                <w:rFonts w:ascii="Times New Roman" w:eastAsia="Times New Roman" w:hAnsi="Times New Roman" w:cs="Times New Roman"/>
                <w:bCs/>
                <w:sz w:val="20"/>
                <w:szCs w:val="20"/>
                <w:lang w:eastAsia="lv-LV"/>
              </w:rPr>
            </w:pPr>
            <w:r w:rsidRPr="008E4EB0">
              <w:rPr>
                <w:rFonts w:ascii="Times New Roman" w:eastAsia="Times New Roman" w:hAnsi="Times New Roman" w:cs="Times New Roman"/>
                <w:bCs/>
                <w:sz w:val="20"/>
                <w:szCs w:val="20"/>
                <w:lang w:eastAsia="lv-LV"/>
              </w:rPr>
              <w:t>Plašizklaides pasākumu ēkas</w:t>
            </w:r>
          </w:p>
        </w:tc>
        <w:tc>
          <w:tcPr>
            <w:tcW w:w="1453" w:type="dxa"/>
            <w:shd w:val="clear" w:color="auto" w:fill="auto"/>
            <w:noWrap/>
            <w:vAlign w:val="center"/>
            <w:hideMark/>
          </w:tcPr>
          <w:p w14:paraId="0323825C" w14:textId="77777777" w:rsidR="00B744FC" w:rsidRPr="008E4EB0" w:rsidRDefault="00B744FC" w:rsidP="00B744FC">
            <w:pPr>
              <w:spacing w:after="0" w:line="240" w:lineRule="auto"/>
              <w:ind w:firstLine="5"/>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1 216</w:t>
            </w:r>
          </w:p>
        </w:tc>
        <w:tc>
          <w:tcPr>
            <w:tcW w:w="1616" w:type="dxa"/>
            <w:shd w:val="clear" w:color="auto" w:fill="auto"/>
            <w:noWrap/>
            <w:vAlign w:val="center"/>
            <w:hideMark/>
          </w:tcPr>
          <w:p w14:paraId="044CB926" w14:textId="77777777" w:rsidR="00B744FC" w:rsidRPr="008E4EB0" w:rsidRDefault="00B744FC" w:rsidP="00B744FC">
            <w:pPr>
              <w:spacing w:after="0" w:line="240" w:lineRule="auto"/>
              <w:ind w:firstLine="5"/>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1.16</w:t>
            </w:r>
          </w:p>
        </w:tc>
      </w:tr>
      <w:tr w:rsidR="00B744FC" w:rsidRPr="008E4EB0" w14:paraId="12E408A8" w14:textId="77777777" w:rsidTr="00B744FC">
        <w:trPr>
          <w:trHeight w:val="315"/>
        </w:trPr>
        <w:tc>
          <w:tcPr>
            <w:tcW w:w="6219" w:type="dxa"/>
            <w:shd w:val="clear" w:color="auto" w:fill="auto"/>
            <w:noWrap/>
            <w:hideMark/>
          </w:tcPr>
          <w:p w14:paraId="38F2752D" w14:textId="77777777" w:rsidR="00B744FC" w:rsidRPr="008E4EB0" w:rsidRDefault="00B744FC" w:rsidP="00B744FC">
            <w:pPr>
              <w:spacing w:after="0" w:line="240" w:lineRule="auto"/>
              <w:ind w:firstLine="5"/>
              <w:rPr>
                <w:rFonts w:ascii="Times New Roman" w:eastAsia="Times New Roman" w:hAnsi="Times New Roman" w:cs="Times New Roman"/>
                <w:bCs/>
                <w:sz w:val="20"/>
                <w:szCs w:val="20"/>
                <w:lang w:eastAsia="lv-LV"/>
              </w:rPr>
            </w:pPr>
            <w:r w:rsidRPr="008E4EB0">
              <w:rPr>
                <w:rFonts w:ascii="Times New Roman" w:eastAsia="Times New Roman" w:hAnsi="Times New Roman" w:cs="Times New Roman"/>
                <w:bCs/>
                <w:sz w:val="20"/>
                <w:szCs w:val="20"/>
                <w:lang w:eastAsia="lv-LV"/>
              </w:rPr>
              <w:t>Sporta ēkas</w:t>
            </w:r>
          </w:p>
        </w:tc>
        <w:tc>
          <w:tcPr>
            <w:tcW w:w="1453" w:type="dxa"/>
            <w:shd w:val="clear" w:color="auto" w:fill="auto"/>
            <w:noWrap/>
            <w:vAlign w:val="center"/>
            <w:hideMark/>
          </w:tcPr>
          <w:p w14:paraId="4886007F" w14:textId="77777777" w:rsidR="00B744FC" w:rsidRPr="008E4EB0" w:rsidRDefault="00B744FC" w:rsidP="00B744FC">
            <w:pPr>
              <w:spacing w:after="0" w:line="240" w:lineRule="auto"/>
              <w:ind w:firstLine="5"/>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1 047</w:t>
            </w:r>
          </w:p>
        </w:tc>
        <w:tc>
          <w:tcPr>
            <w:tcW w:w="1616" w:type="dxa"/>
            <w:shd w:val="clear" w:color="auto" w:fill="auto"/>
            <w:noWrap/>
            <w:vAlign w:val="center"/>
            <w:hideMark/>
          </w:tcPr>
          <w:p w14:paraId="57CDF2AF" w14:textId="77777777" w:rsidR="00B744FC" w:rsidRPr="008E4EB0" w:rsidRDefault="00B744FC" w:rsidP="00B744FC">
            <w:pPr>
              <w:spacing w:after="0" w:line="240" w:lineRule="auto"/>
              <w:ind w:firstLine="5"/>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1.20</w:t>
            </w:r>
          </w:p>
        </w:tc>
      </w:tr>
      <w:tr w:rsidR="00B744FC" w:rsidRPr="008E4EB0" w14:paraId="7BEA0995" w14:textId="77777777" w:rsidTr="00B744FC">
        <w:trPr>
          <w:trHeight w:val="315"/>
        </w:trPr>
        <w:tc>
          <w:tcPr>
            <w:tcW w:w="6219" w:type="dxa"/>
            <w:shd w:val="clear" w:color="auto" w:fill="auto"/>
            <w:noWrap/>
            <w:hideMark/>
          </w:tcPr>
          <w:p w14:paraId="512CC9C8" w14:textId="77777777" w:rsidR="00B744FC" w:rsidRPr="008E4EB0" w:rsidRDefault="00B744FC" w:rsidP="00B744FC">
            <w:pPr>
              <w:spacing w:after="0" w:line="240" w:lineRule="auto"/>
              <w:ind w:firstLine="5"/>
              <w:rPr>
                <w:rFonts w:ascii="Times New Roman" w:eastAsia="Times New Roman" w:hAnsi="Times New Roman" w:cs="Times New Roman"/>
                <w:bCs/>
                <w:sz w:val="20"/>
                <w:szCs w:val="20"/>
                <w:lang w:eastAsia="lv-LV"/>
              </w:rPr>
            </w:pPr>
            <w:r w:rsidRPr="008E4EB0">
              <w:rPr>
                <w:rFonts w:ascii="Times New Roman" w:eastAsia="Times New Roman" w:hAnsi="Times New Roman" w:cs="Times New Roman"/>
                <w:bCs/>
                <w:sz w:val="20"/>
                <w:szCs w:val="20"/>
                <w:lang w:eastAsia="lv-LV"/>
              </w:rPr>
              <w:t>Muzeji un bibliotēkas</w:t>
            </w:r>
            <w:r w:rsidRPr="008E4EB0">
              <w:rPr>
                <w:rFonts w:ascii="Times New Roman" w:eastAsia="Times New Roman" w:hAnsi="Times New Roman" w:cs="Times New Roman"/>
                <w:bCs/>
                <w:sz w:val="20"/>
                <w:szCs w:val="20"/>
                <w:vertAlign w:val="superscript"/>
                <w:lang w:eastAsia="lv-LV"/>
              </w:rPr>
              <w:footnoteReference w:id="2"/>
            </w:r>
          </w:p>
        </w:tc>
        <w:tc>
          <w:tcPr>
            <w:tcW w:w="1453" w:type="dxa"/>
            <w:shd w:val="clear" w:color="auto" w:fill="auto"/>
            <w:noWrap/>
            <w:vAlign w:val="center"/>
            <w:hideMark/>
          </w:tcPr>
          <w:p w14:paraId="3E45D2B3" w14:textId="77777777" w:rsidR="00B744FC" w:rsidRPr="008E4EB0" w:rsidRDefault="00B744FC" w:rsidP="00B744FC">
            <w:pPr>
              <w:spacing w:after="0" w:line="240" w:lineRule="auto"/>
              <w:ind w:firstLine="5"/>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574</w:t>
            </w:r>
          </w:p>
        </w:tc>
        <w:tc>
          <w:tcPr>
            <w:tcW w:w="1616" w:type="dxa"/>
            <w:shd w:val="clear" w:color="auto" w:fill="auto"/>
            <w:noWrap/>
            <w:vAlign w:val="center"/>
            <w:hideMark/>
          </w:tcPr>
          <w:p w14:paraId="17B0FD17" w14:textId="77777777" w:rsidR="00B744FC" w:rsidRPr="008E4EB0" w:rsidRDefault="00B744FC" w:rsidP="00B744FC">
            <w:pPr>
              <w:spacing w:after="0" w:line="240" w:lineRule="auto"/>
              <w:ind w:firstLine="5"/>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0.49</w:t>
            </w:r>
          </w:p>
        </w:tc>
      </w:tr>
      <w:tr w:rsidR="00B744FC" w:rsidRPr="008E4EB0" w14:paraId="638739C3" w14:textId="77777777" w:rsidTr="00B744FC">
        <w:trPr>
          <w:trHeight w:val="315"/>
        </w:trPr>
        <w:tc>
          <w:tcPr>
            <w:tcW w:w="6219" w:type="dxa"/>
            <w:shd w:val="clear" w:color="auto" w:fill="auto"/>
            <w:noWrap/>
          </w:tcPr>
          <w:p w14:paraId="5C7E9C1A" w14:textId="77777777" w:rsidR="00B744FC" w:rsidRPr="008E4EB0" w:rsidRDefault="00B744FC" w:rsidP="00B744FC">
            <w:pPr>
              <w:spacing w:after="0" w:line="240" w:lineRule="auto"/>
              <w:ind w:firstLine="5"/>
              <w:rPr>
                <w:rFonts w:ascii="Times New Roman" w:eastAsia="Times New Roman" w:hAnsi="Times New Roman" w:cs="Times New Roman"/>
                <w:bCs/>
                <w:sz w:val="20"/>
                <w:szCs w:val="20"/>
                <w:lang w:eastAsia="lv-LV"/>
              </w:rPr>
            </w:pPr>
            <w:r w:rsidRPr="008E4EB0">
              <w:rPr>
                <w:rFonts w:ascii="Times New Roman" w:eastAsia="Times New Roman" w:hAnsi="Times New Roman" w:cs="Times New Roman"/>
                <w:bCs/>
                <w:sz w:val="20"/>
                <w:szCs w:val="20"/>
                <w:lang w:eastAsia="lv-LV"/>
              </w:rPr>
              <w:t>Kulta ēkas</w:t>
            </w:r>
          </w:p>
        </w:tc>
        <w:tc>
          <w:tcPr>
            <w:tcW w:w="1453" w:type="dxa"/>
            <w:shd w:val="clear" w:color="auto" w:fill="auto"/>
            <w:noWrap/>
            <w:vAlign w:val="center"/>
          </w:tcPr>
          <w:p w14:paraId="00377EC5" w14:textId="77777777" w:rsidR="00B744FC" w:rsidRPr="008E4EB0" w:rsidRDefault="00B744FC" w:rsidP="00B744FC">
            <w:pPr>
              <w:spacing w:after="0" w:line="240" w:lineRule="auto"/>
              <w:ind w:firstLine="5"/>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1 329</w:t>
            </w:r>
          </w:p>
        </w:tc>
        <w:tc>
          <w:tcPr>
            <w:tcW w:w="1616" w:type="dxa"/>
            <w:shd w:val="clear" w:color="auto" w:fill="auto"/>
            <w:noWrap/>
            <w:vAlign w:val="center"/>
          </w:tcPr>
          <w:p w14:paraId="6C06FF90" w14:textId="77777777" w:rsidR="00B744FC" w:rsidRPr="008E4EB0" w:rsidRDefault="00B744FC" w:rsidP="00B744FC">
            <w:pPr>
              <w:spacing w:after="0" w:line="240" w:lineRule="auto"/>
              <w:ind w:firstLine="5"/>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0.43</w:t>
            </w:r>
          </w:p>
        </w:tc>
      </w:tr>
      <w:tr w:rsidR="00B744FC" w:rsidRPr="008E4EB0" w14:paraId="1EF071AB" w14:textId="77777777" w:rsidTr="00B744FC">
        <w:trPr>
          <w:trHeight w:val="315"/>
        </w:trPr>
        <w:tc>
          <w:tcPr>
            <w:tcW w:w="6219" w:type="dxa"/>
            <w:shd w:val="clear" w:color="auto" w:fill="auto"/>
            <w:noWrap/>
          </w:tcPr>
          <w:p w14:paraId="55BFDF35" w14:textId="77777777" w:rsidR="00B744FC" w:rsidRPr="008E4EB0" w:rsidRDefault="00B744FC" w:rsidP="00B744FC">
            <w:pPr>
              <w:spacing w:after="0" w:line="240" w:lineRule="auto"/>
              <w:ind w:firstLine="5"/>
              <w:rPr>
                <w:rFonts w:ascii="Times New Roman" w:eastAsia="Times New Roman" w:hAnsi="Times New Roman" w:cs="Times New Roman"/>
                <w:bCs/>
                <w:sz w:val="20"/>
                <w:szCs w:val="20"/>
                <w:lang w:eastAsia="lv-LV"/>
              </w:rPr>
            </w:pPr>
            <w:r w:rsidRPr="008E4EB0">
              <w:rPr>
                <w:rFonts w:ascii="Times New Roman" w:eastAsia="Times New Roman" w:hAnsi="Times New Roman" w:cs="Times New Roman"/>
                <w:bCs/>
                <w:sz w:val="20"/>
                <w:szCs w:val="20"/>
                <w:lang w:eastAsia="lv-LV"/>
              </w:rPr>
              <w:t>Kultūrvēsturiskie objekti</w:t>
            </w:r>
          </w:p>
        </w:tc>
        <w:tc>
          <w:tcPr>
            <w:tcW w:w="1453" w:type="dxa"/>
            <w:shd w:val="clear" w:color="auto" w:fill="auto"/>
            <w:noWrap/>
            <w:vAlign w:val="center"/>
          </w:tcPr>
          <w:p w14:paraId="3CE2C746" w14:textId="77777777" w:rsidR="00B744FC" w:rsidRPr="008E4EB0" w:rsidRDefault="00B744FC" w:rsidP="00B744FC">
            <w:pPr>
              <w:spacing w:after="0" w:line="240" w:lineRule="auto"/>
              <w:ind w:firstLine="5"/>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50</w:t>
            </w:r>
          </w:p>
        </w:tc>
        <w:tc>
          <w:tcPr>
            <w:tcW w:w="1616" w:type="dxa"/>
            <w:shd w:val="clear" w:color="auto" w:fill="auto"/>
            <w:noWrap/>
            <w:vAlign w:val="center"/>
          </w:tcPr>
          <w:p w14:paraId="6303AC28" w14:textId="77777777" w:rsidR="00B744FC" w:rsidRPr="008E4EB0" w:rsidRDefault="00B744FC" w:rsidP="00B744FC">
            <w:pPr>
              <w:spacing w:after="0" w:line="240" w:lineRule="auto"/>
              <w:ind w:firstLine="5"/>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0.04</w:t>
            </w:r>
          </w:p>
        </w:tc>
      </w:tr>
      <w:tr w:rsidR="00B744FC" w:rsidRPr="008E4EB0" w14:paraId="57845A88" w14:textId="77777777" w:rsidTr="00B744FC">
        <w:trPr>
          <w:trHeight w:val="315"/>
        </w:trPr>
        <w:tc>
          <w:tcPr>
            <w:tcW w:w="6219" w:type="dxa"/>
            <w:shd w:val="clear" w:color="auto" w:fill="auto"/>
            <w:noWrap/>
          </w:tcPr>
          <w:p w14:paraId="09457F9F" w14:textId="77777777" w:rsidR="00B744FC" w:rsidRPr="008E4EB0" w:rsidRDefault="00B744FC" w:rsidP="00B744FC">
            <w:pPr>
              <w:spacing w:after="0" w:line="240" w:lineRule="auto"/>
              <w:ind w:firstLine="5"/>
              <w:rPr>
                <w:rFonts w:ascii="Times New Roman" w:eastAsia="Times New Roman" w:hAnsi="Times New Roman" w:cs="Times New Roman"/>
                <w:bCs/>
                <w:sz w:val="20"/>
                <w:szCs w:val="20"/>
                <w:lang w:eastAsia="lv-LV"/>
              </w:rPr>
            </w:pPr>
            <w:r w:rsidRPr="008E4EB0">
              <w:rPr>
                <w:rFonts w:ascii="Times New Roman" w:eastAsia="Times New Roman" w:hAnsi="Times New Roman" w:cs="Times New Roman"/>
                <w:bCs/>
                <w:sz w:val="20"/>
                <w:szCs w:val="20"/>
                <w:lang w:eastAsia="lv-LV"/>
              </w:rPr>
              <w:t>Garāžu ēkas</w:t>
            </w:r>
          </w:p>
        </w:tc>
        <w:tc>
          <w:tcPr>
            <w:tcW w:w="1453" w:type="dxa"/>
            <w:shd w:val="clear" w:color="auto" w:fill="auto"/>
            <w:noWrap/>
            <w:vAlign w:val="center"/>
          </w:tcPr>
          <w:p w14:paraId="4A3DA9B6" w14:textId="77777777" w:rsidR="00B744FC" w:rsidRPr="008E4EB0" w:rsidRDefault="00B744FC" w:rsidP="00B744FC">
            <w:pPr>
              <w:spacing w:after="0" w:line="240" w:lineRule="auto"/>
              <w:ind w:firstLine="5"/>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11 666</w:t>
            </w:r>
          </w:p>
        </w:tc>
        <w:tc>
          <w:tcPr>
            <w:tcW w:w="1616" w:type="dxa"/>
            <w:shd w:val="clear" w:color="auto" w:fill="auto"/>
            <w:noWrap/>
            <w:vAlign w:val="center"/>
          </w:tcPr>
          <w:p w14:paraId="3AA498BD" w14:textId="77777777" w:rsidR="00B744FC" w:rsidRPr="008E4EB0" w:rsidRDefault="00B744FC" w:rsidP="00B744FC">
            <w:pPr>
              <w:spacing w:after="0" w:line="240" w:lineRule="auto"/>
              <w:ind w:firstLine="5"/>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4.04</w:t>
            </w:r>
          </w:p>
        </w:tc>
      </w:tr>
      <w:tr w:rsidR="00B744FC" w:rsidRPr="008E4EB0" w14:paraId="3649F732" w14:textId="77777777" w:rsidTr="00B744FC">
        <w:trPr>
          <w:trHeight w:val="315"/>
        </w:trPr>
        <w:tc>
          <w:tcPr>
            <w:tcW w:w="6219" w:type="dxa"/>
            <w:shd w:val="clear" w:color="auto" w:fill="auto"/>
            <w:noWrap/>
          </w:tcPr>
          <w:p w14:paraId="0B920560" w14:textId="77777777" w:rsidR="00B744FC" w:rsidRPr="008E4EB0" w:rsidRDefault="00B744FC" w:rsidP="00B744FC">
            <w:pPr>
              <w:spacing w:after="0" w:line="240" w:lineRule="auto"/>
              <w:ind w:firstLine="5"/>
              <w:rPr>
                <w:rFonts w:ascii="Times New Roman" w:eastAsia="Times New Roman" w:hAnsi="Times New Roman" w:cs="Times New Roman"/>
                <w:bCs/>
                <w:sz w:val="20"/>
                <w:szCs w:val="20"/>
                <w:lang w:eastAsia="lv-LV"/>
              </w:rPr>
            </w:pPr>
            <w:r w:rsidRPr="008E4EB0">
              <w:rPr>
                <w:rFonts w:ascii="Times New Roman" w:eastAsia="Times New Roman" w:hAnsi="Times New Roman" w:cs="Times New Roman"/>
                <w:bCs/>
                <w:sz w:val="20"/>
                <w:szCs w:val="20"/>
                <w:lang w:eastAsia="lv-LV"/>
              </w:rPr>
              <w:t>Rūpnieciskās ražošanas ēkās</w:t>
            </w:r>
          </w:p>
        </w:tc>
        <w:tc>
          <w:tcPr>
            <w:tcW w:w="1453" w:type="dxa"/>
            <w:shd w:val="clear" w:color="auto" w:fill="auto"/>
            <w:noWrap/>
            <w:vAlign w:val="center"/>
          </w:tcPr>
          <w:p w14:paraId="7BE4F1EA" w14:textId="77777777" w:rsidR="00B744FC" w:rsidRPr="008E4EB0" w:rsidRDefault="00B744FC" w:rsidP="00B744FC">
            <w:pPr>
              <w:spacing w:after="0" w:line="240" w:lineRule="auto"/>
              <w:ind w:firstLine="5"/>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32 983</w:t>
            </w:r>
          </w:p>
        </w:tc>
        <w:tc>
          <w:tcPr>
            <w:tcW w:w="1616" w:type="dxa"/>
            <w:shd w:val="clear" w:color="auto" w:fill="auto"/>
            <w:noWrap/>
            <w:vAlign w:val="center"/>
          </w:tcPr>
          <w:p w14:paraId="19218723" w14:textId="77777777" w:rsidR="00B744FC" w:rsidRPr="008E4EB0" w:rsidRDefault="00B744FC" w:rsidP="00B744FC">
            <w:pPr>
              <w:spacing w:after="0" w:line="240" w:lineRule="auto"/>
              <w:ind w:firstLine="5"/>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18.10</w:t>
            </w:r>
          </w:p>
        </w:tc>
      </w:tr>
      <w:tr w:rsidR="00B744FC" w:rsidRPr="008E4EB0" w14:paraId="7BF76D2E" w14:textId="77777777" w:rsidTr="00B744FC">
        <w:trPr>
          <w:trHeight w:val="315"/>
        </w:trPr>
        <w:tc>
          <w:tcPr>
            <w:tcW w:w="6219" w:type="dxa"/>
            <w:shd w:val="clear" w:color="auto" w:fill="auto"/>
            <w:noWrap/>
          </w:tcPr>
          <w:p w14:paraId="4E9D1CD1" w14:textId="77777777" w:rsidR="00B744FC" w:rsidRPr="008E4EB0" w:rsidRDefault="00B744FC" w:rsidP="00B744FC">
            <w:pPr>
              <w:spacing w:after="0" w:line="240" w:lineRule="auto"/>
              <w:ind w:firstLine="5"/>
              <w:rPr>
                <w:rFonts w:ascii="Times New Roman" w:eastAsia="Times New Roman" w:hAnsi="Times New Roman" w:cs="Times New Roman"/>
                <w:bCs/>
                <w:sz w:val="20"/>
                <w:szCs w:val="20"/>
                <w:lang w:eastAsia="lv-LV"/>
              </w:rPr>
            </w:pPr>
            <w:r w:rsidRPr="008E4EB0">
              <w:rPr>
                <w:rFonts w:ascii="Times New Roman" w:eastAsia="Times New Roman" w:hAnsi="Times New Roman" w:cs="Times New Roman"/>
                <w:bCs/>
                <w:sz w:val="20"/>
                <w:szCs w:val="20"/>
                <w:lang w:eastAsia="lv-LV"/>
              </w:rPr>
              <w:t>Rezervuāri, bunkuri, silosi un noliktavas</w:t>
            </w:r>
          </w:p>
        </w:tc>
        <w:tc>
          <w:tcPr>
            <w:tcW w:w="1453" w:type="dxa"/>
            <w:shd w:val="clear" w:color="auto" w:fill="auto"/>
            <w:noWrap/>
            <w:vAlign w:val="center"/>
          </w:tcPr>
          <w:p w14:paraId="7C676E17" w14:textId="77777777" w:rsidR="00B744FC" w:rsidRPr="008E4EB0" w:rsidRDefault="00B744FC" w:rsidP="00B744FC">
            <w:pPr>
              <w:spacing w:after="0" w:line="240" w:lineRule="auto"/>
              <w:ind w:firstLine="5"/>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17 328</w:t>
            </w:r>
          </w:p>
        </w:tc>
        <w:tc>
          <w:tcPr>
            <w:tcW w:w="1616" w:type="dxa"/>
            <w:shd w:val="clear" w:color="auto" w:fill="auto"/>
            <w:noWrap/>
            <w:vAlign w:val="center"/>
          </w:tcPr>
          <w:p w14:paraId="26F76556" w14:textId="77777777" w:rsidR="00B744FC" w:rsidRPr="008E4EB0" w:rsidRDefault="00B744FC" w:rsidP="00B744FC">
            <w:pPr>
              <w:spacing w:after="0" w:line="240" w:lineRule="auto"/>
              <w:ind w:firstLine="5"/>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8.93</w:t>
            </w:r>
          </w:p>
        </w:tc>
      </w:tr>
      <w:tr w:rsidR="00B744FC" w:rsidRPr="008E4EB0" w14:paraId="34C25C32" w14:textId="77777777" w:rsidTr="00B744FC">
        <w:trPr>
          <w:trHeight w:val="315"/>
        </w:trPr>
        <w:tc>
          <w:tcPr>
            <w:tcW w:w="6219" w:type="dxa"/>
            <w:shd w:val="clear" w:color="auto" w:fill="auto"/>
            <w:noWrap/>
          </w:tcPr>
          <w:p w14:paraId="5E246EDA" w14:textId="77777777" w:rsidR="00B744FC" w:rsidRPr="008E4EB0" w:rsidRDefault="00B744FC" w:rsidP="00B744FC">
            <w:pPr>
              <w:spacing w:after="0" w:line="240" w:lineRule="auto"/>
              <w:ind w:firstLine="5"/>
              <w:rPr>
                <w:rFonts w:ascii="Times New Roman" w:eastAsia="Times New Roman" w:hAnsi="Times New Roman" w:cs="Times New Roman"/>
                <w:bCs/>
                <w:sz w:val="20"/>
                <w:szCs w:val="20"/>
                <w:lang w:eastAsia="lv-LV"/>
              </w:rPr>
            </w:pPr>
            <w:r w:rsidRPr="008E4EB0">
              <w:rPr>
                <w:rFonts w:ascii="Times New Roman" w:eastAsia="Times New Roman" w:hAnsi="Times New Roman" w:cs="Times New Roman"/>
                <w:bCs/>
                <w:sz w:val="20"/>
                <w:szCs w:val="20"/>
                <w:lang w:eastAsia="lv-LV"/>
              </w:rPr>
              <w:t>Lauku saimniecību nedzīvojamās ēkas</w:t>
            </w:r>
          </w:p>
        </w:tc>
        <w:tc>
          <w:tcPr>
            <w:tcW w:w="1453" w:type="dxa"/>
            <w:shd w:val="clear" w:color="auto" w:fill="auto"/>
            <w:noWrap/>
            <w:vAlign w:val="center"/>
          </w:tcPr>
          <w:p w14:paraId="36BD85D3" w14:textId="77777777" w:rsidR="00B744FC" w:rsidRPr="008E4EB0" w:rsidRDefault="00B744FC" w:rsidP="00B744FC">
            <w:pPr>
              <w:spacing w:after="0" w:line="240" w:lineRule="auto"/>
              <w:ind w:firstLine="5"/>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84 706</w:t>
            </w:r>
          </w:p>
        </w:tc>
        <w:tc>
          <w:tcPr>
            <w:tcW w:w="1616" w:type="dxa"/>
            <w:shd w:val="clear" w:color="auto" w:fill="auto"/>
            <w:noWrap/>
            <w:vAlign w:val="center"/>
          </w:tcPr>
          <w:p w14:paraId="1FC3C752" w14:textId="77777777" w:rsidR="00B744FC" w:rsidRPr="008E4EB0" w:rsidRDefault="00B744FC" w:rsidP="00B744FC">
            <w:pPr>
              <w:spacing w:after="0" w:line="240" w:lineRule="auto"/>
              <w:ind w:firstLine="5"/>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22.98</w:t>
            </w:r>
          </w:p>
        </w:tc>
      </w:tr>
      <w:tr w:rsidR="00B744FC" w:rsidRPr="008E4EB0" w14:paraId="4BA4725E" w14:textId="77777777" w:rsidTr="00B744FC">
        <w:trPr>
          <w:trHeight w:val="315"/>
        </w:trPr>
        <w:tc>
          <w:tcPr>
            <w:tcW w:w="6219" w:type="dxa"/>
            <w:shd w:val="clear" w:color="auto" w:fill="auto"/>
            <w:noWrap/>
          </w:tcPr>
          <w:p w14:paraId="1F57C7FA" w14:textId="77777777" w:rsidR="00B744FC" w:rsidRPr="008E4EB0" w:rsidRDefault="00B744FC" w:rsidP="00B744FC">
            <w:pPr>
              <w:spacing w:after="0" w:line="240" w:lineRule="auto"/>
              <w:ind w:firstLine="5"/>
              <w:rPr>
                <w:rFonts w:ascii="Times New Roman" w:eastAsia="Times New Roman" w:hAnsi="Times New Roman" w:cs="Times New Roman"/>
                <w:bCs/>
                <w:sz w:val="20"/>
                <w:szCs w:val="20"/>
                <w:lang w:eastAsia="lv-LV"/>
              </w:rPr>
            </w:pPr>
            <w:r w:rsidRPr="008E4EB0">
              <w:rPr>
                <w:rFonts w:ascii="Times New Roman" w:eastAsia="Times New Roman" w:hAnsi="Times New Roman" w:cs="Times New Roman"/>
                <w:bCs/>
                <w:sz w:val="20"/>
                <w:szCs w:val="20"/>
                <w:lang w:eastAsia="lv-LV"/>
              </w:rPr>
              <w:t>Citas, iepriekš neklasificētas ēkas</w:t>
            </w:r>
          </w:p>
        </w:tc>
        <w:tc>
          <w:tcPr>
            <w:tcW w:w="1453" w:type="dxa"/>
            <w:shd w:val="clear" w:color="auto" w:fill="auto"/>
            <w:noWrap/>
            <w:vAlign w:val="center"/>
          </w:tcPr>
          <w:p w14:paraId="059F852F" w14:textId="77777777" w:rsidR="00B744FC" w:rsidRPr="008E4EB0" w:rsidRDefault="00B744FC" w:rsidP="00B744FC">
            <w:pPr>
              <w:spacing w:after="0" w:line="240" w:lineRule="auto"/>
              <w:ind w:firstLine="5"/>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827 670</w:t>
            </w:r>
          </w:p>
        </w:tc>
        <w:tc>
          <w:tcPr>
            <w:tcW w:w="1616" w:type="dxa"/>
            <w:shd w:val="clear" w:color="auto" w:fill="auto"/>
            <w:noWrap/>
            <w:vAlign w:val="center"/>
          </w:tcPr>
          <w:p w14:paraId="53C51ADD" w14:textId="77777777" w:rsidR="00B744FC" w:rsidRPr="008E4EB0" w:rsidRDefault="00B744FC" w:rsidP="00B744FC">
            <w:pPr>
              <w:spacing w:after="0" w:line="240" w:lineRule="auto"/>
              <w:ind w:firstLine="5"/>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33.29</w:t>
            </w:r>
          </w:p>
        </w:tc>
      </w:tr>
      <w:tr w:rsidR="00B744FC" w:rsidRPr="008E4EB0" w14:paraId="35613D49" w14:textId="77777777" w:rsidTr="00B744FC">
        <w:trPr>
          <w:trHeight w:val="315"/>
        </w:trPr>
        <w:tc>
          <w:tcPr>
            <w:tcW w:w="6219" w:type="dxa"/>
            <w:shd w:val="clear" w:color="auto" w:fill="auto"/>
            <w:noWrap/>
            <w:hideMark/>
          </w:tcPr>
          <w:p w14:paraId="7EC45111" w14:textId="77777777" w:rsidR="00B744FC" w:rsidRPr="008E4EB0" w:rsidRDefault="00B744FC" w:rsidP="00B744FC">
            <w:pPr>
              <w:spacing w:after="0" w:line="240" w:lineRule="auto"/>
              <w:ind w:firstLine="5"/>
              <w:rPr>
                <w:rFonts w:ascii="Times New Roman" w:eastAsia="Times New Roman" w:hAnsi="Times New Roman" w:cs="Times New Roman"/>
                <w:b/>
                <w:bCs/>
                <w:sz w:val="20"/>
                <w:szCs w:val="20"/>
                <w:lang w:eastAsia="lv-LV"/>
              </w:rPr>
            </w:pPr>
            <w:r w:rsidRPr="008E4EB0">
              <w:rPr>
                <w:rFonts w:ascii="Times New Roman" w:eastAsia="Times New Roman" w:hAnsi="Times New Roman" w:cs="Times New Roman"/>
                <w:b/>
                <w:bCs/>
                <w:sz w:val="20"/>
                <w:szCs w:val="20"/>
                <w:lang w:eastAsia="lv-LV"/>
              </w:rPr>
              <w:t>kopā</w:t>
            </w:r>
          </w:p>
        </w:tc>
        <w:tc>
          <w:tcPr>
            <w:tcW w:w="1453" w:type="dxa"/>
            <w:shd w:val="clear" w:color="auto" w:fill="auto"/>
            <w:noWrap/>
            <w:vAlign w:val="center"/>
            <w:hideMark/>
          </w:tcPr>
          <w:p w14:paraId="4C66FFF9" w14:textId="77777777" w:rsidR="00B744FC" w:rsidRPr="008E4EB0" w:rsidRDefault="00B744FC" w:rsidP="00B744FC">
            <w:pPr>
              <w:spacing w:after="0" w:line="240" w:lineRule="auto"/>
              <w:ind w:firstLine="5"/>
              <w:jc w:val="center"/>
              <w:rPr>
                <w:rFonts w:ascii="Times New Roman" w:eastAsia="Times New Roman" w:hAnsi="Times New Roman" w:cs="Times New Roman"/>
                <w:b/>
                <w:sz w:val="20"/>
                <w:szCs w:val="20"/>
                <w:lang w:eastAsia="lv-LV"/>
              </w:rPr>
            </w:pPr>
            <w:r w:rsidRPr="008E4EB0">
              <w:rPr>
                <w:rFonts w:ascii="Times New Roman" w:eastAsia="Times New Roman" w:hAnsi="Times New Roman" w:cs="Times New Roman"/>
                <w:b/>
                <w:sz w:val="20"/>
                <w:szCs w:val="20"/>
                <w:lang w:eastAsia="lv-LV"/>
              </w:rPr>
              <w:t>1 007 178</w:t>
            </w:r>
          </w:p>
        </w:tc>
        <w:tc>
          <w:tcPr>
            <w:tcW w:w="1616" w:type="dxa"/>
            <w:shd w:val="clear" w:color="auto" w:fill="auto"/>
            <w:noWrap/>
            <w:vAlign w:val="center"/>
            <w:hideMark/>
          </w:tcPr>
          <w:p w14:paraId="2676C49B" w14:textId="77777777" w:rsidR="00B744FC" w:rsidRPr="008E4EB0" w:rsidRDefault="00B744FC" w:rsidP="00B744FC">
            <w:pPr>
              <w:spacing w:after="0" w:line="240" w:lineRule="auto"/>
              <w:ind w:firstLine="5"/>
              <w:jc w:val="center"/>
              <w:rPr>
                <w:rFonts w:ascii="Times New Roman" w:eastAsia="Times New Roman" w:hAnsi="Times New Roman" w:cs="Times New Roman"/>
                <w:b/>
                <w:sz w:val="20"/>
                <w:szCs w:val="20"/>
                <w:lang w:eastAsia="lv-LV"/>
              </w:rPr>
            </w:pPr>
            <w:r w:rsidRPr="008E4EB0">
              <w:rPr>
                <w:rFonts w:ascii="Times New Roman" w:eastAsia="Times New Roman" w:hAnsi="Times New Roman" w:cs="Times New Roman"/>
                <w:b/>
                <w:sz w:val="20"/>
                <w:szCs w:val="20"/>
                <w:lang w:eastAsia="lv-LV"/>
              </w:rPr>
              <w:t>114.64</w:t>
            </w:r>
          </w:p>
        </w:tc>
      </w:tr>
    </w:tbl>
    <w:p w14:paraId="137D533F" w14:textId="77777777" w:rsidR="00B744FC" w:rsidRPr="008E4EB0" w:rsidRDefault="00B744FC" w:rsidP="00B744FC">
      <w:pPr>
        <w:spacing w:after="0" w:line="276" w:lineRule="auto"/>
        <w:jc w:val="both"/>
        <w:rPr>
          <w:rFonts w:ascii="Times New Roman" w:hAnsi="Times New Roman" w:cs="Times New Roman"/>
          <w:sz w:val="24"/>
          <w:szCs w:val="24"/>
        </w:rPr>
      </w:pPr>
    </w:p>
    <w:p w14:paraId="0DC43432" w14:textId="739DA714" w:rsidR="00990903" w:rsidRPr="008E4EB0" w:rsidRDefault="00990903" w:rsidP="00D64CF6">
      <w:pPr>
        <w:pStyle w:val="apakvirsraksts"/>
      </w:pPr>
      <w:bookmarkStart w:id="12" w:name="_Toc480527204"/>
      <w:bookmarkStart w:id="13" w:name="_Toc480527948"/>
      <w:bookmarkStart w:id="14" w:name="_Toc491870901"/>
      <w:bookmarkEnd w:id="12"/>
      <w:r w:rsidRPr="008E4EB0">
        <w:t>Apzināto ēku vecuma grupas</w:t>
      </w:r>
      <w:bookmarkEnd w:id="13"/>
      <w:bookmarkEnd w:id="14"/>
    </w:p>
    <w:p w14:paraId="7D3C235D" w14:textId="77777777" w:rsidR="00B744FC" w:rsidRPr="008E4EB0" w:rsidRDefault="00B744FC" w:rsidP="00B744FC">
      <w:pPr>
        <w:keepLines/>
        <w:spacing w:after="0" w:line="240" w:lineRule="auto"/>
        <w:ind w:firstLine="851"/>
        <w:contextualSpacing/>
        <w:jc w:val="both"/>
        <w:rPr>
          <w:rFonts w:ascii="Times New Roman" w:eastAsia="Calibri" w:hAnsi="Times New Roman" w:cs="Times New Roman"/>
          <w:sz w:val="24"/>
          <w:szCs w:val="24"/>
          <w:lang w:eastAsia="lv-LV"/>
        </w:rPr>
      </w:pPr>
      <w:r w:rsidRPr="008E4EB0">
        <w:rPr>
          <w:rFonts w:ascii="Times New Roman" w:eastAsia="Calibri" w:hAnsi="Times New Roman" w:cs="Times New Roman"/>
          <w:sz w:val="24"/>
          <w:szCs w:val="24"/>
          <w:lang w:eastAsia="lv-LV"/>
        </w:rPr>
        <w:t>Dzīvojamo un nedzīvojamo ēku vecums var tikt iedalīts periodos atbilstoši to siltumtehniskajam raksturojumam. Dažādu ēkas būvniecības periodu raksturojums apkopots 2.tabulā.</w:t>
      </w:r>
    </w:p>
    <w:p w14:paraId="0725ACE9" w14:textId="77777777" w:rsidR="00B744FC" w:rsidRPr="008E4EB0" w:rsidRDefault="00B744FC" w:rsidP="00B744FC">
      <w:pPr>
        <w:keepNext/>
        <w:spacing w:after="0" w:line="240" w:lineRule="auto"/>
        <w:ind w:firstLine="851"/>
        <w:jc w:val="center"/>
        <w:rPr>
          <w:rFonts w:ascii="Times New Roman" w:eastAsia="Calibri" w:hAnsi="Times New Roman" w:cs="Times New Roman"/>
          <w:iCs/>
          <w:sz w:val="24"/>
          <w:szCs w:val="24"/>
        </w:rPr>
      </w:pPr>
      <w:r w:rsidRPr="008E4EB0">
        <w:rPr>
          <w:rFonts w:ascii="Times New Roman" w:eastAsia="Calibri" w:hAnsi="Times New Roman" w:cs="Times New Roman"/>
          <w:iCs/>
          <w:sz w:val="24"/>
          <w:szCs w:val="24"/>
        </w:rPr>
        <w:t>2.tabula. Ēku būvniecības periods un siltumtehniskais raksturojums</w:t>
      </w:r>
      <w:r w:rsidRPr="008E4EB0">
        <w:rPr>
          <w:rFonts w:ascii="Times New Roman" w:eastAsia="Calibri" w:hAnsi="Times New Roman" w:cs="Times New Roman"/>
          <w:iCs/>
          <w:sz w:val="24"/>
          <w:szCs w:val="24"/>
          <w:vertAlign w:val="superscript"/>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6704"/>
      </w:tblGrid>
      <w:tr w:rsidR="00B744FC" w:rsidRPr="008E4EB0" w14:paraId="3DCE99B9" w14:textId="77777777" w:rsidTr="00B744FC">
        <w:tc>
          <w:tcPr>
            <w:tcW w:w="1668" w:type="dxa"/>
            <w:shd w:val="clear" w:color="auto" w:fill="auto"/>
          </w:tcPr>
          <w:p w14:paraId="4B672AE7" w14:textId="77777777" w:rsidR="00B744FC" w:rsidRPr="008E4EB0" w:rsidRDefault="00B744FC" w:rsidP="00B744FC">
            <w:pPr>
              <w:keepLines/>
              <w:spacing w:before="60" w:after="0" w:line="240" w:lineRule="auto"/>
              <w:jc w:val="center"/>
              <w:rPr>
                <w:rFonts w:ascii="Times New Roman" w:eastAsia="Calibri" w:hAnsi="Times New Roman" w:cs="Times New Roman"/>
                <w:sz w:val="20"/>
                <w:szCs w:val="24"/>
                <w:lang w:eastAsia="lv-LV"/>
              </w:rPr>
            </w:pPr>
            <w:r w:rsidRPr="008E4EB0">
              <w:rPr>
                <w:rFonts w:ascii="Times New Roman" w:eastAsia="Calibri" w:hAnsi="Times New Roman" w:cs="Times New Roman"/>
                <w:sz w:val="20"/>
                <w:szCs w:val="24"/>
                <w:lang w:eastAsia="lv-LV"/>
              </w:rPr>
              <w:t>Ēkas būvniecības periods</w:t>
            </w:r>
          </w:p>
        </w:tc>
        <w:tc>
          <w:tcPr>
            <w:tcW w:w="7617" w:type="dxa"/>
            <w:shd w:val="clear" w:color="auto" w:fill="auto"/>
          </w:tcPr>
          <w:p w14:paraId="4FE5CBF7" w14:textId="77777777" w:rsidR="00B744FC" w:rsidRPr="008E4EB0" w:rsidRDefault="00B744FC" w:rsidP="00B744FC">
            <w:pPr>
              <w:keepLines/>
              <w:spacing w:before="60" w:after="0" w:line="240" w:lineRule="auto"/>
              <w:jc w:val="center"/>
              <w:rPr>
                <w:rFonts w:ascii="Times New Roman" w:eastAsia="Calibri" w:hAnsi="Times New Roman" w:cs="Times New Roman"/>
                <w:sz w:val="20"/>
                <w:szCs w:val="24"/>
                <w:lang w:eastAsia="lv-LV"/>
              </w:rPr>
            </w:pPr>
            <w:r w:rsidRPr="008E4EB0">
              <w:rPr>
                <w:rFonts w:ascii="Times New Roman" w:eastAsia="Calibri" w:hAnsi="Times New Roman" w:cs="Times New Roman"/>
                <w:sz w:val="20"/>
                <w:szCs w:val="24"/>
                <w:lang w:eastAsia="lv-LV"/>
              </w:rPr>
              <w:t>Ēkas siltumtehniskais raksturojums</w:t>
            </w:r>
          </w:p>
        </w:tc>
      </w:tr>
      <w:tr w:rsidR="00B744FC" w:rsidRPr="008E4EB0" w14:paraId="5C8A72BF" w14:textId="77777777" w:rsidTr="00B744FC">
        <w:tc>
          <w:tcPr>
            <w:tcW w:w="1668" w:type="dxa"/>
            <w:shd w:val="clear" w:color="auto" w:fill="auto"/>
          </w:tcPr>
          <w:p w14:paraId="39EC23A0" w14:textId="77777777" w:rsidR="00B744FC" w:rsidRPr="008E4EB0" w:rsidRDefault="00B744FC" w:rsidP="00B744FC">
            <w:pPr>
              <w:keepLines/>
              <w:spacing w:before="60" w:after="0" w:line="240" w:lineRule="auto"/>
              <w:rPr>
                <w:rFonts w:ascii="Times New Roman" w:eastAsia="Calibri" w:hAnsi="Times New Roman" w:cs="Times New Roman"/>
                <w:sz w:val="20"/>
                <w:szCs w:val="24"/>
                <w:lang w:eastAsia="lv-LV"/>
              </w:rPr>
            </w:pPr>
            <w:r w:rsidRPr="008E4EB0">
              <w:rPr>
                <w:rFonts w:ascii="Times New Roman" w:eastAsia="Calibri" w:hAnsi="Times New Roman" w:cs="Times New Roman"/>
                <w:sz w:val="20"/>
                <w:szCs w:val="24"/>
                <w:lang w:eastAsia="lv-LV"/>
              </w:rPr>
              <w:t>līdz 1940. gadam</w:t>
            </w:r>
          </w:p>
        </w:tc>
        <w:tc>
          <w:tcPr>
            <w:tcW w:w="7617" w:type="dxa"/>
            <w:shd w:val="clear" w:color="auto" w:fill="auto"/>
          </w:tcPr>
          <w:p w14:paraId="331F8DAA" w14:textId="77777777" w:rsidR="00B744FC" w:rsidRPr="008E4EB0" w:rsidRDefault="00B744FC" w:rsidP="00B744FC">
            <w:pPr>
              <w:keepLines/>
              <w:spacing w:before="60" w:after="0" w:line="240" w:lineRule="auto"/>
              <w:jc w:val="both"/>
              <w:rPr>
                <w:rFonts w:ascii="Times New Roman" w:eastAsia="Calibri" w:hAnsi="Times New Roman" w:cs="Times New Roman"/>
                <w:sz w:val="20"/>
                <w:szCs w:val="24"/>
                <w:lang w:eastAsia="lv-LV"/>
              </w:rPr>
            </w:pPr>
            <w:r w:rsidRPr="008E4EB0">
              <w:rPr>
                <w:rFonts w:ascii="Times New Roman" w:eastAsia="Calibri" w:hAnsi="Times New Roman" w:cs="Times New Roman"/>
                <w:sz w:val="20"/>
                <w:szCs w:val="24"/>
                <w:lang w:eastAsia="lv-LV"/>
              </w:rPr>
              <w:t xml:space="preserve">Pirmskara laika apbūve, pārsvarā no koka lauku teritorijās, ķieģeļu mūra - pilsētās. Vairums ēku ir līdz diviem stāviem. </w:t>
            </w:r>
          </w:p>
        </w:tc>
      </w:tr>
      <w:tr w:rsidR="00B744FC" w:rsidRPr="008E4EB0" w14:paraId="7EFC6CA1" w14:textId="77777777" w:rsidTr="00B744FC">
        <w:tc>
          <w:tcPr>
            <w:tcW w:w="1668" w:type="dxa"/>
            <w:shd w:val="clear" w:color="auto" w:fill="auto"/>
          </w:tcPr>
          <w:p w14:paraId="4660E7DF" w14:textId="77777777" w:rsidR="00B744FC" w:rsidRPr="008E4EB0" w:rsidRDefault="00B744FC" w:rsidP="00B744FC">
            <w:pPr>
              <w:keepLines/>
              <w:spacing w:before="60" w:after="0" w:line="240" w:lineRule="auto"/>
              <w:rPr>
                <w:rFonts w:ascii="Times New Roman" w:eastAsia="Calibri" w:hAnsi="Times New Roman" w:cs="Times New Roman"/>
                <w:sz w:val="20"/>
                <w:szCs w:val="24"/>
                <w:lang w:eastAsia="lv-LV"/>
              </w:rPr>
            </w:pPr>
            <w:r w:rsidRPr="008E4EB0">
              <w:rPr>
                <w:rFonts w:ascii="Times New Roman" w:eastAsia="Calibri" w:hAnsi="Times New Roman" w:cs="Times New Roman"/>
                <w:sz w:val="20"/>
                <w:szCs w:val="24"/>
                <w:lang w:eastAsia="lv-LV"/>
              </w:rPr>
              <w:t>1941. – 1960.g.</w:t>
            </w:r>
          </w:p>
        </w:tc>
        <w:tc>
          <w:tcPr>
            <w:tcW w:w="7617" w:type="dxa"/>
            <w:shd w:val="clear" w:color="auto" w:fill="auto"/>
          </w:tcPr>
          <w:p w14:paraId="0EAC31BA" w14:textId="77777777" w:rsidR="00B744FC" w:rsidRPr="008E4EB0" w:rsidRDefault="00B744FC" w:rsidP="00B744FC">
            <w:pPr>
              <w:keepLines/>
              <w:spacing w:before="60" w:after="0" w:line="240" w:lineRule="auto"/>
              <w:jc w:val="both"/>
              <w:rPr>
                <w:rFonts w:ascii="Times New Roman" w:eastAsia="Calibri" w:hAnsi="Times New Roman" w:cs="Times New Roman"/>
                <w:sz w:val="20"/>
                <w:szCs w:val="24"/>
                <w:lang w:eastAsia="lv-LV"/>
              </w:rPr>
            </w:pPr>
            <w:r w:rsidRPr="008E4EB0">
              <w:rPr>
                <w:rFonts w:ascii="Times New Roman" w:eastAsia="Calibri" w:hAnsi="Times New Roman" w:cs="Times New Roman"/>
                <w:sz w:val="20"/>
                <w:szCs w:val="24"/>
                <w:lang w:eastAsia="lv-LV"/>
              </w:rPr>
              <w:t xml:space="preserve">Pēckara laika apbūve, periodam raksturīga laba kvalitāte, pārsvarā ķieģeļu ēkas, dzīvojamo sektoru raksturo pēc Staļina laika tipveida projektiem būvētās ķieģeļu ēkas. </w:t>
            </w:r>
          </w:p>
        </w:tc>
      </w:tr>
      <w:tr w:rsidR="00B744FC" w:rsidRPr="008E4EB0" w14:paraId="6022DDA4" w14:textId="77777777" w:rsidTr="00B744FC">
        <w:tc>
          <w:tcPr>
            <w:tcW w:w="1668" w:type="dxa"/>
            <w:shd w:val="clear" w:color="auto" w:fill="auto"/>
          </w:tcPr>
          <w:p w14:paraId="34E0684E" w14:textId="77777777" w:rsidR="00B744FC" w:rsidRPr="008E4EB0" w:rsidRDefault="00B744FC" w:rsidP="00B744FC">
            <w:pPr>
              <w:keepLines/>
              <w:spacing w:before="60" w:after="0" w:line="240" w:lineRule="auto"/>
              <w:rPr>
                <w:rFonts w:ascii="Times New Roman" w:eastAsia="Calibri" w:hAnsi="Times New Roman" w:cs="Times New Roman"/>
                <w:sz w:val="20"/>
                <w:szCs w:val="24"/>
                <w:lang w:eastAsia="lv-LV"/>
              </w:rPr>
            </w:pPr>
            <w:r w:rsidRPr="008E4EB0">
              <w:rPr>
                <w:rFonts w:ascii="Times New Roman" w:eastAsia="Calibri" w:hAnsi="Times New Roman" w:cs="Times New Roman"/>
                <w:sz w:val="20"/>
                <w:szCs w:val="24"/>
                <w:lang w:eastAsia="lv-LV"/>
              </w:rPr>
              <w:t>1961. – 1979.g.</w:t>
            </w:r>
          </w:p>
        </w:tc>
        <w:tc>
          <w:tcPr>
            <w:tcW w:w="7617" w:type="dxa"/>
            <w:shd w:val="clear" w:color="auto" w:fill="auto"/>
          </w:tcPr>
          <w:p w14:paraId="200E5014" w14:textId="77777777" w:rsidR="00B744FC" w:rsidRPr="008E4EB0" w:rsidRDefault="00B744FC" w:rsidP="00B744FC">
            <w:pPr>
              <w:keepLines/>
              <w:spacing w:before="60" w:after="0" w:line="240" w:lineRule="auto"/>
              <w:jc w:val="both"/>
              <w:rPr>
                <w:rFonts w:ascii="Times New Roman" w:eastAsia="Calibri" w:hAnsi="Times New Roman" w:cs="Times New Roman"/>
                <w:sz w:val="20"/>
                <w:szCs w:val="24"/>
                <w:lang w:eastAsia="lv-LV"/>
              </w:rPr>
            </w:pPr>
            <w:r w:rsidRPr="008E4EB0">
              <w:rPr>
                <w:rFonts w:ascii="Times New Roman" w:eastAsia="Calibri" w:hAnsi="Times New Roman" w:cs="Times New Roman"/>
                <w:sz w:val="20"/>
                <w:szCs w:val="24"/>
                <w:lang w:eastAsia="lv-LV"/>
              </w:rPr>
              <w:t xml:space="preserve">Plaši uzsākta tipveida būvniecība, dzīvojamo ēku sektorā uzsākti 316. un 318. sērijas projekti (tā sauktās „Hruščovkas”), 464. sērija, uzsākta arī 467., 103. un 104. sērijas ēku būvniecība, perioda beigās 602. sērija. Kā ārsienu materiāls plaši izmantoti māla ķieģeli, gāzbetons, keramzītbetons, </w:t>
            </w:r>
          </w:p>
        </w:tc>
      </w:tr>
      <w:tr w:rsidR="00B744FC" w:rsidRPr="008E4EB0" w14:paraId="699DF21A" w14:textId="77777777" w:rsidTr="00B744FC">
        <w:tc>
          <w:tcPr>
            <w:tcW w:w="1668" w:type="dxa"/>
            <w:shd w:val="clear" w:color="auto" w:fill="auto"/>
          </w:tcPr>
          <w:p w14:paraId="349DB645" w14:textId="77777777" w:rsidR="00B744FC" w:rsidRPr="008E4EB0" w:rsidRDefault="00B744FC" w:rsidP="00B744FC">
            <w:pPr>
              <w:keepLines/>
              <w:spacing w:before="60" w:after="0" w:line="240" w:lineRule="auto"/>
              <w:rPr>
                <w:rFonts w:ascii="Times New Roman" w:eastAsia="Calibri" w:hAnsi="Times New Roman" w:cs="Times New Roman"/>
                <w:sz w:val="20"/>
                <w:szCs w:val="24"/>
                <w:lang w:eastAsia="lv-LV"/>
              </w:rPr>
            </w:pPr>
            <w:r w:rsidRPr="008E4EB0">
              <w:rPr>
                <w:rFonts w:ascii="Times New Roman" w:eastAsia="Calibri" w:hAnsi="Times New Roman" w:cs="Times New Roman"/>
                <w:sz w:val="20"/>
                <w:szCs w:val="24"/>
                <w:lang w:eastAsia="lv-LV"/>
              </w:rPr>
              <w:t>1980. – 1991.g.</w:t>
            </w:r>
          </w:p>
        </w:tc>
        <w:tc>
          <w:tcPr>
            <w:tcW w:w="7617" w:type="dxa"/>
            <w:shd w:val="clear" w:color="auto" w:fill="auto"/>
          </w:tcPr>
          <w:p w14:paraId="216638CE" w14:textId="77777777" w:rsidR="00B744FC" w:rsidRPr="008E4EB0" w:rsidRDefault="00B744FC" w:rsidP="00B744FC">
            <w:pPr>
              <w:keepLines/>
              <w:spacing w:before="60" w:after="0" w:line="240" w:lineRule="auto"/>
              <w:jc w:val="both"/>
              <w:rPr>
                <w:rFonts w:ascii="Times New Roman" w:eastAsia="Calibri" w:hAnsi="Times New Roman" w:cs="Times New Roman"/>
                <w:sz w:val="20"/>
                <w:szCs w:val="24"/>
                <w:lang w:eastAsia="lv-LV"/>
              </w:rPr>
            </w:pPr>
            <w:r w:rsidRPr="008E4EB0">
              <w:rPr>
                <w:rFonts w:ascii="Times New Roman" w:eastAsia="Calibri" w:hAnsi="Times New Roman" w:cs="Times New Roman"/>
                <w:sz w:val="20"/>
                <w:szCs w:val="24"/>
                <w:lang w:eastAsia="lv-LV"/>
              </w:rPr>
              <w:t>Jaunas prasības projektēšanā noteiktas PSRS būvnormatīvā „Norobežojošo konstrukciju siltumtehnika”</w:t>
            </w:r>
            <w:r w:rsidRPr="008E4EB0">
              <w:rPr>
                <w:rFonts w:ascii="Times New Roman" w:eastAsia="Calibri" w:hAnsi="Times New Roman" w:cs="Times New Roman"/>
                <w:sz w:val="20"/>
                <w:szCs w:val="24"/>
                <w:vertAlign w:val="superscript"/>
                <w:lang w:eastAsia="lv-LV"/>
              </w:rPr>
              <w:footnoteReference w:id="3"/>
            </w:r>
            <w:r w:rsidRPr="008E4EB0">
              <w:rPr>
                <w:rFonts w:ascii="Times New Roman" w:eastAsia="Calibri" w:hAnsi="Times New Roman" w:cs="Times New Roman"/>
                <w:sz w:val="20"/>
                <w:szCs w:val="24"/>
                <w:lang w:eastAsia="lv-LV"/>
              </w:rPr>
              <w:t>. Uzsākta 119. sērijas ēku būvniecība, kā arī realizēta virkne specprojektu, dominē dzelzsbetona un keramzītbetona lielpaneļu ēku būvniecība.</w:t>
            </w:r>
          </w:p>
        </w:tc>
      </w:tr>
      <w:tr w:rsidR="00B744FC" w:rsidRPr="008E4EB0" w14:paraId="7C41E452" w14:textId="77777777" w:rsidTr="00B744FC">
        <w:tc>
          <w:tcPr>
            <w:tcW w:w="1668" w:type="dxa"/>
            <w:shd w:val="clear" w:color="auto" w:fill="auto"/>
          </w:tcPr>
          <w:p w14:paraId="6B5DC348" w14:textId="77777777" w:rsidR="00B744FC" w:rsidRPr="008E4EB0" w:rsidRDefault="00B744FC" w:rsidP="00B744FC">
            <w:pPr>
              <w:keepLines/>
              <w:spacing w:before="60" w:after="0" w:line="240" w:lineRule="auto"/>
              <w:rPr>
                <w:rFonts w:ascii="Times New Roman" w:eastAsia="Calibri" w:hAnsi="Times New Roman" w:cs="Times New Roman"/>
                <w:sz w:val="20"/>
                <w:szCs w:val="24"/>
                <w:lang w:eastAsia="lv-LV"/>
              </w:rPr>
            </w:pPr>
            <w:r w:rsidRPr="008E4EB0">
              <w:rPr>
                <w:rFonts w:ascii="Times New Roman" w:eastAsia="Calibri" w:hAnsi="Times New Roman" w:cs="Times New Roman"/>
                <w:sz w:val="20"/>
                <w:szCs w:val="24"/>
                <w:lang w:eastAsia="lv-LV"/>
              </w:rPr>
              <w:t>1992. – 2002.g.</w:t>
            </w:r>
          </w:p>
        </w:tc>
        <w:tc>
          <w:tcPr>
            <w:tcW w:w="7617" w:type="dxa"/>
            <w:shd w:val="clear" w:color="auto" w:fill="auto"/>
          </w:tcPr>
          <w:p w14:paraId="07199A52" w14:textId="77777777" w:rsidR="00B744FC" w:rsidRPr="008E4EB0" w:rsidRDefault="00B744FC" w:rsidP="00B744FC">
            <w:pPr>
              <w:keepLines/>
              <w:spacing w:before="60" w:after="0" w:line="240" w:lineRule="auto"/>
              <w:jc w:val="both"/>
              <w:rPr>
                <w:rFonts w:ascii="Times New Roman" w:eastAsia="Calibri" w:hAnsi="Times New Roman" w:cs="Times New Roman"/>
                <w:sz w:val="20"/>
                <w:szCs w:val="24"/>
                <w:lang w:eastAsia="lv-LV"/>
              </w:rPr>
            </w:pPr>
            <w:r w:rsidRPr="008E4EB0">
              <w:rPr>
                <w:rFonts w:ascii="Times New Roman" w:eastAsia="Calibri" w:hAnsi="Times New Roman" w:cs="Times New Roman"/>
                <w:sz w:val="20"/>
                <w:szCs w:val="24"/>
                <w:lang w:eastAsia="lv-LV"/>
              </w:rPr>
              <w:t xml:space="preserve">Tipveida ēku būvniecība praktiski pārtraukta. Ar Latvijas Republikas Arhitektūras un celtniecības ministrijas 1991. gada 12. septembra pavēli Nr.68 būtiski paaugstinātas prasības ēku norobežojošām konstrukcijām. </w:t>
            </w:r>
          </w:p>
        </w:tc>
      </w:tr>
      <w:tr w:rsidR="00B744FC" w:rsidRPr="008E4EB0" w14:paraId="49EA4A53" w14:textId="77777777" w:rsidTr="00B744FC">
        <w:tc>
          <w:tcPr>
            <w:tcW w:w="1668" w:type="dxa"/>
            <w:shd w:val="clear" w:color="auto" w:fill="auto"/>
          </w:tcPr>
          <w:p w14:paraId="06E12843" w14:textId="77777777" w:rsidR="00B744FC" w:rsidRPr="008E4EB0" w:rsidRDefault="00B744FC" w:rsidP="00B744FC">
            <w:pPr>
              <w:keepLines/>
              <w:spacing w:before="60" w:after="0" w:line="240" w:lineRule="auto"/>
              <w:rPr>
                <w:rFonts w:ascii="Times New Roman" w:eastAsia="Calibri" w:hAnsi="Times New Roman" w:cs="Times New Roman"/>
                <w:sz w:val="20"/>
                <w:szCs w:val="20"/>
                <w:lang w:eastAsia="lv-LV"/>
              </w:rPr>
            </w:pPr>
            <w:r w:rsidRPr="008E4EB0">
              <w:rPr>
                <w:rFonts w:ascii="Times New Roman" w:eastAsia="Calibri" w:hAnsi="Times New Roman" w:cs="Times New Roman"/>
                <w:sz w:val="20"/>
                <w:szCs w:val="24"/>
                <w:lang w:eastAsia="lv-LV"/>
              </w:rPr>
              <w:t>2003. – 2014.g.</w:t>
            </w:r>
          </w:p>
        </w:tc>
        <w:tc>
          <w:tcPr>
            <w:tcW w:w="7617" w:type="dxa"/>
            <w:shd w:val="clear" w:color="auto" w:fill="auto"/>
          </w:tcPr>
          <w:p w14:paraId="06D2393B" w14:textId="77777777" w:rsidR="00B744FC" w:rsidRPr="008E4EB0" w:rsidRDefault="00B744FC" w:rsidP="00B744FC">
            <w:pPr>
              <w:keepLines/>
              <w:spacing w:before="60" w:after="0" w:line="240" w:lineRule="auto"/>
              <w:jc w:val="both"/>
              <w:rPr>
                <w:rFonts w:ascii="Times New Roman" w:eastAsia="Calibri" w:hAnsi="Times New Roman" w:cs="Times New Roman"/>
                <w:sz w:val="20"/>
                <w:szCs w:val="20"/>
                <w:lang w:eastAsia="lv-LV"/>
              </w:rPr>
            </w:pPr>
            <w:r w:rsidRPr="008E4EB0">
              <w:rPr>
                <w:rFonts w:ascii="Times New Roman" w:eastAsia="Calibri" w:hAnsi="Times New Roman" w:cs="Times New Roman"/>
                <w:sz w:val="20"/>
                <w:szCs w:val="20"/>
                <w:lang w:eastAsia="lv-LV"/>
              </w:rPr>
              <w:t>Stājas spēkā LBN 002-01</w:t>
            </w:r>
            <w:r w:rsidRPr="008E4EB0">
              <w:rPr>
                <w:rFonts w:ascii="Times New Roman" w:eastAsia="Calibri" w:hAnsi="Times New Roman" w:cs="Times New Roman"/>
                <w:sz w:val="20"/>
                <w:szCs w:val="20"/>
                <w:vertAlign w:val="superscript"/>
              </w:rPr>
              <w:footnoteReference w:id="4"/>
            </w:r>
            <w:r w:rsidRPr="008E4EB0">
              <w:rPr>
                <w:rFonts w:ascii="Times New Roman" w:eastAsia="Calibri" w:hAnsi="Times New Roman" w:cs="Times New Roman"/>
                <w:sz w:val="20"/>
                <w:szCs w:val="20"/>
                <w:lang w:eastAsia="lv-LV"/>
              </w:rPr>
              <w:t xml:space="preserve"> Ēku norobežojošo konstrukciju siltumtehnika, ar kuru noteiktas siltumtehniskās prasības ēku norobežojošām konstrukcijām. Šajā periodā parādās ēkas ar lielām stiklotām virsmām, kādēļ attiecīgajām ēkām LBN prasību izpilde parasti netiek nodrošināta, tiesa, dzīvojamo ēku sektorā dominējoša stikloto virsmu pielietošana ēkas arhitektūrā nav raksturīga.</w:t>
            </w:r>
          </w:p>
        </w:tc>
      </w:tr>
      <w:tr w:rsidR="00B744FC" w:rsidRPr="008E4EB0" w14:paraId="2D290F56" w14:textId="77777777" w:rsidTr="00B744FC">
        <w:tc>
          <w:tcPr>
            <w:tcW w:w="1668" w:type="dxa"/>
            <w:shd w:val="clear" w:color="auto" w:fill="auto"/>
          </w:tcPr>
          <w:p w14:paraId="3C322D57" w14:textId="77777777" w:rsidR="00B744FC" w:rsidRPr="008E4EB0" w:rsidRDefault="00B744FC" w:rsidP="00B744FC">
            <w:pPr>
              <w:keepLines/>
              <w:spacing w:before="60" w:after="0" w:line="240" w:lineRule="auto"/>
              <w:rPr>
                <w:rFonts w:ascii="Times New Roman" w:eastAsia="Calibri" w:hAnsi="Times New Roman" w:cs="Times New Roman"/>
                <w:sz w:val="20"/>
                <w:szCs w:val="20"/>
                <w:lang w:eastAsia="lv-LV"/>
              </w:rPr>
            </w:pPr>
            <w:r w:rsidRPr="008E4EB0">
              <w:rPr>
                <w:rFonts w:ascii="Times New Roman" w:eastAsia="Calibri" w:hAnsi="Times New Roman" w:cs="Times New Roman"/>
                <w:sz w:val="20"/>
                <w:szCs w:val="20"/>
                <w:lang w:eastAsia="lv-LV"/>
              </w:rPr>
              <w:lastRenderedPageBreak/>
              <w:t>no 2015.g.</w:t>
            </w:r>
          </w:p>
        </w:tc>
        <w:tc>
          <w:tcPr>
            <w:tcW w:w="7617" w:type="dxa"/>
            <w:shd w:val="clear" w:color="auto" w:fill="auto"/>
          </w:tcPr>
          <w:p w14:paraId="6C023E9D" w14:textId="2E012071" w:rsidR="00B744FC" w:rsidRPr="008E4EB0" w:rsidRDefault="00B744FC" w:rsidP="00B744FC">
            <w:pPr>
              <w:keepLines/>
              <w:spacing w:before="60" w:after="0" w:line="240" w:lineRule="auto"/>
              <w:jc w:val="both"/>
              <w:rPr>
                <w:rFonts w:ascii="Times New Roman" w:eastAsia="Calibri" w:hAnsi="Times New Roman" w:cs="Times New Roman"/>
                <w:sz w:val="20"/>
                <w:szCs w:val="20"/>
                <w:lang w:eastAsia="lv-LV"/>
              </w:rPr>
            </w:pPr>
            <w:r w:rsidRPr="008E4EB0">
              <w:rPr>
                <w:rFonts w:ascii="Times New Roman" w:eastAsia="Calibri" w:hAnsi="Times New Roman" w:cs="Times New Roman"/>
                <w:sz w:val="20"/>
                <w:szCs w:val="20"/>
                <w:lang w:eastAsia="lv-LV"/>
              </w:rPr>
              <w:t xml:space="preserve">Stājas spēkā LBN 002-15 (LBN 002-01 grozījumi)  Ar grozījumiem noteiktas stingrākas siltumtehniskās prasības ēku norobežojošām konstrukcijām. 2015.gada 11.novembrī veikti </w:t>
            </w:r>
            <w:r w:rsidR="00D7637A" w:rsidRPr="008E4EB0">
              <w:rPr>
                <w:rFonts w:ascii="Times New Roman" w:eastAsia="Calibri" w:hAnsi="Times New Roman" w:cs="Times New Roman"/>
                <w:sz w:val="20"/>
                <w:szCs w:val="20"/>
                <w:lang w:eastAsia="lv-LV"/>
              </w:rPr>
              <w:t>grozījumi</w:t>
            </w:r>
            <w:r w:rsidRPr="008E4EB0">
              <w:rPr>
                <w:rFonts w:ascii="Times New Roman" w:eastAsia="Calibri" w:hAnsi="Times New Roman" w:cs="Times New Roman"/>
                <w:sz w:val="20"/>
                <w:szCs w:val="20"/>
                <w:lang w:eastAsia="lv-LV"/>
              </w:rPr>
              <w:t xml:space="preserve"> 2013.gada 9.jūlija Ministru kabineta (turpmāk – MK) noteikumi Nr.383 “Noteikumi par ēku energosertifikāciju”, kur noteikts minimāli pieļaujamais līmenis apkurei gan atjaunojamām/pārbūvējamām ēkām, gan jaunbūvēm, kā arī prasības pakāpeniskai jaunbūvju pārejai uz gandrīz nulles enerģijas ēkām.</w:t>
            </w:r>
          </w:p>
        </w:tc>
      </w:tr>
      <w:tr w:rsidR="00B744FC" w:rsidRPr="008E4EB0" w14:paraId="5A38555C" w14:textId="77777777" w:rsidTr="00B744FC">
        <w:tc>
          <w:tcPr>
            <w:tcW w:w="1668" w:type="dxa"/>
            <w:shd w:val="clear" w:color="auto" w:fill="auto"/>
          </w:tcPr>
          <w:p w14:paraId="1B3E2B4A" w14:textId="77777777" w:rsidR="00B744FC" w:rsidRPr="008E4EB0" w:rsidRDefault="00B744FC" w:rsidP="00B744FC">
            <w:pPr>
              <w:keepLines/>
              <w:spacing w:before="60" w:after="0" w:line="240" w:lineRule="auto"/>
              <w:rPr>
                <w:rFonts w:ascii="Times New Roman" w:eastAsia="Calibri" w:hAnsi="Times New Roman" w:cs="Times New Roman"/>
                <w:sz w:val="20"/>
                <w:szCs w:val="20"/>
                <w:lang w:eastAsia="lv-LV"/>
              </w:rPr>
            </w:pPr>
            <w:r w:rsidRPr="008E4EB0">
              <w:rPr>
                <w:rFonts w:ascii="Times New Roman" w:eastAsia="Calibri" w:hAnsi="Times New Roman" w:cs="Times New Roman"/>
                <w:sz w:val="20"/>
                <w:szCs w:val="20"/>
                <w:lang w:eastAsia="lv-LV"/>
              </w:rPr>
              <w:t>no 2019.g.</w:t>
            </w:r>
          </w:p>
        </w:tc>
        <w:tc>
          <w:tcPr>
            <w:tcW w:w="7617" w:type="dxa"/>
            <w:shd w:val="clear" w:color="auto" w:fill="auto"/>
          </w:tcPr>
          <w:p w14:paraId="3B0F6F94" w14:textId="77777777" w:rsidR="00B744FC" w:rsidRPr="008E4EB0" w:rsidRDefault="00B744FC" w:rsidP="00B744FC">
            <w:pPr>
              <w:keepLines/>
              <w:spacing w:before="60" w:after="0" w:line="240" w:lineRule="auto"/>
              <w:jc w:val="both"/>
              <w:rPr>
                <w:rFonts w:ascii="Times New Roman" w:eastAsia="Calibri" w:hAnsi="Times New Roman" w:cs="Times New Roman"/>
                <w:sz w:val="20"/>
                <w:szCs w:val="20"/>
                <w:lang w:eastAsia="lv-LV"/>
              </w:rPr>
            </w:pPr>
            <w:r w:rsidRPr="008E4EB0">
              <w:rPr>
                <w:rFonts w:ascii="Times New Roman" w:eastAsia="Calibri" w:hAnsi="Times New Roman" w:cs="Times New Roman"/>
                <w:sz w:val="20"/>
                <w:szCs w:val="20"/>
                <w:lang w:eastAsia="lv-LV"/>
              </w:rPr>
              <w:t>No 2019.gada visām valsts un pašvaldību īpašuma jaunbūvēm un no 2021.gada visām jaunbūvēm jābūt gandrīz nulles enerģijas ēkām.</w:t>
            </w:r>
          </w:p>
        </w:tc>
      </w:tr>
    </w:tbl>
    <w:p w14:paraId="3E2F8709" w14:textId="77777777" w:rsidR="00B744FC" w:rsidRPr="008E4EB0" w:rsidRDefault="00B744FC" w:rsidP="00B744FC">
      <w:pPr>
        <w:spacing w:after="0" w:line="240" w:lineRule="auto"/>
        <w:ind w:firstLine="851"/>
        <w:jc w:val="both"/>
        <w:rPr>
          <w:rFonts w:ascii="Times New Roman" w:eastAsia="Calibri" w:hAnsi="Times New Roman" w:cs="Times New Roman"/>
          <w:sz w:val="24"/>
          <w:szCs w:val="24"/>
          <w:lang w:eastAsia="lv-LV"/>
        </w:rPr>
      </w:pPr>
    </w:p>
    <w:p w14:paraId="2A49F9BA" w14:textId="5A516B08" w:rsidR="004F1BD3" w:rsidRDefault="00B744FC" w:rsidP="00BF58E9">
      <w:pPr>
        <w:keepLines/>
        <w:spacing w:after="0" w:line="240" w:lineRule="auto"/>
        <w:ind w:firstLine="851"/>
        <w:contextualSpacing/>
        <w:jc w:val="both"/>
        <w:rPr>
          <w:rFonts w:ascii="Times New Roman" w:eastAsia="Calibri" w:hAnsi="Times New Roman" w:cs="Times New Roman"/>
          <w:sz w:val="24"/>
          <w:szCs w:val="24"/>
          <w:lang w:eastAsia="lv-LV"/>
        </w:rPr>
      </w:pPr>
      <w:r w:rsidRPr="008E4EB0">
        <w:rPr>
          <w:rFonts w:ascii="Times New Roman" w:eastAsia="Calibri" w:hAnsi="Times New Roman" w:cs="Times New Roman"/>
          <w:sz w:val="24"/>
          <w:szCs w:val="24"/>
          <w:lang w:eastAsia="lv-LV"/>
        </w:rPr>
        <w:t xml:space="preserve">Uzbūvēto jauno daudzdzīvokļu ēku sadalījums pēc skaita atkarībā no to būvniecības perioda parādīts 1.a un 1.b attēlos. Apskatot </w:t>
      </w:r>
      <w:r w:rsidR="008E4EB0" w:rsidRPr="008E4EB0">
        <w:rPr>
          <w:rFonts w:ascii="Times New Roman" w:eastAsia="Calibri" w:hAnsi="Times New Roman" w:cs="Times New Roman"/>
          <w:sz w:val="24"/>
          <w:szCs w:val="24"/>
          <w:lang w:eastAsia="lv-LV"/>
        </w:rPr>
        <w:t>statistiku</w:t>
      </w:r>
      <w:r w:rsidRPr="008E4EB0">
        <w:rPr>
          <w:rFonts w:ascii="Times New Roman" w:eastAsia="Calibri" w:hAnsi="Times New Roman" w:cs="Times New Roman"/>
          <w:sz w:val="24"/>
          <w:szCs w:val="24"/>
          <w:lang w:eastAsia="lv-LV"/>
        </w:rPr>
        <w:t xml:space="preserve"> laika periodam no 1980.gada secināms, ka lielākā daļa no daudzdzīvokļu ēkām pēc platības ir būvētas no 2004.gada līdz 2009.gadam (36%), kad tika uzbūvēti 2480 tūkst. m² kopējās platības, otrs aktīvākais laika periods jauno daudzdzīvokļu ēku būvniecībai bija no 1990.gada līdz 1995.gadam, kad tika uzbūvēti 23% jeb 1640 tūkst. m² kopējās platības.</w:t>
      </w:r>
    </w:p>
    <w:p w14:paraId="54DFEEDF" w14:textId="124B2B90" w:rsidR="004F1BD3" w:rsidRDefault="004F1BD3" w:rsidP="00B744FC">
      <w:pPr>
        <w:keepLines/>
        <w:spacing w:after="0" w:line="240" w:lineRule="auto"/>
        <w:ind w:firstLine="851"/>
        <w:contextualSpacing/>
        <w:jc w:val="both"/>
        <w:rPr>
          <w:rFonts w:ascii="Times New Roman" w:eastAsia="Calibri" w:hAnsi="Times New Roman" w:cs="Times New Roman"/>
          <w:sz w:val="24"/>
          <w:szCs w:val="24"/>
          <w:lang w:eastAsia="lv-LV"/>
        </w:rPr>
      </w:pPr>
    </w:p>
    <w:p w14:paraId="68D2EDAF" w14:textId="77777777" w:rsidR="004F1BD3" w:rsidRPr="008E4EB0" w:rsidRDefault="004F1BD3" w:rsidP="00B744FC">
      <w:pPr>
        <w:keepLines/>
        <w:spacing w:after="0" w:line="240" w:lineRule="auto"/>
        <w:ind w:firstLine="851"/>
        <w:contextualSpacing/>
        <w:jc w:val="both"/>
        <w:rPr>
          <w:rFonts w:ascii="Times New Roman" w:eastAsia="Calibri" w:hAnsi="Times New Roman" w:cs="Times New Roman"/>
          <w:sz w:val="24"/>
          <w:szCs w:val="24"/>
          <w:lang w:eastAsia="lv-LV"/>
        </w:rPr>
      </w:pPr>
    </w:p>
    <w:p w14:paraId="42A8D5AA" w14:textId="606ACAE2" w:rsidR="00B744FC" w:rsidRPr="008E4EB0" w:rsidRDefault="00B744FC" w:rsidP="00BF58E9">
      <w:pPr>
        <w:keepLines/>
        <w:spacing w:after="0" w:line="240" w:lineRule="auto"/>
        <w:ind w:firstLine="851"/>
        <w:contextualSpacing/>
        <w:jc w:val="both"/>
        <w:rPr>
          <w:rFonts w:ascii="Times New Roman" w:eastAsia="Calibri" w:hAnsi="Times New Roman" w:cs="Times New Roman"/>
          <w:sz w:val="24"/>
          <w:szCs w:val="24"/>
          <w:vertAlign w:val="superscript"/>
          <w:lang w:eastAsia="lv-LV"/>
        </w:rPr>
      </w:pPr>
      <w:r w:rsidRPr="008E4EB0">
        <w:rPr>
          <w:rFonts w:ascii="Times New Roman" w:eastAsia="Calibri" w:hAnsi="Times New Roman" w:cs="Times New Roman"/>
          <w:sz w:val="24"/>
          <w:szCs w:val="24"/>
          <w:lang w:eastAsia="lv-LV"/>
        </w:rPr>
        <w:t>Uzbūvētās jaunās daudzdzīvokļu ēkas (tūkst. m² kopējās platības)</w:t>
      </w:r>
      <w:r w:rsidR="003207BB" w:rsidRPr="008E4EB0">
        <w:rPr>
          <w:rFonts w:ascii="Times New Roman" w:eastAsia="Calibri" w:hAnsi="Times New Roman" w:cs="Times New Roman"/>
          <w:sz w:val="24"/>
          <w:szCs w:val="24"/>
          <w:vertAlign w:val="superscript"/>
          <w:lang w:eastAsia="lv-LV"/>
        </w:rPr>
        <w:t>5</w:t>
      </w:r>
    </w:p>
    <w:p w14:paraId="38B7B809" w14:textId="46C47B73" w:rsidR="004F1BD3" w:rsidRDefault="004F1BD3" w:rsidP="00B744FC">
      <w:pPr>
        <w:keepLines/>
        <w:spacing w:after="0" w:line="240" w:lineRule="auto"/>
        <w:ind w:left="1080"/>
        <w:contextualSpacing/>
        <w:jc w:val="center"/>
        <w:rPr>
          <w:rFonts w:ascii="Times New Roman" w:eastAsia="Calibri" w:hAnsi="Times New Roman" w:cs="Times New Roman"/>
          <w:sz w:val="24"/>
          <w:szCs w:val="24"/>
          <w:vertAlign w:val="superscript"/>
          <w:lang w:eastAsia="lv-LV"/>
        </w:rPr>
      </w:pPr>
    </w:p>
    <w:tbl>
      <w:tblPr>
        <w:tblStyle w:val="TableGrid1"/>
        <w:tblpPr w:leftFromText="180" w:rightFromText="180" w:vertAnchor="text" w:horzAnchor="margin" w:tblpXSpec="right" w:tblpY="117"/>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9"/>
        <w:gridCol w:w="4333"/>
      </w:tblGrid>
      <w:tr w:rsidR="004F1BD3" w:rsidRPr="008E4EB0" w14:paraId="3C42681B" w14:textId="77777777" w:rsidTr="00DA2BC4">
        <w:tc>
          <w:tcPr>
            <w:tcW w:w="4989" w:type="dxa"/>
          </w:tcPr>
          <w:p w14:paraId="500562B1" w14:textId="77777777" w:rsidR="004F1BD3" w:rsidRPr="008E4EB0" w:rsidRDefault="004F1BD3" w:rsidP="00DA2BC4">
            <w:pPr>
              <w:keepLines/>
              <w:contextualSpacing/>
              <w:rPr>
                <w:sz w:val="24"/>
                <w:szCs w:val="24"/>
              </w:rPr>
            </w:pPr>
            <w:r w:rsidRPr="008E4EB0">
              <w:rPr>
                <w:sz w:val="24"/>
                <w:szCs w:val="24"/>
              </w:rPr>
              <w:t xml:space="preserve">                 1.a attēls</w:t>
            </w:r>
          </w:p>
        </w:tc>
        <w:tc>
          <w:tcPr>
            <w:tcW w:w="4333" w:type="dxa"/>
          </w:tcPr>
          <w:p w14:paraId="79A7FA83" w14:textId="77777777" w:rsidR="004F1BD3" w:rsidRPr="008E4EB0" w:rsidRDefault="004F1BD3" w:rsidP="00DA2BC4">
            <w:pPr>
              <w:keepLines/>
              <w:contextualSpacing/>
              <w:rPr>
                <w:sz w:val="24"/>
                <w:szCs w:val="24"/>
              </w:rPr>
            </w:pPr>
            <w:r w:rsidRPr="008E4EB0">
              <w:rPr>
                <w:sz w:val="24"/>
                <w:szCs w:val="24"/>
              </w:rPr>
              <w:t xml:space="preserve">                 1.b. attēls</w:t>
            </w:r>
          </w:p>
        </w:tc>
      </w:tr>
    </w:tbl>
    <w:p w14:paraId="6DBBAFE8" w14:textId="04C6C328" w:rsidR="004F1BD3" w:rsidRPr="008E4EB0" w:rsidRDefault="00386751" w:rsidP="00B744FC">
      <w:pPr>
        <w:keepLines/>
        <w:spacing w:after="0" w:line="240" w:lineRule="auto"/>
        <w:ind w:left="1080"/>
        <w:contextualSpacing/>
        <w:jc w:val="center"/>
        <w:rPr>
          <w:rFonts w:ascii="Times New Roman" w:eastAsia="Calibri" w:hAnsi="Times New Roman" w:cs="Times New Roman"/>
          <w:sz w:val="24"/>
          <w:szCs w:val="24"/>
          <w:vertAlign w:val="superscript"/>
          <w:lang w:eastAsia="lv-LV"/>
        </w:rPr>
      </w:pPr>
      <w:r w:rsidRPr="008E4EB0">
        <w:rPr>
          <w:rFonts w:ascii="Times New Roman" w:eastAsia="Calibri" w:hAnsi="Times New Roman" w:cs="Times New Roman"/>
          <w:noProof/>
          <w:sz w:val="28"/>
          <w:lang w:eastAsia="lv-LV"/>
        </w:rPr>
        <w:drawing>
          <wp:anchor distT="0" distB="0" distL="114300" distR="114300" simplePos="0" relativeHeight="251661312" behindDoc="0" locked="0" layoutInCell="1" allowOverlap="1" wp14:anchorId="002A3E78" wp14:editId="666B5E5F">
            <wp:simplePos x="0" y="0"/>
            <wp:positionH relativeFrom="column">
              <wp:posOffset>1729740</wp:posOffset>
            </wp:positionH>
            <wp:positionV relativeFrom="page">
              <wp:posOffset>4752975</wp:posOffset>
            </wp:positionV>
            <wp:extent cx="4267200" cy="1952625"/>
            <wp:effectExtent l="0" t="0" r="0" b="0"/>
            <wp:wrapTopAndBottom/>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Pr="008E4EB0">
        <w:rPr>
          <w:rFonts w:ascii="Times New Roman" w:eastAsia="Calibri" w:hAnsi="Times New Roman" w:cs="Times New Roman"/>
          <w:noProof/>
          <w:sz w:val="28"/>
          <w:lang w:eastAsia="lv-LV"/>
        </w:rPr>
        <w:drawing>
          <wp:anchor distT="0" distB="0" distL="114300" distR="114300" simplePos="0" relativeHeight="251660288" behindDoc="0" locked="0" layoutInCell="1" allowOverlap="1" wp14:anchorId="145999A6" wp14:editId="5DF45685">
            <wp:simplePos x="0" y="0"/>
            <wp:positionH relativeFrom="page">
              <wp:posOffset>-285750</wp:posOffset>
            </wp:positionH>
            <wp:positionV relativeFrom="page">
              <wp:posOffset>4698365</wp:posOffset>
            </wp:positionV>
            <wp:extent cx="3267075" cy="2295525"/>
            <wp:effectExtent l="0" t="0" r="0" b="0"/>
            <wp:wrapTopAndBottom/>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3E751D23" w14:textId="529DA4C4" w:rsidR="004F1BD3" w:rsidRDefault="004F1BD3" w:rsidP="004F1BD3">
      <w:pPr>
        <w:keepLines/>
        <w:spacing w:after="0" w:line="240" w:lineRule="auto"/>
        <w:ind w:left="1080"/>
        <w:contextualSpacing/>
        <w:jc w:val="center"/>
        <w:rPr>
          <w:rFonts w:ascii="Times New Roman" w:eastAsia="Calibri" w:hAnsi="Times New Roman" w:cs="Times New Roman"/>
          <w:sz w:val="24"/>
          <w:szCs w:val="24"/>
          <w:lang w:eastAsia="lv-LV"/>
        </w:rPr>
      </w:pPr>
    </w:p>
    <w:p w14:paraId="68AD42E6" w14:textId="42661D97" w:rsidR="004F1BD3" w:rsidRDefault="004F1BD3" w:rsidP="004F1BD3">
      <w:pPr>
        <w:keepLines/>
        <w:spacing w:after="0" w:line="240" w:lineRule="auto"/>
        <w:ind w:left="1080"/>
        <w:contextualSpacing/>
        <w:jc w:val="center"/>
        <w:rPr>
          <w:rFonts w:ascii="Times New Roman" w:eastAsia="Calibri" w:hAnsi="Times New Roman" w:cs="Times New Roman"/>
          <w:sz w:val="24"/>
          <w:szCs w:val="24"/>
          <w:lang w:eastAsia="lv-LV"/>
        </w:rPr>
      </w:pPr>
    </w:p>
    <w:p w14:paraId="2E5D6338" w14:textId="13B7AB1B" w:rsidR="004F1BD3" w:rsidRDefault="004F1BD3" w:rsidP="004F1BD3">
      <w:pPr>
        <w:keepLines/>
        <w:spacing w:after="0" w:line="240" w:lineRule="auto"/>
        <w:ind w:left="1080"/>
        <w:contextualSpacing/>
        <w:jc w:val="center"/>
        <w:rPr>
          <w:rFonts w:ascii="Times New Roman" w:eastAsia="Calibri" w:hAnsi="Times New Roman" w:cs="Times New Roman"/>
          <w:sz w:val="24"/>
          <w:szCs w:val="24"/>
          <w:lang w:eastAsia="lv-LV"/>
        </w:rPr>
      </w:pPr>
    </w:p>
    <w:p w14:paraId="18687096" w14:textId="2EAA12E6" w:rsidR="00F749EA" w:rsidRDefault="00F749EA" w:rsidP="004F1BD3">
      <w:pPr>
        <w:keepLines/>
        <w:spacing w:after="0" w:line="240" w:lineRule="auto"/>
        <w:ind w:left="1080"/>
        <w:contextualSpacing/>
        <w:jc w:val="center"/>
        <w:rPr>
          <w:rFonts w:ascii="Times New Roman" w:eastAsia="Calibri" w:hAnsi="Times New Roman" w:cs="Times New Roman"/>
          <w:sz w:val="24"/>
          <w:szCs w:val="24"/>
          <w:lang w:eastAsia="lv-LV"/>
        </w:rPr>
      </w:pPr>
    </w:p>
    <w:p w14:paraId="2ADBA95F" w14:textId="175AA9B1" w:rsidR="00F749EA" w:rsidRDefault="00F749EA" w:rsidP="004F1BD3">
      <w:pPr>
        <w:keepLines/>
        <w:spacing w:after="0" w:line="240" w:lineRule="auto"/>
        <w:ind w:left="1080"/>
        <w:contextualSpacing/>
        <w:jc w:val="center"/>
        <w:rPr>
          <w:rFonts w:ascii="Times New Roman" w:eastAsia="Calibri" w:hAnsi="Times New Roman" w:cs="Times New Roman"/>
          <w:sz w:val="24"/>
          <w:szCs w:val="24"/>
          <w:lang w:eastAsia="lv-LV"/>
        </w:rPr>
      </w:pPr>
    </w:p>
    <w:p w14:paraId="2C67D6B2" w14:textId="72B67806" w:rsidR="00F749EA" w:rsidRDefault="00F749EA" w:rsidP="004F1BD3">
      <w:pPr>
        <w:keepLines/>
        <w:spacing w:after="0" w:line="240" w:lineRule="auto"/>
        <w:ind w:left="1080"/>
        <w:contextualSpacing/>
        <w:jc w:val="center"/>
        <w:rPr>
          <w:rFonts w:ascii="Times New Roman" w:eastAsia="Calibri" w:hAnsi="Times New Roman" w:cs="Times New Roman"/>
          <w:sz w:val="24"/>
          <w:szCs w:val="24"/>
          <w:lang w:eastAsia="lv-LV"/>
        </w:rPr>
      </w:pPr>
    </w:p>
    <w:p w14:paraId="01C7CBC1" w14:textId="0E816465" w:rsidR="00F749EA" w:rsidRDefault="00F749EA" w:rsidP="004F1BD3">
      <w:pPr>
        <w:keepLines/>
        <w:spacing w:after="0" w:line="240" w:lineRule="auto"/>
        <w:ind w:left="1080"/>
        <w:contextualSpacing/>
        <w:jc w:val="center"/>
        <w:rPr>
          <w:rFonts w:ascii="Times New Roman" w:eastAsia="Calibri" w:hAnsi="Times New Roman" w:cs="Times New Roman"/>
          <w:sz w:val="24"/>
          <w:szCs w:val="24"/>
          <w:lang w:eastAsia="lv-LV"/>
        </w:rPr>
      </w:pPr>
    </w:p>
    <w:p w14:paraId="14F522E7" w14:textId="3B34EC7E" w:rsidR="00F749EA" w:rsidRDefault="00F749EA" w:rsidP="004F1BD3">
      <w:pPr>
        <w:keepLines/>
        <w:spacing w:after="0" w:line="240" w:lineRule="auto"/>
        <w:ind w:left="1080"/>
        <w:contextualSpacing/>
        <w:jc w:val="center"/>
        <w:rPr>
          <w:rFonts w:ascii="Times New Roman" w:eastAsia="Calibri" w:hAnsi="Times New Roman" w:cs="Times New Roman"/>
          <w:sz w:val="24"/>
          <w:szCs w:val="24"/>
          <w:lang w:eastAsia="lv-LV"/>
        </w:rPr>
      </w:pPr>
    </w:p>
    <w:p w14:paraId="786169D3" w14:textId="77777777" w:rsidR="00F749EA" w:rsidRPr="008E4EB0" w:rsidDel="00FE63BE" w:rsidRDefault="00F749EA" w:rsidP="004F1BD3">
      <w:pPr>
        <w:keepLines/>
        <w:spacing w:after="0" w:line="240" w:lineRule="auto"/>
        <w:ind w:left="1080"/>
        <w:contextualSpacing/>
        <w:jc w:val="center"/>
        <w:rPr>
          <w:rFonts w:ascii="Times New Roman" w:eastAsia="Calibri" w:hAnsi="Times New Roman" w:cs="Times New Roman"/>
          <w:sz w:val="24"/>
          <w:szCs w:val="24"/>
          <w:lang w:eastAsia="lv-LV"/>
        </w:rPr>
      </w:pPr>
    </w:p>
    <w:p w14:paraId="2DEB9544" w14:textId="77777777" w:rsidR="004F1BD3" w:rsidRDefault="004F1BD3" w:rsidP="00386751">
      <w:pPr>
        <w:keepNext/>
        <w:keepLines/>
        <w:spacing w:after="0" w:line="240" w:lineRule="auto"/>
        <w:ind w:left="1077"/>
        <w:contextualSpacing/>
        <w:jc w:val="center"/>
        <w:rPr>
          <w:rFonts w:ascii="Times New Roman" w:eastAsia="Calibri" w:hAnsi="Times New Roman" w:cs="Times New Roman"/>
          <w:sz w:val="24"/>
          <w:szCs w:val="24"/>
          <w:vertAlign w:val="superscript"/>
          <w:lang w:eastAsia="lv-LV"/>
        </w:rPr>
      </w:pPr>
      <w:r w:rsidRPr="008E4EB0">
        <w:rPr>
          <w:rFonts w:ascii="Times New Roman" w:eastAsia="Calibri" w:hAnsi="Times New Roman" w:cs="Times New Roman"/>
          <w:sz w:val="24"/>
          <w:szCs w:val="24"/>
          <w:lang w:eastAsia="lv-LV"/>
        </w:rPr>
        <w:lastRenderedPageBreak/>
        <w:t>Uzbūvēto dzīvokļu skaits daudzīvokļu dzīvojamās ēkās</w:t>
      </w:r>
      <w:r w:rsidRPr="008E4EB0">
        <w:rPr>
          <w:rFonts w:ascii="Times New Roman" w:eastAsia="Calibri" w:hAnsi="Times New Roman" w:cs="Times New Roman"/>
          <w:sz w:val="24"/>
          <w:szCs w:val="24"/>
          <w:vertAlign w:val="superscript"/>
          <w:lang w:eastAsia="lv-LV"/>
        </w:rPr>
        <w:t>5</w:t>
      </w:r>
    </w:p>
    <w:p w14:paraId="24930658" w14:textId="7C462455" w:rsidR="00B744FC" w:rsidRPr="008E4EB0" w:rsidRDefault="004F1BD3" w:rsidP="00B744FC">
      <w:pPr>
        <w:keepLines/>
        <w:spacing w:after="0" w:line="240" w:lineRule="auto"/>
        <w:ind w:left="1080"/>
        <w:contextualSpacing/>
        <w:jc w:val="center"/>
        <w:rPr>
          <w:rFonts w:ascii="Times New Roman" w:eastAsia="Calibri" w:hAnsi="Times New Roman" w:cs="Times New Roman"/>
          <w:sz w:val="24"/>
          <w:szCs w:val="24"/>
          <w:lang w:eastAsia="lv-LV"/>
        </w:rPr>
      </w:pPr>
      <w:r w:rsidRPr="008E4EB0">
        <w:rPr>
          <w:rFonts w:ascii="Times New Roman" w:eastAsia="Calibri" w:hAnsi="Times New Roman" w:cs="Times New Roman"/>
          <w:noProof/>
          <w:sz w:val="28"/>
          <w:lang w:eastAsia="lv-LV"/>
        </w:rPr>
        <w:drawing>
          <wp:anchor distT="0" distB="0" distL="114300" distR="114300" simplePos="0" relativeHeight="251659264" behindDoc="0" locked="0" layoutInCell="1" allowOverlap="1" wp14:anchorId="23637BFD" wp14:editId="27E6D11C">
            <wp:simplePos x="0" y="0"/>
            <wp:positionH relativeFrom="column">
              <wp:posOffset>-1133475</wp:posOffset>
            </wp:positionH>
            <wp:positionV relativeFrom="page">
              <wp:posOffset>1485900</wp:posOffset>
            </wp:positionV>
            <wp:extent cx="3057525" cy="2876550"/>
            <wp:effectExtent l="0" t="0" r="0" b="0"/>
            <wp:wrapTopAndBottom/>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Pr="008E4EB0">
        <w:rPr>
          <w:rFonts w:ascii="Times New Roman" w:eastAsia="Calibri" w:hAnsi="Times New Roman" w:cs="Times New Roman"/>
          <w:noProof/>
          <w:sz w:val="28"/>
          <w:lang w:eastAsia="lv-LV"/>
        </w:rPr>
        <w:drawing>
          <wp:anchor distT="0" distB="0" distL="114300" distR="114300" simplePos="0" relativeHeight="251662336" behindDoc="0" locked="0" layoutInCell="1" allowOverlap="1" wp14:anchorId="5CE27A5F" wp14:editId="2BE5D580">
            <wp:simplePos x="0" y="0"/>
            <wp:positionH relativeFrom="column">
              <wp:posOffset>1685925</wp:posOffset>
            </wp:positionH>
            <wp:positionV relativeFrom="page">
              <wp:posOffset>1657350</wp:posOffset>
            </wp:positionV>
            <wp:extent cx="4352925" cy="2095500"/>
            <wp:effectExtent l="0" t="0" r="0" b="0"/>
            <wp:wrapTopAndBottom/>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B744FC" w:rsidRPr="008E4EB0" w14:paraId="6E6BA25E" w14:textId="77777777" w:rsidTr="00B744FC">
        <w:tc>
          <w:tcPr>
            <w:tcW w:w="4644" w:type="dxa"/>
          </w:tcPr>
          <w:p w14:paraId="37671A5D" w14:textId="3D555C70" w:rsidR="00B744FC" w:rsidRPr="008E4EB0" w:rsidRDefault="00B744FC" w:rsidP="00B744FC">
            <w:pPr>
              <w:rPr>
                <w:sz w:val="24"/>
                <w:szCs w:val="24"/>
              </w:rPr>
            </w:pPr>
            <w:r w:rsidRPr="008E4EB0">
              <w:rPr>
                <w:sz w:val="24"/>
                <w:szCs w:val="24"/>
              </w:rPr>
              <w:t xml:space="preserve">                 2.a attēls</w:t>
            </w:r>
          </w:p>
        </w:tc>
        <w:tc>
          <w:tcPr>
            <w:tcW w:w="4644" w:type="dxa"/>
          </w:tcPr>
          <w:p w14:paraId="096B24B3" w14:textId="7C571171" w:rsidR="00B744FC" w:rsidRPr="008E4EB0" w:rsidRDefault="00B744FC" w:rsidP="00B744FC">
            <w:pPr>
              <w:rPr>
                <w:sz w:val="24"/>
                <w:szCs w:val="24"/>
              </w:rPr>
            </w:pPr>
            <w:r w:rsidRPr="008E4EB0">
              <w:rPr>
                <w:sz w:val="24"/>
                <w:szCs w:val="24"/>
              </w:rPr>
              <w:t xml:space="preserve">                        2.b attēls</w:t>
            </w:r>
          </w:p>
        </w:tc>
      </w:tr>
    </w:tbl>
    <w:p w14:paraId="1D124692" w14:textId="77777777" w:rsidR="00B744FC" w:rsidRPr="008E4EB0" w:rsidRDefault="00B744FC" w:rsidP="00B744FC">
      <w:pPr>
        <w:spacing w:after="0" w:line="276" w:lineRule="auto"/>
        <w:jc w:val="both"/>
        <w:rPr>
          <w:rFonts w:ascii="Times New Roman" w:hAnsi="Times New Roman" w:cs="Times New Roman"/>
          <w:sz w:val="24"/>
          <w:szCs w:val="24"/>
        </w:rPr>
      </w:pPr>
    </w:p>
    <w:p w14:paraId="3B1325FA" w14:textId="2B82163B" w:rsidR="00990903" w:rsidRPr="008E4EB0" w:rsidRDefault="00990903" w:rsidP="00D64CF6">
      <w:pPr>
        <w:pStyle w:val="apakvirsraksts"/>
      </w:pPr>
      <w:bookmarkStart w:id="15" w:name="_Toc480527949"/>
      <w:bookmarkStart w:id="16" w:name="_Toc491870902"/>
      <w:r w:rsidRPr="008E4EB0">
        <w:t>Klimatiskās zonas</w:t>
      </w:r>
      <w:bookmarkEnd w:id="15"/>
      <w:bookmarkEnd w:id="16"/>
    </w:p>
    <w:p w14:paraId="496313C1" w14:textId="7F8154AD" w:rsidR="005A1C5E" w:rsidRPr="008E4EB0" w:rsidRDefault="005A1C5E" w:rsidP="008E391D">
      <w:pPr>
        <w:tabs>
          <w:tab w:val="left" w:pos="2269"/>
        </w:tabs>
        <w:spacing w:after="0" w:line="240" w:lineRule="auto"/>
        <w:ind w:firstLine="851"/>
        <w:contextualSpacing/>
        <w:jc w:val="both"/>
        <w:rPr>
          <w:rFonts w:ascii="Times New Roman" w:eastAsia="Calibri" w:hAnsi="Times New Roman" w:cs="EUAlbertina"/>
          <w:sz w:val="24"/>
          <w:szCs w:val="24"/>
        </w:rPr>
      </w:pPr>
      <w:r w:rsidRPr="008E4EB0">
        <w:rPr>
          <w:rFonts w:ascii="Times New Roman" w:eastAsia="Calibri" w:hAnsi="Times New Roman" w:cs="EUAlbertina"/>
          <w:sz w:val="24"/>
          <w:szCs w:val="24"/>
        </w:rPr>
        <w:t xml:space="preserve">Latvijas Būvnormatīvā LBN 003-15 „Būvklimatoloģija” noteikti klimatoloģiskie rādītāji, kas piemērojami būvniecībā, ietverot inženierizpētē, būvprojektēšanā, būvdarbu veikšanā, arī būvju remontā, </w:t>
      </w:r>
      <w:r w:rsidR="00CE0F55" w:rsidRPr="008E4EB0">
        <w:rPr>
          <w:rFonts w:ascii="Times New Roman" w:eastAsia="Calibri" w:hAnsi="Times New Roman" w:cs="EUAlbertina"/>
          <w:sz w:val="24"/>
          <w:szCs w:val="24"/>
        </w:rPr>
        <w:t>atjaunošanā</w:t>
      </w:r>
      <w:r w:rsidRPr="008E4EB0">
        <w:rPr>
          <w:rFonts w:ascii="Times New Roman" w:eastAsia="Calibri" w:hAnsi="Times New Roman" w:cs="EUAlbertina"/>
          <w:sz w:val="24"/>
          <w:szCs w:val="24"/>
        </w:rPr>
        <w:t xml:space="preserve"> un rekonstrukcijā izmantojamos klimatiskos rādītājus. </w:t>
      </w:r>
    </w:p>
    <w:p w14:paraId="78F9B2B8" w14:textId="31385E58" w:rsidR="005A1C5E" w:rsidRPr="008E4EB0" w:rsidRDefault="005A1C5E" w:rsidP="008E391D">
      <w:pPr>
        <w:tabs>
          <w:tab w:val="left" w:pos="2269"/>
        </w:tabs>
        <w:spacing w:after="0" w:line="240" w:lineRule="auto"/>
        <w:ind w:firstLine="851"/>
        <w:contextualSpacing/>
        <w:jc w:val="both"/>
        <w:rPr>
          <w:rFonts w:ascii="Times New Roman" w:eastAsia="Calibri" w:hAnsi="Times New Roman" w:cs="EUAlbertina"/>
          <w:sz w:val="24"/>
          <w:szCs w:val="24"/>
        </w:rPr>
      </w:pPr>
      <w:r w:rsidRPr="008E4EB0">
        <w:rPr>
          <w:rFonts w:ascii="Times New Roman" w:eastAsia="Calibri" w:hAnsi="Times New Roman" w:cs="EUAlbertina"/>
          <w:sz w:val="24"/>
          <w:szCs w:val="24"/>
        </w:rPr>
        <w:t xml:space="preserve">Jebkura ģeogrāfiskā punkta klimatoloģiskos rādītājus būvniecības vajadzībām Latvijas teritorijā nosaka pēc šī būvnormatīva 1.pielikuma tabulās ietvertā tuvākā ģeogrāfiskā punkta klimatoloģiskajiem rādītājiem. </w:t>
      </w:r>
    </w:p>
    <w:p w14:paraId="1E4A345B" w14:textId="77777777" w:rsidR="005A1C5E" w:rsidRPr="008E4EB0" w:rsidRDefault="005A1C5E" w:rsidP="008E391D">
      <w:pPr>
        <w:tabs>
          <w:tab w:val="left" w:pos="2269"/>
        </w:tabs>
        <w:spacing w:after="0" w:line="240" w:lineRule="auto"/>
        <w:ind w:firstLine="851"/>
        <w:contextualSpacing/>
        <w:jc w:val="both"/>
        <w:rPr>
          <w:rFonts w:ascii="Times New Roman" w:eastAsia="Calibri" w:hAnsi="Times New Roman" w:cs="EUAlbertina"/>
          <w:sz w:val="24"/>
          <w:szCs w:val="24"/>
        </w:rPr>
      </w:pPr>
      <w:r w:rsidRPr="008E4EB0">
        <w:rPr>
          <w:rFonts w:ascii="Times New Roman" w:eastAsia="Calibri" w:hAnsi="Times New Roman" w:cs="EUAlbertina"/>
          <w:sz w:val="24"/>
          <w:szCs w:val="24"/>
        </w:rPr>
        <w:t>Saskaņā ar LBN 003-15 „Būvklimatoloģija” klimatoloģiskie rādītāji noteikti šādām apdzīvotām vietām: Ainaži, Alūksne, Daugavpils, Dobele, Liepāja, Mērsrags, Priekuļi, Rīga, Stende, Zīlāni</w:t>
      </w:r>
      <w:r w:rsidRPr="008E4EB0">
        <w:rPr>
          <w:rFonts w:ascii="Times New Roman" w:eastAsia="Calibri" w:hAnsi="Times New Roman" w:cs="EUAlbertina"/>
          <w:szCs w:val="19"/>
          <w:vertAlign w:val="superscript"/>
        </w:rPr>
        <w:footnoteReference w:id="5"/>
      </w:r>
      <w:r w:rsidRPr="008E4EB0">
        <w:rPr>
          <w:rFonts w:ascii="Times New Roman" w:eastAsia="Calibri" w:hAnsi="Times New Roman" w:cs="EUAlbertina"/>
          <w:sz w:val="24"/>
          <w:szCs w:val="24"/>
        </w:rPr>
        <w:t>.</w:t>
      </w:r>
    </w:p>
    <w:p w14:paraId="1A2E7DED" w14:textId="40759118" w:rsidR="00916787" w:rsidRPr="008E4EB0" w:rsidRDefault="00916787" w:rsidP="008E391D">
      <w:pPr>
        <w:tabs>
          <w:tab w:val="left" w:pos="2269"/>
        </w:tabs>
        <w:spacing w:after="0" w:line="240" w:lineRule="auto"/>
        <w:ind w:firstLine="851"/>
        <w:contextualSpacing/>
        <w:jc w:val="both"/>
        <w:rPr>
          <w:rFonts w:ascii="Times New Roman" w:eastAsia="Calibri" w:hAnsi="Times New Roman" w:cs="EUAlbertina"/>
          <w:sz w:val="24"/>
          <w:szCs w:val="24"/>
        </w:rPr>
      </w:pPr>
    </w:p>
    <w:p w14:paraId="101CCACF" w14:textId="6BA9A063" w:rsidR="00990903" w:rsidRPr="008E4EB0" w:rsidRDefault="00990903" w:rsidP="00150827">
      <w:pPr>
        <w:pStyle w:val="apakvirsraksts"/>
      </w:pPr>
      <w:bookmarkStart w:id="17" w:name="_Toc482016773"/>
      <w:bookmarkStart w:id="18" w:name="_Toc480527950"/>
      <w:bookmarkStart w:id="19" w:name="_Toc491870903"/>
      <w:bookmarkEnd w:id="17"/>
      <w:r w:rsidRPr="00D2754E">
        <w:t>Iedalījums pēc atrašanās vietas</w:t>
      </w:r>
      <w:bookmarkEnd w:id="18"/>
      <w:bookmarkEnd w:id="19"/>
    </w:p>
    <w:p w14:paraId="36DE3BE2" w14:textId="6FA7E0C6" w:rsidR="005A1C5E" w:rsidRPr="008E4EB0" w:rsidRDefault="005A1C5E" w:rsidP="005A1C5E">
      <w:pPr>
        <w:spacing w:after="0" w:line="240" w:lineRule="auto"/>
        <w:ind w:firstLine="851"/>
        <w:jc w:val="both"/>
        <w:rPr>
          <w:rFonts w:ascii="Times New Roman" w:eastAsia="Calibri" w:hAnsi="Times New Roman" w:cs="Times New Roman"/>
          <w:iCs/>
          <w:sz w:val="24"/>
          <w:szCs w:val="24"/>
        </w:rPr>
      </w:pPr>
      <w:r w:rsidRPr="008E4EB0">
        <w:rPr>
          <w:rFonts w:ascii="Times New Roman" w:eastAsia="Calibri" w:hAnsi="Times New Roman" w:cs="Times New Roman"/>
          <w:sz w:val="24"/>
          <w:szCs w:val="24"/>
        </w:rPr>
        <w:t xml:space="preserve">Dzīvojamais fonds statistiskajos reģionos apkopots </w:t>
      </w:r>
      <w:r w:rsidR="004F1BD3">
        <w:rPr>
          <w:rFonts w:ascii="Times New Roman" w:eastAsia="Calibri" w:hAnsi="Times New Roman" w:cs="Times New Roman"/>
          <w:sz w:val="24"/>
          <w:szCs w:val="24"/>
        </w:rPr>
        <w:t>3</w:t>
      </w:r>
      <w:r w:rsidRPr="008E4EB0">
        <w:rPr>
          <w:rFonts w:ascii="Times New Roman" w:eastAsia="Calibri" w:hAnsi="Times New Roman" w:cs="Times New Roman"/>
          <w:sz w:val="24"/>
          <w:szCs w:val="24"/>
        </w:rPr>
        <w:t xml:space="preserve">. un </w:t>
      </w:r>
      <w:r w:rsidR="004F1BD3">
        <w:rPr>
          <w:rFonts w:ascii="Times New Roman" w:eastAsia="Calibri" w:hAnsi="Times New Roman" w:cs="Times New Roman"/>
          <w:sz w:val="24"/>
          <w:szCs w:val="24"/>
        </w:rPr>
        <w:t>4</w:t>
      </w:r>
      <w:r w:rsidRPr="008E4EB0">
        <w:rPr>
          <w:rFonts w:ascii="Times New Roman" w:eastAsia="Calibri" w:hAnsi="Times New Roman" w:cs="Times New Roman"/>
          <w:sz w:val="24"/>
          <w:szCs w:val="24"/>
        </w:rPr>
        <w:t xml:space="preserve">. tabulā, savukārt </w:t>
      </w:r>
      <w:r w:rsidR="004F1BD3">
        <w:rPr>
          <w:rFonts w:ascii="Times New Roman" w:eastAsia="Calibri" w:hAnsi="Times New Roman" w:cs="Times New Roman"/>
          <w:sz w:val="24"/>
          <w:szCs w:val="24"/>
        </w:rPr>
        <w:t>5</w:t>
      </w:r>
      <w:r w:rsidRPr="008E4EB0">
        <w:rPr>
          <w:rFonts w:ascii="Times New Roman" w:eastAsia="Calibri" w:hAnsi="Times New Roman" w:cs="Times New Roman"/>
          <w:sz w:val="24"/>
          <w:szCs w:val="24"/>
        </w:rPr>
        <w:t>.</w:t>
      </w:r>
      <w:r w:rsidR="001740B7" w:rsidRPr="008E4EB0">
        <w:rPr>
          <w:rFonts w:ascii="Times New Roman" w:eastAsia="Calibri" w:hAnsi="Times New Roman" w:cs="Times New Roman"/>
          <w:sz w:val="24"/>
          <w:szCs w:val="24"/>
        </w:rPr>
        <w:t> </w:t>
      </w:r>
      <w:r w:rsidRPr="008E4EB0">
        <w:rPr>
          <w:rFonts w:ascii="Times New Roman" w:eastAsia="Calibri" w:hAnsi="Times New Roman" w:cs="Times New Roman"/>
          <w:sz w:val="24"/>
          <w:szCs w:val="24"/>
        </w:rPr>
        <w:t>tabulā apkopota informācija par uzbūvētām jaunām dzīvojamām ēkām statistiskajos reģionos un republikas pilsētās.</w:t>
      </w:r>
    </w:p>
    <w:p w14:paraId="06AC3076" w14:textId="16671101" w:rsidR="005A1C5E" w:rsidRPr="008E4EB0" w:rsidRDefault="005A1C5E" w:rsidP="005A1C5E">
      <w:pPr>
        <w:spacing w:after="0" w:line="240" w:lineRule="auto"/>
        <w:ind w:firstLine="851"/>
        <w:jc w:val="both"/>
        <w:rPr>
          <w:rFonts w:ascii="Times New Roman" w:eastAsia="Calibri" w:hAnsi="Times New Roman" w:cs="Times New Roman"/>
          <w:iCs/>
          <w:sz w:val="24"/>
          <w:szCs w:val="24"/>
        </w:rPr>
      </w:pPr>
      <w:r w:rsidRPr="008E4EB0">
        <w:rPr>
          <w:rFonts w:ascii="Times New Roman" w:eastAsia="Calibri" w:hAnsi="Times New Roman" w:cs="Times New Roman"/>
          <w:iCs/>
          <w:sz w:val="24"/>
          <w:szCs w:val="24"/>
        </w:rPr>
        <w:t xml:space="preserve">Apskatot </w:t>
      </w:r>
      <w:r w:rsidRPr="008E4EB0">
        <w:rPr>
          <w:rFonts w:ascii="Times New Roman" w:eastAsia="Calibri" w:hAnsi="Times New Roman" w:cs="Times New Roman"/>
          <w:sz w:val="24"/>
          <w:szCs w:val="24"/>
        </w:rPr>
        <w:t xml:space="preserve">dzīvojamo fondu statistiskajos reģionos </w:t>
      </w:r>
      <w:r w:rsidRPr="008E4EB0">
        <w:rPr>
          <w:rFonts w:ascii="Times New Roman" w:eastAsia="Calibri" w:hAnsi="Times New Roman" w:cs="Times New Roman"/>
          <w:iCs/>
          <w:sz w:val="24"/>
          <w:szCs w:val="24"/>
        </w:rPr>
        <w:t xml:space="preserve">saskaņā ar </w:t>
      </w:r>
      <w:r w:rsidR="004F1BD3">
        <w:rPr>
          <w:rFonts w:ascii="Times New Roman" w:eastAsia="Calibri" w:hAnsi="Times New Roman" w:cs="Times New Roman"/>
          <w:iCs/>
          <w:sz w:val="24"/>
          <w:szCs w:val="24"/>
        </w:rPr>
        <w:t>4</w:t>
      </w:r>
      <w:r w:rsidRPr="008E4EB0">
        <w:rPr>
          <w:rFonts w:ascii="Times New Roman" w:eastAsia="Calibri" w:hAnsi="Times New Roman" w:cs="Times New Roman"/>
          <w:iCs/>
          <w:sz w:val="24"/>
          <w:szCs w:val="24"/>
        </w:rPr>
        <w:t>.tabulu, redzams, ka kopējā dzīvojamā fonda platība uz 2015.gadu Latvijā ir 74670 tūkst.m</w:t>
      </w:r>
      <w:r w:rsidRPr="008E4EB0">
        <w:rPr>
          <w:rFonts w:ascii="Times New Roman" w:eastAsia="Calibri" w:hAnsi="Times New Roman" w:cs="Times New Roman"/>
          <w:iCs/>
          <w:sz w:val="24"/>
          <w:szCs w:val="24"/>
          <w:vertAlign w:val="superscript"/>
        </w:rPr>
        <w:t>2</w:t>
      </w:r>
      <w:r w:rsidRPr="008E4EB0">
        <w:rPr>
          <w:rFonts w:ascii="Times New Roman" w:eastAsia="Calibri" w:hAnsi="Times New Roman" w:cs="Times New Roman"/>
          <w:iCs/>
          <w:sz w:val="24"/>
          <w:szCs w:val="24"/>
        </w:rPr>
        <w:t>, savukārt 49,8% no kopējās dzīvojamo māju platības ir Rīgas reģionā (25,9%, 19350 tūkst.m</w:t>
      </w:r>
      <w:r w:rsidRPr="008E4EB0">
        <w:rPr>
          <w:rFonts w:ascii="Times New Roman" w:eastAsia="Calibri" w:hAnsi="Times New Roman" w:cs="Times New Roman"/>
          <w:iCs/>
          <w:sz w:val="24"/>
          <w:szCs w:val="24"/>
          <w:vertAlign w:val="superscript"/>
        </w:rPr>
        <w:t>2</w:t>
      </w:r>
      <w:r w:rsidRPr="008E4EB0">
        <w:rPr>
          <w:rFonts w:ascii="Times New Roman" w:eastAsia="Calibri" w:hAnsi="Times New Roman" w:cs="Times New Roman"/>
          <w:iCs/>
          <w:sz w:val="24"/>
          <w:szCs w:val="24"/>
        </w:rPr>
        <w:t>) un Pierīgā (23,9%, 17835 tūkst.m</w:t>
      </w:r>
      <w:r w:rsidRPr="008E4EB0">
        <w:rPr>
          <w:rFonts w:ascii="Times New Roman" w:eastAsia="Calibri" w:hAnsi="Times New Roman" w:cs="Times New Roman"/>
          <w:iCs/>
          <w:sz w:val="24"/>
          <w:szCs w:val="24"/>
          <w:vertAlign w:val="superscript"/>
        </w:rPr>
        <w:t>2</w:t>
      </w:r>
      <w:r w:rsidRPr="008E4EB0">
        <w:rPr>
          <w:rFonts w:ascii="Times New Roman" w:eastAsia="Calibri" w:hAnsi="Times New Roman" w:cs="Times New Roman"/>
          <w:iCs/>
          <w:sz w:val="24"/>
          <w:szCs w:val="24"/>
        </w:rPr>
        <w:t>). Savukārt dzīvojamā fonda lielākā kopējā platība uz vienu pastāvīgo iedzīvotāju ir novērojama Pierīgas reģionā (49 m</w:t>
      </w:r>
      <w:r w:rsidRPr="008E4EB0">
        <w:rPr>
          <w:rFonts w:ascii="Times New Roman" w:eastAsia="Calibri" w:hAnsi="Times New Roman" w:cs="Times New Roman"/>
          <w:iCs/>
          <w:sz w:val="24"/>
          <w:szCs w:val="24"/>
          <w:vertAlign w:val="superscript"/>
        </w:rPr>
        <w:t>2</w:t>
      </w:r>
      <w:r w:rsidRPr="008E4EB0">
        <w:rPr>
          <w:rFonts w:ascii="Times New Roman" w:eastAsia="Calibri" w:hAnsi="Times New Roman" w:cs="Times New Roman"/>
          <w:iCs/>
          <w:sz w:val="24"/>
          <w:szCs w:val="24"/>
        </w:rPr>
        <w:t>) un Vidzemes reģionā (41 m</w:t>
      </w:r>
      <w:r w:rsidRPr="008E4EB0">
        <w:rPr>
          <w:rFonts w:ascii="Times New Roman" w:eastAsia="Calibri" w:hAnsi="Times New Roman" w:cs="Times New Roman"/>
          <w:iCs/>
          <w:sz w:val="24"/>
          <w:szCs w:val="24"/>
          <w:vertAlign w:val="superscript"/>
        </w:rPr>
        <w:t>2</w:t>
      </w:r>
      <w:r w:rsidRPr="008E4EB0">
        <w:rPr>
          <w:rFonts w:ascii="Times New Roman" w:eastAsia="Calibri" w:hAnsi="Times New Roman" w:cs="Times New Roman"/>
          <w:iCs/>
          <w:sz w:val="24"/>
          <w:szCs w:val="24"/>
        </w:rPr>
        <w:t>)</w:t>
      </w:r>
    </w:p>
    <w:p w14:paraId="16CBCCCD" w14:textId="77777777" w:rsidR="005A1C5E" w:rsidRPr="008E4EB0" w:rsidRDefault="005A1C5E" w:rsidP="005A1C5E">
      <w:pPr>
        <w:spacing w:after="0" w:line="240" w:lineRule="auto"/>
        <w:ind w:firstLine="851"/>
        <w:jc w:val="both"/>
        <w:rPr>
          <w:rFonts w:ascii="Times New Roman" w:eastAsia="Calibri" w:hAnsi="Times New Roman" w:cs="Times New Roman"/>
          <w:iCs/>
          <w:sz w:val="24"/>
          <w:szCs w:val="24"/>
        </w:rPr>
      </w:pPr>
      <w:r w:rsidRPr="008E4EB0">
        <w:rPr>
          <w:rFonts w:ascii="Times New Roman" w:eastAsia="Calibri" w:hAnsi="Times New Roman" w:cs="Times New Roman"/>
          <w:iCs/>
          <w:sz w:val="24"/>
          <w:szCs w:val="24"/>
        </w:rPr>
        <w:t xml:space="preserve">Arī apskatot </w:t>
      </w:r>
      <w:r w:rsidRPr="008E4EB0">
        <w:rPr>
          <w:rFonts w:ascii="Times New Roman" w:eastAsia="Calibri" w:hAnsi="Times New Roman" w:cs="Times New Roman"/>
          <w:sz w:val="24"/>
          <w:szCs w:val="24"/>
        </w:rPr>
        <w:t xml:space="preserve">uzbūvēto jauno dzīvojamo ēku kopējo platību statistiskajos reģionos 2016.gadā redzams, ka vislielākā mājokļu būvniecības aktivitāte bijusi Pierīgas reģionā, kur uzbūvēti 62,9% </w:t>
      </w:r>
      <w:r w:rsidRPr="008E4EB0">
        <w:rPr>
          <w:rFonts w:ascii="Times New Roman" w:eastAsia="Calibri" w:hAnsi="Times New Roman" w:cs="Times New Roman"/>
          <w:iCs/>
          <w:sz w:val="24"/>
          <w:szCs w:val="24"/>
        </w:rPr>
        <w:t>(234,7 tūkst.m</w:t>
      </w:r>
      <w:r w:rsidRPr="008E4EB0">
        <w:rPr>
          <w:rFonts w:ascii="Times New Roman" w:eastAsia="Calibri" w:hAnsi="Times New Roman" w:cs="Times New Roman"/>
          <w:iCs/>
          <w:sz w:val="24"/>
          <w:szCs w:val="24"/>
          <w:vertAlign w:val="superscript"/>
        </w:rPr>
        <w:t>2</w:t>
      </w:r>
      <w:r w:rsidRPr="008E4EB0">
        <w:rPr>
          <w:rFonts w:ascii="Times New Roman" w:eastAsia="Calibri" w:hAnsi="Times New Roman" w:cs="Times New Roman"/>
          <w:iCs/>
          <w:sz w:val="24"/>
          <w:szCs w:val="24"/>
        </w:rPr>
        <w:t xml:space="preserve">) </w:t>
      </w:r>
      <w:r w:rsidRPr="008E4EB0">
        <w:rPr>
          <w:rFonts w:ascii="Times New Roman" w:eastAsia="Calibri" w:hAnsi="Times New Roman" w:cs="Times New Roman"/>
          <w:sz w:val="24"/>
          <w:szCs w:val="24"/>
        </w:rPr>
        <w:t xml:space="preserve">no visiem Latvijā uzbūvētajiem </w:t>
      </w:r>
      <w:r w:rsidRPr="008E4EB0">
        <w:rPr>
          <w:rFonts w:ascii="Times New Roman" w:eastAsia="Calibri" w:hAnsi="Times New Roman" w:cs="Times New Roman"/>
          <w:sz w:val="24"/>
          <w:szCs w:val="24"/>
        </w:rPr>
        <w:lastRenderedPageBreak/>
        <w:t>mājokļiem - 66,4% (</w:t>
      </w:r>
      <w:r w:rsidRPr="008E4EB0">
        <w:rPr>
          <w:rFonts w:ascii="Times New Roman" w:eastAsia="Calibri" w:hAnsi="Times New Roman" w:cs="Times New Roman"/>
          <w:bCs/>
          <w:sz w:val="24"/>
          <w:szCs w:val="24"/>
        </w:rPr>
        <w:t xml:space="preserve">164,1 </w:t>
      </w:r>
      <w:r w:rsidRPr="008E4EB0">
        <w:rPr>
          <w:rFonts w:ascii="Times New Roman" w:eastAsia="Calibri" w:hAnsi="Times New Roman" w:cs="Times New Roman"/>
          <w:iCs/>
          <w:sz w:val="24"/>
          <w:szCs w:val="24"/>
        </w:rPr>
        <w:t>tūkst.m</w:t>
      </w:r>
      <w:r w:rsidRPr="008E4EB0">
        <w:rPr>
          <w:rFonts w:ascii="Times New Roman" w:eastAsia="Calibri" w:hAnsi="Times New Roman" w:cs="Times New Roman"/>
          <w:iCs/>
          <w:sz w:val="24"/>
          <w:szCs w:val="24"/>
          <w:vertAlign w:val="superscript"/>
        </w:rPr>
        <w:t>2</w:t>
      </w:r>
      <w:r w:rsidRPr="008E4EB0">
        <w:rPr>
          <w:rFonts w:ascii="Times New Roman" w:eastAsia="Calibri" w:hAnsi="Times New Roman" w:cs="Times New Roman"/>
          <w:iCs/>
          <w:sz w:val="24"/>
          <w:szCs w:val="24"/>
        </w:rPr>
        <w:t xml:space="preserve">) </w:t>
      </w:r>
      <w:r w:rsidRPr="008E4EB0">
        <w:rPr>
          <w:rFonts w:ascii="Times New Roman" w:eastAsia="Calibri" w:hAnsi="Times New Roman" w:cs="Times New Roman"/>
          <w:sz w:val="24"/>
          <w:szCs w:val="24"/>
        </w:rPr>
        <w:t xml:space="preserve">no uzbūvētajām viena dzīvokļa mājām </w:t>
      </w:r>
      <w:r w:rsidRPr="008E4EB0">
        <w:rPr>
          <w:rFonts w:ascii="Times New Roman" w:eastAsia="Calibri" w:hAnsi="Times New Roman" w:cs="Times New Roman"/>
          <w:iCs/>
          <w:sz w:val="24"/>
          <w:szCs w:val="24"/>
        </w:rPr>
        <w:t>un 56,2% (70,6 tūkst.m</w:t>
      </w:r>
      <w:r w:rsidRPr="008E4EB0">
        <w:rPr>
          <w:rFonts w:ascii="Times New Roman" w:eastAsia="Calibri" w:hAnsi="Times New Roman" w:cs="Times New Roman"/>
          <w:iCs/>
          <w:sz w:val="24"/>
          <w:szCs w:val="24"/>
          <w:vertAlign w:val="superscript"/>
        </w:rPr>
        <w:t>2</w:t>
      </w:r>
      <w:r w:rsidRPr="008E4EB0">
        <w:rPr>
          <w:rFonts w:ascii="Times New Roman" w:eastAsia="Calibri" w:hAnsi="Times New Roman" w:cs="Times New Roman"/>
          <w:iCs/>
          <w:sz w:val="24"/>
          <w:szCs w:val="24"/>
        </w:rPr>
        <w:t>) no uzbūvētajām daudzdzīvokļa mājām.</w:t>
      </w:r>
    </w:p>
    <w:p w14:paraId="237C9536" w14:textId="77777777" w:rsidR="005A1C5E" w:rsidRPr="008E4EB0" w:rsidRDefault="005A1C5E" w:rsidP="005A1C5E">
      <w:pPr>
        <w:spacing w:after="0" w:line="240" w:lineRule="auto"/>
        <w:ind w:firstLine="851"/>
        <w:jc w:val="both"/>
        <w:rPr>
          <w:rFonts w:ascii="Times New Roman" w:eastAsia="Calibri" w:hAnsi="Times New Roman" w:cs="Times New Roman"/>
          <w:iCs/>
          <w:sz w:val="24"/>
          <w:szCs w:val="24"/>
        </w:rPr>
      </w:pPr>
    </w:p>
    <w:p w14:paraId="7D75100E" w14:textId="0B041D9F" w:rsidR="005A1C5E" w:rsidRPr="008E4EB0" w:rsidRDefault="004F1BD3" w:rsidP="005A1C5E">
      <w:pPr>
        <w:spacing w:after="0" w:line="240" w:lineRule="auto"/>
        <w:jc w:val="center"/>
        <w:rPr>
          <w:rFonts w:ascii="Times New Roman" w:eastAsia="Calibri" w:hAnsi="Times New Roman" w:cs="Times New Roman"/>
          <w:iCs/>
          <w:sz w:val="24"/>
          <w:szCs w:val="24"/>
        </w:rPr>
      </w:pPr>
      <w:r>
        <w:rPr>
          <w:rFonts w:ascii="Times New Roman" w:eastAsia="Calibri" w:hAnsi="Times New Roman" w:cs="Times New Roman"/>
          <w:sz w:val="24"/>
          <w:szCs w:val="24"/>
        </w:rPr>
        <w:t>3</w:t>
      </w:r>
      <w:r w:rsidR="005A1C5E" w:rsidRPr="008E4EB0">
        <w:rPr>
          <w:rFonts w:ascii="Times New Roman" w:eastAsia="Calibri" w:hAnsi="Times New Roman" w:cs="Times New Roman"/>
          <w:sz w:val="24"/>
          <w:szCs w:val="24"/>
        </w:rPr>
        <w:t>. tabula. Dzīvojamais fonds statistiskajos reģionos gada beigās (tūkst. m² kopējās platības)</w:t>
      </w:r>
      <w:r w:rsidR="003207BB" w:rsidRPr="008E4EB0">
        <w:rPr>
          <w:rFonts w:ascii="Times New Roman" w:eastAsia="Calibri" w:hAnsi="Times New Roman" w:cs="Times New Roman"/>
          <w:sz w:val="24"/>
          <w:szCs w:val="24"/>
          <w:vertAlign w:val="superscript"/>
        </w:rPr>
        <w:t>5</w:t>
      </w:r>
    </w:p>
    <w:tbl>
      <w:tblPr>
        <w:tblW w:w="8958" w:type="dxa"/>
        <w:tblInd w:w="-5" w:type="dxa"/>
        <w:tblLook w:val="04A0" w:firstRow="1" w:lastRow="0" w:firstColumn="1" w:lastColumn="0" w:noHBand="0" w:noVBand="1"/>
      </w:tblPr>
      <w:tblGrid>
        <w:gridCol w:w="2154"/>
        <w:gridCol w:w="1134"/>
        <w:gridCol w:w="1134"/>
        <w:gridCol w:w="1134"/>
        <w:gridCol w:w="1134"/>
        <w:gridCol w:w="1134"/>
        <w:gridCol w:w="1134"/>
      </w:tblGrid>
      <w:tr w:rsidR="005A1C5E" w:rsidRPr="008E4EB0" w14:paraId="1C77DECA" w14:textId="77777777" w:rsidTr="003207BB">
        <w:trPr>
          <w:trHeight w:val="300"/>
        </w:trPr>
        <w:tc>
          <w:tcPr>
            <w:tcW w:w="21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5E851"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ADE2F64" w14:textId="77777777" w:rsidR="005A1C5E" w:rsidRPr="008E4EB0" w:rsidRDefault="005A1C5E" w:rsidP="005A1C5E">
            <w:pPr>
              <w:spacing w:after="0" w:line="240" w:lineRule="auto"/>
              <w:jc w:val="center"/>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2010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8CCB924" w14:textId="77777777" w:rsidR="005A1C5E" w:rsidRPr="008E4EB0" w:rsidRDefault="005A1C5E" w:rsidP="005A1C5E">
            <w:pPr>
              <w:spacing w:after="0" w:line="240" w:lineRule="auto"/>
              <w:jc w:val="center"/>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2011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0E75B31" w14:textId="77777777" w:rsidR="005A1C5E" w:rsidRPr="008E4EB0" w:rsidRDefault="005A1C5E" w:rsidP="005A1C5E">
            <w:pPr>
              <w:spacing w:after="0" w:line="240" w:lineRule="auto"/>
              <w:jc w:val="center"/>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2012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6A23AB9" w14:textId="77777777" w:rsidR="005A1C5E" w:rsidRPr="008E4EB0" w:rsidRDefault="005A1C5E" w:rsidP="005A1C5E">
            <w:pPr>
              <w:spacing w:after="0" w:line="240" w:lineRule="auto"/>
              <w:jc w:val="center"/>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2013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8B38F78" w14:textId="77777777" w:rsidR="005A1C5E" w:rsidRPr="008E4EB0" w:rsidRDefault="005A1C5E" w:rsidP="005A1C5E">
            <w:pPr>
              <w:spacing w:after="0" w:line="240" w:lineRule="auto"/>
              <w:jc w:val="center"/>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2014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B93B446" w14:textId="77777777" w:rsidR="005A1C5E" w:rsidRPr="008E4EB0" w:rsidRDefault="005A1C5E" w:rsidP="005A1C5E">
            <w:pPr>
              <w:spacing w:after="0" w:line="240" w:lineRule="auto"/>
              <w:jc w:val="center"/>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2015</w:t>
            </w:r>
          </w:p>
        </w:tc>
      </w:tr>
      <w:tr w:rsidR="005A1C5E" w:rsidRPr="008E4EB0" w14:paraId="3867EBEA" w14:textId="77777777" w:rsidTr="003207BB">
        <w:trPr>
          <w:trHeight w:val="300"/>
        </w:trPr>
        <w:tc>
          <w:tcPr>
            <w:tcW w:w="2154" w:type="dxa"/>
            <w:tcBorders>
              <w:top w:val="nil"/>
              <w:left w:val="single" w:sz="4" w:space="0" w:color="auto"/>
              <w:bottom w:val="single" w:sz="4" w:space="0" w:color="auto"/>
              <w:right w:val="single" w:sz="4" w:space="0" w:color="auto"/>
            </w:tcBorders>
            <w:shd w:val="clear" w:color="auto" w:fill="auto"/>
            <w:noWrap/>
            <w:vAlign w:val="bottom"/>
            <w:hideMark/>
          </w:tcPr>
          <w:p w14:paraId="3DAA9A83"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LATVIJA</w:t>
            </w:r>
          </w:p>
        </w:tc>
        <w:tc>
          <w:tcPr>
            <w:tcW w:w="1134" w:type="dxa"/>
            <w:tcBorders>
              <w:top w:val="nil"/>
              <w:left w:val="nil"/>
              <w:bottom w:val="single" w:sz="4" w:space="0" w:color="auto"/>
              <w:right w:val="single" w:sz="4" w:space="0" w:color="auto"/>
            </w:tcBorders>
            <w:shd w:val="clear" w:color="auto" w:fill="auto"/>
            <w:noWrap/>
            <w:vAlign w:val="bottom"/>
            <w:hideMark/>
          </w:tcPr>
          <w:p w14:paraId="54F67718"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67926</w:t>
            </w:r>
          </w:p>
        </w:tc>
        <w:tc>
          <w:tcPr>
            <w:tcW w:w="1134" w:type="dxa"/>
            <w:tcBorders>
              <w:top w:val="nil"/>
              <w:left w:val="nil"/>
              <w:bottom w:val="single" w:sz="4" w:space="0" w:color="auto"/>
              <w:right w:val="single" w:sz="4" w:space="0" w:color="auto"/>
            </w:tcBorders>
            <w:shd w:val="clear" w:color="auto" w:fill="auto"/>
            <w:noWrap/>
            <w:vAlign w:val="bottom"/>
            <w:hideMark/>
          </w:tcPr>
          <w:p w14:paraId="0E43B5F4"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69066</w:t>
            </w:r>
          </w:p>
        </w:tc>
        <w:tc>
          <w:tcPr>
            <w:tcW w:w="1134" w:type="dxa"/>
            <w:tcBorders>
              <w:top w:val="nil"/>
              <w:left w:val="nil"/>
              <w:bottom w:val="single" w:sz="4" w:space="0" w:color="auto"/>
              <w:right w:val="single" w:sz="4" w:space="0" w:color="auto"/>
            </w:tcBorders>
            <w:shd w:val="clear" w:color="auto" w:fill="auto"/>
            <w:noWrap/>
            <w:vAlign w:val="bottom"/>
            <w:hideMark/>
          </w:tcPr>
          <w:p w14:paraId="56A80A23"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70349</w:t>
            </w:r>
          </w:p>
        </w:tc>
        <w:tc>
          <w:tcPr>
            <w:tcW w:w="1134" w:type="dxa"/>
            <w:tcBorders>
              <w:top w:val="nil"/>
              <w:left w:val="nil"/>
              <w:bottom w:val="single" w:sz="4" w:space="0" w:color="auto"/>
              <w:right w:val="single" w:sz="4" w:space="0" w:color="auto"/>
            </w:tcBorders>
            <w:shd w:val="clear" w:color="auto" w:fill="auto"/>
            <w:noWrap/>
            <w:vAlign w:val="bottom"/>
            <w:hideMark/>
          </w:tcPr>
          <w:p w14:paraId="0799B8E9"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72077</w:t>
            </w:r>
          </w:p>
        </w:tc>
        <w:tc>
          <w:tcPr>
            <w:tcW w:w="1134" w:type="dxa"/>
            <w:tcBorders>
              <w:top w:val="nil"/>
              <w:left w:val="nil"/>
              <w:bottom w:val="single" w:sz="4" w:space="0" w:color="auto"/>
              <w:right w:val="single" w:sz="4" w:space="0" w:color="auto"/>
            </w:tcBorders>
            <w:shd w:val="clear" w:color="auto" w:fill="auto"/>
            <w:noWrap/>
            <w:vAlign w:val="bottom"/>
            <w:hideMark/>
          </w:tcPr>
          <w:p w14:paraId="2F576E1B"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73939</w:t>
            </w:r>
          </w:p>
        </w:tc>
        <w:tc>
          <w:tcPr>
            <w:tcW w:w="1134" w:type="dxa"/>
            <w:tcBorders>
              <w:top w:val="nil"/>
              <w:left w:val="nil"/>
              <w:bottom w:val="single" w:sz="4" w:space="0" w:color="auto"/>
              <w:right w:val="single" w:sz="4" w:space="0" w:color="auto"/>
            </w:tcBorders>
            <w:shd w:val="clear" w:color="auto" w:fill="auto"/>
            <w:noWrap/>
            <w:vAlign w:val="bottom"/>
            <w:hideMark/>
          </w:tcPr>
          <w:p w14:paraId="4827C2C5"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74670</w:t>
            </w:r>
          </w:p>
        </w:tc>
      </w:tr>
      <w:tr w:rsidR="005A1C5E" w:rsidRPr="008E4EB0" w14:paraId="18C1A20C" w14:textId="77777777" w:rsidTr="003207BB">
        <w:trPr>
          <w:trHeight w:val="300"/>
        </w:trPr>
        <w:tc>
          <w:tcPr>
            <w:tcW w:w="2154" w:type="dxa"/>
            <w:tcBorders>
              <w:top w:val="nil"/>
              <w:left w:val="single" w:sz="4" w:space="0" w:color="auto"/>
              <w:bottom w:val="single" w:sz="4" w:space="0" w:color="auto"/>
              <w:right w:val="single" w:sz="4" w:space="0" w:color="auto"/>
            </w:tcBorders>
            <w:shd w:val="clear" w:color="auto" w:fill="auto"/>
            <w:noWrap/>
            <w:vAlign w:val="bottom"/>
            <w:hideMark/>
          </w:tcPr>
          <w:p w14:paraId="05D23C83"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Rīgas reģions</w:t>
            </w:r>
          </w:p>
        </w:tc>
        <w:tc>
          <w:tcPr>
            <w:tcW w:w="1134" w:type="dxa"/>
            <w:tcBorders>
              <w:top w:val="nil"/>
              <w:left w:val="nil"/>
              <w:bottom w:val="single" w:sz="4" w:space="0" w:color="auto"/>
              <w:right w:val="single" w:sz="4" w:space="0" w:color="auto"/>
            </w:tcBorders>
            <w:shd w:val="clear" w:color="auto" w:fill="auto"/>
            <w:noWrap/>
            <w:vAlign w:val="bottom"/>
            <w:hideMark/>
          </w:tcPr>
          <w:p w14:paraId="6D683285"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17636</w:t>
            </w:r>
          </w:p>
        </w:tc>
        <w:tc>
          <w:tcPr>
            <w:tcW w:w="1134" w:type="dxa"/>
            <w:tcBorders>
              <w:top w:val="nil"/>
              <w:left w:val="nil"/>
              <w:bottom w:val="single" w:sz="4" w:space="0" w:color="auto"/>
              <w:right w:val="single" w:sz="4" w:space="0" w:color="auto"/>
            </w:tcBorders>
            <w:shd w:val="clear" w:color="auto" w:fill="auto"/>
            <w:noWrap/>
            <w:vAlign w:val="bottom"/>
            <w:hideMark/>
          </w:tcPr>
          <w:p w14:paraId="51671CB7"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17875</w:t>
            </w:r>
          </w:p>
        </w:tc>
        <w:tc>
          <w:tcPr>
            <w:tcW w:w="1134" w:type="dxa"/>
            <w:tcBorders>
              <w:top w:val="nil"/>
              <w:left w:val="nil"/>
              <w:bottom w:val="single" w:sz="4" w:space="0" w:color="auto"/>
              <w:right w:val="single" w:sz="4" w:space="0" w:color="auto"/>
            </w:tcBorders>
            <w:shd w:val="clear" w:color="auto" w:fill="auto"/>
            <w:noWrap/>
            <w:vAlign w:val="bottom"/>
            <w:hideMark/>
          </w:tcPr>
          <w:p w14:paraId="7BC570D1"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18267</w:t>
            </w:r>
          </w:p>
        </w:tc>
        <w:tc>
          <w:tcPr>
            <w:tcW w:w="1134" w:type="dxa"/>
            <w:tcBorders>
              <w:top w:val="nil"/>
              <w:left w:val="nil"/>
              <w:bottom w:val="single" w:sz="4" w:space="0" w:color="auto"/>
              <w:right w:val="single" w:sz="4" w:space="0" w:color="auto"/>
            </w:tcBorders>
            <w:shd w:val="clear" w:color="auto" w:fill="auto"/>
            <w:noWrap/>
            <w:vAlign w:val="bottom"/>
            <w:hideMark/>
          </w:tcPr>
          <w:p w14:paraId="6086080C"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18853</w:t>
            </w:r>
          </w:p>
        </w:tc>
        <w:tc>
          <w:tcPr>
            <w:tcW w:w="1134" w:type="dxa"/>
            <w:tcBorders>
              <w:top w:val="nil"/>
              <w:left w:val="nil"/>
              <w:bottom w:val="single" w:sz="4" w:space="0" w:color="auto"/>
              <w:right w:val="single" w:sz="4" w:space="0" w:color="auto"/>
            </w:tcBorders>
            <w:shd w:val="clear" w:color="auto" w:fill="auto"/>
            <w:noWrap/>
            <w:vAlign w:val="bottom"/>
            <w:hideMark/>
          </w:tcPr>
          <w:p w14:paraId="10EF9399"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19241</w:t>
            </w:r>
          </w:p>
        </w:tc>
        <w:tc>
          <w:tcPr>
            <w:tcW w:w="1134" w:type="dxa"/>
            <w:tcBorders>
              <w:top w:val="nil"/>
              <w:left w:val="nil"/>
              <w:bottom w:val="single" w:sz="4" w:space="0" w:color="auto"/>
              <w:right w:val="single" w:sz="4" w:space="0" w:color="auto"/>
            </w:tcBorders>
            <w:shd w:val="clear" w:color="auto" w:fill="auto"/>
            <w:noWrap/>
            <w:vAlign w:val="bottom"/>
            <w:hideMark/>
          </w:tcPr>
          <w:p w14:paraId="51FE02E3"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19350</w:t>
            </w:r>
          </w:p>
        </w:tc>
      </w:tr>
      <w:tr w:rsidR="005A1C5E" w:rsidRPr="008E4EB0" w14:paraId="1FE45F67" w14:textId="77777777" w:rsidTr="003207BB">
        <w:trPr>
          <w:trHeight w:val="300"/>
        </w:trPr>
        <w:tc>
          <w:tcPr>
            <w:tcW w:w="2154" w:type="dxa"/>
            <w:tcBorders>
              <w:top w:val="nil"/>
              <w:left w:val="single" w:sz="4" w:space="0" w:color="auto"/>
              <w:bottom w:val="single" w:sz="4" w:space="0" w:color="auto"/>
              <w:right w:val="single" w:sz="4" w:space="0" w:color="auto"/>
            </w:tcBorders>
            <w:shd w:val="clear" w:color="auto" w:fill="auto"/>
            <w:noWrap/>
            <w:vAlign w:val="bottom"/>
            <w:hideMark/>
          </w:tcPr>
          <w:p w14:paraId="57726932"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Pierīgas reģions</w:t>
            </w:r>
          </w:p>
        </w:tc>
        <w:tc>
          <w:tcPr>
            <w:tcW w:w="1134" w:type="dxa"/>
            <w:tcBorders>
              <w:top w:val="nil"/>
              <w:left w:val="nil"/>
              <w:bottom w:val="single" w:sz="4" w:space="0" w:color="auto"/>
              <w:right w:val="single" w:sz="4" w:space="0" w:color="auto"/>
            </w:tcBorders>
            <w:shd w:val="clear" w:color="auto" w:fill="auto"/>
            <w:noWrap/>
            <w:vAlign w:val="bottom"/>
            <w:hideMark/>
          </w:tcPr>
          <w:p w14:paraId="5B3A7DE7"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15622</w:t>
            </w:r>
          </w:p>
        </w:tc>
        <w:tc>
          <w:tcPr>
            <w:tcW w:w="1134" w:type="dxa"/>
            <w:tcBorders>
              <w:top w:val="nil"/>
              <w:left w:val="nil"/>
              <w:bottom w:val="single" w:sz="4" w:space="0" w:color="auto"/>
              <w:right w:val="single" w:sz="4" w:space="0" w:color="auto"/>
            </w:tcBorders>
            <w:shd w:val="clear" w:color="auto" w:fill="auto"/>
            <w:noWrap/>
            <w:vAlign w:val="bottom"/>
            <w:hideMark/>
          </w:tcPr>
          <w:p w14:paraId="6DFCDF7B"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16059</w:t>
            </w:r>
          </w:p>
        </w:tc>
        <w:tc>
          <w:tcPr>
            <w:tcW w:w="1134" w:type="dxa"/>
            <w:tcBorders>
              <w:top w:val="nil"/>
              <w:left w:val="nil"/>
              <w:bottom w:val="single" w:sz="4" w:space="0" w:color="auto"/>
              <w:right w:val="single" w:sz="4" w:space="0" w:color="auto"/>
            </w:tcBorders>
            <w:shd w:val="clear" w:color="auto" w:fill="auto"/>
            <w:noWrap/>
            <w:vAlign w:val="bottom"/>
            <w:hideMark/>
          </w:tcPr>
          <w:p w14:paraId="1916665A"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16432</w:t>
            </w:r>
          </w:p>
        </w:tc>
        <w:tc>
          <w:tcPr>
            <w:tcW w:w="1134" w:type="dxa"/>
            <w:tcBorders>
              <w:top w:val="nil"/>
              <w:left w:val="nil"/>
              <w:bottom w:val="single" w:sz="4" w:space="0" w:color="auto"/>
              <w:right w:val="single" w:sz="4" w:space="0" w:color="auto"/>
            </w:tcBorders>
            <w:shd w:val="clear" w:color="auto" w:fill="auto"/>
            <w:noWrap/>
            <w:vAlign w:val="bottom"/>
            <w:hideMark/>
          </w:tcPr>
          <w:p w14:paraId="0B613722"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16917</w:t>
            </w:r>
          </w:p>
        </w:tc>
        <w:tc>
          <w:tcPr>
            <w:tcW w:w="1134" w:type="dxa"/>
            <w:tcBorders>
              <w:top w:val="nil"/>
              <w:left w:val="nil"/>
              <w:bottom w:val="single" w:sz="4" w:space="0" w:color="auto"/>
              <w:right w:val="single" w:sz="4" w:space="0" w:color="auto"/>
            </w:tcBorders>
            <w:shd w:val="clear" w:color="auto" w:fill="auto"/>
            <w:noWrap/>
            <w:vAlign w:val="bottom"/>
            <w:hideMark/>
          </w:tcPr>
          <w:p w14:paraId="2B8CBBD0"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17481</w:t>
            </w:r>
          </w:p>
        </w:tc>
        <w:tc>
          <w:tcPr>
            <w:tcW w:w="1134" w:type="dxa"/>
            <w:tcBorders>
              <w:top w:val="nil"/>
              <w:left w:val="nil"/>
              <w:bottom w:val="single" w:sz="4" w:space="0" w:color="auto"/>
              <w:right w:val="single" w:sz="4" w:space="0" w:color="auto"/>
            </w:tcBorders>
            <w:shd w:val="clear" w:color="auto" w:fill="auto"/>
            <w:noWrap/>
            <w:vAlign w:val="bottom"/>
            <w:hideMark/>
          </w:tcPr>
          <w:p w14:paraId="510DF7B3"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17835</w:t>
            </w:r>
          </w:p>
        </w:tc>
      </w:tr>
      <w:tr w:rsidR="005A1C5E" w:rsidRPr="008E4EB0" w14:paraId="7818984A" w14:textId="77777777" w:rsidTr="003207BB">
        <w:trPr>
          <w:trHeight w:val="300"/>
        </w:trPr>
        <w:tc>
          <w:tcPr>
            <w:tcW w:w="2154" w:type="dxa"/>
            <w:tcBorders>
              <w:top w:val="nil"/>
              <w:left w:val="single" w:sz="4" w:space="0" w:color="auto"/>
              <w:bottom w:val="single" w:sz="4" w:space="0" w:color="auto"/>
              <w:right w:val="single" w:sz="4" w:space="0" w:color="auto"/>
            </w:tcBorders>
            <w:shd w:val="clear" w:color="auto" w:fill="auto"/>
            <w:noWrap/>
            <w:vAlign w:val="bottom"/>
            <w:hideMark/>
          </w:tcPr>
          <w:p w14:paraId="172CAFF0"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Vidzemes reģions</w:t>
            </w:r>
          </w:p>
        </w:tc>
        <w:tc>
          <w:tcPr>
            <w:tcW w:w="1134" w:type="dxa"/>
            <w:tcBorders>
              <w:top w:val="nil"/>
              <w:left w:val="nil"/>
              <w:bottom w:val="single" w:sz="4" w:space="0" w:color="auto"/>
              <w:right w:val="single" w:sz="4" w:space="0" w:color="auto"/>
            </w:tcBorders>
            <w:shd w:val="clear" w:color="auto" w:fill="auto"/>
            <w:noWrap/>
            <w:vAlign w:val="bottom"/>
            <w:hideMark/>
          </w:tcPr>
          <w:p w14:paraId="28664289"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7658</w:t>
            </w:r>
          </w:p>
        </w:tc>
        <w:tc>
          <w:tcPr>
            <w:tcW w:w="1134" w:type="dxa"/>
            <w:tcBorders>
              <w:top w:val="nil"/>
              <w:left w:val="nil"/>
              <w:bottom w:val="single" w:sz="4" w:space="0" w:color="auto"/>
              <w:right w:val="single" w:sz="4" w:space="0" w:color="auto"/>
            </w:tcBorders>
            <w:shd w:val="clear" w:color="auto" w:fill="auto"/>
            <w:noWrap/>
            <w:vAlign w:val="bottom"/>
            <w:hideMark/>
          </w:tcPr>
          <w:p w14:paraId="76134C05"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7743</w:t>
            </w:r>
          </w:p>
        </w:tc>
        <w:tc>
          <w:tcPr>
            <w:tcW w:w="1134" w:type="dxa"/>
            <w:tcBorders>
              <w:top w:val="nil"/>
              <w:left w:val="nil"/>
              <w:bottom w:val="single" w:sz="4" w:space="0" w:color="auto"/>
              <w:right w:val="single" w:sz="4" w:space="0" w:color="auto"/>
            </w:tcBorders>
            <w:shd w:val="clear" w:color="auto" w:fill="auto"/>
            <w:noWrap/>
            <w:vAlign w:val="bottom"/>
            <w:hideMark/>
          </w:tcPr>
          <w:p w14:paraId="5D585C3E"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7831</w:t>
            </w:r>
          </w:p>
        </w:tc>
        <w:tc>
          <w:tcPr>
            <w:tcW w:w="1134" w:type="dxa"/>
            <w:tcBorders>
              <w:top w:val="nil"/>
              <w:left w:val="nil"/>
              <w:bottom w:val="single" w:sz="4" w:space="0" w:color="auto"/>
              <w:right w:val="single" w:sz="4" w:space="0" w:color="auto"/>
            </w:tcBorders>
            <w:shd w:val="clear" w:color="auto" w:fill="auto"/>
            <w:noWrap/>
            <w:vAlign w:val="bottom"/>
            <w:hideMark/>
          </w:tcPr>
          <w:p w14:paraId="21D79D41"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7963</w:t>
            </w:r>
          </w:p>
        </w:tc>
        <w:tc>
          <w:tcPr>
            <w:tcW w:w="1134" w:type="dxa"/>
            <w:tcBorders>
              <w:top w:val="nil"/>
              <w:left w:val="nil"/>
              <w:bottom w:val="single" w:sz="4" w:space="0" w:color="auto"/>
              <w:right w:val="single" w:sz="4" w:space="0" w:color="auto"/>
            </w:tcBorders>
            <w:shd w:val="clear" w:color="auto" w:fill="auto"/>
            <w:noWrap/>
            <w:vAlign w:val="bottom"/>
            <w:hideMark/>
          </w:tcPr>
          <w:p w14:paraId="67B87B36"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8100</w:t>
            </w:r>
          </w:p>
        </w:tc>
        <w:tc>
          <w:tcPr>
            <w:tcW w:w="1134" w:type="dxa"/>
            <w:tcBorders>
              <w:top w:val="nil"/>
              <w:left w:val="nil"/>
              <w:bottom w:val="single" w:sz="4" w:space="0" w:color="auto"/>
              <w:right w:val="single" w:sz="4" w:space="0" w:color="auto"/>
            </w:tcBorders>
            <w:shd w:val="clear" w:color="auto" w:fill="auto"/>
            <w:noWrap/>
            <w:vAlign w:val="bottom"/>
            <w:hideMark/>
          </w:tcPr>
          <w:p w14:paraId="2B5BB417"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8130</w:t>
            </w:r>
          </w:p>
        </w:tc>
      </w:tr>
      <w:tr w:rsidR="005A1C5E" w:rsidRPr="008E4EB0" w14:paraId="3C3C7ACC" w14:textId="77777777" w:rsidTr="003207BB">
        <w:trPr>
          <w:trHeight w:val="300"/>
        </w:trPr>
        <w:tc>
          <w:tcPr>
            <w:tcW w:w="2154" w:type="dxa"/>
            <w:tcBorders>
              <w:top w:val="nil"/>
              <w:left w:val="single" w:sz="4" w:space="0" w:color="auto"/>
              <w:bottom w:val="single" w:sz="4" w:space="0" w:color="auto"/>
              <w:right w:val="single" w:sz="4" w:space="0" w:color="auto"/>
            </w:tcBorders>
            <w:shd w:val="clear" w:color="auto" w:fill="auto"/>
            <w:noWrap/>
            <w:vAlign w:val="bottom"/>
            <w:hideMark/>
          </w:tcPr>
          <w:p w14:paraId="62974917"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Kurzemes reģions</w:t>
            </w:r>
          </w:p>
        </w:tc>
        <w:tc>
          <w:tcPr>
            <w:tcW w:w="1134" w:type="dxa"/>
            <w:tcBorders>
              <w:top w:val="nil"/>
              <w:left w:val="nil"/>
              <w:bottom w:val="single" w:sz="4" w:space="0" w:color="auto"/>
              <w:right w:val="single" w:sz="4" w:space="0" w:color="auto"/>
            </w:tcBorders>
            <w:shd w:val="clear" w:color="auto" w:fill="auto"/>
            <w:noWrap/>
            <w:vAlign w:val="bottom"/>
            <w:hideMark/>
          </w:tcPr>
          <w:p w14:paraId="60DBDB15"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9036</w:t>
            </w:r>
          </w:p>
        </w:tc>
        <w:tc>
          <w:tcPr>
            <w:tcW w:w="1134" w:type="dxa"/>
            <w:tcBorders>
              <w:top w:val="nil"/>
              <w:left w:val="nil"/>
              <w:bottom w:val="single" w:sz="4" w:space="0" w:color="auto"/>
              <w:right w:val="single" w:sz="4" w:space="0" w:color="auto"/>
            </w:tcBorders>
            <w:shd w:val="clear" w:color="auto" w:fill="auto"/>
            <w:noWrap/>
            <w:vAlign w:val="bottom"/>
            <w:hideMark/>
          </w:tcPr>
          <w:p w14:paraId="6D70ABC3"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9168</w:t>
            </w:r>
          </w:p>
        </w:tc>
        <w:tc>
          <w:tcPr>
            <w:tcW w:w="1134" w:type="dxa"/>
            <w:tcBorders>
              <w:top w:val="nil"/>
              <w:left w:val="nil"/>
              <w:bottom w:val="single" w:sz="4" w:space="0" w:color="auto"/>
              <w:right w:val="single" w:sz="4" w:space="0" w:color="auto"/>
            </w:tcBorders>
            <w:shd w:val="clear" w:color="auto" w:fill="auto"/>
            <w:noWrap/>
            <w:vAlign w:val="bottom"/>
            <w:hideMark/>
          </w:tcPr>
          <w:p w14:paraId="167A50B4"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9284</w:t>
            </w:r>
          </w:p>
        </w:tc>
        <w:tc>
          <w:tcPr>
            <w:tcW w:w="1134" w:type="dxa"/>
            <w:tcBorders>
              <w:top w:val="nil"/>
              <w:left w:val="nil"/>
              <w:bottom w:val="single" w:sz="4" w:space="0" w:color="auto"/>
              <w:right w:val="single" w:sz="4" w:space="0" w:color="auto"/>
            </w:tcBorders>
            <w:shd w:val="clear" w:color="auto" w:fill="auto"/>
            <w:noWrap/>
            <w:vAlign w:val="bottom"/>
            <w:hideMark/>
          </w:tcPr>
          <w:p w14:paraId="6D76BC6A"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9483</w:t>
            </w:r>
          </w:p>
        </w:tc>
        <w:tc>
          <w:tcPr>
            <w:tcW w:w="1134" w:type="dxa"/>
            <w:tcBorders>
              <w:top w:val="nil"/>
              <w:left w:val="nil"/>
              <w:bottom w:val="single" w:sz="4" w:space="0" w:color="auto"/>
              <w:right w:val="single" w:sz="4" w:space="0" w:color="auto"/>
            </w:tcBorders>
            <w:shd w:val="clear" w:color="auto" w:fill="auto"/>
            <w:noWrap/>
            <w:vAlign w:val="bottom"/>
            <w:hideMark/>
          </w:tcPr>
          <w:p w14:paraId="7F272318"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9691</w:t>
            </w:r>
          </w:p>
        </w:tc>
        <w:tc>
          <w:tcPr>
            <w:tcW w:w="1134" w:type="dxa"/>
            <w:tcBorders>
              <w:top w:val="nil"/>
              <w:left w:val="nil"/>
              <w:bottom w:val="single" w:sz="4" w:space="0" w:color="auto"/>
              <w:right w:val="single" w:sz="4" w:space="0" w:color="auto"/>
            </w:tcBorders>
            <w:shd w:val="clear" w:color="auto" w:fill="auto"/>
            <w:noWrap/>
            <w:vAlign w:val="bottom"/>
            <w:hideMark/>
          </w:tcPr>
          <w:p w14:paraId="1B7A41D6"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9723</w:t>
            </w:r>
          </w:p>
        </w:tc>
      </w:tr>
      <w:tr w:rsidR="005A1C5E" w:rsidRPr="008E4EB0" w14:paraId="2FC87A50" w14:textId="77777777" w:rsidTr="003207BB">
        <w:trPr>
          <w:trHeight w:val="300"/>
        </w:trPr>
        <w:tc>
          <w:tcPr>
            <w:tcW w:w="2154" w:type="dxa"/>
            <w:tcBorders>
              <w:top w:val="nil"/>
              <w:left w:val="single" w:sz="4" w:space="0" w:color="auto"/>
              <w:bottom w:val="single" w:sz="4" w:space="0" w:color="auto"/>
              <w:right w:val="single" w:sz="4" w:space="0" w:color="auto"/>
            </w:tcBorders>
            <w:shd w:val="clear" w:color="auto" w:fill="auto"/>
            <w:noWrap/>
            <w:vAlign w:val="bottom"/>
            <w:hideMark/>
          </w:tcPr>
          <w:p w14:paraId="773FA598"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Zemgales reģions</w:t>
            </w:r>
          </w:p>
        </w:tc>
        <w:tc>
          <w:tcPr>
            <w:tcW w:w="1134" w:type="dxa"/>
            <w:tcBorders>
              <w:top w:val="nil"/>
              <w:left w:val="nil"/>
              <w:bottom w:val="single" w:sz="4" w:space="0" w:color="auto"/>
              <w:right w:val="single" w:sz="4" w:space="0" w:color="auto"/>
            </w:tcBorders>
            <w:shd w:val="clear" w:color="auto" w:fill="auto"/>
            <w:noWrap/>
            <w:vAlign w:val="bottom"/>
            <w:hideMark/>
          </w:tcPr>
          <w:p w14:paraId="5FC0AEFA"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8137</w:t>
            </w:r>
          </w:p>
        </w:tc>
        <w:tc>
          <w:tcPr>
            <w:tcW w:w="1134" w:type="dxa"/>
            <w:tcBorders>
              <w:top w:val="nil"/>
              <w:left w:val="nil"/>
              <w:bottom w:val="single" w:sz="4" w:space="0" w:color="auto"/>
              <w:right w:val="single" w:sz="4" w:space="0" w:color="auto"/>
            </w:tcBorders>
            <w:shd w:val="clear" w:color="auto" w:fill="auto"/>
            <w:noWrap/>
            <w:vAlign w:val="bottom"/>
            <w:hideMark/>
          </w:tcPr>
          <w:p w14:paraId="7E05A946"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8234</w:t>
            </w:r>
          </w:p>
        </w:tc>
        <w:tc>
          <w:tcPr>
            <w:tcW w:w="1134" w:type="dxa"/>
            <w:tcBorders>
              <w:top w:val="nil"/>
              <w:left w:val="nil"/>
              <w:bottom w:val="single" w:sz="4" w:space="0" w:color="auto"/>
              <w:right w:val="single" w:sz="4" w:space="0" w:color="auto"/>
            </w:tcBorders>
            <w:shd w:val="clear" w:color="auto" w:fill="auto"/>
            <w:noWrap/>
            <w:vAlign w:val="bottom"/>
            <w:hideMark/>
          </w:tcPr>
          <w:p w14:paraId="3A3BD752"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8409</w:t>
            </w:r>
          </w:p>
        </w:tc>
        <w:tc>
          <w:tcPr>
            <w:tcW w:w="1134" w:type="dxa"/>
            <w:tcBorders>
              <w:top w:val="nil"/>
              <w:left w:val="nil"/>
              <w:bottom w:val="single" w:sz="4" w:space="0" w:color="auto"/>
              <w:right w:val="single" w:sz="4" w:space="0" w:color="auto"/>
            </w:tcBorders>
            <w:shd w:val="clear" w:color="auto" w:fill="auto"/>
            <w:noWrap/>
            <w:vAlign w:val="bottom"/>
            <w:hideMark/>
          </w:tcPr>
          <w:p w14:paraId="24C0260E"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8551</w:t>
            </w:r>
          </w:p>
        </w:tc>
        <w:tc>
          <w:tcPr>
            <w:tcW w:w="1134" w:type="dxa"/>
            <w:tcBorders>
              <w:top w:val="nil"/>
              <w:left w:val="nil"/>
              <w:bottom w:val="single" w:sz="4" w:space="0" w:color="auto"/>
              <w:right w:val="single" w:sz="4" w:space="0" w:color="auto"/>
            </w:tcBorders>
            <w:shd w:val="clear" w:color="auto" w:fill="auto"/>
            <w:noWrap/>
            <w:vAlign w:val="bottom"/>
            <w:hideMark/>
          </w:tcPr>
          <w:p w14:paraId="7A80A293"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8743</w:t>
            </w:r>
          </w:p>
        </w:tc>
        <w:tc>
          <w:tcPr>
            <w:tcW w:w="1134" w:type="dxa"/>
            <w:tcBorders>
              <w:top w:val="nil"/>
              <w:left w:val="nil"/>
              <w:bottom w:val="single" w:sz="4" w:space="0" w:color="auto"/>
              <w:right w:val="single" w:sz="4" w:space="0" w:color="auto"/>
            </w:tcBorders>
            <w:shd w:val="clear" w:color="auto" w:fill="auto"/>
            <w:noWrap/>
            <w:vAlign w:val="bottom"/>
            <w:hideMark/>
          </w:tcPr>
          <w:p w14:paraId="33E9EA26"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8798</w:t>
            </w:r>
          </w:p>
        </w:tc>
      </w:tr>
      <w:tr w:rsidR="005A1C5E" w:rsidRPr="008E4EB0" w14:paraId="5E6C795A" w14:textId="77777777" w:rsidTr="003207BB">
        <w:trPr>
          <w:trHeight w:val="300"/>
        </w:trPr>
        <w:tc>
          <w:tcPr>
            <w:tcW w:w="2154" w:type="dxa"/>
            <w:tcBorders>
              <w:top w:val="nil"/>
              <w:left w:val="single" w:sz="4" w:space="0" w:color="auto"/>
              <w:bottom w:val="single" w:sz="4" w:space="0" w:color="auto"/>
              <w:right w:val="single" w:sz="4" w:space="0" w:color="auto"/>
            </w:tcBorders>
            <w:shd w:val="clear" w:color="auto" w:fill="auto"/>
            <w:noWrap/>
            <w:vAlign w:val="bottom"/>
            <w:hideMark/>
          </w:tcPr>
          <w:p w14:paraId="390925FB"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Latgales reģions</w:t>
            </w:r>
          </w:p>
        </w:tc>
        <w:tc>
          <w:tcPr>
            <w:tcW w:w="1134" w:type="dxa"/>
            <w:tcBorders>
              <w:top w:val="nil"/>
              <w:left w:val="nil"/>
              <w:bottom w:val="single" w:sz="4" w:space="0" w:color="auto"/>
              <w:right w:val="single" w:sz="4" w:space="0" w:color="auto"/>
            </w:tcBorders>
            <w:shd w:val="clear" w:color="auto" w:fill="auto"/>
            <w:noWrap/>
            <w:vAlign w:val="bottom"/>
            <w:hideMark/>
          </w:tcPr>
          <w:p w14:paraId="2F02DCA3"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9837</w:t>
            </w:r>
          </w:p>
        </w:tc>
        <w:tc>
          <w:tcPr>
            <w:tcW w:w="1134" w:type="dxa"/>
            <w:tcBorders>
              <w:top w:val="nil"/>
              <w:left w:val="nil"/>
              <w:bottom w:val="single" w:sz="4" w:space="0" w:color="auto"/>
              <w:right w:val="single" w:sz="4" w:space="0" w:color="auto"/>
            </w:tcBorders>
            <w:shd w:val="clear" w:color="auto" w:fill="auto"/>
            <w:noWrap/>
            <w:vAlign w:val="bottom"/>
            <w:hideMark/>
          </w:tcPr>
          <w:p w14:paraId="1BD71383"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9987</w:t>
            </w:r>
          </w:p>
        </w:tc>
        <w:tc>
          <w:tcPr>
            <w:tcW w:w="1134" w:type="dxa"/>
            <w:tcBorders>
              <w:top w:val="nil"/>
              <w:left w:val="nil"/>
              <w:bottom w:val="single" w:sz="4" w:space="0" w:color="auto"/>
              <w:right w:val="single" w:sz="4" w:space="0" w:color="auto"/>
            </w:tcBorders>
            <w:shd w:val="clear" w:color="auto" w:fill="auto"/>
            <w:noWrap/>
            <w:vAlign w:val="bottom"/>
            <w:hideMark/>
          </w:tcPr>
          <w:p w14:paraId="25144835"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10127</w:t>
            </w:r>
          </w:p>
        </w:tc>
        <w:tc>
          <w:tcPr>
            <w:tcW w:w="1134" w:type="dxa"/>
            <w:tcBorders>
              <w:top w:val="nil"/>
              <w:left w:val="nil"/>
              <w:bottom w:val="single" w:sz="4" w:space="0" w:color="auto"/>
              <w:right w:val="single" w:sz="4" w:space="0" w:color="auto"/>
            </w:tcBorders>
            <w:shd w:val="clear" w:color="auto" w:fill="auto"/>
            <w:noWrap/>
            <w:vAlign w:val="bottom"/>
            <w:hideMark/>
          </w:tcPr>
          <w:p w14:paraId="1622D4E6"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10309</w:t>
            </w:r>
          </w:p>
        </w:tc>
        <w:tc>
          <w:tcPr>
            <w:tcW w:w="1134" w:type="dxa"/>
            <w:tcBorders>
              <w:top w:val="nil"/>
              <w:left w:val="nil"/>
              <w:bottom w:val="single" w:sz="4" w:space="0" w:color="auto"/>
              <w:right w:val="single" w:sz="4" w:space="0" w:color="auto"/>
            </w:tcBorders>
            <w:shd w:val="clear" w:color="auto" w:fill="auto"/>
            <w:noWrap/>
            <w:vAlign w:val="bottom"/>
            <w:hideMark/>
          </w:tcPr>
          <w:p w14:paraId="514E4582"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10682</w:t>
            </w:r>
          </w:p>
        </w:tc>
        <w:tc>
          <w:tcPr>
            <w:tcW w:w="1134" w:type="dxa"/>
            <w:tcBorders>
              <w:top w:val="nil"/>
              <w:left w:val="nil"/>
              <w:bottom w:val="single" w:sz="4" w:space="0" w:color="auto"/>
              <w:right w:val="single" w:sz="4" w:space="0" w:color="auto"/>
            </w:tcBorders>
            <w:shd w:val="clear" w:color="auto" w:fill="auto"/>
            <w:noWrap/>
            <w:vAlign w:val="bottom"/>
            <w:hideMark/>
          </w:tcPr>
          <w:p w14:paraId="42CD70C8"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10834</w:t>
            </w:r>
          </w:p>
        </w:tc>
      </w:tr>
    </w:tbl>
    <w:p w14:paraId="02786397" w14:textId="77777777" w:rsidR="005A1C5E" w:rsidRPr="008E4EB0" w:rsidRDefault="005A1C5E" w:rsidP="005A1C5E">
      <w:pPr>
        <w:spacing w:after="0" w:line="240" w:lineRule="auto"/>
        <w:ind w:firstLine="851"/>
        <w:jc w:val="both"/>
        <w:rPr>
          <w:rFonts w:ascii="Times New Roman" w:eastAsia="Calibri" w:hAnsi="Times New Roman" w:cs="Times New Roman"/>
          <w:iCs/>
          <w:sz w:val="24"/>
          <w:szCs w:val="24"/>
        </w:rPr>
      </w:pPr>
    </w:p>
    <w:p w14:paraId="5F914EED" w14:textId="37F11077" w:rsidR="005A1C5E" w:rsidRPr="008E4EB0" w:rsidRDefault="004F1BD3" w:rsidP="00150827">
      <w:pPr>
        <w:keepNext/>
        <w:spacing w:after="0" w:line="240" w:lineRule="auto"/>
        <w:jc w:val="center"/>
        <w:rPr>
          <w:rFonts w:ascii="Times New Roman" w:eastAsia="Calibri" w:hAnsi="Times New Roman" w:cs="Times New Roman"/>
          <w:iCs/>
          <w:sz w:val="24"/>
          <w:szCs w:val="24"/>
        </w:rPr>
      </w:pPr>
      <w:r>
        <w:rPr>
          <w:rFonts w:ascii="Times New Roman" w:eastAsia="Calibri" w:hAnsi="Times New Roman" w:cs="Times New Roman"/>
          <w:sz w:val="24"/>
          <w:szCs w:val="24"/>
        </w:rPr>
        <w:t>4</w:t>
      </w:r>
      <w:r w:rsidR="005A1C5E" w:rsidRPr="008E4EB0">
        <w:rPr>
          <w:rFonts w:ascii="Times New Roman" w:eastAsia="Calibri" w:hAnsi="Times New Roman" w:cs="Times New Roman"/>
          <w:sz w:val="24"/>
          <w:szCs w:val="24"/>
        </w:rPr>
        <w:t>.tabula. Dzīvojamais fonds statistiskajos reģionos gada beigās (Kopējā platība uz vienu pastāvīgo iedzīvotāju, m²)</w:t>
      </w:r>
      <w:r w:rsidR="003207BB" w:rsidRPr="008E4EB0">
        <w:rPr>
          <w:rFonts w:ascii="Times New Roman" w:eastAsia="Calibri" w:hAnsi="Times New Roman" w:cs="Times New Roman"/>
          <w:sz w:val="24"/>
          <w:szCs w:val="24"/>
          <w:vertAlign w:val="superscript"/>
        </w:rPr>
        <w:t>5</w:t>
      </w:r>
    </w:p>
    <w:tbl>
      <w:tblPr>
        <w:tblW w:w="8958" w:type="dxa"/>
        <w:tblInd w:w="-5" w:type="dxa"/>
        <w:tblLook w:val="04A0" w:firstRow="1" w:lastRow="0" w:firstColumn="1" w:lastColumn="0" w:noHBand="0" w:noVBand="1"/>
      </w:tblPr>
      <w:tblGrid>
        <w:gridCol w:w="2154"/>
        <w:gridCol w:w="1134"/>
        <w:gridCol w:w="1134"/>
        <w:gridCol w:w="1134"/>
        <w:gridCol w:w="1134"/>
        <w:gridCol w:w="1134"/>
        <w:gridCol w:w="1134"/>
      </w:tblGrid>
      <w:tr w:rsidR="005A1C5E" w:rsidRPr="008E4EB0" w14:paraId="4D6E0313" w14:textId="77777777" w:rsidTr="003207BB">
        <w:trPr>
          <w:trHeight w:val="300"/>
        </w:trPr>
        <w:tc>
          <w:tcPr>
            <w:tcW w:w="21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DC758" w14:textId="77777777" w:rsidR="005A1C5E" w:rsidRPr="008E4EB0" w:rsidRDefault="005A1C5E" w:rsidP="00150827">
            <w:pPr>
              <w:keepNext/>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E25655E" w14:textId="77777777" w:rsidR="005A1C5E" w:rsidRPr="008E4EB0" w:rsidRDefault="005A1C5E" w:rsidP="00150827">
            <w:pPr>
              <w:keepNext/>
              <w:spacing w:after="0" w:line="240" w:lineRule="auto"/>
              <w:jc w:val="center"/>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2010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BAE9E4A" w14:textId="77777777" w:rsidR="005A1C5E" w:rsidRPr="008E4EB0" w:rsidRDefault="005A1C5E" w:rsidP="00150827">
            <w:pPr>
              <w:keepNext/>
              <w:spacing w:after="0" w:line="240" w:lineRule="auto"/>
              <w:jc w:val="center"/>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2011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4FB603D" w14:textId="77777777" w:rsidR="005A1C5E" w:rsidRPr="008E4EB0" w:rsidRDefault="005A1C5E" w:rsidP="00150827">
            <w:pPr>
              <w:keepNext/>
              <w:spacing w:after="0" w:line="240" w:lineRule="auto"/>
              <w:jc w:val="center"/>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2012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AA7D89A" w14:textId="77777777" w:rsidR="005A1C5E" w:rsidRPr="008E4EB0" w:rsidRDefault="005A1C5E" w:rsidP="00150827">
            <w:pPr>
              <w:keepNext/>
              <w:spacing w:after="0" w:line="240" w:lineRule="auto"/>
              <w:jc w:val="center"/>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2013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42D80FB" w14:textId="77777777" w:rsidR="005A1C5E" w:rsidRPr="008E4EB0" w:rsidRDefault="005A1C5E" w:rsidP="00150827">
            <w:pPr>
              <w:keepNext/>
              <w:spacing w:after="0" w:line="240" w:lineRule="auto"/>
              <w:jc w:val="center"/>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2014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0BA12C0" w14:textId="77777777" w:rsidR="005A1C5E" w:rsidRPr="008E4EB0" w:rsidRDefault="005A1C5E" w:rsidP="00150827">
            <w:pPr>
              <w:keepNext/>
              <w:spacing w:after="0" w:line="240" w:lineRule="auto"/>
              <w:jc w:val="center"/>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2015</w:t>
            </w:r>
          </w:p>
        </w:tc>
      </w:tr>
      <w:tr w:rsidR="005A1C5E" w:rsidRPr="008E4EB0" w14:paraId="691D2C74" w14:textId="77777777" w:rsidTr="003207BB">
        <w:trPr>
          <w:trHeight w:val="300"/>
        </w:trPr>
        <w:tc>
          <w:tcPr>
            <w:tcW w:w="2154" w:type="dxa"/>
            <w:tcBorders>
              <w:top w:val="nil"/>
              <w:left w:val="single" w:sz="4" w:space="0" w:color="auto"/>
              <w:bottom w:val="single" w:sz="4" w:space="0" w:color="auto"/>
              <w:right w:val="single" w:sz="4" w:space="0" w:color="auto"/>
            </w:tcBorders>
            <w:shd w:val="clear" w:color="auto" w:fill="auto"/>
            <w:noWrap/>
            <w:vAlign w:val="bottom"/>
            <w:hideMark/>
          </w:tcPr>
          <w:p w14:paraId="1078DA01"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LATVIJA</w:t>
            </w:r>
          </w:p>
        </w:tc>
        <w:tc>
          <w:tcPr>
            <w:tcW w:w="1134" w:type="dxa"/>
            <w:tcBorders>
              <w:top w:val="nil"/>
              <w:left w:val="nil"/>
              <w:bottom w:val="single" w:sz="4" w:space="0" w:color="auto"/>
              <w:right w:val="single" w:sz="4" w:space="0" w:color="auto"/>
            </w:tcBorders>
            <w:shd w:val="clear" w:color="auto" w:fill="auto"/>
            <w:noWrap/>
            <w:hideMark/>
          </w:tcPr>
          <w:p w14:paraId="075013A3"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33</w:t>
            </w:r>
          </w:p>
        </w:tc>
        <w:tc>
          <w:tcPr>
            <w:tcW w:w="1134" w:type="dxa"/>
            <w:tcBorders>
              <w:top w:val="nil"/>
              <w:left w:val="nil"/>
              <w:bottom w:val="single" w:sz="4" w:space="0" w:color="auto"/>
              <w:right w:val="single" w:sz="4" w:space="0" w:color="auto"/>
            </w:tcBorders>
            <w:shd w:val="clear" w:color="auto" w:fill="auto"/>
            <w:noWrap/>
            <w:hideMark/>
          </w:tcPr>
          <w:p w14:paraId="260DFB54"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34</w:t>
            </w:r>
          </w:p>
        </w:tc>
        <w:tc>
          <w:tcPr>
            <w:tcW w:w="1134" w:type="dxa"/>
            <w:tcBorders>
              <w:top w:val="nil"/>
              <w:left w:val="nil"/>
              <w:bottom w:val="single" w:sz="4" w:space="0" w:color="auto"/>
              <w:right w:val="single" w:sz="4" w:space="0" w:color="auto"/>
            </w:tcBorders>
            <w:shd w:val="clear" w:color="auto" w:fill="auto"/>
            <w:noWrap/>
            <w:hideMark/>
          </w:tcPr>
          <w:p w14:paraId="016F9851"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35</w:t>
            </w:r>
          </w:p>
        </w:tc>
        <w:tc>
          <w:tcPr>
            <w:tcW w:w="1134" w:type="dxa"/>
            <w:tcBorders>
              <w:top w:val="nil"/>
              <w:left w:val="nil"/>
              <w:bottom w:val="single" w:sz="4" w:space="0" w:color="auto"/>
              <w:right w:val="single" w:sz="4" w:space="0" w:color="auto"/>
            </w:tcBorders>
            <w:shd w:val="clear" w:color="auto" w:fill="auto"/>
            <w:noWrap/>
            <w:hideMark/>
          </w:tcPr>
          <w:p w14:paraId="313303E3"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36</w:t>
            </w:r>
          </w:p>
        </w:tc>
        <w:tc>
          <w:tcPr>
            <w:tcW w:w="1134" w:type="dxa"/>
            <w:tcBorders>
              <w:top w:val="nil"/>
              <w:left w:val="nil"/>
              <w:bottom w:val="single" w:sz="4" w:space="0" w:color="auto"/>
              <w:right w:val="single" w:sz="4" w:space="0" w:color="auto"/>
            </w:tcBorders>
            <w:shd w:val="clear" w:color="auto" w:fill="auto"/>
            <w:noWrap/>
            <w:hideMark/>
          </w:tcPr>
          <w:p w14:paraId="0D28F89B"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37</w:t>
            </w:r>
          </w:p>
        </w:tc>
        <w:tc>
          <w:tcPr>
            <w:tcW w:w="1134" w:type="dxa"/>
            <w:tcBorders>
              <w:top w:val="nil"/>
              <w:left w:val="nil"/>
              <w:bottom w:val="single" w:sz="4" w:space="0" w:color="auto"/>
              <w:right w:val="single" w:sz="4" w:space="0" w:color="auto"/>
            </w:tcBorders>
            <w:shd w:val="clear" w:color="auto" w:fill="auto"/>
            <w:noWrap/>
            <w:hideMark/>
          </w:tcPr>
          <w:p w14:paraId="77D608D1"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38</w:t>
            </w:r>
          </w:p>
        </w:tc>
      </w:tr>
      <w:tr w:rsidR="005A1C5E" w:rsidRPr="008E4EB0" w14:paraId="39549C34" w14:textId="77777777" w:rsidTr="003207BB">
        <w:trPr>
          <w:trHeight w:val="300"/>
        </w:trPr>
        <w:tc>
          <w:tcPr>
            <w:tcW w:w="2154" w:type="dxa"/>
            <w:tcBorders>
              <w:top w:val="nil"/>
              <w:left w:val="single" w:sz="4" w:space="0" w:color="auto"/>
              <w:bottom w:val="single" w:sz="4" w:space="0" w:color="auto"/>
              <w:right w:val="single" w:sz="4" w:space="0" w:color="auto"/>
            </w:tcBorders>
            <w:shd w:val="clear" w:color="auto" w:fill="auto"/>
            <w:noWrap/>
            <w:vAlign w:val="bottom"/>
            <w:hideMark/>
          </w:tcPr>
          <w:p w14:paraId="1F3F3D60"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Rīgas reģions</w:t>
            </w:r>
          </w:p>
        </w:tc>
        <w:tc>
          <w:tcPr>
            <w:tcW w:w="1134" w:type="dxa"/>
            <w:tcBorders>
              <w:top w:val="nil"/>
              <w:left w:val="nil"/>
              <w:bottom w:val="single" w:sz="4" w:space="0" w:color="auto"/>
              <w:right w:val="single" w:sz="4" w:space="0" w:color="auto"/>
            </w:tcBorders>
            <w:shd w:val="clear" w:color="auto" w:fill="auto"/>
            <w:noWrap/>
            <w:hideMark/>
          </w:tcPr>
          <w:p w14:paraId="5822608B"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27</w:t>
            </w:r>
          </w:p>
        </w:tc>
        <w:tc>
          <w:tcPr>
            <w:tcW w:w="1134" w:type="dxa"/>
            <w:tcBorders>
              <w:top w:val="nil"/>
              <w:left w:val="nil"/>
              <w:bottom w:val="single" w:sz="4" w:space="0" w:color="auto"/>
              <w:right w:val="single" w:sz="4" w:space="0" w:color="auto"/>
            </w:tcBorders>
            <w:shd w:val="clear" w:color="auto" w:fill="auto"/>
            <w:noWrap/>
            <w:hideMark/>
          </w:tcPr>
          <w:p w14:paraId="39DE9814"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28</w:t>
            </w:r>
          </w:p>
        </w:tc>
        <w:tc>
          <w:tcPr>
            <w:tcW w:w="1134" w:type="dxa"/>
            <w:tcBorders>
              <w:top w:val="nil"/>
              <w:left w:val="nil"/>
              <w:bottom w:val="single" w:sz="4" w:space="0" w:color="auto"/>
              <w:right w:val="single" w:sz="4" w:space="0" w:color="auto"/>
            </w:tcBorders>
            <w:shd w:val="clear" w:color="auto" w:fill="auto"/>
            <w:noWrap/>
            <w:hideMark/>
          </w:tcPr>
          <w:p w14:paraId="2B7CFA1A"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28</w:t>
            </w:r>
          </w:p>
        </w:tc>
        <w:tc>
          <w:tcPr>
            <w:tcW w:w="1134" w:type="dxa"/>
            <w:tcBorders>
              <w:top w:val="nil"/>
              <w:left w:val="nil"/>
              <w:bottom w:val="single" w:sz="4" w:space="0" w:color="auto"/>
              <w:right w:val="single" w:sz="4" w:space="0" w:color="auto"/>
            </w:tcBorders>
            <w:shd w:val="clear" w:color="auto" w:fill="auto"/>
            <w:noWrap/>
            <w:hideMark/>
          </w:tcPr>
          <w:p w14:paraId="7493922E"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29</w:t>
            </w:r>
          </w:p>
        </w:tc>
        <w:tc>
          <w:tcPr>
            <w:tcW w:w="1134" w:type="dxa"/>
            <w:tcBorders>
              <w:top w:val="nil"/>
              <w:left w:val="nil"/>
              <w:bottom w:val="single" w:sz="4" w:space="0" w:color="auto"/>
              <w:right w:val="single" w:sz="4" w:space="0" w:color="auto"/>
            </w:tcBorders>
            <w:shd w:val="clear" w:color="auto" w:fill="auto"/>
            <w:noWrap/>
            <w:hideMark/>
          </w:tcPr>
          <w:p w14:paraId="5C5BEDA3"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30</w:t>
            </w:r>
          </w:p>
        </w:tc>
        <w:tc>
          <w:tcPr>
            <w:tcW w:w="1134" w:type="dxa"/>
            <w:tcBorders>
              <w:top w:val="nil"/>
              <w:left w:val="nil"/>
              <w:bottom w:val="single" w:sz="4" w:space="0" w:color="auto"/>
              <w:right w:val="single" w:sz="4" w:space="0" w:color="auto"/>
            </w:tcBorders>
            <w:shd w:val="clear" w:color="auto" w:fill="auto"/>
            <w:noWrap/>
            <w:hideMark/>
          </w:tcPr>
          <w:p w14:paraId="4DB87B07"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30</w:t>
            </w:r>
          </w:p>
        </w:tc>
      </w:tr>
      <w:tr w:rsidR="005A1C5E" w:rsidRPr="008E4EB0" w14:paraId="56F7B724" w14:textId="77777777" w:rsidTr="003207BB">
        <w:trPr>
          <w:trHeight w:val="300"/>
        </w:trPr>
        <w:tc>
          <w:tcPr>
            <w:tcW w:w="2154" w:type="dxa"/>
            <w:tcBorders>
              <w:top w:val="nil"/>
              <w:left w:val="single" w:sz="4" w:space="0" w:color="auto"/>
              <w:bottom w:val="single" w:sz="4" w:space="0" w:color="auto"/>
              <w:right w:val="single" w:sz="4" w:space="0" w:color="auto"/>
            </w:tcBorders>
            <w:shd w:val="clear" w:color="auto" w:fill="auto"/>
            <w:noWrap/>
            <w:vAlign w:val="bottom"/>
            <w:hideMark/>
          </w:tcPr>
          <w:p w14:paraId="7DF93680"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Pierīgas reģions</w:t>
            </w:r>
          </w:p>
        </w:tc>
        <w:tc>
          <w:tcPr>
            <w:tcW w:w="1134" w:type="dxa"/>
            <w:tcBorders>
              <w:top w:val="nil"/>
              <w:left w:val="nil"/>
              <w:bottom w:val="single" w:sz="4" w:space="0" w:color="auto"/>
              <w:right w:val="single" w:sz="4" w:space="0" w:color="auto"/>
            </w:tcBorders>
            <w:shd w:val="clear" w:color="auto" w:fill="auto"/>
            <w:noWrap/>
            <w:hideMark/>
          </w:tcPr>
          <w:p w14:paraId="5CACD4DE"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42</w:t>
            </w:r>
          </w:p>
        </w:tc>
        <w:tc>
          <w:tcPr>
            <w:tcW w:w="1134" w:type="dxa"/>
            <w:tcBorders>
              <w:top w:val="nil"/>
              <w:left w:val="nil"/>
              <w:bottom w:val="single" w:sz="4" w:space="0" w:color="auto"/>
              <w:right w:val="single" w:sz="4" w:space="0" w:color="auto"/>
            </w:tcBorders>
            <w:shd w:val="clear" w:color="auto" w:fill="auto"/>
            <w:noWrap/>
            <w:hideMark/>
          </w:tcPr>
          <w:p w14:paraId="6D6F38F7"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43</w:t>
            </w:r>
          </w:p>
        </w:tc>
        <w:tc>
          <w:tcPr>
            <w:tcW w:w="1134" w:type="dxa"/>
            <w:tcBorders>
              <w:top w:val="nil"/>
              <w:left w:val="nil"/>
              <w:bottom w:val="single" w:sz="4" w:space="0" w:color="auto"/>
              <w:right w:val="single" w:sz="4" w:space="0" w:color="auto"/>
            </w:tcBorders>
            <w:shd w:val="clear" w:color="auto" w:fill="auto"/>
            <w:noWrap/>
            <w:hideMark/>
          </w:tcPr>
          <w:p w14:paraId="5EE94048"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44</w:t>
            </w:r>
          </w:p>
        </w:tc>
        <w:tc>
          <w:tcPr>
            <w:tcW w:w="1134" w:type="dxa"/>
            <w:tcBorders>
              <w:top w:val="nil"/>
              <w:left w:val="nil"/>
              <w:bottom w:val="single" w:sz="4" w:space="0" w:color="auto"/>
              <w:right w:val="single" w:sz="4" w:space="0" w:color="auto"/>
            </w:tcBorders>
            <w:shd w:val="clear" w:color="auto" w:fill="auto"/>
            <w:noWrap/>
            <w:hideMark/>
          </w:tcPr>
          <w:p w14:paraId="3554015E"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46</w:t>
            </w:r>
          </w:p>
        </w:tc>
        <w:tc>
          <w:tcPr>
            <w:tcW w:w="1134" w:type="dxa"/>
            <w:tcBorders>
              <w:top w:val="nil"/>
              <w:left w:val="nil"/>
              <w:bottom w:val="single" w:sz="4" w:space="0" w:color="auto"/>
              <w:right w:val="single" w:sz="4" w:space="0" w:color="auto"/>
            </w:tcBorders>
            <w:shd w:val="clear" w:color="auto" w:fill="auto"/>
            <w:noWrap/>
            <w:hideMark/>
          </w:tcPr>
          <w:p w14:paraId="72C54C9C"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48</w:t>
            </w:r>
          </w:p>
        </w:tc>
        <w:tc>
          <w:tcPr>
            <w:tcW w:w="1134" w:type="dxa"/>
            <w:tcBorders>
              <w:top w:val="nil"/>
              <w:left w:val="nil"/>
              <w:bottom w:val="single" w:sz="4" w:space="0" w:color="auto"/>
              <w:right w:val="single" w:sz="4" w:space="0" w:color="auto"/>
            </w:tcBorders>
            <w:shd w:val="clear" w:color="auto" w:fill="auto"/>
            <w:noWrap/>
            <w:hideMark/>
          </w:tcPr>
          <w:p w14:paraId="1618F83B"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49</w:t>
            </w:r>
          </w:p>
        </w:tc>
      </w:tr>
      <w:tr w:rsidR="005A1C5E" w:rsidRPr="008E4EB0" w14:paraId="659E7147" w14:textId="77777777" w:rsidTr="003207BB">
        <w:trPr>
          <w:trHeight w:val="300"/>
        </w:trPr>
        <w:tc>
          <w:tcPr>
            <w:tcW w:w="2154" w:type="dxa"/>
            <w:tcBorders>
              <w:top w:val="nil"/>
              <w:left w:val="single" w:sz="4" w:space="0" w:color="auto"/>
              <w:bottom w:val="single" w:sz="4" w:space="0" w:color="auto"/>
              <w:right w:val="single" w:sz="4" w:space="0" w:color="auto"/>
            </w:tcBorders>
            <w:shd w:val="clear" w:color="auto" w:fill="auto"/>
            <w:noWrap/>
            <w:vAlign w:val="bottom"/>
            <w:hideMark/>
          </w:tcPr>
          <w:p w14:paraId="7839B365"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Vidzemes reģions</w:t>
            </w:r>
          </w:p>
        </w:tc>
        <w:tc>
          <w:tcPr>
            <w:tcW w:w="1134" w:type="dxa"/>
            <w:tcBorders>
              <w:top w:val="nil"/>
              <w:left w:val="nil"/>
              <w:bottom w:val="single" w:sz="4" w:space="0" w:color="auto"/>
              <w:right w:val="single" w:sz="4" w:space="0" w:color="auto"/>
            </w:tcBorders>
            <w:shd w:val="clear" w:color="auto" w:fill="auto"/>
            <w:noWrap/>
            <w:hideMark/>
          </w:tcPr>
          <w:p w14:paraId="58A4294B"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36</w:t>
            </w:r>
          </w:p>
        </w:tc>
        <w:tc>
          <w:tcPr>
            <w:tcW w:w="1134" w:type="dxa"/>
            <w:tcBorders>
              <w:top w:val="nil"/>
              <w:left w:val="nil"/>
              <w:bottom w:val="single" w:sz="4" w:space="0" w:color="auto"/>
              <w:right w:val="single" w:sz="4" w:space="0" w:color="auto"/>
            </w:tcBorders>
            <w:shd w:val="clear" w:color="auto" w:fill="auto"/>
            <w:noWrap/>
            <w:hideMark/>
          </w:tcPr>
          <w:p w14:paraId="2CD108F9"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37</w:t>
            </w:r>
          </w:p>
        </w:tc>
        <w:tc>
          <w:tcPr>
            <w:tcW w:w="1134" w:type="dxa"/>
            <w:tcBorders>
              <w:top w:val="nil"/>
              <w:left w:val="nil"/>
              <w:bottom w:val="single" w:sz="4" w:space="0" w:color="auto"/>
              <w:right w:val="single" w:sz="4" w:space="0" w:color="auto"/>
            </w:tcBorders>
            <w:shd w:val="clear" w:color="auto" w:fill="auto"/>
            <w:noWrap/>
            <w:hideMark/>
          </w:tcPr>
          <w:p w14:paraId="6A52136B"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38</w:t>
            </w:r>
          </w:p>
        </w:tc>
        <w:tc>
          <w:tcPr>
            <w:tcW w:w="1134" w:type="dxa"/>
            <w:tcBorders>
              <w:top w:val="nil"/>
              <w:left w:val="nil"/>
              <w:bottom w:val="single" w:sz="4" w:space="0" w:color="auto"/>
              <w:right w:val="single" w:sz="4" w:space="0" w:color="auto"/>
            </w:tcBorders>
            <w:shd w:val="clear" w:color="auto" w:fill="auto"/>
            <w:noWrap/>
            <w:hideMark/>
          </w:tcPr>
          <w:p w14:paraId="69BFDD57"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39</w:t>
            </w:r>
          </w:p>
        </w:tc>
        <w:tc>
          <w:tcPr>
            <w:tcW w:w="1134" w:type="dxa"/>
            <w:tcBorders>
              <w:top w:val="nil"/>
              <w:left w:val="nil"/>
              <w:bottom w:val="single" w:sz="4" w:space="0" w:color="auto"/>
              <w:right w:val="single" w:sz="4" w:space="0" w:color="auto"/>
            </w:tcBorders>
            <w:shd w:val="clear" w:color="auto" w:fill="auto"/>
            <w:noWrap/>
            <w:hideMark/>
          </w:tcPr>
          <w:p w14:paraId="009B3AE9"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41</w:t>
            </w:r>
          </w:p>
        </w:tc>
        <w:tc>
          <w:tcPr>
            <w:tcW w:w="1134" w:type="dxa"/>
            <w:tcBorders>
              <w:top w:val="nil"/>
              <w:left w:val="nil"/>
              <w:bottom w:val="single" w:sz="4" w:space="0" w:color="auto"/>
              <w:right w:val="single" w:sz="4" w:space="0" w:color="auto"/>
            </w:tcBorders>
            <w:shd w:val="clear" w:color="auto" w:fill="auto"/>
            <w:noWrap/>
            <w:hideMark/>
          </w:tcPr>
          <w:p w14:paraId="5E2FAA20"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41</w:t>
            </w:r>
          </w:p>
        </w:tc>
      </w:tr>
      <w:tr w:rsidR="005A1C5E" w:rsidRPr="008E4EB0" w14:paraId="34F4FB3B" w14:textId="77777777" w:rsidTr="003207BB">
        <w:trPr>
          <w:trHeight w:val="300"/>
        </w:trPr>
        <w:tc>
          <w:tcPr>
            <w:tcW w:w="2154" w:type="dxa"/>
            <w:tcBorders>
              <w:top w:val="nil"/>
              <w:left w:val="single" w:sz="4" w:space="0" w:color="auto"/>
              <w:bottom w:val="single" w:sz="4" w:space="0" w:color="auto"/>
              <w:right w:val="single" w:sz="4" w:space="0" w:color="auto"/>
            </w:tcBorders>
            <w:shd w:val="clear" w:color="auto" w:fill="auto"/>
            <w:noWrap/>
            <w:vAlign w:val="bottom"/>
            <w:hideMark/>
          </w:tcPr>
          <w:p w14:paraId="0A6CAC6E"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Kurzemes reģions</w:t>
            </w:r>
          </w:p>
        </w:tc>
        <w:tc>
          <w:tcPr>
            <w:tcW w:w="1134" w:type="dxa"/>
            <w:tcBorders>
              <w:top w:val="nil"/>
              <w:left w:val="nil"/>
              <w:bottom w:val="single" w:sz="4" w:space="0" w:color="auto"/>
              <w:right w:val="single" w:sz="4" w:space="0" w:color="auto"/>
            </w:tcBorders>
            <w:shd w:val="clear" w:color="auto" w:fill="auto"/>
            <w:noWrap/>
            <w:hideMark/>
          </w:tcPr>
          <w:p w14:paraId="061FA034"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33</w:t>
            </w:r>
          </w:p>
        </w:tc>
        <w:tc>
          <w:tcPr>
            <w:tcW w:w="1134" w:type="dxa"/>
            <w:tcBorders>
              <w:top w:val="nil"/>
              <w:left w:val="nil"/>
              <w:bottom w:val="single" w:sz="4" w:space="0" w:color="auto"/>
              <w:right w:val="single" w:sz="4" w:space="0" w:color="auto"/>
            </w:tcBorders>
            <w:shd w:val="clear" w:color="auto" w:fill="auto"/>
            <w:noWrap/>
            <w:hideMark/>
          </w:tcPr>
          <w:p w14:paraId="06518CC3"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34</w:t>
            </w:r>
          </w:p>
        </w:tc>
        <w:tc>
          <w:tcPr>
            <w:tcW w:w="1134" w:type="dxa"/>
            <w:tcBorders>
              <w:top w:val="nil"/>
              <w:left w:val="nil"/>
              <w:bottom w:val="single" w:sz="4" w:space="0" w:color="auto"/>
              <w:right w:val="single" w:sz="4" w:space="0" w:color="auto"/>
            </w:tcBorders>
            <w:shd w:val="clear" w:color="auto" w:fill="auto"/>
            <w:noWrap/>
            <w:hideMark/>
          </w:tcPr>
          <w:p w14:paraId="0191CC37"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35</w:t>
            </w:r>
          </w:p>
        </w:tc>
        <w:tc>
          <w:tcPr>
            <w:tcW w:w="1134" w:type="dxa"/>
            <w:tcBorders>
              <w:top w:val="nil"/>
              <w:left w:val="nil"/>
              <w:bottom w:val="single" w:sz="4" w:space="0" w:color="auto"/>
              <w:right w:val="single" w:sz="4" w:space="0" w:color="auto"/>
            </w:tcBorders>
            <w:shd w:val="clear" w:color="auto" w:fill="auto"/>
            <w:noWrap/>
            <w:hideMark/>
          </w:tcPr>
          <w:p w14:paraId="5154165F"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37</w:t>
            </w:r>
          </w:p>
        </w:tc>
        <w:tc>
          <w:tcPr>
            <w:tcW w:w="1134" w:type="dxa"/>
            <w:tcBorders>
              <w:top w:val="nil"/>
              <w:left w:val="nil"/>
              <w:bottom w:val="single" w:sz="4" w:space="0" w:color="auto"/>
              <w:right w:val="single" w:sz="4" w:space="0" w:color="auto"/>
            </w:tcBorders>
            <w:shd w:val="clear" w:color="auto" w:fill="auto"/>
            <w:noWrap/>
            <w:hideMark/>
          </w:tcPr>
          <w:p w14:paraId="21EB23CA"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38</w:t>
            </w:r>
          </w:p>
        </w:tc>
        <w:tc>
          <w:tcPr>
            <w:tcW w:w="1134" w:type="dxa"/>
            <w:tcBorders>
              <w:top w:val="nil"/>
              <w:left w:val="nil"/>
              <w:bottom w:val="single" w:sz="4" w:space="0" w:color="auto"/>
              <w:right w:val="single" w:sz="4" w:space="0" w:color="auto"/>
            </w:tcBorders>
            <w:shd w:val="clear" w:color="auto" w:fill="auto"/>
            <w:noWrap/>
            <w:hideMark/>
          </w:tcPr>
          <w:p w14:paraId="54C8C330"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39</w:t>
            </w:r>
          </w:p>
        </w:tc>
      </w:tr>
      <w:tr w:rsidR="005A1C5E" w:rsidRPr="008E4EB0" w14:paraId="4F7EE5C1" w14:textId="77777777" w:rsidTr="003207BB">
        <w:trPr>
          <w:trHeight w:val="300"/>
        </w:trPr>
        <w:tc>
          <w:tcPr>
            <w:tcW w:w="2154" w:type="dxa"/>
            <w:tcBorders>
              <w:top w:val="nil"/>
              <w:left w:val="single" w:sz="4" w:space="0" w:color="auto"/>
              <w:bottom w:val="single" w:sz="4" w:space="0" w:color="auto"/>
              <w:right w:val="single" w:sz="4" w:space="0" w:color="auto"/>
            </w:tcBorders>
            <w:shd w:val="clear" w:color="auto" w:fill="auto"/>
            <w:noWrap/>
            <w:vAlign w:val="bottom"/>
            <w:hideMark/>
          </w:tcPr>
          <w:p w14:paraId="3556C466"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Zemgales reģions</w:t>
            </w:r>
          </w:p>
        </w:tc>
        <w:tc>
          <w:tcPr>
            <w:tcW w:w="1134" w:type="dxa"/>
            <w:tcBorders>
              <w:top w:val="nil"/>
              <w:left w:val="nil"/>
              <w:bottom w:val="single" w:sz="4" w:space="0" w:color="auto"/>
              <w:right w:val="single" w:sz="4" w:space="0" w:color="auto"/>
            </w:tcBorders>
            <w:shd w:val="clear" w:color="auto" w:fill="auto"/>
            <w:noWrap/>
            <w:hideMark/>
          </w:tcPr>
          <w:p w14:paraId="5CB95F36"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32</w:t>
            </w:r>
          </w:p>
        </w:tc>
        <w:tc>
          <w:tcPr>
            <w:tcW w:w="1134" w:type="dxa"/>
            <w:tcBorders>
              <w:top w:val="nil"/>
              <w:left w:val="nil"/>
              <w:bottom w:val="single" w:sz="4" w:space="0" w:color="auto"/>
              <w:right w:val="single" w:sz="4" w:space="0" w:color="auto"/>
            </w:tcBorders>
            <w:shd w:val="clear" w:color="auto" w:fill="auto"/>
            <w:noWrap/>
            <w:hideMark/>
          </w:tcPr>
          <w:p w14:paraId="4E867282"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33</w:t>
            </w:r>
          </w:p>
        </w:tc>
        <w:tc>
          <w:tcPr>
            <w:tcW w:w="1134" w:type="dxa"/>
            <w:tcBorders>
              <w:top w:val="nil"/>
              <w:left w:val="nil"/>
              <w:bottom w:val="single" w:sz="4" w:space="0" w:color="auto"/>
              <w:right w:val="single" w:sz="4" w:space="0" w:color="auto"/>
            </w:tcBorders>
            <w:shd w:val="clear" w:color="auto" w:fill="auto"/>
            <w:noWrap/>
            <w:hideMark/>
          </w:tcPr>
          <w:p w14:paraId="16E3C18B"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34</w:t>
            </w:r>
          </w:p>
        </w:tc>
        <w:tc>
          <w:tcPr>
            <w:tcW w:w="1134" w:type="dxa"/>
            <w:tcBorders>
              <w:top w:val="nil"/>
              <w:left w:val="nil"/>
              <w:bottom w:val="single" w:sz="4" w:space="0" w:color="auto"/>
              <w:right w:val="single" w:sz="4" w:space="0" w:color="auto"/>
            </w:tcBorders>
            <w:shd w:val="clear" w:color="auto" w:fill="auto"/>
            <w:noWrap/>
            <w:hideMark/>
          </w:tcPr>
          <w:p w14:paraId="3A849C95"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35</w:t>
            </w:r>
          </w:p>
        </w:tc>
        <w:tc>
          <w:tcPr>
            <w:tcW w:w="1134" w:type="dxa"/>
            <w:tcBorders>
              <w:top w:val="nil"/>
              <w:left w:val="nil"/>
              <w:bottom w:val="single" w:sz="4" w:space="0" w:color="auto"/>
              <w:right w:val="single" w:sz="4" w:space="0" w:color="auto"/>
            </w:tcBorders>
            <w:shd w:val="clear" w:color="auto" w:fill="auto"/>
            <w:noWrap/>
            <w:hideMark/>
          </w:tcPr>
          <w:p w14:paraId="0C77C49E"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36</w:t>
            </w:r>
          </w:p>
        </w:tc>
        <w:tc>
          <w:tcPr>
            <w:tcW w:w="1134" w:type="dxa"/>
            <w:tcBorders>
              <w:top w:val="nil"/>
              <w:left w:val="nil"/>
              <w:bottom w:val="single" w:sz="4" w:space="0" w:color="auto"/>
              <w:right w:val="single" w:sz="4" w:space="0" w:color="auto"/>
            </w:tcBorders>
            <w:shd w:val="clear" w:color="auto" w:fill="auto"/>
            <w:noWrap/>
            <w:hideMark/>
          </w:tcPr>
          <w:p w14:paraId="69BE959F"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37</w:t>
            </w:r>
          </w:p>
        </w:tc>
      </w:tr>
      <w:tr w:rsidR="005A1C5E" w:rsidRPr="008E4EB0" w14:paraId="4CCDC28C" w14:textId="77777777" w:rsidTr="003207BB">
        <w:trPr>
          <w:trHeight w:val="300"/>
        </w:trPr>
        <w:tc>
          <w:tcPr>
            <w:tcW w:w="2154" w:type="dxa"/>
            <w:tcBorders>
              <w:top w:val="nil"/>
              <w:left w:val="single" w:sz="4" w:space="0" w:color="auto"/>
              <w:bottom w:val="single" w:sz="4" w:space="0" w:color="auto"/>
              <w:right w:val="single" w:sz="4" w:space="0" w:color="auto"/>
            </w:tcBorders>
            <w:shd w:val="clear" w:color="auto" w:fill="auto"/>
            <w:noWrap/>
            <w:vAlign w:val="bottom"/>
            <w:hideMark/>
          </w:tcPr>
          <w:p w14:paraId="5240F3A8"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Latgales reģions</w:t>
            </w:r>
          </w:p>
        </w:tc>
        <w:tc>
          <w:tcPr>
            <w:tcW w:w="1134" w:type="dxa"/>
            <w:tcBorders>
              <w:top w:val="nil"/>
              <w:left w:val="nil"/>
              <w:bottom w:val="single" w:sz="4" w:space="0" w:color="auto"/>
              <w:right w:val="single" w:sz="4" w:space="0" w:color="auto"/>
            </w:tcBorders>
            <w:shd w:val="clear" w:color="auto" w:fill="auto"/>
            <w:noWrap/>
            <w:hideMark/>
          </w:tcPr>
          <w:p w14:paraId="20D04601"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32</w:t>
            </w:r>
          </w:p>
        </w:tc>
        <w:tc>
          <w:tcPr>
            <w:tcW w:w="1134" w:type="dxa"/>
            <w:tcBorders>
              <w:top w:val="nil"/>
              <w:left w:val="nil"/>
              <w:bottom w:val="single" w:sz="4" w:space="0" w:color="auto"/>
              <w:right w:val="single" w:sz="4" w:space="0" w:color="auto"/>
            </w:tcBorders>
            <w:shd w:val="clear" w:color="auto" w:fill="auto"/>
            <w:noWrap/>
            <w:hideMark/>
          </w:tcPr>
          <w:p w14:paraId="711A6343"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33</w:t>
            </w:r>
          </w:p>
        </w:tc>
        <w:tc>
          <w:tcPr>
            <w:tcW w:w="1134" w:type="dxa"/>
            <w:tcBorders>
              <w:top w:val="nil"/>
              <w:left w:val="nil"/>
              <w:bottom w:val="single" w:sz="4" w:space="0" w:color="auto"/>
              <w:right w:val="single" w:sz="4" w:space="0" w:color="auto"/>
            </w:tcBorders>
            <w:shd w:val="clear" w:color="auto" w:fill="auto"/>
            <w:noWrap/>
            <w:hideMark/>
          </w:tcPr>
          <w:p w14:paraId="1C5EE572"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35</w:t>
            </w:r>
          </w:p>
        </w:tc>
        <w:tc>
          <w:tcPr>
            <w:tcW w:w="1134" w:type="dxa"/>
            <w:tcBorders>
              <w:top w:val="nil"/>
              <w:left w:val="nil"/>
              <w:bottom w:val="single" w:sz="4" w:space="0" w:color="auto"/>
              <w:right w:val="single" w:sz="4" w:space="0" w:color="auto"/>
            </w:tcBorders>
            <w:shd w:val="clear" w:color="auto" w:fill="auto"/>
            <w:noWrap/>
            <w:hideMark/>
          </w:tcPr>
          <w:p w14:paraId="7F9513A9"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36</w:t>
            </w:r>
          </w:p>
        </w:tc>
        <w:tc>
          <w:tcPr>
            <w:tcW w:w="1134" w:type="dxa"/>
            <w:tcBorders>
              <w:top w:val="nil"/>
              <w:left w:val="nil"/>
              <w:bottom w:val="single" w:sz="4" w:space="0" w:color="auto"/>
              <w:right w:val="single" w:sz="4" w:space="0" w:color="auto"/>
            </w:tcBorders>
            <w:shd w:val="clear" w:color="auto" w:fill="auto"/>
            <w:noWrap/>
            <w:hideMark/>
          </w:tcPr>
          <w:p w14:paraId="15204504"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38</w:t>
            </w:r>
          </w:p>
        </w:tc>
        <w:tc>
          <w:tcPr>
            <w:tcW w:w="1134" w:type="dxa"/>
            <w:tcBorders>
              <w:top w:val="nil"/>
              <w:left w:val="nil"/>
              <w:bottom w:val="single" w:sz="4" w:space="0" w:color="auto"/>
              <w:right w:val="single" w:sz="4" w:space="0" w:color="auto"/>
            </w:tcBorders>
            <w:shd w:val="clear" w:color="auto" w:fill="auto"/>
            <w:noWrap/>
            <w:hideMark/>
          </w:tcPr>
          <w:p w14:paraId="12045F6E" w14:textId="77777777" w:rsidR="005A1C5E" w:rsidRPr="008E4EB0" w:rsidRDefault="005A1C5E" w:rsidP="005A1C5E">
            <w:pPr>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39</w:t>
            </w:r>
          </w:p>
        </w:tc>
      </w:tr>
    </w:tbl>
    <w:p w14:paraId="0CAD488F" w14:textId="77777777" w:rsidR="005A1C5E" w:rsidRPr="008E4EB0" w:rsidRDefault="005A1C5E" w:rsidP="005A1C5E">
      <w:pPr>
        <w:spacing w:after="0" w:line="240" w:lineRule="auto"/>
        <w:ind w:firstLine="851"/>
        <w:jc w:val="both"/>
        <w:rPr>
          <w:rFonts w:ascii="Times New Roman" w:eastAsia="Calibri" w:hAnsi="Times New Roman" w:cs="Times New Roman"/>
          <w:iCs/>
          <w:sz w:val="24"/>
          <w:szCs w:val="24"/>
        </w:rPr>
      </w:pPr>
    </w:p>
    <w:p w14:paraId="2E22EC8C" w14:textId="36116572" w:rsidR="005A1C5E" w:rsidRPr="008E4EB0" w:rsidRDefault="004F1BD3" w:rsidP="00545FEF">
      <w:pPr>
        <w:keepNext/>
        <w:keepLines/>
        <w:spacing w:after="0" w:line="240" w:lineRule="auto"/>
        <w:jc w:val="center"/>
        <w:rPr>
          <w:rFonts w:ascii="Times New Roman" w:eastAsia="Calibri" w:hAnsi="Times New Roman" w:cs="Times New Roman"/>
          <w:sz w:val="24"/>
          <w:szCs w:val="24"/>
          <w:vertAlign w:val="superscript"/>
        </w:rPr>
      </w:pPr>
      <w:r>
        <w:rPr>
          <w:rFonts w:ascii="Times New Roman" w:eastAsia="Calibri" w:hAnsi="Times New Roman" w:cs="Times New Roman"/>
          <w:sz w:val="24"/>
          <w:szCs w:val="24"/>
        </w:rPr>
        <w:t>5</w:t>
      </w:r>
      <w:r w:rsidR="005A1C5E" w:rsidRPr="008E4EB0">
        <w:rPr>
          <w:rFonts w:ascii="Times New Roman" w:eastAsia="Calibri" w:hAnsi="Times New Roman" w:cs="Times New Roman"/>
          <w:sz w:val="24"/>
          <w:szCs w:val="24"/>
        </w:rPr>
        <w:t xml:space="preserve">.tabula. Uzbūvētās jaunās dzīvojamās ēkas statistiskajos reģionos un republikas </w:t>
      </w:r>
      <w:r w:rsidR="001740B7" w:rsidRPr="008E4EB0">
        <w:rPr>
          <w:rFonts w:ascii="Times New Roman" w:eastAsia="Calibri" w:hAnsi="Times New Roman" w:cs="Times New Roman"/>
          <w:sz w:val="24"/>
          <w:szCs w:val="24"/>
        </w:rPr>
        <w:t xml:space="preserve">pilsētās </w:t>
      </w:r>
      <w:r w:rsidR="005A1C5E" w:rsidRPr="008E4EB0">
        <w:rPr>
          <w:rFonts w:ascii="Times New Roman" w:eastAsia="Calibri" w:hAnsi="Times New Roman" w:cs="Times New Roman"/>
          <w:sz w:val="24"/>
          <w:szCs w:val="24"/>
        </w:rPr>
        <w:t>(tūkst. m² kopējās platības), 2016.g.</w:t>
      </w:r>
      <w:r w:rsidR="003207BB" w:rsidRPr="008E4EB0">
        <w:rPr>
          <w:rFonts w:ascii="Times New Roman" w:eastAsia="Calibri" w:hAnsi="Times New Roman" w:cs="Times New Roman"/>
          <w:sz w:val="24"/>
          <w:szCs w:val="24"/>
          <w:vertAlign w:val="superscript"/>
        </w:rPr>
        <w:t>5</w:t>
      </w:r>
    </w:p>
    <w:tbl>
      <w:tblPr>
        <w:tblW w:w="8788" w:type="dxa"/>
        <w:tblInd w:w="-5" w:type="dxa"/>
        <w:tblLook w:val="04A0" w:firstRow="1" w:lastRow="0" w:firstColumn="1" w:lastColumn="0" w:noHBand="0" w:noVBand="1"/>
      </w:tblPr>
      <w:tblGrid>
        <w:gridCol w:w="2410"/>
        <w:gridCol w:w="2268"/>
        <w:gridCol w:w="2250"/>
        <w:gridCol w:w="1860"/>
      </w:tblGrid>
      <w:tr w:rsidR="005A1C5E" w:rsidRPr="008E4EB0" w14:paraId="254FF27C" w14:textId="77777777" w:rsidTr="003207BB">
        <w:trPr>
          <w:trHeight w:val="17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97773" w14:textId="77777777" w:rsidR="005A1C5E" w:rsidRPr="008E4EB0" w:rsidRDefault="005A1C5E" w:rsidP="00545FEF">
            <w:pPr>
              <w:keepNext/>
              <w:keepLines/>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0DC84049" w14:textId="77777777" w:rsidR="005A1C5E" w:rsidRPr="008E4EB0" w:rsidRDefault="005A1C5E" w:rsidP="00545FEF">
            <w:pPr>
              <w:keepNext/>
              <w:keepLines/>
              <w:spacing w:after="0" w:line="240" w:lineRule="auto"/>
              <w:jc w:val="center"/>
              <w:rPr>
                <w:rFonts w:ascii="Times New Roman" w:eastAsia="Calibri" w:hAnsi="Times New Roman" w:cs="Times New Roman"/>
                <w:b/>
                <w:bCs/>
                <w:color w:val="000000"/>
                <w:sz w:val="20"/>
                <w:szCs w:val="20"/>
              </w:rPr>
            </w:pPr>
            <w:r w:rsidRPr="008E4EB0">
              <w:rPr>
                <w:rFonts w:ascii="Times New Roman" w:eastAsia="Calibri" w:hAnsi="Times New Roman" w:cs="Times New Roman"/>
                <w:b/>
                <w:bCs/>
                <w:color w:val="000000"/>
                <w:sz w:val="20"/>
                <w:szCs w:val="20"/>
              </w:rPr>
              <w:t>Viena dzīvokļa mājas</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14:paraId="5656EB43" w14:textId="77777777" w:rsidR="005A1C5E" w:rsidRPr="008E4EB0" w:rsidRDefault="005A1C5E" w:rsidP="00545FEF">
            <w:pPr>
              <w:keepNext/>
              <w:keepLines/>
              <w:spacing w:after="0" w:line="240" w:lineRule="auto"/>
              <w:jc w:val="center"/>
              <w:rPr>
                <w:rFonts w:ascii="Times New Roman" w:eastAsia="Calibri" w:hAnsi="Times New Roman" w:cs="Times New Roman"/>
                <w:b/>
                <w:bCs/>
                <w:color w:val="000000"/>
                <w:sz w:val="20"/>
                <w:szCs w:val="20"/>
              </w:rPr>
            </w:pPr>
            <w:r w:rsidRPr="008E4EB0">
              <w:rPr>
                <w:rFonts w:ascii="Times New Roman" w:eastAsia="Calibri" w:hAnsi="Times New Roman" w:cs="Times New Roman"/>
                <w:b/>
                <w:bCs/>
                <w:color w:val="000000"/>
                <w:sz w:val="20"/>
                <w:szCs w:val="20"/>
              </w:rPr>
              <w:t>Daudzdzīvokļu mājas</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5F8C52C3" w14:textId="77777777" w:rsidR="005A1C5E" w:rsidRPr="008E4EB0" w:rsidRDefault="005A1C5E" w:rsidP="00545FEF">
            <w:pPr>
              <w:keepNext/>
              <w:keepLines/>
              <w:spacing w:after="0" w:line="240" w:lineRule="auto"/>
              <w:jc w:val="center"/>
              <w:rPr>
                <w:rFonts w:ascii="Times New Roman" w:eastAsia="Calibri" w:hAnsi="Times New Roman" w:cs="Times New Roman"/>
                <w:b/>
                <w:bCs/>
                <w:color w:val="000000"/>
                <w:sz w:val="20"/>
                <w:szCs w:val="20"/>
              </w:rPr>
            </w:pPr>
            <w:r w:rsidRPr="008E4EB0">
              <w:rPr>
                <w:rFonts w:ascii="Times New Roman" w:eastAsia="Calibri" w:hAnsi="Times New Roman" w:cs="Times New Roman"/>
                <w:b/>
                <w:bCs/>
                <w:color w:val="000000"/>
                <w:sz w:val="20"/>
                <w:szCs w:val="20"/>
              </w:rPr>
              <w:t>Pavisam uzbūvēts</w:t>
            </w:r>
          </w:p>
        </w:tc>
      </w:tr>
      <w:tr w:rsidR="005A1C5E" w:rsidRPr="008E4EB0" w14:paraId="7D51A5AC" w14:textId="77777777" w:rsidTr="003207BB">
        <w:trPr>
          <w:trHeight w:val="170"/>
        </w:trPr>
        <w:tc>
          <w:tcPr>
            <w:tcW w:w="8788"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7164B41" w14:textId="77777777" w:rsidR="005A1C5E" w:rsidRPr="008E4EB0" w:rsidRDefault="005A1C5E" w:rsidP="00545FEF">
            <w:pPr>
              <w:keepNext/>
              <w:keepLines/>
              <w:spacing w:after="0" w:line="240" w:lineRule="auto"/>
              <w:jc w:val="center"/>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Latvija</w:t>
            </w:r>
          </w:p>
        </w:tc>
      </w:tr>
      <w:tr w:rsidR="005A1C5E" w:rsidRPr="008E4EB0" w14:paraId="19BA9A40" w14:textId="77777777" w:rsidTr="003207BB">
        <w:trPr>
          <w:trHeight w:val="17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404DA601" w14:textId="77777777" w:rsidR="005A1C5E" w:rsidRPr="008E4EB0" w:rsidRDefault="005A1C5E" w:rsidP="00545FEF">
            <w:pPr>
              <w:keepNext/>
              <w:keepLines/>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LATVIJA</w:t>
            </w:r>
          </w:p>
        </w:tc>
        <w:tc>
          <w:tcPr>
            <w:tcW w:w="2268" w:type="dxa"/>
            <w:tcBorders>
              <w:top w:val="nil"/>
              <w:left w:val="nil"/>
              <w:bottom w:val="single" w:sz="4" w:space="0" w:color="auto"/>
              <w:right w:val="single" w:sz="4" w:space="0" w:color="auto"/>
            </w:tcBorders>
            <w:shd w:val="clear" w:color="auto" w:fill="auto"/>
            <w:noWrap/>
            <w:vAlign w:val="bottom"/>
            <w:hideMark/>
          </w:tcPr>
          <w:p w14:paraId="7DE64B34" w14:textId="77777777" w:rsidR="005A1C5E" w:rsidRPr="008E4EB0" w:rsidRDefault="005A1C5E" w:rsidP="00545FEF">
            <w:pPr>
              <w:keepNext/>
              <w:keepLines/>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247,3</w:t>
            </w:r>
          </w:p>
        </w:tc>
        <w:tc>
          <w:tcPr>
            <w:tcW w:w="2250" w:type="dxa"/>
            <w:tcBorders>
              <w:top w:val="nil"/>
              <w:left w:val="nil"/>
              <w:bottom w:val="single" w:sz="4" w:space="0" w:color="auto"/>
              <w:right w:val="single" w:sz="4" w:space="0" w:color="auto"/>
            </w:tcBorders>
            <w:shd w:val="clear" w:color="auto" w:fill="auto"/>
            <w:noWrap/>
            <w:vAlign w:val="bottom"/>
            <w:hideMark/>
          </w:tcPr>
          <w:p w14:paraId="06DFF7BD" w14:textId="77777777" w:rsidR="005A1C5E" w:rsidRPr="008E4EB0" w:rsidRDefault="005A1C5E" w:rsidP="00545FEF">
            <w:pPr>
              <w:keepNext/>
              <w:keepLines/>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125,6</w:t>
            </w:r>
          </w:p>
        </w:tc>
        <w:tc>
          <w:tcPr>
            <w:tcW w:w="1860" w:type="dxa"/>
            <w:tcBorders>
              <w:top w:val="nil"/>
              <w:left w:val="nil"/>
              <w:bottom w:val="single" w:sz="4" w:space="0" w:color="auto"/>
              <w:right w:val="single" w:sz="4" w:space="0" w:color="auto"/>
            </w:tcBorders>
            <w:shd w:val="clear" w:color="auto" w:fill="auto"/>
            <w:noWrap/>
            <w:vAlign w:val="bottom"/>
            <w:hideMark/>
          </w:tcPr>
          <w:p w14:paraId="592FCC39" w14:textId="77777777" w:rsidR="005A1C5E" w:rsidRPr="008E4EB0" w:rsidRDefault="005A1C5E" w:rsidP="00545FEF">
            <w:pPr>
              <w:keepNext/>
              <w:keepLines/>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372,9</w:t>
            </w:r>
          </w:p>
        </w:tc>
      </w:tr>
      <w:tr w:rsidR="005A1C5E" w:rsidRPr="008E4EB0" w14:paraId="1EF6B74C" w14:textId="77777777" w:rsidTr="003207BB">
        <w:trPr>
          <w:trHeight w:val="170"/>
        </w:trPr>
        <w:tc>
          <w:tcPr>
            <w:tcW w:w="8788" w:type="dxa"/>
            <w:gridSpan w:val="4"/>
            <w:tcBorders>
              <w:top w:val="nil"/>
              <w:left w:val="single" w:sz="4" w:space="0" w:color="auto"/>
              <w:bottom w:val="single" w:sz="4" w:space="0" w:color="auto"/>
              <w:right w:val="single" w:sz="4" w:space="0" w:color="auto"/>
            </w:tcBorders>
            <w:shd w:val="clear" w:color="auto" w:fill="auto"/>
            <w:noWrap/>
            <w:vAlign w:val="bottom"/>
          </w:tcPr>
          <w:p w14:paraId="26BC402D" w14:textId="77777777" w:rsidR="005A1C5E" w:rsidRPr="008E4EB0" w:rsidRDefault="005A1C5E" w:rsidP="00545FEF">
            <w:pPr>
              <w:keepNext/>
              <w:keepLines/>
              <w:spacing w:after="0" w:line="240" w:lineRule="auto"/>
              <w:jc w:val="center"/>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Reģioni</w:t>
            </w:r>
          </w:p>
        </w:tc>
      </w:tr>
      <w:tr w:rsidR="005A1C5E" w:rsidRPr="008E4EB0" w14:paraId="2475714C" w14:textId="77777777" w:rsidTr="003207BB">
        <w:trPr>
          <w:trHeight w:val="17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79E293E1" w14:textId="77777777" w:rsidR="005A1C5E" w:rsidRPr="008E4EB0" w:rsidRDefault="005A1C5E" w:rsidP="00545FEF">
            <w:pPr>
              <w:keepNext/>
              <w:keepLines/>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Rīgas reģions</w:t>
            </w:r>
          </w:p>
        </w:tc>
        <w:tc>
          <w:tcPr>
            <w:tcW w:w="2268" w:type="dxa"/>
            <w:tcBorders>
              <w:top w:val="nil"/>
              <w:left w:val="nil"/>
              <w:bottom w:val="single" w:sz="4" w:space="0" w:color="auto"/>
              <w:right w:val="single" w:sz="4" w:space="0" w:color="auto"/>
            </w:tcBorders>
            <w:shd w:val="clear" w:color="auto" w:fill="auto"/>
            <w:noWrap/>
            <w:vAlign w:val="bottom"/>
            <w:hideMark/>
          </w:tcPr>
          <w:p w14:paraId="04502490" w14:textId="77777777" w:rsidR="005A1C5E" w:rsidRPr="008E4EB0" w:rsidRDefault="005A1C5E" w:rsidP="00545FEF">
            <w:pPr>
              <w:keepNext/>
              <w:keepLines/>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14</w:t>
            </w:r>
          </w:p>
        </w:tc>
        <w:tc>
          <w:tcPr>
            <w:tcW w:w="2250" w:type="dxa"/>
            <w:tcBorders>
              <w:top w:val="nil"/>
              <w:left w:val="nil"/>
              <w:bottom w:val="single" w:sz="4" w:space="0" w:color="auto"/>
              <w:right w:val="single" w:sz="4" w:space="0" w:color="auto"/>
            </w:tcBorders>
            <w:shd w:val="clear" w:color="auto" w:fill="auto"/>
            <w:noWrap/>
            <w:vAlign w:val="bottom"/>
            <w:hideMark/>
          </w:tcPr>
          <w:p w14:paraId="11976BAD" w14:textId="77777777" w:rsidR="005A1C5E" w:rsidRPr="008E4EB0" w:rsidRDefault="005A1C5E" w:rsidP="00545FEF">
            <w:pPr>
              <w:keepNext/>
              <w:keepLines/>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54,7</w:t>
            </w:r>
          </w:p>
        </w:tc>
        <w:tc>
          <w:tcPr>
            <w:tcW w:w="1860" w:type="dxa"/>
            <w:tcBorders>
              <w:top w:val="nil"/>
              <w:left w:val="nil"/>
              <w:bottom w:val="single" w:sz="4" w:space="0" w:color="auto"/>
              <w:right w:val="single" w:sz="4" w:space="0" w:color="auto"/>
            </w:tcBorders>
            <w:shd w:val="clear" w:color="auto" w:fill="auto"/>
            <w:noWrap/>
            <w:vAlign w:val="bottom"/>
            <w:hideMark/>
          </w:tcPr>
          <w:p w14:paraId="790A8AA2" w14:textId="77777777" w:rsidR="005A1C5E" w:rsidRPr="008E4EB0" w:rsidRDefault="005A1C5E" w:rsidP="00545FEF">
            <w:pPr>
              <w:keepNext/>
              <w:keepLines/>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68,7</w:t>
            </w:r>
          </w:p>
        </w:tc>
      </w:tr>
      <w:tr w:rsidR="005A1C5E" w:rsidRPr="008E4EB0" w14:paraId="6F4A160A" w14:textId="77777777" w:rsidTr="003207BB">
        <w:trPr>
          <w:trHeight w:val="17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4888419B" w14:textId="77777777" w:rsidR="005A1C5E" w:rsidRPr="008E4EB0" w:rsidRDefault="005A1C5E" w:rsidP="00545FEF">
            <w:pPr>
              <w:keepNext/>
              <w:keepLines/>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Pierīgas reģions</w:t>
            </w:r>
          </w:p>
        </w:tc>
        <w:tc>
          <w:tcPr>
            <w:tcW w:w="2268" w:type="dxa"/>
            <w:tcBorders>
              <w:top w:val="nil"/>
              <w:left w:val="nil"/>
              <w:bottom w:val="single" w:sz="4" w:space="0" w:color="auto"/>
              <w:right w:val="single" w:sz="4" w:space="0" w:color="auto"/>
            </w:tcBorders>
            <w:shd w:val="clear" w:color="auto" w:fill="auto"/>
            <w:noWrap/>
            <w:vAlign w:val="bottom"/>
            <w:hideMark/>
          </w:tcPr>
          <w:p w14:paraId="2E49BEB6" w14:textId="77777777" w:rsidR="005A1C5E" w:rsidRPr="008E4EB0" w:rsidRDefault="005A1C5E" w:rsidP="00545FEF">
            <w:pPr>
              <w:keepNext/>
              <w:keepLines/>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164,1</w:t>
            </w:r>
          </w:p>
        </w:tc>
        <w:tc>
          <w:tcPr>
            <w:tcW w:w="2250" w:type="dxa"/>
            <w:tcBorders>
              <w:top w:val="nil"/>
              <w:left w:val="nil"/>
              <w:bottom w:val="single" w:sz="4" w:space="0" w:color="auto"/>
              <w:right w:val="single" w:sz="4" w:space="0" w:color="auto"/>
            </w:tcBorders>
            <w:shd w:val="clear" w:color="auto" w:fill="auto"/>
            <w:noWrap/>
            <w:vAlign w:val="bottom"/>
            <w:hideMark/>
          </w:tcPr>
          <w:p w14:paraId="5E261911" w14:textId="77777777" w:rsidR="005A1C5E" w:rsidRPr="008E4EB0" w:rsidRDefault="005A1C5E" w:rsidP="00545FEF">
            <w:pPr>
              <w:keepNext/>
              <w:keepLines/>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70,6</w:t>
            </w:r>
          </w:p>
        </w:tc>
        <w:tc>
          <w:tcPr>
            <w:tcW w:w="1860" w:type="dxa"/>
            <w:tcBorders>
              <w:top w:val="nil"/>
              <w:left w:val="nil"/>
              <w:bottom w:val="single" w:sz="4" w:space="0" w:color="auto"/>
              <w:right w:val="single" w:sz="4" w:space="0" w:color="auto"/>
            </w:tcBorders>
            <w:shd w:val="clear" w:color="auto" w:fill="auto"/>
            <w:noWrap/>
            <w:vAlign w:val="bottom"/>
            <w:hideMark/>
          </w:tcPr>
          <w:p w14:paraId="769C8FEB" w14:textId="77777777" w:rsidR="005A1C5E" w:rsidRPr="008E4EB0" w:rsidRDefault="005A1C5E" w:rsidP="00545FEF">
            <w:pPr>
              <w:keepNext/>
              <w:keepLines/>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234,7</w:t>
            </w:r>
          </w:p>
        </w:tc>
      </w:tr>
      <w:tr w:rsidR="005A1C5E" w:rsidRPr="008E4EB0" w14:paraId="2BACDE4E" w14:textId="77777777" w:rsidTr="003207BB">
        <w:trPr>
          <w:trHeight w:val="17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083C7E97" w14:textId="77777777" w:rsidR="005A1C5E" w:rsidRPr="008E4EB0" w:rsidRDefault="005A1C5E" w:rsidP="00545FEF">
            <w:pPr>
              <w:keepNext/>
              <w:keepLines/>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Vidzemes reģions</w:t>
            </w:r>
          </w:p>
        </w:tc>
        <w:tc>
          <w:tcPr>
            <w:tcW w:w="2268" w:type="dxa"/>
            <w:tcBorders>
              <w:top w:val="nil"/>
              <w:left w:val="nil"/>
              <w:bottom w:val="single" w:sz="4" w:space="0" w:color="auto"/>
              <w:right w:val="single" w:sz="4" w:space="0" w:color="auto"/>
            </w:tcBorders>
            <w:shd w:val="clear" w:color="auto" w:fill="auto"/>
            <w:noWrap/>
            <w:vAlign w:val="bottom"/>
            <w:hideMark/>
          </w:tcPr>
          <w:p w14:paraId="13D10B33" w14:textId="77777777" w:rsidR="005A1C5E" w:rsidRPr="008E4EB0" w:rsidRDefault="005A1C5E" w:rsidP="00545FEF">
            <w:pPr>
              <w:keepNext/>
              <w:keepLines/>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13,1</w:t>
            </w:r>
          </w:p>
        </w:tc>
        <w:tc>
          <w:tcPr>
            <w:tcW w:w="2250" w:type="dxa"/>
            <w:tcBorders>
              <w:top w:val="nil"/>
              <w:left w:val="nil"/>
              <w:bottom w:val="single" w:sz="4" w:space="0" w:color="auto"/>
              <w:right w:val="single" w:sz="4" w:space="0" w:color="auto"/>
            </w:tcBorders>
            <w:shd w:val="clear" w:color="auto" w:fill="auto"/>
            <w:noWrap/>
            <w:vAlign w:val="bottom"/>
            <w:hideMark/>
          </w:tcPr>
          <w:p w14:paraId="55A75AAC" w14:textId="77777777" w:rsidR="005A1C5E" w:rsidRPr="008E4EB0" w:rsidRDefault="005A1C5E" w:rsidP="00545FEF">
            <w:pPr>
              <w:keepNext/>
              <w:keepLines/>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0</w:t>
            </w:r>
          </w:p>
        </w:tc>
        <w:tc>
          <w:tcPr>
            <w:tcW w:w="1860" w:type="dxa"/>
            <w:tcBorders>
              <w:top w:val="nil"/>
              <w:left w:val="nil"/>
              <w:bottom w:val="single" w:sz="4" w:space="0" w:color="auto"/>
              <w:right w:val="single" w:sz="4" w:space="0" w:color="auto"/>
            </w:tcBorders>
            <w:shd w:val="clear" w:color="auto" w:fill="auto"/>
            <w:noWrap/>
            <w:vAlign w:val="bottom"/>
            <w:hideMark/>
          </w:tcPr>
          <w:p w14:paraId="104E6CB4" w14:textId="77777777" w:rsidR="005A1C5E" w:rsidRPr="008E4EB0" w:rsidRDefault="005A1C5E" w:rsidP="00545FEF">
            <w:pPr>
              <w:keepNext/>
              <w:keepLines/>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13,1</w:t>
            </w:r>
          </w:p>
        </w:tc>
      </w:tr>
      <w:tr w:rsidR="005A1C5E" w:rsidRPr="008E4EB0" w14:paraId="0C03B8B9" w14:textId="77777777" w:rsidTr="003207BB">
        <w:trPr>
          <w:trHeight w:val="17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21D9108F" w14:textId="77777777" w:rsidR="005A1C5E" w:rsidRPr="008E4EB0" w:rsidRDefault="005A1C5E" w:rsidP="00545FEF">
            <w:pPr>
              <w:keepNext/>
              <w:keepLines/>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Kurzemes reģions</w:t>
            </w:r>
          </w:p>
        </w:tc>
        <w:tc>
          <w:tcPr>
            <w:tcW w:w="2268" w:type="dxa"/>
            <w:tcBorders>
              <w:top w:val="nil"/>
              <w:left w:val="nil"/>
              <w:bottom w:val="single" w:sz="4" w:space="0" w:color="auto"/>
              <w:right w:val="single" w:sz="4" w:space="0" w:color="auto"/>
            </w:tcBorders>
            <w:shd w:val="clear" w:color="auto" w:fill="auto"/>
            <w:noWrap/>
            <w:vAlign w:val="bottom"/>
            <w:hideMark/>
          </w:tcPr>
          <w:p w14:paraId="1F5CF699" w14:textId="77777777" w:rsidR="005A1C5E" w:rsidRPr="008E4EB0" w:rsidRDefault="005A1C5E" w:rsidP="00545FEF">
            <w:pPr>
              <w:keepNext/>
              <w:keepLines/>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13,4</w:t>
            </w:r>
          </w:p>
        </w:tc>
        <w:tc>
          <w:tcPr>
            <w:tcW w:w="2250" w:type="dxa"/>
            <w:tcBorders>
              <w:top w:val="nil"/>
              <w:left w:val="nil"/>
              <w:bottom w:val="single" w:sz="4" w:space="0" w:color="auto"/>
              <w:right w:val="single" w:sz="4" w:space="0" w:color="auto"/>
            </w:tcBorders>
            <w:shd w:val="clear" w:color="auto" w:fill="auto"/>
            <w:noWrap/>
            <w:vAlign w:val="bottom"/>
            <w:hideMark/>
          </w:tcPr>
          <w:p w14:paraId="4C6D0B58" w14:textId="77777777" w:rsidR="005A1C5E" w:rsidRPr="008E4EB0" w:rsidRDefault="005A1C5E" w:rsidP="00545FEF">
            <w:pPr>
              <w:keepNext/>
              <w:keepLines/>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0</w:t>
            </w:r>
          </w:p>
        </w:tc>
        <w:tc>
          <w:tcPr>
            <w:tcW w:w="1860" w:type="dxa"/>
            <w:tcBorders>
              <w:top w:val="nil"/>
              <w:left w:val="nil"/>
              <w:bottom w:val="single" w:sz="4" w:space="0" w:color="auto"/>
              <w:right w:val="single" w:sz="4" w:space="0" w:color="auto"/>
            </w:tcBorders>
            <w:shd w:val="clear" w:color="auto" w:fill="auto"/>
            <w:noWrap/>
            <w:vAlign w:val="bottom"/>
            <w:hideMark/>
          </w:tcPr>
          <w:p w14:paraId="0E591EEA" w14:textId="77777777" w:rsidR="005A1C5E" w:rsidRPr="008E4EB0" w:rsidRDefault="005A1C5E" w:rsidP="00545FEF">
            <w:pPr>
              <w:keepNext/>
              <w:keepLines/>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13,4</w:t>
            </w:r>
          </w:p>
        </w:tc>
      </w:tr>
      <w:tr w:rsidR="005A1C5E" w:rsidRPr="008E4EB0" w14:paraId="462741C4" w14:textId="77777777" w:rsidTr="003207BB">
        <w:trPr>
          <w:trHeight w:val="17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05D25027" w14:textId="77777777" w:rsidR="005A1C5E" w:rsidRPr="008E4EB0" w:rsidRDefault="005A1C5E" w:rsidP="00545FEF">
            <w:pPr>
              <w:keepNext/>
              <w:keepLines/>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Zemgales reģions</w:t>
            </w:r>
          </w:p>
        </w:tc>
        <w:tc>
          <w:tcPr>
            <w:tcW w:w="2268" w:type="dxa"/>
            <w:tcBorders>
              <w:top w:val="nil"/>
              <w:left w:val="nil"/>
              <w:bottom w:val="single" w:sz="4" w:space="0" w:color="auto"/>
              <w:right w:val="single" w:sz="4" w:space="0" w:color="auto"/>
            </w:tcBorders>
            <w:shd w:val="clear" w:color="auto" w:fill="auto"/>
            <w:noWrap/>
            <w:vAlign w:val="bottom"/>
            <w:hideMark/>
          </w:tcPr>
          <w:p w14:paraId="70598B75" w14:textId="77777777" w:rsidR="005A1C5E" w:rsidRPr="008E4EB0" w:rsidRDefault="005A1C5E" w:rsidP="00545FEF">
            <w:pPr>
              <w:keepNext/>
              <w:keepLines/>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31,4</w:t>
            </w:r>
          </w:p>
        </w:tc>
        <w:tc>
          <w:tcPr>
            <w:tcW w:w="2250" w:type="dxa"/>
            <w:tcBorders>
              <w:top w:val="nil"/>
              <w:left w:val="nil"/>
              <w:bottom w:val="single" w:sz="4" w:space="0" w:color="auto"/>
              <w:right w:val="single" w:sz="4" w:space="0" w:color="auto"/>
            </w:tcBorders>
            <w:shd w:val="clear" w:color="auto" w:fill="auto"/>
            <w:noWrap/>
            <w:vAlign w:val="bottom"/>
            <w:hideMark/>
          </w:tcPr>
          <w:p w14:paraId="3647F68C" w14:textId="77777777" w:rsidR="005A1C5E" w:rsidRPr="008E4EB0" w:rsidRDefault="005A1C5E" w:rsidP="00545FEF">
            <w:pPr>
              <w:keepNext/>
              <w:keepLines/>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0,3</w:t>
            </w:r>
          </w:p>
        </w:tc>
        <w:tc>
          <w:tcPr>
            <w:tcW w:w="1860" w:type="dxa"/>
            <w:tcBorders>
              <w:top w:val="nil"/>
              <w:left w:val="nil"/>
              <w:bottom w:val="single" w:sz="4" w:space="0" w:color="auto"/>
              <w:right w:val="single" w:sz="4" w:space="0" w:color="auto"/>
            </w:tcBorders>
            <w:shd w:val="clear" w:color="auto" w:fill="auto"/>
            <w:noWrap/>
            <w:vAlign w:val="bottom"/>
            <w:hideMark/>
          </w:tcPr>
          <w:p w14:paraId="01CA3A32" w14:textId="77777777" w:rsidR="005A1C5E" w:rsidRPr="008E4EB0" w:rsidRDefault="005A1C5E" w:rsidP="00545FEF">
            <w:pPr>
              <w:keepNext/>
              <w:keepLines/>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31,7</w:t>
            </w:r>
          </w:p>
        </w:tc>
      </w:tr>
      <w:tr w:rsidR="005A1C5E" w:rsidRPr="008E4EB0" w14:paraId="13A81351" w14:textId="77777777" w:rsidTr="003207BB">
        <w:trPr>
          <w:trHeight w:val="17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6B12DF7C" w14:textId="77777777" w:rsidR="005A1C5E" w:rsidRPr="008E4EB0" w:rsidRDefault="005A1C5E" w:rsidP="00545FEF">
            <w:pPr>
              <w:keepNext/>
              <w:keepLines/>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Latgales reģions</w:t>
            </w:r>
          </w:p>
        </w:tc>
        <w:tc>
          <w:tcPr>
            <w:tcW w:w="2268" w:type="dxa"/>
            <w:tcBorders>
              <w:top w:val="nil"/>
              <w:left w:val="nil"/>
              <w:bottom w:val="single" w:sz="4" w:space="0" w:color="auto"/>
              <w:right w:val="single" w:sz="4" w:space="0" w:color="auto"/>
            </w:tcBorders>
            <w:shd w:val="clear" w:color="auto" w:fill="auto"/>
            <w:noWrap/>
            <w:vAlign w:val="bottom"/>
            <w:hideMark/>
          </w:tcPr>
          <w:p w14:paraId="4E147C60" w14:textId="77777777" w:rsidR="005A1C5E" w:rsidRPr="008E4EB0" w:rsidRDefault="005A1C5E" w:rsidP="00545FEF">
            <w:pPr>
              <w:keepNext/>
              <w:keepLines/>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11,3</w:t>
            </w:r>
          </w:p>
        </w:tc>
        <w:tc>
          <w:tcPr>
            <w:tcW w:w="2250" w:type="dxa"/>
            <w:tcBorders>
              <w:top w:val="nil"/>
              <w:left w:val="nil"/>
              <w:bottom w:val="single" w:sz="4" w:space="0" w:color="auto"/>
              <w:right w:val="single" w:sz="4" w:space="0" w:color="auto"/>
            </w:tcBorders>
            <w:shd w:val="clear" w:color="auto" w:fill="auto"/>
            <w:noWrap/>
            <w:vAlign w:val="bottom"/>
            <w:hideMark/>
          </w:tcPr>
          <w:p w14:paraId="02F4511C" w14:textId="77777777" w:rsidR="005A1C5E" w:rsidRPr="008E4EB0" w:rsidRDefault="005A1C5E" w:rsidP="00545FEF">
            <w:pPr>
              <w:keepNext/>
              <w:keepLines/>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0</w:t>
            </w:r>
          </w:p>
        </w:tc>
        <w:tc>
          <w:tcPr>
            <w:tcW w:w="1860" w:type="dxa"/>
            <w:tcBorders>
              <w:top w:val="nil"/>
              <w:left w:val="nil"/>
              <w:bottom w:val="single" w:sz="4" w:space="0" w:color="auto"/>
              <w:right w:val="single" w:sz="4" w:space="0" w:color="auto"/>
            </w:tcBorders>
            <w:shd w:val="clear" w:color="auto" w:fill="auto"/>
            <w:noWrap/>
            <w:vAlign w:val="bottom"/>
            <w:hideMark/>
          </w:tcPr>
          <w:p w14:paraId="71D857AA" w14:textId="77777777" w:rsidR="005A1C5E" w:rsidRPr="008E4EB0" w:rsidRDefault="005A1C5E" w:rsidP="00545FEF">
            <w:pPr>
              <w:keepNext/>
              <w:keepLines/>
              <w:spacing w:after="0" w:line="240" w:lineRule="auto"/>
              <w:jc w:val="center"/>
              <w:rPr>
                <w:rFonts w:ascii="Times New Roman" w:eastAsia="Calibri" w:hAnsi="Times New Roman" w:cs="Times New Roman"/>
                <w:bCs/>
                <w:sz w:val="20"/>
                <w:szCs w:val="20"/>
              </w:rPr>
            </w:pPr>
            <w:r w:rsidRPr="008E4EB0">
              <w:rPr>
                <w:rFonts w:ascii="Times New Roman" w:eastAsia="Calibri" w:hAnsi="Times New Roman" w:cs="Times New Roman"/>
                <w:bCs/>
                <w:sz w:val="20"/>
                <w:szCs w:val="20"/>
              </w:rPr>
              <w:t>11,3</w:t>
            </w:r>
          </w:p>
        </w:tc>
      </w:tr>
      <w:tr w:rsidR="005A1C5E" w:rsidRPr="008E4EB0" w14:paraId="5735FEB9" w14:textId="77777777" w:rsidTr="003207BB">
        <w:trPr>
          <w:trHeight w:val="170"/>
        </w:trPr>
        <w:tc>
          <w:tcPr>
            <w:tcW w:w="8788" w:type="dxa"/>
            <w:gridSpan w:val="4"/>
            <w:tcBorders>
              <w:top w:val="nil"/>
              <w:left w:val="single" w:sz="4" w:space="0" w:color="auto"/>
              <w:bottom w:val="single" w:sz="4" w:space="0" w:color="auto"/>
              <w:right w:val="single" w:sz="4" w:space="0" w:color="auto"/>
            </w:tcBorders>
            <w:shd w:val="clear" w:color="auto" w:fill="auto"/>
            <w:noWrap/>
            <w:vAlign w:val="bottom"/>
          </w:tcPr>
          <w:p w14:paraId="31F9CCE3" w14:textId="77777777" w:rsidR="005A1C5E" w:rsidRPr="008E4EB0" w:rsidRDefault="005A1C5E" w:rsidP="00545FEF">
            <w:pPr>
              <w:keepNext/>
              <w:keepLines/>
              <w:spacing w:after="0" w:line="240" w:lineRule="auto"/>
              <w:jc w:val="center"/>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Republikas nozīmes pilsētas</w:t>
            </w:r>
          </w:p>
        </w:tc>
      </w:tr>
      <w:tr w:rsidR="005A1C5E" w:rsidRPr="008E4EB0" w14:paraId="5CBB62D8" w14:textId="77777777" w:rsidTr="003207BB">
        <w:trPr>
          <w:trHeight w:val="17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4D79EC61" w14:textId="77777777" w:rsidR="005A1C5E" w:rsidRPr="008E4EB0" w:rsidRDefault="005A1C5E" w:rsidP="00545FEF">
            <w:pPr>
              <w:keepNext/>
              <w:keepLines/>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Rīga</w:t>
            </w:r>
          </w:p>
        </w:tc>
        <w:tc>
          <w:tcPr>
            <w:tcW w:w="2268" w:type="dxa"/>
            <w:tcBorders>
              <w:top w:val="nil"/>
              <w:left w:val="nil"/>
              <w:bottom w:val="single" w:sz="4" w:space="0" w:color="auto"/>
              <w:right w:val="single" w:sz="4" w:space="0" w:color="auto"/>
            </w:tcBorders>
            <w:shd w:val="clear" w:color="auto" w:fill="auto"/>
            <w:noWrap/>
            <w:vAlign w:val="bottom"/>
            <w:hideMark/>
          </w:tcPr>
          <w:p w14:paraId="596E11AA" w14:textId="77777777" w:rsidR="005A1C5E" w:rsidRPr="008E4EB0" w:rsidRDefault="005A1C5E" w:rsidP="00545FEF">
            <w:pPr>
              <w:keepNext/>
              <w:keepLines/>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14</w:t>
            </w:r>
          </w:p>
        </w:tc>
        <w:tc>
          <w:tcPr>
            <w:tcW w:w="2250" w:type="dxa"/>
            <w:tcBorders>
              <w:top w:val="nil"/>
              <w:left w:val="nil"/>
              <w:bottom w:val="single" w:sz="4" w:space="0" w:color="auto"/>
              <w:right w:val="single" w:sz="4" w:space="0" w:color="auto"/>
            </w:tcBorders>
            <w:shd w:val="clear" w:color="auto" w:fill="auto"/>
            <w:noWrap/>
            <w:vAlign w:val="bottom"/>
            <w:hideMark/>
          </w:tcPr>
          <w:p w14:paraId="6EA88B16" w14:textId="77777777" w:rsidR="005A1C5E" w:rsidRPr="008E4EB0" w:rsidRDefault="005A1C5E" w:rsidP="00545FEF">
            <w:pPr>
              <w:keepNext/>
              <w:keepLines/>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54,7</w:t>
            </w:r>
          </w:p>
        </w:tc>
        <w:tc>
          <w:tcPr>
            <w:tcW w:w="1860" w:type="dxa"/>
            <w:tcBorders>
              <w:top w:val="nil"/>
              <w:left w:val="nil"/>
              <w:bottom w:val="single" w:sz="4" w:space="0" w:color="auto"/>
              <w:right w:val="single" w:sz="4" w:space="0" w:color="auto"/>
            </w:tcBorders>
            <w:shd w:val="clear" w:color="auto" w:fill="auto"/>
            <w:noWrap/>
            <w:vAlign w:val="bottom"/>
            <w:hideMark/>
          </w:tcPr>
          <w:p w14:paraId="52ECAD26" w14:textId="77777777" w:rsidR="005A1C5E" w:rsidRPr="008E4EB0" w:rsidRDefault="005A1C5E" w:rsidP="00545FEF">
            <w:pPr>
              <w:keepNext/>
              <w:keepLines/>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68,7</w:t>
            </w:r>
          </w:p>
        </w:tc>
      </w:tr>
      <w:tr w:rsidR="005A1C5E" w:rsidRPr="008E4EB0" w14:paraId="58510814" w14:textId="77777777" w:rsidTr="003207BB">
        <w:trPr>
          <w:trHeight w:val="17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1BCBE2B8" w14:textId="77777777" w:rsidR="005A1C5E" w:rsidRPr="008E4EB0" w:rsidRDefault="005A1C5E" w:rsidP="00545FEF">
            <w:pPr>
              <w:keepNext/>
              <w:keepLines/>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Daugavpils</w:t>
            </w:r>
          </w:p>
        </w:tc>
        <w:tc>
          <w:tcPr>
            <w:tcW w:w="2268" w:type="dxa"/>
            <w:tcBorders>
              <w:top w:val="nil"/>
              <w:left w:val="nil"/>
              <w:bottom w:val="single" w:sz="4" w:space="0" w:color="auto"/>
              <w:right w:val="single" w:sz="4" w:space="0" w:color="auto"/>
            </w:tcBorders>
            <w:shd w:val="clear" w:color="auto" w:fill="auto"/>
            <w:noWrap/>
            <w:vAlign w:val="bottom"/>
            <w:hideMark/>
          </w:tcPr>
          <w:p w14:paraId="77C5760C" w14:textId="77777777" w:rsidR="005A1C5E" w:rsidRPr="008E4EB0" w:rsidRDefault="005A1C5E" w:rsidP="00545FEF">
            <w:pPr>
              <w:keepNext/>
              <w:keepLines/>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0,6</w:t>
            </w:r>
          </w:p>
        </w:tc>
        <w:tc>
          <w:tcPr>
            <w:tcW w:w="2250" w:type="dxa"/>
            <w:tcBorders>
              <w:top w:val="nil"/>
              <w:left w:val="nil"/>
              <w:bottom w:val="single" w:sz="4" w:space="0" w:color="auto"/>
              <w:right w:val="single" w:sz="4" w:space="0" w:color="auto"/>
            </w:tcBorders>
            <w:shd w:val="clear" w:color="auto" w:fill="auto"/>
            <w:noWrap/>
            <w:vAlign w:val="bottom"/>
            <w:hideMark/>
          </w:tcPr>
          <w:p w14:paraId="6D4E95F4" w14:textId="77777777" w:rsidR="005A1C5E" w:rsidRPr="008E4EB0" w:rsidRDefault="005A1C5E" w:rsidP="00545FEF">
            <w:pPr>
              <w:keepNext/>
              <w:keepLines/>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0</w:t>
            </w:r>
          </w:p>
        </w:tc>
        <w:tc>
          <w:tcPr>
            <w:tcW w:w="1860" w:type="dxa"/>
            <w:tcBorders>
              <w:top w:val="nil"/>
              <w:left w:val="nil"/>
              <w:bottom w:val="single" w:sz="4" w:space="0" w:color="auto"/>
              <w:right w:val="single" w:sz="4" w:space="0" w:color="auto"/>
            </w:tcBorders>
            <w:shd w:val="clear" w:color="auto" w:fill="auto"/>
            <w:noWrap/>
            <w:vAlign w:val="bottom"/>
            <w:hideMark/>
          </w:tcPr>
          <w:p w14:paraId="7ADBAB8C" w14:textId="77777777" w:rsidR="005A1C5E" w:rsidRPr="008E4EB0" w:rsidRDefault="005A1C5E" w:rsidP="00545FEF">
            <w:pPr>
              <w:keepNext/>
              <w:keepLines/>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0,6</w:t>
            </w:r>
          </w:p>
        </w:tc>
      </w:tr>
      <w:tr w:rsidR="005A1C5E" w:rsidRPr="008E4EB0" w14:paraId="1D39D397" w14:textId="77777777" w:rsidTr="003207BB">
        <w:trPr>
          <w:trHeight w:val="17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37AFC899" w14:textId="77777777" w:rsidR="005A1C5E" w:rsidRPr="008E4EB0" w:rsidRDefault="005A1C5E" w:rsidP="00545FEF">
            <w:pPr>
              <w:keepNext/>
              <w:keepLines/>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Jelgava</w:t>
            </w:r>
          </w:p>
        </w:tc>
        <w:tc>
          <w:tcPr>
            <w:tcW w:w="2268" w:type="dxa"/>
            <w:tcBorders>
              <w:top w:val="nil"/>
              <w:left w:val="nil"/>
              <w:bottom w:val="single" w:sz="4" w:space="0" w:color="auto"/>
              <w:right w:val="single" w:sz="4" w:space="0" w:color="auto"/>
            </w:tcBorders>
            <w:shd w:val="clear" w:color="auto" w:fill="auto"/>
            <w:noWrap/>
            <w:vAlign w:val="bottom"/>
            <w:hideMark/>
          </w:tcPr>
          <w:p w14:paraId="6DAF6D8C" w14:textId="77777777" w:rsidR="005A1C5E" w:rsidRPr="008E4EB0" w:rsidRDefault="005A1C5E" w:rsidP="00545FEF">
            <w:pPr>
              <w:keepNext/>
              <w:keepLines/>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11,6</w:t>
            </w:r>
          </w:p>
        </w:tc>
        <w:tc>
          <w:tcPr>
            <w:tcW w:w="2250" w:type="dxa"/>
            <w:tcBorders>
              <w:top w:val="nil"/>
              <w:left w:val="nil"/>
              <w:bottom w:val="single" w:sz="4" w:space="0" w:color="auto"/>
              <w:right w:val="single" w:sz="4" w:space="0" w:color="auto"/>
            </w:tcBorders>
            <w:shd w:val="clear" w:color="auto" w:fill="auto"/>
            <w:noWrap/>
            <w:vAlign w:val="bottom"/>
            <w:hideMark/>
          </w:tcPr>
          <w:p w14:paraId="7E0A7723" w14:textId="77777777" w:rsidR="005A1C5E" w:rsidRPr="008E4EB0" w:rsidRDefault="005A1C5E" w:rsidP="00545FEF">
            <w:pPr>
              <w:keepNext/>
              <w:keepLines/>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0</w:t>
            </w:r>
          </w:p>
        </w:tc>
        <w:tc>
          <w:tcPr>
            <w:tcW w:w="1860" w:type="dxa"/>
            <w:tcBorders>
              <w:top w:val="nil"/>
              <w:left w:val="nil"/>
              <w:bottom w:val="single" w:sz="4" w:space="0" w:color="auto"/>
              <w:right w:val="single" w:sz="4" w:space="0" w:color="auto"/>
            </w:tcBorders>
            <w:shd w:val="clear" w:color="auto" w:fill="auto"/>
            <w:noWrap/>
            <w:vAlign w:val="bottom"/>
            <w:hideMark/>
          </w:tcPr>
          <w:p w14:paraId="72896D7A" w14:textId="77777777" w:rsidR="005A1C5E" w:rsidRPr="008E4EB0" w:rsidRDefault="005A1C5E" w:rsidP="00545FEF">
            <w:pPr>
              <w:keepNext/>
              <w:keepLines/>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11,6</w:t>
            </w:r>
          </w:p>
        </w:tc>
      </w:tr>
      <w:tr w:rsidR="005A1C5E" w:rsidRPr="008E4EB0" w14:paraId="28F860D5" w14:textId="77777777" w:rsidTr="003207BB">
        <w:trPr>
          <w:trHeight w:val="17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4E76FB7B" w14:textId="77777777" w:rsidR="005A1C5E" w:rsidRPr="008E4EB0" w:rsidRDefault="005A1C5E" w:rsidP="00545FEF">
            <w:pPr>
              <w:keepNext/>
              <w:keepLines/>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Jūrmala</w:t>
            </w:r>
          </w:p>
        </w:tc>
        <w:tc>
          <w:tcPr>
            <w:tcW w:w="2268" w:type="dxa"/>
            <w:tcBorders>
              <w:top w:val="nil"/>
              <w:left w:val="nil"/>
              <w:bottom w:val="single" w:sz="4" w:space="0" w:color="auto"/>
              <w:right w:val="single" w:sz="4" w:space="0" w:color="auto"/>
            </w:tcBorders>
            <w:shd w:val="clear" w:color="auto" w:fill="auto"/>
            <w:noWrap/>
            <w:vAlign w:val="bottom"/>
            <w:hideMark/>
          </w:tcPr>
          <w:p w14:paraId="459A7D4B" w14:textId="77777777" w:rsidR="005A1C5E" w:rsidRPr="008E4EB0" w:rsidRDefault="005A1C5E" w:rsidP="00545FEF">
            <w:pPr>
              <w:keepNext/>
              <w:keepLines/>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14</w:t>
            </w:r>
          </w:p>
        </w:tc>
        <w:tc>
          <w:tcPr>
            <w:tcW w:w="2250" w:type="dxa"/>
            <w:tcBorders>
              <w:top w:val="nil"/>
              <w:left w:val="nil"/>
              <w:bottom w:val="single" w:sz="4" w:space="0" w:color="auto"/>
              <w:right w:val="single" w:sz="4" w:space="0" w:color="auto"/>
            </w:tcBorders>
            <w:shd w:val="clear" w:color="auto" w:fill="auto"/>
            <w:noWrap/>
            <w:vAlign w:val="bottom"/>
            <w:hideMark/>
          </w:tcPr>
          <w:p w14:paraId="52C57765" w14:textId="77777777" w:rsidR="005A1C5E" w:rsidRPr="008E4EB0" w:rsidRDefault="005A1C5E" w:rsidP="00545FEF">
            <w:pPr>
              <w:keepNext/>
              <w:keepLines/>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8,4</w:t>
            </w:r>
          </w:p>
        </w:tc>
        <w:tc>
          <w:tcPr>
            <w:tcW w:w="1860" w:type="dxa"/>
            <w:tcBorders>
              <w:top w:val="nil"/>
              <w:left w:val="nil"/>
              <w:bottom w:val="single" w:sz="4" w:space="0" w:color="auto"/>
              <w:right w:val="single" w:sz="4" w:space="0" w:color="auto"/>
            </w:tcBorders>
            <w:shd w:val="clear" w:color="auto" w:fill="auto"/>
            <w:noWrap/>
            <w:vAlign w:val="bottom"/>
            <w:hideMark/>
          </w:tcPr>
          <w:p w14:paraId="7C822CAA" w14:textId="77777777" w:rsidR="005A1C5E" w:rsidRPr="008E4EB0" w:rsidRDefault="005A1C5E" w:rsidP="00545FEF">
            <w:pPr>
              <w:keepNext/>
              <w:keepLines/>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22,4</w:t>
            </w:r>
          </w:p>
        </w:tc>
      </w:tr>
      <w:tr w:rsidR="005A1C5E" w:rsidRPr="008E4EB0" w14:paraId="2B30F580" w14:textId="77777777" w:rsidTr="003207BB">
        <w:trPr>
          <w:trHeight w:val="17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5BA79495" w14:textId="77777777" w:rsidR="005A1C5E" w:rsidRPr="008E4EB0" w:rsidRDefault="005A1C5E" w:rsidP="00545FEF">
            <w:pPr>
              <w:keepNext/>
              <w:keepLines/>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Liepāja</w:t>
            </w:r>
          </w:p>
        </w:tc>
        <w:tc>
          <w:tcPr>
            <w:tcW w:w="2268" w:type="dxa"/>
            <w:tcBorders>
              <w:top w:val="nil"/>
              <w:left w:val="nil"/>
              <w:bottom w:val="single" w:sz="4" w:space="0" w:color="auto"/>
              <w:right w:val="single" w:sz="4" w:space="0" w:color="auto"/>
            </w:tcBorders>
            <w:shd w:val="clear" w:color="auto" w:fill="auto"/>
            <w:noWrap/>
            <w:vAlign w:val="bottom"/>
            <w:hideMark/>
          </w:tcPr>
          <w:p w14:paraId="46FC03BA" w14:textId="77777777" w:rsidR="005A1C5E" w:rsidRPr="008E4EB0" w:rsidRDefault="005A1C5E" w:rsidP="00545FEF">
            <w:pPr>
              <w:keepNext/>
              <w:keepLines/>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0,6</w:t>
            </w:r>
          </w:p>
        </w:tc>
        <w:tc>
          <w:tcPr>
            <w:tcW w:w="2250" w:type="dxa"/>
            <w:tcBorders>
              <w:top w:val="nil"/>
              <w:left w:val="nil"/>
              <w:bottom w:val="single" w:sz="4" w:space="0" w:color="auto"/>
              <w:right w:val="single" w:sz="4" w:space="0" w:color="auto"/>
            </w:tcBorders>
            <w:shd w:val="clear" w:color="auto" w:fill="auto"/>
            <w:noWrap/>
            <w:vAlign w:val="bottom"/>
            <w:hideMark/>
          </w:tcPr>
          <w:p w14:paraId="4D27CA1D" w14:textId="77777777" w:rsidR="005A1C5E" w:rsidRPr="008E4EB0" w:rsidRDefault="005A1C5E" w:rsidP="00545FEF">
            <w:pPr>
              <w:keepNext/>
              <w:keepLines/>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0</w:t>
            </w:r>
          </w:p>
        </w:tc>
        <w:tc>
          <w:tcPr>
            <w:tcW w:w="1860" w:type="dxa"/>
            <w:tcBorders>
              <w:top w:val="nil"/>
              <w:left w:val="nil"/>
              <w:bottom w:val="single" w:sz="4" w:space="0" w:color="auto"/>
              <w:right w:val="single" w:sz="4" w:space="0" w:color="auto"/>
            </w:tcBorders>
            <w:shd w:val="clear" w:color="auto" w:fill="auto"/>
            <w:noWrap/>
            <w:vAlign w:val="bottom"/>
            <w:hideMark/>
          </w:tcPr>
          <w:p w14:paraId="0A81A8AF" w14:textId="77777777" w:rsidR="005A1C5E" w:rsidRPr="008E4EB0" w:rsidRDefault="005A1C5E" w:rsidP="00545FEF">
            <w:pPr>
              <w:keepNext/>
              <w:keepLines/>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0,6</w:t>
            </w:r>
          </w:p>
        </w:tc>
      </w:tr>
      <w:tr w:rsidR="005A1C5E" w:rsidRPr="008E4EB0" w14:paraId="5BDFEF7A" w14:textId="77777777" w:rsidTr="003207BB">
        <w:trPr>
          <w:trHeight w:val="17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1047049F" w14:textId="77777777" w:rsidR="005A1C5E" w:rsidRPr="008E4EB0" w:rsidRDefault="005A1C5E" w:rsidP="00545FEF">
            <w:pPr>
              <w:keepNext/>
              <w:keepLines/>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Rēzekne</w:t>
            </w:r>
          </w:p>
        </w:tc>
        <w:tc>
          <w:tcPr>
            <w:tcW w:w="2268" w:type="dxa"/>
            <w:tcBorders>
              <w:top w:val="nil"/>
              <w:left w:val="nil"/>
              <w:bottom w:val="single" w:sz="4" w:space="0" w:color="auto"/>
              <w:right w:val="single" w:sz="4" w:space="0" w:color="auto"/>
            </w:tcBorders>
            <w:shd w:val="clear" w:color="auto" w:fill="auto"/>
            <w:noWrap/>
            <w:vAlign w:val="bottom"/>
            <w:hideMark/>
          </w:tcPr>
          <w:p w14:paraId="0F89086E" w14:textId="77777777" w:rsidR="005A1C5E" w:rsidRPr="008E4EB0" w:rsidRDefault="005A1C5E" w:rsidP="00545FEF">
            <w:pPr>
              <w:keepNext/>
              <w:keepLines/>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0,8</w:t>
            </w:r>
          </w:p>
        </w:tc>
        <w:tc>
          <w:tcPr>
            <w:tcW w:w="2250" w:type="dxa"/>
            <w:tcBorders>
              <w:top w:val="nil"/>
              <w:left w:val="nil"/>
              <w:bottom w:val="single" w:sz="4" w:space="0" w:color="auto"/>
              <w:right w:val="single" w:sz="4" w:space="0" w:color="auto"/>
            </w:tcBorders>
            <w:shd w:val="clear" w:color="auto" w:fill="auto"/>
            <w:noWrap/>
            <w:vAlign w:val="bottom"/>
            <w:hideMark/>
          </w:tcPr>
          <w:p w14:paraId="17150E13" w14:textId="77777777" w:rsidR="005A1C5E" w:rsidRPr="008E4EB0" w:rsidRDefault="005A1C5E" w:rsidP="00545FEF">
            <w:pPr>
              <w:keepNext/>
              <w:keepLines/>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0</w:t>
            </w:r>
          </w:p>
        </w:tc>
        <w:tc>
          <w:tcPr>
            <w:tcW w:w="1860" w:type="dxa"/>
            <w:tcBorders>
              <w:top w:val="nil"/>
              <w:left w:val="nil"/>
              <w:bottom w:val="single" w:sz="4" w:space="0" w:color="auto"/>
              <w:right w:val="single" w:sz="4" w:space="0" w:color="auto"/>
            </w:tcBorders>
            <w:shd w:val="clear" w:color="auto" w:fill="auto"/>
            <w:noWrap/>
            <w:vAlign w:val="bottom"/>
            <w:hideMark/>
          </w:tcPr>
          <w:p w14:paraId="1DC9A587" w14:textId="77777777" w:rsidR="005A1C5E" w:rsidRPr="008E4EB0" w:rsidRDefault="005A1C5E" w:rsidP="00545FEF">
            <w:pPr>
              <w:keepNext/>
              <w:keepLines/>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0,8</w:t>
            </w:r>
          </w:p>
        </w:tc>
      </w:tr>
      <w:tr w:rsidR="005A1C5E" w:rsidRPr="008E4EB0" w14:paraId="423F3A35" w14:textId="77777777" w:rsidTr="003207BB">
        <w:trPr>
          <w:trHeight w:val="17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38F30771" w14:textId="77777777" w:rsidR="005A1C5E" w:rsidRPr="008E4EB0" w:rsidRDefault="005A1C5E" w:rsidP="00545FEF">
            <w:pPr>
              <w:keepNext/>
              <w:keepLines/>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Ventspils</w:t>
            </w:r>
          </w:p>
        </w:tc>
        <w:tc>
          <w:tcPr>
            <w:tcW w:w="2268" w:type="dxa"/>
            <w:tcBorders>
              <w:top w:val="nil"/>
              <w:left w:val="nil"/>
              <w:bottom w:val="single" w:sz="4" w:space="0" w:color="auto"/>
              <w:right w:val="single" w:sz="4" w:space="0" w:color="auto"/>
            </w:tcBorders>
            <w:shd w:val="clear" w:color="auto" w:fill="auto"/>
            <w:noWrap/>
            <w:vAlign w:val="bottom"/>
            <w:hideMark/>
          </w:tcPr>
          <w:p w14:paraId="5E715802" w14:textId="77777777" w:rsidR="005A1C5E" w:rsidRPr="008E4EB0" w:rsidRDefault="005A1C5E" w:rsidP="00545FEF">
            <w:pPr>
              <w:keepNext/>
              <w:keepLines/>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3,6</w:t>
            </w:r>
          </w:p>
        </w:tc>
        <w:tc>
          <w:tcPr>
            <w:tcW w:w="2250" w:type="dxa"/>
            <w:tcBorders>
              <w:top w:val="nil"/>
              <w:left w:val="nil"/>
              <w:bottom w:val="single" w:sz="4" w:space="0" w:color="auto"/>
              <w:right w:val="single" w:sz="4" w:space="0" w:color="auto"/>
            </w:tcBorders>
            <w:shd w:val="clear" w:color="auto" w:fill="auto"/>
            <w:noWrap/>
            <w:vAlign w:val="bottom"/>
            <w:hideMark/>
          </w:tcPr>
          <w:p w14:paraId="3D4A3C63" w14:textId="77777777" w:rsidR="005A1C5E" w:rsidRPr="008E4EB0" w:rsidRDefault="005A1C5E" w:rsidP="00545FEF">
            <w:pPr>
              <w:keepNext/>
              <w:keepLines/>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0</w:t>
            </w:r>
          </w:p>
        </w:tc>
        <w:tc>
          <w:tcPr>
            <w:tcW w:w="1860" w:type="dxa"/>
            <w:tcBorders>
              <w:top w:val="nil"/>
              <w:left w:val="nil"/>
              <w:bottom w:val="single" w:sz="4" w:space="0" w:color="auto"/>
              <w:right w:val="single" w:sz="4" w:space="0" w:color="auto"/>
            </w:tcBorders>
            <w:shd w:val="clear" w:color="auto" w:fill="auto"/>
            <w:noWrap/>
            <w:vAlign w:val="bottom"/>
            <w:hideMark/>
          </w:tcPr>
          <w:p w14:paraId="63FB7EE0" w14:textId="77777777" w:rsidR="005A1C5E" w:rsidRPr="008E4EB0" w:rsidRDefault="005A1C5E" w:rsidP="00545FEF">
            <w:pPr>
              <w:keepNext/>
              <w:keepLines/>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3,6</w:t>
            </w:r>
          </w:p>
        </w:tc>
      </w:tr>
      <w:tr w:rsidR="005A1C5E" w:rsidRPr="008E4EB0" w14:paraId="745245B1" w14:textId="77777777" w:rsidTr="003207BB">
        <w:trPr>
          <w:trHeight w:val="17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0EA8CD23" w14:textId="77777777" w:rsidR="005A1C5E" w:rsidRPr="008E4EB0" w:rsidRDefault="005A1C5E" w:rsidP="00545FEF">
            <w:pPr>
              <w:keepNext/>
              <w:keepLines/>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Jēkabpils</w:t>
            </w:r>
          </w:p>
        </w:tc>
        <w:tc>
          <w:tcPr>
            <w:tcW w:w="2268" w:type="dxa"/>
            <w:tcBorders>
              <w:top w:val="nil"/>
              <w:left w:val="nil"/>
              <w:bottom w:val="single" w:sz="4" w:space="0" w:color="auto"/>
              <w:right w:val="single" w:sz="4" w:space="0" w:color="auto"/>
            </w:tcBorders>
            <w:shd w:val="clear" w:color="auto" w:fill="auto"/>
            <w:noWrap/>
            <w:vAlign w:val="bottom"/>
            <w:hideMark/>
          </w:tcPr>
          <w:p w14:paraId="7CD26EEF" w14:textId="77777777" w:rsidR="005A1C5E" w:rsidRPr="008E4EB0" w:rsidRDefault="005A1C5E" w:rsidP="00545FEF">
            <w:pPr>
              <w:keepNext/>
              <w:keepLines/>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1,9</w:t>
            </w:r>
          </w:p>
        </w:tc>
        <w:tc>
          <w:tcPr>
            <w:tcW w:w="2250" w:type="dxa"/>
            <w:tcBorders>
              <w:top w:val="nil"/>
              <w:left w:val="nil"/>
              <w:bottom w:val="single" w:sz="4" w:space="0" w:color="auto"/>
              <w:right w:val="single" w:sz="4" w:space="0" w:color="auto"/>
            </w:tcBorders>
            <w:shd w:val="clear" w:color="auto" w:fill="auto"/>
            <w:noWrap/>
            <w:vAlign w:val="bottom"/>
            <w:hideMark/>
          </w:tcPr>
          <w:p w14:paraId="2FF6C202" w14:textId="77777777" w:rsidR="005A1C5E" w:rsidRPr="008E4EB0" w:rsidRDefault="005A1C5E" w:rsidP="00545FEF">
            <w:pPr>
              <w:keepNext/>
              <w:keepLines/>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0</w:t>
            </w:r>
          </w:p>
        </w:tc>
        <w:tc>
          <w:tcPr>
            <w:tcW w:w="1860" w:type="dxa"/>
            <w:tcBorders>
              <w:top w:val="nil"/>
              <w:left w:val="nil"/>
              <w:bottom w:val="single" w:sz="4" w:space="0" w:color="auto"/>
              <w:right w:val="single" w:sz="4" w:space="0" w:color="auto"/>
            </w:tcBorders>
            <w:shd w:val="clear" w:color="auto" w:fill="auto"/>
            <w:noWrap/>
            <w:vAlign w:val="bottom"/>
            <w:hideMark/>
          </w:tcPr>
          <w:p w14:paraId="287D91E2" w14:textId="77777777" w:rsidR="005A1C5E" w:rsidRPr="008E4EB0" w:rsidRDefault="005A1C5E" w:rsidP="00545FEF">
            <w:pPr>
              <w:keepNext/>
              <w:keepLines/>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1,9</w:t>
            </w:r>
          </w:p>
        </w:tc>
      </w:tr>
      <w:tr w:rsidR="005A1C5E" w:rsidRPr="008E4EB0" w14:paraId="714BB855" w14:textId="77777777" w:rsidTr="003207BB">
        <w:trPr>
          <w:trHeight w:val="17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13489928" w14:textId="77777777" w:rsidR="005A1C5E" w:rsidRPr="008E4EB0" w:rsidRDefault="005A1C5E" w:rsidP="00545FEF">
            <w:pPr>
              <w:keepNext/>
              <w:keepLines/>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Valmiera</w:t>
            </w:r>
          </w:p>
        </w:tc>
        <w:tc>
          <w:tcPr>
            <w:tcW w:w="2268" w:type="dxa"/>
            <w:tcBorders>
              <w:top w:val="nil"/>
              <w:left w:val="nil"/>
              <w:bottom w:val="single" w:sz="4" w:space="0" w:color="auto"/>
              <w:right w:val="single" w:sz="4" w:space="0" w:color="auto"/>
            </w:tcBorders>
            <w:shd w:val="clear" w:color="auto" w:fill="auto"/>
            <w:noWrap/>
            <w:vAlign w:val="bottom"/>
            <w:hideMark/>
          </w:tcPr>
          <w:p w14:paraId="63283EC3" w14:textId="77777777" w:rsidR="005A1C5E" w:rsidRPr="008E4EB0" w:rsidRDefault="005A1C5E" w:rsidP="00545FEF">
            <w:pPr>
              <w:keepNext/>
              <w:keepLines/>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1,3</w:t>
            </w:r>
          </w:p>
        </w:tc>
        <w:tc>
          <w:tcPr>
            <w:tcW w:w="2250" w:type="dxa"/>
            <w:tcBorders>
              <w:top w:val="nil"/>
              <w:left w:val="nil"/>
              <w:bottom w:val="single" w:sz="4" w:space="0" w:color="auto"/>
              <w:right w:val="single" w:sz="4" w:space="0" w:color="auto"/>
            </w:tcBorders>
            <w:shd w:val="clear" w:color="auto" w:fill="auto"/>
            <w:noWrap/>
            <w:vAlign w:val="bottom"/>
            <w:hideMark/>
          </w:tcPr>
          <w:p w14:paraId="19FCB7A0" w14:textId="77777777" w:rsidR="005A1C5E" w:rsidRPr="008E4EB0" w:rsidRDefault="005A1C5E" w:rsidP="00545FEF">
            <w:pPr>
              <w:keepNext/>
              <w:keepLines/>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0</w:t>
            </w:r>
          </w:p>
        </w:tc>
        <w:tc>
          <w:tcPr>
            <w:tcW w:w="1860" w:type="dxa"/>
            <w:tcBorders>
              <w:top w:val="nil"/>
              <w:left w:val="nil"/>
              <w:bottom w:val="single" w:sz="4" w:space="0" w:color="auto"/>
              <w:right w:val="single" w:sz="4" w:space="0" w:color="auto"/>
            </w:tcBorders>
            <w:shd w:val="clear" w:color="auto" w:fill="auto"/>
            <w:noWrap/>
            <w:vAlign w:val="bottom"/>
            <w:hideMark/>
          </w:tcPr>
          <w:p w14:paraId="0F1D4779" w14:textId="77777777" w:rsidR="005A1C5E" w:rsidRPr="008E4EB0" w:rsidRDefault="005A1C5E" w:rsidP="00545FEF">
            <w:pPr>
              <w:keepNext/>
              <w:keepLines/>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1,3</w:t>
            </w:r>
          </w:p>
        </w:tc>
      </w:tr>
    </w:tbl>
    <w:p w14:paraId="4DCA8485" w14:textId="77777777" w:rsidR="005A1C5E" w:rsidRPr="008E4EB0" w:rsidRDefault="005A1C5E" w:rsidP="005A1C5E">
      <w:pPr>
        <w:spacing w:after="0" w:line="276" w:lineRule="auto"/>
        <w:jc w:val="both"/>
        <w:rPr>
          <w:rFonts w:ascii="Times New Roman" w:hAnsi="Times New Roman" w:cs="Times New Roman"/>
          <w:sz w:val="24"/>
          <w:szCs w:val="24"/>
        </w:rPr>
      </w:pPr>
    </w:p>
    <w:p w14:paraId="6D4AB9FB" w14:textId="77777777" w:rsidR="005A1C5E" w:rsidRPr="008E4EB0" w:rsidRDefault="005A1C5E" w:rsidP="005A1C5E">
      <w:pPr>
        <w:spacing w:after="0" w:line="276" w:lineRule="auto"/>
        <w:jc w:val="both"/>
        <w:rPr>
          <w:rFonts w:ascii="Times New Roman" w:hAnsi="Times New Roman" w:cs="Times New Roman"/>
          <w:sz w:val="24"/>
          <w:szCs w:val="24"/>
        </w:rPr>
      </w:pPr>
    </w:p>
    <w:p w14:paraId="3B9D1402" w14:textId="546D9370" w:rsidR="00990903" w:rsidRPr="008E4EB0" w:rsidRDefault="00990903" w:rsidP="00D64CF6">
      <w:pPr>
        <w:pStyle w:val="apakvirsraksts"/>
      </w:pPr>
      <w:bookmarkStart w:id="20" w:name="_Toc480527208"/>
      <w:bookmarkStart w:id="21" w:name="_Toc480527951"/>
      <w:bookmarkStart w:id="22" w:name="_Toc480528276"/>
      <w:bookmarkStart w:id="23" w:name="_Toc480528390"/>
      <w:bookmarkStart w:id="24" w:name="_Toc480528499"/>
      <w:bookmarkStart w:id="25" w:name="_Toc480529307"/>
      <w:bookmarkStart w:id="26" w:name="_Toc480529380"/>
      <w:bookmarkStart w:id="27" w:name="_Toc480527952"/>
      <w:bookmarkStart w:id="28" w:name="_Toc491870904"/>
      <w:bookmarkEnd w:id="20"/>
      <w:bookmarkEnd w:id="21"/>
      <w:bookmarkEnd w:id="22"/>
      <w:bookmarkEnd w:id="23"/>
      <w:bookmarkEnd w:id="24"/>
      <w:bookmarkEnd w:id="25"/>
      <w:bookmarkEnd w:id="26"/>
      <w:r w:rsidRPr="008E4EB0">
        <w:lastRenderedPageBreak/>
        <w:t>Enerģijas izmantošanas un lietderības raksturlielumi katrai ēku kombinācijai</w:t>
      </w:r>
      <w:bookmarkEnd w:id="27"/>
      <w:bookmarkEnd w:id="28"/>
    </w:p>
    <w:p w14:paraId="14155C08" w14:textId="5DE80F2C" w:rsidR="00990903" w:rsidRPr="008E4EB0" w:rsidRDefault="00990903" w:rsidP="00D82FCF">
      <w:pPr>
        <w:pStyle w:val="apakapakvirsraksts"/>
      </w:pPr>
      <w:bookmarkStart w:id="29" w:name="_Toc480527953"/>
      <w:bookmarkStart w:id="30" w:name="_Toc491870905"/>
      <w:r w:rsidRPr="008E4EB0">
        <w:t>Ēkas galveno elementu izbūves veids un U vērtība</w:t>
      </w:r>
      <w:bookmarkEnd w:id="29"/>
      <w:bookmarkEnd w:id="30"/>
    </w:p>
    <w:p w14:paraId="4FC803E4" w14:textId="77777777" w:rsidR="005A1C5E" w:rsidRPr="008E4EB0" w:rsidRDefault="005A1C5E" w:rsidP="005A1C5E">
      <w:pPr>
        <w:spacing w:after="0" w:line="276" w:lineRule="auto"/>
        <w:jc w:val="both"/>
        <w:rPr>
          <w:rFonts w:ascii="Times New Roman" w:hAnsi="Times New Roman" w:cs="Times New Roman"/>
          <w:sz w:val="24"/>
          <w:szCs w:val="24"/>
        </w:rPr>
      </w:pPr>
    </w:p>
    <w:p w14:paraId="6AB87F60" w14:textId="77777777" w:rsidR="005A1C5E" w:rsidRPr="008E4EB0" w:rsidRDefault="005A1C5E" w:rsidP="005A1C5E">
      <w:pPr>
        <w:keepLines/>
        <w:spacing w:after="0" w:line="240" w:lineRule="auto"/>
        <w:ind w:firstLine="851"/>
        <w:contextualSpacing/>
        <w:jc w:val="both"/>
        <w:rPr>
          <w:rFonts w:ascii="Times New Roman" w:eastAsia="Calibri" w:hAnsi="Times New Roman" w:cs="Times New Roman"/>
          <w:sz w:val="24"/>
          <w:szCs w:val="24"/>
          <w:lang w:eastAsia="lv-LV"/>
        </w:rPr>
      </w:pPr>
      <w:r w:rsidRPr="008E4EB0">
        <w:rPr>
          <w:rFonts w:ascii="Times New Roman" w:eastAsia="Calibri" w:hAnsi="Times New Roman" w:cs="Times New Roman"/>
          <w:sz w:val="24"/>
          <w:szCs w:val="24"/>
          <w:lang w:eastAsia="lv-LV"/>
        </w:rPr>
        <w:t xml:space="preserve">Raksturojot un analizējot dažādu ēkas parametru kombinācijas būvniecības laikā, ir svarīgi ņemt vērā Ēku norobežojošo konstrukciju siltumtehnisko normatīvo prasības un to izmaiņas. </w:t>
      </w:r>
    </w:p>
    <w:p w14:paraId="42FB81A8" w14:textId="6AC2F4F0" w:rsidR="005A1C5E" w:rsidRPr="008E4EB0" w:rsidRDefault="005A1C5E" w:rsidP="005A1C5E">
      <w:pPr>
        <w:keepLines/>
        <w:spacing w:after="0" w:line="240" w:lineRule="auto"/>
        <w:ind w:firstLine="851"/>
        <w:contextualSpacing/>
        <w:jc w:val="both"/>
        <w:rPr>
          <w:rFonts w:ascii="Times New Roman" w:eastAsia="Calibri" w:hAnsi="Times New Roman" w:cs="Times New Roman"/>
          <w:sz w:val="24"/>
          <w:szCs w:val="24"/>
          <w:lang w:eastAsia="lv-LV"/>
        </w:rPr>
      </w:pPr>
      <w:r w:rsidRPr="008E4EB0">
        <w:rPr>
          <w:rFonts w:ascii="Times New Roman" w:eastAsia="Calibri" w:hAnsi="Times New Roman" w:cs="Times New Roman"/>
          <w:sz w:val="24"/>
          <w:szCs w:val="24"/>
          <w:lang w:eastAsia="lv-LV"/>
        </w:rPr>
        <w:t xml:space="preserve"> Ēku norobežojošo konstrukciju siltumtehnisko normatīvo prasību izmaiņas kopš 1980. gada norādītas </w:t>
      </w:r>
      <w:r w:rsidR="004F1BD3">
        <w:rPr>
          <w:rFonts w:ascii="Times New Roman" w:eastAsia="Calibri" w:hAnsi="Times New Roman" w:cs="Times New Roman"/>
          <w:sz w:val="24"/>
          <w:szCs w:val="24"/>
          <w:lang w:eastAsia="lv-LV"/>
        </w:rPr>
        <w:t>6</w:t>
      </w:r>
      <w:r w:rsidRPr="008E4EB0">
        <w:rPr>
          <w:rFonts w:ascii="Times New Roman" w:eastAsia="Calibri" w:hAnsi="Times New Roman" w:cs="Times New Roman"/>
          <w:sz w:val="24"/>
          <w:szCs w:val="24"/>
          <w:lang w:eastAsia="lv-LV"/>
        </w:rPr>
        <w:t xml:space="preserve">. tabulā, kā arī atsevišķu prasību salīdzinājums apkopots – </w:t>
      </w:r>
      <w:r w:rsidR="001740B7" w:rsidRPr="008E4EB0">
        <w:rPr>
          <w:rFonts w:ascii="Times New Roman" w:eastAsia="Calibri" w:hAnsi="Times New Roman" w:cs="Times New Roman"/>
          <w:sz w:val="24"/>
          <w:szCs w:val="24"/>
          <w:lang w:eastAsia="lv-LV"/>
        </w:rPr>
        <w:t>3</w:t>
      </w:r>
      <w:r w:rsidRPr="008E4EB0">
        <w:rPr>
          <w:rFonts w:ascii="Times New Roman" w:eastAsia="Calibri" w:hAnsi="Times New Roman" w:cs="Times New Roman"/>
          <w:sz w:val="24"/>
          <w:szCs w:val="24"/>
          <w:lang w:eastAsia="lv-LV"/>
        </w:rPr>
        <w:t xml:space="preserve">. attēlā. </w:t>
      </w:r>
    </w:p>
    <w:p w14:paraId="45A9E691" w14:textId="77777777" w:rsidR="005A1C5E" w:rsidRPr="008E4EB0" w:rsidRDefault="005A1C5E" w:rsidP="005A1C5E">
      <w:pPr>
        <w:keepLines/>
        <w:spacing w:after="0" w:line="240" w:lineRule="auto"/>
        <w:contextualSpacing/>
        <w:jc w:val="both"/>
        <w:rPr>
          <w:rFonts w:ascii="Times New Roman" w:eastAsia="Calibri" w:hAnsi="Times New Roman" w:cs="Times New Roman"/>
          <w:sz w:val="24"/>
          <w:szCs w:val="24"/>
          <w:lang w:eastAsia="lv-LV"/>
        </w:rPr>
      </w:pPr>
    </w:p>
    <w:p w14:paraId="21FF2F08" w14:textId="543B9DA3" w:rsidR="005A1C5E" w:rsidRPr="008E4EB0" w:rsidRDefault="004F1BD3" w:rsidP="00BF58E9">
      <w:pPr>
        <w:keepNext/>
        <w:keepLines/>
        <w:spacing w:after="0" w:line="240" w:lineRule="auto"/>
        <w:contextualSpacing/>
        <w:jc w:val="cente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6</w:t>
      </w:r>
      <w:r w:rsidR="005A1C5E" w:rsidRPr="008E4EB0">
        <w:rPr>
          <w:rFonts w:ascii="Times New Roman" w:eastAsia="Calibri" w:hAnsi="Times New Roman" w:cs="Times New Roman"/>
          <w:sz w:val="24"/>
          <w:szCs w:val="24"/>
          <w:lang w:eastAsia="lv-LV"/>
        </w:rPr>
        <w:t>.tabula. Siltuma caurlaidības koeficientu U normatīvās vērtības dzīvojamo ēku norobežojošām konstrukcijām un enerģijas patēriņš apkurei atbilstoši normatīvam uzbūvētās ēkās.</w:t>
      </w:r>
      <w:r w:rsidR="005A1C5E" w:rsidRPr="008E4EB0" w:rsidDel="00C31ED3">
        <w:rPr>
          <w:rFonts w:ascii="Times New Roman" w:eastAsia="Calibri" w:hAnsi="Times New Roman" w:cs="Times New Roman"/>
          <w:sz w:val="24"/>
          <w:szCs w:val="24"/>
          <w:vertAlign w:val="superscript"/>
          <w:lang w:eastAsia="lv-LV"/>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6"/>
        <w:gridCol w:w="760"/>
        <w:gridCol w:w="914"/>
        <w:gridCol w:w="996"/>
        <w:gridCol w:w="1110"/>
        <w:gridCol w:w="876"/>
        <w:gridCol w:w="874"/>
      </w:tblGrid>
      <w:tr w:rsidR="005A1C5E" w:rsidRPr="008E4EB0" w14:paraId="32E600EF" w14:textId="77777777" w:rsidTr="00D2408E">
        <w:tc>
          <w:tcPr>
            <w:tcW w:w="2676" w:type="pct"/>
            <w:gridSpan w:val="3"/>
            <w:shd w:val="clear" w:color="auto" w:fill="auto"/>
          </w:tcPr>
          <w:p w14:paraId="55BBFE07" w14:textId="77777777" w:rsidR="005A1C5E" w:rsidRPr="008E4EB0" w:rsidRDefault="005A1C5E" w:rsidP="00BF58E9">
            <w:pPr>
              <w:keepNext/>
              <w:autoSpaceDE w:val="0"/>
              <w:autoSpaceDN w:val="0"/>
              <w:adjustRightInd w:val="0"/>
              <w:spacing w:after="0" w:line="240" w:lineRule="auto"/>
              <w:rPr>
                <w:rFonts w:ascii="Times New Roman" w:eastAsia="Calibri" w:hAnsi="Times New Roman" w:cs="Times New Roman"/>
                <w:sz w:val="20"/>
                <w:szCs w:val="20"/>
              </w:rPr>
            </w:pPr>
            <w:r w:rsidRPr="008E4EB0">
              <w:rPr>
                <w:rFonts w:ascii="Times New Roman" w:eastAsia="Calibri" w:hAnsi="Times New Roman" w:cs="Times New Roman"/>
                <w:sz w:val="20"/>
                <w:szCs w:val="20"/>
              </w:rPr>
              <w:t>Būvelementi</w:t>
            </w:r>
          </w:p>
        </w:tc>
        <w:tc>
          <w:tcPr>
            <w:tcW w:w="600" w:type="pct"/>
            <w:shd w:val="clear" w:color="auto" w:fill="auto"/>
          </w:tcPr>
          <w:p w14:paraId="280D2E42" w14:textId="77777777" w:rsidR="005A1C5E" w:rsidRPr="008E4EB0" w:rsidRDefault="005A1C5E" w:rsidP="00BF58E9">
            <w:pPr>
              <w:keepNext/>
              <w:autoSpaceDE w:val="0"/>
              <w:autoSpaceDN w:val="0"/>
              <w:adjustRightInd w:val="0"/>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1980</w:t>
            </w:r>
          </w:p>
        </w:tc>
        <w:tc>
          <w:tcPr>
            <w:tcW w:w="669" w:type="pct"/>
            <w:shd w:val="clear" w:color="auto" w:fill="auto"/>
          </w:tcPr>
          <w:p w14:paraId="1CB45A0B" w14:textId="77777777" w:rsidR="005A1C5E" w:rsidRPr="008E4EB0" w:rsidRDefault="005A1C5E" w:rsidP="00BF58E9">
            <w:pPr>
              <w:keepNext/>
              <w:autoSpaceDE w:val="0"/>
              <w:autoSpaceDN w:val="0"/>
              <w:adjustRightInd w:val="0"/>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1992</w:t>
            </w:r>
          </w:p>
        </w:tc>
        <w:tc>
          <w:tcPr>
            <w:tcW w:w="528" w:type="pct"/>
            <w:shd w:val="clear" w:color="auto" w:fill="auto"/>
          </w:tcPr>
          <w:p w14:paraId="4DEF1716" w14:textId="77777777" w:rsidR="005A1C5E" w:rsidRPr="008E4EB0" w:rsidRDefault="005A1C5E" w:rsidP="00BF58E9">
            <w:pPr>
              <w:keepNext/>
              <w:autoSpaceDE w:val="0"/>
              <w:autoSpaceDN w:val="0"/>
              <w:adjustRightInd w:val="0"/>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2003</w:t>
            </w:r>
          </w:p>
        </w:tc>
        <w:tc>
          <w:tcPr>
            <w:tcW w:w="527" w:type="pct"/>
          </w:tcPr>
          <w:p w14:paraId="68557E95" w14:textId="77777777" w:rsidR="005A1C5E" w:rsidRPr="008E4EB0" w:rsidRDefault="005A1C5E" w:rsidP="00BF58E9">
            <w:pPr>
              <w:keepNext/>
              <w:autoSpaceDE w:val="0"/>
              <w:autoSpaceDN w:val="0"/>
              <w:adjustRightInd w:val="0"/>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2015</w:t>
            </w:r>
          </w:p>
        </w:tc>
      </w:tr>
      <w:tr w:rsidR="005A1C5E" w:rsidRPr="008E4EB0" w14:paraId="506EE610" w14:textId="77777777" w:rsidTr="00D2408E">
        <w:tc>
          <w:tcPr>
            <w:tcW w:w="2125" w:type="pct"/>
            <w:gridSpan w:val="2"/>
            <w:shd w:val="clear" w:color="auto" w:fill="auto"/>
            <w:vAlign w:val="center"/>
          </w:tcPr>
          <w:p w14:paraId="3CBE8C65" w14:textId="77777777" w:rsidR="005A1C5E" w:rsidRPr="008E4EB0" w:rsidRDefault="005A1C5E" w:rsidP="00BF58E9">
            <w:pPr>
              <w:keepNext/>
              <w:autoSpaceDE w:val="0"/>
              <w:autoSpaceDN w:val="0"/>
              <w:adjustRightInd w:val="0"/>
              <w:spacing w:after="0" w:line="240" w:lineRule="auto"/>
              <w:rPr>
                <w:rFonts w:ascii="Times New Roman" w:eastAsia="Calibri" w:hAnsi="Times New Roman" w:cs="Times New Roman"/>
                <w:sz w:val="20"/>
                <w:szCs w:val="20"/>
              </w:rPr>
            </w:pPr>
            <w:r w:rsidRPr="008E4EB0">
              <w:rPr>
                <w:rFonts w:ascii="Times New Roman" w:eastAsia="Calibri" w:hAnsi="Times New Roman" w:cs="Times New Roman"/>
                <w:sz w:val="20"/>
                <w:szCs w:val="20"/>
              </w:rPr>
              <w:t>Jumti un pārsegumi, kas saskaras ar āra gaisu</w:t>
            </w:r>
          </w:p>
        </w:tc>
        <w:tc>
          <w:tcPr>
            <w:tcW w:w="551" w:type="pct"/>
            <w:vMerge w:val="restart"/>
            <w:shd w:val="clear" w:color="auto" w:fill="auto"/>
            <w:vAlign w:val="center"/>
          </w:tcPr>
          <w:p w14:paraId="751CC1AD" w14:textId="77777777" w:rsidR="005A1C5E" w:rsidRPr="008E4EB0" w:rsidRDefault="005A1C5E" w:rsidP="00BF58E9">
            <w:pPr>
              <w:keepNext/>
              <w:autoSpaceDE w:val="0"/>
              <w:autoSpaceDN w:val="0"/>
              <w:adjustRightInd w:val="0"/>
              <w:spacing w:after="0" w:line="240" w:lineRule="auto"/>
              <w:jc w:val="center"/>
              <w:rPr>
                <w:rFonts w:ascii="Times New Roman" w:eastAsia="Calibri" w:hAnsi="Times New Roman" w:cs="Times New Roman"/>
                <w:sz w:val="20"/>
                <w:szCs w:val="20"/>
                <w:lang w:eastAsia="lv-LV"/>
              </w:rPr>
            </w:pPr>
            <w:r w:rsidRPr="008E4EB0">
              <w:rPr>
                <w:rFonts w:ascii="Times New Roman" w:eastAsia="Calibri" w:hAnsi="Times New Roman" w:cs="Times New Roman"/>
                <w:sz w:val="20"/>
                <w:szCs w:val="20"/>
                <w:lang w:eastAsia="lv-LV"/>
              </w:rPr>
              <w:t>W/</w:t>
            </w:r>
          </w:p>
          <w:p w14:paraId="6B3EF285" w14:textId="77777777" w:rsidR="005A1C5E" w:rsidRPr="008E4EB0" w:rsidRDefault="005A1C5E" w:rsidP="00BF58E9">
            <w:pPr>
              <w:keepNext/>
              <w:autoSpaceDE w:val="0"/>
              <w:autoSpaceDN w:val="0"/>
              <w:adjustRightInd w:val="0"/>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lang w:eastAsia="lv-LV"/>
              </w:rPr>
              <w:t>(m</w:t>
            </w:r>
            <w:r w:rsidRPr="008E4EB0">
              <w:rPr>
                <w:rFonts w:ascii="Times New Roman" w:eastAsia="Calibri" w:hAnsi="Times New Roman" w:cs="Times New Roman"/>
                <w:sz w:val="20"/>
                <w:szCs w:val="20"/>
                <w:vertAlign w:val="superscript"/>
                <w:lang w:eastAsia="lv-LV"/>
              </w:rPr>
              <w:t>2</w:t>
            </w:r>
            <w:r w:rsidRPr="008E4EB0">
              <w:rPr>
                <w:rFonts w:ascii="Times New Roman" w:eastAsia="Calibri" w:hAnsi="Times New Roman" w:cs="Times New Roman"/>
                <w:sz w:val="20"/>
                <w:szCs w:val="20"/>
                <w:lang w:eastAsia="lv-LV"/>
              </w:rPr>
              <w:t>∙K)</w:t>
            </w:r>
          </w:p>
        </w:tc>
        <w:tc>
          <w:tcPr>
            <w:tcW w:w="600" w:type="pct"/>
            <w:shd w:val="clear" w:color="auto" w:fill="auto"/>
            <w:vAlign w:val="center"/>
          </w:tcPr>
          <w:p w14:paraId="68EACF13" w14:textId="77777777" w:rsidR="005A1C5E" w:rsidRPr="008E4EB0" w:rsidRDefault="005A1C5E" w:rsidP="00BF58E9">
            <w:pPr>
              <w:keepNext/>
              <w:autoSpaceDE w:val="0"/>
              <w:autoSpaceDN w:val="0"/>
              <w:adjustRightInd w:val="0"/>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0.90</w:t>
            </w:r>
          </w:p>
        </w:tc>
        <w:tc>
          <w:tcPr>
            <w:tcW w:w="669" w:type="pct"/>
            <w:shd w:val="clear" w:color="auto" w:fill="auto"/>
            <w:vAlign w:val="center"/>
          </w:tcPr>
          <w:p w14:paraId="1317085C" w14:textId="77777777" w:rsidR="005A1C5E" w:rsidRPr="008E4EB0" w:rsidRDefault="005A1C5E" w:rsidP="00BF58E9">
            <w:pPr>
              <w:keepNext/>
              <w:autoSpaceDE w:val="0"/>
              <w:autoSpaceDN w:val="0"/>
              <w:adjustRightInd w:val="0"/>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0.25 – 0.40</w:t>
            </w:r>
          </w:p>
        </w:tc>
        <w:tc>
          <w:tcPr>
            <w:tcW w:w="528" w:type="pct"/>
            <w:shd w:val="clear" w:color="auto" w:fill="auto"/>
            <w:vAlign w:val="center"/>
          </w:tcPr>
          <w:p w14:paraId="75A87FF2" w14:textId="77777777" w:rsidR="005A1C5E" w:rsidRPr="008E4EB0" w:rsidRDefault="005A1C5E" w:rsidP="00BF58E9">
            <w:pPr>
              <w:keepNext/>
              <w:autoSpaceDE w:val="0"/>
              <w:autoSpaceDN w:val="0"/>
              <w:adjustRightInd w:val="0"/>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0.2 k*</w:t>
            </w:r>
          </w:p>
        </w:tc>
        <w:tc>
          <w:tcPr>
            <w:tcW w:w="527" w:type="pct"/>
          </w:tcPr>
          <w:p w14:paraId="5C414E8A" w14:textId="77777777" w:rsidR="005A1C5E" w:rsidRPr="008E4EB0" w:rsidRDefault="005A1C5E" w:rsidP="00BF58E9">
            <w:pPr>
              <w:keepNext/>
              <w:autoSpaceDE w:val="0"/>
              <w:autoSpaceDN w:val="0"/>
              <w:adjustRightInd w:val="0"/>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0.15 k</w:t>
            </w:r>
          </w:p>
        </w:tc>
      </w:tr>
      <w:tr w:rsidR="005A1C5E" w:rsidRPr="008E4EB0" w14:paraId="31A52D87" w14:textId="77777777" w:rsidTr="00D2408E">
        <w:tc>
          <w:tcPr>
            <w:tcW w:w="2125" w:type="pct"/>
            <w:gridSpan w:val="2"/>
            <w:shd w:val="clear" w:color="auto" w:fill="auto"/>
            <w:vAlign w:val="center"/>
          </w:tcPr>
          <w:p w14:paraId="497CDD29" w14:textId="77777777" w:rsidR="005A1C5E" w:rsidRPr="008E4EB0" w:rsidRDefault="005A1C5E" w:rsidP="00BF58E9">
            <w:pPr>
              <w:keepNext/>
              <w:autoSpaceDE w:val="0"/>
              <w:autoSpaceDN w:val="0"/>
              <w:adjustRightInd w:val="0"/>
              <w:spacing w:after="0" w:line="240" w:lineRule="auto"/>
              <w:rPr>
                <w:rFonts w:ascii="Times New Roman" w:eastAsia="Calibri" w:hAnsi="Times New Roman" w:cs="Times New Roman"/>
                <w:sz w:val="20"/>
                <w:szCs w:val="20"/>
              </w:rPr>
            </w:pPr>
            <w:r w:rsidRPr="008E4EB0">
              <w:rPr>
                <w:rFonts w:ascii="Times New Roman" w:eastAsia="Calibri" w:hAnsi="Times New Roman" w:cs="Times New Roman"/>
                <w:sz w:val="20"/>
                <w:szCs w:val="20"/>
              </w:rPr>
              <w:t>Grīdas uz grunts</w:t>
            </w:r>
          </w:p>
        </w:tc>
        <w:tc>
          <w:tcPr>
            <w:tcW w:w="551" w:type="pct"/>
            <w:vMerge/>
            <w:shd w:val="clear" w:color="auto" w:fill="auto"/>
            <w:vAlign w:val="center"/>
          </w:tcPr>
          <w:p w14:paraId="563D5691" w14:textId="77777777" w:rsidR="005A1C5E" w:rsidRPr="008E4EB0" w:rsidRDefault="005A1C5E" w:rsidP="00BF58E9">
            <w:pPr>
              <w:keepNext/>
              <w:autoSpaceDE w:val="0"/>
              <w:autoSpaceDN w:val="0"/>
              <w:adjustRightInd w:val="0"/>
              <w:spacing w:after="0" w:line="240" w:lineRule="auto"/>
              <w:rPr>
                <w:rFonts w:ascii="Times New Roman" w:eastAsia="Calibri" w:hAnsi="Times New Roman" w:cs="Times New Roman"/>
                <w:sz w:val="20"/>
                <w:szCs w:val="20"/>
              </w:rPr>
            </w:pPr>
          </w:p>
        </w:tc>
        <w:tc>
          <w:tcPr>
            <w:tcW w:w="600" w:type="pct"/>
            <w:shd w:val="clear" w:color="auto" w:fill="auto"/>
            <w:vAlign w:val="center"/>
          </w:tcPr>
          <w:p w14:paraId="0A2EEF5E" w14:textId="77777777" w:rsidR="005A1C5E" w:rsidRPr="008E4EB0" w:rsidRDefault="005A1C5E" w:rsidP="00BF58E9">
            <w:pPr>
              <w:keepNext/>
              <w:autoSpaceDE w:val="0"/>
              <w:autoSpaceDN w:val="0"/>
              <w:adjustRightInd w:val="0"/>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w:t>
            </w:r>
          </w:p>
        </w:tc>
        <w:tc>
          <w:tcPr>
            <w:tcW w:w="669" w:type="pct"/>
            <w:shd w:val="clear" w:color="auto" w:fill="auto"/>
            <w:vAlign w:val="center"/>
          </w:tcPr>
          <w:p w14:paraId="45A191D6" w14:textId="77777777" w:rsidR="005A1C5E" w:rsidRPr="008E4EB0" w:rsidRDefault="005A1C5E" w:rsidP="00BF58E9">
            <w:pPr>
              <w:keepNext/>
              <w:autoSpaceDE w:val="0"/>
              <w:autoSpaceDN w:val="0"/>
              <w:adjustRightInd w:val="0"/>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0.5</w:t>
            </w:r>
          </w:p>
        </w:tc>
        <w:tc>
          <w:tcPr>
            <w:tcW w:w="528" w:type="pct"/>
            <w:shd w:val="clear" w:color="auto" w:fill="auto"/>
            <w:vAlign w:val="center"/>
          </w:tcPr>
          <w:p w14:paraId="62648A6B" w14:textId="77777777" w:rsidR="005A1C5E" w:rsidRPr="008E4EB0" w:rsidRDefault="005A1C5E" w:rsidP="00BF58E9">
            <w:pPr>
              <w:keepNext/>
              <w:autoSpaceDE w:val="0"/>
              <w:autoSpaceDN w:val="0"/>
              <w:adjustRightInd w:val="0"/>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0.25 k</w:t>
            </w:r>
          </w:p>
        </w:tc>
        <w:tc>
          <w:tcPr>
            <w:tcW w:w="527" w:type="pct"/>
          </w:tcPr>
          <w:p w14:paraId="461F163E" w14:textId="77777777" w:rsidR="005A1C5E" w:rsidRPr="008E4EB0" w:rsidRDefault="005A1C5E" w:rsidP="00BF58E9">
            <w:pPr>
              <w:keepNext/>
              <w:autoSpaceDE w:val="0"/>
              <w:autoSpaceDN w:val="0"/>
              <w:adjustRightInd w:val="0"/>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0.15 k</w:t>
            </w:r>
          </w:p>
        </w:tc>
      </w:tr>
      <w:tr w:rsidR="005A1C5E" w:rsidRPr="008E4EB0" w14:paraId="25B65794" w14:textId="77777777" w:rsidTr="00D2408E">
        <w:tc>
          <w:tcPr>
            <w:tcW w:w="2125" w:type="pct"/>
            <w:gridSpan w:val="2"/>
            <w:shd w:val="clear" w:color="auto" w:fill="auto"/>
            <w:vAlign w:val="center"/>
          </w:tcPr>
          <w:p w14:paraId="28D06830" w14:textId="77777777" w:rsidR="005A1C5E" w:rsidRPr="008E4EB0" w:rsidRDefault="005A1C5E" w:rsidP="005A1C5E">
            <w:pPr>
              <w:autoSpaceDE w:val="0"/>
              <w:autoSpaceDN w:val="0"/>
              <w:adjustRightInd w:val="0"/>
              <w:spacing w:after="0" w:line="240" w:lineRule="auto"/>
              <w:rPr>
                <w:rFonts w:ascii="Times New Roman" w:eastAsia="Calibri" w:hAnsi="Times New Roman" w:cs="Times New Roman"/>
                <w:sz w:val="20"/>
                <w:szCs w:val="20"/>
              </w:rPr>
            </w:pPr>
            <w:r w:rsidRPr="008E4EB0">
              <w:rPr>
                <w:rFonts w:ascii="Times New Roman" w:eastAsia="Calibri" w:hAnsi="Times New Roman" w:cs="Times New Roman"/>
                <w:sz w:val="20"/>
                <w:szCs w:val="20"/>
              </w:rPr>
              <w:t>Ārsienas ar masu mazāku nekā 100 kg/m</w:t>
            </w:r>
            <w:r w:rsidRPr="008E4EB0">
              <w:rPr>
                <w:rFonts w:ascii="Times New Roman" w:eastAsia="Calibri" w:hAnsi="Times New Roman" w:cs="Times New Roman"/>
                <w:sz w:val="20"/>
                <w:szCs w:val="20"/>
                <w:vertAlign w:val="superscript"/>
              </w:rPr>
              <w:t>2</w:t>
            </w:r>
          </w:p>
        </w:tc>
        <w:tc>
          <w:tcPr>
            <w:tcW w:w="551" w:type="pct"/>
            <w:vMerge/>
            <w:shd w:val="clear" w:color="auto" w:fill="auto"/>
            <w:vAlign w:val="center"/>
          </w:tcPr>
          <w:p w14:paraId="5E39D29A" w14:textId="77777777" w:rsidR="005A1C5E" w:rsidRPr="008E4EB0" w:rsidRDefault="005A1C5E" w:rsidP="005A1C5E">
            <w:pPr>
              <w:autoSpaceDE w:val="0"/>
              <w:autoSpaceDN w:val="0"/>
              <w:adjustRightInd w:val="0"/>
              <w:spacing w:after="0" w:line="240" w:lineRule="auto"/>
              <w:rPr>
                <w:rFonts w:ascii="Times New Roman" w:eastAsia="Calibri" w:hAnsi="Times New Roman" w:cs="Times New Roman"/>
                <w:sz w:val="20"/>
                <w:szCs w:val="20"/>
              </w:rPr>
            </w:pPr>
          </w:p>
        </w:tc>
        <w:tc>
          <w:tcPr>
            <w:tcW w:w="600" w:type="pct"/>
            <w:vMerge w:val="restart"/>
            <w:shd w:val="clear" w:color="auto" w:fill="auto"/>
            <w:vAlign w:val="center"/>
          </w:tcPr>
          <w:p w14:paraId="6B513DA0" w14:textId="77777777" w:rsidR="005A1C5E" w:rsidRPr="008E4EB0" w:rsidRDefault="005A1C5E" w:rsidP="005A1C5E">
            <w:pPr>
              <w:autoSpaceDE w:val="0"/>
              <w:autoSpaceDN w:val="0"/>
              <w:adjustRightInd w:val="0"/>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1.1</w:t>
            </w:r>
          </w:p>
        </w:tc>
        <w:tc>
          <w:tcPr>
            <w:tcW w:w="669" w:type="pct"/>
            <w:vMerge w:val="restart"/>
            <w:shd w:val="clear" w:color="auto" w:fill="auto"/>
            <w:vAlign w:val="center"/>
          </w:tcPr>
          <w:p w14:paraId="26B6219B" w14:textId="77777777" w:rsidR="005A1C5E" w:rsidRPr="008E4EB0" w:rsidRDefault="005A1C5E" w:rsidP="005A1C5E">
            <w:pPr>
              <w:autoSpaceDE w:val="0"/>
              <w:autoSpaceDN w:val="0"/>
              <w:adjustRightInd w:val="0"/>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0.33 – 0.50</w:t>
            </w:r>
          </w:p>
        </w:tc>
        <w:tc>
          <w:tcPr>
            <w:tcW w:w="528" w:type="pct"/>
            <w:shd w:val="clear" w:color="auto" w:fill="auto"/>
            <w:vAlign w:val="center"/>
          </w:tcPr>
          <w:p w14:paraId="3434022A" w14:textId="77777777" w:rsidR="005A1C5E" w:rsidRPr="008E4EB0" w:rsidRDefault="005A1C5E" w:rsidP="005A1C5E">
            <w:pPr>
              <w:autoSpaceDE w:val="0"/>
              <w:autoSpaceDN w:val="0"/>
              <w:adjustRightInd w:val="0"/>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0.25 k</w:t>
            </w:r>
          </w:p>
        </w:tc>
        <w:tc>
          <w:tcPr>
            <w:tcW w:w="527" w:type="pct"/>
            <w:vMerge w:val="restart"/>
            <w:vAlign w:val="center"/>
          </w:tcPr>
          <w:p w14:paraId="4A43CA57" w14:textId="77777777" w:rsidR="005A1C5E" w:rsidRPr="008E4EB0" w:rsidRDefault="005A1C5E" w:rsidP="005A1C5E">
            <w:pPr>
              <w:autoSpaceDE w:val="0"/>
              <w:autoSpaceDN w:val="0"/>
              <w:adjustRightInd w:val="0"/>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0.18 k</w:t>
            </w:r>
          </w:p>
        </w:tc>
      </w:tr>
      <w:tr w:rsidR="005A1C5E" w:rsidRPr="008E4EB0" w14:paraId="21238527" w14:textId="77777777" w:rsidTr="00D2408E">
        <w:tc>
          <w:tcPr>
            <w:tcW w:w="2125" w:type="pct"/>
            <w:gridSpan w:val="2"/>
            <w:shd w:val="clear" w:color="auto" w:fill="auto"/>
            <w:vAlign w:val="center"/>
          </w:tcPr>
          <w:p w14:paraId="5F4A98CA" w14:textId="77777777" w:rsidR="005A1C5E" w:rsidRPr="008E4EB0" w:rsidRDefault="005A1C5E" w:rsidP="005A1C5E">
            <w:pPr>
              <w:autoSpaceDE w:val="0"/>
              <w:autoSpaceDN w:val="0"/>
              <w:adjustRightInd w:val="0"/>
              <w:spacing w:after="0" w:line="240" w:lineRule="auto"/>
              <w:rPr>
                <w:rFonts w:ascii="Times New Roman" w:eastAsia="Calibri" w:hAnsi="Times New Roman" w:cs="Times New Roman"/>
                <w:sz w:val="20"/>
                <w:szCs w:val="20"/>
              </w:rPr>
            </w:pPr>
            <w:r w:rsidRPr="008E4EB0">
              <w:rPr>
                <w:rFonts w:ascii="Times New Roman" w:eastAsia="Calibri" w:hAnsi="Times New Roman" w:cs="Times New Roman"/>
                <w:sz w:val="20"/>
                <w:szCs w:val="20"/>
              </w:rPr>
              <w:t>Ārsienas ar masu 100 kg/m</w:t>
            </w:r>
            <w:r w:rsidRPr="008E4EB0">
              <w:rPr>
                <w:rFonts w:ascii="Times New Roman" w:eastAsia="Calibri" w:hAnsi="Times New Roman" w:cs="Times New Roman"/>
                <w:sz w:val="20"/>
                <w:szCs w:val="20"/>
                <w:vertAlign w:val="superscript"/>
              </w:rPr>
              <w:t>2</w:t>
            </w:r>
            <w:r w:rsidRPr="008E4EB0">
              <w:rPr>
                <w:rFonts w:ascii="Times New Roman" w:eastAsia="Calibri" w:hAnsi="Times New Roman" w:cs="Times New Roman"/>
                <w:sz w:val="20"/>
                <w:szCs w:val="20"/>
              </w:rPr>
              <w:t xml:space="preserve"> un vairāk</w:t>
            </w:r>
          </w:p>
        </w:tc>
        <w:tc>
          <w:tcPr>
            <w:tcW w:w="551" w:type="pct"/>
            <w:vMerge/>
            <w:shd w:val="clear" w:color="auto" w:fill="auto"/>
            <w:vAlign w:val="center"/>
          </w:tcPr>
          <w:p w14:paraId="4BD456EC" w14:textId="77777777" w:rsidR="005A1C5E" w:rsidRPr="008E4EB0" w:rsidRDefault="005A1C5E" w:rsidP="005A1C5E">
            <w:pPr>
              <w:autoSpaceDE w:val="0"/>
              <w:autoSpaceDN w:val="0"/>
              <w:adjustRightInd w:val="0"/>
              <w:spacing w:after="0" w:line="240" w:lineRule="auto"/>
              <w:rPr>
                <w:rFonts w:ascii="Times New Roman" w:eastAsia="Calibri" w:hAnsi="Times New Roman" w:cs="Times New Roman"/>
                <w:sz w:val="20"/>
                <w:szCs w:val="20"/>
              </w:rPr>
            </w:pPr>
          </w:p>
        </w:tc>
        <w:tc>
          <w:tcPr>
            <w:tcW w:w="600" w:type="pct"/>
            <w:vMerge/>
            <w:shd w:val="clear" w:color="auto" w:fill="auto"/>
            <w:vAlign w:val="center"/>
          </w:tcPr>
          <w:p w14:paraId="2C1777E6" w14:textId="77777777" w:rsidR="005A1C5E" w:rsidRPr="008E4EB0" w:rsidRDefault="005A1C5E" w:rsidP="005A1C5E">
            <w:pPr>
              <w:autoSpaceDE w:val="0"/>
              <w:autoSpaceDN w:val="0"/>
              <w:adjustRightInd w:val="0"/>
              <w:spacing w:after="0" w:line="240" w:lineRule="auto"/>
              <w:jc w:val="center"/>
              <w:rPr>
                <w:rFonts w:ascii="Times New Roman" w:eastAsia="Calibri" w:hAnsi="Times New Roman" w:cs="Times New Roman"/>
                <w:sz w:val="20"/>
                <w:szCs w:val="20"/>
              </w:rPr>
            </w:pPr>
          </w:p>
        </w:tc>
        <w:tc>
          <w:tcPr>
            <w:tcW w:w="669" w:type="pct"/>
            <w:vMerge/>
            <w:shd w:val="clear" w:color="auto" w:fill="auto"/>
            <w:vAlign w:val="center"/>
          </w:tcPr>
          <w:p w14:paraId="1B5F7611" w14:textId="77777777" w:rsidR="005A1C5E" w:rsidRPr="008E4EB0" w:rsidRDefault="005A1C5E" w:rsidP="005A1C5E">
            <w:pPr>
              <w:autoSpaceDE w:val="0"/>
              <w:autoSpaceDN w:val="0"/>
              <w:adjustRightInd w:val="0"/>
              <w:spacing w:after="0" w:line="240" w:lineRule="auto"/>
              <w:jc w:val="center"/>
              <w:rPr>
                <w:rFonts w:ascii="Times New Roman" w:eastAsia="Calibri" w:hAnsi="Times New Roman" w:cs="Times New Roman"/>
                <w:sz w:val="20"/>
                <w:szCs w:val="20"/>
              </w:rPr>
            </w:pPr>
          </w:p>
        </w:tc>
        <w:tc>
          <w:tcPr>
            <w:tcW w:w="528" w:type="pct"/>
            <w:shd w:val="clear" w:color="auto" w:fill="auto"/>
            <w:vAlign w:val="center"/>
          </w:tcPr>
          <w:p w14:paraId="384136E7" w14:textId="77777777" w:rsidR="005A1C5E" w:rsidRPr="008E4EB0" w:rsidRDefault="005A1C5E" w:rsidP="005A1C5E">
            <w:pPr>
              <w:autoSpaceDE w:val="0"/>
              <w:autoSpaceDN w:val="0"/>
              <w:adjustRightInd w:val="0"/>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0.3 k</w:t>
            </w:r>
          </w:p>
        </w:tc>
        <w:tc>
          <w:tcPr>
            <w:tcW w:w="527" w:type="pct"/>
            <w:vMerge/>
          </w:tcPr>
          <w:p w14:paraId="38E415C2" w14:textId="77777777" w:rsidR="005A1C5E" w:rsidRPr="008E4EB0" w:rsidRDefault="005A1C5E" w:rsidP="005A1C5E">
            <w:pPr>
              <w:autoSpaceDE w:val="0"/>
              <w:autoSpaceDN w:val="0"/>
              <w:adjustRightInd w:val="0"/>
              <w:spacing w:after="0" w:line="240" w:lineRule="auto"/>
              <w:jc w:val="center"/>
              <w:rPr>
                <w:rFonts w:ascii="Times New Roman" w:eastAsia="Calibri" w:hAnsi="Times New Roman" w:cs="Times New Roman"/>
                <w:sz w:val="20"/>
                <w:szCs w:val="20"/>
              </w:rPr>
            </w:pPr>
          </w:p>
        </w:tc>
      </w:tr>
      <w:tr w:rsidR="005A1C5E" w:rsidRPr="008E4EB0" w14:paraId="364A236F" w14:textId="77777777" w:rsidTr="00D2408E">
        <w:tc>
          <w:tcPr>
            <w:tcW w:w="2125" w:type="pct"/>
            <w:gridSpan w:val="2"/>
            <w:shd w:val="clear" w:color="auto" w:fill="auto"/>
            <w:vAlign w:val="center"/>
          </w:tcPr>
          <w:p w14:paraId="6AB7DC31" w14:textId="77777777" w:rsidR="005A1C5E" w:rsidRPr="008E4EB0" w:rsidRDefault="005A1C5E" w:rsidP="005A1C5E">
            <w:pPr>
              <w:autoSpaceDE w:val="0"/>
              <w:autoSpaceDN w:val="0"/>
              <w:adjustRightInd w:val="0"/>
              <w:spacing w:after="0" w:line="240" w:lineRule="auto"/>
              <w:rPr>
                <w:rFonts w:ascii="Times New Roman" w:eastAsia="Calibri" w:hAnsi="Times New Roman" w:cs="Times New Roman"/>
                <w:sz w:val="20"/>
                <w:szCs w:val="20"/>
              </w:rPr>
            </w:pPr>
            <w:r w:rsidRPr="008E4EB0">
              <w:rPr>
                <w:rFonts w:ascii="Times New Roman" w:eastAsia="Calibri" w:hAnsi="Times New Roman" w:cs="Times New Roman"/>
                <w:sz w:val="20"/>
                <w:szCs w:val="20"/>
              </w:rPr>
              <w:t>Logi</w:t>
            </w:r>
          </w:p>
        </w:tc>
        <w:tc>
          <w:tcPr>
            <w:tcW w:w="551" w:type="pct"/>
            <w:vMerge/>
            <w:shd w:val="clear" w:color="auto" w:fill="auto"/>
            <w:vAlign w:val="center"/>
          </w:tcPr>
          <w:p w14:paraId="2A873864" w14:textId="77777777" w:rsidR="005A1C5E" w:rsidRPr="008E4EB0" w:rsidRDefault="005A1C5E" w:rsidP="005A1C5E">
            <w:pPr>
              <w:autoSpaceDE w:val="0"/>
              <w:autoSpaceDN w:val="0"/>
              <w:adjustRightInd w:val="0"/>
              <w:spacing w:after="0" w:line="240" w:lineRule="auto"/>
              <w:rPr>
                <w:rFonts w:ascii="Times New Roman" w:eastAsia="Calibri" w:hAnsi="Times New Roman" w:cs="Times New Roman"/>
                <w:sz w:val="20"/>
                <w:szCs w:val="20"/>
              </w:rPr>
            </w:pPr>
          </w:p>
        </w:tc>
        <w:tc>
          <w:tcPr>
            <w:tcW w:w="600" w:type="pct"/>
            <w:shd w:val="clear" w:color="auto" w:fill="auto"/>
            <w:vAlign w:val="center"/>
          </w:tcPr>
          <w:p w14:paraId="208B2015" w14:textId="77777777" w:rsidR="005A1C5E" w:rsidRPr="008E4EB0" w:rsidRDefault="005A1C5E" w:rsidP="005A1C5E">
            <w:pPr>
              <w:autoSpaceDE w:val="0"/>
              <w:autoSpaceDN w:val="0"/>
              <w:adjustRightInd w:val="0"/>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2.4</w:t>
            </w:r>
          </w:p>
        </w:tc>
        <w:tc>
          <w:tcPr>
            <w:tcW w:w="669" w:type="pct"/>
            <w:shd w:val="clear" w:color="auto" w:fill="auto"/>
            <w:vAlign w:val="center"/>
          </w:tcPr>
          <w:p w14:paraId="145A919C" w14:textId="77777777" w:rsidR="005A1C5E" w:rsidRPr="008E4EB0" w:rsidRDefault="005A1C5E" w:rsidP="005A1C5E">
            <w:pPr>
              <w:autoSpaceDE w:val="0"/>
              <w:autoSpaceDN w:val="0"/>
              <w:adjustRightInd w:val="0"/>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1.9 – 2.4</w:t>
            </w:r>
          </w:p>
        </w:tc>
        <w:tc>
          <w:tcPr>
            <w:tcW w:w="528" w:type="pct"/>
            <w:shd w:val="clear" w:color="auto" w:fill="auto"/>
            <w:vAlign w:val="center"/>
          </w:tcPr>
          <w:p w14:paraId="7190C830" w14:textId="77777777" w:rsidR="005A1C5E" w:rsidRPr="008E4EB0" w:rsidRDefault="005A1C5E" w:rsidP="005A1C5E">
            <w:pPr>
              <w:autoSpaceDE w:val="0"/>
              <w:autoSpaceDN w:val="0"/>
              <w:adjustRightInd w:val="0"/>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1.8 k</w:t>
            </w:r>
          </w:p>
        </w:tc>
        <w:tc>
          <w:tcPr>
            <w:tcW w:w="527" w:type="pct"/>
          </w:tcPr>
          <w:p w14:paraId="5A5CD452" w14:textId="77777777" w:rsidR="005A1C5E" w:rsidRPr="008E4EB0" w:rsidRDefault="005A1C5E" w:rsidP="005A1C5E">
            <w:pPr>
              <w:autoSpaceDE w:val="0"/>
              <w:autoSpaceDN w:val="0"/>
              <w:adjustRightInd w:val="0"/>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1.30 k</w:t>
            </w:r>
          </w:p>
        </w:tc>
      </w:tr>
      <w:tr w:rsidR="005A1C5E" w:rsidRPr="008E4EB0" w14:paraId="5E5248EB" w14:textId="77777777" w:rsidTr="00D2408E">
        <w:tc>
          <w:tcPr>
            <w:tcW w:w="2125" w:type="pct"/>
            <w:gridSpan w:val="2"/>
            <w:shd w:val="clear" w:color="auto" w:fill="auto"/>
            <w:vAlign w:val="center"/>
          </w:tcPr>
          <w:p w14:paraId="553E2467" w14:textId="77777777" w:rsidR="005A1C5E" w:rsidRPr="008E4EB0" w:rsidRDefault="005A1C5E" w:rsidP="005A1C5E">
            <w:pPr>
              <w:autoSpaceDE w:val="0"/>
              <w:autoSpaceDN w:val="0"/>
              <w:adjustRightInd w:val="0"/>
              <w:spacing w:after="0" w:line="240" w:lineRule="auto"/>
              <w:rPr>
                <w:rFonts w:ascii="Times New Roman" w:eastAsia="Calibri" w:hAnsi="Times New Roman" w:cs="Times New Roman"/>
                <w:sz w:val="20"/>
                <w:szCs w:val="20"/>
              </w:rPr>
            </w:pPr>
            <w:r w:rsidRPr="008E4EB0">
              <w:rPr>
                <w:rFonts w:ascii="Times New Roman" w:eastAsia="Calibri" w:hAnsi="Times New Roman" w:cs="Times New Roman"/>
                <w:sz w:val="20"/>
                <w:szCs w:val="20"/>
              </w:rPr>
              <w:t>Durvis</w:t>
            </w:r>
          </w:p>
        </w:tc>
        <w:tc>
          <w:tcPr>
            <w:tcW w:w="551" w:type="pct"/>
            <w:vMerge/>
            <w:shd w:val="clear" w:color="auto" w:fill="auto"/>
            <w:vAlign w:val="center"/>
          </w:tcPr>
          <w:p w14:paraId="4C075D68" w14:textId="77777777" w:rsidR="005A1C5E" w:rsidRPr="008E4EB0" w:rsidRDefault="005A1C5E" w:rsidP="005A1C5E">
            <w:pPr>
              <w:autoSpaceDE w:val="0"/>
              <w:autoSpaceDN w:val="0"/>
              <w:adjustRightInd w:val="0"/>
              <w:spacing w:after="0" w:line="240" w:lineRule="auto"/>
              <w:rPr>
                <w:rFonts w:ascii="Times New Roman" w:eastAsia="Calibri" w:hAnsi="Times New Roman" w:cs="Times New Roman"/>
                <w:sz w:val="20"/>
                <w:szCs w:val="20"/>
              </w:rPr>
            </w:pPr>
          </w:p>
        </w:tc>
        <w:tc>
          <w:tcPr>
            <w:tcW w:w="600" w:type="pct"/>
            <w:shd w:val="clear" w:color="auto" w:fill="auto"/>
            <w:vAlign w:val="center"/>
          </w:tcPr>
          <w:p w14:paraId="51973E64" w14:textId="77777777" w:rsidR="005A1C5E" w:rsidRPr="008E4EB0" w:rsidRDefault="005A1C5E" w:rsidP="005A1C5E">
            <w:pPr>
              <w:autoSpaceDE w:val="0"/>
              <w:autoSpaceDN w:val="0"/>
              <w:adjustRightInd w:val="0"/>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2.4</w:t>
            </w:r>
          </w:p>
        </w:tc>
        <w:tc>
          <w:tcPr>
            <w:tcW w:w="669" w:type="pct"/>
            <w:shd w:val="clear" w:color="auto" w:fill="auto"/>
          </w:tcPr>
          <w:p w14:paraId="3241537A" w14:textId="77777777" w:rsidR="005A1C5E" w:rsidRPr="008E4EB0" w:rsidRDefault="005A1C5E" w:rsidP="005A1C5E">
            <w:pPr>
              <w:autoSpaceDE w:val="0"/>
              <w:autoSpaceDN w:val="0"/>
              <w:adjustRightInd w:val="0"/>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1.9 – 2.4</w:t>
            </w:r>
          </w:p>
        </w:tc>
        <w:tc>
          <w:tcPr>
            <w:tcW w:w="528" w:type="pct"/>
            <w:shd w:val="clear" w:color="auto" w:fill="auto"/>
          </w:tcPr>
          <w:p w14:paraId="0F2C3E4C" w14:textId="77777777" w:rsidR="005A1C5E" w:rsidRPr="008E4EB0" w:rsidRDefault="005A1C5E" w:rsidP="005A1C5E">
            <w:pPr>
              <w:autoSpaceDE w:val="0"/>
              <w:autoSpaceDN w:val="0"/>
              <w:adjustRightInd w:val="0"/>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1.8 k</w:t>
            </w:r>
          </w:p>
        </w:tc>
        <w:tc>
          <w:tcPr>
            <w:tcW w:w="527" w:type="pct"/>
          </w:tcPr>
          <w:p w14:paraId="2F5EAE52" w14:textId="77777777" w:rsidR="005A1C5E" w:rsidRPr="008E4EB0" w:rsidRDefault="005A1C5E" w:rsidP="005A1C5E">
            <w:pPr>
              <w:autoSpaceDE w:val="0"/>
              <w:autoSpaceDN w:val="0"/>
              <w:adjustRightInd w:val="0"/>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1.80 k</w:t>
            </w:r>
          </w:p>
        </w:tc>
      </w:tr>
      <w:tr w:rsidR="005A1C5E" w:rsidRPr="008E4EB0" w14:paraId="373294C3" w14:textId="77777777" w:rsidTr="00D2408E">
        <w:tc>
          <w:tcPr>
            <w:tcW w:w="2125" w:type="pct"/>
            <w:gridSpan w:val="2"/>
            <w:shd w:val="clear" w:color="auto" w:fill="auto"/>
            <w:vAlign w:val="center"/>
          </w:tcPr>
          <w:p w14:paraId="15C44401" w14:textId="77777777" w:rsidR="005A1C5E" w:rsidRPr="008E4EB0" w:rsidRDefault="005A1C5E" w:rsidP="005A1C5E">
            <w:pPr>
              <w:autoSpaceDE w:val="0"/>
              <w:autoSpaceDN w:val="0"/>
              <w:adjustRightInd w:val="0"/>
              <w:spacing w:after="0" w:line="240" w:lineRule="auto"/>
              <w:rPr>
                <w:rFonts w:ascii="Times New Roman" w:eastAsia="Calibri" w:hAnsi="Times New Roman" w:cs="Times New Roman"/>
                <w:sz w:val="20"/>
                <w:szCs w:val="20"/>
              </w:rPr>
            </w:pPr>
            <w:r w:rsidRPr="008E4EB0">
              <w:rPr>
                <w:rFonts w:ascii="Times New Roman" w:eastAsia="Calibri" w:hAnsi="Times New Roman" w:cs="Times New Roman"/>
                <w:sz w:val="20"/>
                <w:szCs w:val="20"/>
              </w:rPr>
              <w:t>Termiskie tilti</w:t>
            </w:r>
          </w:p>
        </w:tc>
        <w:tc>
          <w:tcPr>
            <w:tcW w:w="551" w:type="pct"/>
            <w:vMerge/>
            <w:shd w:val="clear" w:color="auto" w:fill="auto"/>
            <w:vAlign w:val="center"/>
          </w:tcPr>
          <w:p w14:paraId="25718BAB" w14:textId="77777777" w:rsidR="005A1C5E" w:rsidRPr="008E4EB0" w:rsidRDefault="005A1C5E" w:rsidP="005A1C5E">
            <w:pPr>
              <w:autoSpaceDE w:val="0"/>
              <w:autoSpaceDN w:val="0"/>
              <w:adjustRightInd w:val="0"/>
              <w:spacing w:after="0" w:line="240" w:lineRule="auto"/>
              <w:rPr>
                <w:rFonts w:ascii="Times New Roman" w:eastAsia="Calibri" w:hAnsi="Times New Roman" w:cs="Times New Roman"/>
                <w:sz w:val="20"/>
                <w:szCs w:val="20"/>
              </w:rPr>
            </w:pPr>
          </w:p>
        </w:tc>
        <w:tc>
          <w:tcPr>
            <w:tcW w:w="600" w:type="pct"/>
            <w:shd w:val="clear" w:color="auto" w:fill="auto"/>
            <w:vAlign w:val="center"/>
          </w:tcPr>
          <w:p w14:paraId="1007E688" w14:textId="77777777" w:rsidR="005A1C5E" w:rsidRPr="008E4EB0" w:rsidRDefault="005A1C5E" w:rsidP="005A1C5E">
            <w:pPr>
              <w:autoSpaceDE w:val="0"/>
              <w:autoSpaceDN w:val="0"/>
              <w:adjustRightInd w:val="0"/>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w:t>
            </w:r>
          </w:p>
        </w:tc>
        <w:tc>
          <w:tcPr>
            <w:tcW w:w="669" w:type="pct"/>
            <w:shd w:val="clear" w:color="auto" w:fill="auto"/>
            <w:vAlign w:val="center"/>
          </w:tcPr>
          <w:p w14:paraId="1A23A6DB" w14:textId="77777777" w:rsidR="005A1C5E" w:rsidRPr="008E4EB0" w:rsidRDefault="005A1C5E" w:rsidP="005A1C5E">
            <w:pPr>
              <w:autoSpaceDE w:val="0"/>
              <w:autoSpaceDN w:val="0"/>
              <w:adjustRightInd w:val="0"/>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w:t>
            </w:r>
          </w:p>
        </w:tc>
        <w:tc>
          <w:tcPr>
            <w:tcW w:w="528" w:type="pct"/>
            <w:shd w:val="clear" w:color="auto" w:fill="auto"/>
            <w:vAlign w:val="center"/>
          </w:tcPr>
          <w:p w14:paraId="64C4E2EB" w14:textId="77777777" w:rsidR="005A1C5E" w:rsidRPr="008E4EB0" w:rsidRDefault="005A1C5E" w:rsidP="005A1C5E">
            <w:pPr>
              <w:autoSpaceDE w:val="0"/>
              <w:autoSpaceDN w:val="0"/>
              <w:adjustRightInd w:val="0"/>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0.2 k</w:t>
            </w:r>
          </w:p>
        </w:tc>
        <w:tc>
          <w:tcPr>
            <w:tcW w:w="527" w:type="pct"/>
          </w:tcPr>
          <w:p w14:paraId="70423686" w14:textId="77777777" w:rsidR="005A1C5E" w:rsidRPr="008E4EB0" w:rsidRDefault="005A1C5E" w:rsidP="005A1C5E">
            <w:pPr>
              <w:autoSpaceDE w:val="0"/>
              <w:autoSpaceDN w:val="0"/>
              <w:adjustRightInd w:val="0"/>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0.10 k</w:t>
            </w:r>
          </w:p>
        </w:tc>
      </w:tr>
      <w:tr w:rsidR="005A1C5E" w:rsidRPr="008E4EB0" w14:paraId="4EA1C264" w14:textId="77777777" w:rsidTr="00D2408E">
        <w:tc>
          <w:tcPr>
            <w:tcW w:w="4473" w:type="pct"/>
            <w:gridSpan w:val="6"/>
            <w:shd w:val="clear" w:color="auto" w:fill="auto"/>
          </w:tcPr>
          <w:p w14:paraId="2A81CDD7" w14:textId="77777777" w:rsidR="005A1C5E" w:rsidRPr="008E4EB0" w:rsidRDefault="005A1C5E" w:rsidP="005A1C5E">
            <w:pPr>
              <w:autoSpaceDE w:val="0"/>
              <w:autoSpaceDN w:val="0"/>
              <w:adjustRightInd w:val="0"/>
              <w:spacing w:after="0" w:line="240" w:lineRule="auto"/>
              <w:rPr>
                <w:rFonts w:ascii="Times New Roman" w:eastAsia="Calibri" w:hAnsi="Times New Roman" w:cs="Times New Roman"/>
                <w:sz w:val="20"/>
                <w:szCs w:val="20"/>
              </w:rPr>
            </w:pPr>
            <w:r w:rsidRPr="008E4EB0">
              <w:rPr>
                <w:rFonts w:ascii="Times New Roman" w:eastAsia="Calibri" w:hAnsi="Times New Roman" w:cs="Times New Roman"/>
                <w:sz w:val="20"/>
                <w:szCs w:val="20"/>
              </w:rPr>
              <w:t xml:space="preserve">*Temperatūras faktors </w:t>
            </w:r>
            <w:r w:rsidRPr="008E4EB0">
              <w:rPr>
                <w:rFonts w:ascii="Times New Roman" w:eastAsia="Calibri" w:hAnsi="Times New Roman" w:cs="Times New Roman"/>
                <w:b/>
                <w:bCs/>
                <w:sz w:val="20"/>
                <w:szCs w:val="20"/>
              </w:rPr>
              <w:t xml:space="preserve">k </w:t>
            </w:r>
            <w:r w:rsidRPr="008E4EB0">
              <w:rPr>
                <w:rFonts w:ascii="Times New Roman" w:eastAsia="Calibri" w:hAnsi="Times New Roman" w:cs="Times New Roman"/>
                <w:sz w:val="20"/>
                <w:szCs w:val="20"/>
              </w:rPr>
              <w:t>= 19/(T</w:t>
            </w:r>
            <w:r w:rsidRPr="008E4EB0">
              <w:rPr>
                <w:rFonts w:ascii="Times New Roman" w:eastAsia="Calibri" w:hAnsi="Times New Roman" w:cs="Times New Roman"/>
                <w:sz w:val="20"/>
                <w:szCs w:val="20"/>
                <w:vertAlign w:val="subscript"/>
              </w:rPr>
              <w:t>iekš.</w:t>
            </w:r>
            <w:r w:rsidRPr="008E4EB0">
              <w:rPr>
                <w:rFonts w:ascii="Times New Roman" w:eastAsia="Calibri" w:hAnsi="Times New Roman" w:cs="Times New Roman"/>
                <w:sz w:val="20"/>
                <w:szCs w:val="20"/>
              </w:rPr>
              <w:t xml:space="preserve"> – T</w:t>
            </w:r>
            <w:r w:rsidRPr="008E4EB0">
              <w:rPr>
                <w:rFonts w:ascii="Times New Roman" w:eastAsia="Calibri" w:hAnsi="Times New Roman" w:cs="Times New Roman"/>
                <w:sz w:val="20"/>
                <w:szCs w:val="20"/>
                <w:vertAlign w:val="subscript"/>
              </w:rPr>
              <w:t>ār.</w:t>
            </w:r>
            <w:r w:rsidRPr="008E4EB0">
              <w:rPr>
                <w:rFonts w:ascii="Times New Roman" w:eastAsia="Calibri" w:hAnsi="Times New Roman" w:cs="Times New Roman"/>
                <w:sz w:val="20"/>
                <w:szCs w:val="20"/>
              </w:rPr>
              <w:t xml:space="preserve">), atkarībā no klimata zonas dzīvojamām mājām </w:t>
            </w:r>
            <w:r w:rsidRPr="008E4EB0">
              <w:rPr>
                <w:rFonts w:ascii="Times New Roman" w:eastAsia="Calibri" w:hAnsi="Times New Roman" w:cs="Times New Roman"/>
                <w:b/>
                <w:bCs/>
                <w:sz w:val="20"/>
                <w:szCs w:val="20"/>
              </w:rPr>
              <w:t>k</w:t>
            </w:r>
            <w:r w:rsidRPr="008E4EB0">
              <w:rPr>
                <w:rFonts w:ascii="Times New Roman" w:eastAsia="Calibri" w:hAnsi="Times New Roman" w:cs="Times New Roman"/>
                <w:sz w:val="20"/>
                <w:szCs w:val="20"/>
              </w:rPr>
              <w:t xml:space="preserve"> ir no 0,95 (Liepājā) līdz 1,09 (Alūksnē)</w:t>
            </w:r>
          </w:p>
        </w:tc>
        <w:tc>
          <w:tcPr>
            <w:tcW w:w="527" w:type="pct"/>
          </w:tcPr>
          <w:p w14:paraId="50C27224" w14:textId="77777777" w:rsidR="005A1C5E" w:rsidRPr="008E4EB0" w:rsidRDefault="005A1C5E" w:rsidP="005A1C5E">
            <w:pPr>
              <w:autoSpaceDE w:val="0"/>
              <w:autoSpaceDN w:val="0"/>
              <w:adjustRightInd w:val="0"/>
              <w:spacing w:after="0" w:line="240" w:lineRule="auto"/>
              <w:rPr>
                <w:rFonts w:ascii="Times New Roman" w:eastAsia="Calibri" w:hAnsi="Times New Roman" w:cs="Times New Roman"/>
                <w:sz w:val="20"/>
                <w:szCs w:val="20"/>
              </w:rPr>
            </w:pPr>
          </w:p>
        </w:tc>
      </w:tr>
      <w:tr w:rsidR="005A1C5E" w:rsidRPr="008E4EB0" w14:paraId="2E74A28C" w14:textId="77777777" w:rsidTr="00D2408E">
        <w:tc>
          <w:tcPr>
            <w:tcW w:w="1667" w:type="pct"/>
            <w:shd w:val="clear" w:color="auto" w:fill="auto"/>
            <w:vAlign w:val="center"/>
          </w:tcPr>
          <w:p w14:paraId="2EAB6513" w14:textId="77777777" w:rsidR="005A1C5E" w:rsidRPr="008E4EB0" w:rsidRDefault="005A1C5E" w:rsidP="005A1C5E">
            <w:pPr>
              <w:autoSpaceDE w:val="0"/>
              <w:autoSpaceDN w:val="0"/>
              <w:adjustRightInd w:val="0"/>
              <w:spacing w:after="0" w:line="240" w:lineRule="auto"/>
              <w:rPr>
                <w:rFonts w:ascii="Times New Roman" w:eastAsia="Calibri" w:hAnsi="Times New Roman" w:cs="Times New Roman"/>
                <w:sz w:val="20"/>
                <w:szCs w:val="20"/>
              </w:rPr>
            </w:pPr>
            <w:r w:rsidRPr="008E4EB0">
              <w:rPr>
                <w:rFonts w:ascii="Times New Roman" w:eastAsia="Calibri" w:hAnsi="Times New Roman" w:cs="Times New Roman"/>
                <w:sz w:val="20"/>
                <w:szCs w:val="20"/>
              </w:rPr>
              <w:t xml:space="preserve">Enerģijas patēriņš apkurei </w:t>
            </w:r>
          </w:p>
        </w:tc>
        <w:tc>
          <w:tcPr>
            <w:tcW w:w="1009" w:type="pct"/>
            <w:gridSpan w:val="2"/>
            <w:shd w:val="clear" w:color="auto" w:fill="auto"/>
            <w:vAlign w:val="center"/>
          </w:tcPr>
          <w:p w14:paraId="00514F37" w14:textId="77777777" w:rsidR="005A1C5E" w:rsidRPr="008E4EB0" w:rsidRDefault="005A1C5E" w:rsidP="005A1C5E">
            <w:pPr>
              <w:autoSpaceDE w:val="0"/>
              <w:autoSpaceDN w:val="0"/>
              <w:adjustRightInd w:val="0"/>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kWh/m</w:t>
            </w:r>
            <w:r w:rsidRPr="008E4EB0">
              <w:rPr>
                <w:rFonts w:ascii="Times New Roman" w:eastAsia="Calibri" w:hAnsi="Times New Roman" w:cs="Times New Roman"/>
                <w:sz w:val="20"/>
                <w:szCs w:val="20"/>
                <w:vertAlign w:val="superscript"/>
              </w:rPr>
              <w:t>2</w:t>
            </w:r>
            <w:r w:rsidRPr="008E4EB0">
              <w:rPr>
                <w:rFonts w:ascii="Times New Roman" w:eastAsia="Calibri" w:hAnsi="Times New Roman" w:cs="Times New Roman"/>
                <w:sz w:val="20"/>
                <w:szCs w:val="20"/>
              </w:rPr>
              <w:t xml:space="preserve"> gadā</w:t>
            </w:r>
          </w:p>
        </w:tc>
        <w:tc>
          <w:tcPr>
            <w:tcW w:w="600" w:type="pct"/>
            <w:shd w:val="clear" w:color="auto" w:fill="auto"/>
            <w:vAlign w:val="center"/>
          </w:tcPr>
          <w:p w14:paraId="4A58A521" w14:textId="77777777" w:rsidR="005A1C5E" w:rsidRPr="008E4EB0" w:rsidRDefault="005A1C5E" w:rsidP="005A1C5E">
            <w:pPr>
              <w:autoSpaceDE w:val="0"/>
              <w:autoSpaceDN w:val="0"/>
              <w:adjustRightInd w:val="0"/>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150 – 200</w:t>
            </w:r>
          </w:p>
        </w:tc>
        <w:tc>
          <w:tcPr>
            <w:tcW w:w="669" w:type="pct"/>
            <w:shd w:val="clear" w:color="auto" w:fill="auto"/>
            <w:vAlign w:val="center"/>
          </w:tcPr>
          <w:p w14:paraId="45C3CD03" w14:textId="77777777" w:rsidR="005A1C5E" w:rsidRPr="008E4EB0" w:rsidRDefault="005A1C5E" w:rsidP="005A1C5E">
            <w:pPr>
              <w:autoSpaceDE w:val="0"/>
              <w:autoSpaceDN w:val="0"/>
              <w:adjustRightInd w:val="0"/>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100 – 130</w:t>
            </w:r>
          </w:p>
        </w:tc>
        <w:tc>
          <w:tcPr>
            <w:tcW w:w="528" w:type="pct"/>
            <w:shd w:val="clear" w:color="auto" w:fill="auto"/>
            <w:vAlign w:val="center"/>
          </w:tcPr>
          <w:p w14:paraId="039CD525" w14:textId="77777777" w:rsidR="005A1C5E" w:rsidRPr="008E4EB0" w:rsidRDefault="005A1C5E" w:rsidP="005A1C5E">
            <w:pPr>
              <w:autoSpaceDE w:val="0"/>
              <w:autoSpaceDN w:val="0"/>
              <w:adjustRightInd w:val="0"/>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70 – 90</w:t>
            </w:r>
          </w:p>
        </w:tc>
        <w:tc>
          <w:tcPr>
            <w:tcW w:w="527" w:type="pct"/>
          </w:tcPr>
          <w:p w14:paraId="32A992E1" w14:textId="77777777" w:rsidR="005A1C5E" w:rsidRPr="008E4EB0" w:rsidRDefault="005A1C5E" w:rsidP="005A1C5E">
            <w:pPr>
              <w:autoSpaceDE w:val="0"/>
              <w:autoSpaceDN w:val="0"/>
              <w:adjustRightInd w:val="0"/>
              <w:spacing w:after="0" w:line="240" w:lineRule="auto"/>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60 – 85</w:t>
            </w:r>
          </w:p>
        </w:tc>
      </w:tr>
    </w:tbl>
    <w:p w14:paraId="306827A2" w14:textId="77777777" w:rsidR="001B0B24" w:rsidRDefault="001B0B24" w:rsidP="005A1C5E">
      <w:pPr>
        <w:spacing w:after="0" w:line="240" w:lineRule="auto"/>
        <w:contextualSpacing/>
        <w:jc w:val="center"/>
        <w:rPr>
          <w:rFonts w:ascii="Times New Roman" w:eastAsia="Calibri" w:hAnsi="Times New Roman" w:cs="Times New Roman"/>
          <w:sz w:val="24"/>
          <w:szCs w:val="24"/>
          <w:lang w:eastAsia="lv-LV"/>
        </w:rPr>
      </w:pPr>
    </w:p>
    <w:p w14:paraId="35B50859" w14:textId="4026ED3E" w:rsidR="005A1C5E" w:rsidRPr="008E4EB0" w:rsidRDefault="001740B7" w:rsidP="005A1C5E">
      <w:pPr>
        <w:spacing w:after="0" w:line="240" w:lineRule="auto"/>
        <w:contextualSpacing/>
        <w:jc w:val="center"/>
        <w:rPr>
          <w:rFonts w:ascii="Times New Roman" w:eastAsia="Calibri" w:hAnsi="Times New Roman" w:cs="Times New Roman"/>
          <w:sz w:val="24"/>
          <w:szCs w:val="24"/>
          <w:lang w:eastAsia="lv-LV"/>
        </w:rPr>
      </w:pPr>
      <w:r w:rsidRPr="008E4EB0">
        <w:rPr>
          <w:rFonts w:ascii="Times New Roman" w:eastAsia="Calibri" w:hAnsi="Times New Roman" w:cs="Times New Roman"/>
          <w:sz w:val="24"/>
          <w:szCs w:val="24"/>
          <w:lang w:eastAsia="lv-LV"/>
        </w:rPr>
        <w:t>3</w:t>
      </w:r>
      <w:r w:rsidR="005A1C5E" w:rsidRPr="008E4EB0">
        <w:rPr>
          <w:rFonts w:ascii="Times New Roman" w:eastAsia="Calibri" w:hAnsi="Times New Roman" w:cs="Times New Roman"/>
          <w:sz w:val="24"/>
          <w:szCs w:val="24"/>
          <w:lang w:eastAsia="lv-LV"/>
        </w:rPr>
        <w:t>.attēls. Ēku norobežojošo konstrukciju siltumtehnisko normatīvo prasību izmaiņas kopš 1980. gada.</w:t>
      </w:r>
      <w:r w:rsidR="005A1C5E" w:rsidRPr="008E4EB0" w:rsidDel="00C31ED3">
        <w:rPr>
          <w:rFonts w:ascii="Times New Roman" w:eastAsia="Calibri" w:hAnsi="Times New Roman" w:cs="Times New Roman"/>
          <w:sz w:val="24"/>
          <w:szCs w:val="24"/>
          <w:vertAlign w:val="superscript"/>
          <w:lang w:eastAsia="lv-LV"/>
        </w:rPr>
        <w:t xml:space="preserve"> </w:t>
      </w:r>
    </w:p>
    <w:p w14:paraId="7D0E1BEA" w14:textId="77777777" w:rsidR="005A1C5E" w:rsidRPr="008E4EB0" w:rsidRDefault="005A1C5E" w:rsidP="005A1C5E">
      <w:pPr>
        <w:spacing w:after="0" w:line="240" w:lineRule="auto"/>
        <w:contextualSpacing/>
        <w:jc w:val="center"/>
        <w:rPr>
          <w:rFonts w:ascii="Times New Roman" w:eastAsia="Calibri" w:hAnsi="Times New Roman" w:cs="Times New Roman"/>
          <w:sz w:val="28"/>
          <w:highlight w:val="yellow"/>
          <w:lang w:eastAsia="lv-LV"/>
        </w:rPr>
      </w:pPr>
    </w:p>
    <w:p w14:paraId="2151DB31" w14:textId="77777777" w:rsidR="005A1C5E" w:rsidRPr="008E4EB0" w:rsidRDefault="005A1C5E" w:rsidP="005A1C5E">
      <w:pPr>
        <w:spacing w:after="0" w:line="240" w:lineRule="auto"/>
        <w:contextualSpacing/>
        <w:jc w:val="center"/>
        <w:rPr>
          <w:rFonts w:ascii="Times New Roman" w:eastAsia="Calibri" w:hAnsi="Times New Roman" w:cs="Times New Roman"/>
          <w:sz w:val="24"/>
          <w:szCs w:val="24"/>
          <w:lang w:eastAsia="lv-LV"/>
        </w:rPr>
      </w:pPr>
      <w:r w:rsidRPr="008E4EB0">
        <w:rPr>
          <w:rFonts w:ascii="Times New Roman" w:eastAsia="Calibri" w:hAnsi="Times New Roman" w:cs="Times New Roman"/>
          <w:noProof/>
          <w:sz w:val="28"/>
          <w:lang w:eastAsia="lv-LV"/>
        </w:rPr>
        <w:drawing>
          <wp:inline distT="0" distB="0" distL="0" distR="0" wp14:anchorId="6BA2CF35" wp14:editId="5FF4134C">
            <wp:extent cx="5343525" cy="27432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C52B1F4" w14:textId="77777777" w:rsidR="005A1C5E" w:rsidRPr="008E4EB0" w:rsidRDefault="005A1C5E" w:rsidP="005A1C5E">
      <w:pPr>
        <w:spacing w:after="0" w:line="240" w:lineRule="auto"/>
        <w:contextualSpacing/>
        <w:jc w:val="center"/>
        <w:rPr>
          <w:rFonts w:ascii="Times New Roman" w:eastAsia="Calibri" w:hAnsi="Times New Roman" w:cs="Times New Roman"/>
          <w:sz w:val="24"/>
          <w:szCs w:val="24"/>
          <w:highlight w:val="yellow"/>
          <w:lang w:eastAsia="lv-LV"/>
        </w:rPr>
      </w:pPr>
    </w:p>
    <w:p w14:paraId="6B81BE98" w14:textId="77777777" w:rsidR="005A1C5E" w:rsidRPr="008E4EB0" w:rsidRDefault="005A1C5E" w:rsidP="001B0B24">
      <w:pPr>
        <w:spacing w:after="0" w:line="240" w:lineRule="auto"/>
        <w:ind w:firstLine="851"/>
        <w:contextualSpacing/>
        <w:jc w:val="both"/>
        <w:rPr>
          <w:rFonts w:ascii="Times New Roman" w:eastAsia="Calibri" w:hAnsi="Times New Roman" w:cs="Times New Roman"/>
          <w:sz w:val="24"/>
          <w:szCs w:val="24"/>
          <w:lang w:eastAsia="lv-LV"/>
        </w:rPr>
      </w:pPr>
      <w:r w:rsidRPr="008E4EB0">
        <w:rPr>
          <w:rFonts w:ascii="Times New Roman" w:eastAsia="Calibri" w:hAnsi="Times New Roman" w:cs="Times New Roman"/>
          <w:sz w:val="24"/>
          <w:szCs w:val="24"/>
          <w:lang w:eastAsia="lv-LV"/>
        </w:rPr>
        <w:lastRenderedPageBreak/>
        <w:t>Gan pirms, gan pēc kara būvētajām ēkām norobežojošo konstrukciju īpašības parasti pamatotas ar būvfizikas aprēķiniem, kas veikti ar mērķi novērst mitruma veidošanos uz ārsienu iekšējās virsmas, lai nepieļautu ārsienu caursalšanu. Pareizi uzbūvētām ēkām siltuma caurlaidības koeficientu U vērtība parasti nav zemāka par 1.3 [W/(m</w:t>
      </w:r>
      <w:r w:rsidRPr="008E4EB0">
        <w:rPr>
          <w:rFonts w:ascii="Times New Roman" w:eastAsia="Calibri" w:hAnsi="Times New Roman" w:cs="Times New Roman"/>
          <w:sz w:val="24"/>
          <w:szCs w:val="24"/>
          <w:vertAlign w:val="superscript"/>
          <w:lang w:eastAsia="lv-LV"/>
        </w:rPr>
        <w:t>2</w:t>
      </w:r>
      <w:r w:rsidRPr="008E4EB0">
        <w:rPr>
          <w:rFonts w:ascii="Times New Roman" w:eastAsia="Calibri" w:hAnsi="Times New Roman" w:cs="Times New Roman"/>
          <w:sz w:val="24"/>
          <w:szCs w:val="24"/>
          <w:lang w:eastAsia="lv-LV"/>
        </w:rPr>
        <w:t xml:space="preserve"> K)]. Pētījumi liecina, ka Padomju Sociālistisko Republiku Savienības (PSRS) laikā uzbūvēto tipveida ēku norobežojošo konstrukciju siltumtehniskie rādītāji parasti ir robežās no 0.8 līdz 1.2, taču ir gadījumi, kad ārsienām U faktiskās vērtības ir līdz 2.0 [W/(m</w:t>
      </w:r>
      <w:r w:rsidRPr="008E4EB0">
        <w:rPr>
          <w:rFonts w:ascii="Times New Roman" w:eastAsia="Calibri" w:hAnsi="Times New Roman" w:cs="Times New Roman"/>
          <w:sz w:val="24"/>
          <w:szCs w:val="24"/>
          <w:vertAlign w:val="superscript"/>
          <w:lang w:eastAsia="lv-LV"/>
        </w:rPr>
        <w:t>2</w:t>
      </w:r>
      <w:r w:rsidRPr="008E4EB0">
        <w:rPr>
          <w:rFonts w:ascii="Times New Roman" w:eastAsia="Calibri" w:hAnsi="Times New Roman" w:cs="Times New Roman"/>
          <w:sz w:val="24"/>
          <w:szCs w:val="24"/>
          <w:lang w:eastAsia="lv-LV"/>
        </w:rPr>
        <w:t> K)]</w:t>
      </w:r>
      <w:r w:rsidRPr="008E4EB0">
        <w:rPr>
          <w:rFonts w:ascii="Times New Roman" w:eastAsia="Calibri" w:hAnsi="Times New Roman" w:cs="Times New Roman"/>
          <w:sz w:val="24"/>
          <w:szCs w:val="24"/>
          <w:vertAlign w:val="superscript"/>
          <w:lang w:eastAsia="lv-LV"/>
        </w:rPr>
        <w:t xml:space="preserve"> </w:t>
      </w:r>
      <w:r w:rsidRPr="008E4EB0">
        <w:rPr>
          <w:rFonts w:ascii="Times New Roman" w:eastAsia="Calibri" w:hAnsi="Times New Roman" w:cs="Times New Roman"/>
          <w:sz w:val="24"/>
          <w:szCs w:val="24"/>
          <w:vertAlign w:val="superscript"/>
          <w:lang w:eastAsia="lv-LV"/>
        </w:rPr>
        <w:footnoteReference w:id="6"/>
      </w:r>
      <w:r w:rsidRPr="008E4EB0">
        <w:rPr>
          <w:rFonts w:ascii="Times New Roman" w:eastAsia="Calibri" w:hAnsi="Times New Roman" w:cs="Times New Roman"/>
          <w:sz w:val="24"/>
          <w:szCs w:val="24"/>
          <w:lang w:eastAsia="lv-LV"/>
        </w:rPr>
        <w:t xml:space="preserve">. </w:t>
      </w:r>
    </w:p>
    <w:p w14:paraId="6B79CF11" w14:textId="3E6176D4" w:rsidR="005A1C5E" w:rsidRPr="008E4EB0" w:rsidRDefault="005A1C5E" w:rsidP="005A1C5E">
      <w:pPr>
        <w:spacing w:after="0" w:line="240" w:lineRule="auto"/>
        <w:ind w:firstLine="851"/>
        <w:contextualSpacing/>
        <w:jc w:val="both"/>
        <w:rPr>
          <w:rFonts w:ascii="Times New Roman" w:eastAsia="Calibri" w:hAnsi="Times New Roman" w:cs="Times New Roman"/>
          <w:sz w:val="24"/>
          <w:szCs w:val="24"/>
          <w:lang w:eastAsia="lv-LV"/>
        </w:rPr>
      </w:pPr>
      <w:r w:rsidRPr="008E4EB0">
        <w:rPr>
          <w:rFonts w:ascii="Times New Roman" w:eastAsia="Calibri" w:hAnsi="Times New Roman" w:cs="Times New Roman"/>
          <w:sz w:val="24"/>
          <w:szCs w:val="24"/>
        </w:rPr>
        <w:t>Ņemot vērā klimatiskos apstākļus, ēku vajadzības apkurei Latvijā (4035 apkures grādu dienas) ir būtiski lielāka nekā vidēji Eiropā (3067 apkures grādu dienas)</w:t>
      </w:r>
      <w:r w:rsidRPr="008E4EB0">
        <w:rPr>
          <w:rFonts w:ascii="Times New Roman" w:eastAsia="Calibri" w:hAnsi="Times New Roman" w:cs="Times New Roman"/>
          <w:sz w:val="24"/>
          <w:szCs w:val="24"/>
          <w:vertAlign w:val="superscript"/>
        </w:rPr>
        <w:footnoteReference w:id="7"/>
      </w:r>
      <w:r w:rsidRPr="008E4EB0">
        <w:rPr>
          <w:rFonts w:ascii="Times New Roman" w:eastAsia="Calibri" w:hAnsi="Times New Roman" w:cs="Times New Roman"/>
          <w:sz w:val="24"/>
          <w:szCs w:val="24"/>
        </w:rPr>
        <w:t xml:space="preserve">. </w:t>
      </w:r>
      <w:r w:rsidRPr="008E4EB0">
        <w:rPr>
          <w:rFonts w:ascii="Times New Roman" w:eastAsia="Calibri" w:hAnsi="Times New Roman" w:cs="Times New Roman"/>
          <w:sz w:val="24"/>
          <w:szCs w:val="24"/>
          <w:lang w:eastAsia="lv-LV"/>
        </w:rPr>
        <w:t xml:space="preserve">Tikai ēkas, kas uzbūvētas pēc </w:t>
      </w:r>
      <w:r w:rsidR="007F7661" w:rsidRPr="008E4EB0">
        <w:rPr>
          <w:rFonts w:ascii="Times New Roman" w:eastAsia="Calibri" w:hAnsi="Times New Roman" w:cs="Times New Roman"/>
          <w:sz w:val="24"/>
          <w:szCs w:val="24"/>
          <w:lang w:eastAsia="lv-LV"/>
        </w:rPr>
        <w:t>20</w:t>
      </w:r>
      <w:r w:rsidR="007F7661">
        <w:rPr>
          <w:rFonts w:ascii="Times New Roman" w:eastAsia="Calibri" w:hAnsi="Times New Roman" w:cs="Times New Roman"/>
          <w:sz w:val="24"/>
          <w:szCs w:val="24"/>
          <w:lang w:eastAsia="lv-LV"/>
        </w:rPr>
        <w:t>15</w:t>
      </w:r>
      <w:r w:rsidRPr="008E4EB0">
        <w:rPr>
          <w:rFonts w:ascii="Times New Roman" w:eastAsia="Calibri" w:hAnsi="Times New Roman" w:cs="Times New Roman"/>
          <w:sz w:val="24"/>
          <w:szCs w:val="24"/>
          <w:lang w:eastAsia="lv-LV"/>
        </w:rPr>
        <w:t xml:space="preserve">. gada var tikt uzskatītas par atbilstošām šobrīd spēkā esošām siltumtehniskām prasībām. Tikai nedaudz zemākas siltumtehniskās īpašības ir ēkām, kuras būvētas no </w:t>
      </w:r>
      <w:r w:rsidR="005430C8">
        <w:rPr>
          <w:rFonts w:ascii="Times New Roman" w:eastAsia="Calibri" w:hAnsi="Times New Roman" w:cs="Times New Roman"/>
          <w:sz w:val="24"/>
          <w:szCs w:val="24"/>
          <w:lang w:eastAsia="lv-LV"/>
        </w:rPr>
        <w:t>2003</w:t>
      </w:r>
      <w:r w:rsidRPr="008E4EB0">
        <w:rPr>
          <w:rFonts w:ascii="Times New Roman" w:eastAsia="Calibri" w:hAnsi="Times New Roman" w:cs="Times New Roman"/>
          <w:sz w:val="24"/>
          <w:szCs w:val="24"/>
          <w:lang w:eastAsia="lv-LV"/>
        </w:rPr>
        <w:t>. līdz 20</w:t>
      </w:r>
      <w:r w:rsidR="005430C8">
        <w:rPr>
          <w:rFonts w:ascii="Times New Roman" w:eastAsia="Calibri" w:hAnsi="Times New Roman" w:cs="Times New Roman"/>
          <w:sz w:val="24"/>
          <w:szCs w:val="24"/>
          <w:lang w:eastAsia="lv-LV"/>
        </w:rPr>
        <w:t>15</w:t>
      </w:r>
      <w:r w:rsidRPr="008E4EB0">
        <w:rPr>
          <w:rFonts w:ascii="Times New Roman" w:eastAsia="Calibri" w:hAnsi="Times New Roman" w:cs="Times New Roman"/>
          <w:sz w:val="24"/>
          <w:szCs w:val="24"/>
          <w:lang w:eastAsia="lv-LV"/>
        </w:rPr>
        <w:t>. gadam. Vienlaikus jānorāda, ka normatīvo siltumtehnisko prasību izpilde ne vienmēr tiek nodrošināta gan zemās būvdarbu kvalitātes dēļ, gan arī būvprojektos pieļauto kļūdu dēļ.</w:t>
      </w:r>
    </w:p>
    <w:p w14:paraId="7EC38C35" w14:textId="22A08362" w:rsidR="005A1C5E" w:rsidRPr="008E4EB0" w:rsidRDefault="005A1C5E" w:rsidP="00D73217">
      <w:pPr>
        <w:spacing w:after="0" w:line="240" w:lineRule="auto"/>
        <w:ind w:firstLine="851"/>
        <w:contextualSpacing/>
        <w:jc w:val="both"/>
        <w:rPr>
          <w:rFonts w:ascii="Times New Roman" w:eastAsia="Calibri" w:hAnsi="Times New Roman" w:cs="Times New Roman"/>
          <w:sz w:val="24"/>
          <w:szCs w:val="24"/>
          <w:lang w:eastAsia="lv-LV"/>
        </w:rPr>
      </w:pPr>
      <w:r w:rsidRPr="008E4EB0">
        <w:rPr>
          <w:rFonts w:ascii="Times New Roman" w:eastAsia="Calibri" w:hAnsi="Times New Roman" w:cs="Times New Roman"/>
          <w:sz w:val="24"/>
          <w:szCs w:val="24"/>
          <w:lang w:eastAsia="lv-LV"/>
        </w:rPr>
        <w:t>Analizējot uzbūvētos mājokļus mājas pēc to ārsienu materiāla veida 2015.gadā, visvairāk ir uzbūvētas betona, dzelzsbetona ēkas (33,6%) un ķieģeļu mūra ēkas (33%). Tikmēr mājokļi, kuru ārsienu materiālam izmantots koks ir tikai 15,5%. (</w:t>
      </w:r>
      <w:r w:rsidR="001740B7" w:rsidRPr="008E4EB0">
        <w:rPr>
          <w:rFonts w:ascii="Times New Roman" w:eastAsia="Calibri" w:hAnsi="Times New Roman" w:cs="Times New Roman"/>
          <w:sz w:val="24"/>
          <w:szCs w:val="24"/>
          <w:lang w:eastAsia="lv-LV"/>
        </w:rPr>
        <w:t>4</w:t>
      </w:r>
      <w:r w:rsidRPr="008E4EB0">
        <w:rPr>
          <w:rFonts w:ascii="Times New Roman" w:eastAsia="Calibri" w:hAnsi="Times New Roman" w:cs="Times New Roman"/>
          <w:sz w:val="24"/>
          <w:szCs w:val="24"/>
          <w:lang w:eastAsia="lv-LV"/>
        </w:rPr>
        <w:t xml:space="preserve">.attēls). </w:t>
      </w:r>
      <w:r w:rsidR="00D73217" w:rsidRPr="008E4EB0">
        <w:rPr>
          <w:rFonts w:ascii="Times New Roman" w:eastAsia="Calibri" w:hAnsi="Times New Roman" w:cs="Times New Roman"/>
          <w:sz w:val="24"/>
          <w:szCs w:val="24"/>
          <w:lang w:eastAsia="lv-LV"/>
        </w:rPr>
        <w:t xml:space="preserve">Viens no iemesliem šādai statistikai ir saistāms ar to, ka līdz </w:t>
      </w:r>
      <w:r w:rsidR="008B37E8">
        <w:rPr>
          <w:rFonts w:ascii="Times New Roman" w:eastAsia="Calibri" w:hAnsi="Times New Roman" w:cs="Times New Roman"/>
          <w:sz w:val="24"/>
          <w:szCs w:val="24"/>
          <w:lang w:eastAsia="lv-LV"/>
        </w:rPr>
        <w:t xml:space="preserve">šim </w:t>
      </w:r>
      <w:r w:rsidR="00D73217" w:rsidRPr="008E4EB0">
        <w:rPr>
          <w:rFonts w:ascii="Times New Roman" w:eastAsia="Calibri" w:hAnsi="Times New Roman" w:cs="Times New Roman"/>
          <w:sz w:val="24"/>
          <w:szCs w:val="24"/>
          <w:lang w:eastAsia="lv-LV"/>
        </w:rPr>
        <w:t xml:space="preserve">tika ļoti ierobežota iespēja izmantot koksnes būvizstrādājumu izmantošanu jaunu ēku būvniecībā, taču no 2017 gada 1.maija stāsies spēkā grozījumi </w:t>
      </w:r>
      <w:r w:rsidR="002705B8" w:rsidRPr="008E4EB0">
        <w:rPr>
          <w:rFonts w:ascii="Times New Roman" w:eastAsia="Calibri" w:hAnsi="Times New Roman" w:cs="Times New Roman"/>
          <w:sz w:val="24"/>
          <w:szCs w:val="24"/>
          <w:lang w:eastAsia="lv-LV"/>
        </w:rPr>
        <w:t xml:space="preserve">Ministru kabineta 2015. gada 30. jūnija noteikumos Nr.333 “Noteikumi par Latvijas būvnormatīvu LBN 201-15 “Būvju ugunsdrošība””, </w:t>
      </w:r>
      <w:r w:rsidR="00D73217" w:rsidRPr="008E4EB0">
        <w:rPr>
          <w:rFonts w:ascii="Times New Roman" w:eastAsia="Calibri" w:hAnsi="Times New Roman" w:cs="Times New Roman"/>
          <w:sz w:val="24"/>
          <w:szCs w:val="24"/>
          <w:lang w:eastAsia="lv-LV"/>
        </w:rPr>
        <w:t>kas paredz, ka t</w:t>
      </w:r>
      <w:r w:rsidR="002705B8" w:rsidRPr="008E4EB0">
        <w:rPr>
          <w:rFonts w:ascii="Times New Roman" w:eastAsia="Calibri" w:hAnsi="Times New Roman" w:cs="Times New Roman"/>
          <w:sz w:val="24"/>
          <w:szCs w:val="24"/>
          <w:lang w:eastAsia="lv-LV"/>
        </w:rPr>
        <w:t xml:space="preserve">urpmāk Latvijā </w:t>
      </w:r>
      <w:r w:rsidR="00B07322" w:rsidRPr="008E4EB0">
        <w:rPr>
          <w:rFonts w:ascii="Times New Roman" w:eastAsia="Calibri" w:hAnsi="Times New Roman" w:cs="Times New Roman"/>
          <w:sz w:val="24"/>
          <w:szCs w:val="24"/>
          <w:lang w:eastAsia="lv-LV"/>
        </w:rPr>
        <w:t xml:space="preserve">izmantojot koksnes būvizstrādājumus </w:t>
      </w:r>
      <w:r w:rsidR="002705B8" w:rsidRPr="008E4EB0">
        <w:rPr>
          <w:rFonts w:ascii="Times New Roman" w:eastAsia="Calibri" w:hAnsi="Times New Roman" w:cs="Times New Roman"/>
          <w:sz w:val="24"/>
          <w:szCs w:val="24"/>
          <w:lang w:eastAsia="lv-LV"/>
        </w:rPr>
        <w:t>būs atļauts būvēt</w:t>
      </w:r>
      <w:r w:rsidR="00D73217" w:rsidRPr="008E4EB0">
        <w:rPr>
          <w:rFonts w:ascii="Times New Roman" w:eastAsia="Calibri" w:hAnsi="Times New Roman" w:cs="Times New Roman"/>
          <w:sz w:val="24"/>
          <w:szCs w:val="24"/>
          <w:lang w:eastAsia="lv-LV"/>
        </w:rPr>
        <w:t xml:space="preserve"> līdz pat 18 m (iepriekš līdz 8 m) </w:t>
      </w:r>
      <w:r w:rsidR="002705B8" w:rsidRPr="008E4EB0">
        <w:rPr>
          <w:rFonts w:ascii="Times New Roman" w:eastAsia="Calibri" w:hAnsi="Times New Roman" w:cs="Times New Roman"/>
          <w:sz w:val="24"/>
          <w:szCs w:val="24"/>
          <w:lang w:eastAsia="lv-LV"/>
        </w:rPr>
        <w:t>un līdz pat 6 stāvu (iepriekš līdz 3 stāviem) augstas jaunas dzīvojamās un publiskas ēkas (piemēram, viesnīcas, viesu mājas, birojus, administratīvās ēkas).</w:t>
      </w:r>
    </w:p>
    <w:p w14:paraId="0D02AAE7" w14:textId="77777777" w:rsidR="001740B7" w:rsidRPr="008E4EB0" w:rsidRDefault="001740B7" w:rsidP="005A1C5E">
      <w:pPr>
        <w:spacing w:after="0" w:line="240" w:lineRule="auto"/>
        <w:ind w:firstLine="851"/>
        <w:contextualSpacing/>
        <w:jc w:val="both"/>
        <w:rPr>
          <w:rFonts w:ascii="Times New Roman" w:eastAsia="Calibri" w:hAnsi="Times New Roman" w:cs="Times New Roman"/>
          <w:sz w:val="24"/>
          <w:szCs w:val="24"/>
          <w:lang w:eastAsia="lv-LV"/>
        </w:rPr>
      </w:pPr>
    </w:p>
    <w:p w14:paraId="2EE6CCEF" w14:textId="30036623" w:rsidR="005A1C5E" w:rsidRPr="008E4EB0" w:rsidRDefault="001740B7" w:rsidP="003207BB">
      <w:pPr>
        <w:keepNext/>
        <w:spacing w:after="0" w:line="240" w:lineRule="auto"/>
        <w:ind w:firstLine="851"/>
        <w:contextualSpacing/>
        <w:jc w:val="both"/>
        <w:rPr>
          <w:rFonts w:ascii="Times New Roman" w:eastAsia="Calibri" w:hAnsi="Times New Roman" w:cs="Times New Roman"/>
          <w:sz w:val="24"/>
          <w:szCs w:val="24"/>
          <w:lang w:eastAsia="lv-LV"/>
        </w:rPr>
      </w:pPr>
      <w:r w:rsidRPr="008E4EB0">
        <w:rPr>
          <w:rFonts w:ascii="Times New Roman" w:eastAsia="Calibri" w:hAnsi="Times New Roman" w:cs="Times New Roman"/>
          <w:sz w:val="24"/>
          <w:szCs w:val="24"/>
          <w:lang w:eastAsia="lv-LV"/>
        </w:rPr>
        <w:t>4</w:t>
      </w:r>
      <w:r w:rsidR="005A1C5E" w:rsidRPr="008E4EB0">
        <w:rPr>
          <w:rFonts w:ascii="Times New Roman" w:eastAsia="Calibri" w:hAnsi="Times New Roman" w:cs="Times New Roman"/>
          <w:sz w:val="24"/>
          <w:szCs w:val="24"/>
          <w:lang w:eastAsia="lv-LV"/>
        </w:rPr>
        <w:t>.attēls</w:t>
      </w:r>
      <w:r w:rsidR="003207BB" w:rsidRPr="008E4EB0">
        <w:rPr>
          <w:rFonts w:ascii="Times New Roman" w:eastAsia="Calibri" w:hAnsi="Times New Roman" w:cs="Times New Roman"/>
          <w:sz w:val="24"/>
          <w:szCs w:val="24"/>
          <w:lang w:eastAsia="lv-LV"/>
        </w:rPr>
        <w:t xml:space="preserve">. </w:t>
      </w:r>
      <w:r w:rsidR="002705B8" w:rsidRPr="008E4EB0">
        <w:rPr>
          <w:rFonts w:ascii="Times New Roman" w:eastAsia="Calibri" w:hAnsi="Times New Roman" w:cs="Times New Roman"/>
          <w:sz w:val="24"/>
          <w:szCs w:val="24"/>
          <w:lang w:eastAsia="lv-LV"/>
        </w:rPr>
        <w:t xml:space="preserve">Mājokļu sadalījums pēc ēkas </w:t>
      </w:r>
      <w:r w:rsidR="003207BB" w:rsidRPr="008E4EB0">
        <w:rPr>
          <w:rFonts w:ascii="Times New Roman" w:eastAsia="Calibri" w:hAnsi="Times New Roman" w:cs="Times New Roman"/>
          <w:sz w:val="24"/>
          <w:szCs w:val="24"/>
          <w:lang w:eastAsia="lv-LV"/>
        </w:rPr>
        <w:t>ārsienu materiāla veida  (%)</w:t>
      </w:r>
    </w:p>
    <w:p w14:paraId="6750B414" w14:textId="77777777" w:rsidR="005A1C5E" w:rsidRPr="008E4EB0" w:rsidRDefault="005A1C5E" w:rsidP="005A1C5E">
      <w:pPr>
        <w:spacing w:after="0" w:line="240" w:lineRule="auto"/>
        <w:ind w:firstLine="851"/>
        <w:contextualSpacing/>
        <w:jc w:val="both"/>
        <w:rPr>
          <w:rFonts w:ascii="Times New Roman" w:eastAsia="Calibri" w:hAnsi="Times New Roman" w:cs="Times New Roman"/>
          <w:sz w:val="24"/>
          <w:szCs w:val="24"/>
          <w:lang w:eastAsia="lv-LV"/>
        </w:rPr>
      </w:pPr>
      <w:r w:rsidRPr="008E4EB0">
        <w:rPr>
          <w:rFonts w:ascii="Times New Roman" w:eastAsia="Calibri" w:hAnsi="Times New Roman" w:cs="Times New Roman"/>
          <w:noProof/>
          <w:sz w:val="28"/>
          <w:lang w:eastAsia="lv-LV"/>
        </w:rPr>
        <w:drawing>
          <wp:inline distT="0" distB="0" distL="0" distR="0" wp14:anchorId="31952BF1" wp14:editId="42C39484">
            <wp:extent cx="4572000" cy="27432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7A441FA" w14:textId="4F6364BC" w:rsidR="005A1C5E" w:rsidRDefault="005A1C5E" w:rsidP="005A1C5E">
      <w:pPr>
        <w:tabs>
          <w:tab w:val="left" w:pos="2025"/>
        </w:tabs>
        <w:spacing w:after="60" w:line="240" w:lineRule="auto"/>
        <w:contextualSpacing/>
        <w:rPr>
          <w:rFonts w:ascii="Times New Roman" w:eastAsia="Calibri" w:hAnsi="Times New Roman" w:cs="Times New Roman"/>
          <w:sz w:val="28"/>
          <w:lang w:eastAsia="lv-LV"/>
        </w:rPr>
      </w:pPr>
    </w:p>
    <w:p w14:paraId="331C6D05" w14:textId="77777777" w:rsidR="00387744" w:rsidRPr="008E4EB0" w:rsidRDefault="00387744" w:rsidP="005A1C5E">
      <w:pPr>
        <w:tabs>
          <w:tab w:val="left" w:pos="2025"/>
        </w:tabs>
        <w:spacing w:after="60" w:line="240" w:lineRule="auto"/>
        <w:contextualSpacing/>
        <w:rPr>
          <w:rFonts w:ascii="Times New Roman" w:eastAsia="Calibri" w:hAnsi="Times New Roman" w:cs="Times New Roman"/>
          <w:sz w:val="28"/>
          <w:lang w:eastAsia="lv-LV"/>
        </w:rPr>
      </w:pPr>
    </w:p>
    <w:p w14:paraId="12786771" w14:textId="1C9C17C7" w:rsidR="00990903" w:rsidRPr="008E4EB0" w:rsidRDefault="00990903" w:rsidP="00D82FCF">
      <w:pPr>
        <w:pStyle w:val="apakapakvirsraksts"/>
      </w:pPr>
      <w:bookmarkStart w:id="31" w:name="_Toc480527954"/>
      <w:bookmarkStart w:id="32" w:name="_Toc491870906"/>
      <w:r w:rsidRPr="008E4EB0">
        <w:lastRenderedPageBreak/>
        <w:t>Uzturēšanas režīmi (obligātās ikgadējās drošības pārbaudes/apkopes)</w:t>
      </w:r>
      <w:bookmarkEnd w:id="31"/>
      <w:bookmarkEnd w:id="32"/>
    </w:p>
    <w:p w14:paraId="7C2F0EA7" w14:textId="77777777" w:rsidR="005A1C5E" w:rsidRPr="008E4EB0" w:rsidRDefault="005A1C5E" w:rsidP="005A1C5E">
      <w:pPr>
        <w:spacing w:after="0" w:line="276" w:lineRule="auto"/>
        <w:jc w:val="both"/>
        <w:rPr>
          <w:rFonts w:ascii="Times New Roman" w:hAnsi="Times New Roman" w:cs="Times New Roman"/>
          <w:sz w:val="24"/>
          <w:szCs w:val="24"/>
        </w:rPr>
      </w:pPr>
    </w:p>
    <w:p w14:paraId="54C76ED7" w14:textId="22E4915A" w:rsidR="005A1C5E" w:rsidRPr="008E4EB0" w:rsidRDefault="00F06E86" w:rsidP="005A1C5E">
      <w:pPr>
        <w:spacing w:after="60" w:line="240" w:lineRule="auto"/>
        <w:ind w:firstLine="851"/>
        <w:contextualSpacing/>
        <w:jc w:val="both"/>
        <w:rPr>
          <w:rFonts w:ascii="Times New Roman" w:eastAsia="Calibri" w:hAnsi="Times New Roman" w:cs="Times New Roman"/>
          <w:sz w:val="24"/>
          <w:szCs w:val="24"/>
          <w:lang w:eastAsia="lv-LV"/>
        </w:rPr>
      </w:pPr>
      <w:r w:rsidRPr="008E4EB0">
        <w:rPr>
          <w:rFonts w:ascii="Times New Roman" w:eastAsia="Calibri" w:hAnsi="Times New Roman" w:cs="Times New Roman"/>
          <w:sz w:val="24"/>
          <w:szCs w:val="24"/>
          <w:lang w:eastAsia="lv-LV"/>
        </w:rPr>
        <w:t>Atbilstoši</w:t>
      </w:r>
      <w:r w:rsidR="005A1C5E" w:rsidRPr="008E4EB0">
        <w:rPr>
          <w:rFonts w:ascii="Times New Roman" w:eastAsia="Times New Roman" w:hAnsi="Times New Roman" w:cs="Times New Roman"/>
          <w:bCs/>
          <w:sz w:val="24"/>
          <w:szCs w:val="24"/>
          <w:lang w:eastAsia="lv-LV"/>
        </w:rPr>
        <w:t xml:space="preserve"> 2013.gada 9.jūlija  noteikumi </w:t>
      </w:r>
      <w:r w:rsidRPr="008E4EB0">
        <w:rPr>
          <w:rFonts w:ascii="Times New Roman" w:eastAsia="Times New Roman" w:hAnsi="Times New Roman" w:cs="Times New Roman"/>
          <w:bCs/>
          <w:sz w:val="24"/>
          <w:szCs w:val="24"/>
          <w:lang w:eastAsia="lv-LV"/>
        </w:rPr>
        <w:t xml:space="preserve">Ministru kabineta noteikumiem </w:t>
      </w:r>
      <w:r w:rsidR="005A1C5E" w:rsidRPr="008E4EB0">
        <w:rPr>
          <w:rFonts w:ascii="Times New Roman" w:eastAsia="Times New Roman" w:hAnsi="Times New Roman" w:cs="Times New Roman"/>
          <w:bCs/>
          <w:sz w:val="24"/>
          <w:szCs w:val="24"/>
          <w:lang w:eastAsia="lv-LV"/>
        </w:rPr>
        <w:t>Nr.383 „Noteikumi par ēku energosertifikāciju”</w:t>
      </w:r>
      <w:r w:rsidR="00206F8F" w:rsidRPr="008E4EB0">
        <w:rPr>
          <w:rFonts w:ascii="Times New Roman" w:eastAsia="Times New Roman" w:hAnsi="Times New Roman" w:cs="Times New Roman"/>
          <w:bCs/>
          <w:sz w:val="24"/>
          <w:szCs w:val="24"/>
          <w:lang w:eastAsia="lv-LV"/>
        </w:rPr>
        <w:t xml:space="preserve"> IV daļas prasībām ēkas īpašniekiem regulāri jānodrošina apkures un gaisa kondicionēšanas sistēmu pārbaudes</w:t>
      </w:r>
      <w:r w:rsidR="005A1C5E" w:rsidRPr="008E4EB0">
        <w:rPr>
          <w:rFonts w:ascii="Times New Roman" w:eastAsia="Times New Roman" w:hAnsi="Times New Roman" w:cs="Times New Roman"/>
          <w:bCs/>
          <w:sz w:val="24"/>
          <w:szCs w:val="24"/>
          <w:lang w:eastAsia="lv-LV"/>
        </w:rPr>
        <w:t>.</w:t>
      </w:r>
    </w:p>
    <w:p w14:paraId="01F4118A" w14:textId="77777777" w:rsidR="005A1C5E" w:rsidRPr="008E4EB0" w:rsidRDefault="005A1C5E" w:rsidP="005A1C5E">
      <w:pPr>
        <w:spacing w:after="0" w:line="240" w:lineRule="auto"/>
        <w:ind w:firstLine="851"/>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 xml:space="preserve">Apkures sistēmu pārbaudi veic ēku apkures sistēmu pieejamām daļām (piemēram, siltuma ģeneratoram, kontroles sistēmai un cirkulācijas sūknim vai sūkņiem), ja šo sistēmu apkures katlu lietderīgā nominālā jauda telpu apkures mērķim ir vairāk nekā 20 kilovati. </w:t>
      </w:r>
    </w:p>
    <w:p w14:paraId="0B519009" w14:textId="3A631066" w:rsidR="005A1C5E" w:rsidRPr="008E4EB0" w:rsidRDefault="005A1C5E" w:rsidP="005A1C5E">
      <w:pPr>
        <w:spacing w:after="0" w:line="240" w:lineRule="auto"/>
        <w:ind w:firstLine="851"/>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 xml:space="preserve">Apkures sistēmas pārbaude ietver apkures katla efektivitātes novērtējumu un apkures katla Apkures katlus </w:t>
      </w:r>
      <w:r w:rsidRPr="00BF58E9">
        <w:t>pārbauda</w:t>
      </w:r>
      <w:r w:rsidRPr="008E4EB0">
        <w:rPr>
          <w:rFonts w:ascii="Times New Roman" w:eastAsia="Calibri" w:hAnsi="Times New Roman" w:cs="Times New Roman"/>
          <w:sz w:val="24"/>
          <w:szCs w:val="24"/>
        </w:rPr>
        <w:t xml:space="preserve"> saskaņā ar standartu LVS EN 15378:2009</w:t>
      </w:r>
      <w:r w:rsidR="001740B7" w:rsidRPr="008E4EB0">
        <w:rPr>
          <w:rFonts w:ascii="Times New Roman" w:eastAsia="Calibri" w:hAnsi="Times New Roman" w:cs="Times New Roman"/>
          <w:sz w:val="24"/>
          <w:szCs w:val="24"/>
        </w:rPr>
        <w:t>L</w:t>
      </w:r>
      <w:r w:rsidRPr="008E4EB0">
        <w:rPr>
          <w:rFonts w:ascii="Times New Roman" w:eastAsia="Calibri" w:hAnsi="Times New Roman" w:cs="Times New Roman"/>
          <w:sz w:val="24"/>
          <w:szCs w:val="24"/>
        </w:rPr>
        <w:t xml:space="preserve"> „Ēku apkures sistēmas. Apkures katlu un apkures sistēmu inspicēšana”. Par apkures sistēmas pārbaudi neatkarīgs eksperts sastāda:</w:t>
      </w:r>
    </w:p>
    <w:p w14:paraId="530F65E3" w14:textId="4E2A011F" w:rsidR="005A1C5E" w:rsidRPr="008E4EB0" w:rsidRDefault="005A1C5E" w:rsidP="00D9693B">
      <w:pPr>
        <w:numPr>
          <w:ilvl w:val="0"/>
          <w:numId w:val="27"/>
        </w:numPr>
        <w:spacing w:after="0" w:line="240" w:lineRule="auto"/>
        <w:ind w:left="0" w:firstLine="851"/>
        <w:contextualSpacing/>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apkures sistēmas apkures katlu pārbaudes aktus saskaņā ar standarta LVS E</w:t>
      </w:r>
      <w:r w:rsidR="00CF353E">
        <w:rPr>
          <w:rFonts w:ascii="Times New Roman" w:eastAsia="Calibri" w:hAnsi="Times New Roman" w:cs="Times New Roman"/>
          <w:sz w:val="24"/>
          <w:szCs w:val="24"/>
        </w:rPr>
        <w:t>N</w:t>
      </w:r>
      <w:r w:rsidRPr="008E4EB0">
        <w:rPr>
          <w:rFonts w:ascii="Times New Roman" w:eastAsia="Calibri" w:hAnsi="Times New Roman" w:cs="Times New Roman"/>
          <w:sz w:val="24"/>
          <w:szCs w:val="24"/>
        </w:rPr>
        <w:t xml:space="preserve"> 15378:2009</w:t>
      </w:r>
      <w:r w:rsidR="001740B7" w:rsidRPr="008E4EB0">
        <w:rPr>
          <w:rFonts w:ascii="Times New Roman" w:eastAsia="Calibri" w:hAnsi="Times New Roman" w:cs="Times New Roman"/>
          <w:sz w:val="24"/>
          <w:szCs w:val="24"/>
        </w:rPr>
        <w:t>L</w:t>
      </w:r>
      <w:r w:rsidRPr="008E4EB0">
        <w:rPr>
          <w:rFonts w:ascii="Times New Roman" w:eastAsia="Calibri" w:hAnsi="Times New Roman" w:cs="Times New Roman"/>
          <w:sz w:val="24"/>
          <w:szCs w:val="24"/>
        </w:rPr>
        <w:t xml:space="preserve"> D pielikumu;</w:t>
      </w:r>
    </w:p>
    <w:p w14:paraId="10C4A447" w14:textId="3C79E04C" w:rsidR="005A1C5E" w:rsidRPr="008E4EB0" w:rsidRDefault="005A1C5E" w:rsidP="00D9693B">
      <w:pPr>
        <w:numPr>
          <w:ilvl w:val="0"/>
          <w:numId w:val="27"/>
        </w:numPr>
        <w:spacing w:after="0" w:line="240" w:lineRule="auto"/>
        <w:ind w:left="0" w:firstLine="851"/>
        <w:contextualSpacing/>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 xml:space="preserve">apkures sistēmas pārbaudes aktu saskaņā ar standarta LVS </w:t>
      </w:r>
      <w:r w:rsidR="00CF353E">
        <w:rPr>
          <w:rFonts w:ascii="Times New Roman" w:eastAsia="Calibri" w:hAnsi="Times New Roman" w:cs="Times New Roman"/>
          <w:sz w:val="24"/>
          <w:szCs w:val="24"/>
        </w:rPr>
        <w:t>EN</w:t>
      </w:r>
      <w:r w:rsidR="00CF353E" w:rsidRPr="008E4EB0">
        <w:rPr>
          <w:rFonts w:ascii="Times New Roman" w:eastAsia="Calibri" w:hAnsi="Times New Roman" w:cs="Times New Roman"/>
          <w:sz w:val="24"/>
          <w:szCs w:val="24"/>
        </w:rPr>
        <w:t xml:space="preserve"> </w:t>
      </w:r>
      <w:r w:rsidRPr="008E4EB0">
        <w:rPr>
          <w:rFonts w:ascii="Times New Roman" w:eastAsia="Calibri" w:hAnsi="Times New Roman" w:cs="Times New Roman"/>
          <w:sz w:val="24"/>
          <w:szCs w:val="24"/>
        </w:rPr>
        <w:t>15378:2009</w:t>
      </w:r>
      <w:r w:rsidR="001740B7" w:rsidRPr="008E4EB0">
        <w:rPr>
          <w:rFonts w:ascii="Times New Roman" w:eastAsia="Calibri" w:hAnsi="Times New Roman" w:cs="Times New Roman"/>
          <w:sz w:val="24"/>
          <w:szCs w:val="24"/>
        </w:rPr>
        <w:t>L</w:t>
      </w:r>
      <w:r w:rsidRPr="008E4EB0">
        <w:rPr>
          <w:rFonts w:ascii="Times New Roman" w:eastAsia="Calibri" w:hAnsi="Times New Roman" w:cs="Times New Roman"/>
          <w:sz w:val="24"/>
          <w:szCs w:val="24"/>
        </w:rPr>
        <w:t xml:space="preserve"> K pielikumu.</w:t>
      </w:r>
    </w:p>
    <w:p w14:paraId="62DEF4C8" w14:textId="77777777" w:rsidR="005A1C5E" w:rsidRPr="008E4EB0" w:rsidRDefault="005A1C5E" w:rsidP="005A1C5E">
      <w:pPr>
        <w:spacing w:after="0" w:line="240" w:lineRule="auto"/>
        <w:ind w:firstLine="851"/>
        <w:jc w:val="both"/>
        <w:rPr>
          <w:rFonts w:ascii="Times New Roman" w:eastAsia="Times New Roman" w:hAnsi="Times New Roman" w:cs="Times New Roman"/>
          <w:sz w:val="24"/>
          <w:szCs w:val="24"/>
          <w:lang w:eastAsia="lv-LV"/>
        </w:rPr>
      </w:pPr>
      <w:r w:rsidRPr="008E4EB0">
        <w:rPr>
          <w:rFonts w:ascii="Times New Roman" w:eastAsia="Calibri" w:hAnsi="Times New Roman" w:cs="Times New Roman"/>
          <w:sz w:val="24"/>
          <w:szCs w:val="24"/>
        </w:rPr>
        <w:t xml:space="preserve">Gaisa kondicionēšanas sistēmu pārbaudi veic gaisa kondicionēšanas sistēmu pieejamām daļām, ja gaisa kondicionēšanas sistēmas faktiskā nominālā jauda pārsniedz 12 kilovatus. </w:t>
      </w:r>
      <w:r w:rsidRPr="008E4EB0">
        <w:rPr>
          <w:rFonts w:ascii="Times New Roman" w:eastAsia="Times New Roman" w:hAnsi="Times New Roman" w:cs="Times New Roman"/>
          <w:sz w:val="24"/>
          <w:szCs w:val="24"/>
          <w:lang w:eastAsia="lv-LV"/>
        </w:rPr>
        <w:t xml:space="preserve">Gaisa kondicionēšanas sistēmas pārbauda saskaņā ar standartu LVS EN 15240:2009 L „Ēku ventilācija. Ēku energoefektivitāte. Gaisa kondicionēšanas sistēmu apskates vadlīnijas”. Par gaisa kondicionēšanas sistēmas pārbaudi tiek sastādīts </w:t>
      </w:r>
      <w:hyperlink r:id="rId14" w:tgtFrame="_blank" w:history="1">
        <w:r w:rsidRPr="008E4EB0">
          <w:rPr>
            <w:rFonts w:ascii="Times New Roman" w:eastAsia="Calibri" w:hAnsi="Times New Roman" w:cs="Times New Roman"/>
            <w:sz w:val="24"/>
            <w:szCs w:val="24"/>
            <w:lang w:eastAsia="lv-LV"/>
          </w:rPr>
          <w:t xml:space="preserve">atbilstošs akts </w:t>
        </w:r>
      </w:hyperlink>
    </w:p>
    <w:p w14:paraId="1E619751" w14:textId="77777777" w:rsidR="005A1C5E" w:rsidRPr="008E4EB0" w:rsidRDefault="005A1C5E" w:rsidP="005A1C5E">
      <w:pPr>
        <w:spacing w:after="0" w:line="240" w:lineRule="auto"/>
        <w:ind w:firstLine="851"/>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Gaisa kondicionēšanas sistēmu pārbauda:</w:t>
      </w:r>
    </w:p>
    <w:p w14:paraId="20F6BF2B" w14:textId="77777777" w:rsidR="005A1C5E" w:rsidRPr="008E4EB0" w:rsidRDefault="005A1C5E" w:rsidP="00D9693B">
      <w:pPr>
        <w:numPr>
          <w:ilvl w:val="0"/>
          <w:numId w:val="28"/>
        </w:numPr>
        <w:spacing w:after="0" w:line="240" w:lineRule="auto"/>
        <w:ind w:left="0" w:firstLine="851"/>
        <w:contextualSpacing/>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vismaz reizi sešos gados – ja gaisa kondicionēšanas sistēma aprīkota ar vadības un kontroles ierīcēm, kas nodrošina elektronisko sistēmu uzraudzību un kontroli;</w:t>
      </w:r>
    </w:p>
    <w:p w14:paraId="351085B3" w14:textId="58D36DB6" w:rsidR="005A1C5E" w:rsidRDefault="005A1C5E" w:rsidP="00D9693B">
      <w:pPr>
        <w:numPr>
          <w:ilvl w:val="0"/>
          <w:numId w:val="28"/>
        </w:numPr>
        <w:spacing w:after="0" w:line="240" w:lineRule="auto"/>
        <w:ind w:left="0" w:firstLine="851"/>
        <w:contextualSpacing/>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vismaz reizi četros gados – citos gadījumos.</w:t>
      </w:r>
    </w:p>
    <w:p w14:paraId="4224BC2E" w14:textId="77777777" w:rsidR="00916787" w:rsidRPr="008E4EB0" w:rsidRDefault="00916787" w:rsidP="00150827">
      <w:pPr>
        <w:spacing w:after="0" w:line="240" w:lineRule="auto"/>
        <w:ind w:left="851"/>
        <w:contextualSpacing/>
        <w:jc w:val="both"/>
        <w:rPr>
          <w:rFonts w:ascii="Times New Roman" w:eastAsia="Calibri" w:hAnsi="Times New Roman" w:cs="Times New Roman"/>
          <w:sz w:val="24"/>
          <w:szCs w:val="24"/>
        </w:rPr>
      </w:pPr>
    </w:p>
    <w:p w14:paraId="302506EF" w14:textId="39BF9B20" w:rsidR="00990903" w:rsidRPr="008E4EB0" w:rsidRDefault="00990903" w:rsidP="00D82FCF">
      <w:pPr>
        <w:pStyle w:val="apakapakvirsraksts"/>
      </w:pPr>
      <w:bookmarkStart w:id="33" w:name="_Toc480527955"/>
      <w:bookmarkStart w:id="34" w:name="_Toc491870907"/>
      <w:r w:rsidRPr="008E4EB0">
        <w:t>Enerģijas patēriņš ēkās</w:t>
      </w:r>
      <w:bookmarkEnd w:id="33"/>
      <w:bookmarkEnd w:id="34"/>
    </w:p>
    <w:p w14:paraId="2D59CE1C" w14:textId="77777777" w:rsidR="005A1C5E" w:rsidRPr="008E4EB0" w:rsidRDefault="005A1C5E" w:rsidP="005A1C5E">
      <w:pPr>
        <w:shd w:val="clear" w:color="auto" w:fill="FFFFFF"/>
        <w:spacing w:after="0" w:line="240" w:lineRule="auto"/>
        <w:ind w:firstLine="360"/>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 xml:space="preserve">Latvijas Republikā lielākais enerģijas galapatērētājs ir mājsaimniecību sektors, kas 2015.gadā patērēja 28,3% no kopējā energoresursu galapatēriņa, bet 66,8% no kopējā siltumenerģijas gala patēriņa un 27,2% no kopējā elektroenerģijas gala patēriņa. No mājsaimniecību enerģijas patēriņa apmēram 49,4% ir kurināmā koksne un </w:t>
      </w:r>
      <w:r w:rsidRPr="008E4EB0">
        <w:rPr>
          <w:rFonts w:ascii="Times New Roman" w:eastAsia="Calibri" w:hAnsi="Times New Roman" w:cs="Times New Roman"/>
          <w:sz w:val="24"/>
          <w:szCs w:val="24"/>
          <w:vertAlign w:val="superscript"/>
        </w:rPr>
        <w:footnoteReference w:id="8"/>
      </w:r>
      <w:r w:rsidRPr="008E4EB0">
        <w:rPr>
          <w:rFonts w:ascii="Times New Roman" w:eastAsia="Calibri" w:hAnsi="Times New Roman" w:cs="Times New Roman"/>
          <w:sz w:val="24"/>
          <w:szCs w:val="24"/>
        </w:rPr>
        <w:t>30,5% ir siltumenerģija.</w:t>
      </w:r>
    </w:p>
    <w:p w14:paraId="6944D4F9" w14:textId="77777777" w:rsidR="005A1C5E" w:rsidRPr="008E4EB0" w:rsidRDefault="005A1C5E" w:rsidP="005A1C5E">
      <w:pPr>
        <w:shd w:val="clear" w:color="auto" w:fill="FFFFFF"/>
        <w:spacing w:after="0" w:line="240" w:lineRule="auto"/>
        <w:rPr>
          <w:rFonts w:ascii="Times New Roman" w:eastAsia="Calibri" w:hAnsi="Times New Roman" w:cs="Times New Roman"/>
          <w:sz w:val="24"/>
          <w:szCs w:val="24"/>
        </w:rPr>
      </w:pPr>
    </w:p>
    <w:p w14:paraId="10AB3545" w14:textId="35A8E1E4" w:rsidR="005A1C5E" w:rsidRPr="008E4EB0" w:rsidRDefault="001740B7" w:rsidP="00BF58E9">
      <w:pPr>
        <w:keepNext/>
        <w:shd w:val="clear" w:color="auto" w:fill="FFFFFF"/>
        <w:spacing w:after="0" w:line="240" w:lineRule="auto"/>
        <w:jc w:val="center"/>
        <w:rPr>
          <w:rFonts w:ascii="Times New Roman" w:eastAsia="Calibri" w:hAnsi="Times New Roman" w:cs="Times New Roman"/>
          <w:iCs/>
          <w:sz w:val="24"/>
          <w:szCs w:val="24"/>
        </w:rPr>
      </w:pPr>
      <w:r w:rsidRPr="008E4EB0">
        <w:rPr>
          <w:rFonts w:ascii="Times New Roman" w:eastAsia="Calibri" w:hAnsi="Times New Roman" w:cs="Times New Roman"/>
          <w:sz w:val="24"/>
          <w:szCs w:val="24"/>
        </w:rPr>
        <w:lastRenderedPageBreak/>
        <w:t>5</w:t>
      </w:r>
      <w:r w:rsidR="005A1C5E" w:rsidRPr="008E4EB0">
        <w:rPr>
          <w:rFonts w:ascii="Times New Roman" w:eastAsia="Calibri" w:hAnsi="Times New Roman" w:cs="Times New Roman"/>
          <w:sz w:val="24"/>
          <w:szCs w:val="24"/>
        </w:rPr>
        <w:t>.attēls. Silumnerģijas patēriņa apkurei indikators mājsaimniecībās (koriģēts ar klimata faktoru), kWh/m</w:t>
      </w:r>
      <w:r w:rsidR="005A1C5E" w:rsidRPr="008E4EB0">
        <w:rPr>
          <w:rFonts w:ascii="Times New Roman" w:eastAsia="Calibri" w:hAnsi="Times New Roman" w:cs="Times New Roman"/>
          <w:sz w:val="24"/>
          <w:szCs w:val="24"/>
          <w:vertAlign w:val="superscript"/>
        </w:rPr>
        <w:t>2</w:t>
      </w:r>
      <w:r w:rsidR="005A1C5E" w:rsidRPr="008E4EB0">
        <w:rPr>
          <w:rFonts w:ascii="Times New Roman" w:eastAsia="Calibri" w:hAnsi="Times New Roman" w:cs="Times New Roman"/>
          <w:sz w:val="24"/>
          <w:szCs w:val="24"/>
        </w:rPr>
        <w:t>/gadā</w:t>
      </w:r>
    </w:p>
    <w:p w14:paraId="13273F42" w14:textId="77777777" w:rsidR="005A1C5E" w:rsidRPr="008E4EB0" w:rsidRDefault="005A1C5E" w:rsidP="005A1C5E">
      <w:pPr>
        <w:autoSpaceDE w:val="0"/>
        <w:autoSpaceDN w:val="0"/>
        <w:adjustRightInd w:val="0"/>
        <w:spacing w:after="0" w:line="240" w:lineRule="auto"/>
        <w:ind w:left="720"/>
        <w:jc w:val="center"/>
        <w:rPr>
          <w:rFonts w:ascii="Arial" w:eastAsia="Calibri" w:hAnsi="Arial" w:cs="Arial"/>
          <w:b/>
          <w:sz w:val="24"/>
          <w:szCs w:val="24"/>
        </w:rPr>
      </w:pPr>
      <w:r w:rsidRPr="008E4EB0">
        <w:rPr>
          <w:rFonts w:ascii="Times New Roman" w:eastAsia="Calibri" w:hAnsi="Times New Roman" w:cs="Times New Roman"/>
          <w:noProof/>
          <w:sz w:val="24"/>
          <w:szCs w:val="24"/>
          <w:lang w:eastAsia="lv-LV"/>
        </w:rPr>
        <w:drawing>
          <wp:inline distT="0" distB="0" distL="0" distR="0" wp14:anchorId="592EC91C" wp14:editId="72E61CFF">
            <wp:extent cx="4400550" cy="2085975"/>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00550" cy="2085975"/>
                    </a:xfrm>
                    <a:prstGeom prst="rect">
                      <a:avLst/>
                    </a:prstGeom>
                    <a:noFill/>
                    <a:ln>
                      <a:noFill/>
                    </a:ln>
                  </pic:spPr>
                </pic:pic>
              </a:graphicData>
            </a:graphic>
          </wp:inline>
        </w:drawing>
      </w:r>
    </w:p>
    <w:p w14:paraId="63B27A60" w14:textId="77777777" w:rsidR="005A1C5E" w:rsidRPr="008E4EB0" w:rsidRDefault="005A1C5E" w:rsidP="005A1C5E">
      <w:pPr>
        <w:spacing w:after="0" w:line="240" w:lineRule="auto"/>
        <w:ind w:left="360" w:firstLine="851"/>
        <w:jc w:val="both"/>
        <w:rPr>
          <w:rFonts w:ascii="Times New Roman" w:eastAsia="Calibri" w:hAnsi="Times New Roman" w:cs="Times New Roman"/>
          <w:sz w:val="24"/>
          <w:szCs w:val="24"/>
          <w:highlight w:val="yellow"/>
        </w:rPr>
      </w:pPr>
    </w:p>
    <w:p w14:paraId="510DA5F1" w14:textId="77777777" w:rsidR="005A1C5E" w:rsidRPr="008E4EB0" w:rsidRDefault="005A1C5E" w:rsidP="005A1C5E">
      <w:pPr>
        <w:spacing w:after="0" w:line="240" w:lineRule="auto"/>
        <w:ind w:firstLine="720"/>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Enerģijas patēriņa apkurei indikatora vērtība, kas aprēķināta, pamatojoties uz enerģijas patēriņu un kopējo dzīvojamo platību mājsaimniecībās, 10 gadu laikā uzrāda pozitīvu attīstības tendenci. Ieguldījumu šai pozitīvajai tendencei dod veiktie energoefektivitātes pasākumi, kas īstenoti gan ar iedzīvotāju finanšu līdzekļiem, gan dažādām daudzdzīvokļu dzīvojamo māju energoefektivitātes paaugstināšanas atbalsta programmām. Tomēr nenoliedzami, ka enerģijas patēriņu apkurei samazina arī iedzīvotāju veiktā siltumenerģijas patēriņa ierobežošana, kas saistīta ar zemo maksātspēju un komforta līmeņa pazemināšanos dzīvokļos.</w:t>
      </w:r>
    </w:p>
    <w:p w14:paraId="13A3EC10" w14:textId="77777777" w:rsidR="005A1C5E" w:rsidRPr="008E4EB0" w:rsidRDefault="005A1C5E" w:rsidP="005A1C5E">
      <w:pPr>
        <w:spacing w:after="0" w:line="240" w:lineRule="auto"/>
        <w:ind w:firstLine="851"/>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Kopš 2014.gada atbilstoši 2013.gada 9.jūlija Ministru kabineta noteikumu Nr.383 “Noteikumi par ēku energosertifikāciju” 16.punkta prasībām Ekonomikas ministrija (no 2017.gada - Būvniecības valsts kontroles birojs) reizi gadā līdz 1.martam nodrošina statistiski noteiktu vidējo energoefektivitātes rādītāju apkures patēriņa noteikšanu un publicēšanu mājaslapā vismaz šādiem ēku veidiem:</w:t>
      </w:r>
    </w:p>
    <w:p w14:paraId="12A3EFAB" w14:textId="77777777" w:rsidR="005A1C5E" w:rsidRPr="008E4EB0" w:rsidRDefault="005A1C5E" w:rsidP="00D9693B">
      <w:pPr>
        <w:numPr>
          <w:ilvl w:val="0"/>
          <w:numId w:val="29"/>
        </w:numPr>
        <w:spacing w:after="0" w:line="240" w:lineRule="auto"/>
        <w:contextualSpacing/>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daudzdzīvokļu ēkām;</w:t>
      </w:r>
    </w:p>
    <w:p w14:paraId="362E1C08" w14:textId="77777777" w:rsidR="005A1C5E" w:rsidRPr="008E4EB0" w:rsidRDefault="005A1C5E" w:rsidP="00D9693B">
      <w:pPr>
        <w:numPr>
          <w:ilvl w:val="0"/>
          <w:numId w:val="29"/>
        </w:numPr>
        <w:spacing w:after="0" w:line="240" w:lineRule="auto"/>
        <w:contextualSpacing/>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biroju ēkām;</w:t>
      </w:r>
    </w:p>
    <w:p w14:paraId="21F63F7E" w14:textId="77777777" w:rsidR="005A1C5E" w:rsidRPr="008E4EB0" w:rsidRDefault="005A1C5E" w:rsidP="00D9693B">
      <w:pPr>
        <w:numPr>
          <w:ilvl w:val="0"/>
          <w:numId w:val="29"/>
        </w:numPr>
        <w:spacing w:after="0" w:line="240" w:lineRule="auto"/>
        <w:contextualSpacing/>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izglītības iestāžu ēkām.</w:t>
      </w:r>
    </w:p>
    <w:p w14:paraId="7EEE7D6A" w14:textId="468EF89C" w:rsidR="005A1C5E" w:rsidRPr="008E4EB0" w:rsidRDefault="005A1C5E" w:rsidP="005A1C5E">
      <w:pPr>
        <w:spacing w:after="0" w:line="240" w:lineRule="auto"/>
        <w:ind w:firstLine="851"/>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 xml:space="preserve">Dati iegūti, izmantojot AS “Rīgas </w:t>
      </w:r>
      <w:r w:rsidR="007F7661">
        <w:rPr>
          <w:rFonts w:ascii="Times New Roman" w:eastAsia="Calibri" w:hAnsi="Times New Roman" w:cs="Times New Roman"/>
          <w:sz w:val="24"/>
          <w:szCs w:val="24"/>
        </w:rPr>
        <w:t>siltums</w:t>
      </w:r>
      <w:r w:rsidRPr="008E4EB0">
        <w:rPr>
          <w:rFonts w:ascii="Times New Roman" w:eastAsia="Calibri" w:hAnsi="Times New Roman" w:cs="Times New Roman"/>
          <w:sz w:val="24"/>
          <w:szCs w:val="24"/>
        </w:rPr>
        <w:t xml:space="preserve">” sniegto informāciju un valsts ēku saraksta datus. Apkopotie rezultāti norādīti </w:t>
      </w:r>
      <w:r w:rsidR="001740B7" w:rsidRPr="008E4EB0">
        <w:rPr>
          <w:rFonts w:ascii="Times New Roman" w:eastAsia="Calibri" w:hAnsi="Times New Roman" w:cs="Times New Roman"/>
          <w:sz w:val="24"/>
          <w:szCs w:val="24"/>
        </w:rPr>
        <w:t>6</w:t>
      </w:r>
      <w:r w:rsidRPr="008E4EB0">
        <w:rPr>
          <w:rFonts w:ascii="Times New Roman" w:eastAsia="Calibri" w:hAnsi="Times New Roman" w:cs="Times New Roman"/>
          <w:sz w:val="24"/>
          <w:szCs w:val="24"/>
        </w:rPr>
        <w:t>.attēlā.</w:t>
      </w:r>
    </w:p>
    <w:p w14:paraId="4B2FAB17" w14:textId="7EC369FE" w:rsidR="001740B7" w:rsidRPr="008E4EB0" w:rsidRDefault="001740B7" w:rsidP="005A1C5E">
      <w:pPr>
        <w:spacing w:after="0" w:line="240" w:lineRule="auto"/>
        <w:ind w:firstLine="851"/>
        <w:jc w:val="both"/>
        <w:rPr>
          <w:rFonts w:ascii="Times New Roman" w:eastAsia="Calibri" w:hAnsi="Times New Roman" w:cs="Times New Roman"/>
          <w:sz w:val="24"/>
          <w:szCs w:val="24"/>
        </w:rPr>
      </w:pPr>
    </w:p>
    <w:p w14:paraId="623EFF63" w14:textId="287DE89A" w:rsidR="001740B7" w:rsidRPr="008E4EB0" w:rsidRDefault="001740B7" w:rsidP="00BF58E9">
      <w:pPr>
        <w:keepNext/>
        <w:spacing w:after="0" w:line="240" w:lineRule="auto"/>
        <w:ind w:firstLine="851"/>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lastRenderedPageBreak/>
        <w:t>6.attēls. Vidējais īpatnējais apkures patēriņš ēkās, kWh/m</w:t>
      </w:r>
      <w:r w:rsidRPr="00DD1140">
        <w:rPr>
          <w:rFonts w:ascii="Times New Roman" w:eastAsia="Calibri" w:hAnsi="Times New Roman" w:cs="Times New Roman"/>
          <w:sz w:val="24"/>
          <w:szCs w:val="24"/>
          <w:vertAlign w:val="superscript"/>
        </w:rPr>
        <w:t>2</w:t>
      </w:r>
      <w:r w:rsidRPr="008E4EB0">
        <w:rPr>
          <w:rFonts w:ascii="Times New Roman" w:eastAsia="Calibri" w:hAnsi="Times New Roman" w:cs="Times New Roman"/>
          <w:sz w:val="24"/>
          <w:szCs w:val="24"/>
        </w:rPr>
        <w:t xml:space="preserve"> gadā</w:t>
      </w:r>
    </w:p>
    <w:p w14:paraId="1E4E5800" w14:textId="77777777" w:rsidR="005A1C5E" w:rsidRPr="008E4EB0" w:rsidRDefault="005A1C5E" w:rsidP="005A1C5E">
      <w:pPr>
        <w:spacing w:after="0" w:line="240" w:lineRule="auto"/>
        <w:ind w:firstLine="720"/>
        <w:jc w:val="both"/>
        <w:rPr>
          <w:rFonts w:ascii="Times New Roman" w:eastAsia="Calibri" w:hAnsi="Times New Roman" w:cs="Times New Roman"/>
          <w:sz w:val="24"/>
          <w:szCs w:val="24"/>
        </w:rPr>
      </w:pPr>
      <w:r w:rsidRPr="008E4EB0">
        <w:rPr>
          <w:rFonts w:ascii="Times New Roman" w:eastAsia="Calibri" w:hAnsi="Times New Roman" w:cs="Times New Roman"/>
          <w:noProof/>
          <w:sz w:val="28"/>
          <w:lang w:eastAsia="lv-LV"/>
        </w:rPr>
        <w:drawing>
          <wp:inline distT="0" distB="0" distL="0" distR="0" wp14:anchorId="00F35D13" wp14:editId="1C8A6CDE">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E92C1A8" w14:textId="77777777" w:rsidR="005A1C5E" w:rsidRPr="008E4EB0" w:rsidRDefault="005A1C5E" w:rsidP="005A1C5E">
      <w:pPr>
        <w:spacing w:after="0" w:line="240" w:lineRule="auto"/>
        <w:ind w:firstLine="720"/>
        <w:jc w:val="both"/>
        <w:rPr>
          <w:rFonts w:ascii="Times New Roman" w:eastAsia="Calibri" w:hAnsi="Times New Roman" w:cs="Times New Roman"/>
          <w:sz w:val="24"/>
          <w:szCs w:val="24"/>
        </w:rPr>
      </w:pPr>
    </w:p>
    <w:p w14:paraId="1F1C12B7" w14:textId="56796A2B" w:rsidR="005A1C5E" w:rsidRPr="008E4EB0" w:rsidRDefault="005A1C5E" w:rsidP="005A1C5E">
      <w:pPr>
        <w:spacing w:after="0" w:line="240" w:lineRule="auto"/>
        <w:ind w:firstLine="720"/>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 xml:space="preserve">Rezultātiem vērojama tendence nelielā apjomā </w:t>
      </w:r>
      <w:r w:rsidR="00D7637A" w:rsidRPr="008E4EB0">
        <w:rPr>
          <w:rFonts w:ascii="Times New Roman" w:eastAsia="Calibri" w:hAnsi="Times New Roman" w:cs="Times New Roman"/>
          <w:sz w:val="24"/>
          <w:szCs w:val="24"/>
        </w:rPr>
        <w:t>pakāpeniski</w:t>
      </w:r>
      <w:r w:rsidRPr="008E4EB0">
        <w:rPr>
          <w:rFonts w:ascii="Times New Roman" w:eastAsia="Calibri" w:hAnsi="Times New Roman" w:cs="Times New Roman"/>
          <w:sz w:val="24"/>
          <w:szCs w:val="24"/>
        </w:rPr>
        <w:t xml:space="preserve"> samazināties. Šie apkopotie dati tiek izmantoti ēkas energosertifikātos kā atsauces rādītāji, rezultātā ēkas īpašniekiem, energosertifikāta saņēmējiem ir iespējams novērtēt ne tikai ēkas novērtējumu, bet arī konkrētās ēkas atšķirības pret vidējo ēkas patēriņu valstī. </w:t>
      </w:r>
    </w:p>
    <w:p w14:paraId="1306B14D" w14:textId="350B8CA1" w:rsidR="005A1C5E" w:rsidRPr="008E4EB0" w:rsidRDefault="005A1C5E" w:rsidP="005A1C5E">
      <w:pPr>
        <w:spacing w:after="0" w:line="240" w:lineRule="auto"/>
        <w:ind w:firstLine="720"/>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Kopš 2016.gada Latvijā ieviesta Būvniecības informācijas sistēma (BIS)</w:t>
      </w:r>
      <w:r w:rsidRPr="008E4EB0">
        <w:rPr>
          <w:rFonts w:ascii="Times New Roman" w:eastAsia="Calibri" w:hAnsi="Times New Roman" w:cs="Times New Roman"/>
          <w:sz w:val="24"/>
          <w:szCs w:val="24"/>
          <w:vertAlign w:val="superscript"/>
        </w:rPr>
        <w:footnoteReference w:id="9"/>
      </w:r>
      <w:r w:rsidRPr="008E4EB0">
        <w:rPr>
          <w:rFonts w:ascii="Times New Roman" w:eastAsia="Calibri" w:hAnsi="Times New Roman" w:cs="Times New Roman"/>
          <w:sz w:val="24"/>
          <w:szCs w:val="24"/>
        </w:rPr>
        <w:t xml:space="preserve"> ar diviem jauniem reģistriem: ēku energosertifikātu reģistrs un neatkarīgu ekspertu reģistrs. Ēku energosertifikātu reģistrā līdz 1.martam 2017.gadā reģistrēti 3003 dokumenti (energosertifikāti, pagaidu energosertifikāti, apkures katlu, gaisa kondicionēšanas sistēmu un apkures sistēmu pārbaudes akti). Tai skaitā 676 ēkas energosertifikāti, no kuriem iespējams uzkrāt statistiskos datus par ēku energoefektivitātes novērtējumu. Rezultāti apkopoti </w:t>
      </w:r>
      <w:r w:rsidR="00F749EA">
        <w:rPr>
          <w:rFonts w:ascii="Times New Roman" w:eastAsia="Calibri" w:hAnsi="Times New Roman" w:cs="Times New Roman"/>
          <w:sz w:val="24"/>
          <w:szCs w:val="24"/>
        </w:rPr>
        <w:t>7</w:t>
      </w:r>
      <w:r w:rsidRPr="008E4EB0">
        <w:rPr>
          <w:rFonts w:ascii="Times New Roman" w:eastAsia="Calibri" w:hAnsi="Times New Roman" w:cs="Times New Roman"/>
          <w:sz w:val="24"/>
          <w:szCs w:val="24"/>
        </w:rPr>
        <w:t xml:space="preserve">.tabulā. </w:t>
      </w:r>
    </w:p>
    <w:p w14:paraId="02CCA102" w14:textId="77777777" w:rsidR="005A1C5E" w:rsidRPr="008E4EB0" w:rsidRDefault="005A1C5E" w:rsidP="005A1C5E">
      <w:pPr>
        <w:spacing w:after="0" w:line="240" w:lineRule="auto"/>
        <w:ind w:firstLine="720"/>
        <w:jc w:val="both"/>
        <w:rPr>
          <w:rFonts w:ascii="Times New Roman" w:eastAsia="Calibri" w:hAnsi="Times New Roman" w:cs="Times New Roman"/>
          <w:sz w:val="24"/>
          <w:szCs w:val="24"/>
        </w:rPr>
      </w:pPr>
    </w:p>
    <w:p w14:paraId="7F496885" w14:textId="171EBF8D" w:rsidR="005A1C5E" w:rsidRPr="008E4EB0" w:rsidRDefault="00F749EA" w:rsidP="00BF58E9">
      <w:pPr>
        <w:keepNext/>
        <w:spacing w:after="0" w:line="240" w:lineRule="auto"/>
        <w:ind w:firstLine="720"/>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5A1C5E" w:rsidRPr="008E4EB0">
        <w:rPr>
          <w:rFonts w:ascii="Times New Roman" w:eastAsia="Calibri" w:hAnsi="Times New Roman" w:cs="Times New Roman"/>
          <w:sz w:val="24"/>
          <w:szCs w:val="24"/>
        </w:rPr>
        <w:t>.tabula. Būvniecības informācijas sistēmā reģistrēto jauno energosertifikātu skaits</w:t>
      </w:r>
    </w:p>
    <w:tbl>
      <w:tblPr>
        <w:tblW w:w="9228"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861"/>
        <w:gridCol w:w="1406"/>
        <w:gridCol w:w="1861"/>
        <w:gridCol w:w="1406"/>
      </w:tblGrid>
      <w:tr w:rsidR="005A1C5E" w:rsidRPr="008E4EB0" w14:paraId="7976F02A" w14:textId="77777777" w:rsidTr="00BF58E9">
        <w:trPr>
          <w:trHeight w:val="255"/>
        </w:trPr>
        <w:tc>
          <w:tcPr>
            <w:tcW w:w="2694" w:type="dxa"/>
            <w:vMerge w:val="restart"/>
            <w:shd w:val="clear" w:color="auto" w:fill="auto"/>
            <w:noWrap/>
            <w:vAlign w:val="center"/>
            <w:hideMark/>
          </w:tcPr>
          <w:p w14:paraId="3E3BA942" w14:textId="77777777" w:rsidR="005A1C5E" w:rsidRPr="008E4EB0" w:rsidRDefault="005A1C5E" w:rsidP="00BF58E9">
            <w:pPr>
              <w:keepNext/>
              <w:spacing w:after="0" w:line="240" w:lineRule="auto"/>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Dati apstrādāti</w:t>
            </w:r>
          </w:p>
          <w:p w14:paraId="11D92BF6" w14:textId="77777777" w:rsidR="005A1C5E" w:rsidRPr="008E4EB0" w:rsidRDefault="005A1C5E" w:rsidP="00BF58E9">
            <w:pPr>
              <w:keepNext/>
              <w:spacing w:after="0" w:line="240" w:lineRule="auto"/>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24.02.2017.</w:t>
            </w:r>
          </w:p>
        </w:tc>
        <w:tc>
          <w:tcPr>
            <w:tcW w:w="1861" w:type="dxa"/>
            <w:shd w:val="clear" w:color="auto" w:fill="auto"/>
            <w:vAlign w:val="center"/>
            <w:hideMark/>
          </w:tcPr>
          <w:p w14:paraId="53782DD2" w14:textId="77777777" w:rsidR="005A1C5E" w:rsidRPr="008E4EB0" w:rsidRDefault="005A1C5E" w:rsidP="00BF58E9">
            <w:pPr>
              <w:keepNext/>
              <w:spacing w:after="0" w:line="240" w:lineRule="auto"/>
              <w:jc w:val="center"/>
              <w:rPr>
                <w:rFonts w:ascii="Times New Roman" w:eastAsia="Times New Roman" w:hAnsi="Times New Roman" w:cs="Times New Roman"/>
                <w:b/>
                <w:bCs/>
                <w:sz w:val="20"/>
                <w:szCs w:val="20"/>
                <w:lang w:eastAsia="lv-LV"/>
              </w:rPr>
            </w:pPr>
            <w:r w:rsidRPr="008E4EB0">
              <w:rPr>
                <w:rFonts w:ascii="Times New Roman" w:eastAsia="Times New Roman" w:hAnsi="Times New Roman" w:cs="Times New Roman"/>
                <w:b/>
                <w:bCs/>
                <w:sz w:val="20"/>
                <w:szCs w:val="20"/>
                <w:lang w:eastAsia="lv-LV"/>
              </w:rPr>
              <w:t>2016</w:t>
            </w:r>
          </w:p>
        </w:tc>
        <w:tc>
          <w:tcPr>
            <w:tcW w:w="1406" w:type="dxa"/>
            <w:shd w:val="clear" w:color="auto" w:fill="auto"/>
            <w:vAlign w:val="center"/>
            <w:hideMark/>
          </w:tcPr>
          <w:p w14:paraId="4482A6A2" w14:textId="77777777" w:rsidR="005A1C5E" w:rsidRPr="008E4EB0" w:rsidRDefault="005A1C5E" w:rsidP="00BF58E9">
            <w:pPr>
              <w:keepNext/>
              <w:spacing w:after="0" w:line="240" w:lineRule="auto"/>
              <w:jc w:val="center"/>
              <w:rPr>
                <w:rFonts w:ascii="Times New Roman" w:eastAsia="Times New Roman" w:hAnsi="Times New Roman" w:cs="Times New Roman"/>
                <w:b/>
                <w:bCs/>
                <w:sz w:val="20"/>
                <w:szCs w:val="20"/>
                <w:lang w:eastAsia="lv-LV"/>
              </w:rPr>
            </w:pPr>
            <w:r w:rsidRPr="008E4EB0">
              <w:rPr>
                <w:rFonts w:ascii="Times New Roman" w:eastAsia="Times New Roman" w:hAnsi="Times New Roman" w:cs="Times New Roman"/>
                <w:b/>
                <w:bCs/>
                <w:sz w:val="20"/>
                <w:szCs w:val="20"/>
                <w:lang w:eastAsia="lv-LV"/>
              </w:rPr>
              <w:t>2016</w:t>
            </w:r>
          </w:p>
        </w:tc>
        <w:tc>
          <w:tcPr>
            <w:tcW w:w="1861" w:type="dxa"/>
            <w:shd w:val="clear" w:color="auto" w:fill="auto"/>
            <w:vAlign w:val="center"/>
            <w:hideMark/>
          </w:tcPr>
          <w:p w14:paraId="633F6A6B" w14:textId="77777777" w:rsidR="005A1C5E" w:rsidRPr="008E4EB0" w:rsidRDefault="005A1C5E" w:rsidP="00BF58E9">
            <w:pPr>
              <w:keepNext/>
              <w:spacing w:after="0" w:line="240" w:lineRule="auto"/>
              <w:jc w:val="center"/>
              <w:rPr>
                <w:rFonts w:ascii="Times New Roman" w:eastAsia="Times New Roman" w:hAnsi="Times New Roman" w:cs="Times New Roman"/>
                <w:b/>
                <w:bCs/>
                <w:sz w:val="20"/>
                <w:szCs w:val="20"/>
                <w:lang w:eastAsia="lv-LV"/>
              </w:rPr>
            </w:pPr>
            <w:r w:rsidRPr="008E4EB0">
              <w:rPr>
                <w:rFonts w:ascii="Times New Roman" w:eastAsia="Times New Roman" w:hAnsi="Times New Roman" w:cs="Times New Roman"/>
                <w:b/>
                <w:bCs/>
                <w:sz w:val="20"/>
                <w:szCs w:val="20"/>
                <w:lang w:eastAsia="lv-LV"/>
              </w:rPr>
              <w:t>2017</w:t>
            </w:r>
          </w:p>
          <w:p w14:paraId="12E27559" w14:textId="77777777" w:rsidR="005A1C5E" w:rsidRPr="008E4EB0" w:rsidRDefault="005A1C5E" w:rsidP="00BF58E9">
            <w:pPr>
              <w:keepNext/>
              <w:spacing w:after="0" w:line="240" w:lineRule="auto"/>
              <w:jc w:val="center"/>
              <w:rPr>
                <w:rFonts w:ascii="Times New Roman" w:eastAsia="Times New Roman" w:hAnsi="Times New Roman" w:cs="Times New Roman"/>
                <w:b/>
                <w:bCs/>
                <w:sz w:val="20"/>
                <w:szCs w:val="20"/>
                <w:lang w:eastAsia="lv-LV"/>
              </w:rPr>
            </w:pPr>
            <w:r w:rsidRPr="008E4EB0">
              <w:rPr>
                <w:rFonts w:ascii="Times New Roman" w:eastAsia="Times New Roman" w:hAnsi="Times New Roman" w:cs="Times New Roman"/>
                <w:b/>
                <w:bCs/>
                <w:sz w:val="20"/>
                <w:szCs w:val="20"/>
                <w:lang w:eastAsia="lv-LV"/>
              </w:rPr>
              <w:t>(līdz 24.02.2017.)</w:t>
            </w:r>
          </w:p>
        </w:tc>
        <w:tc>
          <w:tcPr>
            <w:tcW w:w="1406" w:type="dxa"/>
            <w:shd w:val="clear" w:color="auto" w:fill="auto"/>
            <w:vAlign w:val="center"/>
            <w:hideMark/>
          </w:tcPr>
          <w:p w14:paraId="14BC8F15" w14:textId="77777777" w:rsidR="005A1C5E" w:rsidRPr="008E4EB0" w:rsidRDefault="005A1C5E" w:rsidP="00BF58E9">
            <w:pPr>
              <w:keepNext/>
              <w:spacing w:after="0" w:line="240" w:lineRule="auto"/>
              <w:jc w:val="center"/>
              <w:rPr>
                <w:rFonts w:ascii="Times New Roman" w:eastAsia="Times New Roman" w:hAnsi="Times New Roman" w:cs="Times New Roman"/>
                <w:b/>
                <w:bCs/>
                <w:sz w:val="20"/>
                <w:szCs w:val="20"/>
                <w:lang w:eastAsia="lv-LV"/>
              </w:rPr>
            </w:pPr>
            <w:r w:rsidRPr="008E4EB0">
              <w:rPr>
                <w:rFonts w:ascii="Times New Roman" w:eastAsia="Times New Roman" w:hAnsi="Times New Roman" w:cs="Times New Roman"/>
                <w:b/>
                <w:bCs/>
                <w:sz w:val="20"/>
                <w:szCs w:val="20"/>
                <w:lang w:eastAsia="lv-LV"/>
              </w:rPr>
              <w:t>2017</w:t>
            </w:r>
          </w:p>
          <w:p w14:paraId="20C9D180" w14:textId="77777777" w:rsidR="005A1C5E" w:rsidRPr="008E4EB0" w:rsidRDefault="005A1C5E" w:rsidP="00BF58E9">
            <w:pPr>
              <w:keepNext/>
              <w:spacing w:after="0" w:line="240" w:lineRule="auto"/>
              <w:jc w:val="center"/>
              <w:rPr>
                <w:rFonts w:ascii="Times New Roman" w:eastAsia="Times New Roman" w:hAnsi="Times New Roman" w:cs="Times New Roman"/>
                <w:b/>
                <w:bCs/>
                <w:sz w:val="20"/>
                <w:szCs w:val="20"/>
                <w:lang w:eastAsia="lv-LV"/>
              </w:rPr>
            </w:pPr>
            <w:r w:rsidRPr="008E4EB0">
              <w:rPr>
                <w:rFonts w:ascii="Times New Roman" w:eastAsia="Times New Roman" w:hAnsi="Times New Roman" w:cs="Times New Roman"/>
                <w:b/>
                <w:bCs/>
                <w:sz w:val="20"/>
                <w:szCs w:val="20"/>
                <w:lang w:eastAsia="lv-LV"/>
              </w:rPr>
              <w:t>(līdz 24.02.2017.)</w:t>
            </w:r>
          </w:p>
        </w:tc>
      </w:tr>
      <w:tr w:rsidR="005A1C5E" w:rsidRPr="008E4EB0" w14:paraId="5403BA74" w14:textId="77777777" w:rsidTr="00BF58E9">
        <w:trPr>
          <w:trHeight w:val="1503"/>
        </w:trPr>
        <w:tc>
          <w:tcPr>
            <w:tcW w:w="2694" w:type="dxa"/>
            <w:vMerge/>
            <w:shd w:val="clear" w:color="auto" w:fill="auto"/>
            <w:noWrap/>
            <w:vAlign w:val="center"/>
            <w:hideMark/>
          </w:tcPr>
          <w:p w14:paraId="62E88533" w14:textId="77777777" w:rsidR="005A1C5E" w:rsidRPr="008E4EB0" w:rsidRDefault="005A1C5E" w:rsidP="005A1C5E">
            <w:pPr>
              <w:spacing w:after="0" w:line="240" w:lineRule="auto"/>
              <w:jc w:val="center"/>
              <w:rPr>
                <w:rFonts w:ascii="Times New Roman" w:eastAsia="Times New Roman" w:hAnsi="Times New Roman" w:cs="Times New Roman"/>
                <w:b/>
                <w:bCs/>
                <w:sz w:val="20"/>
                <w:szCs w:val="20"/>
                <w:lang w:eastAsia="lv-LV"/>
              </w:rPr>
            </w:pPr>
          </w:p>
        </w:tc>
        <w:tc>
          <w:tcPr>
            <w:tcW w:w="1861" w:type="dxa"/>
            <w:shd w:val="clear" w:color="auto" w:fill="auto"/>
            <w:vAlign w:val="center"/>
            <w:hideMark/>
          </w:tcPr>
          <w:p w14:paraId="0D4ADECE" w14:textId="77777777" w:rsidR="005A1C5E" w:rsidRPr="008E4EB0" w:rsidRDefault="005A1C5E" w:rsidP="005A1C5E">
            <w:pPr>
              <w:spacing w:after="0" w:line="240" w:lineRule="auto"/>
              <w:jc w:val="center"/>
              <w:rPr>
                <w:rFonts w:ascii="Times New Roman" w:eastAsia="Times New Roman" w:hAnsi="Times New Roman" w:cs="Times New Roman"/>
                <w:bCs/>
                <w:sz w:val="20"/>
                <w:szCs w:val="20"/>
                <w:lang w:eastAsia="lv-LV"/>
              </w:rPr>
            </w:pPr>
            <w:r w:rsidRPr="008E4EB0">
              <w:rPr>
                <w:rFonts w:ascii="Times New Roman" w:eastAsia="Times New Roman" w:hAnsi="Times New Roman" w:cs="Times New Roman"/>
                <w:bCs/>
                <w:sz w:val="20"/>
                <w:szCs w:val="20"/>
                <w:lang w:eastAsia="lv-LV"/>
              </w:rPr>
              <w:t>Energosertifikātu skaits</w:t>
            </w:r>
          </w:p>
        </w:tc>
        <w:tc>
          <w:tcPr>
            <w:tcW w:w="1406" w:type="dxa"/>
            <w:shd w:val="clear" w:color="auto" w:fill="auto"/>
            <w:vAlign w:val="center"/>
            <w:hideMark/>
          </w:tcPr>
          <w:p w14:paraId="0C52402F" w14:textId="77777777" w:rsidR="005A1C5E" w:rsidRPr="008E4EB0" w:rsidRDefault="005A1C5E" w:rsidP="005A1C5E">
            <w:pPr>
              <w:spacing w:after="0" w:line="240" w:lineRule="auto"/>
              <w:jc w:val="center"/>
              <w:rPr>
                <w:rFonts w:ascii="Times New Roman" w:eastAsia="Times New Roman" w:hAnsi="Times New Roman" w:cs="Times New Roman"/>
                <w:bCs/>
                <w:sz w:val="20"/>
                <w:szCs w:val="20"/>
                <w:lang w:eastAsia="lv-LV"/>
              </w:rPr>
            </w:pPr>
            <w:r w:rsidRPr="008E4EB0">
              <w:rPr>
                <w:rFonts w:ascii="Times New Roman" w:eastAsia="Times New Roman" w:hAnsi="Times New Roman" w:cs="Times New Roman"/>
                <w:bCs/>
                <w:sz w:val="20"/>
                <w:szCs w:val="20"/>
                <w:lang w:eastAsia="lv-LV"/>
              </w:rPr>
              <w:t>Vidējais patēriņa novērtējums apkurei (kWh/m² gadā)</w:t>
            </w:r>
          </w:p>
        </w:tc>
        <w:tc>
          <w:tcPr>
            <w:tcW w:w="1861" w:type="dxa"/>
            <w:shd w:val="clear" w:color="auto" w:fill="auto"/>
            <w:vAlign w:val="center"/>
            <w:hideMark/>
          </w:tcPr>
          <w:p w14:paraId="4A74F928" w14:textId="77777777" w:rsidR="005A1C5E" w:rsidRPr="008E4EB0" w:rsidRDefault="005A1C5E" w:rsidP="005A1C5E">
            <w:pPr>
              <w:spacing w:after="0" w:line="240" w:lineRule="auto"/>
              <w:jc w:val="center"/>
              <w:rPr>
                <w:rFonts w:ascii="Times New Roman" w:eastAsia="Times New Roman" w:hAnsi="Times New Roman" w:cs="Times New Roman"/>
                <w:bCs/>
                <w:sz w:val="20"/>
                <w:szCs w:val="20"/>
                <w:lang w:eastAsia="lv-LV"/>
              </w:rPr>
            </w:pPr>
            <w:r w:rsidRPr="008E4EB0">
              <w:rPr>
                <w:rFonts w:ascii="Times New Roman" w:eastAsia="Times New Roman" w:hAnsi="Times New Roman" w:cs="Times New Roman"/>
                <w:bCs/>
                <w:sz w:val="20"/>
                <w:szCs w:val="20"/>
                <w:lang w:eastAsia="lv-LV"/>
              </w:rPr>
              <w:t>Energosertifikātu skaits</w:t>
            </w:r>
          </w:p>
        </w:tc>
        <w:tc>
          <w:tcPr>
            <w:tcW w:w="1406" w:type="dxa"/>
            <w:shd w:val="clear" w:color="auto" w:fill="auto"/>
            <w:vAlign w:val="center"/>
            <w:hideMark/>
          </w:tcPr>
          <w:p w14:paraId="04874236" w14:textId="77777777" w:rsidR="005A1C5E" w:rsidRPr="008E4EB0" w:rsidRDefault="005A1C5E" w:rsidP="005A1C5E">
            <w:pPr>
              <w:spacing w:after="0" w:line="240" w:lineRule="auto"/>
              <w:jc w:val="center"/>
              <w:rPr>
                <w:rFonts w:ascii="Times New Roman" w:eastAsia="Times New Roman" w:hAnsi="Times New Roman" w:cs="Times New Roman"/>
                <w:bCs/>
                <w:sz w:val="20"/>
                <w:szCs w:val="20"/>
                <w:lang w:eastAsia="lv-LV"/>
              </w:rPr>
            </w:pPr>
            <w:r w:rsidRPr="008E4EB0">
              <w:rPr>
                <w:rFonts w:ascii="Times New Roman" w:eastAsia="Times New Roman" w:hAnsi="Times New Roman" w:cs="Times New Roman"/>
                <w:bCs/>
                <w:sz w:val="20"/>
                <w:szCs w:val="20"/>
                <w:lang w:eastAsia="lv-LV"/>
              </w:rPr>
              <w:t>Vidējais patēriņa novērtējums apkurei (kWh/m² gadā)</w:t>
            </w:r>
          </w:p>
        </w:tc>
      </w:tr>
      <w:tr w:rsidR="005A1C5E" w:rsidRPr="008E4EB0" w14:paraId="0CD70597" w14:textId="77777777" w:rsidTr="00BF58E9">
        <w:trPr>
          <w:trHeight w:val="255"/>
        </w:trPr>
        <w:tc>
          <w:tcPr>
            <w:tcW w:w="2694" w:type="dxa"/>
            <w:shd w:val="clear" w:color="auto" w:fill="auto"/>
            <w:hideMark/>
          </w:tcPr>
          <w:p w14:paraId="2E14CDC2" w14:textId="11A74D81" w:rsidR="005A1C5E" w:rsidRPr="008E4EB0" w:rsidRDefault="001B0B24" w:rsidP="00BF58E9">
            <w:pPr>
              <w:spacing w:after="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v</w:t>
            </w:r>
            <w:r w:rsidR="005A1C5E" w:rsidRPr="008E4EB0">
              <w:rPr>
                <w:rFonts w:ascii="Times New Roman" w:eastAsia="Times New Roman" w:hAnsi="Times New Roman" w:cs="Times New Roman"/>
                <w:bCs/>
                <w:sz w:val="20"/>
                <w:szCs w:val="20"/>
                <w:lang w:eastAsia="lv-LV"/>
              </w:rPr>
              <w:t>isi ēku tipi</w:t>
            </w:r>
          </w:p>
        </w:tc>
        <w:tc>
          <w:tcPr>
            <w:tcW w:w="1861" w:type="dxa"/>
            <w:shd w:val="clear" w:color="auto" w:fill="auto"/>
            <w:noWrap/>
            <w:vAlign w:val="center"/>
            <w:hideMark/>
          </w:tcPr>
          <w:p w14:paraId="6F26483E" w14:textId="77777777" w:rsidR="005A1C5E" w:rsidRPr="008E4EB0" w:rsidRDefault="005A1C5E" w:rsidP="005A1C5E">
            <w:pPr>
              <w:spacing w:after="0" w:line="240" w:lineRule="auto"/>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676</w:t>
            </w:r>
          </w:p>
        </w:tc>
        <w:tc>
          <w:tcPr>
            <w:tcW w:w="1406" w:type="dxa"/>
            <w:shd w:val="clear" w:color="auto" w:fill="auto"/>
            <w:noWrap/>
            <w:vAlign w:val="center"/>
            <w:hideMark/>
          </w:tcPr>
          <w:p w14:paraId="2AAE5847" w14:textId="77777777" w:rsidR="005A1C5E" w:rsidRPr="008E4EB0" w:rsidRDefault="005A1C5E" w:rsidP="005A1C5E">
            <w:pPr>
              <w:spacing w:after="0" w:line="240" w:lineRule="auto"/>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157</w:t>
            </w:r>
          </w:p>
        </w:tc>
        <w:tc>
          <w:tcPr>
            <w:tcW w:w="1861" w:type="dxa"/>
            <w:shd w:val="clear" w:color="auto" w:fill="auto"/>
            <w:noWrap/>
            <w:vAlign w:val="center"/>
            <w:hideMark/>
          </w:tcPr>
          <w:p w14:paraId="7D7D690A" w14:textId="77777777" w:rsidR="005A1C5E" w:rsidRPr="008E4EB0" w:rsidRDefault="005A1C5E" w:rsidP="005A1C5E">
            <w:pPr>
              <w:spacing w:after="0" w:line="240" w:lineRule="auto"/>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200</w:t>
            </w:r>
          </w:p>
        </w:tc>
        <w:tc>
          <w:tcPr>
            <w:tcW w:w="1406" w:type="dxa"/>
            <w:shd w:val="clear" w:color="auto" w:fill="auto"/>
            <w:noWrap/>
            <w:vAlign w:val="center"/>
            <w:hideMark/>
          </w:tcPr>
          <w:p w14:paraId="4F33AF40" w14:textId="77777777" w:rsidR="005A1C5E" w:rsidRPr="008E4EB0" w:rsidRDefault="005A1C5E" w:rsidP="005A1C5E">
            <w:pPr>
              <w:spacing w:after="0" w:line="240" w:lineRule="auto"/>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140</w:t>
            </w:r>
          </w:p>
        </w:tc>
      </w:tr>
      <w:tr w:rsidR="005A1C5E" w:rsidRPr="008E4EB0" w14:paraId="31B72195" w14:textId="77777777" w:rsidTr="00BF58E9">
        <w:trPr>
          <w:trHeight w:val="255"/>
        </w:trPr>
        <w:tc>
          <w:tcPr>
            <w:tcW w:w="2694" w:type="dxa"/>
            <w:shd w:val="clear" w:color="auto" w:fill="auto"/>
            <w:hideMark/>
          </w:tcPr>
          <w:p w14:paraId="2FFE3571" w14:textId="5A551A10" w:rsidR="005A1C5E" w:rsidRPr="008E4EB0" w:rsidRDefault="001B0B24" w:rsidP="00BF58E9">
            <w:pPr>
              <w:spacing w:after="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d</w:t>
            </w:r>
            <w:r w:rsidR="005A1C5E" w:rsidRPr="008E4EB0">
              <w:rPr>
                <w:rFonts w:ascii="Times New Roman" w:eastAsia="Times New Roman" w:hAnsi="Times New Roman" w:cs="Times New Roman"/>
                <w:bCs/>
                <w:sz w:val="20"/>
                <w:szCs w:val="20"/>
                <w:lang w:eastAsia="lv-LV"/>
              </w:rPr>
              <w:t>ažāda tipa viendzīvokļa ēka vai divdzīvokļu ēka</w:t>
            </w:r>
          </w:p>
        </w:tc>
        <w:tc>
          <w:tcPr>
            <w:tcW w:w="1861" w:type="dxa"/>
            <w:shd w:val="clear" w:color="auto" w:fill="auto"/>
            <w:noWrap/>
            <w:vAlign w:val="center"/>
            <w:hideMark/>
          </w:tcPr>
          <w:p w14:paraId="465503BF" w14:textId="77777777" w:rsidR="005A1C5E" w:rsidRPr="008E4EB0" w:rsidRDefault="005A1C5E" w:rsidP="005A1C5E">
            <w:pPr>
              <w:spacing w:after="0" w:line="240" w:lineRule="auto"/>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3</w:t>
            </w:r>
          </w:p>
        </w:tc>
        <w:tc>
          <w:tcPr>
            <w:tcW w:w="1406" w:type="dxa"/>
            <w:shd w:val="clear" w:color="auto" w:fill="auto"/>
            <w:noWrap/>
            <w:vAlign w:val="center"/>
            <w:hideMark/>
          </w:tcPr>
          <w:p w14:paraId="467D8C1B" w14:textId="77777777" w:rsidR="005A1C5E" w:rsidRPr="008E4EB0" w:rsidRDefault="005A1C5E" w:rsidP="005A1C5E">
            <w:pPr>
              <w:spacing w:after="0" w:line="240" w:lineRule="auto"/>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172</w:t>
            </w:r>
          </w:p>
        </w:tc>
        <w:tc>
          <w:tcPr>
            <w:tcW w:w="1861" w:type="dxa"/>
            <w:shd w:val="clear" w:color="auto" w:fill="auto"/>
            <w:noWrap/>
            <w:vAlign w:val="center"/>
            <w:hideMark/>
          </w:tcPr>
          <w:p w14:paraId="5974B9DB" w14:textId="77777777" w:rsidR="005A1C5E" w:rsidRPr="008E4EB0" w:rsidRDefault="005A1C5E" w:rsidP="005A1C5E">
            <w:pPr>
              <w:spacing w:after="0" w:line="240" w:lineRule="auto"/>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4</w:t>
            </w:r>
          </w:p>
        </w:tc>
        <w:tc>
          <w:tcPr>
            <w:tcW w:w="1406" w:type="dxa"/>
            <w:shd w:val="clear" w:color="auto" w:fill="auto"/>
            <w:noWrap/>
            <w:vAlign w:val="center"/>
            <w:hideMark/>
          </w:tcPr>
          <w:p w14:paraId="6E0ADC6D" w14:textId="77777777" w:rsidR="005A1C5E" w:rsidRPr="008E4EB0" w:rsidRDefault="005A1C5E" w:rsidP="005A1C5E">
            <w:pPr>
              <w:spacing w:after="0" w:line="240" w:lineRule="auto"/>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174</w:t>
            </w:r>
          </w:p>
        </w:tc>
      </w:tr>
      <w:tr w:rsidR="005A1C5E" w:rsidRPr="008E4EB0" w14:paraId="033B85C2" w14:textId="77777777" w:rsidTr="00BF58E9">
        <w:trPr>
          <w:trHeight w:val="255"/>
        </w:trPr>
        <w:tc>
          <w:tcPr>
            <w:tcW w:w="2694" w:type="dxa"/>
            <w:shd w:val="clear" w:color="auto" w:fill="auto"/>
            <w:hideMark/>
          </w:tcPr>
          <w:p w14:paraId="59901ED4" w14:textId="77777777" w:rsidR="005A1C5E" w:rsidRPr="008E4EB0" w:rsidRDefault="005A1C5E" w:rsidP="00BF58E9">
            <w:pPr>
              <w:spacing w:after="0" w:line="240" w:lineRule="auto"/>
              <w:rPr>
                <w:rFonts w:ascii="Times New Roman" w:eastAsia="Times New Roman" w:hAnsi="Times New Roman" w:cs="Times New Roman"/>
                <w:bCs/>
                <w:sz w:val="20"/>
                <w:szCs w:val="20"/>
                <w:lang w:eastAsia="lv-LV"/>
              </w:rPr>
            </w:pPr>
            <w:r w:rsidRPr="008E4EB0">
              <w:rPr>
                <w:rFonts w:ascii="Times New Roman" w:eastAsia="Times New Roman" w:hAnsi="Times New Roman" w:cs="Times New Roman"/>
                <w:bCs/>
                <w:sz w:val="20"/>
                <w:szCs w:val="20"/>
                <w:lang w:eastAsia="lv-LV"/>
              </w:rPr>
              <w:t>daudzdzīvokļu māja</w:t>
            </w:r>
          </w:p>
        </w:tc>
        <w:tc>
          <w:tcPr>
            <w:tcW w:w="1861" w:type="dxa"/>
            <w:shd w:val="clear" w:color="auto" w:fill="auto"/>
            <w:noWrap/>
            <w:vAlign w:val="center"/>
            <w:hideMark/>
          </w:tcPr>
          <w:p w14:paraId="08FB92B8" w14:textId="77777777" w:rsidR="005A1C5E" w:rsidRPr="008E4EB0" w:rsidRDefault="005A1C5E" w:rsidP="005A1C5E">
            <w:pPr>
              <w:spacing w:after="0" w:line="240" w:lineRule="auto"/>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259</w:t>
            </w:r>
          </w:p>
        </w:tc>
        <w:tc>
          <w:tcPr>
            <w:tcW w:w="1406" w:type="dxa"/>
            <w:shd w:val="clear" w:color="auto" w:fill="auto"/>
            <w:noWrap/>
            <w:vAlign w:val="center"/>
            <w:hideMark/>
          </w:tcPr>
          <w:p w14:paraId="36385F4E" w14:textId="77777777" w:rsidR="005A1C5E" w:rsidRPr="008E4EB0" w:rsidRDefault="005A1C5E" w:rsidP="005A1C5E">
            <w:pPr>
              <w:spacing w:after="0" w:line="240" w:lineRule="auto"/>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137</w:t>
            </w:r>
          </w:p>
        </w:tc>
        <w:tc>
          <w:tcPr>
            <w:tcW w:w="1861" w:type="dxa"/>
            <w:shd w:val="clear" w:color="auto" w:fill="auto"/>
            <w:noWrap/>
            <w:vAlign w:val="center"/>
            <w:hideMark/>
          </w:tcPr>
          <w:p w14:paraId="2BAD1199" w14:textId="77777777" w:rsidR="005A1C5E" w:rsidRPr="008E4EB0" w:rsidRDefault="005A1C5E" w:rsidP="005A1C5E">
            <w:pPr>
              <w:spacing w:after="0" w:line="240" w:lineRule="auto"/>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117</w:t>
            </w:r>
          </w:p>
        </w:tc>
        <w:tc>
          <w:tcPr>
            <w:tcW w:w="1406" w:type="dxa"/>
            <w:shd w:val="clear" w:color="auto" w:fill="auto"/>
            <w:noWrap/>
            <w:vAlign w:val="center"/>
            <w:hideMark/>
          </w:tcPr>
          <w:p w14:paraId="2988E164" w14:textId="77777777" w:rsidR="005A1C5E" w:rsidRPr="008E4EB0" w:rsidRDefault="005A1C5E" w:rsidP="005A1C5E">
            <w:pPr>
              <w:spacing w:after="0" w:line="240" w:lineRule="auto"/>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140</w:t>
            </w:r>
          </w:p>
        </w:tc>
      </w:tr>
      <w:tr w:rsidR="005A1C5E" w:rsidRPr="008E4EB0" w14:paraId="029309EC" w14:textId="77777777" w:rsidTr="00BF58E9">
        <w:trPr>
          <w:trHeight w:val="255"/>
        </w:trPr>
        <w:tc>
          <w:tcPr>
            <w:tcW w:w="2694" w:type="dxa"/>
            <w:shd w:val="clear" w:color="auto" w:fill="auto"/>
            <w:hideMark/>
          </w:tcPr>
          <w:p w14:paraId="1D872172" w14:textId="77777777" w:rsidR="005A1C5E" w:rsidRPr="008E4EB0" w:rsidRDefault="005A1C5E" w:rsidP="00BF58E9">
            <w:pPr>
              <w:spacing w:after="0" w:line="240" w:lineRule="auto"/>
              <w:rPr>
                <w:rFonts w:ascii="Times New Roman" w:eastAsia="Times New Roman" w:hAnsi="Times New Roman" w:cs="Times New Roman"/>
                <w:bCs/>
                <w:sz w:val="20"/>
                <w:szCs w:val="20"/>
                <w:lang w:eastAsia="lv-LV"/>
              </w:rPr>
            </w:pPr>
            <w:r w:rsidRPr="008E4EB0">
              <w:rPr>
                <w:rFonts w:ascii="Times New Roman" w:eastAsia="Times New Roman" w:hAnsi="Times New Roman" w:cs="Times New Roman"/>
                <w:bCs/>
                <w:sz w:val="20"/>
                <w:szCs w:val="20"/>
                <w:lang w:eastAsia="lv-LV"/>
              </w:rPr>
              <w:t>biroju ēka</w:t>
            </w:r>
          </w:p>
        </w:tc>
        <w:tc>
          <w:tcPr>
            <w:tcW w:w="1861" w:type="dxa"/>
            <w:shd w:val="clear" w:color="auto" w:fill="auto"/>
            <w:noWrap/>
            <w:vAlign w:val="center"/>
            <w:hideMark/>
          </w:tcPr>
          <w:p w14:paraId="641ACE35" w14:textId="77777777" w:rsidR="005A1C5E" w:rsidRPr="008E4EB0" w:rsidRDefault="005A1C5E" w:rsidP="005A1C5E">
            <w:pPr>
              <w:spacing w:after="0" w:line="240" w:lineRule="auto"/>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100</w:t>
            </w:r>
          </w:p>
        </w:tc>
        <w:tc>
          <w:tcPr>
            <w:tcW w:w="1406" w:type="dxa"/>
            <w:shd w:val="clear" w:color="auto" w:fill="auto"/>
            <w:noWrap/>
            <w:vAlign w:val="center"/>
            <w:hideMark/>
          </w:tcPr>
          <w:p w14:paraId="7365B625" w14:textId="77777777" w:rsidR="005A1C5E" w:rsidRPr="008E4EB0" w:rsidRDefault="005A1C5E" w:rsidP="005A1C5E">
            <w:pPr>
              <w:spacing w:after="0" w:line="240" w:lineRule="auto"/>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172</w:t>
            </w:r>
          </w:p>
        </w:tc>
        <w:tc>
          <w:tcPr>
            <w:tcW w:w="1861" w:type="dxa"/>
            <w:shd w:val="clear" w:color="auto" w:fill="auto"/>
            <w:noWrap/>
            <w:vAlign w:val="center"/>
            <w:hideMark/>
          </w:tcPr>
          <w:p w14:paraId="2009A30D" w14:textId="77777777" w:rsidR="005A1C5E" w:rsidRPr="008E4EB0" w:rsidRDefault="005A1C5E" w:rsidP="005A1C5E">
            <w:pPr>
              <w:spacing w:after="0" w:line="240" w:lineRule="auto"/>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21</w:t>
            </w:r>
          </w:p>
        </w:tc>
        <w:tc>
          <w:tcPr>
            <w:tcW w:w="1406" w:type="dxa"/>
            <w:shd w:val="clear" w:color="auto" w:fill="auto"/>
            <w:noWrap/>
            <w:vAlign w:val="center"/>
            <w:hideMark/>
          </w:tcPr>
          <w:p w14:paraId="2CC0FC12" w14:textId="77777777" w:rsidR="005A1C5E" w:rsidRPr="008E4EB0" w:rsidRDefault="005A1C5E" w:rsidP="005A1C5E">
            <w:pPr>
              <w:spacing w:after="0" w:line="240" w:lineRule="auto"/>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116</w:t>
            </w:r>
          </w:p>
        </w:tc>
      </w:tr>
      <w:tr w:rsidR="005A1C5E" w:rsidRPr="008E4EB0" w14:paraId="10466A08" w14:textId="77777777" w:rsidTr="00BF58E9">
        <w:trPr>
          <w:trHeight w:val="255"/>
        </w:trPr>
        <w:tc>
          <w:tcPr>
            <w:tcW w:w="2694" w:type="dxa"/>
            <w:shd w:val="clear" w:color="auto" w:fill="auto"/>
            <w:hideMark/>
          </w:tcPr>
          <w:p w14:paraId="5DF04BDE" w14:textId="77777777" w:rsidR="005A1C5E" w:rsidRPr="008E4EB0" w:rsidRDefault="005A1C5E" w:rsidP="00BF58E9">
            <w:pPr>
              <w:spacing w:after="0" w:line="240" w:lineRule="auto"/>
              <w:rPr>
                <w:rFonts w:ascii="Times New Roman" w:eastAsia="Times New Roman" w:hAnsi="Times New Roman" w:cs="Times New Roman"/>
                <w:bCs/>
                <w:sz w:val="20"/>
                <w:szCs w:val="20"/>
                <w:lang w:eastAsia="lv-LV"/>
              </w:rPr>
            </w:pPr>
            <w:r w:rsidRPr="008E4EB0">
              <w:rPr>
                <w:rFonts w:ascii="Times New Roman" w:eastAsia="Times New Roman" w:hAnsi="Times New Roman" w:cs="Times New Roman"/>
                <w:bCs/>
                <w:sz w:val="20"/>
                <w:szCs w:val="20"/>
                <w:lang w:eastAsia="lv-LV"/>
              </w:rPr>
              <w:t>izglītības iestāžu ēka</w:t>
            </w:r>
          </w:p>
        </w:tc>
        <w:tc>
          <w:tcPr>
            <w:tcW w:w="1861" w:type="dxa"/>
            <w:shd w:val="clear" w:color="auto" w:fill="auto"/>
            <w:noWrap/>
            <w:vAlign w:val="center"/>
            <w:hideMark/>
          </w:tcPr>
          <w:p w14:paraId="669B7923" w14:textId="77777777" w:rsidR="005A1C5E" w:rsidRPr="008E4EB0" w:rsidRDefault="005A1C5E" w:rsidP="005A1C5E">
            <w:pPr>
              <w:spacing w:after="0" w:line="240" w:lineRule="auto"/>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128</w:t>
            </w:r>
          </w:p>
        </w:tc>
        <w:tc>
          <w:tcPr>
            <w:tcW w:w="1406" w:type="dxa"/>
            <w:shd w:val="clear" w:color="auto" w:fill="auto"/>
            <w:noWrap/>
            <w:vAlign w:val="center"/>
            <w:hideMark/>
          </w:tcPr>
          <w:p w14:paraId="75831D5C" w14:textId="77777777" w:rsidR="005A1C5E" w:rsidRPr="008E4EB0" w:rsidRDefault="005A1C5E" w:rsidP="005A1C5E">
            <w:pPr>
              <w:spacing w:after="0" w:line="240" w:lineRule="auto"/>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160</w:t>
            </w:r>
          </w:p>
        </w:tc>
        <w:tc>
          <w:tcPr>
            <w:tcW w:w="1861" w:type="dxa"/>
            <w:shd w:val="clear" w:color="auto" w:fill="auto"/>
            <w:noWrap/>
            <w:vAlign w:val="center"/>
            <w:hideMark/>
          </w:tcPr>
          <w:p w14:paraId="420A56F8" w14:textId="77777777" w:rsidR="005A1C5E" w:rsidRPr="008E4EB0" w:rsidRDefault="005A1C5E" w:rsidP="005A1C5E">
            <w:pPr>
              <w:spacing w:after="0" w:line="240" w:lineRule="auto"/>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18</w:t>
            </w:r>
          </w:p>
        </w:tc>
        <w:tc>
          <w:tcPr>
            <w:tcW w:w="1406" w:type="dxa"/>
            <w:shd w:val="clear" w:color="auto" w:fill="auto"/>
            <w:noWrap/>
            <w:vAlign w:val="center"/>
            <w:hideMark/>
          </w:tcPr>
          <w:p w14:paraId="21B74E5F" w14:textId="77777777" w:rsidR="005A1C5E" w:rsidRPr="008E4EB0" w:rsidRDefault="005A1C5E" w:rsidP="005A1C5E">
            <w:pPr>
              <w:spacing w:after="0" w:line="240" w:lineRule="auto"/>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122</w:t>
            </w:r>
          </w:p>
        </w:tc>
      </w:tr>
      <w:tr w:rsidR="005A1C5E" w:rsidRPr="008E4EB0" w14:paraId="1C9418A8" w14:textId="77777777" w:rsidTr="00BF58E9">
        <w:trPr>
          <w:trHeight w:val="255"/>
        </w:trPr>
        <w:tc>
          <w:tcPr>
            <w:tcW w:w="2694" w:type="dxa"/>
            <w:shd w:val="clear" w:color="auto" w:fill="auto"/>
            <w:hideMark/>
          </w:tcPr>
          <w:p w14:paraId="785E6E60" w14:textId="77777777" w:rsidR="005A1C5E" w:rsidRPr="008E4EB0" w:rsidRDefault="005A1C5E" w:rsidP="00BF58E9">
            <w:pPr>
              <w:spacing w:after="0" w:line="240" w:lineRule="auto"/>
              <w:rPr>
                <w:rFonts w:ascii="Times New Roman" w:eastAsia="Times New Roman" w:hAnsi="Times New Roman" w:cs="Times New Roman"/>
                <w:bCs/>
                <w:sz w:val="20"/>
                <w:szCs w:val="20"/>
                <w:lang w:eastAsia="lv-LV"/>
              </w:rPr>
            </w:pPr>
            <w:r w:rsidRPr="008E4EB0">
              <w:rPr>
                <w:rFonts w:ascii="Times New Roman" w:eastAsia="Times New Roman" w:hAnsi="Times New Roman" w:cs="Times New Roman"/>
                <w:bCs/>
                <w:sz w:val="20"/>
                <w:szCs w:val="20"/>
                <w:lang w:eastAsia="lv-LV"/>
              </w:rPr>
              <w:t>ambulatoro vai stacionāro ārstniecības iestāžu ēka</w:t>
            </w:r>
          </w:p>
        </w:tc>
        <w:tc>
          <w:tcPr>
            <w:tcW w:w="1861" w:type="dxa"/>
            <w:shd w:val="clear" w:color="auto" w:fill="auto"/>
            <w:noWrap/>
            <w:vAlign w:val="center"/>
            <w:hideMark/>
          </w:tcPr>
          <w:p w14:paraId="59BD3EED" w14:textId="77777777" w:rsidR="005A1C5E" w:rsidRPr="008E4EB0" w:rsidRDefault="005A1C5E" w:rsidP="005A1C5E">
            <w:pPr>
              <w:spacing w:after="0" w:line="240" w:lineRule="auto"/>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42</w:t>
            </w:r>
          </w:p>
        </w:tc>
        <w:tc>
          <w:tcPr>
            <w:tcW w:w="1406" w:type="dxa"/>
            <w:shd w:val="clear" w:color="auto" w:fill="auto"/>
            <w:noWrap/>
            <w:vAlign w:val="center"/>
            <w:hideMark/>
          </w:tcPr>
          <w:p w14:paraId="4C23F339" w14:textId="77777777" w:rsidR="005A1C5E" w:rsidRPr="008E4EB0" w:rsidRDefault="005A1C5E" w:rsidP="005A1C5E">
            <w:pPr>
              <w:spacing w:after="0" w:line="240" w:lineRule="auto"/>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163</w:t>
            </w:r>
          </w:p>
        </w:tc>
        <w:tc>
          <w:tcPr>
            <w:tcW w:w="1861" w:type="dxa"/>
            <w:shd w:val="clear" w:color="auto" w:fill="auto"/>
            <w:noWrap/>
            <w:vAlign w:val="center"/>
            <w:hideMark/>
          </w:tcPr>
          <w:p w14:paraId="1A36A57B" w14:textId="77777777" w:rsidR="005A1C5E" w:rsidRPr="008E4EB0" w:rsidRDefault="005A1C5E" w:rsidP="005A1C5E">
            <w:pPr>
              <w:spacing w:after="0" w:line="240" w:lineRule="auto"/>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4</w:t>
            </w:r>
          </w:p>
        </w:tc>
        <w:tc>
          <w:tcPr>
            <w:tcW w:w="1406" w:type="dxa"/>
            <w:shd w:val="clear" w:color="auto" w:fill="auto"/>
            <w:noWrap/>
            <w:vAlign w:val="center"/>
            <w:hideMark/>
          </w:tcPr>
          <w:p w14:paraId="3D771602" w14:textId="77777777" w:rsidR="005A1C5E" w:rsidRPr="008E4EB0" w:rsidRDefault="005A1C5E" w:rsidP="005A1C5E">
            <w:pPr>
              <w:spacing w:after="0" w:line="240" w:lineRule="auto"/>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186</w:t>
            </w:r>
          </w:p>
        </w:tc>
      </w:tr>
      <w:tr w:rsidR="005A1C5E" w:rsidRPr="008E4EB0" w14:paraId="740AB240" w14:textId="77777777" w:rsidTr="00386751">
        <w:trPr>
          <w:cantSplit/>
          <w:trHeight w:val="255"/>
        </w:trPr>
        <w:tc>
          <w:tcPr>
            <w:tcW w:w="2694" w:type="dxa"/>
            <w:shd w:val="clear" w:color="auto" w:fill="auto"/>
            <w:hideMark/>
          </w:tcPr>
          <w:p w14:paraId="788294E8" w14:textId="77777777" w:rsidR="005A1C5E" w:rsidRPr="008E4EB0" w:rsidRDefault="005A1C5E" w:rsidP="00BF58E9">
            <w:pPr>
              <w:spacing w:after="0" w:line="240" w:lineRule="auto"/>
              <w:rPr>
                <w:rFonts w:ascii="Times New Roman" w:eastAsia="Times New Roman" w:hAnsi="Times New Roman" w:cs="Times New Roman"/>
                <w:bCs/>
                <w:sz w:val="20"/>
                <w:szCs w:val="20"/>
                <w:lang w:eastAsia="lv-LV"/>
              </w:rPr>
            </w:pPr>
            <w:r w:rsidRPr="008E4EB0">
              <w:rPr>
                <w:rFonts w:ascii="Times New Roman" w:eastAsia="Times New Roman" w:hAnsi="Times New Roman" w:cs="Times New Roman"/>
                <w:bCs/>
                <w:sz w:val="20"/>
                <w:szCs w:val="20"/>
                <w:lang w:eastAsia="lv-LV"/>
              </w:rPr>
              <w:t>viesnīcu un restorānu ēka</w:t>
            </w:r>
          </w:p>
        </w:tc>
        <w:tc>
          <w:tcPr>
            <w:tcW w:w="1861" w:type="dxa"/>
            <w:shd w:val="clear" w:color="auto" w:fill="auto"/>
            <w:noWrap/>
            <w:vAlign w:val="center"/>
            <w:hideMark/>
          </w:tcPr>
          <w:p w14:paraId="44978B1B" w14:textId="77777777" w:rsidR="005A1C5E" w:rsidRPr="008E4EB0" w:rsidRDefault="005A1C5E" w:rsidP="005A1C5E">
            <w:pPr>
              <w:spacing w:after="0" w:line="240" w:lineRule="auto"/>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30</w:t>
            </w:r>
          </w:p>
        </w:tc>
        <w:tc>
          <w:tcPr>
            <w:tcW w:w="1406" w:type="dxa"/>
            <w:shd w:val="clear" w:color="auto" w:fill="auto"/>
            <w:noWrap/>
            <w:vAlign w:val="center"/>
            <w:hideMark/>
          </w:tcPr>
          <w:p w14:paraId="04C06A59" w14:textId="77777777" w:rsidR="005A1C5E" w:rsidRPr="008E4EB0" w:rsidRDefault="005A1C5E" w:rsidP="005A1C5E">
            <w:pPr>
              <w:spacing w:after="0" w:line="240" w:lineRule="auto"/>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114</w:t>
            </w:r>
          </w:p>
        </w:tc>
        <w:tc>
          <w:tcPr>
            <w:tcW w:w="1861" w:type="dxa"/>
            <w:shd w:val="clear" w:color="auto" w:fill="auto"/>
            <w:noWrap/>
            <w:vAlign w:val="center"/>
            <w:hideMark/>
          </w:tcPr>
          <w:p w14:paraId="64BC7C25" w14:textId="77777777" w:rsidR="005A1C5E" w:rsidRPr="008E4EB0" w:rsidRDefault="005A1C5E" w:rsidP="005A1C5E">
            <w:pPr>
              <w:spacing w:after="0" w:line="240" w:lineRule="auto"/>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7</w:t>
            </w:r>
          </w:p>
        </w:tc>
        <w:tc>
          <w:tcPr>
            <w:tcW w:w="1406" w:type="dxa"/>
            <w:shd w:val="clear" w:color="auto" w:fill="auto"/>
            <w:noWrap/>
            <w:vAlign w:val="center"/>
            <w:hideMark/>
          </w:tcPr>
          <w:p w14:paraId="2DF390E7" w14:textId="77777777" w:rsidR="005A1C5E" w:rsidRPr="008E4EB0" w:rsidRDefault="005A1C5E" w:rsidP="005A1C5E">
            <w:pPr>
              <w:spacing w:after="0" w:line="240" w:lineRule="auto"/>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108</w:t>
            </w:r>
          </w:p>
        </w:tc>
      </w:tr>
      <w:tr w:rsidR="005A1C5E" w:rsidRPr="008E4EB0" w14:paraId="2D55953B" w14:textId="77777777" w:rsidTr="00386751">
        <w:trPr>
          <w:cantSplit/>
          <w:trHeight w:val="255"/>
        </w:trPr>
        <w:tc>
          <w:tcPr>
            <w:tcW w:w="2694" w:type="dxa"/>
            <w:shd w:val="clear" w:color="auto" w:fill="auto"/>
            <w:hideMark/>
          </w:tcPr>
          <w:p w14:paraId="59653444" w14:textId="77777777" w:rsidR="005A1C5E" w:rsidRPr="008E4EB0" w:rsidRDefault="005A1C5E" w:rsidP="00BF58E9">
            <w:pPr>
              <w:spacing w:after="0" w:line="240" w:lineRule="auto"/>
              <w:rPr>
                <w:rFonts w:ascii="Times New Roman" w:eastAsia="Times New Roman" w:hAnsi="Times New Roman" w:cs="Times New Roman"/>
                <w:bCs/>
                <w:sz w:val="20"/>
                <w:szCs w:val="20"/>
                <w:lang w:eastAsia="lv-LV"/>
              </w:rPr>
            </w:pPr>
            <w:r w:rsidRPr="008E4EB0">
              <w:rPr>
                <w:rFonts w:ascii="Times New Roman" w:eastAsia="Times New Roman" w:hAnsi="Times New Roman" w:cs="Times New Roman"/>
                <w:bCs/>
                <w:sz w:val="20"/>
                <w:szCs w:val="20"/>
                <w:lang w:eastAsia="lv-LV"/>
              </w:rPr>
              <w:lastRenderedPageBreak/>
              <w:t>sporta iestāžu ēka</w:t>
            </w:r>
          </w:p>
        </w:tc>
        <w:tc>
          <w:tcPr>
            <w:tcW w:w="1861" w:type="dxa"/>
            <w:shd w:val="clear" w:color="auto" w:fill="auto"/>
            <w:noWrap/>
            <w:vAlign w:val="center"/>
            <w:hideMark/>
          </w:tcPr>
          <w:p w14:paraId="1A92E7A7" w14:textId="77777777" w:rsidR="005A1C5E" w:rsidRPr="008E4EB0" w:rsidRDefault="005A1C5E" w:rsidP="005A1C5E">
            <w:pPr>
              <w:spacing w:after="0" w:line="240" w:lineRule="auto"/>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6</w:t>
            </w:r>
          </w:p>
        </w:tc>
        <w:tc>
          <w:tcPr>
            <w:tcW w:w="1406" w:type="dxa"/>
            <w:shd w:val="clear" w:color="auto" w:fill="auto"/>
            <w:noWrap/>
            <w:vAlign w:val="center"/>
            <w:hideMark/>
          </w:tcPr>
          <w:p w14:paraId="10CDA812" w14:textId="77777777" w:rsidR="005A1C5E" w:rsidRPr="008E4EB0" w:rsidRDefault="005A1C5E" w:rsidP="005A1C5E">
            <w:pPr>
              <w:spacing w:after="0" w:line="240" w:lineRule="auto"/>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161</w:t>
            </w:r>
          </w:p>
        </w:tc>
        <w:tc>
          <w:tcPr>
            <w:tcW w:w="1861" w:type="dxa"/>
            <w:shd w:val="clear" w:color="auto" w:fill="auto"/>
            <w:noWrap/>
            <w:vAlign w:val="center"/>
            <w:hideMark/>
          </w:tcPr>
          <w:p w14:paraId="3CB56912" w14:textId="77777777" w:rsidR="005A1C5E" w:rsidRPr="008E4EB0" w:rsidRDefault="005A1C5E" w:rsidP="005A1C5E">
            <w:pPr>
              <w:spacing w:after="0" w:line="240" w:lineRule="auto"/>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2</w:t>
            </w:r>
          </w:p>
        </w:tc>
        <w:tc>
          <w:tcPr>
            <w:tcW w:w="1406" w:type="dxa"/>
            <w:shd w:val="clear" w:color="auto" w:fill="auto"/>
            <w:noWrap/>
            <w:vAlign w:val="center"/>
            <w:hideMark/>
          </w:tcPr>
          <w:p w14:paraId="168CA9AA" w14:textId="77777777" w:rsidR="005A1C5E" w:rsidRPr="008E4EB0" w:rsidRDefault="005A1C5E" w:rsidP="005A1C5E">
            <w:pPr>
              <w:spacing w:after="0" w:line="240" w:lineRule="auto"/>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140</w:t>
            </w:r>
          </w:p>
        </w:tc>
      </w:tr>
      <w:tr w:rsidR="005A1C5E" w:rsidRPr="008E4EB0" w14:paraId="246BF628" w14:textId="77777777" w:rsidTr="00BF58E9">
        <w:trPr>
          <w:trHeight w:val="510"/>
        </w:trPr>
        <w:tc>
          <w:tcPr>
            <w:tcW w:w="2694" w:type="dxa"/>
            <w:shd w:val="clear" w:color="auto" w:fill="auto"/>
            <w:hideMark/>
          </w:tcPr>
          <w:p w14:paraId="474AD44C" w14:textId="77777777" w:rsidR="005A1C5E" w:rsidRPr="008E4EB0" w:rsidRDefault="005A1C5E" w:rsidP="00BF58E9">
            <w:pPr>
              <w:spacing w:after="0" w:line="240" w:lineRule="auto"/>
              <w:rPr>
                <w:rFonts w:ascii="Times New Roman" w:eastAsia="Times New Roman" w:hAnsi="Times New Roman" w:cs="Times New Roman"/>
                <w:bCs/>
                <w:sz w:val="20"/>
                <w:szCs w:val="20"/>
                <w:lang w:eastAsia="lv-LV"/>
              </w:rPr>
            </w:pPr>
            <w:r w:rsidRPr="008E4EB0">
              <w:rPr>
                <w:rFonts w:ascii="Times New Roman" w:eastAsia="Times New Roman" w:hAnsi="Times New Roman" w:cs="Times New Roman"/>
                <w:bCs/>
                <w:sz w:val="20"/>
                <w:szCs w:val="20"/>
                <w:lang w:eastAsia="lv-LV"/>
              </w:rPr>
              <w:t>vairumtirdzniecības vai mazumtirdzniecības pakalpojumu ēka</w:t>
            </w:r>
          </w:p>
        </w:tc>
        <w:tc>
          <w:tcPr>
            <w:tcW w:w="1861" w:type="dxa"/>
            <w:shd w:val="clear" w:color="auto" w:fill="auto"/>
            <w:noWrap/>
            <w:vAlign w:val="center"/>
            <w:hideMark/>
          </w:tcPr>
          <w:p w14:paraId="1CBF359D" w14:textId="77777777" w:rsidR="005A1C5E" w:rsidRPr="008E4EB0" w:rsidRDefault="005A1C5E" w:rsidP="005A1C5E">
            <w:pPr>
              <w:spacing w:after="0" w:line="240" w:lineRule="auto"/>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4</w:t>
            </w:r>
          </w:p>
        </w:tc>
        <w:tc>
          <w:tcPr>
            <w:tcW w:w="1406" w:type="dxa"/>
            <w:shd w:val="clear" w:color="auto" w:fill="auto"/>
            <w:noWrap/>
            <w:vAlign w:val="center"/>
            <w:hideMark/>
          </w:tcPr>
          <w:p w14:paraId="6E787EE1" w14:textId="77777777" w:rsidR="005A1C5E" w:rsidRPr="008E4EB0" w:rsidRDefault="005A1C5E" w:rsidP="005A1C5E">
            <w:pPr>
              <w:spacing w:after="0" w:line="240" w:lineRule="auto"/>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172</w:t>
            </w:r>
          </w:p>
        </w:tc>
        <w:tc>
          <w:tcPr>
            <w:tcW w:w="1861" w:type="dxa"/>
            <w:shd w:val="clear" w:color="auto" w:fill="auto"/>
            <w:noWrap/>
            <w:vAlign w:val="center"/>
            <w:hideMark/>
          </w:tcPr>
          <w:p w14:paraId="1FA87C72" w14:textId="77777777" w:rsidR="005A1C5E" w:rsidRPr="008E4EB0" w:rsidRDefault="005A1C5E" w:rsidP="005A1C5E">
            <w:pPr>
              <w:spacing w:after="0" w:line="240" w:lineRule="auto"/>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9</w:t>
            </w:r>
          </w:p>
        </w:tc>
        <w:tc>
          <w:tcPr>
            <w:tcW w:w="1406" w:type="dxa"/>
            <w:shd w:val="clear" w:color="auto" w:fill="auto"/>
            <w:noWrap/>
            <w:vAlign w:val="center"/>
            <w:hideMark/>
          </w:tcPr>
          <w:p w14:paraId="1DBADAE3" w14:textId="77777777" w:rsidR="005A1C5E" w:rsidRPr="008E4EB0" w:rsidRDefault="005A1C5E" w:rsidP="005A1C5E">
            <w:pPr>
              <w:spacing w:after="0" w:line="240" w:lineRule="auto"/>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71</w:t>
            </w:r>
          </w:p>
        </w:tc>
      </w:tr>
      <w:tr w:rsidR="005A1C5E" w:rsidRPr="008E4EB0" w14:paraId="5CDC09F5" w14:textId="77777777" w:rsidTr="00BF58E9">
        <w:trPr>
          <w:trHeight w:val="255"/>
        </w:trPr>
        <w:tc>
          <w:tcPr>
            <w:tcW w:w="2694" w:type="dxa"/>
            <w:shd w:val="clear" w:color="auto" w:fill="auto"/>
            <w:hideMark/>
          </w:tcPr>
          <w:p w14:paraId="5CCF1F24" w14:textId="77777777" w:rsidR="005A1C5E" w:rsidRPr="008E4EB0" w:rsidRDefault="005A1C5E" w:rsidP="00BF58E9">
            <w:pPr>
              <w:spacing w:after="0" w:line="240" w:lineRule="auto"/>
              <w:rPr>
                <w:rFonts w:ascii="Times New Roman" w:eastAsia="Times New Roman" w:hAnsi="Times New Roman" w:cs="Times New Roman"/>
                <w:bCs/>
                <w:sz w:val="20"/>
                <w:szCs w:val="20"/>
                <w:lang w:eastAsia="lv-LV"/>
              </w:rPr>
            </w:pPr>
            <w:r w:rsidRPr="008E4EB0">
              <w:rPr>
                <w:rFonts w:ascii="Times New Roman" w:eastAsia="Times New Roman" w:hAnsi="Times New Roman" w:cs="Times New Roman"/>
                <w:bCs/>
                <w:sz w:val="20"/>
                <w:szCs w:val="20"/>
                <w:lang w:eastAsia="lv-LV"/>
              </w:rPr>
              <w:t>cita tipa ēka, kurā tiek patērēta enerģija</w:t>
            </w:r>
          </w:p>
        </w:tc>
        <w:tc>
          <w:tcPr>
            <w:tcW w:w="1861" w:type="dxa"/>
            <w:shd w:val="clear" w:color="auto" w:fill="auto"/>
            <w:noWrap/>
            <w:vAlign w:val="center"/>
            <w:hideMark/>
          </w:tcPr>
          <w:p w14:paraId="10EA9447" w14:textId="77777777" w:rsidR="005A1C5E" w:rsidRPr="008E4EB0" w:rsidRDefault="005A1C5E" w:rsidP="005A1C5E">
            <w:pPr>
              <w:spacing w:after="0" w:line="240" w:lineRule="auto"/>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104</w:t>
            </w:r>
          </w:p>
        </w:tc>
        <w:tc>
          <w:tcPr>
            <w:tcW w:w="1406" w:type="dxa"/>
            <w:shd w:val="clear" w:color="auto" w:fill="auto"/>
            <w:noWrap/>
            <w:vAlign w:val="center"/>
            <w:hideMark/>
          </w:tcPr>
          <w:p w14:paraId="1247265C" w14:textId="77777777" w:rsidR="005A1C5E" w:rsidRPr="008E4EB0" w:rsidRDefault="005A1C5E" w:rsidP="005A1C5E">
            <w:pPr>
              <w:spacing w:after="0" w:line="240" w:lineRule="auto"/>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198</w:t>
            </w:r>
          </w:p>
        </w:tc>
        <w:tc>
          <w:tcPr>
            <w:tcW w:w="1861" w:type="dxa"/>
            <w:shd w:val="clear" w:color="auto" w:fill="auto"/>
            <w:noWrap/>
            <w:vAlign w:val="center"/>
            <w:hideMark/>
          </w:tcPr>
          <w:p w14:paraId="4E976499" w14:textId="77777777" w:rsidR="005A1C5E" w:rsidRPr="008E4EB0" w:rsidRDefault="005A1C5E" w:rsidP="005A1C5E">
            <w:pPr>
              <w:spacing w:after="0" w:line="240" w:lineRule="auto"/>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18</w:t>
            </w:r>
          </w:p>
        </w:tc>
        <w:tc>
          <w:tcPr>
            <w:tcW w:w="1406" w:type="dxa"/>
            <w:shd w:val="clear" w:color="auto" w:fill="auto"/>
            <w:noWrap/>
            <w:vAlign w:val="center"/>
            <w:hideMark/>
          </w:tcPr>
          <w:p w14:paraId="20FB1EDF" w14:textId="77777777" w:rsidR="005A1C5E" w:rsidRPr="008E4EB0" w:rsidRDefault="005A1C5E" w:rsidP="005A1C5E">
            <w:pPr>
              <w:spacing w:after="0" w:line="240" w:lineRule="auto"/>
              <w:jc w:val="center"/>
              <w:rPr>
                <w:rFonts w:ascii="Times New Roman" w:eastAsia="Times New Roman" w:hAnsi="Times New Roman" w:cs="Times New Roman"/>
                <w:sz w:val="20"/>
                <w:szCs w:val="20"/>
                <w:lang w:eastAsia="lv-LV"/>
              </w:rPr>
            </w:pPr>
            <w:r w:rsidRPr="008E4EB0">
              <w:rPr>
                <w:rFonts w:ascii="Times New Roman" w:eastAsia="Times New Roman" w:hAnsi="Times New Roman" w:cs="Times New Roman"/>
                <w:sz w:val="20"/>
                <w:szCs w:val="20"/>
                <w:lang w:eastAsia="lv-LV"/>
              </w:rPr>
              <w:t>215</w:t>
            </w:r>
          </w:p>
        </w:tc>
      </w:tr>
    </w:tbl>
    <w:p w14:paraId="0076D7A5" w14:textId="77777777" w:rsidR="005A1C5E" w:rsidRPr="008E4EB0" w:rsidRDefault="005A1C5E" w:rsidP="005A1C5E">
      <w:pPr>
        <w:spacing w:after="0" w:line="240" w:lineRule="auto"/>
        <w:ind w:firstLine="720"/>
        <w:jc w:val="both"/>
        <w:rPr>
          <w:rFonts w:ascii="Times New Roman" w:eastAsia="Calibri" w:hAnsi="Times New Roman" w:cs="Times New Roman"/>
          <w:sz w:val="24"/>
          <w:szCs w:val="24"/>
        </w:rPr>
      </w:pPr>
    </w:p>
    <w:p w14:paraId="6A3B8E09" w14:textId="77777777" w:rsidR="005A1C5E" w:rsidRPr="008E4EB0" w:rsidRDefault="005A1C5E" w:rsidP="005A1C5E">
      <w:pPr>
        <w:spacing w:after="0" w:line="240" w:lineRule="auto"/>
        <w:ind w:firstLine="720"/>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BIS sistēmas dati, pieaugot spēkā esošu ēku energosertifikātu skaitam nākotnē, var kļūt par nozīmīgu statistikas datu avotu. Pašreiz apkopoto rezultātu (ēku daudzuma) skaits nav pietiekošs, lai pilnvērtīgi atainotu situāciju valstī.</w:t>
      </w:r>
    </w:p>
    <w:p w14:paraId="5FBFB926" w14:textId="77777777" w:rsidR="005A1C5E" w:rsidRPr="008E4EB0" w:rsidRDefault="005A1C5E" w:rsidP="005A1C5E">
      <w:pPr>
        <w:spacing w:after="0" w:line="240" w:lineRule="auto"/>
        <w:ind w:firstLine="851"/>
        <w:jc w:val="both"/>
        <w:rPr>
          <w:rFonts w:ascii="Times New Roman" w:eastAsia="Calibri" w:hAnsi="Times New Roman" w:cs="Times New Roman"/>
          <w:sz w:val="28"/>
          <w:vertAlign w:val="superscript"/>
        </w:rPr>
      </w:pPr>
      <w:r w:rsidRPr="008E4EB0">
        <w:rPr>
          <w:rFonts w:ascii="Times New Roman" w:eastAsia="Calibri" w:hAnsi="Times New Roman" w:cs="Times New Roman"/>
          <w:sz w:val="24"/>
          <w:szCs w:val="24"/>
        </w:rPr>
        <w:t>Kaut arī statistiskie dati norāda uz tendenci samazināties enerģijas patēriņa rādītājiem, ir skaidrs, ka politikas plānošanas dokumentos izvirzīto mērķu sasniegšanai samazinājuma temps ir nepietiekams, tādēļ ir nepieciešami papildu stimuli, kas veicinātu dzīvojamā fonda energoefektivitātes uzlabošanu.</w:t>
      </w:r>
    </w:p>
    <w:p w14:paraId="3A66DD55" w14:textId="77777777" w:rsidR="00EC6B06" w:rsidRPr="008E4EB0" w:rsidRDefault="00EC6B06" w:rsidP="005A1C5E">
      <w:pPr>
        <w:spacing w:after="0" w:line="276" w:lineRule="auto"/>
        <w:jc w:val="both"/>
        <w:rPr>
          <w:rFonts w:ascii="Times New Roman" w:hAnsi="Times New Roman" w:cs="Times New Roman"/>
          <w:sz w:val="24"/>
          <w:szCs w:val="24"/>
        </w:rPr>
      </w:pPr>
    </w:p>
    <w:p w14:paraId="1787D119" w14:textId="0DD5CD9A" w:rsidR="00990903" w:rsidRPr="008E4EB0" w:rsidRDefault="00990903" w:rsidP="00D82FCF">
      <w:pPr>
        <w:pStyle w:val="apakapakvirsraksts"/>
      </w:pPr>
      <w:bookmarkStart w:id="35" w:name="_Toc480527956"/>
      <w:bookmarkStart w:id="36" w:name="_Toc491870908"/>
      <w:r w:rsidRPr="008E4EB0">
        <w:t>Enerģijas nesēji</w:t>
      </w:r>
      <w:bookmarkEnd w:id="35"/>
      <w:bookmarkEnd w:id="36"/>
    </w:p>
    <w:p w14:paraId="506D707E" w14:textId="42EABA0E" w:rsidR="00990903" w:rsidRPr="008E4EB0" w:rsidRDefault="00990903" w:rsidP="001E0950">
      <w:pPr>
        <w:pStyle w:val="3apakvirsraksts"/>
      </w:pPr>
      <w:bookmarkStart w:id="37" w:name="_Toc480527957"/>
      <w:bookmarkStart w:id="38" w:name="_Toc491870909"/>
      <w:r w:rsidRPr="008E4EB0">
        <w:t>Energoresursi</w:t>
      </w:r>
      <w:bookmarkEnd w:id="37"/>
      <w:bookmarkEnd w:id="38"/>
    </w:p>
    <w:p w14:paraId="23358D66" w14:textId="77777777" w:rsidR="00D2408E" w:rsidRPr="008E4EB0" w:rsidRDefault="00D2408E" w:rsidP="00D2408E">
      <w:pPr>
        <w:spacing w:after="0" w:line="276" w:lineRule="auto"/>
        <w:jc w:val="both"/>
        <w:rPr>
          <w:rFonts w:ascii="Times New Roman" w:hAnsi="Times New Roman" w:cs="Times New Roman"/>
          <w:sz w:val="24"/>
          <w:szCs w:val="24"/>
        </w:rPr>
      </w:pPr>
    </w:p>
    <w:p w14:paraId="3D2EF378" w14:textId="63F305C5" w:rsidR="00D2408E" w:rsidRPr="008E4EB0" w:rsidRDefault="00D2408E" w:rsidP="00D2408E">
      <w:pPr>
        <w:tabs>
          <w:tab w:val="left" w:pos="2269"/>
        </w:tabs>
        <w:spacing w:after="0" w:line="240" w:lineRule="auto"/>
        <w:ind w:firstLine="851"/>
        <w:contextualSpacing/>
        <w:jc w:val="both"/>
        <w:rPr>
          <w:rFonts w:ascii="Times New Roman" w:eastAsia="Calibri" w:hAnsi="Times New Roman" w:cs="EUAlbertina"/>
          <w:sz w:val="24"/>
          <w:szCs w:val="24"/>
        </w:rPr>
      </w:pPr>
      <w:r w:rsidRPr="008E4EB0">
        <w:rPr>
          <w:rFonts w:ascii="Times New Roman" w:eastAsia="Calibri" w:hAnsi="Times New Roman" w:cs="EUAlbertina"/>
          <w:sz w:val="24"/>
          <w:szCs w:val="24"/>
        </w:rPr>
        <w:t xml:space="preserve">Stratēģijas </w:t>
      </w:r>
      <w:r w:rsidR="00F749EA">
        <w:rPr>
          <w:rFonts w:ascii="Times New Roman" w:eastAsia="Calibri" w:hAnsi="Times New Roman" w:cs="EUAlbertina"/>
          <w:sz w:val="24"/>
          <w:szCs w:val="24"/>
        </w:rPr>
        <w:t>8</w:t>
      </w:r>
      <w:r w:rsidRPr="008E4EB0">
        <w:rPr>
          <w:rFonts w:ascii="Times New Roman" w:eastAsia="Calibri" w:hAnsi="Times New Roman" w:cs="EUAlbertina"/>
          <w:sz w:val="24"/>
          <w:szCs w:val="24"/>
        </w:rPr>
        <w:t xml:space="preserve">. un </w:t>
      </w:r>
      <w:r w:rsidR="00F749EA">
        <w:rPr>
          <w:rFonts w:ascii="Times New Roman" w:eastAsia="Calibri" w:hAnsi="Times New Roman" w:cs="EUAlbertina"/>
          <w:sz w:val="24"/>
          <w:szCs w:val="24"/>
        </w:rPr>
        <w:t>9</w:t>
      </w:r>
      <w:r w:rsidRPr="008E4EB0">
        <w:rPr>
          <w:rFonts w:ascii="Times New Roman" w:eastAsia="Calibri" w:hAnsi="Times New Roman" w:cs="EUAlbertina"/>
          <w:sz w:val="24"/>
          <w:szCs w:val="24"/>
        </w:rPr>
        <w:t>. tabulā norādīti dati par energoresursu patēriņu mājsaimniecībās 1996., 2001., 2006. 2010.un 2015.gadā. Analizējot apkopotos datus par energoresursu patēriņu mājsaimniecībās, var novērot ievērojamu kritumu kopējā energoresursu patēriņā, kas 2015.gadā, salīdzinot ar 2010.gadu, ir samazinājies par 13498 TJ. Tāpat var secināt, ka plašāk izmantotie enerģijas resursi pēc CSP datiem 2015.gadā ir malka, kuras patēriņš sasniedz 35,4% no visiem energoresursiem (16355 TJ) un siltumenerģija (apkurei un karstajam ūdenim), kuras patēriņš ir 30,5% no visiem energoresursiem (14101 TJ). Savukārt trešajā vietā ir elektroenerģija (6332 TJ, 13,7%).</w:t>
      </w:r>
    </w:p>
    <w:p w14:paraId="4D3F2978" w14:textId="77777777" w:rsidR="00D2408E" w:rsidRPr="008E4EB0" w:rsidRDefault="00D2408E" w:rsidP="00D2408E">
      <w:pPr>
        <w:tabs>
          <w:tab w:val="left" w:pos="2269"/>
        </w:tabs>
        <w:spacing w:after="0" w:line="240" w:lineRule="auto"/>
        <w:ind w:firstLine="851"/>
        <w:contextualSpacing/>
        <w:jc w:val="both"/>
        <w:rPr>
          <w:rFonts w:ascii="Times New Roman" w:eastAsia="Calibri" w:hAnsi="Times New Roman" w:cs="EUAlbertina"/>
          <w:color w:val="000000"/>
          <w:sz w:val="24"/>
          <w:szCs w:val="24"/>
          <w:highlight w:val="yellow"/>
        </w:rPr>
      </w:pPr>
    </w:p>
    <w:p w14:paraId="0B26C97F" w14:textId="7D31344C" w:rsidR="00D2408E" w:rsidRPr="008E4EB0" w:rsidRDefault="00F749EA" w:rsidP="00BF58E9">
      <w:pPr>
        <w:keepNext/>
        <w:tabs>
          <w:tab w:val="left" w:pos="2269"/>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D2408E" w:rsidRPr="008E4EB0">
        <w:rPr>
          <w:rFonts w:ascii="Times New Roman" w:eastAsia="Calibri" w:hAnsi="Times New Roman" w:cs="Times New Roman"/>
          <w:sz w:val="24"/>
          <w:szCs w:val="24"/>
        </w:rPr>
        <w:t>.tabula. Energoresursu patēriņš mājsaimniecībās, ieskaitot patēriņu lauku saimniecībās un citās ekonomiskās aktivitātēs (TJ)</w:t>
      </w:r>
      <w:r w:rsidR="00D2408E" w:rsidRPr="008E4EB0">
        <w:rPr>
          <w:rFonts w:ascii="Times New Roman" w:eastAsia="Calibri" w:hAnsi="Times New Roman" w:cs="Times New Roman"/>
          <w:sz w:val="24"/>
          <w:szCs w:val="24"/>
          <w:vertAlign w:val="superscript"/>
        </w:rPr>
        <w:footnoteReference w:id="10"/>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1104"/>
        <w:gridCol w:w="1104"/>
        <w:gridCol w:w="1104"/>
        <w:gridCol w:w="1104"/>
        <w:gridCol w:w="1015"/>
      </w:tblGrid>
      <w:tr w:rsidR="00D2408E" w:rsidRPr="008E4EB0" w14:paraId="25775EED" w14:textId="77777777" w:rsidTr="00D2408E">
        <w:trPr>
          <w:jc w:val="center"/>
        </w:trPr>
        <w:tc>
          <w:tcPr>
            <w:tcW w:w="3329" w:type="dxa"/>
            <w:shd w:val="clear" w:color="auto" w:fill="auto"/>
          </w:tcPr>
          <w:p w14:paraId="6A0CCC00" w14:textId="77777777" w:rsidR="00D2408E" w:rsidRPr="008E4EB0" w:rsidRDefault="00D2408E" w:rsidP="00D2408E">
            <w:pPr>
              <w:tabs>
                <w:tab w:val="left" w:pos="2269"/>
              </w:tabs>
              <w:spacing w:after="0" w:line="240" w:lineRule="auto"/>
              <w:ind w:firstLine="34"/>
              <w:contextualSpacing/>
              <w:rPr>
                <w:rFonts w:ascii="Times New Roman" w:eastAsia="Calibri" w:hAnsi="Times New Roman" w:cs="Times New Roman"/>
                <w:b/>
                <w:bCs/>
                <w:sz w:val="20"/>
                <w:szCs w:val="20"/>
              </w:rPr>
            </w:pPr>
          </w:p>
        </w:tc>
        <w:tc>
          <w:tcPr>
            <w:tcW w:w="1216" w:type="dxa"/>
            <w:shd w:val="clear" w:color="auto" w:fill="auto"/>
          </w:tcPr>
          <w:p w14:paraId="07FB050E"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1996</w:t>
            </w:r>
          </w:p>
        </w:tc>
        <w:tc>
          <w:tcPr>
            <w:tcW w:w="1216" w:type="dxa"/>
            <w:shd w:val="clear" w:color="auto" w:fill="auto"/>
          </w:tcPr>
          <w:p w14:paraId="43FD9086"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2001</w:t>
            </w:r>
          </w:p>
        </w:tc>
        <w:tc>
          <w:tcPr>
            <w:tcW w:w="1216" w:type="dxa"/>
            <w:shd w:val="clear" w:color="auto" w:fill="auto"/>
          </w:tcPr>
          <w:p w14:paraId="719E457C"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2006</w:t>
            </w:r>
          </w:p>
        </w:tc>
        <w:tc>
          <w:tcPr>
            <w:tcW w:w="1216" w:type="dxa"/>
            <w:shd w:val="clear" w:color="auto" w:fill="auto"/>
          </w:tcPr>
          <w:p w14:paraId="5FDC99F6"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2010</w:t>
            </w:r>
          </w:p>
        </w:tc>
        <w:tc>
          <w:tcPr>
            <w:tcW w:w="1092" w:type="dxa"/>
          </w:tcPr>
          <w:p w14:paraId="2D0B4C35"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2015</w:t>
            </w:r>
          </w:p>
        </w:tc>
      </w:tr>
      <w:tr w:rsidR="00D2408E" w:rsidRPr="008E4EB0" w14:paraId="33DF69C2" w14:textId="77777777" w:rsidTr="00D2408E">
        <w:trPr>
          <w:jc w:val="center"/>
        </w:trPr>
        <w:tc>
          <w:tcPr>
            <w:tcW w:w="3329" w:type="dxa"/>
            <w:shd w:val="clear" w:color="auto" w:fill="auto"/>
          </w:tcPr>
          <w:p w14:paraId="6F81837C" w14:textId="77777777" w:rsidR="00D2408E" w:rsidRPr="008E4EB0" w:rsidRDefault="00D2408E" w:rsidP="00D2408E">
            <w:pPr>
              <w:tabs>
                <w:tab w:val="left" w:pos="2269"/>
              </w:tabs>
              <w:spacing w:after="0" w:line="240" w:lineRule="auto"/>
              <w:ind w:firstLine="34"/>
              <w:contextualSpacing/>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Elektroenerģija</w:t>
            </w:r>
          </w:p>
        </w:tc>
        <w:tc>
          <w:tcPr>
            <w:tcW w:w="1216" w:type="dxa"/>
            <w:shd w:val="clear" w:color="auto" w:fill="auto"/>
          </w:tcPr>
          <w:p w14:paraId="569E20A2"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3935</w:t>
            </w:r>
          </w:p>
        </w:tc>
        <w:tc>
          <w:tcPr>
            <w:tcW w:w="1216" w:type="dxa"/>
            <w:shd w:val="clear" w:color="auto" w:fill="auto"/>
          </w:tcPr>
          <w:p w14:paraId="0B56D8F9"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4460</w:t>
            </w:r>
          </w:p>
        </w:tc>
        <w:tc>
          <w:tcPr>
            <w:tcW w:w="1216" w:type="dxa"/>
            <w:shd w:val="clear" w:color="auto" w:fill="auto"/>
          </w:tcPr>
          <w:p w14:paraId="1DCE6E13"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6221</w:t>
            </w:r>
          </w:p>
        </w:tc>
        <w:tc>
          <w:tcPr>
            <w:tcW w:w="1216" w:type="dxa"/>
            <w:shd w:val="clear" w:color="auto" w:fill="auto"/>
          </w:tcPr>
          <w:p w14:paraId="1361896D"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6977</w:t>
            </w:r>
          </w:p>
        </w:tc>
        <w:tc>
          <w:tcPr>
            <w:tcW w:w="1092" w:type="dxa"/>
          </w:tcPr>
          <w:p w14:paraId="1FE1C8C1"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6332</w:t>
            </w:r>
          </w:p>
        </w:tc>
      </w:tr>
      <w:tr w:rsidR="00D2408E" w:rsidRPr="008E4EB0" w14:paraId="30C4AABB" w14:textId="77777777" w:rsidTr="00D2408E">
        <w:trPr>
          <w:jc w:val="center"/>
        </w:trPr>
        <w:tc>
          <w:tcPr>
            <w:tcW w:w="3329" w:type="dxa"/>
            <w:shd w:val="clear" w:color="auto" w:fill="auto"/>
          </w:tcPr>
          <w:p w14:paraId="1CE9028F" w14:textId="77777777" w:rsidR="00D2408E" w:rsidRPr="008E4EB0" w:rsidRDefault="00D2408E" w:rsidP="00D2408E">
            <w:pPr>
              <w:tabs>
                <w:tab w:val="left" w:pos="2269"/>
              </w:tabs>
              <w:spacing w:after="0" w:line="240" w:lineRule="auto"/>
              <w:ind w:firstLine="34"/>
              <w:contextualSpacing/>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Dabasgāze</w:t>
            </w:r>
          </w:p>
        </w:tc>
        <w:tc>
          <w:tcPr>
            <w:tcW w:w="1216" w:type="dxa"/>
            <w:shd w:val="clear" w:color="auto" w:fill="auto"/>
          </w:tcPr>
          <w:p w14:paraId="3213DB93"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4180</w:t>
            </w:r>
          </w:p>
        </w:tc>
        <w:tc>
          <w:tcPr>
            <w:tcW w:w="1216" w:type="dxa"/>
            <w:shd w:val="clear" w:color="auto" w:fill="auto"/>
          </w:tcPr>
          <w:p w14:paraId="3EDB7603"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3334</w:t>
            </w:r>
          </w:p>
        </w:tc>
        <w:tc>
          <w:tcPr>
            <w:tcW w:w="1216" w:type="dxa"/>
            <w:shd w:val="clear" w:color="auto" w:fill="auto"/>
          </w:tcPr>
          <w:p w14:paraId="044B223E"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4807</w:t>
            </w:r>
          </w:p>
        </w:tc>
        <w:tc>
          <w:tcPr>
            <w:tcW w:w="1216" w:type="dxa"/>
            <w:shd w:val="clear" w:color="auto" w:fill="auto"/>
          </w:tcPr>
          <w:p w14:paraId="516D4D22"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5219</w:t>
            </w:r>
          </w:p>
        </w:tc>
        <w:tc>
          <w:tcPr>
            <w:tcW w:w="1092" w:type="dxa"/>
          </w:tcPr>
          <w:p w14:paraId="6934FC6C"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4116</w:t>
            </w:r>
          </w:p>
        </w:tc>
      </w:tr>
      <w:tr w:rsidR="00D2408E" w:rsidRPr="008E4EB0" w14:paraId="55465B9C" w14:textId="77777777" w:rsidTr="00D2408E">
        <w:trPr>
          <w:jc w:val="center"/>
        </w:trPr>
        <w:tc>
          <w:tcPr>
            <w:tcW w:w="3329" w:type="dxa"/>
            <w:shd w:val="clear" w:color="auto" w:fill="auto"/>
          </w:tcPr>
          <w:p w14:paraId="03D68634" w14:textId="77777777" w:rsidR="00D2408E" w:rsidRPr="008E4EB0" w:rsidRDefault="00D2408E" w:rsidP="00D2408E">
            <w:pPr>
              <w:tabs>
                <w:tab w:val="left" w:pos="2269"/>
              </w:tabs>
              <w:spacing w:after="0" w:line="240" w:lineRule="auto"/>
              <w:ind w:firstLine="34"/>
              <w:contextualSpacing/>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Sašķidrinātā naftas gāze</w:t>
            </w:r>
          </w:p>
        </w:tc>
        <w:tc>
          <w:tcPr>
            <w:tcW w:w="1216" w:type="dxa"/>
            <w:shd w:val="clear" w:color="auto" w:fill="auto"/>
          </w:tcPr>
          <w:p w14:paraId="57E72A31"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1230</w:t>
            </w:r>
          </w:p>
        </w:tc>
        <w:tc>
          <w:tcPr>
            <w:tcW w:w="1216" w:type="dxa"/>
            <w:shd w:val="clear" w:color="auto" w:fill="auto"/>
          </w:tcPr>
          <w:p w14:paraId="5A4A8792"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1139</w:t>
            </w:r>
          </w:p>
        </w:tc>
        <w:tc>
          <w:tcPr>
            <w:tcW w:w="1216" w:type="dxa"/>
            <w:shd w:val="clear" w:color="auto" w:fill="auto"/>
          </w:tcPr>
          <w:p w14:paraId="783FC9D9"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1230</w:t>
            </w:r>
          </w:p>
        </w:tc>
        <w:tc>
          <w:tcPr>
            <w:tcW w:w="1216" w:type="dxa"/>
            <w:shd w:val="clear" w:color="auto" w:fill="auto"/>
          </w:tcPr>
          <w:p w14:paraId="422F738E"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911</w:t>
            </w:r>
          </w:p>
        </w:tc>
        <w:tc>
          <w:tcPr>
            <w:tcW w:w="1092" w:type="dxa"/>
          </w:tcPr>
          <w:p w14:paraId="3170F3D1"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773</w:t>
            </w:r>
          </w:p>
        </w:tc>
      </w:tr>
      <w:tr w:rsidR="00D2408E" w:rsidRPr="008E4EB0" w14:paraId="42365A3F" w14:textId="77777777" w:rsidTr="00D2408E">
        <w:trPr>
          <w:jc w:val="center"/>
        </w:trPr>
        <w:tc>
          <w:tcPr>
            <w:tcW w:w="3329" w:type="dxa"/>
            <w:shd w:val="clear" w:color="auto" w:fill="auto"/>
          </w:tcPr>
          <w:p w14:paraId="073562D7" w14:textId="77777777" w:rsidR="00D2408E" w:rsidRPr="008E4EB0" w:rsidRDefault="00D2408E" w:rsidP="00D2408E">
            <w:pPr>
              <w:tabs>
                <w:tab w:val="left" w:pos="2269"/>
              </w:tabs>
              <w:spacing w:after="0" w:line="240" w:lineRule="auto"/>
              <w:ind w:firstLine="34"/>
              <w:contextualSpacing/>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Naftas produkti apkurei un karstajam ūdenim</w:t>
            </w:r>
          </w:p>
        </w:tc>
        <w:tc>
          <w:tcPr>
            <w:tcW w:w="1216" w:type="dxa"/>
            <w:shd w:val="clear" w:color="auto" w:fill="auto"/>
          </w:tcPr>
          <w:p w14:paraId="261D8C8D"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42</w:t>
            </w:r>
          </w:p>
        </w:tc>
        <w:tc>
          <w:tcPr>
            <w:tcW w:w="1216" w:type="dxa"/>
            <w:shd w:val="clear" w:color="auto" w:fill="auto"/>
          </w:tcPr>
          <w:p w14:paraId="56A5CAC6"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170</w:t>
            </w:r>
          </w:p>
        </w:tc>
        <w:tc>
          <w:tcPr>
            <w:tcW w:w="1216" w:type="dxa"/>
            <w:shd w:val="clear" w:color="auto" w:fill="auto"/>
          </w:tcPr>
          <w:p w14:paraId="3160E7B2"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127</w:t>
            </w:r>
          </w:p>
        </w:tc>
        <w:tc>
          <w:tcPr>
            <w:tcW w:w="1216" w:type="dxa"/>
            <w:shd w:val="clear" w:color="auto" w:fill="auto"/>
          </w:tcPr>
          <w:p w14:paraId="6DA5625D"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79</w:t>
            </w:r>
          </w:p>
        </w:tc>
        <w:tc>
          <w:tcPr>
            <w:tcW w:w="1092" w:type="dxa"/>
          </w:tcPr>
          <w:p w14:paraId="7CBB8DA8"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89</w:t>
            </w:r>
          </w:p>
        </w:tc>
      </w:tr>
      <w:tr w:rsidR="00D2408E" w:rsidRPr="008E4EB0" w14:paraId="1BB27CF7" w14:textId="77777777" w:rsidTr="00D2408E">
        <w:trPr>
          <w:jc w:val="center"/>
        </w:trPr>
        <w:tc>
          <w:tcPr>
            <w:tcW w:w="3329" w:type="dxa"/>
            <w:shd w:val="clear" w:color="auto" w:fill="auto"/>
          </w:tcPr>
          <w:p w14:paraId="3A30F23D" w14:textId="77777777" w:rsidR="00D2408E" w:rsidRPr="008E4EB0" w:rsidRDefault="00D2408E" w:rsidP="00D2408E">
            <w:pPr>
              <w:tabs>
                <w:tab w:val="left" w:pos="2269"/>
              </w:tabs>
              <w:spacing w:after="0" w:line="240" w:lineRule="auto"/>
              <w:ind w:firstLine="34"/>
              <w:contextualSpacing/>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Akmeņogles</w:t>
            </w:r>
          </w:p>
        </w:tc>
        <w:tc>
          <w:tcPr>
            <w:tcW w:w="1216" w:type="dxa"/>
            <w:shd w:val="clear" w:color="auto" w:fill="auto"/>
          </w:tcPr>
          <w:p w14:paraId="02C9CF5A"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1964</w:t>
            </w:r>
          </w:p>
        </w:tc>
        <w:tc>
          <w:tcPr>
            <w:tcW w:w="1216" w:type="dxa"/>
            <w:shd w:val="clear" w:color="auto" w:fill="auto"/>
          </w:tcPr>
          <w:p w14:paraId="13246439"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1338</w:t>
            </w:r>
          </w:p>
        </w:tc>
        <w:tc>
          <w:tcPr>
            <w:tcW w:w="1216" w:type="dxa"/>
            <w:shd w:val="clear" w:color="auto" w:fill="auto"/>
          </w:tcPr>
          <w:p w14:paraId="76259ED8"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813</w:t>
            </w:r>
          </w:p>
        </w:tc>
        <w:tc>
          <w:tcPr>
            <w:tcW w:w="1216" w:type="dxa"/>
            <w:shd w:val="clear" w:color="auto" w:fill="auto"/>
          </w:tcPr>
          <w:p w14:paraId="1C4BC7E5"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1049</w:t>
            </w:r>
          </w:p>
        </w:tc>
        <w:tc>
          <w:tcPr>
            <w:tcW w:w="1092" w:type="dxa"/>
          </w:tcPr>
          <w:p w14:paraId="224066BF"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501</w:t>
            </w:r>
          </w:p>
        </w:tc>
      </w:tr>
      <w:tr w:rsidR="00D2408E" w:rsidRPr="008E4EB0" w14:paraId="72EF8091" w14:textId="77777777" w:rsidTr="00D2408E">
        <w:trPr>
          <w:trHeight w:val="233"/>
          <w:jc w:val="center"/>
        </w:trPr>
        <w:tc>
          <w:tcPr>
            <w:tcW w:w="3329" w:type="dxa"/>
            <w:shd w:val="clear" w:color="auto" w:fill="auto"/>
          </w:tcPr>
          <w:p w14:paraId="2970BF76" w14:textId="77777777" w:rsidR="00D2408E" w:rsidRPr="008E4EB0" w:rsidRDefault="00D2408E" w:rsidP="00D2408E">
            <w:pPr>
              <w:tabs>
                <w:tab w:val="left" w:pos="2269"/>
              </w:tabs>
              <w:spacing w:after="0" w:line="240" w:lineRule="auto"/>
              <w:ind w:firstLine="34"/>
              <w:contextualSpacing/>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Malka</w:t>
            </w:r>
          </w:p>
        </w:tc>
        <w:tc>
          <w:tcPr>
            <w:tcW w:w="1216" w:type="dxa"/>
            <w:shd w:val="clear" w:color="auto" w:fill="auto"/>
          </w:tcPr>
          <w:p w14:paraId="656DE064"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31349</w:t>
            </w:r>
          </w:p>
        </w:tc>
        <w:tc>
          <w:tcPr>
            <w:tcW w:w="1216" w:type="dxa"/>
            <w:shd w:val="clear" w:color="auto" w:fill="auto"/>
          </w:tcPr>
          <w:p w14:paraId="434643F4"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23388</w:t>
            </w:r>
          </w:p>
        </w:tc>
        <w:tc>
          <w:tcPr>
            <w:tcW w:w="1216" w:type="dxa"/>
            <w:shd w:val="clear" w:color="auto" w:fill="auto"/>
          </w:tcPr>
          <w:p w14:paraId="79A9C97E"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27986</w:t>
            </w:r>
          </w:p>
        </w:tc>
        <w:tc>
          <w:tcPr>
            <w:tcW w:w="1216" w:type="dxa"/>
            <w:shd w:val="clear" w:color="auto" w:fill="auto"/>
          </w:tcPr>
          <w:p w14:paraId="01A3EF86"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23256</w:t>
            </w:r>
          </w:p>
        </w:tc>
        <w:tc>
          <w:tcPr>
            <w:tcW w:w="1092" w:type="dxa"/>
          </w:tcPr>
          <w:p w14:paraId="092887D4"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16355</w:t>
            </w:r>
          </w:p>
        </w:tc>
      </w:tr>
      <w:tr w:rsidR="00D2408E" w:rsidRPr="008E4EB0" w14:paraId="68511CCF" w14:textId="77777777" w:rsidTr="00D2408E">
        <w:trPr>
          <w:jc w:val="center"/>
        </w:trPr>
        <w:tc>
          <w:tcPr>
            <w:tcW w:w="3329" w:type="dxa"/>
            <w:shd w:val="clear" w:color="auto" w:fill="auto"/>
          </w:tcPr>
          <w:p w14:paraId="69243AFD" w14:textId="77777777" w:rsidR="00D2408E" w:rsidRPr="008E4EB0" w:rsidRDefault="00D2408E" w:rsidP="00D2408E">
            <w:pPr>
              <w:tabs>
                <w:tab w:val="left" w:pos="2269"/>
              </w:tabs>
              <w:spacing w:after="0" w:line="240" w:lineRule="auto"/>
              <w:ind w:firstLine="34"/>
              <w:contextualSpacing/>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Koksnes briketes</w:t>
            </w:r>
          </w:p>
        </w:tc>
        <w:tc>
          <w:tcPr>
            <w:tcW w:w="1216" w:type="dxa"/>
            <w:shd w:val="clear" w:color="auto" w:fill="auto"/>
          </w:tcPr>
          <w:p w14:paraId="2DF7EB54"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w:t>
            </w:r>
          </w:p>
        </w:tc>
        <w:tc>
          <w:tcPr>
            <w:tcW w:w="1216" w:type="dxa"/>
            <w:shd w:val="clear" w:color="auto" w:fill="auto"/>
          </w:tcPr>
          <w:p w14:paraId="1B0BD32E"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69</w:t>
            </w:r>
          </w:p>
        </w:tc>
        <w:tc>
          <w:tcPr>
            <w:tcW w:w="1216" w:type="dxa"/>
            <w:shd w:val="clear" w:color="auto" w:fill="auto"/>
          </w:tcPr>
          <w:p w14:paraId="2FB14123"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187</w:t>
            </w:r>
          </w:p>
        </w:tc>
        <w:tc>
          <w:tcPr>
            <w:tcW w:w="1216" w:type="dxa"/>
            <w:shd w:val="clear" w:color="auto" w:fill="auto"/>
          </w:tcPr>
          <w:p w14:paraId="3E1CA2BF"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340</w:t>
            </w:r>
          </w:p>
        </w:tc>
        <w:tc>
          <w:tcPr>
            <w:tcW w:w="1092" w:type="dxa"/>
          </w:tcPr>
          <w:p w14:paraId="6B9C5AB7"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375</w:t>
            </w:r>
          </w:p>
        </w:tc>
      </w:tr>
      <w:tr w:rsidR="00D2408E" w:rsidRPr="008E4EB0" w14:paraId="71314FFD" w14:textId="77777777" w:rsidTr="00D2408E">
        <w:trPr>
          <w:jc w:val="center"/>
        </w:trPr>
        <w:tc>
          <w:tcPr>
            <w:tcW w:w="3329" w:type="dxa"/>
            <w:shd w:val="clear" w:color="auto" w:fill="auto"/>
          </w:tcPr>
          <w:p w14:paraId="0ACB14A2" w14:textId="77777777" w:rsidR="00D2408E" w:rsidRPr="008E4EB0" w:rsidRDefault="00D2408E" w:rsidP="00D2408E">
            <w:pPr>
              <w:tabs>
                <w:tab w:val="left" w:pos="2269"/>
              </w:tabs>
              <w:spacing w:after="0" w:line="240" w:lineRule="auto"/>
              <w:ind w:firstLine="34"/>
              <w:contextualSpacing/>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Koksnes granulas</w:t>
            </w:r>
          </w:p>
        </w:tc>
        <w:tc>
          <w:tcPr>
            <w:tcW w:w="1216" w:type="dxa"/>
            <w:shd w:val="clear" w:color="auto" w:fill="auto"/>
          </w:tcPr>
          <w:p w14:paraId="2BE33FC1"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w:t>
            </w:r>
          </w:p>
        </w:tc>
        <w:tc>
          <w:tcPr>
            <w:tcW w:w="1216" w:type="dxa"/>
            <w:shd w:val="clear" w:color="auto" w:fill="auto"/>
          </w:tcPr>
          <w:p w14:paraId="48118BBB"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w:t>
            </w:r>
          </w:p>
        </w:tc>
        <w:tc>
          <w:tcPr>
            <w:tcW w:w="1216" w:type="dxa"/>
            <w:shd w:val="clear" w:color="auto" w:fill="auto"/>
          </w:tcPr>
          <w:p w14:paraId="642A5CBF"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36</w:t>
            </w:r>
          </w:p>
        </w:tc>
        <w:tc>
          <w:tcPr>
            <w:tcW w:w="1216" w:type="dxa"/>
            <w:shd w:val="clear" w:color="auto" w:fill="auto"/>
          </w:tcPr>
          <w:p w14:paraId="48350718"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252</w:t>
            </w:r>
          </w:p>
        </w:tc>
        <w:tc>
          <w:tcPr>
            <w:tcW w:w="1092" w:type="dxa"/>
          </w:tcPr>
          <w:p w14:paraId="355DF94A"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2052</w:t>
            </w:r>
          </w:p>
        </w:tc>
      </w:tr>
      <w:tr w:rsidR="00D2408E" w:rsidRPr="008E4EB0" w14:paraId="571FB8E1" w14:textId="77777777" w:rsidTr="00D2408E">
        <w:trPr>
          <w:jc w:val="center"/>
        </w:trPr>
        <w:tc>
          <w:tcPr>
            <w:tcW w:w="3329" w:type="dxa"/>
            <w:shd w:val="clear" w:color="auto" w:fill="auto"/>
          </w:tcPr>
          <w:p w14:paraId="0BD6A163" w14:textId="77777777" w:rsidR="00D2408E" w:rsidRPr="008E4EB0" w:rsidRDefault="00D2408E" w:rsidP="00D2408E">
            <w:pPr>
              <w:tabs>
                <w:tab w:val="left" w:pos="2269"/>
              </w:tabs>
              <w:spacing w:after="0" w:line="240" w:lineRule="auto"/>
              <w:ind w:firstLine="34"/>
              <w:contextualSpacing/>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Koksnes atlikumi</w:t>
            </w:r>
          </w:p>
        </w:tc>
        <w:tc>
          <w:tcPr>
            <w:tcW w:w="1216" w:type="dxa"/>
            <w:shd w:val="clear" w:color="auto" w:fill="auto"/>
          </w:tcPr>
          <w:p w14:paraId="43FA0BD6"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w:t>
            </w:r>
          </w:p>
        </w:tc>
        <w:tc>
          <w:tcPr>
            <w:tcW w:w="1216" w:type="dxa"/>
            <w:shd w:val="clear" w:color="auto" w:fill="auto"/>
          </w:tcPr>
          <w:p w14:paraId="6AA4E569"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7062</w:t>
            </w:r>
          </w:p>
        </w:tc>
        <w:tc>
          <w:tcPr>
            <w:tcW w:w="1216" w:type="dxa"/>
            <w:shd w:val="clear" w:color="auto" w:fill="auto"/>
          </w:tcPr>
          <w:p w14:paraId="5301D0B9"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2956</w:t>
            </w:r>
          </w:p>
        </w:tc>
        <w:tc>
          <w:tcPr>
            <w:tcW w:w="1216" w:type="dxa"/>
            <w:shd w:val="clear" w:color="auto" w:fill="auto"/>
          </w:tcPr>
          <w:p w14:paraId="07B13269"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1126</w:t>
            </w:r>
          </w:p>
        </w:tc>
        <w:tc>
          <w:tcPr>
            <w:tcW w:w="1092" w:type="dxa"/>
          </w:tcPr>
          <w:p w14:paraId="33E79A85"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348</w:t>
            </w:r>
          </w:p>
        </w:tc>
      </w:tr>
      <w:tr w:rsidR="00D2408E" w:rsidRPr="008E4EB0" w14:paraId="49F24EFE" w14:textId="77777777" w:rsidTr="00D2408E">
        <w:trPr>
          <w:jc w:val="center"/>
        </w:trPr>
        <w:tc>
          <w:tcPr>
            <w:tcW w:w="3329" w:type="dxa"/>
            <w:shd w:val="clear" w:color="auto" w:fill="auto"/>
          </w:tcPr>
          <w:p w14:paraId="77048466" w14:textId="77777777" w:rsidR="00D2408E" w:rsidRPr="008E4EB0" w:rsidRDefault="00D2408E" w:rsidP="00D2408E">
            <w:pPr>
              <w:tabs>
                <w:tab w:val="left" w:pos="2269"/>
              </w:tabs>
              <w:spacing w:after="0" w:line="240" w:lineRule="auto"/>
              <w:ind w:firstLine="34"/>
              <w:contextualSpacing/>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Kokogles</w:t>
            </w:r>
          </w:p>
        </w:tc>
        <w:tc>
          <w:tcPr>
            <w:tcW w:w="1216" w:type="dxa"/>
            <w:shd w:val="clear" w:color="auto" w:fill="auto"/>
          </w:tcPr>
          <w:p w14:paraId="03583625"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w:t>
            </w:r>
          </w:p>
        </w:tc>
        <w:tc>
          <w:tcPr>
            <w:tcW w:w="1216" w:type="dxa"/>
            <w:shd w:val="clear" w:color="auto" w:fill="auto"/>
          </w:tcPr>
          <w:p w14:paraId="6A21CAEF"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w:t>
            </w:r>
          </w:p>
        </w:tc>
        <w:tc>
          <w:tcPr>
            <w:tcW w:w="1216" w:type="dxa"/>
            <w:shd w:val="clear" w:color="auto" w:fill="auto"/>
          </w:tcPr>
          <w:p w14:paraId="2D731415"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30</w:t>
            </w:r>
          </w:p>
        </w:tc>
        <w:tc>
          <w:tcPr>
            <w:tcW w:w="1216" w:type="dxa"/>
            <w:shd w:val="clear" w:color="auto" w:fill="auto"/>
          </w:tcPr>
          <w:p w14:paraId="32D63AA1"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60</w:t>
            </w:r>
          </w:p>
        </w:tc>
        <w:tc>
          <w:tcPr>
            <w:tcW w:w="1092" w:type="dxa"/>
          </w:tcPr>
          <w:p w14:paraId="5F93F386"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60</w:t>
            </w:r>
          </w:p>
        </w:tc>
      </w:tr>
      <w:tr w:rsidR="00D2408E" w:rsidRPr="008E4EB0" w14:paraId="70451DB0" w14:textId="77777777" w:rsidTr="00D2408E">
        <w:trPr>
          <w:jc w:val="center"/>
        </w:trPr>
        <w:tc>
          <w:tcPr>
            <w:tcW w:w="3329" w:type="dxa"/>
            <w:shd w:val="clear" w:color="auto" w:fill="auto"/>
          </w:tcPr>
          <w:p w14:paraId="6FCD5504" w14:textId="77777777" w:rsidR="00D2408E" w:rsidRPr="008E4EB0" w:rsidRDefault="00D2408E" w:rsidP="00D2408E">
            <w:pPr>
              <w:tabs>
                <w:tab w:val="left" w:pos="2269"/>
              </w:tabs>
              <w:spacing w:after="0" w:line="240" w:lineRule="auto"/>
              <w:ind w:firstLine="34"/>
              <w:contextualSpacing/>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Cits ciets kurināmais</w:t>
            </w:r>
          </w:p>
        </w:tc>
        <w:tc>
          <w:tcPr>
            <w:tcW w:w="1216" w:type="dxa"/>
            <w:shd w:val="clear" w:color="auto" w:fill="auto"/>
          </w:tcPr>
          <w:p w14:paraId="33436620"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241</w:t>
            </w:r>
          </w:p>
        </w:tc>
        <w:tc>
          <w:tcPr>
            <w:tcW w:w="1216" w:type="dxa"/>
            <w:shd w:val="clear" w:color="auto" w:fill="auto"/>
          </w:tcPr>
          <w:p w14:paraId="3BB1B437"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17</w:t>
            </w:r>
          </w:p>
        </w:tc>
        <w:tc>
          <w:tcPr>
            <w:tcW w:w="1216" w:type="dxa"/>
            <w:shd w:val="clear" w:color="auto" w:fill="auto"/>
          </w:tcPr>
          <w:p w14:paraId="2B5B6C9C"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7</w:t>
            </w:r>
          </w:p>
        </w:tc>
        <w:tc>
          <w:tcPr>
            <w:tcW w:w="1216" w:type="dxa"/>
            <w:shd w:val="clear" w:color="auto" w:fill="auto"/>
          </w:tcPr>
          <w:p w14:paraId="6D627336"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35</w:t>
            </w:r>
          </w:p>
        </w:tc>
        <w:tc>
          <w:tcPr>
            <w:tcW w:w="1092" w:type="dxa"/>
          </w:tcPr>
          <w:p w14:paraId="74EAD6F3"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w:t>
            </w:r>
          </w:p>
        </w:tc>
      </w:tr>
      <w:tr w:rsidR="00D2408E" w:rsidRPr="008E4EB0" w14:paraId="624432A1" w14:textId="77777777" w:rsidTr="00D2408E">
        <w:trPr>
          <w:jc w:val="center"/>
        </w:trPr>
        <w:tc>
          <w:tcPr>
            <w:tcW w:w="3329" w:type="dxa"/>
            <w:shd w:val="clear" w:color="auto" w:fill="auto"/>
          </w:tcPr>
          <w:p w14:paraId="2690DB0E" w14:textId="77777777" w:rsidR="00D2408E" w:rsidRPr="008E4EB0" w:rsidRDefault="00D2408E" w:rsidP="00D2408E">
            <w:pPr>
              <w:tabs>
                <w:tab w:val="left" w:pos="2269"/>
              </w:tabs>
              <w:spacing w:after="0" w:line="240" w:lineRule="auto"/>
              <w:ind w:firstLine="34"/>
              <w:contextualSpacing/>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Naftas produkti citām vajadzībām (izņemot transportu)</w:t>
            </w:r>
          </w:p>
        </w:tc>
        <w:tc>
          <w:tcPr>
            <w:tcW w:w="1216" w:type="dxa"/>
            <w:shd w:val="clear" w:color="auto" w:fill="auto"/>
          </w:tcPr>
          <w:p w14:paraId="1E307424"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w:t>
            </w:r>
          </w:p>
        </w:tc>
        <w:tc>
          <w:tcPr>
            <w:tcW w:w="1216" w:type="dxa"/>
            <w:shd w:val="clear" w:color="auto" w:fill="auto"/>
          </w:tcPr>
          <w:p w14:paraId="43E44A91"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1087</w:t>
            </w:r>
          </w:p>
        </w:tc>
        <w:tc>
          <w:tcPr>
            <w:tcW w:w="1216" w:type="dxa"/>
            <w:shd w:val="clear" w:color="auto" w:fill="auto"/>
          </w:tcPr>
          <w:p w14:paraId="280D6D13"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2701</w:t>
            </w:r>
          </w:p>
        </w:tc>
        <w:tc>
          <w:tcPr>
            <w:tcW w:w="1216" w:type="dxa"/>
            <w:shd w:val="clear" w:color="auto" w:fill="auto"/>
          </w:tcPr>
          <w:p w14:paraId="261E47EC"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2825</w:t>
            </w:r>
          </w:p>
        </w:tc>
        <w:tc>
          <w:tcPr>
            <w:tcW w:w="1092" w:type="dxa"/>
          </w:tcPr>
          <w:p w14:paraId="72B9F04A"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1151</w:t>
            </w:r>
          </w:p>
        </w:tc>
      </w:tr>
      <w:tr w:rsidR="00D2408E" w:rsidRPr="008E4EB0" w14:paraId="042D9341" w14:textId="77777777" w:rsidTr="00D2408E">
        <w:trPr>
          <w:jc w:val="center"/>
        </w:trPr>
        <w:tc>
          <w:tcPr>
            <w:tcW w:w="3329" w:type="dxa"/>
            <w:shd w:val="clear" w:color="auto" w:fill="auto"/>
          </w:tcPr>
          <w:p w14:paraId="6D572C1E" w14:textId="77777777" w:rsidR="00D2408E" w:rsidRPr="008E4EB0" w:rsidRDefault="00D2408E" w:rsidP="00D2408E">
            <w:pPr>
              <w:tabs>
                <w:tab w:val="left" w:pos="2269"/>
              </w:tabs>
              <w:spacing w:after="0" w:line="240" w:lineRule="auto"/>
              <w:contextualSpacing/>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Siltumenerģija (apkurei un karstajam ūdenim)</w:t>
            </w:r>
          </w:p>
        </w:tc>
        <w:tc>
          <w:tcPr>
            <w:tcW w:w="1216" w:type="dxa"/>
            <w:shd w:val="clear" w:color="auto" w:fill="auto"/>
          </w:tcPr>
          <w:p w14:paraId="44446EBD" w14:textId="77777777" w:rsidR="00D2408E" w:rsidRPr="008E4EB0" w:rsidRDefault="00D2408E" w:rsidP="00D2408E">
            <w:pPr>
              <w:tabs>
                <w:tab w:val="left" w:pos="2269"/>
              </w:tabs>
              <w:spacing w:after="0" w:line="240" w:lineRule="auto"/>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28310</w:t>
            </w:r>
          </w:p>
        </w:tc>
        <w:tc>
          <w:tcPr>
            <w:tcW w:w="1216" w:type="dxa"/>
            <w:shd w:val="clear" w:color="auto" w:fill="auto"/>
          </w:tcPr>
          <w:p w14:paraId="10591B9C" w14:textId="77777777" w:rsidR="00D2408E" w:rsidRPr="008E4EB0" w:rsidRDefault="00D2408E" w:rsidP="00D2408E">
            <w:pPr>
              <w:tabs>
                <w:tab w:val="left" w:pos="2269"/>
              </w:tabs>
              <w:spacing w:after="0" w:line="240" w:lineRule="auto"/>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19627</w:t>
            </w:r>
          </w:p>
        </w:tc>
        <w:tc>
          <w:tcPr>
            <w:tcW w:w="1216" w:type="dxa"/>
            <w:shd w:val="clear" w:color="auto" w:fill="auto"/>
          </w:tcPr>
          <w:p w14:paraId="4584E612" w14:textId="77777777" w:rsidR="00D2408E" w:rsidRPr="008E4EB0" w:rsidRDefault="00D2408E" w:rsidP="00D2408E">
            <w:pPr>
              <w:tabs>
                <w:tab w:val="left" w:pos="2269"/>
              </w:tabs>
              <w:spacing w:after="0" w:line="240" w:lineRule="auto"/>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17816</w:t>
            </w:r>
          </w:p>
        </w:tc>
        <w:tc>
          <w:tcPr>
            <w:tcW w:w="1216" w:type="dxa"/>
            <w:shd w:val="clear" w:color="auto" w:fill="auto"/>
          </w:tcPr>
          <w:p w14:paraId="167B1570" w14:textId="77777777" w:rsidR="00D2408E" w:rsidRPr="008E4EB0" w:rsidRDefault="00D2408E" w:rsidP="00D2408E">
            <w:pPr>
              <w:tabs>
                <w:tab w:val="left" w:pos="2269"/>
              </w:tabs>
              <w:spacing w:after="0" w:line="240" w:lineRule="auto"/>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17622</w:t>
            </w:r>
          </w:p>
        </w:tc>
        <w:tc>
          <w:tcPr>
            <w:tcW w:w="1092" w:type="dxa"/>
          </w:tcPr>
          <w:p w14:paraId="0AF21573" w14:textId="77777777" w:rsidR="00D2408E" w:rsidRPr="008E4EB0" w:rsidRDefault="00D2408E" w:rsidP="00D2408E">
            <w:pPr>
              <w:tabs>
                <w:tab w:val="left" w:pos="2269"/>
              </w:tabs>
              <w:spacing w:after="0" w:line="240" w:lineRule="auto"/>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14101</w:t>
            </w:r>
          </w:p>
        </w:tc>
      </w:tr>
      <w:tr w:rsidR="00D2408E" w:rsidRPr="008E4EB0" w14:paraId="736A808D" w14:textId="77777777" w:rsidTr="00D2408E">
        <w:trPr>
          <w:jc w:val="center"/>
        </w:trPr>
        <w:tc>
          <w:tcPr>
            <w:tcW w:w="3329" w:type="dxa"/>
            <w:shd w:val="clear" w:color="auto" w:fill="auto"/>
          </w:tcPr>
          <w:p w14:paraId="6376DA1C" w14:textId="77777777" w:rsidR="00D2408E" w:rsidRPr="008E4EB0" w:rsidRDefault="00D2408E" w:rsidP="00D2408E">
            <w:pPr>
              <w:tabs>
                <w:tab w:val="left" w:pos="2269"/>
              </w:tabs>
              <w:spacing w:after="0" w:line="240" w:lineRule="auto"/>
              <w:contextualSpacing/>
              <w:rPr>
                <w:rFonts w:ascii="Times New Roman" w:eastAsia="Calibri" w:hAnsi="Times New Roman" w:cs="Times New Roman"/>
                <w:b/>
                <w:bCs/>
                <w:sz w:val="20"/>
                <w:szCs w:val="20"/>
              </w:rPr>
            </w:pPr>
            <w:r w:rsidRPr="008E4EB0">
              <w:rPr>
                <w:rFonts w:ascii="Times New Roman" w:eastAsia="Calibri" w:hAnsi="Times New Roman" w:cs="Times New Roman"/>
                <w:b/>
                <w:bCs/>
                <w:sz w:val="24"/>
                <w:szCs w:val="24"/>
              </w:rPr>
              <w:t>Energoresursi pavisam</w:t>
            </w:r>
          </w:p>
        </w:tc>
        <w:tc>
          <w:tcPr>
            <w:tcW w:w="1216" w:type="dxa"/>
            <w:shd w:val="clear" w:color="auto" w:fill="auto"/>
          </w:tcPr>
          <w:p w14:paraId="619A5889" w14:textId="77777777" w:rsidR="00D2408E" w:rsidRPr="008E4EB0" w:rsidRDefault="00D2408E" w:rsidP="00D2408E">
            <w:pPr>
              <w:tabs>
                <w:tab w:val="left" w:pos="2269"/>
              </w:tabs>
              <w:spacing w:after="0" w:line="240" w:lineRule="auto"/>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4"/>
                <w:szCs w:val="24"/>
              </w:rPr>
              <w:t>71251</w:t>
            </w:r>
          </w:p>
        </w:tc>
        <w:tc>
          <w:tcPr>
            <w:tcW w:w="1216" w:type="dxa"/>
            <w:shd w:val="clear" w:color="auto" w:fill="auto"/>
          </w:tcPr>
          <w:p w14:paraId="79435CFA" w14:textId="77777777" w:rsidR="00D2408E" w:rsidRPr="008E4EB0" w:rsidRDefault="00D2408E" w:rsidP="00D2408E">
            <w:pPr>
              <w:tabs>
                <w:tab w:val="left" w:pos="2269"/>
              </w:tabs>
              <w:spacing w:after="0" w:line="240" w:lineRule="auto"/>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4"/>
                <w:szCs w:val="24"/>
              </w:rPr>
              <w:t>61691</w:t>
            </w:r>
          </w:p>
        </w:tc>
        <w:tc>
          <w:tcPr>
            <w:tcW w:w="1216" w:type="dxa"/>
            <w:shd w:val="clear" w:color="auto" w:fill="auto"/>
          </w:tcPr>
          <w:p w14:paraId="2852E187" w14:textId="77777777" w:rsidR="00D2408E" w:rsidRPr="008E4EB0" w:rsidRDefault="00D2408E" w:rsidP="00D2408E">
            <w:pPr>
              <w:tabs>
                <w:tab w:val="left" w:pos="2269"/>
              </w:tabs>
              <w:spacing w:after="0" w:line="240" w:lineRule="auto"/>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4"/>
                <w:szCs w:val="24"/>
              </w:rPr>
              <w:t>64917</w:t>
            </w:r>
          </w:p>
        </w:tc>
        <w:tc>
          <w:tcPr>
            <w:tcW w:w="1216" w:type="dxa"/>
            <w:shd w:val="clear" w:color="auto" w:fill="auto"/>
          </w:tcPr>
          <w:p w14:paraId="0EA2B184" w14:textId="77777777" w:rsidR="00D2408E" w:rsidRPr="008E4EB0" w:rsidRDefault="00D2408E" w:rsidP="00D2408E">
            <w:pPr>
              <w:tabs>
                <w:tab w:val="left" w:pos="2269"/>
              </w:tabs>
              <w:spacing w:after="0" w:line="240" w:lineRule="auto"/>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4"/>
                <w:szCs w:val="24"/>
              </w:rPr>
              <w:t>59751</w:t>
            </w:r>
          </w:p>
        </w:tc>
        <w:tc>
          <w:tcPr>
            <w:tcW w:w="1092" w:type="dxa"/>
          </w:tcPr>
          <w:p w14:paraId="1280D4A5" w14:textId="77777777" w:rsidR="00D2408E" w:rsidRPr="008E4EB0" w:rsidRDefault="00D2408E" w:rsidP="00D2408E">
            <w:pPr>
              <w:tabs>
                <w:tab w:val="left" w:pos="2269"/>
              </w:tabs>
              <w:spacing w:after="0" w:line="240" w:lineRule="auto"/>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4"/>
                <w:szCs w:val="24"/>
              </w:rPr>
              <w:t>46253</w:t>
            </w:r>
          </w:p>
        </w:tc>
      </w:tr>
    </w:tbl>
    <w:p w14:paraId="57D28D6B" w14:textId="77777777" w:rsidR="00D2408E" w:rsidRPr="008E4EB0" w:rsidRDefault="00D2408E" w:rsidP="00D2408E">
      <w:pPr>
        <w:tabs>
          <w:tab w:val="left" w:pos="2269"/>
        </w:tabs>
        <w:spacing w:after="0" w:line="240" w:lineRule="auto"/>
        <w:ind w:left="1440" w:firstLine="851"/>
        <w:contextualSpacing/>
        <w:rPr>
          <w:rFonts w:ascii="Times New Roman" w:eastAsia="Calibri" w:hAnsi="Times New Roman" w:cs="Times New Roman"/>
          <w:color w:val="000000"/>
          <w:sz w:val="24"/>
          <w:szCs w:val="24"/>
          <w:highlight w:val="yellow"/>
        </w:rPr>
      </w:pPr>
    </w:p>
    <w:p w14:paraId="438826CD" w14:textId="63B050BA" w:rsidR="00D2408E" w:rsidRPr="008E4EB0" w:rsidRDefault="00F749EA" w:rsidP="00D2408E">
      <w:pPr>
        <w:tabs>
          <w:tab w:val="left" w:pos="2269"/>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9</w:t>
      </w:r>
      <w:r w:rsidR="00D2408E" w:rsidRPr="008E4EB0">
        <w:rPr>
          <w:rFonts w:ascii="Times New Roman" w:eastAsia="Calibri" w:hAnsi="Times New Roman" w:cs="Times New Roman"/>
          <w:sz w:val="24"/>
          <w:szCs w:val="24"/>
        </w:rPr>
        <w:t>.tabula. Energoresursu patēriņš mājsaimniecībās, ieskaitot patēriņu lauku saimniecībās un citās ekonomiskās aktivitātēs (naturālās mērvienībās)</w:t>
      </w:r>
      <w:r w:rsidR="00D2408E" w:rsidRPr="008E4EB0">
        <w:rPr>
          <w:rFonts w:ascii="Times New Roman" w:eastAsia="Calibri" w:hAnsi="Times New Roman" w:cs="Times New Roman"/>
          <w:sz w:val="24"/>
          <w:szCs w:val="24"/>
          <w:vertAlign w:val="superscript"/>
        </w:rPr>
        <w:footnoteReference w:id="11"/>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134"/>
        <w:gridCol w:w="1134"/>
        <w:gridCol w:w="1134"/>
        <w:gridCol w:w="1134"/>
        <w:gridCol w:w="1134"/>
      </w:tblGrid>
      <w:tr w:rsidR="00D2408E" w:rsidRPr="008E4EB0" w14:paraId="00009BF8" w14:textId="77777777" w:rsidTr="00D2408E">
        <w:trPr>
          <w:jc w:val="center"/>
        </w:trPr>
        <w:tc>
          <w:tcPr>
            <w:tcW w:w="3510" w:type="dxa"/>
            <w:shd w:val="clear" w:color="auto" w:fill="auto"/>
          </w:tcPr>
          <w:p w14:paraId="53A6E497" w14:textId="77777777" w:rsidR="00D2408E" w:rsidRPr="008E4EB0" w:rsidRDefault="00D2408E" w:rsidP="00D2408E">
            <w:pPr>
              <w:tabs>
                <w:tab w:val="left" w:pos="2269"/>
              </w:tabs>
              <w:spacing w:after="0" w:line="240" w:lineRule="auto"/>
              <w:ind w:firstLine="34"/>
              <w:contextualSpacing/>
              <w:rPr>
                <w:rFonts w:ascii="Times New Roman" w:eastAsia="Calibri" w:hAnsi="Times New Roman" w:cs="Times New Roman"/>
                <w:b/>
                <w:bCs/>
                <w:sz w:val="20"/>
                <w:szCs w:val="20"/>
              </w:rPr>
            </w:pPr>
          </w:p>
        </w:tc>
        <w:tc>
          <w:tcPr>
            <w:tcW w:w="1134" w:type="dxa"/>
            <w:shd w:val="clear" w:color="auto" w:fill="auto"/>
          </w:tcPr>
          <w:p w14:paraId="449C542A"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1996</w:t>
            </w:r>
          </w:p>
        </w:tc>
        <w:tc>
          <w:tcPr>
            <w:tcW w:w="1134" w:type="dxa"/>
            <w:shd w:val="clear" w:color="auto" w:fill="auto"/>
          </w:tcPr>
          <w:p w14:paraId="3C55AAE5"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2001</w:t>
            </w:r>
          </w:p>
        </w:tc>
        <w:tc>
          <w:tcPr>
            <w:tcW w:w="1134" w:type="dxa"/>
            <w:shd w:val="clear" w:color="auto" w:fill="auto"/>
          </w:tcPr>
          <w:p w14:paraId="3D89F2A7"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2006</w:t>
            </w:r>
          </w:p>
        </w:tc>
        <w:tc>
          <w:tcPr>
            <w:tcW w:w="1134" w:type="dxa"/>
            <w:shd w:val="clear" w:color="auto" w:fill="auto"/>
          </w:tcPr>
          <w:p w14:paraId="702EB3E0"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2010</w:t>
            </w:r>
          </w:p>
        </w:tc>
        <w:tc>
          <w:tcPr>
            <w:tcW w:w="1134" w:type="dxa"/>
          </w:tcPr>
          <w:p w14:paraId="4AB795F4"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2015</w:t>
            </w:r>
          </w:p>
        </w:tc>
      </w:tr>
      <w:tr w:rsidR="00D2408E" w:rsidRPr="008E4EB0" w14:paraId="3A99FA79" w14:textId="77777777" w:rsidTr="00D2408E">
        <w:trPr>
          <w:jc w:val="center"/>
        </w:trPr>
        <w:tc>
          <w:tcPr>
            <w:tcW w:w="3510" w:type="dxa"/>
            <w:shd w:val="clear" w:color="auto" w:fill="auto"/>
          </w:tcPr>
          <w:p w14:paraId="326C22E8" w14:textId="77777777" w:rsidR="00D2408E" w:rsidRPr="008E4EB0" w:rsidRDefault="00D2408E" w:rsidP="00D2408E">
            <w:pPr>
              <w:tabs>
                <w:tab w:val="left" w:pos="2269"/>
              </w:tabs>
              <w:spacing w:after="0" w:line="240" w:lineRule="auto"/>
              <w:ind w:firstLine="34"/>
              <w:contextualSpacing/>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Elektroenerģija (MWh)</w:t>
            </w:r>
          </w:p>
        </w:tc>
        <w:tc>
          <w:tcPr>
            <w:tcW w:w="1134" w:type="dxa"/>
            <w:shd w:val="clear" w:color="auto" w:fill="auto"/>
          </w:tcPr>
          <w:p w14:paraId="7983DF64"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1093112</w:t>
            </w:r>
          </w:p>
        </w:tc>
        <w:tc>
          <w:tcPr>
            <w:tcW w:w="1134" w:type="dxa"/>
            <w:shd w:val="clear" w:color="auto" w:fill="auto"/>
          </w:tcPr>
          <w:p w14:paraId="531E0766"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1238669</w:t>
            </w:r>
          </w:p>
        </w:tc>
        <w:tc>
          <w:tcPr>
            <w:tcW w:w="1134" w:type="dxa"/>
            <w:shd w:val="clear" w:color="auto" w:fill="auto"/>
          </w:tcPr>
          <w:p w14:paraId="420EA880"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1727979</w:t>
            </w:r>
          </w:p>
        </w:tc>
        <w:tc>
          <w:tcPr>
            <w:tcW w:w="1134" w:type="dxa"/>
            <w:shd w:val="clear" w:color="auto" w:fill="auto"/>
          </w:tcPr>
          <w:p w14:paraId="4763052D"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1938167</w:t>
            </w:r>
          </w:p>
        </w:tc>
        <w:tc>
          <w:tcPr>
            <w:tcW w:w="1134" w:type="dxa"/>
          </w:tcPr>
          <w:p w14:paraId="3CCA5E8C"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1758800</w:t>
            </w:r>
          </w:p>
        </w:tc>
      </w:tr>
      <w:tr w:rsidR="00D2408E" w:rsidRPr="008E4EB0" w14:paraId="503FF452" w14:textId="77777777" w:rsidTr="00D2408E">
        <w:trPr>
          <w:jc w:val="center"/>
        </w:trPr>
        <w:tc>
          <w:tcPr>
            <w:tcW w:w="3510" w:type="dxa"/>
            <w:shd w:val="clear" w:color="auto" w:fill="auto"/>
          </w:tcPr>
          <w:p w14:paraId="402AD716" w14:textId="77777777" w:rsidR="00D2408E" w:rsidRPr="008E4EB0" w:rsidRDefault="00D2408E" w:rsidP="00D2408E">
            <w:pPr>
              <w:tabs>
                <w:tab w:val="left" w:pos="2269"/>
              </w:tabs>
              <w:spacing w:after="0" w:line="240" w:lineRule="auto"/>
              <w:ind w:firstLine="34"/>
              <w:contextualSpacing/>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Dabasgāze (tūkst.m</w:t>
            </w:r>
            <w:r w:rsidRPr="008E4EB0">
              <w:rPr>
                <w:rFonts w:ascii="Times New Roman" w:eastAsia="Calibri" w:hAnsi="Times New Roman" w:cs="Times New Roman"/>
                <w:b/>
                <w:bCs/>
                <w:sz w:val="20"/>
                <w:szCs w:val="20"/>
                <w:vertAlign w:val="superscript"/>
              </w:rPr>
              <w:t>3</w:t>
            </w:r>
            <w:r w:rsidRPr="008E4EB0">
              <w:rPr>
                <w:rFonts w:ascii="Times New Roman" w:eastAsia="Calibri" w:hAnsi="Times New Roman" w:cs="Times New Roman"/>
                <w:b/>
                <w:bCs/>
                <w:sz w:val="20"/>
                <w:szCs w:val="20"/>
              </w:rPr>
              <w:t>)</w:t>
            </w:r>
          </w:p>
        </w:tc>
        <w:tc>
          <w:tcPr>
            <w:tcW w:w="1134" w:type="dxa"/>
            <w:shd w:val="clear" w:color="auto" w:fill="auto"/>
          </w:tcPr>
          <w:p w14:paraId="468A4CBF"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112503</w:t>
            </w:r>
          </w:p>
        </w:tc>
        <w:tc>
          <w:tcPr>
            <w:tcW w:w="1134" w:type="dxa"/>
            <w:shd w:val="clear" w:color="auto" w:fill="auto"/>
          </w:tcPr>
          <w:p w14:paraId="42AF087D"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89401</w:t>
            </w:r>
          </w:p>
        </w:tc>
        <w:tc>
          <w:tcPr>
            <w:tcW w:w="1134" w:type="dxa"/>
            <w:shd w:val="clear" w:color="auto" w:fill="auto"/>
          </w:tcPr>
          <w:p w14:paraId="4FE579BA"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128957</w:t>
            </w:r>
          </w:p>
        </w:tc>
        <w:tc>
          <w:tcPr>
            <w:tcW w:w="1134" w:type="dxa"/>
            <w:shd w:val="clear" w:color="auto" w:fill="auto"/>
          </w:tcPr>
          <w:p w14:paraId="317BB800"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155019</w:t>
            </w:r>
          </w:p>
        </w:tc>
        <w:tc>
          <w:tcPr>
            <w:tcW w:w="1134" w:type="dxa"/>
          </w:tcPr>
          <w:p w14:paraId="724EB343"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118040</w:t>
            </w:r>
          </w:p>
        </w:tc>
      </w:tr>
      <w:tr w:rsidR="00D2408E" w:rsidRPr="008E4EB0" w14:paraId="619B2327" w14:textId="77777777" w:rsidTr="00D2408E">
        <w:trPr>
          <w:jc w:val="center"/>
        </w:trPr>
        <w:tc>
          <w:tcPr>
            <w:tcW w:w="3510" w:type="dxa"/>
            <w:shd w:val="clear" w:color="auto" w:fill="auto"/>
          </w:tcPr>
          <w:p w14:paraId="408CC5AE" w14:textId="77777777" w:rsidR="00D2408E" w:rsidRPr="008E4EB0" w:rsidRDefault="00D2408E" w:rsidP="00D2408E">
            <w:pPr>
              <w:tabs>
                <w:tab w:val="left" w:pos="2269"/>
              </w:tabs>
              <w:spacing w:after="0" w:line="240" w:lineRule="auto"/>
              <w:ind w:firstLine="34"/>
              <w:contextualSpacing/>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Sašķidrinātā naftas gāze (t)</w:t>
            </w:r>
          </w:p>
        </w:tc>
        <w:tc>
          <w:tcPr>
            <w:tcW w:w="1134" w:type="dxa"/>
            <w:shd w:val="clear" w:color="auto" w:fill="auto"/>
          </w:tcPr>
          <w:p w14:paraId="73888085"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27300,0</w:t>
            </w:r>
          </w:p>
        </w:tc>
        <w:tc>
          <w:tcPr>
            <w:tcW w:w="1134" w:type="dxa"/>
            <w:shd w:val="clear" w:color="auto" w:fill="auto"/>
          </w:tcPr>
          <w:p w14:paraId="56B76620"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25066,5</w:t>
            </w:r>
          </w:p>
        </w:tc>
        <w:tc>
          <w:tcPr>
            <w:tcW w:w="1134" w:type="dxa"/>
            <w:shd w:val="clear" w:color="auto" w:fill="auto"/>
          </w:tcPr>
          <w:p w14:paraId="54D5C48C"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26879,0</w:t>
            </w:r>
          </w:p>
        </w:tc>
        <w:tc>
          <w:tcPr>
            <w:tcW w:w="1134" w:type="dxa"/>
            <w:shd w:val="clear" w:color="auto" w:fill="auto"/>
          </w:tcPr>
          <w:p w14:paraId="27E2106B"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19995,0</w:t>
            </w:r>
          </w:p>
        </w:tc>
        <w:tc>
          <w:tcPr>
            <w:tcW w:w="1134" w:type="dxa"/>
          </w:tcPr>
          <w:p w14:paraId="269C9F61"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16617,1</w:t>
            </w:r>
          </w:p>
        </w:tc>
      </w:tr>
      <w:tr w:rsidR="00D2408E" w:rsidRPr="008E4EB0" w14:paraId="0B07210D" w14:textId="77777777" w:rsidTr="00D2408E">
        <w:trPr>
          <w:jc w:val="center"/>
        </w:trPr>
        <w:tc>
          <w:tcPr>
            <w:tcW w:w="3510" w:type="dxa"/>
            <w:shd w:val="clear" w:color="auto" w:fill="auto"/>
          </w:tcPr>
          <w:p w14:paraId="17A083FC" w14:textId="77777777" w:rsidR="00D2408E" w:rsidRPr="008E4EB0" w:rsidRDefault="00D2408E" w:rsidP="00D2408E">
            <w:pPr>
              <w:tabs>
                <w:tab w:val="left" w:pos="2269"/>
              </w:tabs>
              <w:spacing w:after="0" w:line="240" w:lineRule="auto"/>
              <w:ind w:firstLine="34"/>
              <w:contextualSpacing/>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Naftas produkti apkurei un karstajam ūdenim (t)</w:t>
            </w:r>
          </w:p>
        </w:tc>
        <w:tc>
          <w:tcPr>
            <w:tcW w:w="1134" w:type="dxa"/>
            <w:shd w:val="clear" w:color="auto" w:fill="auto"/>
          </w:tcPr>
          <w:p w14:paraId="03F414D8"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942,1</w:t>
            </w:r>
          </w:p>
        </w:tc>
        <w:tc>
          <w:tcPr>
            <w:tcW w:w="1134" w:type="dxa"/>
            <w:shd w:val="clear" w:color="auto" w:fill="auto"/>
          </w:tcPr>
          <w:p w14:paraId="45D06215"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3675,5</w:t>
            </w:r>
          </w:p>
        </w:tc>
        <w:tc>
          <w:tcPr>
            <w:tcW w:w="1134" w:type="dxa"/>
            <w:shd w:val="clear" w:color="auto" w:fill="auto"/>
          </w:tcPr>
          <w:p w14:paraId="664FA1A2"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3389,7</w:t>
            </w:r>
          </w:p>
        </w:tc>
        <w:tc>
          <w:tcPr>
            <w:tcW w:w="1134" w:type="dxa"/>
            <w:shd w:val="clear" w:color="auto" w:fill="auto"/>
          </w:tcPr>
          <w:p w14:paraId="17F8B42C"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1889,3</w:t>
            </w:r>
          </w:p>
        </w:tc>
        <w:tc>
          <w:tcPr>
            <w:tcW w:w="1134" w:type="dxa"/>
          </w:tcPr>
          <w:p w14:paraId="3B24BA2D"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2093,3</w:t>
            </w:r>
          </w:p>
        </w:tc>
      </w:tr>
      <w:tr w:rsidR="00D2408E" w:rsidRPr="008E4EB0" w14:paraId="7A130AB9" w14:textId="77777777" w:rsidTr="00D2408E">
        <w:trPr>
          <w:jc w:val="center"/>
        </w:trPr>
        <w:tc>
          <w:tcPr>
            <w:tcW w:w="3510" w:type="dxa"/>
            <w:shd w:val="clear" w:color="auto" w:fill="auto"/>
          </w:tcPr>
          <w:p w14:paraId="2B8B94E3" w14:textId="77777777" w:rsidR="00D2408E" w:rsidRPr="008E4EB0" w:rsidRDefault="00D2408E" w:rsidP="00D2408E">
            <w:pPr>
              <w:tabs>
                <w:tab w:val="left" w:pos="2269"/>
              </w:tabs>
              <w:spacing w:after="0" w:line="240" w:lineRule="auto"/>
              <w:ind w:firstLine="34"/>
              <w:contextualSpacing/>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Akmeņogles (t)</w:t>
            </w:r>
          </w:p>
        </w:tc>
        <w:tc>
          <w:tcPr>
            <w:tcW w:w="1134" w:type="dxa"/>
            <w:shd w:val="clear" w:color="auto" w:fill="auto"/>
          </w:tcPr>
          <w:p w14:paraId="24DBA5E7"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69016,0</w:t>
            </w:r>
          </w:p>
        </w:tc>
        <w:tc>
          <w:tcPr>
            <w:tcW w:w="1134" w:type="dxa"/>
            <w:shd w:val="clear" w:color="auto" w:fill="auto"/>
          </w:tcPr>
          <w:p w14:paraId="197855CE"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47287,0</w:t>
            </w:r>
          </w:p>
        </w:tc>
        <w:tc>
          <w:tcPr>
            <w:tcW w:w="1134" w:type="dxa"/>
            <w:shd w:val="clear" w:color="auto" w:fill="auto"/>
          </w:tcPr>
          <w:p w14:paraId="38806CDE"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31164,5</w:t>
            </w:r>
          </w:p>
        </w:tc>
        <w:tc>
          <w:tcPr>
            <w:tcW w:w="1134" w:type="dxa"/>
            <w:shd w:val="clear" w:color="auto" w:fill="auto"/>
          </w:tcPr>
          <w:p w14:paraId="31DD60DC"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40022,8</w:t>
            </w:r>
          </w:p>
        </w:tc>
        <w:tc>
          <w:tcPr>
            <w:tcW w:w="1134" w:type="dxa"/>
          </w:tcPr>
          <w:p w14:paraId="14D99418"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20900,7</w:t>
            </w:r>
          </w:p>
        </w:tc>
      </w:tr>
      <w:tr w:rsidR="00D2408E" w:rsidRPr="008E4EB0" w14:paraId="3B6DE31A" w14:textId="77777777" w:rsidTr="00D2408E">
        <w:trPr>
          <w:jc w:val="center"/>
        </w:trPr>
        <w:tc>
          <w:tcPr>
            <w:tcW w:w="3510" w:type="dxa"/>
            <w:shd w:val="clear" w:color="auto" w:fill="auto"/>
          </w:tcPr>
          <w:p w14:paraId="478F4947" w14:textId="77777777" w:rsidR="00D2408E" w:rsidRPr="008E4EB0" w:rsidRDefault="00D2408E" w:rsidP="00D2408E">
            <w:pPr>
              <w:tabs>
                <w:tab w:val="left" w:pos="2269"/>
              </w:tabs>
              <w:spacing w:after="0" w:line="240" w:lineRule="auto"/>
              <w:ind w:firstLine="34"/>
              <w:contextualSpacing/>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Malka (tūkst.cieš.m</w:t>
            </w:r>
            <w:r w:rsidRPr="008E4EB0">
              <w:rPr>
                <w:rFonts w:ascii="Times New Roman" w:eastAsia="Calibri" w:hAnsi="Times New Roman" w:cs="Times New Roman"/>
                <w:b/>
                <w:bCs/>
                <w:sz w:val="20"/>
                <w:szCs w:val="20"/>
                <w:vertAlign w:val="superscript"/>
              </w:rPr>
              <w:t>3</w:t>
            </w:r>
            <w:r w:rsidRPr="008E4EB0">
              <w:rPr>
                <w:rFonts w:ascii="Times New Roman" w:eastAsia="Calibri" w:hAnsi="Times New Roman" w:cs="Times New Roman"/>
                <w:b/>
                <w:bCs/>
                <w:sz w:val="20"/>
                <w:szCs w:val="20"/>
              </w:rPr>
              <w:t xml:space="preserve">) </w:t>
            </w:r>
          </w:p>
        </w:tc>
        <w:tc>
          <w:tcPr>
            <w:tcW w:w="1134" w:type="dxa"/>
            <w:shd w:val="clear" w:color="auto" w:fill="auto"/>
          </w:tcPr>
          <w:p w14:paraId="5EFAFC30"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4678,7</w:t>
            </w:r>
          </w:p>
        </w:tc>
        <w:tc>
          <w:tcPr>
            <w:tcW w:w="1134" w:type="dxa"/>
            <w:shd w:val="clear" w:color="auto" w:fill="auto"/>
          </w:tcPr>
          <w:p w14:paraId="5DA99DA5"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3485,8</w:t>
            </w:r>
          </w:p>
        </w:tc>
        <w:tc>
          <w:tcPr>
            <w:tcW w:w="1134" w:type="dxa"/>
            <w:shd w:val="clear" w:color="auto" w:fill="auto"/>
          </w:tcPr>
          <w:p w14:paraId="4F11A579"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4176,7</w:t>
            </w:r>
          </w:p>
        </w:tc>
        <w:tc>
          <w:tcPr>
            <w:tcW w:w="1134" w:type="dxa"/>
            <w:shd w:val="clear" w:color="auto" w:fill="auto"/>
          </w:tcPr>
          <w:p w14:paraId="7305E753"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3471,0</w:t>
            </w:r>
          </w:p>
        </w:tc>
        <w:tc>
          <w:tcPr>
            <w:tcW w:w="1134" w:type="dxa"/>
          </w:tcPr>
          <w:p w14:paraId="44884939"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2440,7</w:t>
            </w:r>
          </w:p>
        </w:tc>
      </w:tr>
      <w:tr w:rsidR="00D2408E" w:rsidRPr="008E4EB0" w14:paraId="1446A0C1" w14:textId="77777777" w:rsidTr="00D2408E">
        <w:trPr>
          <w:jc w:val="center"/>
        </w:trPr>
        <w:tc>
          <w:tcPr>
            <w:tcW w:w="3510" w:type="dxa"/>
            <w:shd w:val="clear" w:color="auto" w:fill="auto"/>
          </w:tcPr>
          <w:p w14:paraId="01AE3CA8" w14:textId="77777777" w:rsidR="00D2408E" w:rsidRPr="008E4EB0" w:rsidRDefault="00D2408E" w:rsidP="00D2408E">
            <w:pPr>
              <w:tabs>
                <w:tab w:val="left" w:pos="2269"/>
              </w:tabs>
              <w:spacing w:after="0" w:line="240" w:lineRule="auto"/>
              <w:ind w:firstLine="34"/>
              <w:contextualSpacing/>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Koksnes briketes (t)</w:t>
            </w:r>
          </w:p>
        </w:tc>
        <w:tc>
          <w:tcPr>
            <w:tcW w:w="1134" w:type="dxa"/>
            <w:shd w:val="clear" w:color="auto" w:fill="auto"/>
          </w:tcPr>
          <w:p w14:paraId="1459B534"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w:t>
            </w:r>
          </w:p>
        </w:tc>
        <w:tc>
          <w:tcPr>
            <w:tcW w:w="1134" w:type="dxa"/>
            <w:shd w:val="clear" w:color="auto" w:fill="auto"/>
          </w:tcPr>
          <w:p w14:paraId="508939E6"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10318,4</w:t>
            </w:r>
          </w:p>
        </w:tc>
        <w:tc>
          <w:tcPr>
            <w:tcW w:w="1134" w:type="dxa"/>
            <w:shd w:val="clear" w:color="auto" w:fill="auto"/>
          </w:tcPr>
          <w:p w14:paraId="3B7F0B44"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11719,4</w:t>
            </w:r>
          </w:p>
        </w:tc>
        <w:tc>
          <w:tcPr>
            <w:tcW w:w="1134" w:type="dxa"/>
            <w:shd w:val="clear" w:color="auto" w:fill="auto"/>
          </w:tcPr>
          <w:p w14:paraId="13DFF9F6"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19972,2</w:t>
            </w:r>
          </w:p>
        </w:tc>
        <w:tc>
          <w:tcPr>
            <w:tcW w:w="1134" w:type="dxa"/>
          </w:tcPr>
          <w:p w14:paraId="12850612"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23337,4</w:t>
            </w:r>
          </w:p>
        </w:tc>
      </w:tr>
      <w:tr w:rsidR="00D2408E" w:rsidRPr="008E4EB0" w14:paraId="50713A08" w14:textId="77777777" w:rsidTr="00D2408E">
        <w:trPr>
          <w:jc w:val="center"/>
        </w:trPr>
        <w:tc>
          <w:tcPr>
            <w:tcW w:w="3510" w:type="dxa"/>
            <w:shd w:val="clear" w:color="auto" w:fill="auto"/>
          </w:tcPr>
          <w:p w14:paraId="7491D923" w14:textId="77777777" w:rsidR="00D2408E" w:rsidRPr="008E4EB0" w:rsidRDefault="00D2408E" w:rsidP="00D2408E">
            <w:pPr>
              <w:tabs>
                <w:tab w:val="left" w:pos="2269"/>
              </w:tabs>
              <w:spacing w:after="0" w:line="240" w:lineRule="auto"/>
              <w:ind w:firstLine="34"/>
              <w:contextualSpacing/>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Koksnes granulas (t)</w:t>
            </w:r>
          </w:p>
        </w:tc>
        <w:tc>
          <w:tcPr>
            <w:tcW w:w="1134" w:type="dxa"/>
            <w:shd w:val="clear" w:color="auto" w:fill="auto"/>
          </w:tcPr>
          <w:p w14:paraId="1A44096E"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w:t>
            </w:r>
          </w:p>
        </w:tc>
        <w:tc>
          <w:tcPr>
            <w:tcW w:w="1134" w:type="dxa"/>
            <w:shd w:val="clear" w:color="auto" w:fill="auto"/>
          </w:tcPr>
          <w:p w14:paraId="3F2A8239"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w:t>
            </w:r>
          </w:p>
        </w:tc>
        <w:tc>
          <w:tcPr>
            <w:tcW w:w="1134" w:type="dxa"/>
            <w:shd w:val="clear" w:color="auto" w:fill="auto"/>
          </w:tcPr>
          <w:p w14:paraId="5CD2A690"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2217,1</w:t>
            </w:r>
          </w:p>
        </w:tc>
        <w:tc>
          <w:tcPr>
            <w:tcW w:w="1134" w:type="dxa"/>
            <w:shd w:val="clear" w:color="auto" w:fill="auto"/>
          </w:tcPr>
          <w:p w14:paraId="184CC4B2"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13973,4</w:t>
            </w:r>
          </w:p>
        </w:tc>
        <w:tc>
          <w:tcPr>
            <w:tcW w:w="1134" w:type="dxa"/>
          </w:tcPr>
          <w:p w14:paraId="5422A719"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115011,7</w:t>
            </w:r>
          </w:p>
        </w:tc>
      </w:tr>
      <w:tr w:rsidR="00D2408E" w:rsidRPr="008E4EB0" w14:paraId="751B69EA" w14:textId="77777777" w:rsidTr="00D2408E">
        <w:trPr>
          <w:jc w:val="center"/>
        </w:trPr>
        <w:tc>
          <w:tcPr>
            <w:tcW w:w="3510" w:type="dxa"/>
            <w:shd w:val="clear" w:color="auto" w:fill="auto"/>
          </w:tcPr>
          <w:p w14:paraId="22CC177B" w14:textId="77777777" w:rsidR="00D2408E" w:rsidRPr="008E4EB0" w:rsidRDefault="00D2408E" w:rsidP="00D2408E">
            <w:pPr>
              <w:tabs>
                <w:tab w:val="left" w:pos="2269"/>
              </w:tabs>
              <w:spacing w:after="0" w:line="240" w:lineRule="auto"/>
              <w:ind w:firstLine="34"/>
              <w:contextualSpacing/>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Koksnes atlikumi (t)</w:t>
            </w:r>
          </w:p>
        </w:tc>
        <w:tc>
          <w:tcPr>
            <w:tcW w:w="1134" w:type="dxa"/>
            <w:shd w:val="clear" w:color="auto" w:fill="auto"/>
          </w:tcPr>
          <w:p w14:paraId="0AAD839B"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w:t>
            </w:r>
          </w:p>
        </w:tc>
        <w:tc>
          <w:tcPr>
            <w:tcW w:w="1134" w:type="dxa"/>
            <w:shd w:val="clear" w:color="auto" w:fill="auto"/>
          </w:tcPr>
          <w:p w14:paraId="3D9E9472"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737749,8</w:t>
            </w:r>
          </w:p>
        </w:tc>
        <w:tc>
          <w:tcPr>
            <w:tcW w:w="1134" w:type="dxa"/>
            <w:shd w:val="clear" w:color="auto" w:fill="auto"/>
          </w:tcPr>
          <w:p w14:paraId="07B1A9AB"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309236,2</w:t>
            </w:r>
          </w:p>
        </w:tc>
        <w:tc>
          <w:tcPr>
            <w:tcW w:w="1134" w:type="dxa"/>
            <w:shd w:val="clear" w:color="auto" w:fill="auto"/>
          </w:tcPr>
          <w:p w14:paraId="45C6A6D7"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117600,0</w:t>
            </w:r>
          </w:p>
        </w:tc>
        <w:tc>
          <w:tcPr>
            <w:tcW w:w="1134" w:type="dxa"/>
          </w:tcPr>
          <w:p w14:paraId="70FB55E7"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36253,9</w:t>
            </w:r>
          </w:p>
        </w:tc>
      </w:tr>
      <w:tr w:rsidR="00D2408E" w:rsidRPr="008E4EB0" w14:paraId="45FE459E" w14:textId="77777777" w:rsidTr="00D2408E">
        <w:trPr>
          <w:jc w:val="center"/>
        </w:trPr>
        <w:tc>
          <w:tcPr>
            <w:tcW w:w="3510" w:type="dxa"/>
            <w:shd w:val="clear" w:color="auto" w:fill="auto"/>
          </w:tcPr>
          <w:p w14:paraId="37BB1E89" w14:textId="77777777" w:rsidR="00D2408E" w:rsidRPr="008E4EB0" w:rsidRDefault="00D2408E" w:rsidP="00D2408E">
            <w:pPr>
              <w:tabs>
                <w:tab w:val="left" w:pos="2269"/>
              </w:tabs>
              <w:spacing w:after="0" w:line="240" w:lineRule="auto"/>
              <w:ind w:firstLine="34"/>
              <w:contextualSpacing/>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Kokogles (t)</w:t>
            </w:r>
          </w:p>
        </w:tc>
        <w:tc>
          <w:tcPr>
            <w:tcW w:w="1134" w:type="dxa"/>
            <w:shd w:val="clear" w:color="auto" w:fill="auto"/>
          </w:tcPr>
          <w:p w14:paraId="208F303C"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w:t>
            </w:r>
          </w:p>
        </w:tc>
        <w:tc>
          <w:tcPr>
            <w:tcW w:w="1134" w:type="dxa"/>
            <w:shd w:val="clear" w:color="auto" w:fill="auto"/>
          </w:tcPr>
          <w:p w14:paraId="303A25B2"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w:t>
            </w:r>
          </w:p>
        </w:tc>
        <w:tc>
          <w:tcPr>
            <w:tcW w:w="1134" w:type="dxa"/>
            <w:shd w:val="clear" w:color="auto" w:fill="auto"/>
          </w:tcPr>
          <w:p w14:paraId="41C4E479"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538,1</w:t>
            </w:r>
          </w:p>
        </w:tc>
        <w:tc>
          <w:tcPr>
            <w:tcW w:w="1134" w:type="dxa"/>
            <w:shd w:val="clear" w:color="auto" w:fill="auto"/>
          </w:tcPr>
          <w:p w14:paraId="397DC262"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1985,4</w:t>
            </w:r>
          </w:p>
        </w:tc>
        <w:tc>
          <w:tcPr>
            <w:tcW w:w="1134" w:type="dxa"/>
          </w:tcPr>
          <w:p w14:paraId="28970DEF"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1516,7</w:t>
            </w:r>
          </w:p>
        </w:tc>
      </w:tr>
      <w:tr w:rsidR="00D2408E" w:rsidRPr="008E4EB0" w14:paraId="1404D223" w14:textId="77777777" w:rsidTr="00D2408E">
        <w:trPr>
          <w:jc w:val="center"/>
        </w:trPr>
        <w:tc>
          <w:tcPr>
            <w:tcW w:w="3510" w:type="dxa"/>
            <w:shd w:val="clear" w:color="auto" w:fill="auto"/>
          </w:tcPr>
          <w:p w14:paraId="46C1964A" w14:textId="77777777" w:rsidR="00D2408E" w:rsidRPr="008E4EB0" w:rsidRDefault="00D2408E" w:rsidP="00D2408E">
            <w:pPr>
              <w:tabs>
                <w:tab w:val="left" w:pos="2269"/>
              </w:tabs>
              <w:spacing w:after="0" w:line="240" w:lineRule="auto"/>
              <w:ind w:firstLine="34"/>
              <w:contextualSpacing/>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Cits ciets kurināmais (t)</w:t>
            </w:r>
          </w:p>
        </w:tc>
        <w:tc>
          <w:tcPr>
            <w:tcW w:w="1134" w:type="dxa"/>
            <w:shd w:val="clear" w:color="auto" w:fill="auto"/>
          </w:tcPr>
          <w:p w14:paraId="0BAF7133"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16652,7</w:t>
            </w:r>
          </w:p>
        </w:tc>
        <w:tc>
          <w:tcPr>
            <w:tcW w:w="1134" w:type="dxa"/>
            <w:shd w:val="clear" w:color="auto" w:fill="auto"/>
          </w:tcPr>
          <w:p w14:paraId="64965C9C"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1092,2</w:t>
            </w:r>
          </w:p>
        </w:tc>
        <w:tc>
          <w:tcPr>
            <w:tcW w:w="1134" w:type="dxa"/>
            <w:shd w:val="clear" w:color="auto" w:fill="auto"/>
          </w:tcPr>
          <w:p w14:paraId="776BB784"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426,7</w:t>
            </w:r>
          </w:p>
        </w:tc>
        <w:tc>
          <w:tcPr>
            <w:tcW w:w="1134" w:type="dxa"/>
            <w:shd w:val="clear" w:color="auto" w:fill="auto"/>
          </w:tcPr>
          <w:p w14:paraId="7A6C43E7"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2438,2</w:t>
            </w:r>
          </w:p>
        </w:tc>
        <w:tc>
          <w:tcPr>
            <w:tcW w:w="1134" w:type="dxa"/>
          </w:tcPr>
          <w:p w14:paraId="2675E5FD" w14:textId="77777777" w:rsidR="00D2408E" w:rsidRPr="008E4EB0" w:rsidRDefault="00D2408E" w:rsidP="00D2408E">
            <w:pPr>
              <w:tabs>
                <w:tab w:val="left" w:pos="2269"/>
              </w:tabs>
              <w:spacing w:after="0" w:line="240" w:lineRule="auto"/>
              <w:ind w:firstLine="34"/>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w:t>
            </w:r>
          </w:p>
        </w:tc>
      </w:tr>
      <w:tr w:rsidR="00D2408E" w:rsidRPr="008E4EB0" w14:paraId="2F956EC2" w14:textId="77777777" w:rsidTr="00D2408E">
        <w:trPr>
          <w:jc w:val="center"/>
        </w:trPr>
        <w:tc>
          <w:tcPr>
            <w:tcW w:w="3510" w:type="dxa"/>
            <w:shd w:val="clear" w:color="auto" w:fill="auto"/>
          </w:tcPr>
          <w:p w14:paraId="17FE372C" w14:textId="77777777" w:rsidR="00D2408E" w:rsidRPr="008E4EB0" w:rsidRDefault="00D2408E" w:rsidP="00D2408E">
            <w:pPr>
              <w:tabs>
                <w:tab w:val="left" w:pos="2269"/>
              </w:tabs>
              <w:spacing w:after="0" w:line="240" w:lineRule="auto"/>
              <w:contextualSpacing/>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Naftas produkti citām vajadzībām (izņemot transportu) (t)</w:t>
            </w:r>
          </w:p>
        </w:tc>
        <w:tc>
          <w:tcPr>
            <w:tcW w:w="1134" w:type="dxa"/>
            <w:shd w:val="clear" w:color="auto" w:fill="auto"/>
          </w:tcPr>
          <w:p w14:paraId="0E975E24" w14:textId="77777777" w:rsidR="00D2408E" w:rsidRPr="008E4EB0" w:rsidRDefault="00D2408E" w:rsidP="00D2408E">
            <w:pPr>
              <w:tabs>
                <w:tab w:val="left" w:pos="2269"/>
              </w:tabs>
              <w:spacing w:after="0" w:line="240" w:lineRule="auto"/>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w:t>
            </w:r>
          </w:p>
        </w:tc>
        <w:tc>
          <w:tcPr>
            <w:tcW w:w="1134" w:type="dxa"/>
            <w:shd w:val="clear" w:color="auto" w:fill="auto"/>
          </w:tcPr>
          <w:p w14:paraId="600345AC" w14:textId="77777777" w:rsidR="00D2408E" w:rsidRPr="008E4EB0" w:rsidRDefault="00D2408E" w:rsidP="00D2408E">
            <w:pPr>
              <w:tabs>
                <w:tab w:val="left" w:pos="2269"/>
              </w:tabs>
              <w:spacing w:after="0" w:line="240" w:lineRule="auto"/>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25453,6</w:t>
            </w:r>
          </w:p>
        </w:tc>
        <w:tc>
          <w:tcPr>
            <w:tcW w:w="1134" w:type="dxa"/>
            <w:shd w:val="clear" w:color="auto" w:fill="auto"/>
          </w:tcPr>
          <w:p w14:paraId="7894B2F8" w14:textId="77777777" w:rsidR="00D2408E" w:rsidRPr="008E4EB0" w:rsidRDefault="00D2408E" w:rsidP="00D2408E">
            <w:pPr>
              <w:tabs>
                <w:tab w:val="left" w:pos="2269"/>
              </w:tabs>
              <w:spacing w:after="0" w:line="240" w:lineRule="auto"/>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63471,4</w:t>
            </w:r>
          </w:p>
        </w:tc>
        <w:tc>
          <w:tcPr>
            <w:tcW w:w="1134" w:type="dxa"/>
            <w:shd w:val="clear" w:color="auto" w:fill="auto"/>
          </w:tcPr>
          <w:p w14:paraId="7BA2CBFA" w14:textId="77777777" w:rsidR="00D2408E" w:rsidRPr="008E4EB0" w:rsidRDefault="00D2408E" w:rsidP="00D2408E">
            <w:pPr>
              <w:tabs>
                <w:tab w:val="left" w:pos="2269"/>
              </w:tabs>
              <w:spacing w:after="0" w:line="240" w:lineRule="auto"/>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66331,9</w:t>
            </w:r>
          </w:p>
        </w:tc>
        <w:tc>
          <w:tcPr>
            <w:tcW w:w="1134" w:type="dxa"/>
          </w:tcPr>
          <w:p w14:paraId="2F7827A3" w14:textId="77777777" w:rsidR="00D2408E" w:rsidRPr="008E4EB0" w:rsidRDefault="00D2408E" w:rsidP="00D2408E">
            <w:pPr>
              <w:tabs>
                <w:tab w:val="left" w:pos="2269"/>
              </w:tabs>
              <w:spacing w:after="0" w:line="240" w:lineRule="auto"/>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27157,5</w:t>
            </w:r>
          </w:p>
        </w:tc>
      </w:tr>
      <w:tr w:rsidR="00D2408E" w:rsidRPr="008E4EB0" w14:paraId="3DB321F0" w14:textId="77777777" w:rsidTr="00D2408E">
        <w:trPr>
          <w:jc w:val="center"/>
        </w:trPr>
        <w:tc>
          <w:tcPr>
            <w:tcW w:w="3510" w:type="dxa"/>
            <w:shd w:val="clear" w:color="auto" w:fill="auto"/>
          </w:tcPr>
          <w:p w14:paraId="12C6DA74" w14:textId="77777777" w:rsidR="00D2408E" w:rsidRPr="008E4EB0" w:rsidRDefault="00D2408E" w:rsidP="00D2408E">
            <w:pPr>
              <w:tabs>
                <w:tab w:val="left" w:pos="2269"/>
              </w:tabs>
              <w:spacing w:after="0" w:line="240" w:lineRule="auto"/>
              <w:contextualSpacing/>
              <w:rPr>
                <w:rFonts w:ascii="Times New Roman" w:eastAsia="Calibri" w:hAnsi="Times New Roman" w:cs="Times New Roman"/>
                <w:b/>
                <w:bCs/>
                <w:sz w:val="20"/>
                <w:szCs w:val="20"/>
              </w:rPr>
            </w:pPr>
            <w:r w:rsidRPr="008E4EB0">
              <w:rPr>
                <w:rFonts w:ascii="Times New Roman" w:eastAsia="Calibri" w:hAnsi="Times New Roman" w:cs="Times New Roman"/>
                <w:b/>
                <w:bCs/>
                <w:sz w:val="20"/>
                <w:szCs w:val="20"/>
              </w:rPr>
              <w:t>Siltumenerģija (apkurei un karstajam ūdenim) (GWh)</w:t>
            </w:r>
          </w:p>
        </w:tc>
        <w:tc>
          <w:tcPr>
            <w:tcW w:w="1134" w:type="dxa"/>
            <w:shd w:val="clear" w:color="auto" w:fill="auto"/>
          </w:tcPr>
          <w:p w14:paraId="71B73CAD" w14:textId="77777777" w:rsidR="00D2408E" w:rsidRPr="008E4EB0" w:rsidRDefault="00D2408E" w:rsidP="00D2408E">
            <w:pPr>
              <w:tabs>
                <w:tab w:val="left" w:pos="2269"/>
              </w:tabs>
              <w:spacing w:after="0" w:line="240" w:lineRule="auto"/>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7864</w:t>
            </w:r>
          </w:p>
        </w:tc>
        <w:tc>
          <w:tcPr>
            <w:tcW w:w="1134" w:type="dxa"/>
            <w:shd w:val="clear" w:color="auto" w:fill="auto"/>
          </w:tcPr>
          <w:p w14:paraId="1D9F9CF4" w14:textId="77777777" w:rsidR="00D2408E" w:rsidRPr="008E4EB0" w:rsidRDefault="00D2408E" w:rsidP="00D2408E">
            <w:pPr>
              <w:tabs>
                <w:tab w:val="left" w:pos="2269"/>
              </w:tabs>
              <w:spacing w:after="0" w:line="240" w:lineRule="auto"/>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5452</w:t>
            </w:r>
          </w:p>
        </w:tc>
        <w:tc>
          <w:tcPr>
            <w:tcW w:w="1134" w:type="dxa"/>
            <w:shd w:val="clear" w:color="auto" w:fill="auto"/>
          </w:tcPr>
          <w:p w14:paraId="0F5509E5" w14:textId="77777777" w:rsidR="00D2408E" w:rsidRPr="008E4EB0" w:rsidRDefault="00D2408E" w:rsidP="00D2408E">
            <w:pPr>
              <w:tabs>
                <w:tab w:val="left" w:pos="2269"/>
              </w:tabs>
              <w:spacing w:after="0" w:line="240" w:lineRule="auto"/>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4949</w:t>
            </w:r>
          </w:p>
        </w:tc>
        <w:tc>
          <w:tcPr>
            <w:tcW w:w="1134" w:type="dxa"/>
            <w:shd w:val="clear" w:color="auto" w:fill="auto"/>
          </w:tcPr>
          <w:p w14:paraId="4C695415" w14:textId="77777777" w:rsidR="00D2408E" w:rsidRPr="008E4EB0" w:rsidRDefault="00D2408E" w:rsidP="00D2408E">
            <w:pPr>
              <w:tabs>
                <w:tab w:val="left" w:pos="2269"/>
              </w:tabs>
              <w:spacing w:after="0" w:line="240" w:lineRule="auto"/>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4895</w:t>
            </w:r>
          </w:p>
        </w:tc>
        <w:tc>
          <w:tcPr>
            <w:tcW w:w="1134" w:type="dxa"/>
          </w:tcPr>
          <w:p w14:paraId="7FCB84D0" w14:textId="77777777" w:rsidR="00D2408E" w:rsidRPr="008E4EB0" w:rsidRDefault="00D2408E" w:rsidP="00D2408E">
            <w:pPr>
              <w:tabs>
                <w:tab w:val="left" w:pos="2269"/>
              </w:tabs>
              <w:spacing w:after="0" w:line="240" w:lineRule="auto"/>
              <w:contextualSpacing/>
              <w:jc w:val="center"/>
              <w:rPr>
                <w:rFonts w:ascii="Times New Roman" w:eastAsia="Calibri" w:hAnsi="Times New Roman" w:cs="Times New Roman"/>
                <w:sz w:val="20"/>
                <w:szCs w:val="20"/>
              </w:rPr>
            </w:pPr>
            <w:r w:rsidRPr="008E4EB0">
              <w:rPr>
                <w:rFonts w:ascii="Times New Roman" w:eastAsia="Calibri" w:hAnsi="Times New Roman" w:cs="Times New Roman"/>
                <w:sz w:val="20"/>
                <w:szCs w:val="20"/>
              </w:rPr>
              <w:t>3917</w:t>
            </w:r>
          </w:p>
        </w:tc>
      </w:tr>
    </w:tbl>
    <w:p w14:paraId="1C29D021" w14:textId="77777777" w:rsidR="00D2408E" w:rsidRPr="00BF58E9" w:rsidRDefault="00D2408E" w:rsidP="00D2408E">
      <w:pPr>
        <w:tabs>
          <w:tab w:val="left" w:pos="2269"/>
        </w:tabs>
        <w:spacing w:after="0" w:line="240" w:lineRule="auto"/>
        <w:ind w:left="1440" w:firstLine="851"/>
        <w:contextualSpacing/>
        <w:rPr>
          <w:rFonts w:ascii="Times New Roman" w:eastAsia="Calibri" w:hAnsi="Times New Roman" w:cs="Times New Roman"/>
          <w:sz w:val="16"/>
          <w:szCs w:val="16"/>
          <w:highlight w:val="yellow"/>
        </w:rPr>
      </w:pPr>
    </w:p>
    <w:p w14:paraId="0B223099" w14:textId="77777777" w:rsidR="00D2408E" w:rsidRPr="008E4EB0" w:rsidRDefault="00D2408E" w:rsidP="00D2408E">
      <w:pPr>
        <w:tabs>
          <w:tab w:val="left" w:pos="2269"/>
        </w:tabs>
        <w:spacing w:after="0" w:line="240" w:lineRule="auto"/>
        <w:ind w:firstLine="851"/>
        <w:contextualSpacing/>
        <w:rPr>
          <w:rFonts w:ascii="Times New Roman" w:eastAsia="Calibri" w:hAnsi="Times New Roman" w:cs="EUAlbertina"/>
          <w:sz w:val="24"/>
          <w:szCs w:val="24"/>
        </w:rPr>
      </w:pPr>
      <w:r w:rsidRPr="008E4EB0">
        <w:rPr>
          <w:rFonts w:ascii="Times New Roman" w:eastAsia="Calibri" w:hAnsi="Times New Roman" w:cs="EUAlbertina"/>
          <w:sz w:val="24"/>
          <w:szCs w:val="24"/>
        </w:rPr>
        <w:t>Mājokļu skaits, kas izmanto kurināmo koksni patērējošās iekārtas, un iekārtu vidējais vecums (% no koksni patērējošo mājokļu skaita; gadi) apskatāms 1.pielikumā</w:t>
      </w:r>
      <w:r w:rsidRPr="008E4EB0">
        <w:rPr>
          <w:rFonts w:ascii="Times New Roman" w:eastAsia="Calibri" w:hAnsi="Times New Roman" w:cs="EUAlbertina"/>
          <w:sz w:val="24"/>
          <w:szCs w:val="24"/>
          <w:vertAlign w:val="superscript"/>
        </w:rPr>
        <w:footnoteReference w:id="12"/>
      </w:r>
    </w:p>
    <w:p w14:paraId="0C117F6B" w14:textId="273277EB" w:rsidR="00D2408E" w:rsidRPr="008E4EB0" w:rsidRDefault="00D2408E" w:rsidP="00BF58E9">
      <w:pPr>
        <w:tabs>
          <w:tab w:val="left" w:pos="2269"/>
        </w:tabs>
        <w:spacing w:after="0" w:line="240" w:lineRule="auto"/>
        <w:ind w:firstLine="851"/>
        <w:contextualSpacing/>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Saskaņā ar Eiropas Parlamenta un Padomes Direktīvas 2010/27/ES par energoefektivitāti 5.panta 5.punkta prasībām Ekonomikas ministrijā (turpmāk – EM) ik gadu sagatavoto valsts institūciju īpašumā, valdījumā un lietojumā esošajām ēkām ar kopējo platību virs 250 m</w:t>
      </w:r>
      <w:r w:rsidRPr="008E4EB0">
        <w:rPr>
          <w:rFonts w:ascii="Times New Roman" w:eastAsia="Calibri" w:hAnsi="Times New Roman" w:cs="Times New Roman"/>
          <w:sz w:val="24"/>
          <w:szCs w:val="24"/>
          <w:vertAlign w:val="superscript"/>
        </w:rPr>
        <w:t>2</w:t>
      </w:r>
      <w:r w:rsidRPr="008E4EB0">
        <w:rPr>
          <w:rFonts w:ascii="Times New Roman" w:eastAsia="Calibri" w:hAnsi="Times New Roman" w:cs="Times New Roman"/>
          <w:sz w:val="24"/>
          <w:szCs w:val="24"/>
        </w:rPr>
        <w:t xml:space="preserve">. Aktuālais valsts ēku sarakts </w:t>
      </w:r>
      <w:hyperlink r:id="rId17" w:history="1">
        <w:r w:rsidRPr="008E4EB0">
          <w:rPr>
            <w:rFonts w:ascii="Times New Roman" w:eastAsia="Calibri" w:hAnsi="Times New Roman" w:cs="Times New Roman"/>
            <w:color w:val="0000FF"/>
            <w:sz w:val="24"/>
            <w:szCs w:val="24"/>
            <w:u w:val="single"/>
          </w:rPr>
          <w:t>pieejams šeit</w:t>
        </w:r>
      </w:hyperlink>
      <w:r w:rsidRPr="008E4EB0">
        <w:rPr>
          <w:rFonts w:ascii="Times New Roman" w:eastAsia="Calibri" w:hAnsi="Times New Roman" w:cs="Times New Roman"/>
          <w:sz w:val="24"/>
          <w:szCs w:val="24"/>
          <w:vertAlign w:val="superscript"/>
        </w:rPr>
        <w:footnoteReference w:id="13"/>
      </w:r>
      <w:r w:rsidRPr="008E4EB0">
        <w:rPr>
          <w:rFonts w:ascii="Times New Roman" w:eastAsia="Calibri" w:hAnsi="Times New Roman" w:cs="Times New Roman"/>
          <w:sz w:val="24"/>
          <w:szCs w:val="24"/>
        </w:rPr>
        <w:t>.</w:t>
      </w:r>
      <w:r w:rsidR="008A605E">
        <w:rPr>
          <w:rFonts w:ascii="Times New Roman" w:eastAsia="Calibri" w:hAnsi="Times New Roman" w:cs="Times New Roman"/>
          <w:sz w:val="24"/>
          <w:szCs w:val="24"/>
        </w:rPr>
        <w:t xml:space="preserve"> </w:t>
      </w:r>
      <w:r w:rsidRPr="008E4EB0">
        <w:rPr>
          <w:rFonts w:ascii="Times New Roman" w:eastAsia="Calibri" w:hAnsi="Times New Roman" w:cs="Times New Roman"/>
          <w:sz w:val="24"/>
          <w:szCs w:val="24"/>
        </w:rPr>
        <w:t>Dati par izmantotajiem enerģijas nesējiem 1274 valsts ēkās apkopoti 14.tabulā</w:t>
      </w:r>
      <w:r w:rsidR="008A605E">
        <w:rPr>
          <w:rFonts w:ascii="Times New Roman" w:eastAsia="Calibri" w:hAnsi="Times New Roman" w:cs="Times New Roman"/>
          <w:sz w:val="24"/>
          <w:szCs w:val="24"/>
        </w:rPr>
        <w:t>, kur redzams</w:t>
      </w:r>
      <w:r w:rsidRPr="008E4EB0">
        <w:rPr>
          <w:rFonts w:ascii="Times New Roman" w:eastAsia="Calibri" w:hAnsi="Times New Roman" w:cs="Times New Roman"/>
          <w:sz w:val="24"/>
          <w:szCs w:val="24"/>
        </w:rPr>
        <w:t xml:space="preserve">, ka 649 valsts ēkās ar kopējo platību virs </w:t>
      </w:r>
      <w:r w:rsidR="007579EA" w:rsidRPr="008E4EB0">
        <w:rPr>
          <w:rFonts w:ascii="Times New Roman" w:eastAsia="Calibri" w:hAnsi="Times New Roman" w:cs="Times New Roman"/>
          <w:sz w:val="24"/>
          <w:szCs w:val="24"/>
        </w:rPr>
        <w:t xml:space="preserve">250 </w:t>
      </w:r>
      <w:r w:rsidRPr="008E4EB0">
        <w:rPr>
          <w:rFonts w:ascii="Times New Roman" w:eastAsia="Calibri" w:hAnsi="Times New Roman" w:cs="Times New Roman"/>
          <w:sz w:val="24"/>
          <w:szCs w:val="24"/>
        </w:rPr>
        <w:t>m</w:t>
      </w:r>
      <w:r w:rsidRPr="008E4EB0">
        <w:rPr>
          <w:rFonts w:ascii="Times New Roman" w:eastAsia="Calibri" w:hAnsi="Times New Roman" w:cs="Times New Roman"/>
          <w:sz w:val="24"/>
          <w:szCs w:val="24"/>
          <w:vertAlign w:val="superscript"/>
        </w:rPr>
        <w:t xml:space="preserve">2 </w:t>
      </w:r>
      <w:r w:rsidRPr="008E4EB0">
        <w:rPr>
          <w:rFonts w:ascii="Times New Roman" w:eastAsia="Calibri" w:hAnsi="Times New Roman" w:cs="Times New Roman"/>
          <w:sz w:val="24"/>
          <w:szCs w:val="24"/>
        </w:rPr>
        <w:t xml:space="preserve">siltumapgāde tiek nodrošināta centralizēti, </w:t>
      </w:r>
      <w:r w:rsidRPr="008E4EB0">
        <w:rPr>
          <w:rFonts w:ascii="Times New Roman" w:eastAsia="Times New Roman" w:hAnsi="Times New Roman" w:cs="Times New Roman"/>
          <w:color w:val="000000"/>
          <w:sz w:val="24"/>
          <w:szCs w:val="24"/>
          <w:lang w:eastAsia="lv-LV"/>
        </w:rPr>
        <w:t xml:space="preserve">neidentificējot kurināmā veidu, taču no pārējām valsts ēkām </w:t>
      </w:r>
      <w:r w:rsidRPr="008E4EB0">
        <w:rPr>
          <w:rFonts w:ascii="Times New Roman" w:eastAsia="Calibri" w:hAnsi="Times New Roman" w:cs="Times New Roman"/>
          <w:sz w:val="24"/>
          <w:szCs w:val="24"/>
        </w:rPr>
        <w:t xml:space="preserve">ar kopējo platību virs </w:t>
      </w:r>
      <w:r w:rsidR="007579EA" w:rsidRPr="008E4EB0">
        <w:rPr>
          <w:rFonts w:ascii="Times New Roman" w:eastAsia="Calibri" w:hAnsi="Times New Roman" w:cs="Times New Roman"/>
          <w:sz w:val="24"/>
          <w:szCs w:val="24"/>
        </w:rPr>
        <w:t xml:space="preserve">250 </w:t>
      </w:r>
      <w:r w:rsidRPr="008E4EB0">
        <w:rPr>
          <w:rFonts w:ascii="Times New Roman" w:eastAsia="Calibri" w:hAnsi="Times New Roman" w:cs="Times New Roman"/>
          <w:sz w:val="24"/>
          <w:szCs w:val="24"/>
        </w:rPr>
        <w:t>m</w:t>
      </w:r>
      <w:r w:rsidRPr="008E4EB0">
        <w:rPr>
          <w:rFonts w:ascii="Times New Roman" w:eastAsia="Calibri" w:hAnsi="Times New Roman" w:cs="Times New Roman"/>
          <w:sz w:val="24"/>
          <w:szCs w:val="24"/>
          <w:vertAlign w:val="superscript"/>
        </w:rPr>
        <w:t>2</w:t>
      </w:r>
      <w:r w:rsidRPr="008E4EB0">
        <w:rPr>
          <w:rFonts w:ascii="Times New Roman" w:eastAsia="Calibri" w:hAnsi="Times New Roman" w:cs="Times New Roman"/>
          <w:sz w:val="24"/>
          <w:szCs w:val="24"/>
        </w:rPr>
        <w:t xml:space="preserve"> populārākais kurināmais ir dabasgāze, kas tiek izmantota 269 valsts ēkās, tālāk seko koksne, kas tiek izmantota 185 ēkās, dīzeļdegviela – 38 ēkā</w:t>
      </w:r>
      <w:r w:rsidR="008A605E">
        <w:rPr>
          <w:rFonts w:ascii="Times New Roman" w:eastAsia="Calibri" w:hAnsi="Times New Roman" w:cs="Times New Roman"/>
          <w:sz w:val="24"/>
          <w:szCs w:val="24"/>
        </w:rPr>
        <w:t>s</w:t>
      </w:r>
      <w:r w:rsidRPr="008E4EB0">
        <w:rPr>
          <w:rFonts w:ascii="Times New Roman" w:eastAsia="Calibri" w:hAnsi="Times New Roman" w:cs="Times New Roman"/>
          <w:sz w:val="24"/>
          <w:szCs w:val="24"/>
        </w:rPr>
        <w:t xml:space="preserve">, jauktais </w:t>
      </w:r>
      <w:r w:rsidR="008A605E">
        <w:rPr>
          <w:rFonts w:ascii="Times New Roman" w:eastAsia="Calibri" w:hAnsi="Times New Roman" w:cs="Times New Roman"/>
          <w:sz w:val="24"/>
          <w:szCs w:val="24"/>
        </w:rPr>
        <w:t xml:space="preserve">kurināmais </w:t>
      </w:r>
      <w:r w:rsidRPr="008E4EB0">
        <w:rPr>
          <w:rFonts w:ascii="Times New Roman" w:eastAsia="Calibri" w:hAnsi="Times New Roman" w:cs="Times New Roman"/>
          <w:sz w:val="24"/>
          <w:szCs w:val="24"/>
        </w:rPr>
        <w:t>(akmeņogles, koksne) – 47 ēkās.</w:t>
      </w:r>
    </w:p>
    <w:p w14:paraId="1651E1BF" w14:textId="77777777" w:rsidR="00D2408E" w:rsidRPr="008E4EB0" w:rsidRDefault="00D2408E" w:rsidP="00D2408E">
      <w:pPr>
        <w:tabs>
          <w:tab w:val="left" w:pos="2269"/>
        </w:tabs>
        <w:spacing w:after="0" w:line="240" w:lineRule="auto"/>
        <w:contextualSpacing/>
        <w:rPr>
          <w:rFonts w:ascii="Times New Roman" w:eastAsia="Calibri" w:hAnsi="Times New Roman" w:cs="Times New Roman"/>
          <w:sz w:val="24"/>
          <w:szCs w:val="24"/>
        </w:rPr>
      </w:pPr>
    </w:p>
    <w:p w14:paraId="5E4E26DD" w14:textId="75E45F8C" w:rsidR="00D2408E" w:rsidRPr="008E4EB0" w:rsidRDefault="00F749EA" w:rsidP="00EC6B06">
      <w:pPr>
        <w:keepNext/>
        <w:tabs>
          <w:tab w:val="left" w:pos="2269"/>
        </w:tabs>
        <w:spacing w:after="0" w:line="240" w:lineRule="auto"/>
        <w:contextualSpacing/>
        <w:jc w:val="center"/>
        <w:rPr>
          <w:rFonts w:ascii="Times New Roman" w:eastAsia="Calibri" w:hAnsi="Times New Roman" w:cs="Times New Roman"/>
          <w:sz w:val="24"/>
          <w:szCs w:val="24"/>
        </w:rPr>
      </w:pPr>
      <w:r w:rsidRPr="008E4EB0">
        <w:rPr>
          <w:rFonts w:ascii="Times New Roman" w:eastAsia="Calibri" w:hAnsi="Times New Roman" w:cs="Times New Roman"/>
          <w:sz w:val="24"/>
          <w:szCs w:val="24"/>
        </w:rPr>
        <w:t>1</w:t>
      </w:r>
      <w:r>
        <w:rPr>
          <w:rFonts w:ascii="Times New Roman" w:eastAsia="Calibri" w:hAnsi="Times New Roman" w:cs="Times New Roman"/>
          <w:sz w:val="24"/>
          <w:szCs w:val="24"/>
        </w:rPr>
        <w:t>0</w:t>
      </w:r>
      <w:r w:rsidR="00D2408E" w:rsidRPr="008E4EB0">
        <w:rPr>
          <w:rFonts w:ascii="Times New Roman" w:eastAsia="Calibri" w:hAnsi="Times New Roman" w:cs="Times New Roman"/>
          <w:sz w:val="24"/>
          <w:szCs w:val="24"/>
        </w:rPr>
        <w:t xml:space="preserve">.tabula. </w:t>
      </w:r>
      <w:r w:rsidR="00C671AE">
        <w:rPr>
          <w:rFonts w:ascii="Times New Roman" w:eastAsia="Calibri" w:hAnsi="Times New Roman" w:cs="Times New Roman"/>
          <w:sz w:val="24"/>
          <w:szCs w:val="24"/>
        </w:rPr>
        <w:t>Siltumenerģijas avots</w:t>
      </w:r>
      <w:r w:rsidR="00D2408E" w:rsidRPr="008E4EB0">
        <w:rPr>
          <w:rFonts w:ascii="Times New Roman" w:eastAsia="Calibri" w:hAnsi="Times New Roman" w:cs="Times New Roman"/>
          <w:sz w:val="24"/>
          <w:szCs w:val="24"/>
        </w:rPr>
        <w:t xml:space="preserve"> valsts ēkās ar kopējo platību virs 500 m</w:t>
      </w:r>
      <w:r w:rsidR="00D2408E" w:rsidRPr="008E4EB0">
        <w:rPr>
          <w:rFonts w:ascii="Times New Roman" w:eastAsia="Calibri" w:hAnsi="Times New Roman" w:cs="Times New Roman"/>
          <w:sz w:val="24"/>
          <w:szCs w:val="24"/>
          <w:vertAlign w:val="superscript"/>
        </w:rPr>
        <w:t xml:space="preserve">2   </w:t>
      </w:r>
      <w:r w:rsidR="00D2408E" w:rsidRPr="008E4EB0">
        <w:rPr>
          <w:rFonts w:ascii="Times New Roman" w:eastAsia="Calibri" w:hAnsi="Times New Roman" w:cs="Times New Roman"/>
          <w:sz w:val="24"/>
          <w:szCs w:val="24"/>
          <w:vertAlign w:val="superscript"/>
        </w:rPr>
        <w:footnoteReference w:id="14"/>
      </w:r>
    </w:p>
    <w:p w14:paraId="7735DB40" w14:textId="77777777" w:rsidR="00D2408E" w:rsidRPr="008E4EB0" w:rsidRDefault="00D2408E" w:rsidP="00EC6B06">
      <w:pPr>
        <w:keepNext/>
        <w:tabs>
          <w:tab w:val="left" w:pos="2269"/>
        </w:tabs>
        <w:spacing w:after="0" w:line="240" w:lineRule="auto"/>
        <w:ind w:firstLine="851"/>
        <w:contextualSpacing/>
        <w:jc w:val="both"/>
        <w:rPr>
          <w:rFonts w:ascii="Times New Roman" w:eastAsia="Calibri" w:hAnsi="Times New Roman" w:cs="Times New Roman"/>
          <w:sz w:val="24"/>
          <w:szCs w:val="24"/>
        </w:rPr>
      </w:pPr>
    </w:p>
    <w:tbl>
      <w:tblPr>
        <w:tblW w:w="7645" w:type="dxa"/>
        <w:jc w:val="center"/>
        <w:tblCellMar>
          <w:left w:w="28" w:type="dxa"/>
          <w:right w:w="28" w:type="dxa"/>
        </w:tblCellMar>
        <w:tblLook w:val="04A0" w:firstRow="1" w:lastRow="0" w:firstColumn="1" w:lastColumn="0" w:noHBand="0" w:noVBand="1"/>
      </w:tblPr>
      <w:tblGrid>
        <w:gridCol w:w="4901"/>
        <w:gridCol w:w="2744"/>
      </w:tblGrid>
      <w:tr w:rsidR="00D2408E" w:rsidRPr="008E4EB0" w14:paraId="1B737368" w14:textId="77777777" w:rsidTr="00BF58E9">
        <w:trPr>
          <w:trHeight w:val="315"/>
          <w:jc w:val="center"/>
        </w:trPr>
        <w:tc>
          <w:tcPr>
            <w:tcW w:w="490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2926D3" w14:textId="099D05B5" w:rsidR="00D2408E" w:rsidRPr="008E4EB0" w:rsidRDefault="00DD44A0" w:rsidP="00EC6B06">
            <w:pPr>
              <w:keepNext/>
              <w:spacing w:after="0" w:line="240" w:lineRule="auto"/>
              <w:jc w:val="both"/>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Siltum</w:t>
            </w:r>
            <w:r w:rsidR="00D2408E" w:rsidRPr="008E4EB0">
              <w:rPr>
                <w:rFonts w:ascii="Times New Roman" w:eastAsia="Times New Roman" w:hAnsi="Times New Roman" w:cs="Times New Roman"/>
                <w:b/>
                <w:bCs/>
                <w:color w:val="000000"/>
                <w:sz w:val="20"/>
                <w:szCs w:val="20"/>
                <w:lang w:eastAsia="lv-LV"/>
              </w:rPr>
              <w:t xml:space="preserve">enerģijas </w:t>
            </w:r>
            <w:r>
              <w:rPr>
                <w:rFonts w:ascii="Times New Roman" w:eastAsia="Times New Roman" w:hAnsi="Times New Roman" w:cs="Times New Roman"/>
                <w:b/>
                <w:bCs/>
                <w:color w:val="000000"/>
                <w:sz w:val="20"/>
                <w:szCs w:val="20"/>
                <w:lang w:eastAsia="lv-LV"/>
              </w:rPr>
              <w:t>avots</w:t>
            </w:r>
          </w:p>
        </w:tc>
        <w:tc>
          <w:tcPr>
            <w:tcW w:w="2744" w:type="dxa"/>
            <w:tcBorders>
              <w:top w:val="single" w:sz="8" w:space="0" w:color="auto"/>
              <w:left w:val="nil"/>
              <w:bottom w:val="single" w:sz="8" w:space="0" w:color="auto"/>
              <w:right w:val="single" w:sz="8" w:space="0" w:color="auto"/>
            </w:tcBorders>
            <w:shd w:val="clear" w:color="auto" w:fill="auto"/>
            <w:vAlign w:val="center"/>
            <w:hideMark/>
          </w:tcPr>
          <w:p w14:paraId="0DC3612B" w14:textId="77777777" w:rsidR="00D2408E" w:rsidRPr="008E4EB0" w:rsidRDefault="00D2408E" w:rsidP="00EC6B06">
            <w:pPr>
              <w:keepNext/>
              <w:spacing w:after="0" w:line="240" w:lineRule="auto"/>
              <w:jc w:val="both"/>
              <w:rPr>
                <w:rFonts w:ascii="Times New Roman" w:eastAsia="Times New Roman" w:hAnsi="Times New Roman" w:cs="Times New Roman"/>
                <w:b/>
                <w:bCs/>
                <w:color w:val="000000"/>
                <w:sz w:val="20"/>
                <w:szCs w:val="20"/>
                <w:lang w:eastAsia="lv-LV"/>
              </w:rPr>
            </w:pPr>
            <w:r w:rsidRPr="008E4EB0">
              <w:rPr>
                <w:rFonts w:ascii="Times New Roman" w:eastAsia="Times New Roman" w:hAnsi="Times New Roman" w:cs="Times New Roman"/>
                <w:b/>
                <w:bCs/>
                <w:color w:val="000000"/>
                <w:sz w:val="20"/>
                <w:szCs w:val="20"/>
                <w:lang w:eastAsia="lv-LV"/>
              </w:rPr>
              <w:t>Ēku skaits</w:t>
            </w:r>
          </w:p>
        </w:tc>
      </w:tr>
      <w:tr w:rsidR="00D2408E" w:rsidRPr="008E4EB0" w14:paraId="4209943F" w14:textId="77777777" w:rsidTr="00BF58E9">
        <w:trPr>
          <w:trHeight w:val="315"/>
          <w:jc w:val="center"/>
        </w:trPr>
        <w:tc>
          <w:tcPr>
            <w:tcW w:w="764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71F2CE1" w14:textId="77777777" w:rsidR="00D2408E" w:rsidRPr="008E4EB0" w:rsidRDefault="00D2408E" w:rsidP="00EC6B06">
            <w:pPr>
              <w:keepNext/>
              <w:spacing w:after="0" w:line="240" w:lineRule="auto"/>
              <w:jc w:val="center"/>
              <w:rPr>
                <w:rFonts w:ascii="Times New Roman" w:eastAsia="Times New Roman" w:hAnsi="Times New Roman" w:cs="Times New Roman"/>
                <w:b/>
                <w:bCs/>
                <w:color w:val="000000"/>
                <w:sz w:val="20"/>
                <w:szCs w:val="20"/>
                <w:lang w:eastAsia="lv-LV"/>
              </w:rPr>
            </w:pPr>
            <w:r w:rsidRPr="008E4EB0">
              <w:rPr>
                <w:rFonts w:ascii="Times New Roman" w:eastAsia="Times New Roman" w:hAnsi="Times New Roman" w:cs="Times New Roman"/>
                <w:b/>
                <w:bCs/>
                <w:color w:val="000000"/>
                <w:sz w:val="20"/>
                <w:szCs w:val="20"/>
                <w:lang w:eastAsia="lv-LV"/>
              </w:rPr>
              <w:t>Fosilie resursi</w:t>
            </w:r>
          </w:p>
        </w:tc>
      </w:tr>
      <w:tr w:rsidR="00D2408E" w:rsidRPr="008E4EB0" w14:paraId="5D7C8189" w14:textId="77777777" w:rsidTr="00BF58E9">
        <w:trPr>
          <w:trHeight w:val="315"/>
          <w:jc w:val="center"/>
        </w:trPr>
        <w:tc>
          <w:tcPr>
            <w:tcW w:w="4901" w:type="dxa"/>
            <w:tcBorders>
              <w:top w:val="nil"/>
              <w:left w:val="single" w:sz="8" w:space="0" w:color="auto"/>
              <w:bottom w:val="single" w:sz="8" w:space="0" w:color="auto"/>
              <w:right w:val="single" w:sz="8" w:space="0" w:color="auto"/>
            </w:tcBorders>
            <w:shd w:val="clear" w:color="auto" w:fill="auto"/>
            <w:vAlign w:val="center"/>
            <w:hideMark/>
          </w:tcPr>
          <w:p w14:paraId="04890CEE" w14:textId="77777777" w:rsidR="00D2408E" w:rsidRPr="008E4EB0" w:rsidRDefault="00D2408E" w:rsidP="00D2408E">
            <w:pPr>
              <w:spacing w:after="0" w:line="240" w:lineRule="auto"/>
              <w:jc w:val="both"/>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Dabasgāze</w:t>
            </w:r>
          </w:p>
        </w:tc>
        <w:tc>
          <w:tcPr>
            <w:tcW w:w="2744" w:type="dxa"/>
            <w:tcBorders>
              <w:top w:val="nil"/>
              <w:left w:val="nil"/>
              <w:bottom w:val="single" w:sz="8" w:space="0" w:color="auto"/>
              <w:right w:val="single" w:sz="8" w:space="0" w:color="auto"/>
            </w:tcBorders>
            <w:shd w:val="clear" w:color="auto" w:fill="auto"/>
            <w:vAlign w:val="center"/>
            <w:hideMark/>
          </w:tcPr>
          <w:p w14:paraId="18C1CA59" w14:textId="77777777" w:rsidR="00D2408E" w:rsidRPr="008E4EB0" w:rsidRDefault="00D2408E" w:rsidP="00D2408E">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269</w:t>
            </w:r>
          </w:p>
        </w:tc>
      </w:tr>
      <w:tr w:rsidR="00D2408E" w:rsidRPr="008E4EB0" w14:paraId="29E4E972" w14:textId="77777777" w:rsidTr="00BF58E9">
        <w:trPr>
          <w:trHeight w:val="315"/>
          <w:jc w:val="center"/>
        </w:trPr>
        <w:tc>
          <w:tcPr>
            <w:tcW w:w="4901" w:type="dxa"/>
            <w:tcBorders>
              <w:top w:val="nil"/>
              <w:left w:val="single" w:sz="8" w:space="0" w:color="auto"/>
              <w:bottom w:val="single" w:sz="8" w:space="0" w:color="auto"/>
              <w:right w:val="single" w:sz="8" w:space="0" w:color="auto"/>
            </w:tcBorders>
            <w:shd w:val="clear" w:color="auto" w:fill="auto"/>
            <w:vAlign w:val="center"/>
            <w:hideMark/>
          </w:tcPr>
          <w:p w14:paraId="0C82505F" w14:textId="77777777" w:rsidR="00D2408E" w:rsidRPr="008E4EB0" w:rsidRDefault="00D2408E" w:rsidP="00D2408E">
            <w:pPr>
              <w:spacing w:after="0" w:line="240" w:lineRule="auto"/>
              <w:jc w:val="both"/>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Akmeņogles</w:t>
            </w:r>
          </w:p>
        </w:tc>
        <w:tc>
          <w:tcPr>
            <w:tcW w:w="2744" w:type="dxa"/>
            <w:tcBorders>
              <w:top w:val="nil"/>
              <w:left w:val="nil"/>
              <w:bottom w:val="single" w:sz="8" w:space="0" w:color="auto"/>
              <w:right w:val="single" w:sz="8" w:space="0" w:color="auto"/>
            </w:tcBorders>
            <w:shd w:val="clear" w:color="auto" w:fill="auto"/>
            <w:vAlign w:val="center"/>
            <w:hideMark/>
          </w:tcPr>
          <w:p w14:paraId="7E51F9B1" w14:textId="77777777" w:rsidR="00D2408E" w:rsidRPr="008E4EB0" w:rsidRDefault="00D2408E" w:rsidP="00D2408E">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17</w:t>
            </w:r>
          </w:p>
        </w:tc>
      </w:tr>
      <w:tr w:rsidR="00D2408E" w:rsidRPr="008E4EB0" w14:paraId="252B4009" w14:textId="77777777" w:rsidTr="00BF58E9">
        <w:trPr>
          <w:trHeight w:val="315"/>
          <w:jc w:val="center"/>
        </w:trPr>
        <w:tc>
          <w:tcPr>
            <w:tcW w:w="4901" w:type="dxa"/>
            <w:tcBorders>
              <w:top w:val="nil"/>
              <w:left w:val="single" w:sz="8" w:space="0" w:color="auto"/>
              <w:bottom w:val="single" w:sz="8" w:space="0" w:color="auto"/>
              <w:right w:val="single" w:sz="8" w:space="0" w:color="auto"/>
            </w:tcBorders>
            <w:shd w:val="clear" w:color="auto" w:fill="auto"/>
            <w:vAlign w:val="center"/>
            <w:hideMark/>
          </w:tcPr>
          <w:p w14:paraId="4DDC94DA" w14:textId="77777777" w:rsidR="00D2408E" w:rsidRPr="008E4EB0" w:rsidRDefault="00D2408E" w:rsidP="00D2408E">
            <w:pPr>
              <w:spacing w:after="0" w:line="240" w:lineRule="auto"/>
              <w:jc w:val="both"/>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Dīzeļdegviela</w:t>
            </w:r>
          </w:p>
        </w:tc>
        <w:tc>
          <w:tcPr>
            <w:tcW w:w="2744" w:type="dxa"/>
            <w:tcBorders>
              <w:top w:val="nil"/>
              <w:left w:val="nil"/>
              <w:bottom w:val="single" w:sz="8" w:space="0" w:color="auto"/>
              <w:right w:val="single" w:sz="8" w:space="0" w:color="auto"/>
            </w:tcBorders>
            <w:shd w:val="clear" w:color="auto" w:fill="auto"/>
            <w:vAlign w:val="center"/>
            <w:hideMark/>
          </w:tcPr>
          <w:p w14:paraId="22475241" w14:textId="77777777" w:rsidR="00D2408E" w:rsidRPr="008E4EB0" w:rsidRDefault="00D2408E" w:rsidP="00D2408E">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48</w:t>
            </w:r>
          </w:p>
        </w:tc>
      </w:tr>
      <w:tr w:rsidR="00D2408E" w:rsidRPr="008E4EB0" w14:paraId="77D1086E" w14:textId="77777777" w:rsidTr="00BF58E9">
        <w:trPr>
          <w:trHeight w:val="315"/>
          <w:jc w:val="center"/>
        </w:trPr>
        <w:tc>
          <w:tcPr>
            <w:tcW w:w="4901" w:type="dxa"/>
            <w:tcBorders>
              <w:top w:val="nil"/>
              <w:left w:val="single" w:sz="8" w:space="0" w:color="auto"/>
              <w:bottom w:val="single" w:sz="8" w:space="0" w:color="auto"/>
              <w:right w:val="single" w:sz="8" w:space="0" w:color="auto"/>
            </w:tcBorders>
            <w:shd w:val="clear" w:color="auto" w:fill="auto"/>
            <w:vAlign w:val="center"/>
            <w:hideMark/>
          </w:tcPr>
          <w:p w14:paraId="07446A7F" w14:textId="77777777" w:rsidR="00D2408E" w:rsidRPr="008E4EB0" w:rsidRDefault="00D2408E" w:rsidP="00D2408E">
            <w:pPr>
              <w:spacing w:after="0" w:line="240" w:lineRule="auto"/>
              <w:jc w:val="both"/>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Naftas gāze</w:t>
            </w:r>
          </w:p>
        </w:tc>
        <w:tc>
          <w:tcPr>
            <w:tcW w:w="2744" w:type="dxa"/>
            <w:tcBorders>
              <w:top w:val="nil"/>
              <w:left w:val="nil"/>
              <w:bottom w:val="single" w:sz="8" w:space="0" w:color="auto"/>
              <w:right w:val="single" w:sz="8" w:space="0" w:color="auto"/>
            </w:tcBorders>
            <w:shd w:val="clear" w:color="auto" w:fill="auto"/>
            <w:vAlign w:val="center"/>
            <w:hideMark/>
          </w:tcPr>
          <w:p w14:paraId="66B639B7" w14:textId="77777777" w:rsidR="00D2408E" w:rsidRPr="008E4EB0" w:rsidRDefault="00D2408E" w:rsidP="00D2408E">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6</w:t>
            </w:r>
          </w:p>
        </w:tc>
      </w:tr>
      <w:tr w:rsidR="00D2408E" w:rsidRPr="008E4EB0" w14:paraId="2F5DE78F" w14:textId="77777777" w:rsidTr="00BF58E9">
        <w:trPr>
          <w:trHeight w:val="315"/>
          <w:jc w:val="center"/>
        </w:trPr>
        <w:tc>
          <w:tcPr>
            <w:tcW w:w="4901" w:type="dxa"/>
            <w:tcBorders>
              <w:top w:val="nil"/>
              <w:left w:val="single" w:sz="8" w:space="0" w:color="auto"/>
              <w:bottom w:val="single" w:sz="8" w:space="0" w:color="auto"/>
              <w:right w:val="single" w:sz="8" w:space="0" w:color="auto"/>
            </w:tcBorders>
            <w:shd w:val="clear" w:color="auto" w:fill="auto"/>
            <w:vAlign w:val="center"/>
            <w:hideMark/>
          </w:tcPr>
          <w:p w14:paraId="293D53D5" w14:textId="77777777" w:rsidR="00D2408E" w:rsidRPr="008E4EB0" w:rsidRDefault="00D2408E" w:rsidP="00D2408E">
            <w:pPr>
              <w:spacing w:after="0" w:line="240" w:lineRule="auto"/>
              <w:jc w:val="both"/>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Dabasgāze, Dīzeļdegviela</w:t>
            </w:r>
          </w:p>
        </w:tc>
        <w:tc>
          <w:tcPr>
            <w:tcW w:w="2744" w:type="dxa"/>
            <w:tcBorders>
              <w:top w:val="nil"/>
              <w:left w:val="nil"/>
              <w:bottom w:val="single" w:sz="8" w:space="0" w:color="auto"/>
              <w:right w:val="single" w:sz="8" w:space="0" w:color="auto"/>
            </w:tcBorders>
            <w:shd w:val="clear" w:color="auto" w:fill="auto"/>
            <w:vAlign w:val="center"/>
            <w:hideMark/>
          </w:tcPr>
          <w:p w14:paraId="30C5CD33" w14:textId="77777777" w:rsidR="00D2408E" w:rsidRPr="008E4EB0" w:rsidRDefault="00D2408E" w:rsidP="00D2408E">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1</w:t>
            </w:r>
          </w:p>
        </w:tc>
      </w:tr>
      <w:tr w:rsidR="00D2408E" w:rsidRPr="008E4EB0" w14:paraId="6754E4BF" w14:textId="77777777" w:rsidTr="00BF58E9">
        <w:trPr>
          <w:trHeight w:val="315"/>
          <w:jc w:val="center"/>
        </w:trPr>
        <w:tc>
          <w:tcPr>
            <w:tcW w:w="764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0891E1C" w14:textId="77777777" w:rsidR="00D2408E" w:rsidRPr="008E4EB0" w:rsidRDefault="00D2408E" w:rsidP="00D2408E">
            <w:pPr>
              <w:spacing w:after="0" w:line="240" w:lineRule="auto"/>
              <w:jc w:val="center"/>
              <w:rPr>
                <w:rFonts w:ascii="Times New Roman" w:eastAsia="Times New Roman" w:hAnsi="Times New Roman" w:cs="Times New Roman"/>
                <w:b/>
                <w:bCs/>
                <w:color w:val="000000"/>
                <w:sz w:val="20"/>
                <w:szCs w:val="20"/>
                <w:lang w:eastAsia="lv-LV"/>
              </w:rPr>
            </w:pPr>
            <w:r w:rsidRPr="008E4EB0">
              <w:rPr>
                <w:rFonts w:ascii="Times New Roman" w:eastAsia="Times New Roman" w:hAnsi="Times New Roman" w:cs="Times New Roman"/>
                <w:b/>
                <w:bCs/>
                <w:color w:val="000000"/>
                <w:sz w:val="20"/>
                <w:szCs w:val="20"/>
                <w:lang w:eastAsia="lv-LV"/>
              </w:rPr>
              <w:lastRenderedPageBreak/>
              <w:t>Atjaunojamie resursi</w:t>
            </w:r>
          </w:p>
        </w:tc>
      </w:tr>
      <w:tr w:rsidR="00D2408E" w:rsidRPr="008E4EB0" w14:paraId="0C9DD9C6" w14:textId="77777777" w:rsidTr="00BF58E9">
        <w:trPr>
          <w:trHeight w:val="315"/>
          <w:jc w:val="center"/>
        </w:trPr>
        <w:tc>
          <w:tcPr>
            <w:tcW w:w="4901" w:type="dxa"/>
            <w:tcBorders>
              <w:top w:val="nil"/>
              <w:left w:val="single" w:sz="8" w:space="0" w:color="auto"/>
              <w:bottom w:val="single" w:sz="8" w:space="0" w:color="auto"/>
              <w:right w:val="single" w:sz="8" w:space="0" w:color="auto"/>
            </w:tcBorders>
            <w:shd w:val="clear" w:color="auto" w:fill="auto"/>
            <w:vAlign w:val="center"/>
            <w:hideMark/>
          </w:tcPr>
          <w:p w14:paraId="3ED865A7" w14:textId="77777777" w:rsidR="00D2408E" w:rsidRPr="008E4EB0" w:rsidRDefault="00D2408E" w:rsidP="00D2408E">
            <w:pPr>
              <w:spacing w:after="0" w:line="240" w:lineRule="auto"/>
              <w:jc w:val="both"/>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Koksne (malka, granulas, briketes, šķelda)</w:t>
            </w:r>
          </w:p>
        </w:tc>
        <w:tc>
          <w:tcPr>
            <w:tcW w:w="2744" w:type="dxa"/>
            <w:tcBorders>
              <w:top w:val="nil"/>
              <w:left w:val="nil"/>
              <w:bottom w:val="single" w:sz="8" w:space="0" w:color="auto"/>
              <w:right w:val="single" w:sz="8" w:space="0" w:color="auto"/>
            </w:tcBorders>
            <w:shd w:val="clear" w:color="auto" w:fill="auto"/>
            <w:vAlign w:val="center"/>
            <w:hideMark/>
          </w:tcPr>
          <w:p w14:paraId="0EC09196" w14:textId="77777777" w:rsidR="00D2408E" w:rsidRPr="008E4EB0" w:rsidRDefault="00D2408E" w:rsidP="00D2408E">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185</w:t>
            </w:r>
          </w:p>
        </w:tc>
      </w:tr>
      <w:tr w:rsidR="00D2408E" w:rsidRPr="008E4EB0" w14:paraId="4DF73F33" w14:textId="77777777" w:rsidTr="00BF58E9">
        <w:trPr>
          <w:trHeight w:val="315"/>
          <w:jc w:val="center"/>
        </w:trPr>
        <w:tc>
          <w:tcPr>
            <w:tcW w:w="4901" w:type="dxa"/>
            <w:tcBorders>
              <w:top w:val="nil"/>
              <w:left w:val="single" w:sz="8" w:space="0" w:color="auto"/>
              <w:bottom w:val="single" w:sz="8" w:space="0" w:color="auto"/>
              <w:right w:val="single" w:sz="8" w:space="0" w:color="auto"/>
            </w:tcBorders>
            <w:shd w:val="clear" w:color="auto" w:fill="auto"/>
            <w:vAlign w:val="center"/>
            <w:hideMark/>
          </w:tcPr>
          <w:p w14:paraId="1EB82FD6" w14:textId="77777777" w:rsidR="00D2408E" w:rsidRPr="008E4EB0" w:rsidRDefault="00D2408E" w:rsidP="00D2408E">
            <w:pPr>
              <w:spacing w:after="0" w:line="240" w:lineRule="auto"/>
              <w:jc w:val="both"/>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Graudi, pelavas</w:t>
            </w:r>
          </w:p>
        </w:tc>
        <w:tc>
          <w:tcPr>
            <w:tcW w:w="2744" w:type="dxa"/>
            <w:tcBorders>
              <w:top w:val="nil"/>
              <w:left w:val="nil"/>
              <w:bottom w:val="single" w:sz="8" w:space="0" w:color="auto"/>
              <w:right w:val="single" w:sz="8" w:space="0" w:color="auto"/>
            </w:tcBorders>
            <w:shd w:val="clear" w:color="auto" w:fill="auto"/>
            <w:vAlign w:val="center"/>
            <w:hideMark/>
          </w:tcPr>
          <w:p w14:paraId="1B0FF358" w14:textId="77777777" w:rsidR="00D2408E" w:rsidRPr="008E4EB0" w:rsidRDefault="00D2408E" w:rsidP="00D2408E">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1</w:t>
            </w:r>
          </w:p>
        </w:tc>
      </w:tr>
      <w:tr w:rsidR="00D2408E" w:rsidRPr="008E4EB0" w14:paraId="3E799E19" w14:textId="77777777" w:rsidTr="00BF58E9">
        <w:trPr>
          <w:trHeight w:val="315"/>
          <w:jc w:val="center"/>
        </w:trPr>
        <w:tc>
          <w:tcPr>
            <w:tcW w:w="764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1406544" w14:textId="77777777" w:rsidR="00D2408E" w:rsidRPr="008E4EB0" w:rsidRDefault="00D2408E" w:rsidP="00D2408E">
            <w:pPr>
              <w:spacing w:after="0" w:line="240" w:lineRule="auto"/>
              <w:jc w:val="center"/>
              <w:rPr>
                <w:rFonts w:ascii="Times New Roman" w:eastAsia="Times New Roman" w:hAnsi="Times New Roman" w:cs="Times New Roman"/>
                <w:b/>
                <w:bCs/>
                <w:color w:val="000000"/>
                <w:sz w:val="20"/>
                <w:szCs w:val="20"/>
                <w:lang w:eastAsia="lv-LV"/>
              </w:rPr>
            </w:pPr>
            <w:r w:rsidRPr="008E4EB0">
              <w:rPr>
                <w:rFonts w:ascii="Times New Roman" w:eastAsia="Times New Roman" w:hAnsi="Times New Roman" w:cs="Times New Roman"/>
                <w:b/>
                <w:bCs/>
                <w:color w:val="000000"/>
                <w:sz w:val="20"/>
                <w:szCs w:val="20"/>
                <w:lang w:eastAsia="lv-LV"/>
              </w:rPr>
              <w:t>Jauktais kurināmais (atjaunojamie un fosilie resursi)</w:t>
            </w:r>
          </w:p>
        </w:tc>
      </w:tr>
      <w:tr w:rsidR="00D2408E" w:rsidRPr="008E4EB0" w14:paraId="307C5DA1" w14:textId="77777777" w:rsidTr="00BF58E9">
        <w:trPr>
          <w:trHeight w:val="315"/>
          <w:jc w:val="center"/>
        </w:trPr>
        <w:tc>
          <w:tcPr>
            <w:tcW w:w="4901" w:type="dxa"/>
            <w:tcBorders>
              <w:top w:val="nil"/>
              <w:left w:val="single" w:sz="8" w:space="0" w:color="auto"/>
              <w:bottom w:val="single" w:sz="8" w:space="0" w:color="auto"/>
              <w:right w:val="single" w:sz="8" w:space="0" w:color="auto"/>
            </w:tcBorders>
            <w:shd w:val="clear" w:color="auto" w:fill="auto"/>
            <w:vAlign w:val="center"/>
            <w:hideMark/>
          </w:tcPr>
          <w:p w14:paraId="5AB2E7FE" w14:textId="77777777" w:rsidR="00D2408E" w:rsidRPr="008E4EB0" w:rsidRDefault="00D2408E" w:rsidP="00D2408E">
            <w:pPr>
              <w:spacing w:after="0" w:line="240" w:lineRule="auto"/>
              <w:jc w:val="both"/>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Akmeņogles, koksne</w:t>
            </w:r>
          </w:p>
        </w:tc>
        <w:tc>
          <w:tcPr>
            <w:tcW w:w="2744" w:type="dxa"/>
            <w:tcBorders>
              <w:top w:val="nil"/>
              <w:left w:val="nil"/>
              <w:bottom w:val="single" w:sz="8" w:space="0" w:color="auto"/>
              <w:right w:val="single" w:sz="8" w:space="0" w:color="auto"/>
            </w:tcBorders>
            <w:shd w:val="clear" w:color="auto" w:fill="auto"/>
            <w:vAlign w:val="center"/>
            <w:hideMark/>
          </w:tcPr>
          <w:p w14:paraId="1C7ADCFC" w14:textId="77777777" w:rsidR="00D2408E" w:rsidRPr="008E4EB0" w:rsidRDefault="00D2408E" w:rsidP="00D2408E">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47</w:t>
            </w:r>
          </w:p>
        </w:tc>
      </w:tr>
      <w:tr w:rsidR="00D2408E" w:rsidRPr="008E4EB0" w14:paraId="6E734C1E" w14:textId="77777777" w:rsidTr="00BF58E9">
        <w:trPr>
          <w:trHeight w:val="315"/>
          <w:jc w:val="center"/>
        </w:trPr>
        <w:tc>
          <w:tcPr>
            <w:tcW w:w="4901" w:type="dxa"/>
            <w:tcBorders>
              <w:top w:val="nil"/>
              <w:left w:val="single" w:sz="8" w:space="0" w:color="auto"/>
              <w:bottom w:val="single" w:sz="8" w:space="0" w:color="auto"/>
              <w:right w:val="single" w:sz="8" w:space="0" w:color="auto"/>
            </w:tcBorders>
            <w:shd w:val="clear" w:color="auto" w:fill="auto"/>
            <w:vAlign w:val="center"/>
            <w:hideMark/>
          </w:tcPr>
          <w:p w14:paraId="2E20B82A" w14:textId="77777777" w:rsidR="00D2408E" w:rsidRPr="008E4EB0" w:rsidRDefault="00D2408E" w:rsidP="00D2408E">
            <w:pPr>
              <w:spacing w:after="0" w:line="240" w:lineRule="auto"/>
              <w:jc w:val="both"/>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Akmeņogles, koksne, dabasgāze</w:t>
            </w:r>
          </w:p>
        </w:tc>
        <w:tc>
          <w:tcPr>
            <w:tcW w:w="2744" w:type="dxa"/>
            <w:tcBorders>
              <w:top w:val="nil"/>
              <w:left w:val="nil"/>
              <w:bottom w:val="single" w:sz="8" w:space="0" w:color="auto"/>
              <w:right w:val="single" w:sz="8" w:space="0" w:color="auto"/>
            </w:tcBorders>
            <w:shd w:val="clear" w:color="auto" w:fill="auto"/>
            <w:vAlign w:val="center"/>
            <w:hideMark/>
          </w:tcPr>
          <w:p w14:paraId="3845F275" w14:textId="77777777" w:rsidR="00D2408E" w:rsidRPr="008E4EB0" w:rsidRDefault="00D2408E" w:rsidP="00D2408E">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2</w:t>
            </w:r>
          </w:p>
        </w:tc>
      </w:tr>
      <w:tr w:rsidR="00D2408E" w:rsidRPr="008E4EB0" w14:paraId="14B86896" w14:textId="77777777" w:rsidTr="00BF58E9">
        <w:trPr>
          <w:trHeight w:val="315"/>
          <w:jc w:val="center"/>
        </w:trPr>
        <w:tc>
          <w:tcPr>
            <w:tcW w:w="4901" w:type="dxa"/>
            <w:tcBorders>
              <w:top w:val="nil"/>
              <w:left w:val="single" w:sz="8" w:space="0" w:color="auto"/>
              <w:bottom w:val="single" w:sz="8" w:space="0" w:color="auto"/>
              <w:right w:val="single" w:sz="8" w:space="0" w:color="auto"/>
            </w:tcBorders>
            <w:shd w:val="clear" w:color="auto" w:fill="auto"/>
            <w:vAlign w:val="center"/>
            <w:hideMark/>
          </w:tcPr>
          <w:p w14:paraId="583BFE07" w14:textId="77777777" w:rsidR="00D2408E" w:rsidRPr="008E4EB0" w:rsidRDefault="00D2408E" w:rsidP="00D2408E">
            <w:pPr>
              <w:spacing w:after="0" w:line="240" w:lineRule="auto"/>
              <w:jc w:val="both"/>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Dabasgāze, graudi</w:t>
            </w:r>
          </w:p>
        </w:tc>
        <w:tc>
          <w:tcPr>
            <w:tcW w:w="2744" w:type="dxa"/>
            <w:tcBorders>
              <w:top w:val="nil"/>
              <w:left w:val="nil"/>
              <w:bottom w:val="single" w:sz="8" w:space="0" w:color="auto"/>
              <w:right w:val="single" w:sz="8" w:space="0" w:color="auto"/>
            </w:tcBorders>
            <w:shd w:val="clear" w:color="auto" w:fill="auto"/>
            <w:vAlign w:val="center"/>
            <w:hideMark/>
          </w:tcPr>
          <w:p w14:paraId="108D3860" w14:textId="77777777" w:rsidR="00D2408E" w:rsidRPr="008E4EB0" w:rsidRDefault="00D2408E" w:rsidP="00D2408E">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2</w:t>
            </w:r>
          </w:p>
        </w:tc>
      </w:tr>
      <w:tr w:rsidR="00D2408E" w:rsidRPr="008E4EB0" w14:paraId="023793C0" w14:textId="77777777" w:rsidTr="00BF58E9">
        <w:trPr>
          <w:trHeight w:val="315"/>
          <w:jc w:val="center"/>
        </w:trPr>
        <w:tc>
          <w:tcPr>
            <w:tcW w:w="4901" w:type="dxa"/>
            <w:tcBorders>
              <w:top w:val="nil"/>
              <w:left w:val="single" w:sz="8" w:space="0" w:color="auto"/>
              <w:bottom w:val="single" w:sz="8" w:space="0" w:color="auto"/>
              <w:right w:val="single" w:sz="8" w:space="0" w:color="auto"/>
            </w:tcBorders>
            <w:shd w:val="clear" w:color="auto" w:fill="auto"/>
            <w:vAlign w:val="center"/>
            <w:hideMark/>
          </w:tcPr>
          <w:p w14:paraId="0190EE54" w14:textId="77777777" w:rsidR="00D2408E" w:rsidRPr="008E4EB0" w:rsidRDefault="00D2408E" w:rsidP="00D2408E">
            <w:pPr>
              <w:spacing w:after="0" w:line="240" w:lineRule="auto"/>
              <w:jc w:val="both"/>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Dabasgāze, koksne</w:t>
            </w:r>
          </w:p>
        </w:tc>
        <w:tc>
          <w:tcPr>
            <w:tcW w:w="2744" w:type="dxa"/>
            <w:tcBorders>
              <w:top w:val="nil"/>
              <w:left w:val="nil"/>
              <w:bottom w:val="single" w:sz="8" w:space="0" w:color="auto"/>
              <w:right w:val="single" w:sz="8" w:space="0" w:color="auto"/>
            </w:tcBorders>
            <w:shd w:val="clear" w:color="auto" w:fill="auto"/>
            <w:vAlign w:val="center"/>
            <w:hideMark/>
          </w:tcPr>
          <w:p w14:paraId="3013C9F5" w14:textId="77777777" w:rsidR="00D2408E" w:rsidRPr="008E4EB0" w:rsidRDefault="00D2408E" w:rsidP="00D2408E">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11</w:t>
            </w:r>
          </w:p>
        </w:tc>
      </w:tr>
      <w:tr w:rsidR="00D2408E" w:rsidRPr="008E4EB0" w14:paraId="323BB85D" w14:textId="77777777" w:rsidTr="00BF58E9">
        <w:trPr>
          <w:trHeight w:val="315"/>
          <w:jc w:val="center"/>
        </w:trPr>
        <w:tc>
          <w:tcPr>
            <w:tcW w:w="4901" w:type="dxa"/>
            <w:tcBorders>
              <w:top w:val="nil"/>
              <w:left w:val="single" w:sz="8" w:space="0" w:color="auto"/>
              <w:bottom w:val="single" w:sz="8" w:space="0" w:color="auto"/>
              <w:right w:val="single" w:sz="8" w:space="0" w:color="auto"/>
            </w:tcBorders>
            <w:shd w:val="clear" w:color="auto" w:fill="auto"/>
            <w:vAlign w:val="center"/>
            <w:hideMark/>
          </w:tcPr>
          <w:p w14:paraId="292BE044" w14:textId="77777777" w:rsidR="00D2408E" w:rsidRPr="008E4EB0" w:rsidRDefault="00D2408E" w:rsidP="00D2408E">
            <w:pPr>
              <w:spacing w:after="0" w:line="240" w:lineRule="auto"/>
              <w:jc w:val="both"/>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Dīzeļdegviela, koksne</w:t>
            </w:r>
          </w:p>
        </w:tc>
        <w:tc>
          <w:tcPr>
            <w:tcW w:w="2744" w:type="dxa"/>
            <w:tcBorders>
              <w:top w:val="nil"/>
              <w:left w:val="nil"/>
              <w:bottom w:val="single" w:sz="8" w:space="0" w:color="auto"/>
              <w:right w:val="single" w:sz="8" w:space="0" w:color="auto"/>
            </w:tcBorders>
            <w:shd w:val="clear" w:color="auto" w:fill="auto"/>
            <w:vAlign w:val="center"/>
            <w:hideMark/>
          </w:tcPr>
          <w:p w14:paraId="134752AF" w14:textId="77777777" w:rsidR="00D2408E" w:rsidRPr="008E4EB0" w:rsidRDefault="00D2408E" w:rsidP="00D2408E">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4</w:t>
            </w:r>
          </w:p>
        </w:tc>
      </w:tr>
      <w:tr w:rsidR="00D2408E" w:rsidRPr="008E4EB0" w14:paraId="3A5F1C2B" w14:textId="77777777" w:rsidTr="00BF58E9">
        <w:trPr>
          <w:trHeight w:val="315"/>
          <w:jc w:val="center"/>
        </w:trPr>
        <w:tc>
          <w:tcPr>
            <w:tcW w:w="764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81C8D22" w14:textId="67F0B370" w:rsidR="00D2408E" w:rsidRPr="008E4EB0" w:rsidRDefault="00D2408E" w:rsidP="0067305F">
            <w:pPr>
              <w:keepNext/>
              <w:spacing w:after="0" w:line="240" w:lineRule="auto"/>
              <w:jc w:val="center"/>
              <w:rPr>
                <w:rFonts w:ascii="Times New Roman" w:eastAsia="Times New Roman" w:hAnsi="Times New Roman" w:cs="Times New Roman"/>
                <w:b/>
                <w:bCs/>
                <w:color w:val="000000"/>
                <w:sz w:val="20"/>
                <w:szCs w:val="20"/>
                <w:lang w:eastAsia="lv-LV"/>
              </w:rPr>
            </w:pPr>
            <w:r w:rsidRPr="008E4EB0">
              <w:rPr>
                <w:rFonts w:ascii="Times New Roman" w:eastAsia="Times New Roman" w:hAnsi="Times New Roman" w:cs="Times New Roman"/>
                <w:b/>
                <w:bCs/>
                <w:color w:val="000000"/>
                <w:sz w:val="20"/>
                <w:szCs w:val="20"/>
                <w:lang w:eastAsia="lv-LV"/>
              </w:rPr>
              <w:t xml:space="preserve">Citi siltumenerģijas </w:t>
            </w:r>
            <w:r w:rsidR="00DD44A0">
              <w:rPr>
                <w:rFonts w:ascii="Times New Roman" w:eastAsia="Times New Roman" w:hAnsi="Times New Roman" w:cs="Times New Roman"/>
                <w:b/>
                <w:bCs/>
                <w:color w:val="000000"/>
                <w:sz w:val="20"/>
                <w:szCs w:val="20"/>
                <w:lang w:eastAsia="lv-LV"/>
              </w:rPr>
              <w:t>avoti</w:t>
            </w:r>
          </w:p>
        </w:tc>
      </w:tr>
      <w:tr w:rsidR="00D2408E" w:rsidRPr="008E4EB0" w14:paraId="1B08BFED" w14:textId="77777777" w:rsidTr="00BF58E9">
        <w:trPr>
          <w:trHeight w:val="600"/>
          <w:jc w:val="center"/>
        </w:trPr>
        <w:tc>
          <w:tcPr>
            <w:tcW w:w="4901" w:type="dxa"/>
            <w:tcBorders>
              <w:top w:val="nil"/>
              <w:left w:val="single" w:sz="8" w:space="0" w:color="auto"/>
              <w:bottom w:val="single" w:sz="8" w:space="0" w:color="auto"/>
              <w:right w:val="single" w:sz="8" w:space="0" w:color="auto"/>
            </w:tcBorders>
            <w:shd w:val="clear" w:color="auto" w:fill="auto"/>
            <w:vAlign w:val="center"/>
            <w:hideMark/>
          </w:tcPr>
          <w:p w14:paraId="6DC87270" w14:textId="77777777" w:rsidR="00D2408E" w:rsidRPr="008E4EB0" w:rsidRDefault="00D2408E" w:rsidP="00D2408E">
            <w:pPr>
              <w:spacing w:after="0" w:line="240" w:lineRule="auto"/>
              <w:jc w:val="both"/>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Centralizētā siltumapgāde (neidentificējot kurināmā veidu, lokāli vai centralizēti ēkai piegādāta siltumenerģija)</w:t>
            </w:r>
          </w:p>
        </w:tc>
        <w:tc>
          <w:tcPr>
            <w:tcW w:w="2744" w:type="dxa"/>
            <w:tcBorders>
              <w:top w:val="nil"/>
              <w:left w:val="nil"/>
              <w:bottom w:val="single" w:sz="8" w:space="0" w:color="auto"/>
              <w:right w:val="single" w:sz="8" w:space="0" w:color="auto"/>
            </w:tcBorders>
            <w:shd w:val="clear" w:color="auto" w:fill="auto"/>
            <w:vAlign w:val="center"/>
            <w:hideMark/>
          </w:tcPr>
          <w:p w14:paraId="3DDB2434" w14:textId="77777777" w:rsidR="00D2408E" w:rsidRPr="008E4EB0" w:rsidRDefault="00D2408E" w:rsidP="00D2408E">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649</w:t>
            </w:r>
          </w:p>
        </w:tc>
      </w:tr>
      <w:tr w:rsidR="00D2408E" w:rsidRPr="008E4EB0" w14:paraId="706A02B7" w14:textId="77777777" w:rsidTr="00BF58E9">
        <w:trPr>
          <w:trHeight w:val="315"/>
          <w:jc w:val="center"/>
        </w:trPr>
        <w:tc>
          <w:tcPr>
            <w:tcW w:w="4901" w:type="dxa"/>
            <w:tcBorders>
              <w:top w:val="nil"/>
              <w:left w:val="single" w:sz="8" w:space="0" w:color="auto"/>
              <w:bottom w:val="single" w:sz="8" w:space="0" w:color="auto"/>
              <w:right w:val="single" w:sz="8" w:space="0" w:color="auto"/>
            </w:tcBorders>
            <w:shd w:val="clear" w:color="auto" w:fill="auto"/>
            <w:vAlign w:val="center"/>
            <w:hideMark/>
          </w:tcPr>
          <w:p w14:paraId="39B7A331" w14:textId="77777777" w:rsidR="00D2408E" w:rsidRPr="008E4EB0" w:rsidRDefault="00D2408E" w:rsidP="00D2408E">
            <w:pPr>
              <w:spacing w:after="0" w:line="240" w:lineRule="auto"/>
              <w:jc w:val="both"/>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Elektriskā apkure</w:t>
            </w:r>
          </w:p>
        </w:tc>
        <w:tc>
          <w:tcPr>
            <w:tcW w:w="2744" w:type="dxa"/>
            <w:tcBorders>
              <w:top w:val="nil"/>
              <w:left w:val="nil"/>
              <w:bottom w:val="single" w:sz="8" w:space="0" w:color="auto"/>
              <w:right w:val="single" w:sz="8" w:space="0" w:color="auto"/>
            </w:tcBorders>
            <w:shd w:val="clear" w:color="auto" w:fill="auto"/>
            <w:vAlign w:val="center"/>
            <w:hideMark/>
          </w:tcPr>
          <w:p w14:paraId="54FC5C33" w14:textId="77777777" w:rsidR="00D2408E" w:rsidRPr="008E4EB0" w:rsidRDefault="00D2408E" w:rsidP="00D2408E">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23</w:t>
            </w:r>
          </w:p>
        </w:tc>
      </w:tr>
      <w:tr w:rsidR="00D2408E" w:rsidRPr="008E4EB0" w14:paraId="0AB6F136" w14:textId="77777777" w:rsidTr="00BF58E9">
        <w:trPr>
          <w:trHeight w:val="315"/>
          <w:jc w:val="center"/>
        </w:trPr>
        <w:tc>
          <w:tcPr>
            <w:tcW w:w="4901" w:type="dxa"/>
            <w:tcBorders>
              <w:top w:val="nil"/>
              <w:left w:val="single" w:sz="8" w:space="0" w:color="auto"/>
              <w:bottom w:val="single" w:sz="8" w:space="0" w:color="auto"/>
              <w:right w:val="single" w:sz="8" w:space="0" w:color="auto"/>
            </w:tcBorders>
            <w:shd w:val="clear" w:color="auto" w:fill="auto"/>
            <w:vAlign w:val="center"/>
            <w:hideMark/>
          </w:tcPr>
          <w:p w14:paraId="2DF71FCA" w14:textId="77777777" w:rsidR="00D2408E" w:rsidRPr="008E4EB0" w:rsidRDefault="00D2408E" w:rsidP="00D2408E">
            <w:pPr>
              <w:spacing w:after="0" w:line="240" w:lineRule="auto"/>
              <w:jc w:val="both"/>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Siltumsūknis</w:t>
            </w:r>
          </w:p>
        </w:tc>
        <w:tc>
          <w:tcPr>
            <w:tcW w:w="2744" w:type="dxa"/>
            <w:tcBorders>
              <w:top w:val="nil"/>
              <w:left w:val="nil"/>
              <w:bottom w:val="single" w:sz="8" w:space="0" w:color="auto"/>
              <w:right w:val="single" w:sz="8" w:space="0" w:color="auto"/>
            </w:tcBorders>
            <w:shd w:val="clear" w:color="auto" w:fill="auto"/>
            <w:vAlign w:val="center"/>
            <w:hideMark/>
          </w:tcPr>
          <w:p w14:paraId="7C8B6537" w14:textId="77777777" w:rsidR="00D2408E" w:rsidRPr="008E4EB0" w:rsidRDefault="00D2408E" w:rsidP="00D2408E">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3</w:t>
            </w:r>
          </w:p>
        </w:tc>
      </w:tr>
      <w:tr w:rsidR="00D2408E" w:rsidRPr="008E4EB0" w14:paraId="03F2E8C7" w14:textId="77777777" w:rsidTr="00BF58E9">
        <w:trPr>
          <w:trHeight w:val="315"/>
          <w:jc w:val="center"/>
        </w:trPr>
        <w:tc>
          <w:tcPr>
            <w:tcW w:w="4901" w:type="dxa"/>
            <w:tcBorders>
              <w:top w:val="nil"/>
              <w:left w:val="single" w:sz="8" w:space="0" w:color="auto"/>
              <w:bottom w:val="single" w:sz="8" w:space="0" w:color="auto"/>
              <w:right w:val="nil"/>
            </w:tcBorders>
            <w:shd w:val="clear" w:color="auto" w:fill="auto"/>
            <w:vAlign w:val="center"/>
            <w:hideMark/>
          </w:tcPr>
          <w:p w14:paraId="27504C68" w14:textId="77777777" w:rsidR="00D2408E" w:rsidRPr="008E4EB0" w:rsidRDefault="00D2408E" w:rsidP="00D2408E">
            <w:pPr>
              <w:spacing w:after="0" w:line="240" w:lineRule="auto"/>
              <w:jc w:val="both"/>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Siltumsūknis, saules kolektors</w:t>
            </w:r>
          </w:p>
        </w:tc>
        <w:tc>
          <w:tcPr>
            <w:tcW w:w="2744" w:type="dxa"/>
            <w:tcBorders>
              <w:top w:val="nil"/>
              <w:left w:val="single" w:sz="8" w:space="0" w:color="auto"/>
              <w:bottom w:val="single" w:sz="8" w:space="0" w:color="auto"/>
              <w:right w:val="single" w:sz="8" w:space="0" w:color="auto"/>
            </w:tcBorders>
            <w:shd w:val="clear" w:color="auto" w:fill="auto"/>
            <w:vAlign w:val="center"/>
            <w:hideMark/>
          </w:tcPr>
          <w:p w14:paraId="4E8FF691" w14:textId="77777777" w:rsidR="00D2408E" w:rsidRPr="008E4EB0" w:rsidRDefault="00D2408E" w:rsidP="00D2408E">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1</w:t>
            </w:r>
          </w:p>
        </w:tc>
      </w:tr>
      <w:tr w:rsidR="00D2408E" w:rsidRPr="008E4EB0" w14:paraId="1D6E5DD2" w14:textId="77777777" w:rsidTr="00BF58E9">
        <w:trPr>
          <w:trHeight w:val="315"/>
          <w:jc w:val="center"/>
        </w:trPr>
        <w:tc>
          <w:tcPr>
            <w:tcW w:w="4901" w:type="dxa"/>
            <w:tcBorders>
              <w:top w:val="nil"/>
              <w:left w:val="single" w:sz="8" w:space="0" w:color="auto"/>
              <w:bottom w:val="single" w:sz="8" w:space="0" w:color="auto"/>
              <w:right w:val="single" w:sz="8" w:space="0" w:color="auto"/>
            </w:tcBorders>
            <w:shd w:val="clear" w:color="auto" w:fill="auto"/>
            <w:vAlign w:val="center"/>
            <w:hideMark/>
          </w:tcPr>
          <w:p w14:paraId="18D8D471" w14:textId="77777777" w:rsidR="00D2408E" w:rsidRPr="008E4EB0" w:rsidRDefault="00D2408E" w:rsidP="00D2408E">
            <w:pPr>
              <w:spacing w:after="0" w:line="240" w:lineRule="auto"/>
              <w:jc w:val="both"/>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Centralizētā siltumapgāde, sašķidrinātā gāze</w:t>
            </w:r>
          </w:p>
        </w:tc>
        <w:tc>
          <w:tcPr>
            <w:tcW w:w="2744" w:type="dxa"/>
            <w:tcBorders>
              <w:top w:val="nil"/>
              <w:left w:val="nil"/>
              <w:bottom w:val="single" w:sz="8" w:space="0" w:color="auto"/>
              <w:right w:val="single" w:sz="8" w:space="0" w:color="auto"/>
            </w:tcBorders>
            <w:shd w:val="clear" w:color="auto" w:fill="auto"/>
            <w:vAlign w:val="center"/>
            <w:hideMark/>
          </w:tcPr>
          <w:p w14:paraId="515AA4BA" w14:textId="77777777" w:rsidR="00D2408E" w:rsidRPr="008E4EB0" w:rsidRDefault="00D2408E" w:rsidP="00D2408E">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1</w:t>
            </w:r>
          </w:p>
        </w:tc>
      </w:tr>
      <w:tr w:rsidR="00D2408E" w:rsidRPr="008E4EB0" w14:paraId="21A2630F" w14:textId="77777777" w:rsidTr="00BF58E9">
        <w:trPr>
          <w:trHeight w:val="315"/>
          <w:jc w:val="center"/>
        </w:trPr>
        <w:tc>
          <w:tcPr>
            <w:tcW w:w="4901" w:type="dxa"/>
            <w:tcBorders>
              <w:top w:val="nil"/>
              <w:left w:val="single" w:sz="8" w:space="0" w:color="auto"/>
              <w:bottom w:val="single" w:sz="8" w:space="0" w:color="auto"/>
              <w:right w:val="single" w:sz="8" w:space="0" w:color="auto"/>
            </w:tcBorders>
            <w:shd w:val="clear" w:color="auto" w:fill="auto"/>
            <w:vAlign w:val="center"/>
            <w:hideMark/>
          </w:tcPr>
          <w:p w14:paraId="2E120A7F" w14:textId="77777777" w:rsidR="00D2408E" w:rsidRPr="008E4EB0" w:rsidRDefault="00D2408E" w:rsidP="00D2408E">
            <w:pPr>
              <w:spacing w:after="0" w:line="240" w:lineRule="auto"/>
              <w:jc w:val="both"/>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Centralizētā siltumapgāde, dabasgāze</w:t>
            </w:r>
          </w:p>
        </w:tc>
        <w:tc>
          <w:tcPr>
            <w:tcW w:w="2744" w:type="dxa"/>
            <w:tcBorders>
              <w:top w:val="nil"/>
              <w:left w:val="nil"/>
              <w:bottom w:val="single" w:sz="8" w:space="0" w:color="auto"/>
              <w:right w:val="single" w:sz="8" w:space="0" w:color="auto"/>
            </w:tcBorders>
            <w:shd w:val="clear" w:color="auto" w:fill="auto"/>
            <w:vAlign w:val="center"/>
            <w:hideMark/>
          </w:tcPr>
          <w:p w14:paraId="05296F60" w14:textId="77777777" w:rsidR="00D2408E" w:rsidRPr="008E4EB0" w:rsidRDefault="00D2408E" w:rsidP="00D2408E">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2</w:t>
            </w:r>
          </w:p>
        </w:tc>
      </w:tr>
      <w:tr w:rsidR="00D2408E" w:rsidRPr="008E4EB0" w14:paraId="58CB4966" w14:textId="77777777" w:rsidTr="00BF58E9">
        <w:trPr>
          <w:trHeight w:val="315"/>
          <w:jc w:val="center"/>
        </w:trPr>
        <w:tc>
          <w:tcPr>
            <w:tcW w:w="4901" w:type="dxa"/>
            <w:tcBorders>
              <w:top w:val="nil"/>
              <w:left w:val="single" w:sz="8" w:space="0" w:color="auto"/>
              <w:bottom w:val="single" w:sz="8" w:space="0" w:color="auto"/>
              <w:right w:val="single" w:sz="8" w:space="0" w:color="auto"/>
            </w:tcBorders>
            <w:shd w:val="clear" w:color="auto" w:fill="auto"/>
            <w:vAlign w:val="center"/>
            <w:hideMark/>
          </w:tcPr>
          <w:p w14:paraId="6DBEFE3A" w14:textId="77777777" w:rsidR="00D2408E" w:rsidRPr="008E4EB0" w:rsidRDefault="00D2408E" w:rsidP="00D2408E">
            <w:pPr>
              <w:spacing w:after="0" w:line="240" w:lineRule="auto"/>
              <w:jc w:val="both"/>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Siltumsūknis, saules kolektors, dīzeļdegviela</w:t>
            </w:r>
          </w:p>
        </w:tc>
        <w:tc>
          <w:tcPr>
            <w:tcW w:w="2744" w:type="dxa"/>
            <w:tcBorders>
              <w:top w:val="nil"/>
              <w:left w:val="nil"/>
              <w:bottom w:val="single" w:sz="8" w:space="0" w:color="auto"/>
              <w:right w:val="single" w:sz="8" w:space="0" w:color="auto"/>
            </w:tcBorders>
            <w:shd w:val="clear" w:color="auto" w:fill="auto"/>
            <w:vAlign w:val="center"/>
            <w:hideMark/>
          </w:tcPr>
          <w:p w14:paraId="532BF7B9" w14:textId="77777777" w:rsidR="00D2408E" w:rsidRPr="008E4EB0" w:rsidRDefault="00D2408E" w:rsidP="00D2408E">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1</w:t>
            </w:r>
          </w:p>
        </w:tc>
      </w:tr>
      <w:tr w:rsidR="00D2408E" w:rsidRPr="008E4EB0" w14:paraId="7E87B542" w14:textId="77777777" w:rsidTr="00BF58E9">
        <w:trPr>
          <w:trHeight w:val="315"/>
          <w:jc w:val="center"/>
        </w:trPr>
        <w:tc>
          <w:tcPr>
            <w:tcW w:w="4901" w:type="dxa"/>
            <w:tcBorders>
              <w:top w:val="nil"/>
              <w:left w:val="single" w:sz="8" w:space="0" w:color="auto"/>
              <w:bottom w:val="single" w:sz="8" w:space="0" w:color="auto"/>
              <w:right w:val="single" w:sz="8" w:space="0" w:color="auto"/>
            </w:tcBorders>
            <w:shd w:val="clear" w:color="auto" w:fill="auto"/>
            <w:vAlign w:val="center"/>
            <w:hideMark/>
          </w:tcPr>
          <w:p w14:paraId="09CBBC0E" w14:textId="77777777" w:rsidR="00D2408E" w:rsidRPr="008E4EB0" w:rsidRDefault="00D2408E" w:rsidP="00D2408E">
            <w:pPr>
              <w:spacing w:after="0" w:line="240" w:lineRule="auto"/>
              <w:jc w:val="both"/>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Koksne, elektriskā apkure</w:t>
            </w:r>
          </w:p>
        </w:tc>
        <w:tc>
          <w:tcPr>
            <w:tcW w:w="2744" w:type="dxa"/>
            <w:tcBorders>
              <w:top w:val="nil"/>
              <w:left w:val="nil"/>
              <w:bottom w:val="single" w:sz="8" w:space="0" w:color="auto"/>
              <w:right w:val="single" w:sz="8" w:space="0" w:color="auto"/>
            </w:tcBorders>
            <w:shd w:val="clear" w:color="auto" w:fill="auto"/>
            <w:vAlign w:val="center"/>
            <w:hideMark/>
          </w:tcPr>
          <w:p w14:paraId="67FA0B13" w14:textId="77777777" w:rsidR="00D2408E" w:rsidRPr="008E4EB0" w:rsidRDefault="00D2408E" w:rsidP="00D2408E">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1</w:t>
            </w:r>
          </w:p>
        </w:tc>
      </w:tr>
      <w:tr w:rsidR="00D2408E" w:rsidRPr="008E4EB0" w14:paraId="544FBDB6" w14:textId="77777777" w:rsidTr="00BF58E9">
        <w:trPr>
          <w:trHeight w:val="315"/>
          <w:jc w:val="center"/>
        </w:trPr>
        <w:tc>
          <w:tcPr>
            <w:tcW w:w="4901" w:type="dxa"/>
            <w:tcBorders>
              <w:top w:val="nil"/>
              <w:left w:val="nil"/>
              <w:bottom w:val="nil"/>
              <w:right w:val="nil"/>
            </w:tcBorders>
            <w:shd w:val="clear" w:color="auto" w:fill="auto"/>
            <w:vAlign w:val="center"/>
            <w:hideMark/>
          </w:tcPr>
          <w:p w14:paraId="3741B19E" w14:textId="77777777" w:rsidR="00D2408E" w:rsidRPr="008E4EB0" w:rsidRDefault="00D2408E" w:rsidP="00D2408E">
            <w:pPr>
              <w:spacing w:after="0" w:line="240" w:lineRule="auto"/>
              <w:jc w:val="right"/>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Pavisam kopā ēkas</w:t>
            </w:r>
          </w:p>
        </w:tc>
        <w:tc>
          <w:tcPr>
            <w:tcW w:w="2744" w:type="dxa"/>
            <w:tcBorders>
              <w:top w:val="nil"/>
              <w:left w:val="single" w:sz="8" w:space="0" w:color="auto"/>
              <w:bottom w:val="single" w:sz="8" w:space="0" w:color="auto"/>
              <w:right w:val="single" w:sz="8" w:space="0" w:color="auto"/>
            </w:tcBorders>
            <w:shd w:val="clear" w:color="auto" w:fill="auto"/>
            <w:vAlign w:val="center"/>
            <w:hideMark/>
          </w:tcPr>
          <w:p w14:paraId="6E47D1FD" w14:textId="77777777" w:rsidR="00D2408E" w:rsidRPr="008E4EB0" w:rsidRDefault="00D2408E" w:rsidP="00D2408E">
            <w:pPr>
              <w:spacing w:after="0" w:line="240" w:lineRule="auto"/>
              <w:jc w:val="center"/>
              <w:rPr>
                <w:rFonts w:ascii="Times New Roman" w:eastAsia="Times New Roman" w:hAnsi="Times New Roman" w:cs="Times New Roman"/>
                <w:b/>
                <w:bCs/>
                <w:color w:val="000000"/>
                <w:sz w:val="20"/>
                <w:szCs w:val="20"/>
                <w:lang w:eastAsia="lv-LV"/>
              </w:rPr>
            </w:pPr>
            <w:r w:rsidRPr="008E4EB0">
              <w:rPr>
                <w:rFonts w:ascii="Times New Roman" w:eastAsia="Times New Roman" w:hAnsi="Times New Roman" w:cs="Times New Roman"/>
                <w:b/>
                <w:bCs/>
                <w:color w:val="000000"/>
                <w:sz w:val="20"/>
                <w:szCs w:val="20"/>
                <w:lang w:eastAsia="lv-LV"/>
              </w:rPr>
              <w:t>1274</w:t>
            </w:r>
          </w:p>
        </w:tc>
      </w:tr>
    </w:tbl>
    <w:p w14:paraId="0194FF62" w14:textId="77777777" w:rsidR="008A605E" w:rsidRPr="008E4EB0" w:rsidRDefault="008A605E" w:rsidP="00D2408E">
      <w:pPr>
        <w:tabs>
          <w:tab w:val="left" w:pos="2269"/>
        </w:tabs>
        <w:spacing w:after="0" w:line="240" w:lineRule="auto"/>
        <w:ind w:firstLine="851"/>
        <w:contextualSpacing/>
        <w:jc w:val="both"/>
        <w:rPr>
          <w:rFonts w:ascii="Times New Roman" w:eastAsia="Calibri" w:hAnsi="Times New Roman" w:cs="Times New Roman"/>
          <w:sz w:val="24"/>
          <w:szCs w:val="24"/>
        </w:rPr>
      </w:pPr>
    </w:p>
    <w:p w14:paraId="02B9A2B6" w14:textId="1469ACC7" w:rsidR="00D2408E" w:rsidRDefault="00D2408E" w:rsidP="00D2408E">
      <w:pPr>
        <w:tabs>
          <w:tab w:val="left" w:pos="2269"/>
        </w:tabs>
        <w:spacing w:after="0" w:line="240" w:lineRule="auto"/>
        <w:ind w:firstLine="851"/>
        <w:contextualSpacing/>
        <w:jc w:val="both"/>
        <w:rPr>
          <w:rFonts w:ascii="Times New Roman" w:eastAsia="Calibri" w:hAnsi="Times New Roman" w:cs="EUAlbertina"/>
          <w:sz w:val="24"/>
          <w:szCs w:val="24"/>
        </w:rPr>
      </w:pPr>
      <w:r w:rsidRPr="008E4EB0">
        <w:rPr>
          <w:rFonts w:ascii="Times New Roman" w:eastAsia="Calibri" w:hAnsi="Times New Roman" w:cs="EUAlbertina"/>
          <w:sz w:val="24"/>
          <w:szCs w:val="24"/>
        </w:rPr>
        <w:t>Latvijā nav apkopoti statistikas dati enerģijas nesēju patēriņam nedzīvojamās ēkās (izņemot valsts ēkās).</w:t>
      </w:r>
    </w:p>
    <w:p w14:paraId="35161D58" w14:textId="2BB64E57" w:rsidR="00784F98" w:rsidRDefault="00784F98" w:rsidP="00B74CB2">
      <w:pPr>
        <w:tabs>
          <w:tab w:val="left" w:pos="2269"/>
        </w:tabs>
        <w:spacing w:after="0" w:line="240" w:lineRule="auto"/>
        <w:ind w:firstLine="851"/>
        <w:contextualSpacing/>
        <w:jc w:val="both"/>
        <w:rPr>
          <w:rFonts w:ascii="Times New Roman" w:eastAsia="Calibri" w:hAnsi="Times New Roman" w:cs="EUAlbertina"/>
          <w:sz w:val="24"/>
          <w:szCs w:val="24"/>
        </w:rPr>
      </w:pPr>
      <w:r>
        <w:rPr>
          <w:rFonts w:ascii="Times New Roman" w:eastAsia="Calibri" w:hAnsi="Times New Roman" w:cs="EUAlbertina"/>
          <w:sz w:val="24"/>
          <w:szCs w:val="24"/>
        </w:rPr>
        <w:t xml:space="preserve">Valsts ēku fonds </w:t>
      </w:r>
      <w:r w:rsidR="00B74CB2">
        <w:rPr>
          <w:rFonts w:ascii="Times New Roman" w:eastAsia="Calibri" w:hAnsi="Times New Roman" w:cs="EUAlbertina"/>
          <w:sz w:val="24"/>
          <w:szCs w:val="24"/>
        </w:rPr>
        <w:t xml:space="preserve">attiecībā uz enerģijas patēriņiem, darbības sfēru un atrašanās reģionu padziļinātāk </w:t>
      </w:r>
      <w:r>
        <w:rPr>
          <w:rFonts w:ascii="Times New Roman" w:eastAsia="Calibri" w:hAnsi="Times New Roman" w:cs="EUAlbertina"/>
          <w:sz w:val="24"/>
          <w:szCs w:val="24"/>
        </w:rPr>
        <w:t xml:space="preserve">izvērtēts </w:t>
      </w:r>
      <w:r w:rsidR="00B74CB2" w:rsidRPr="00B74CB2">
        <w:rPr>
          <w:rFonts w:ascii="Times New Roman" w:eastAsia="Calibri" w:hAnsi="Times New Roman" w:cs="EUAlbertina"/>
          <w:sz w:val="24"/>
          <w:szCs w:val="24"/>
        </w:rPr>
        <w:t>4.2.1.specifiskā atbalsta mērķa „Veicināt energoefektivitātes paaugstināšanu valsts un dzīvojamās ēkās” 4.2.1.2.pasākuma „Veicināt energoefektivitātes paaugstināšanu valsts ēkās”</w:t>
      </w:r>
      <w:r w:rsidR="00B74CB2">
        <w:rPr>
          <w:rFonts w:ascii="Times New Roman" w:eastAsia="Calibri" w:hAnsi="Times New Roman" w:cs="EUAlbertina"/>
          <w:sz w:val="24"/>
          <w:szCs w:val="24"/>
        </w:rPr>
        <w:t xml:space="preserve"> sākotnējā novērtējumā</w:t>
      </w:r>
      <w:r w:rsidR="00B74CB2">
        <w:rPr>
          <w:rStyle w:val="FootnoteReference"/>
          <w:rFonts w:ascii="Times New Roman" w:eastAsia="Calibri" w:hAnsi="Times New Roman" w:cs="EUAlbertina"/>
          <w:sz w:val="24"/>
          <w:szCs w:val="24"/>
        </w:rPr>
        <w:footnoteReference w:id="15"/>
      </w:r>
      <w:r w:rsidR="00B74CB2">
        <w:rPr>
          <w:rFonts w:ascii="Times New Roman" w:eastAsia="Calibri" w:hAnsi="Times New Roman" w:cs="EUAlbertina"/>
          <w:sz w:val="24"/>
          <w:szCs w:val="24"/>
        </w:rPr>
        <w:t>.</w:t>
      </w:r>
    </w:p>
    <w:p w14:paraId="2327D041" w14:textId="77777777" w:rsidR="008A605E" w:rsidRPr="008E4EB0" w:rsidRDefault="008A605E" w:rsidP="00D2408E">
      <w:pPr>
        <w:tabs>
          <w:tab w:val="left" w:pos="2269"/>
        </w:tabs>
        <w:spacing w:after="0" w:line="240" w:lineRule="auto"/>
        <w:ind w:firstLine="851"/>
        <w:contextualSpacing/>
        <w:jc w:val="both"/>
        <w:rPr>
          <w:rFonts w:ascii="Times New Roman" w:eastAsia="Calibri" w:hAnsi="Times New Roman" w:cs="EUAlbertina"/>
          <w:sz w:val="24"/>
          <w:szCs w:val="24"/>
        </w:rPr>
      </w:pPr>
    </w:p>
    <w:p w14:paraId="11816566" w14:textId="6D861C91" w:rsidR="00990903" w:rsidRPr="008E4EB0" w:rsidRDefault="0067305F" w:rsidP="001E0950">
      <w:pPr>
        <w:pStyle w:val="3apakvirsraksts"/>
      </w:pPr>
      <w:bookmarkStart w:id="39" w:name="_Toc482092352"/>
      <w:bookmarkStart w:id="40" w:name="_Toc482106105"/>
      <w:bookmarkStart w:id="41" w:name="_Toc480527958"/>
      <w:bookmarkStart w:id="42" w:name="_Toc491870910"/>
      <w:bookmarkEnd w:id="39"/>
      <w:bookmarkEnd w:id="40"/>
      <w:r w:rsidRPr="008E4EB0">
        <w:t>A</w:t>
      </w:r>
      <w:r w:rsidR="00990903" w:rsidRPr="008E4EB0">
        <w:t>tjaunojamie energoresursi</w:t>
      </w:r>
      <w:bookmarkEnd w:id="41"/>
      <w:bookmarkEnd w:id="42"/>
    </w:p>
    <w:p w14:paraId="07EA564F" w14:textId="77777777" w:rsidR="00D2408E" w:rsidRPr="008E4EB0" w:rsidRDefault="00D2408E" w:rsidP="00D2408E">
      <w:pPr>
        <w:spacing w:after="0" w:line="276" w:lineRule="auto"/>
        <w:jc w:val="both"/>
        <w:rPr>
          <w:rFonts w:ascii="Times New Roman" w:hAnsi="Times New Roman" w:cs="Times New Roman"/>
          <w:sz w:val="24"/>
          <w:szCs w:val="24"/>
        </w:rPr>
      </w:pPr>
    </w:p>
    <w:p w14:paraId="712746B3" w14:textId="42FE0997" w:rsidR="00D2408E" w:rsidRPr="008E4EB0" w:rsidRDefault="00D2408E" w:rsidP="00D2408E">
      <w:pPr>
        <w:tabs>
          <w:tab w:val="left" w:pos="2269"/>
        </w:tabs>
        <w:spacing w:after="0" w:line="240" w:lineRule="auto"/>
        <w:ind w:firstLine="851"/>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 xml:space="preserve">Stratēģijas </w:t>
      </w:r>
      <w:r w:rsidR="00F749EA">
        <w:rPr>
          <w:rFonts w:ascii="Times New Roman" w:eastAsia="Calibri" w:hAnsi="Times New Roman" w:cs="Times New Roman"/>
          <w:sz w:val="24"/>
          <w:szCs w:val="24"/>
        </w:rPr>
        <w:t>8</w:t>
      </w:r>
      <w:r w:rsidRPr="008E4EB0">
        <w:rPr>
          <w:rFonts w:ascii="Times New Roman" w:eastAsia="Calibri" w:hAnsi="Times New Roman" w:cs="Times New Roman"/>
          <w:sz w:val="24"/>
          <w:szCs w:val="24"/>
        </w:rPr>
        <w:t xml:space="preserve">. un </w:t>
      </w:r>
      <w:r w:rsidR="00F749EA">
        <w:rPr>
          <w:rFonts w:ascii="Times New Roman" w:eastAsia="Calibri" w:hAnsi="Times New Roman" w:cs="Times New Roman"/>
          <w:sz w:val="24"/>
          <w:szCs w:val="24"/>
        </w:rPr>
        <w:t>9</w:t>
      </w:r>
      <w:r w:rsidRPr="008E4EB0">
        <w:rPr>
          <w:rFonts w:ascii="Times New Roman" w:eastAsia="Calibri" w:hAnsi="Times New Roman" w:cs="Times New Roman"/>
          <w:sz w:val="24"/>
          <w:szCs w:val="24"/>
        </w:rPr>
        <w:t>. tabulā apkopota informācija par energoresursu patēriņu mājsaimniecībās, no kā secināms, ka atjaunojamo energoresursu (malka, koksnes briketes, granulas, atlikumi) patēriņš 2015.gadā sastādīja 19130 TJ, jeb 41,4% no visiem patērētajiem energoresursiem, kas kopā sastāda 2440 tūkstošu m</w:t>
      </w:r>
      <w:r w:rsidRPr="008E4EB0">
        <w:rPr>
          <w:rFonts w:ascii="Times New Roman" w:eastAsia="Calibri" w:hAnsi="Times New Roman" w:cs="Times New Roman"/>
          <w:sz w:val="24"/>
          <w:szCs w:val="24"/>
          <w:vertAlign w:val="superscript"/>
        </w:rPr>
        <w:t>3</w:t>
      </w:r>
      <w:r w:rsidRPr="008E4EB0">
        <w:rPr>
          <w:rFonts w:ascii="Times New Roman" w:eastAsia="Calibri" w:hAnsi="Times New Roman" w:cs="Times New Roman"/>
          <w:sz w:val="24"/>
          <w:szCs w:val="24"/>
        </w:rPr>
        <w:t xml:space="preserve"> malkas un 174602 tonnas koksnes brikešu, granulu un koksnes atlikumu. Lielākās izmaiņas novērojams koksnes atlikumu un koka granulu izmantošanai, koksnes atlikumu izmantošana samazinājusies par 101 tūkstoti tonnu, bet koka granulu izmantošana pieaugusi par 101 tūkstoti tonnu.</w:t>
      </w:r>
    </w:p>
    <w:p w14:paraId="0AD028F5" w14:textId="77777777" w:rsidR="00D2408E" w:rsidRPr="008E4EB0" w:rsidRDefault="00D2408E" w:rsidP="00D2408E">
      <w:pPr>
        <w:tabs>
          <w:tab w:val="left" w:pos="2269"/>
        </w:tabs>
        <w:spacing w:after="0" w:line="240" w:lineRule="auto"/>
        <w:ind w:firstLine="851"/>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 xml:space="preserve">Saskaņā ar Valsts ēku saraksta datiem, apkopotie rezultāti parāda, ka kopumā no 904 valsts ēkām 258 no tām apkurei tiek izmantoti atjaunojamie enerģijas resursi (turpmāk-AER). </w:t>
      </w:r>
    </w:p>
    <w:p w14:paraId="6EBFF014" w14:textId="26C2BC40" w:rsidR="00D2408E" w:rsidRPr="008E4EB0" w:rsidRDefault="00F749EA" w:rsidP="00D2408E">
      <w:pPr>
        <w:tabs>
          <w:tab w:val="left" w:pos="2269"/>
        </w:tabs>
        <w:spacing w:after="0" w:line="240" w:lineRule="auto"/>
        <w:ind w:firstLine="851"/>
        <w:contextualSpacing/>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lastRenderedPageBreak/>
        <w:t>1</w:t>
      </w:r>
      <w:r>
        <w:rPr>
          <w:rFonts w:ascii="Times New Roman" w:eastAsia="Calibri" w:hAnsi="Times New Roman" w:cs="Times New Roman"/>
          <w:sz w:val="24"/>
          <w:szCs w:val="24"/>
        </w:rPr>
        <w:t>1</w:t>
      </w:r>
      <w:r w:rsidR="00D2408E" w:rsidRPr="008E4EB0">
        <w:rPr>
          <w:rFonts w:ascii="Times New Roman" w:eastAsia="Calibri" w:hAnsi="Times New Roman" w:cs="Times New Roman"/>
          <w:sz w:val="24"/>
          <w:szCs w:val="24"/>
        </w:rPr>
        <w:t>. tabulā apkopota informācija par AER veidiem, kas tiek izmantoti apkurei valsts ēkās ar kopējo platību virs 250 m</w:t>
      </w:r>
      <w:r w:rsidR="00D2408E" w:rsidRPr="008E4EB0">
        <w:rPr>
          <w:rFonts w:ascii="Times New Roman" w:eastAsia="Calibri" w:hAnsi="Times New Roman" w:cs="Times New Roman"/>
          <w:sz w:val="24"/>
          <w:szCs w:val="24"/>
          <w:vertAlign w:val="superscript"/>
        </w:rPr>
        <w:t>2</w:t>
      </w:r>
      <w:r w:rsidR="00D2408E" w:rsidRPr="008E4EB0">
        <w:rPr>
          <w:rFonts w:ascii="Times New Roman" w:eastAsia="Calibri" w:hAnsi="Times New Roman" w:cs="Times New Roman"/>
          <w:sz w:val="24"/>
          <w:szCs w:val="24"/>
        </w:rPr>
        <w:t>.</w:t>
      </w:r>
    </w:p>
    <w:p w14:paraId="546A2E7E" w14:textId="77777777" w:rsidR="00D2408E" w:rsidRPr="008E4EB0" w:rsidRDefault="00D2408E" w:rsidP="00D2408E">
      <w:pPr>
        <w:tabs>
          <w:tab w:val="left" w:pos="2269"/>
        </w:tabs>
        <w:spacing w:after="0" w:line="240" w:lineRule="auto"/>
        <w:ind w:firstLine="851"/>
        <w:contextualSpacing/>
        <w:rPr>
          <w:rFonts w:ascii="Times New Roman" w:eastAsia="Calibri" w:hAnsi="Times New Roman" w:cs="Times New Roman"/>
          <w:sz w:val="24"/>
          <w:szCs w:val="24"/>
        </w:rPr>
      </w:pPr>
    </w:p>
    <w:p w14:paraId="0886821A" w14:textId="17BCA74A" w:rsidR="00D2408E" w:rsidRPr="008E4EB0" w:rsidRDefault="00F749EA" w:rsidP="00D2408E">
      <w:pPr>
        <w:tabs>
          <w:tab w:val="left" w:pos="0"/>
        </w:tabs>
        <w:spacing w:after="0" w:line="240" w:lineRule="auto"/>
        <w:contextualSpacing/>
        <w:jc w:val="center"/>
        <w:rPr>
          <w:rFonts w:ascii="Times New Roman" w:eastAsia="Calibri" w:hAnsi="Times New Roman" w:cs="Times New Roman"/>
          <w:sz w:val="24"/>
          <w:szCs w:val="24"/>
          <w:vertAlign w:val="superscript"/>
        </w:rPr>
      </w:pPr>
      <w:r w:rsidRPr="008E4EB0">
        <w:rPr>
          <w:rFonts w:ascii="Times New Roman" w:eastAsia="Calibri" w:hAnsi="Times New Roman" w:cs="Times New Roman"/>
          <w:sz w:val="24"/>
          <w:szCs w:val="24"/>
        </w:rPr>
        <w:t>1</w:t>
      </w:r>
      <w:r>
        <w:rPr>
          <w:rFonts w:ascii="Times New Roman" w:eastAsia="Calibri" w:hAnsi="Times New Roman" w:cs="Times New Roman"/>
          <w:sz w:val="24"/>
          <w:szCs w:val="24"/>
        </w:rPr>
        <w:t>1</w:t>
      </w:r>
      <w:r w:rsidR="00D2408E" w:rsidRPr="008E4EB0">
        <w:rPr>
          <w:rFonts w:ascii="Times New Roman" w:eastAsia="Calibri" w:hAnsi="Times New Roman" w:cs="Times New Roman"/>
          <w:sz w:val="24"/>
          <w:szCs w:val="24"/>
        </w:rPr>
        <w:t>.tabula. Vismaz daļēja AER izmantošana siltumenerģijā valsts ēkās ar kopējo platību virs 250 m</w:t>
      </w:r>
      <w:r w:rsidR="00D2408E" w:rsidRPr="008E4EB0">
        <w:rPr>
          <w:rFonts w:ascii="Times New Roman" w:eastAsia="Calibri" w:hAnsi="Times New Roman" w:cs="Times New Roman"/>
          <w:sz w:val="24"/>
          <w:szCs w:val="24"/>
          <w:vertAlign w:val="superscript"/>
        </w:rPr>
        <w:t>2</w:t>
      </w:r>
      <w:r w:rsidR="00D2408E" w:rsidRPr="008E4EB0">
        <w:rPr>
          <w:rFonts w:ascii="Times New Roman" w:eastAsia="Calibri" w:hAnsi="Times New Roman" w:cs="Times New Roman"/>
          <w:sz w:val="24"/>
          <w:szCs w:val="24"/>
        </w:rPr>
        <w:t xml:space="preserve">  </w:t>
      </w:r>
      <w:r w:rsidR="00D2408E" w:rsidRPr="008E4EB0">
        <w:rPr>
          <w:rFonts w:ascii="Times New Roman" w:eastAsia="Calibri" w:hAnsi="Times New Roman" w:cs="Times New Roman"/>
          <w:sz w:val="24"/>
          <w:szCs w:val="24"/>
          <w:vertAlign w:val="superscript"/>
        </w:rPr>
        <w:t>16</w:t>
      </w:r>
    </w:p>
    <w:p w14:paraId="2B39C942" w14:textId="77777777" w:rsidR="00D2408E" w:rsidRPr="008E4EB0" w:rsidRDefault="00D2408E" w:rsidP="00D2408E">
      <w:pPr>
        <w:tabs>
          <w:tab w:val="left" w:pos="2269"/>
        </w:tabs>
        <w:spacing w:after="0" w:line="240" w:lineRule="auto"/>
        <w:ind w:left="1800" w:firstLine="851"/>
        <w:contextualSpacing/>
        <w:rPr>
          <w:rFonts w:ascii="Times New Roman" w:eastAsia="Calibri" w:hAnsi="Times New Roman" w:cs="Times New Roman"/>
          <w:sz w:val="24"/>
          <w:szCs w:val="24"/>
        </w:rPr>
      </w:pPr>
    </w:p>
    <w:tbl>
      <w:tblPr>
        <w:tblW w:w="6320" w:type="dxa"/>
        <w:jc w:val="center"/>
        <w:tblLook w:val="04A0" w:firstRow="1" w:lastRow="0" w:firstColumn="1" w:lastColumn="0" w:noHBand="0" w:noVBand="1"/>
      </w:tblPr>
      <w:tblGrid>
        <w:gridCol w:w="4040"/>
        <w:gridCol w:w="2280"/>
      </w:tblGrid>
      <w:tr w:rsidR="00D2408E" w:rsidRPr="008E4EB0" w14:paraId="1A26500E" w14:textId="77777777" w:rsidTr="00D2408E">
        <w:trPr>
          <w:trHeight w:val="315"/>
          <w:jc w:val="center"/>
        </w:trPr>
        <w:tc>
          <w:tcPr>
            <w:tcW w:w="40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EAAA16" w14:textId="77777777" w:rsidR="00D2408E" w:rsidRPr="008E4EB0" w:rsidRDefault="00D2408E" w:rsidP="00D2408E">
            <w:pPr>
              <w:spacing w:after="0" w:line="240" w:lineRule="auto"/>
              <w:rPr>
                <w:rFonts w:ascii="Times New Roman" w:eastAsia="Times New Roman" w:hAnsi="Times New Roman" w:cs="Times New Roman"/>
                <w:b/>
                <w:bCs/>
                <w:color w:val="000000"/>
                <w:sz w:val="20"/>
                <w:szCs w:val="20"/>
                <w:lang w:eastAsia="lv-LV"/>
              </w:rPr>
            </w:pPr>
            <w:r w:rsidRPr="008E4EB0">
              <w:rPr>
                <w:rFonts w:ascii="Times New Roman" w:eastAsia="Times New Roman" w:hAnsi="Times New Roman" w:cs="Times New Roman"/>
                <w:b/>
                <w:bCs/>
                <w:color w:val="000000"/>
                <w:sz w:val="20"/>
                <w:szCs w:val="24"/>
                <w:lang w:eastAsia="lv-LV"/>
              </w:rPr>
              <w:t>AER kurināmā veids</w:t>
            </w:r>
          </w:p>
        </w:tc>
        <w:tc>
          <w:tcPr>
            <w:tcW w:w="2280" w:type="dxa"/>
            <w:tcBorders>
              <w:top w:val="single" w:sz="8" w:space="0" w:color="auto"/>
              <w:left w:val="nil"/>
              <w:bottom w:val="single" w:sz="8" w:space="0" w:color="auto"/>
              <w:right w:val="single" w:sz="8" w:space="0" w:color="auto"/>
            </w:tcBorders>
            <w:shd w:val="clear" w:color="auto" w:fill="auto"/>
            <w:vAlign w:val="center"/>
            <w:hideMark/>
          </w:tcPr>
          <w:p w14:paraId="5F8C0846" w14:textId="77777777" w:rsidR="00D2408E" w:rsidRPr="008E4EB0" w:rsidRDefault="00D2408E" w:rsidP="00D2408E">
            <w:pPr>
              <w:spacing w:after="0" w:line="240" w:lineRule="auto"/>
              <w:jc w:val="center"/>
              <w:rPr>
                <w:rFonts w:ascii="Times New Roman" w:eastAsia="Times New Roman" w:hAnsi="Times New Roman" w:cs="Times New Roman"/>
                <w:b/>
                <w:bCs/>
                <w:color w:val="000000"/>
                <w:sz w:val="20"/>
                <w:szCs w:val="20"/>
                <w:lang w:eastAsia="lv-LV"/>
              </w:rPr>
            </w:pPr>
            <w:r w:rsidRPr="008E4EB0">
              <w:rPr>
                <w:rFonts w:ascii="Times New Roman" w:eastAsia="Times New Roman" w:hAnsi="Times New Roman" w:cs="Times New Roman"/>
                <w:b/>
                <w:bCs/>
                <w:color w:val="000000"/>
                <w:sz w:val="20"/>
                <w:szCs w:val="24"/>
                <w:lang w:eastAsia="lv-LV"/>
              </w:rPr>
              <w:t>Ēku skaits</w:t>
            </w:r>
          </w:p>
        </w:tc>
      </w:tr>
      <w:tr w:rsidR="00D2408E" w:rsidRPr="008E4EB0" w14:paraId="7EFF8D5D" w14:textId="77777777" w:rsidTr="00D2408E">
        <w:trPr>
          <w:trHeight w:val="315"/>
          <w:jc w:val="center"/>
        </w:trPr>
        <w:tc>
          <w:tcPr>
            <w:tcW w:w="4040" w:type="dxa"/>
            <w:tcBorders>
              <w:top w:val="nil"/>
              <w:left w:val="single" w:sz="8" w:space="0" w:color="auto"/>
              <w:bottom w:val="single" w:sz="8" w:space="0" w:color="auto"/>
              <w:right w:val="single" w:sz="8" w:space="0" w:color="auto"/>
            </w:tcBorders>
            <w:shd w:val="clear" w:color="auto" w:fill="auto"/>
            <w:vAlign w:val="center"/>
            <w:hideMark/>
          </w:tcPr>
          <w:p w14:paraId="4AD9EEC5" w14:textId="77777777" w:rsidR="00D2408E" w:rsidRPr="008E4EB0" w:rsidRDefault="00D2408E" w:rsidP="00D2408E">
            <w:pPr>
              <w:spacing w:after="0" w:line="240" w:lineRule="auto"/>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4"/>
                <w:lang w:eastAsia="lv-LV"/>
              </w:rPr>
              <w:t xml:space="preserve">Akmeņogles / </w:t>
            </w:r>
            <w:r w:rsidRPr="008E4EB0">
              <w:rPr>
                <w:rFonts w:ascii="Times New Roman" w:eastAsia="Times New Roman" w:hAnsi="Times New Roman" w:cs="Times New Roman"/>
                <w:b/>
                <w:bCs/>
                <w:color w:val="000000"/>
                <w:sz w:val="20"/>
                <w:szCs w:val="20"/>
                <w:lang w:eastAsia="lv-LV"/>
              </w:rPr>
              <w:t>koksne</w:t>
            </w:r>
          </w:p>
        </w:tc>
        <w:tc>
          <w:tcPr>
            <w:tcW w:w="2280" w:type="dxa"/>
            <w:tcBorders>
              <w:top w:val="nil"/>
              <w:left w:val="nil"/>
              <w:bottom w:val="single" w:sz="8" w:space="0" w:color="auto"/>
              <w:right w:val="single" w:sz="8" w:space="0" w:color="auto"/>
            </w:tcBorders>
            <w:shd w:val="clear" w:color="auto" w:fill="auto"/>
            <w:vAlign w:val="center"/>
            <w:hideMark/>
          </w:tcPr>
          <w:p w14:paraId="25A9D28F" w14:textId="77777777" w:rsidR="00D2408E" w:rsidRPr="008E4EB0" w:rsidRDefault="00D2408E" w:rsidP="00D2408E">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4"/>
                <w:lang w:eastAsia="lv-LV"/>
              </w:rPr>
              <w:t>47</w:t>
            </w:r>
          </w:p>
        </w:tc>
      </w:tr>
      <w:tr w:rsidR="00D2408E" w:rsidRPr="008E4EB0" w14:paraId="59FB4874" w14:textId="77777777" w:rsidTr="00D2408E">
        <w:trPr>
          <w:trHeight w:val="315"/>
          <w:jc w:val="center"/>
        </w:trPr>
        <w:tc>
          <w:tcPr>
            <w:tcW w:w="4040" w:type="dxa"/>
            <w:tcBorders>
              <w:top w:val="nil"/>
              <w:left w:val="single" w:sz="8" w:space="0" w:color="auto"/>
              <w:bottom w:val="single" w:sz="8" w:space="0" w:color="auto"/>
              <w:right w:val="single" w:sz="8" w:space="0" w:color="auto"/>
            </w:tcBorders>
            <w:shd w:val="clear" w:color="auto" w:fill="auto"/>
            <w:vAlign w:val="center"/>
            <w:hideMark/>
          </w:tcPr>
          <w:p w14:paraId="2CDF2BB0" w14:textId="77777777" w:rsidR="00D2408E" w:rsidRPr="008E4EB0" w:rsidRDefault="00D2408E" w:rsidP="00D2408E">
            <w:pPr>
              <w:spacing w:after="0" w:line="240" w:lineRule="auto"/>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 xml:space="preserve">Akmeņogles, </w:t>
            </w:r>
            <w:r w:rsidRPr="008E4EB0">
              <w:rPr>
                <w:rFonts w:ascii="Times New Roman" w:eastAsia="Times New Roman" w:hAnsi="Times New Roman" w:cs="Times New Roman"/>
                <w:b/>
                <w:bCs/>
                <w:color w:val="000000"/>
                <w:sz w:val="20"/>
                <w:szCs w:val="20"/>
                <w:lang w:eastAsia="lv-LV"/>
              </w:rPr>
              <w:t>koksne</w:t>
            </w:r>
            <w:r w:rsidRPr="008E4EB0">
              <w:rPr>
                <w:rFonts w:ascii="Times New Roman" w:eastAsia="Times New Roman" w:hAnsi="Times New Roman" w:cs="Times New Roman"/>
                <w:color w:val="000000"/>
                <w:sz w:val="20"/>
                <w:szCs w:val="20"/>
                <w:lang w:eastAsia="lv-LV"/>
              </w:rPr>
              <w:t>, dabasgāze</w:t>
            </w:r>
          </w:p>
        </w:tc>
        <w:tc>
          <w:tcPr>
            <w:tcW w:w="2280" w:type="dxa"/>
            <w:tcBorders>
              <w:top w:val="nil"/>
              <w:left w:val="nil"/>
              <w:bottom w:val="single" w:sz="8" w:space="0" w:color="auto"/>
              <w:right w:val="single" w:sz="8" w:space="0" w:color="auto"/>
            </w:tcBorders>
            <w:shd w:val="clear" w:color="auto" w:fill="auto"/>
            <w:vAlign w:val="center"/>
            <w:hideMark/>
          </w:tcPr>
          <w:p w14:paraId="089BBF01" w14:textId="77777777" w:rsidR="00D2408E" w:rsidRPr="008E4EB0" w:rsidRDefault="00D2408E" w:rsidP="00D2408E">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4"/>
                <w:lang w:eastAsia="lv-LV"/>
              </w:rPr>
              <w:t>2</w:t>
            </w:r>
          </w:p>
        </w:tc>
      </w:tr>
      <w:tr w:rsidR="00D2408E" w:rsidRPr="008E4EB0" w14:paraId="1806F33B" w14:textId="77777777" w:rsidTr="00D2408E">
        <w:trPr>
          <w:trHeight w:val="315"/>
          <w:jc w:val="center"/>
        </w:trPr>
        <w:tc>
          <w:tcPr>
            <w:tcW w:w="4040" w:type="dxa"/>
            <w:tcBorders>
              <w:top w:val="nil"/>
              <w:left w:val="single" w:sz="8" w:space="0" w:color="auto"/>
              <w:bottom w:val="single" w:sz="8" w:space="0" w:color="auto"/>
              <w:right w:val="single" w:sz="8" w:space="0" w:color="auto"/>
            </w:tcBorders>
            <w:shd w:val="clear" w:color="auto" w:fill="auto"/>
            <w:vAlign w:val="center"/>
            <w:hideMark/>
          </w:tcPr>
          <w:p w14:paraId="181761BC" w14:textId="77777777" w:rsidR="00D2408E" w:rsidRPr="008E4EB0" w:rsidRDefault="00D2408E" w:rsidP="00D2408E">
            <w:pPr>
              <w:spacing w:after="0" w:line="240" w:lineRule="auto"/>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 xml:space="preserve">Dabasgāze, </w:t>
            </w:r>
            <w:r w:rsidRPr="008E4EB0">
              <w:rPr>
                <w:rFonts w:ascii="Times New Roman" w:eastAsia="Times New Roman" w:hAnsi="Times New Roman" w:cs="Times New Roman"/>
                <w:b/>
                <w:bCs/>
                <w:color w:val="000000"/>
                <w:sz w:val="20"/>
                <w:szCs w:val="20"/>
                <w:lang w:eastAsia="lv-LV"/>
              </w:rPr>
              <w:t>graudi</w:t>
            </w:r>
          </w:p>
        </w:tc>
        <w:tc>
          <w:tcPr>
            <w:tcW w:w="2280" w:type="dxa"/>
            <w:tcBorders>
              <w:top w:val="nil"/>
              <w:left w:val="nil"/>
              <w:bottom w:val="single" w:sz="8" w:space="0" w:color="auto"/>
              <w:right w:val="single" w:sz="8" w:space="0" w:color="auto"/>
            </w:tcBorders>
            <w:shd w:val="clear" w:color="auto" w:fill="auto"/>
            <w:vAlign w:val="center"/>
            <w:hideMark/>
          </w:tcPr>
          <w:p w14:paraId="540D29BC" w14:textId="77777777" w:rsidR="00D2408E" w:rsidRPr="008E4EB0" w:rsidRDefault="00D2408E" w:rsidP="00D2408E">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4"/>
                <w:lang w:eastAsia="lv-LV"/>
              </w:rPr>
              <w:t>2</w:t>
            </w:r>
          </w:p>
        </w:tc>
      </w:tr>
      <w:tr w:rsidR="00D2408E" w:rsidRPr="008E4EB0" w14:paraId="0C0E0130" w14:textId="77777777" w:rsidTr="00D2408E">
        <w:trPr>
          <w:trHeight w:val="315"/>
          <w:jc w:val="center"/>
        </w:trPr>
        <w:tc>
          <w:tcPr>
            <w:tcW w:w="4040" w:type="dxa"/>
            <w:tcBorders>
              <w:top w:val="nil"/>
              <w:left w:val="single" w:sz="8" w:space="0" w:color="auto"/>
              <w:bottom w:val="single" w:sz="8" w:space="0" w:color="auto"/>
              <w:right w:val="single" w:sz="8" w:space="0" w:color="auto"/>
            </w:tcBorders>
            <w:shd w:val="clear" w:color="auto" w:fill="auto"/>
            <w:vAlign w:val="center"/>
            <w:hideMark/>
          </w:tcPr>
          <w:p w14:paraId="5DADE16B" w14:textId="77777777" w:rsidR="00D2408E" w:rsidRPr="008E4EB0" w:rsidRDefault="00D2408E" w:rsidP="00D2408E">
            <w:pPr>
              <w:spacing w:after="0" w:line="240" w:lineRule="auto"/>
              <w:jc w:val="both"/>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 xml:space="preserve">Dabasgāze, </w:t>
            </w:r>
            <w:r w:rsidRPr="008E4EB0">
              <w:rPr>
                <w:rFonts w:ascii="Times New Roman" w:eastAsia="Times New Roman" w:hAnsi="Times New Roman" w:cs="Times New Roman"/>
                <w:b/>
                <w:bCs/>
                <w:color w:val="000000"/>
                <w:sz w:val="20"/>
                <w:szCs w:val="20"/>
                <w:lang w:eastAsia="lv-LV"/>
              </w:rPr>
              <w:t>koksne</w:t>
            </w:r>
          </w:p>
        </w:tc>
        <w:tc>
          <w:tcPr>
            <w:tcW w:w="2280" w:type="dxa"/>
            <w:tcBorders>
              <w:top w:val="nil"/>
              <w:left w:val="nil"/>
              <w:bottom w:val="single" w:sz="8" w:space="0" w:color="auto"/>
              <w:right w:val="single" w:sz="8" w:space="0" w:color="auto"/>
            </w:tcBorders>
            <w:shd w:val="clear" w:color="auto" w:fill="auto"/>
            <w:vAlign w:val="center"/>
            <w:hideMark/>
          </w:tcPr>
          <w:p w14:paraId="72ADAE8B" w14:textId="77777777" w:rsidR="00D2408E" w:rsidRPr="008E4EB0" w:rsidRDefault="00D2408E" w:rsidP="00D2408E">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4"/>
                <w:lang w:eastAsia="lv-LV"/>
              </w:rPr>
              <w:t>11</w:t>
            </w:r>
          </w:p>
        </w:tc>
      </w:tr>
      <w:tr w:rsidR="00D2408E" w:rsidRPr="008E4EB0" w14:paraId="1D7C7F59" w14:textId="77777777" w:rsidTr="00D2408E">
        <w:trPr>
          <w:trHeight w:val="315"/>
          <w:jc w:val="center"/>
        </w:trPr>
        <w:tc>
          <w:tcPr>
            <w:tcW w:w="4040" w:type="dxa"/>
            <w:tcBorders>
              <w:top w:val="nil"/>
              <w:left w:val="single" w:sz="8" w:space="0" w:color="auto"/>
              <w:bottom w:val="single" w:sz="8" w:space="0" w:color="auto"/>
              <w:right w:val="single" w:sz="8" w:space="0" w:color="auto"/>
            </w:tcBorders>
            <w:shd w:val="clear" w:color="auto" w:fill="auto"/>
            <w:vAlign w:val="center"/>
            <w:hideMark/>
          </w:tcPr>
          <w:p w14:paraId="10503720" w14:textId="77777777" w:rsidR="00D2408E" w:rsidRPr="008E4EB0" w:rsidRDefault="00D2408E" w:rsidP="00D2408E">
            <w:pPr>
              <w:spacing w:after="0" w:line="240" w:lineRule="auto"/>
              <w:jc w:val="both"/>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 xml:space="preserve">Dīzeļdegviela, </w:t>
            </w:r>
            <w:r w:rsidRPr="008E4EB0">
              <w:rPr>
                <w:rFonts w:ascii="Times New Roman" w:eastAsia="Times New Roman" w:hAnsi="Times New Roman" w:cs="Times New Roman"/>
                <w:b/>
                <w:bCs/>
                <w:color w:val="000000"/>
                <w:sz w:val="20"/>
                <w:szCs w:val="20"/>
                <w:lang w:eastAsia="lv-LV"/>
              </w:rPr>
              <w:t>koksne</w:t>
            </w:r>
          </w:p>
        </w:tc>
        <w:tc>
          <w:tcPr>
            <w:tcW w:w="2280" w:type="dxa"/>
            <w:tcBorders>
              <w:top w:val="nil"/>
              <w:left w:val="nil"/>
              <w:bottom w:val="single" w:sz="8" w:space="0" w:color="auto"/>
              <w:right w:val="single" w:sz="8" w:space="0" w:color="auto"/>
            </w:tcBorders>
            <w:shd w:val="clear" w:color="auto" w:fill="auto"/>
            <w:vAlign w:val="center"/>
            <w:hideMark/>
          </w:tcPr>
          <w:p w14:paraId="705F924D" w14:textId="77777777" w:rsidR="00D2408E" w:rsidRPr="008E4EB0" w:rsidRDefault="00D2408E" w:rsidP="00D2408E">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4</w:t>
            </w:r>
          </w:p>
        </w:tc>
      </w:tr>
      <w:tr w:rsidR="00D2408E" w:rsidRPr="008E4EB0" w14:paraId="53DD9A00" w14:textId="77777777" w:rsidTr="00D2408E">
        <w:trPr>
          <w:trHeight w:val="315"/>
          <w:jc w:val="center"/>
        </w:trPr>
        <w:tc>
          <w:tcPr>
            <w:tcW w:w="4040" w:type="dxa"/>
            <w:tcBorders>
              <w:top w:val="nil"/>
              <w:left w:val="single" w:sz="8" w:space="0" w:color="auto"/>
              <w:bottom w:val="single" w:sz="8" w:space="0" w:color="auto"/>
              <w:right w:val="single" w:sz="8" w:space="0" w:color="auto"/>
            </w:tcBorders>
            <w:shd w:val="clear" w:color="auto" w:fill="auto"/>
            <w:vAlign w:val="center"/>
            <w:hideMark/>
          </w:tcPr>
          <w:p w14:paraId="4C2E380C" w14:textId="77777777" w:rsidR="00D2408E" w:rsidRPr="008E4EB0" w:rsidRDefault="00D2408E" w:rsidP="00D2408E">
            <w:pPr>
              <w:spacing w:after="0" w:line="240" w:lineRule="auto"/>
              <w:jc w:val="both"/>
              <w:rPr>
                <w:rFonts w:ascii="Times New Roman" w:eastAsia="Times New Roman" w:hAnsi="Times New Roman" w:cs="Times New Roman"/>
                <w:b/>
                <w:bCs/>
                <w:color w:val="000000"/>
                <w:sz w:val="20"/>
                <w:szCs w:val="20"/>
                <w:lang w:eastAsia="lv-LV"/>
              </w:rPr>
            </w:pPr>
            <w:r w:rsidRPr="008E4EB0">
              <w:rPr>
                <w:rFonts w:ascii="Times New Roman" w:eastAsia="Times New Roman" w:hAnsi="Times New Roman" w:cs="Times New Roman"/>
                <w:b/>
                <w:bCs/>
                <w:color w:val="000000"/>
                <w:sz w:val="20"/>
                <w:szCs w:val="20"/>
                <w:lang w:eastAsia="lv-LV"/>
              </w:rPr>
              <w:t>Graudi, pelavas</w:t>
            </w:r>
          </w:p>
        </w:tc>
        <w:tc>
          <w:tcPr>
            <w:tcW w:w="2280" w:type="dxa"/>
            <w:tcBorders>
              <w:top w:val="nil"/>
              <w:left w:val="nil"/>
              <w:bottom w:val="single" w:sz="8" w:space="0" w:color="auto"/>
              <w:right w:val="single" w:sz="8" w:space="0" w:color="auto"/>
            </w:tcBorders>
            <w:shd w:val="clear" w:color="auto" w:fill="auto"/>
            <w:vAlign w:val="center"/>
            <w:hideMark/>
          </w:tcPr>
          <w:p w14:paraId="2428FF79" w14:textId="77777777" w:rsidR="00D2408E" w:rsidRPr="008E4EB0" w:rsidRDefault="00D2408E" w:rsidP="00D2408E">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1</w:t>
            </w:r>
          </w:p>
        </w:tc>
      </w:tr>
      <w:tr w:rsidR="00D2408E" w:rsidRPr="008E4EB0" w14:paraId="3CA0A8AF" w14:textId="77777777" w:rsidTr="00D2408E">
        <w:trPr>
          <w:trHeight w:val="315"/>
          <w:jc w:val="center"/>
        </w:trPr>
        <w:tc>
          <w:tcPr>
            <w:tcW w:w="4040" w:type="dxa"/>
            <w:tcBorders>
              <w:top w:val="nil"/>
              <w:left w:val="single" w:sz="8" w:space="0" w:color="auto"/>
              <w:bottom w:val="single" w:sz="8" w:space="0" w:color="auto"/>
              <w:right w:val="single" w:sz="8" w:space="0" w:color="auto"/>
            </w:tcBorders>
            <w:shd w:val="clear" w:color="auto" w:fill="auto"/>
            <w:vAlign w:val="center"/>
            <w:hideMark/>
          </w:tcPr>
          <w:p w14:paraId="7769D20E" w14:textId="77777777" w:rsidR="00D2408E" w:rsidRPr="008E4EB0" w:rsidRDefault="00D2408E" w:rsidP="00D2408E">
            <w:pPr>
              <w:spacing w:after="0" w:line="240" w:lineRule="auto"/>
              <w:jc w:val="both"/>
              <w:rPr>
                <w:rFonts w:ascii="Times New Roman" w:eastAsia="Times New Roman" w:hAnsi="Times New Roman" w:cs="Times New Roman"/>
                <w:b/>
                <w:bCs/>
                <w:color w:val="000000"/>
                <w:sz w:val="20"/>
                <w:szCs w:val="20"/>
                <w:lang w:eastAsia="lv-LV"/>
              </w:rPr>
            </w:pPr>
            <w:r w:rsidRPr="008E4EB0">
              <w:rPr>
                <w:rFonts w:ascii="Times New Roman" w:eastAsia="Times New Roman" w:hAnsi="Times New Roman" w:cs="Times New Roman"/>
                <w:b/>
                <w:bCs/>
                <w:color w:val="000000"/>
                <w:sz w:val="20"/>
                <w:szCs w:val="20"/>
                <w:lang w:eastAsia="lv-LV"/>
              </w:rPr>
              <w:t>Koksne (malka, granulas, briketes, šķelda)</w:t>
            </w:r>
          </w:p>
        </w:tc>
        <w:tc>
          <w:tcPr>
            <w:tcW w:w="2280" w:type="dxa"/>
            <w:tcBorders>
              <w:top w:val="nil"/>
              <w:left w:val="nil"/>
              <w:bottom w:val="single" w:sz="8" w:space="0" w:color="auto"/>
              <w:right w:val="single" w:sz="8" w:space="0" w:color="auto"/>
            </w:tcBorders>
            <w:shd w:val="clear" w:color="auto" w:fill="auto"/>
            <w:vAlign w:val="center"/>
            <w:hideMark/>
          </w:tcPr>
          <w:p w14:paraId="31AC5E0B" w14:textId="77777777" w:rsidR="00D2408E" w:rsidRPr="008E4EB0" w:rsidRDefault="00D2408E" w:rsidP="00D2408E">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185</w:t>
            </w:r>
          </w:p>
        </w:tc>
      </w:tr>
      <w:tr w:rsidR="00D2408E" w:rsidRPr="008E4EB0" w14:paraId="3B95908F" w14:textId="77777777" w:rsidTr="00D2408E">
        <w:trPr>
          <w:trHeight w:val="315"/>
          <w:jc w:val="center"/>
        </w:trPr>
        <w:tc>
          <w:tcPr>
            <w:tcW w:w="4040" w:type="dxa"/>
            <w:tcBorders>
              <w:top w:val="nil"/>
              <w:left w:val="single" w:sz="8" w:space="0" w:color="auto"/>
              <w:bottom w:val="single" w:sz="8" w:space="0" w:color="auto"/>
              <w:right w:val="single" w:sz="8" w:space="0" w:color="auto"/>
            </w:tcBorders>
            <w:shd w:val="clear" w:color="auto" w:fill="auto"/>
            <w:vAlign w:val="center"/>
            <w:hideMark/>
          </w:tcPr>
          <w:p w14:paraId="7A740F7F" w14:textId="77777777" w:rsidR="00D2408E" w:rsidRPr="008E4EB0" w:rsidRDefault="00D2408E" w:rsidP="00D2408E">
            <w:pPr>
              <w:spacing w:after="0" w:line="240" w:lineRule="auto"/>
              <w:jc w:val="both"/>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b/>
                <w:bCs/>
                <w:color w:val="000000"/>
                <w:sz w:val="20"/>
                <w:szCs w:val="20"/>
                <w:lang w:eastAsia="lv-LV"/>
              </w:rPr>
              <w:t>Koksne</w:t>
            </w:r>
            <w:r w:rsidRPr="008E4EB0">
              <w:rPr>
                <w:rFonts w:ascii="Times New Roman" w:eastAsia="Times New Roman" w:hAnsi="Times New Roman" w:cs="Times New Roman"/>
                <w:color w:val="000000"/>
                <w:sz w:val="20"/>
                <w:szCs w:val="20"/>
                <w:lang w:eastAsia="lv-LV"/>
              </w:rPr>
              <w:t>, elektriskā apkure</w:t>
            </w:r>
          </w:p>
        </w:tc>
        <w:tc>
          <w:tcPr>
            <w:tcW w:w="2280" w:type="dxa"/>
            <w:tcBorders>
              <w:top w:val="nil"/>
              <w:left w:val="nil"/>
              <w:bottom w:val="single" w:sz="8" w:space="0" w:color="auto"/>
              <w:right w:val="single" w:sz="8" w:space="0" w:color="auto"/>
            </w:tcBorders>
            <w:shd w:val="clear" w:color="auto" w:fill="auto"/>
            <w:vAlign w:val="center"/>
            <w:hideMark/>
          </w:tcPr>
          <w:p w14:paraId="518377BE" w14:textId="77777777" w:rsidR="00D2408E" w:rsidRPr="008E4EB0" w:rsidRDefault="00D2408E" w:rsidP="00D2408E">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1</w:t>
            </w:r>
          </w:p>
        </w:tc>
      </w:tr>
      <w:tr w:rsidR="00D2408E" w:rsidRPr="008E4EB0" w14:paraId="16CFF04B" w14:textId="77777777" w:rsidTr="00D2408E">
        <w:trPr>
          <w:trHeight w:val="315"/>
          <w:jc w:val="center"/>
        </w:trPr>
        <w:tc>
          <w:tcPr>
            <w:tcW w:w="4040" w:type="dxa"/>
            <w:tcBorders>
              <w:top w:val="nil"/>
              <w:left w:val="single" w:sz="8" w:space="0" w:color="auto"/>
              <w:bottom w:val="single" w:sz="8" w:space="0" w:color="auto"/>
              <w:right w:val="single" w:sz="8" w:space="0" w:color="auto"/>
            </w:tcBorders>
            <w:shd w:val="clear" w:color="auto" w:fill="auto"/>
            <w:vAlign w:val="center"/>
            <w:hideMark/>
          </w:tcPr>
          <w:p w14:paraId="73D7A44C" w14:textId="77777777" w:rsidR="00D2408E" w:rsidRPr="008E4EB0" w:rsidRDefault="00D2408E" w:rsidP="00D2408E">
            <w:pPr>
              <w:spacing w:after="0" w:line="240" w:lineRule="auto"/>
              <w:jc w:val="both"/>
              <w:rPr>
                <w:rFonts w:ascii="Times New Roman" w:eastAsia="Times New Roman" w:hAnsi="Times New Roman" w:cs="Times New Roman"/>
                <w:b/>
                <w:bCs/>
                <w:color w:val="000000"/>
                <w:sz w:val="20"/>
                <w:szCs w:val="20"/>
                <w:lang w:eastAsia="lv-LV"/>
              </w:rPr>
            </w:pPr>
            <w:r w:rsidRPr="008E4EB0">
              <w:rPr>
                <w:rFonts w:ascii="Times New Roman" w:eastAsia="Times New Roman" w:hAnsi="Times New Roman" w:cs="Times New Roman"/>
                <w:b/>
                <w:bCs/>
                <w:color w:val="000000"/>
                <w:sz w:val="20"/>
                <w:szCs w:val="20"/>
                <w:lang w:eastAsia="lv-LV"/>
              </w:rPr>
              <w:t>Siltumsūknis</w:t>
            </w:r>
          </w:p>
        </w:tc>
        <w:tc>
          <w:tcPr>
            <w:tcW w:w="2280" w:type="dxa"/>
            <w:tcBorders>
              <w:top w:val="nil"/>
              <w:left w:val="nil"/>
              <w:bottom w:val="single" w:sz="8" w:space="0" w:color="auto"/>
              <w:right w:val="single" w:sz="8" w:space="0" w:color="auto"/>
            </w:tcBorders>
            <w:shd w:val="clear" w:color="auto" w:fill="auto"/>
            <w:vAlign w:val="center"/>
            <w:hideMark/>
          </w:tcPr>
          <w:p w14:paraId="32C6FC75" w14:textId="77777777" w:rsidR="00D2408E" w:rsidRPr="008E4EB0" w:rsidRDefault="00D2408E" w:rsidP="00D2408E">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3</w:t>
            </w:r>
          </w:p>
        </w:tc>
      </w:tr>
      <w:tr w:rsidR="00D2408E" w:rsidRPr="008E4EB0" w14:paraId="22B9C898" w14:textId="77777777" w:rsidTr="00D2408E">
        <w:trPr>
          <w:trHeight w:val="315"/>
          <w:jc w:val="center"/>
        </w:trPr>
        <w:tc>
          <w:tcPr>
            <w:tcW w:w="4040" w:type="dxa"/>
            <w:tcBorders>
              <w:top w:val="nil"/>
              <w:left w:val="single" w:sz="8" w:space="0" w:color="auto"/>
              <w:bottom w:val="single" w:sz="8" w:space="0" w:color="auto"/>
              <w:right w:val="single" w:sz="8" w:space="0" w:color="auto"/>
            </w:tcBorders>
            <w:shd w:val="clear" w:color="auto" w:fill="auto"/>
            <w:vAlign w:val="center"/>
            <w:hideMark/>
          </w:tcPr>
          <w:p w14:paraId="42423447" w14:textId="77777777" w:rsidR="00D2408E" w:rsidRPr="008E4EB0" w:rsidRDefault="00D2408E" w:rsidP="00D2408E">
            <w:pPr>
              <w:spacing w:after="0" w:line="240" w:lineRule="auto"/>
              <w:jc w:val="both"/>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b/>
                <w:bCs/>
                <w:color w:val="000000"/>
                <w:sz w:val="20"/>
                <w:szCs w:val="20"/>
                <w:lang w:eastAsia="lv-LV"/>
              </w:rPr>
              <w:t>Siltumsūknis, saules kolektors</w:t>
            </w:r>
            <w:r w:rsidRPr="008E4EB0">
              <w:rPr>
                <w:rFonts w:ascii="Times New Roman" w:eastAsia="Times New Roman" w:hAnsi="Times New Roman" w:cs="Times New Roman"/>
                <w:color w:val="000000"/>
                <w:sz w:val="20"/>
                <w:szCs w:val="20"/>
                <w:lang w:eastAsia="lv-LV"/>
              </w:rPr>
              <w:t>, dīzeļdegviela</w:t>
            </w:r>
          </w:p>
        </w:tc>
        <w:tc>
          <w:tcPr>
            <w:tcW w:w="2280" w:type="dxa"/>
            <w:tcBorders>
              <w:top w:val="nil"/>
              <w:left w:val="nil"/>
              <w:bottom w:val="single" w:sz="8" w:space="0" w:color="auto"/>
              <w:right w:val="single" w:sz="8" w:space="0" w:color="auto"/>
            </w:tcBorders>
            <w:shd w:val="clear" w:color="auto" w:fill="auto"/>
            <w:vAlign w:val="center"/>
            <w:hideMark/>
          </w:tcPr>
          <w:p w14:paraId="00DC6921" w14:textId="77777777" w:rsidR="00D2408E" w:rsidRPr="008E4EB0" w:rsidRDefault="00D2408E" w:rsidP="00D2408E">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1</w:t>
            </w:r>
          </w:p>
        </w:tc>
      </w:tr>
      <w:tr w:rsidR="00D2408E" w:rsidRPr="008E4EB0" w14:paraId="4D558EF7" w14:textId="77777777" w:rsidTr="00D2408E">
        <w:trPr>
          <w:trHeight w:val="315"/>
          <w:jc w:val="center"/>
        </w:trPr>
        <w:tc>
          <w:tcPr>
            <w:tcW w:w="4040" w:type="dxa"/>
            <w:tcBorders>
              <w:top w:val="nil"/>
              <w:left w:val="single" w:sz="8" w:space="0" w:color="auto"/>
              <w:bottom w:val="single" w:sz="8" w:space="0" w:color="auto"/>
              <w:right w:val="nil"/>
            </w:tcBorders>
            <w:shd w:val="clear" w:color="auto" w:fill="auto"/>
            <w:vAlign w:val="center"/>
            <w:hideMark/>
          </w:tcPr>
          <w:p w14:paraId="4C512C23" w14:textId="77777777" w:rsidR="00D2408E" w:rsidRPr="008E4EB0" w:rsidRDefault="00D2408E" w:rsidP="00D2408E">
            <w:pPr>
              <w:spacing w:after="0" w:line="240" w:lineRule="auto"/>
              <w:jc w:val="both"/>
              <w:rPr>
                <w:rFonts w:ascii="Times New Roman" w:eastAsia="Times New Roman" w:hAnsi="Times New Roman" w:cs="Times New Roman"/>
                <w:b/>
                <w:bCs/>
                <w:color w:val="000000"/>
                <w:sz w:val="20"/>
                <w:szCs w:val="20"/>
                <w:lang w:eastAsia="lv-LV"/>
              </w:rPr>
            </w:pPr>
            <w:r w:rsidRPr="008E4EB0">
              <w:rPr>
                <w:rFonts w:ascii="Times New Roman" w:eastAsia="Times New Roman" w:hAnsi="Times New Roman" w:cs="Times New Roman"/>
                <w:b/>
                <w:bCs/>
                <w:color w:val="000000"/>
                <w:sz w:val="20"/>
                <w:szCs w:val="20"/>
                <w:lang w:eastAsia="lv-LV"/>
              </w:rPr>
              <w:t>Siltumsūknis, saules kolektors</w:t>
            </w:r>
          </w:p>
        </w:tc>
        <w:tc>
          <w:tcPr>
            <w:tcW w:w="2280" w:type="dxa"/>
            <w:tcBorders>
              <w:top w:val="nil"/>
              <w:left w:val="single" w:sz="8" w:space="0" w:color="auto"/>
              <w:bottom w:val="single" w:sz="8" w:space="0" w:color="auto"/>
              <w:right w:val="single" w:sz="8" w:space="0" w:color="auto"/>
            </w:tcBorders>
            <w:shd w:val="clear" w:color="auto" w:fill="auto"/>
            <w:vAlign w:val="center"/>
            <w:hideMark/>
          </w:tcPr>
          <w:p w14:paraId="6117138A" w14:textId="77777777" w:rsidR="00D2408E" w:rsidRPr="008E4EB0" w:rsidRDefault="00D2408E" w:rsidP="00D2408E">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1</w:t>
            </w:r>
          </w:p>
        </w:tc>
      </w:tr>
      <w:tr w:rsidR="00D2408E" w:rsidRPr="008E4EB0" w14:paraId="3B0FB50C" w14:textId="77777777" w:rsidTr="00D2408E">
        <w:trPr>
          <w:trHeight w:val="315"/>
          <w:jc w:val="center"/>
        </w:trPr>
        <w:tc>
          <w:tcPr>
            <w:tcW w:w="4040" w:type="dxa"/>
            <w:tcBorders>
              <w:top w:val="nil"/>
              <w:left w:val="single" w:sz="8" w:space="0" w:color="auto"/>
              <w:bottom w:val="single" w:sz="8" w:space="0" w:color="auto"/>
              <w:right w:val="single" w:sz="8" w:space="0" w:color="auto"/>
            </w:tcBorders>
            <w:shd w:val="clear" w:color="auto" w:fill="auto"/>
            <w:vAlign w:val="center"/>
            <w:hideMark/>
          </w:tcPr>
          <w:p w14:paraId="665A80E8" w14:textId="77777777" w:rsidR="00D2408E" w:rsidRPr="008E4EB0" w:rsidRDefault="00D2408E" w:rsidP="00D2408E">
            <w:pPr>
              <w:spacing w:after="0" w:line="240" w:lineRule="auto"/>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4"/>
                <w:lang w:eastAsia="lv-LV"/>
              </w:rPr>
              <w:t>Kopā</w:t>
            </w:r>
          </w:p>
        </w:tc>
        <w:tc>
          <w:tcPr>
            <w:tcW w:w="2280" w:type="dxa"/>
            <w:tcBorders>
              <w:top w:val="nil"/>
              <w:left w:val="nil"/>
              <w:bottom w:val="single" w:sz="8" w:space="0" w:color="auto"/>
              <w:right w:val="single" w:sz="8" w:space="0" w:color="auto"/>
            </w:tcBorders>
            <w:shd w:val="clear" w:color="auto" w:fill="auto"/>
            <w:vAlign w:val="center"/>
            <w:hideMark/>
          </w:tcPr>
          <w:p w14:paraId="391022B1" w14:textId="77777777" w:rsidR="00D2408E" w:rsidRPr="008E4EB0" w:rsidRDefault="00D2408E" w:rsidP="00D2408E">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4"/>
                <w:lang w:eastAsia="lv-LV"/>
              </w:rPr>
              <w:t>258</w:t>
            </w:r>
          </w:p>
        </w:tc>
      </w:tr>
    </w:tbl>
    <w:p w14:paraId="1DCA6AAB" w14:textId="6ACA8242" w:rsidR="00C1024E" w:rsidRPr="008E4EB0" w:rsidRDefault="00C1024E" w:rsidP="00D2408E">
      <w:pPr>
        <w:spacing w:after="0" w:line="276" w:lineRule="auto"/>
        <w:jc w:val="both"/>
        <w:rPr>
          <w:rFonts w:ascii="Times New Roman" w:hAnsi="Times New Roman" w:cs="Times New Roman"/>
          <w:sz w:val="24"/>
          <w:szCs w:val="24"/>
        </w:rPr>
      </w:pPr>
    </w:p>
    <w:p w14:paraId="75F417E2" w14:textId="77777777" w:rsidR="00C1024E" w:rsidRPr="008E4EB0" w:rsidRDefault="00C1024E">
      <w:pPr>
        <w:rPr>
          <w:rFonts w:ascii="Times New Roman" w:hAnsi="Times New Roman" w:cs="Times New Roman"/>
          <w:sz w:val="24"/>
          <w:szCs w:val="24"/>
        </w:rPr>
      </w:pPr>
      <w:r w:rsidRPr="008E4EB0">
        <w:rPr>
          <w:rFonts w:ascii="Times New Roman" w:hAnsi="Times New Roman" w:cs="Times New Roman"/>
          <w:sz w:val="24"/>
          <w:szCs w:val="24"/>
        </w:rPr>
        <w:br w:type="page"/>
      </w:r>
    </w:p>
    <w:p w14:paraId="3B339F38" w14:textId="16C9EED2" w:rsidR="00990903" w:rsidRPr="008E4EB0" w:rsidRDefault="00990903" w:rsidP="00D64CF6">
      <w:pPr>
        <w:pStyle w:val="virsraksts"/>
      </w:pPr>
      <w:bookmarkStart w:id="43" w:name="_Toc480527216"/>
      <w:bookmarkStart w:id="44" w:name="_Toc480527959"/>
      <w:bookmarkStart w:id="45" w:name="_Toc480528284"/>
      <w:bookmarkStart w:id="46" w:name="_Toc480528398"/>
      <w:bookmarkStart w:id="47" w:name="_Toc480528507"/>
      <w:bookmarkStart w:id="48" w:name="_Toc480529315"/>
      <w:bookmarkStart w:id="49" w:name="_Toc480529388"/>
      <w:bookmarkStart w:id="50" w:name="_Toc480527217"/>
      <w:bookmarkStart w:id="51" w:name="_Toc480527960"/>
      <w:bookmarkStart w:id="52" w:name="_Toc480528285"/>
      <w:bookmarkStart w:id="53" w:name="_Toc480528399"/>
      <w:bookmarkStart w:id="54" w:name="_Toc480528508"/>
      <w:bookmarkStart w:id="55" w:name="_Toc480529316"/>
      <w:bookmarkStart w:id="56" w:name="_Toc480529389"/>
      <w:bookmarkStart w:id="57" w:name="_Toc480527218"/>
      <w:bookmarkStart w:id="58" w:name="_Toc480527961"/>
      <w:bookmarkStart w:id="59" w:name="_Toc480528286"/>
      <w:bookmarkStart w:id="60" w:name="_Toc480528400"/>
      <w:bookmarkStart w:id="61" w:name="_Toc480528509"/>
      <w:bookmarkStart w:id="62" w:name="_Toc480529317"/>
      <w:bookmarkStart w:id="63" w:name="_Toc480529390"/>
      <w:bookmarkStart w:id="64" w:name="_Toc480527962"/>
      <w:bookmarkStart w:id="65" w:name="_Toc491870911"/>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8E4EB0">
        <w:lastRenderedPageBreak/>
        <w:t xml:space="preserve">Rentabla pieeja ēku </w:t>
      </w:r>
      <w:r w:rsidR="00CE0F55" w:rsidRPr="008E4EB0">
        <w:t>atjaunošana</w:t>
      </w:r>
      <w:r w:rsidRPr="008E4EB0">
        <w:t>i</w:t>
      </w:r>
      <w:bookmarkEnd w:id="64"/>
      <w:bookmarkEnd w:id="65"/>
    </w:p>
    <w:p w14:paraId="466FFCD6" w14:textId="199C6D18" w:rsidR="00990903" w:rsidRPr="008E4EB0" w:rsidRDefault="00894854" w:rsidP="00D64CF6">
      <w:pPr>
        <w:pStyle w:val="apakvirsraksts"/>
      </w:pPr>
      <w:bookmarkStart w:id="66" w:name="_Toc480527963"/>
      <w:bookmarkStart w:id="67" w:name="_Toc491870912"/>
      <w:r w:rsidRPr="008E4EB0">
        <w:t>I</w:t>
      </w:r>
      <w:r w:rsidR="00990903" w:rsidRPr="008E4EB0">
        <w:t>zmaksu ziņā optimāls minimālo energoefektivitātes prasību līmenis</w:t>
      </w:r>
      <w:bookmarkEnd w:id="66"/>
      <w:bookmarkEnd w:id="67"/>
    </w:p>
    <w:p w14:paraId="616F5B35" w14:textId="77777777" w:rsidR="00681193" w:rsidRPr="008E4EB0" w:rsidRDefault="00681193" w:rsidP="00891ADF">
      <w:pPr>
        <w:pStyle w:val="ListParagraph"/>
        <w:ind w:left="0" w:firstLine="851"/>
        <w:jc w:val="both"/>
        <w:rPr>
          <w:rFonts w:ascii="Times New Roman" w:hAnsi="Times New Roman" w:cs="Times New Roman"/>
          <w:sz w:val="24"/>
          <w:szCs w:val="24"/>
        </w:rPr>
      </w:pPr>
    </w:p>
    <w:p w14:paraId="12D77D26" w14:textId="104FD371" w:rsidR="00891ADF" w:rsidRPr="008E4EB0" w:rsidRDefault="00891ADF" w:rsidP="00891ADF">
      <w:pPr>
        <w:pStyle w:val="ListParagraph"/>
        <w:ind w:left="0" w:firstLine="851"/>
        <w:jc w:val="both"/>
        <w:rPr>
          <w:rFonts w:ascii="Times New Roman" w:hAnsi="Times New Roman" w:cs="Times New Roman"/>
          <w:sz w:val="24"/>
          <w:szCs w:val="24"/>
        </w:rPr>
      </w:pPr>
      <w:r w:rsidRPr="008E4EB0">
        <w:rPr>
          <w:rFonts w:ascii="Times New Roman" w:hAnsi="Times New Roman" w:cs="Times New Roman"/>
          <w:sz w:val="24"/>
          <w:szCs w:val="24"/>
        </w:rPr>
        <w:t>Prasība par izmaksu ziņā optimāla minimālo energoefektivitātes prasību līmeņa aprēķinu veikšanu un Ziņojuma iesniegšanu Eiropas Komisijai (turpmāk – EK) ir noteikta  Direktīvas 2010/31/ES par ēku energoefektivitāti 5.pantā, kas nosaka, ka dalībvalstis aprēķina izmaksu ziņā optimālo minimālo energoefektivitātes prasību līmeni jaunām un esošām ēkām un salīdzina aprēķinu rezultātus ar esošajām minimālajām energoefektivitātes prasībām.</w:t>
      </w:r>
    </w:p>
    <w:p w14:paraId="6FE8DACA" w14:textId="77777777" w:rsidR="00891ADF" w:rsidRPr="008E4EB0" w:rsidRDefault="00891ADF" w:rsidP="00891ADF">
      <w:pPr>
        <w:pStyle w:val="ListParagraph"/>
        <w:ind w:left="0" w:firstLine="851"/>
        <w:jc w:val="both"/>
        <w:rPr>
          <w:rFonts w:ascii="Times New Roman" w:hAnsi="Times New Roman" w:cs="Times New Roman"/>
          <w:sz w:val="24"/>
          <w:szCs w:val="24"/>
        </w:rPr>
      </w:pPr>
      <w:r w:rsidRPr="008E4EB0">
        <w:rPr>
          <w:rFonts w:ascii="Times New Roman" w:hAnsi="Times New Roman" w:cs="Times New Roman"/>
          <w:sz w:val="24"/>
          <w:szCs w:val="24"/>
        </w:rPr>
        <w:t>Tajā skaitā Direktīvas 2010/31/ES 5.punkts nosaka, ka ES dalībvalstis ziņo EK par visiem ievades datiem un pieņēmumiem, kas tiek izmantoti optimālā minimālo energoefektivitātes prasību līmeņa aprēķiniem, kā arī par šo aprēķinu rezultātiem. Dalībvalstis šādus Ziņojumus iesniedz regulāros laikposmos, kas nav ilgāki par pieciem gadiem.</w:t>
      </w:r>
    </w:p>
    <w:p w14:paraId="531E7C3B" w14:textId="77777777" w:rsidR="00891ADF" w:rsidRPr="008E4EB0" w:rsidRDefault="00891ADF" w:rsidP="00891ADF">
      <w:pPr>
        <w:pStyle w:val="ListParagraph"/>
        <w:ind w:left="0" w:firstLine="851"/>
        <w:jc w:val="both"/>
        <w:rPr>
          <w:rFonts w:ascii="Times New Roman" w:hAnsi="Times New Roman" w:cs="Times New Roman"/>
          <w:sz w:val="24"/>
          <w:szCs w:val="24"/>
        </w:rPr>
      </w:pPr>
      <w:r w:rsidRPr="008E4EB0">
        <w:rPr>
          <w:rFonts w:ascii="Times New Roman" w:hAnsi="Times New Roman" w:cs="Times New Roman"/>
          <w:sz w:val="24"/>
          <w:szCs w:val="24"/>
        </w:rPr>
        <w:t>EM 2013.gada  17.decembrī sagatavoja un nosūtīja EK ziņojumu par energoefektivitātes prasībām Latvijā jaunām un rekonstruējamām ēkām atbilstoši optimālo izmaksu līmenim, kur apkopoti pētījuma rezultāti šādām ēku kategorijām:  daudzdzīvokļu dzīvojamās mājas, vienģimenes mājas, biroji, bērnudārzi, skolas, slimnīcas un biroju ēkas.</w:t>
      </w:r>
    </w:p>
    <w:p w14:paraId="5390BF38" w14:textId="77777777" w:rsidR="00891ADF" w:rsidRPr="008E4EB0" w:rsidRDefault="00891ADF" w:rsidP="00891ADF">
      <w:pPr>
        <w:pStyle w:val="ListParagraph"/>
        <w:ind w:left="0" w:firstLine="851"/>
        <w:jc w:val="both"/>
        <w:rPr>
          <w:rFonts w:ascii="Times New Roman" w:hAnsi="Times New Roman" w:cs="Times New Roman"/>
          <w:sz w:val="24"/>
          <w:szCs w:val="24"/>
        </w:rPr>
      </w:pPr>
      <w:r w:rsidRPr="008E4EB0">
        <w:rPr>
          <w:rFonts w:ascii="Times New Roman" w:hAnsi="Times New Roman" w:cs="Times New Roman"/>
          <w:sz w:val="24"/>
          <w:szCs w:val="24"/>
        </w:rPr>
        <w:t>Ziņojums par energoefektivitātes prasībām Latvijā jaunām un rekonstruējamām ēkām atbilstoši optimālo izmaksu līmenim (Cost optimal)) saskaņā ar Direktīvas 2010/31/ES par ēku energoefektivitāti 5.pantu pieejams EM mājas lapā</w:t>
      </w:r>
      <w:r w:rsidRPr="008E4EB0">
        <w:rPr>
          <w:rStyle w:val="FootnoteReference"/>
          <w:rFonts w:ascii="Times New Roman" w:hAnsi="Times New Roman" w:cs="Times New Roman"/>
          <w:sz w:val="24"/>
          <w:szCs w:val="24"/>
        </w:rPr>
        <w:footnoteReference w:id="16"/>
      </w:r>
      <w:r w:rsidRPr="008E4EB0">
        <w:rPr>
          <w:rFonts w:ascii="Times New Roman" w:hAnsi="Times New Roman" w:cs="Times New Roman"/>
          <w:sz w:val="24"/>
          <w:szCs w:val="24"/>
        </w:rPr>
        <w:t>.</w:t>
      </w:r>
    </w:p>
    <w:p w14:paraId="20374B37" w14:textId="0B38EBB1" w:rsidR="008A0231" w:rsidRPr="008E4EB0" w:rsidRDefault="008A0231" w:rsidP="00891ADF">
      <w:pPr>
        <w:pStyle w:val="ListParagraph"/>
        <w:ind w:left="0" w:firstLine="851"/>
        <w:jc w:val="both"/>
        <w:rPr>
          <w:rFonts w:ascii="Times New Roman" w:hAnsi="Times New Roman" w:cs="Times New Roman"/>
          <w:sz w:val="24"/>
          <w:szCs w:val="24"/>
        </w:rPr>
      </w:pPr>
    </w:p>
    <w:p w14:paraId="23FE29A7" w14:textId="77777777" w:rsidR="00681193" w:rsidRPr="008E4EB0" w:rsidRDefault="00681193" w:rsidP="00D64CF6">
      <w:pPr>
        <w:pStyle w:val="apakvirsraksts"/>
      </w:pPr>
      <w:bookmarkStart w:id="68" w:name="_Toc480527964"/>
      <w:bookmarkStart w:id="69" w:name="_Toc491870913"/>
      <w:r w:rsidRPr="008E4EB0">
        <w:t>Minimālās energoefektivitātes prasības šobrīd</w:t>
      </w:r>
      <w:bookmarkEnd w:id="68"/>
      <w:bookmarkEnd w:id="69"/>
    </w:p>
    <w:p w14:paraId="24311D2C" w14:textId="77777777" w:rsidR="008A0231" w:rsidRPr="008E4EB0" w:rsidRDefault="008A0231" w:rsidP="00891ADF">
      <w:pPr>
        <w:pStyle w:val="ListParagraph"/>
        <w:ind w:left="0" w:firstLine="851"/>
        <w:jc w:val="both"/>
        <w:rPr>
          <w:rFonts w:ascii="Times New Roman" w:hAnsi="Times New Roman" w:cs="Times New Roman"/>
          <w:sz w:val="24"/>
          <w:szCs w:val="24"/>
        </w:rPr>
      </w:pPr>
    </w:p>
    <w:p w14:paraId="7304B4BC" w14:textId="3B6A72A9" w:rsidR="00891ADF" w:rsidRPr="008E4EB0" w:rsidRDefault="00891ADF" w:rsidP="00891ADF">
      <w:pPr>
        <w:pStyle w:val="ListParagraph"/>
        <w:ind w:left="0" w:firstLine="851"/>
        <w:jc w:val="both"/>
        <w:rPr>
          <w:rFonts w:ascii="Times New Roman" w:hAnsi="Times New Roman" w:cs="Times New Roman"/>
          <w:sz w:val="24"/>
          <w:szCs w:val="24"/>
        </w:rPr>
      </w:pPr>
      <w:r w:rsidRPr="008E4EB0">
        <w:rPr>
          <w:rFonts w:ascii="Times New Roman" w:hAnsi="Times New Roman" w:cs="Times New Roman"/>
          <w:sz w:val="24"/>
          <w:szCs w:val="24"/>
        </w:rPr>
        <w:t>Ziņojumā ietvertie aprēķini parādīja, ka esošās minimālās energoefektivitātes prasības daļā no ēkām un būves elementiem  nesasniedza optimālas minimālās energoefektivitātes prasības, kā rezultātā tika 2014.gada 8.aprīlī tika grozīti 2011.gada 27.novembra MK noteikumi Nr.495 „Noteikumi par Latvijas būvnormatīvu LBN 002-01 "Ēku norobežojošo konstrukciju siltumtehnika". Atbilstoši jaunajam Būvniecības likumam, šie noteikumi tika pārizdoti</w:t>
      </w:r>
      <w:r w:rsidRPr="008E4EB0">
        <w:rPr>
          <w:rStyle w:val="FootnoteReference"/>
          <w:rFonts w:ascii="Times New Roman" w:hAnsi="Times New Roman" w:cs="Times New Roman"/>
          <w:sz w:val="24"/>
          <w:szCs w:val="24"/>
        </w:rPr>
        <w:footnoteReference w:id="17"/>
      </w:r>
      <w:r w:rsidRPr="008E4EB0">
        <w:rPr>
          <w:rFonts w:ascii="Times New Roman" w:hAnsi="Times New Roman" w:cs="Times New Roman"/>
          <w:sz w:val="24"/>
          <w:szCs w:val="24"/>
        </w:rPr>
        <w:t xml:space="preserve">, saglabājot  noteiktos izmaksu optimālās prasības. Prasību izmaiņas attēlotas </w:t>
      </w:r>
      <w:r w:rsidR="00F749EA" w:rsidRPr="008E4EB0">
        <w:rPr>
          <w:rFonts w:ascii="Times New Roman" w:hAnsi="Times New Roman" w:cs="Times New Roman"/>
          <w:sz w:val="24"/>
          <w:szCs w:val="24"/>
        </w:rPr>
        <w:t>1</w:t>
      </w:r>
      <w:r w:rsidR="00F749EA">
        <w:rPr>
          <w:rFonts w:ascii="Times New Roman" w:hAnsi="Times New Roman" w:cs="Times New Roman"/>
          <w:sz w:val="24"/>
          <w:szCs w:val="24"/>
        </w:rPr>
        <w:t>2</w:t>
      </w:r>
      <w:r w:rsidRPr="008E4EB0">
        <w:rPr>
          <w:rFonts w:ascii="Times New Roman" w:hAnsi="Times New Roman" w:cs="Times New Roman"/>
          <w:sz w:val="24"/>
          <w:szCs w:val="24"/>
        </w:rPr>
        <w:t>.tabulā.</w:t>
      </w:r>
    </w:p>
    <w:p w14:paraId="169697FF" w14:textId="77777777" w:rsidR="00891ADF" w:rsidRPr="008E4EB0" w:rsidRDefault="00891ADF" w:rsidP="00891ADF">
      <w:pPr>
        <w:pStyle w:val="ListParagraph"/>
        <w:ind w:left="0" w:firstLine="851"/>
        <w:jc w:val="both"/>
        <w:rPr>
          <w:rFonts w:ascii="Times New Roman" w:hAnsi="Times New Roman" w:cs="Times New Roman"/>
          <w:sz w:val="24"/>
          <w:szCs w:val="24"/>
        </w:rPr>
      </w:pPr>
    </w:p>
    <w:p w14:paraId="1DBEBE50" w14:textId="7DBDA0BF" w:rsidR="00891ADF" w:rsidRPr="008E4EB0" w:rsidRDefault="00F749EA" w:rsidP="00FC1505">
      <w:pPr>
        <w:pStyle w:val="ListParagraph"/>
        <w:keepNext/>
        <w:keepLines/>
        <w:ind w:left="0" w:firstLine="851"/>
        <w:jc w:val="center"/>
        <w:rPr>
          <w:rFonts w:ascii="Times New Roman" w:hAnsi="Times New Roman" w:cs="Times New Roman"/>
          <w:sz w:val="24"/>
          <w:szCs w:val="24"/>
        </w:rPr>
      </w:pPr>
      <w:r w:rsidRPr="008E4EB0">
        <w:rPr>
          <w:rFonts w:ascii="Times New Roman" w:hAnsi="Times New Roman" w:cs="Times New Roman"/>
          <w:sz w:val="24"/>
          <w:szCs w:val="24"/>
        </w:rPr>
        <w:lastRenderedPageBreak/>
        <w:t>1</w:t>
      </w:r>
      <w:r>
        <w:rPr>
          <w:rFonts w:ascii="Times New Roman" w:hAnsi="Times New Roman" w:cs="Times New Roman"/>
          <w:sz w:val="24"/>
          <w:szCs w:val="24"/>
        </w:rPr>
        <w:t>2</w:t>
      </w:r>
      <w:r w:rsidR="00891ADF" w:rsidRPr="008E4EB0">
        <w:rPr>
          <w:rFonts w:ascii="Times New Roman" w:hAnsi="Times New Roman" w:cs="Times New Roman"/>
          <w:sz w:val="24"/>
          <w:szCs w:val="24"/>
        </w:rPr>
        <w:t>.tabula. Būvelementa un lineārā termiskā tilta siltuma caurlaidības koeficientu U</w:t>
      </w:r>
      <w:r w:rsidR="00891ADF" w:rsidRPr="008E4EB0">
        <w:rPr>
          <w:rFonts w:ascii="Times New Roman" w:hAnsi="Times New Roman" w:cs="Times New Roman"/>
          <w:sz w:val="24"/>
          <w:szCs w:val="24"/>
          <w:vertAlign w:val="subscript"/>
        </w:rPr>
        <w:t>RN</w:t>
      </w:r>
      <w:r w:rsidR="00891ADF" w:rsidRPr="008E4EB0">
        <w:rPr>
          <w:rFonts w:ascii="Times New Roman" w:hAnsi="Times New Roman" w:cs="Times New Roman"/>
          <w:sz w:val="24"/>
          <w:szCs w:val="24"/>
        </w:rPr>
        <w:t xml:space="preserve"> un U</w:t>
      </w:r>
      <w:r w:rsidR="00891ADF" w:rsidRPr="008E4EB0">
        <w:rPr>
          <w:rFonts w:ascii="Times New Roman" w:hAnsi="Times New Roman" w:cs="Times New Roman"/>
          <w:sz w:val="24"/>
          <w:szCs w:val="24"/>
          <w:vertAlign w:val="subscript"/>
        </w:rPr>
        <w:t>RM</w:t>
      </w:r>
      <w:r w:rsidR="00891ADF" w:rsidRPr="008E4EB0">
        <w:rPr>
          <w:rFonts w:ascii="Times New Roman" w:hAnsi="Times New Roman" w:cs="Times New Roman"/>
          <w:sz w:val="24"/>
          <w:szCs w:val="24"/>
        </w:rPr>
        <w:t xml:space="preserve"> W/(m</w:t>
      </w:r>
      <w:r w:rsidR="00891ADF" w:rsidRPr="008E4EB0">
        <w:rPr>
          <w:rFonts w:ascii="Times New Roman" w:hAnsi="Times New Roman" w:cs="Times New Roman"/>
          <w:sz w:val="24"/>
          <w:szCs w:val="24"/>
          <w:vertAlign w:val="superscript"/>
        </w:rPr>
        <w:t>2</w:t>
      </w:r>
      <w:r w:rsidR="00891ADF" w:rsidRPr="008E4EB0">
        <w:rPr>
          <w:rFonts w:ascii="Times New Roman" w:hAnsi="Times New Roman" w:cs="Times New Roman"/>
          <w:sz w:val="24"/>
          <w:szCs w:val="24"/>
        </w:rPr>
        <w:t xml:space="preserve"> x K), un </w:t>
      </w:r>
      <w:r w:rsidR="00891ADF" w:rsidRPr="008E4EB0">
        <w:rPr>
          <w:rFonts w:ascii="Times New Roman" w:hAnsi="Times New Roman" w:cs="Times New Roman"/>
          <w:caps/>
          <w:sz w:val="24"/>
          <w:szCs w:val="24"/>
        </w:rPr>
        <w:t>ψ</w:t>
      </w:r>
      <w:r w:rsidR="00891ADF" w:rsidRPr="008E4EB0">
        <w:rPr>
          <w:rFonts w:ascii="Times New Roman" w:hAnsi="Times New Roman" w:cs="Times New Roman"/>
          <w:sz w:val="24"/>
          <w:szCs w:val="24"/>
          <w:vertAlign w:val="subscript"/>
        </w:rPr>
        <w:t>RN</w:t>
      </w:r>
      <w:r w:rsidR="00891ADF" w:rsidRPr="008E4EB0">
        <w:rPr>
          <w:rFonts w:ascii="Times New Roman" w:hAnsi="Times New Roman" w:cs="Times New Roman"/>
          <w:sz w:val="24"/>
          <w:szCs w:val="24"/>
        </w:rPr>
        <w:t xml:space="preserve"> un </w:t>
      </w:r>
      <w:r w:rsidR="00891ADF" w:rsidRPr="008E4EB0">
        <w:rPr>
          <w:rFonts w:ascii="Times New Roman" w:hAnsi="Times New Roman" w:cs="Times New Roman"/>
          <w:caps/>
          <w:sz w:val="24"/>
          <w:szCs w:val="24"/>
        </w:rPr>
        <w:t>ψ</w:t>
      </w:r>
      <w:r w:rsidR="00891ADF" w:rsidRPr="008E4EB0">
        <w:rPr>
          <w:rFonts w:ascii="Times New Roman" w:hAnsi="Times New Roman" w:cs="Times New Roman"/>
          <w:sz w:val="24"/>
          <w:szCs w:val="24"/>
          <w:vertAlign w:val="subscript"/>
        </w:rPr>
        <w:t>RM</w:t>
      </w:r>
      <w:r w:rsidR="00891ADF" w:rsidRPr="008E4EB0">
        <w:rPr>
          <w:rFonts w:ascii="Times New Roman" w:hAnsi="Times New Roman" w:cs="Times New Roman"/>
          <w:sz w:val="24"/>
          <w:szCs w:val="24"/>
        </w:rPr>
        <w:t xml:space="preserve"> W/(m x K) normatīvās un maksimālo vērtību salīdzinājums ņemot vērā prasības 2003. gadā un prasības 2015.gadā, ņemot vērā izmaksu optimālos līmeņus.</w:t>
      </w:r>
    </w:p>
    <w:tbl>
      <w:tblPr>
        <w:tblStyle w:val="TableGrid"/>
        <w:tblW w:w="10349" w:type="dxa"/>
        <w:tblInd w:w="-998" w:type="dxa"/>
        <w:tblLayout w:type="fixed"/>
        <w:tblLook w:val="04A0" w:firstRow="1" w:lastRow="0" w:firstColumn="1" w:lastColumn="0" w:noHBand="0" w:noVBand="1"/>
      </w:tblPr>
      <w:tblGrid>
        <w:gridCol w:w="462"/>
        <w:gridCol w:w="3083"/>
        <w:gridCol w:w="567"/>
        <w:gridCol w:w="567"/>
        <w:gridCol w:w="567"/>
        <w:gridCol w:w="567"/>
        <w:gridCol w:w="567"/>
        <w:gridCol w:w="567"/>
        <w:gridCol w:w="567"/>
        <w:gridCol w:w="567"/>
        <w:gridCol w:w="567"/>
        <w:gridCol w:w="567"/>
        <w:gridCol w:w="567"/>
        <w:gridCol w:w="567"/>
      </w:tblGrid>
      <w:tr w:rsidR="00891ADF" w:rsidRPr="008E4EB0" w14:paraId="388115A2" w14:textId="77777777" w:rsidTr="00891ADF">
        <w:tc>
          <w:tcPr>
            <w:tcW w:w="462" w:type="dxa"/>
            <w:vMerge w:val="restart"/>
            <w:tcBorders>
              <w:top w:val="single" w:sz="4" w:space="0" w:color="auto"/>
              <w:left w:val="single" w:sz="4" w:space="0" w:color="auto"/>
              <w:bottom w:val="single" w:sz="4" w:space="0" w:color="auto"/>
              <w:right w:val="single" w:sz="4" w:space="0" w:color="auto"/>
            </w:tcBorders>
            <w:vAlign w:val="center"/>
            <w:hideMark/>
          </w:tcPr>
          <w:p w14:paraId="3997CC45" w14:textId="00EC60E9" w:rsidR="00891ADF" w:rsidRPr="008E4EB0" w:rsidRDefault="00891ADF" w:rsidP="00FC1505">
            <w:pPr>
              <w:keepNext/>
              <w:keepLines/>
              <w:ind w:right="-78" w:firstLine="720"/>
              <w:jc w:val="center"/>
              <w:rPr>
                <w:rFonts w:ascii="Times New Roman" w:hAnsi="Times New Roman" w:cs="Times New Roman"/>
                <w:sz w:val="24"/>
                <w:szCs w:val="24"/>
              </w:rPr>
            </w:pPr>
            <w:r w:rsidRPr="008E4EB0">
              <w:rPr>
                <w:rFonts w:ascii="Times New Roman" w:eastAsia="Times New Roman" w:hAnsi="Times New Roman" w:cs="Times New Roman"/>
                <w:color w:val="414142"/>
                <w:sz w:val="24"/>
                <w:szCs w:val="24"/>
                <w:lang w:eastAsia="lv-LV"/>
              </w:rPr>
              <w:t>N</w:t>
            </w:r>
            <w:r w:rsidR="00FC1505" w:rsidRPr="008E4EB0">
              <w:rPr>
                <w:rFonts w:ascii="Times New Roman" w:eastAsia="Times New Roman" w:hAnsi="Times New Roman" w:cs="Times New Roman"/>
                <w:color w:val="414142"/>
                <w:sz w:val="24"/>
                <w:szCs w:val="24"/>
                <w:lang w:eastAsia="lv-LV"/>
              </w:rPr>
              <w:t>N</w:t>
            </w:r>
            <w:r w:rsidRPr="008E4EB0">
              <w:rPr>
                <w:rFonts w:ascii="Times New Roman" w:eastAsia="Times New Roman" w:hAnsi="Times New Roman" w:cs="Times New Roman"/>
                <w:color w:val="414142"/>
                <w:sz w:val="24"/>
                <w:szCs w:val="24"/>
                <w:lang w:eastAsia="lv-LV"/>
              </w:rPr>
              <w:t>r.</w:t>
            </w:r>
            <w:r w:rsidRPr="008E4EB0">
              <w:rPr>
                <w:rFonts w:ascii="Times New Roman" w:eastAsia="Times New Roman" w:hAnsi="Times New Roman" w:cs="Times New Roman"/>
                <w:color w:val="414142"/>
                <w:sz w:val="24"/>
                <w:szCs w:val="24"/>
                <w:lang w:eastAsia="lv-LV"/>
              </w:rPr>
              <w:br/>
              <w:t>p.k.</w:t>
            </w:r>
          </w:p>
        </w:tc>
        <w:tc>
          <w:tcPr>
            <w:tcW w:w="3083" w:type="dxa"/>
            <w:vMerge w:val="restart"/>
            <w:tcBorders>
              <w:top w:val="single" w:sz="4" w:space="0" w:color="auto"/>
              <w:left w:val="single" w:sz="4" w:space="0" w:color="auto"/>
              <w:bottom w:val="single" w:sz="4" w:space="0" w:color="auto"/>
              <w:right w:val="single" w:sz="4" w:space="0" w:color="auto"/>
            </w:tcBorders>
            <w:vAlign w:val="center"/>
            <w:hideMark/>
          </w:tcPr>
          <w:p w14:paraId="0F84384E" w14:textId="77777777" w:rsidR="00891ADF" w:rsidRPr="008E4EB0" w:rsidRDefault="00891ADF">
            <w:pPr>
              <w:pStyle w:val="ListParagraph"/>
              <w:ind w:left="-30" w:right="-48"/>
              <w:jc w:val="center"/>
              <w:rPr>
                <w:rFonts w:ascii="Times New Roman" w:hAnsi="Times New Roman" w:cs="Times New Roman"/>
                <w:sz w:val="24"/>
                <w:szCs w:val="24"/>
              </w:rPr>
            </w:pPr>
            <w:r w:rsidRPr="008E4EB0">
              <w:rPr>
                <w:rFonts w:ascii="Times New Roman" w:eastAsia="Times New Roman" w:hAnsi="Times New Roman" w:cs="Times New Roman"/>
                <w:color w:val="414142"/>
                <w:sz w:val="24"/>
                <w:szCs w:val="24"/>
                <w:lang w:eastAsia="lv-LV"/>
              </w:rPr>
              <w:t>Būvelementi</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E70B584" w14:textId="77777777" w:rsidR="00891ADF" w:rsidRPr="008E4EB0" w:rsidRDefault="00891ADF">
            <w:pPr>
              <w:pStyle w:val="ListParagraph"/>
              <w:ind w:left="-30" w:right="-48"/>
              <w:jc w:val="center"/>
              <w:rPr>
                <w:rFonts w:ascii="Times New Roman" w:hAnsi="Times New Roman" w:cs="Times New Roman"/>
                <w:sz w:val="24"/>
                <w:szCs w:val="24"/>
              </w:rPr>
            </w:pPr>
            <w:r w:rsidRPr="008E4EB0">
              <w:rPr>
                <w:rFonts w:ascii="Times New Roman" w:hAnsi="Times New Roman" w:cs="Times New Roman"/>
                <w:sz w:val="24"/>
                <w:szCs w:val="24"/>
              </w:rPr>
              <w:t>Dzīvojamās mājas, pansionāti, slimnīcas un bērnudārzi</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24F0771A" w14:textId="77777777" w:rsidR="00891ADF" w:rsidRPr="008E4EB0" w:rsidRDefault="00891ADF">
            <w:pPr>
              <w:pStyle w:val="ListParagraph"/>
              <w:ind w:left="-30" w:right="-48"/>
              <w:jc w:val="center"/>
              <w:rPr>
                <w:rFonts w:ascii="Times New Roman" w:hAnsi="Times New Roman" w:cs="Times New Roman"/>
                <w:sz w:val="24"/>
                <w:szCs w:val="24"/>
              </w:rPr>
            </w:pPr>
            <w:r w:rsidRPr="008E4EB0">
              <w:rPr>
                <w:rFonts w:ascii="Times New Roman" w:hAnsi="Times New Roman" w:cs="Times New Roman"/>
                <w:sz w:val="24"/>
                <w:szCs w:val="24"/>
              </w:rPr>
              <w:t>Publiskās ēkas, izņemot pansionātus, slimnīcas un bērnudārzus</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3815D45F" w14:textId="77777777" w:rsidR="00891ADF" w:rsidRPr="008E4EB0" w:rsidRDefault="00891ADF">
            <w:pPr>
              <w:pStyle w:val="ListParagraph"/>
              <w:ind w:left="-30" w:right="-48"/>
              <w:jc w:val="center"/>
              <w:rPr>
                <w:rFonts w:ascii="Times New Roman" w:hAnsi="Times New Roman" w:cs="Times New Roman"/>
                <w:sz w:val="24"/>
                <w:szCs w:val="24"/>
              </w:rPr>
            </w:pPr>
            <w:r w:rsidRPr="008E4EB0">
              <w:rPr>
                <w:rFonts w:ascii="Times New Roman" w:hAnsi="Times New Roman" w:cs="Times New Roman"/>
                <w:sz w:val="24"/>
                <w:szCs w:val="24"/>
              </w:rPr>
              <w:t>Ražošanas ēkas</w:t>
            </w:r>
          </w:p>
        </w:tc>
      </w:tr>
      <w:tr w:rsidR="00891ADF" w:rsidRPr="008E4EB0" w14:paraId="7AA70AE9" w14:textId="77777777" w:rsidTr="00891ADF">
        <w:tc>
          <w:tcPr>
            <w:tcW w:w="462" w:type="dxa"/>
            <w:vMerge/>
            <w:tcBorders>
              <w:top w:val="single" w:sz="4" w:space="0" w:color="auto"/>
              <w:left w:val="single" w:sz="4" w:space="0" w:color="auto"/>
              <w:bottom w:val="single" w:sz="4" w:space="0" w:color="auto"/>
              <w:right w:val="single" w:sz="4" w:space="0" w:color="auto"/>
            </w:tcBorders>
            <w:vAlign w:val="center"/>
            <w:hideMark/>
          </w:tcPr>
          <w:p w14:paraId="4B27A884" w14:textId="77777777" w:rsidR="00891ADF" w:rsidRPr="008E4EB0" w:rsidRDefault="00891ADF">
            <w:pPr>
              <w:rPr>
                <w:rFonts w:ascii="Times New Roman" w:hAnsi="Times New Roman" w:cs="Times New Roman"/>
                <w:sz w:val="24"/>
                <w:szCs w:val="24"/>
              </w:rPr>
            </w:pPr>
          </w:p>
        </w:tc>
        <w:tc>
          <w:tcPr>
            <w:tcW w:w="3083" w:type="dxa"/>
            <w:vMerge/>
            <w:tcBorders>
              <w:top w:val="single" w:sz="4" w:space="0" w:color="auto"/>
              <w:left w:val="single" w:sz="4" w:space="0" w:color="auto"/>
              <w:bottom w:val="single" w:sz="4" w:space="0" w:color="auto"/>
              <w:right w:val="single" w:sz="4" w:space="0" w:color="auto"/>
            </w:tcBorders>
            <w:vAlign w:val="center"/>
            <w:hideMark/>
          </w:tcPr>
          <w:p w14:paraId="4B78A06D" w14:textId="77777777" w:rsidR="00891ADF" w:rsidRPr="008E4EB0" w:rsidRDefault="00891ADF">
            <w:pP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DAF5295" w14:textId="77777777" w:rsidR="00891ADF" w:rsidRPr="008E4EB0" w:rsidRDefault="00891ADF">
            <w:pPr>
              <w:pStyle w:val="ListParagraph"/>
              <w:ind w:left="-30" w:right="-48"/>
              <w:jc w:val="center"/>
              <w:rPr>
                <w:rFonts w:ascii="Times New Roman" w:hAnsi="Times New Roman" w:cs="Times New Roman"/>
                <w:sz w:val="24"/>
                <w:szCs w:val="24"/>
              </w:rPr>
            </w:pPr>
            <w:r w:rsidRPr="008E4EB0">
              <w:rPr>
                <w:rFonts w:ascii="Times New Roman" w:hAnsi="Times New Roman" w:cs="Times New Roman"/>
                <w:sz w:val="24"/>
                <w:szCs w:val="24"/>
              </w:rPr>
              <w:t>2003</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A0007ED" w14:textId="77777777" w:rsidR="00891ADF" w:rsidRPr="008E4EB0" w:rsidRDefault="00891ADF">
            <w:pPr>
              <w:pStyle w:val="ListParagraph"/>
              <w:ind w:left="-30" w:right="-48"/>
              <w:jc w:val="center"/>
              <w:rPr>
                <w:rFonts w:ascii="Times New Roman" w:hAnsi="Times New Roman" w:cs="Times New Roman"/>
                <w:sz w:val="24"/>
                <w:szCs w:val="24"/>
              </w:rPr>
            </w:pPr>
            <w:r w:rsidRPr="008E4EB0">
              <w:rPr>
                <w:rFonts w:ascii="Times New Roman" w:hAnsi="Times New Roman" w:cs="Times New Roman"/>
                <w:sz w:val="24"/>
                <w:szCs w:val="24"/>
              </w:rPr>
              <w:t>2015</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E3CFB37" w14:textId="77777777" w:rsidR="00891ADF" w:rsidRPr="008E4EB0" w:rsidRDefault="00891ADF">
            <w:pPr>
              <w:pStyle w:val="ListParagraph"/>
              <w:ind w:left="-30" w:right="-48"/>
              <w:jc w:val="center"/>
              <w:rPr>
                <w:rFonts w:ascii="Times New Roman" w:hAnsi="Times New Roman" w:cs="Times New Roman"/>
                <w:sz w:val="24"/>
                <w:szCs w:val="24"/>
              </w:rPr>
            </w:pPr>
            <w:r w:rsidRPr="008E4EB0">
              <w:rPr>
                <w:rFonts w:ascii="Times New Roman" w:hAnsi="Times New Roman" w:cs="Times New Roman"/>
                <w:sz w:val="24"/>
                <w:szCs w:val="24"/>
              </w:rPr>
              <w:t>2003</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47E7161" w14:textId="77777777" w:rsidR="00891ADF" w:rsidRPr="008E4EB0" w:rsidRDefault="00891ADF">
            <w:pPr>
              <w:pStyle w:val="ListParagraph"/>
              <w:ind w:left="-30" w:right="-48"/>
              <w:jc w:val="center"/>
              <w:rPr>
                <w:rFonts w:ascii="Times New Roman" w:hAnsi="Times New Roman" w:cs="Times New Roman"/>
                <w:sz w:val="24"/>
                <w:szCs w:val="24"/>
              </w:rPr>
            </w:pPr>
            <w:r w:rsidRPr="008E4EB0">
              <w:rPr>
                <w:rFonts w:ascii="Times New Roman" w:hAnsi="Times New Roman" w:cs="Times New Roman"/>
                <w:sz w:val="24"/>
                <w:szCs w:val="24"/>
              </w:rPr>
              <w:t>2015</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1D06E93" w14:textId="77777777" w:rsidR="00891ADF" w:rsidRPr="008E4EB0" w:rsidRDefault="00891ADF">
            <w:pPr>
              <w:pStyle w:val="ListParagraph"/>
              <w:ind w:left="-30" w:right="-48"/>
              <w:jc w:val="center"/>
              <w:rPr>
                <w:rFonts w:ascii="Times New Roman" w:hAnsi="Times New Roman" w:cs="Times New Roman"/>
                <w:sz w:val="24"/>
                <w:szCs w:val="24"/>
              </w:rPr>
            </w:pPr>
            <w:r w:rsidRPr="008E4EB0">
              <w:rPr>
                <w:rFonts w:ascii="Times New Roman" w:hAnsi="Times New Roman" w:cs="Times New Roman"/>
                <w:sz w:val="24"/>
                <w:szCs w:val="24"/>
              </w:rPr>
              <w:t>2003</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42F0386" w14:textId="77777777" w:rsidR="00891ADF" w:rsidRPr="008E4EB0" w:rsidRDefault="00891ADF">
            <w:pPr>
              <w:pStyle w:val="ListParagraph"/>
              <w:ind w:left="-30" w:right="-48"/>
              <w:jc w:val="center"/>
              <w:rPr>
                <w:rFonts w:ascii="Times New Roman" w:hAnsi="Times New Roman" w:cs="Times New Roman"/>
                <w:sz w:val="24"/>
                <w:szCs w:val="24"/>
              </w:rPr>
            </w:pPr>
            <w:r w:rsidRPr="008E4EB0">
              <w:rPr>
                <w:rFonts w:ascii="Times New Roman" w:hAnsi="Times New Roman" w:cs="Times New Roman"/>
                <w:sz w:val="24"/>
                <w:szCs w:val="24"/>
              </w:rPr>
              <w:t>2015</w:t>
            </w:r>
          </w:p>
        </w:tc>
      </w:tr>
      <w:tr w:rsidR="00891ADF" w:rsidRPr="008E4EB0" w14:paraId="03A6EE8C" w14:textId="77777777" w:rsidTr="00891ADF">
        <w:tc>
          <w:tcPr>
            <w:tcW w:w="462" w:type="dxa"/>
            <w:vMerge/>
            <w:tcBorders>
              <w:top w:val="single" w:sz="4" w:space="0" w:color="auto"/>
              <w:left w:val="single" w:sz="4" w:space="0" w:color="auto"/>
              <w:bottom w:val="single" w:sz="4" w:space="0" w:color="auto"/>
              <w:right w:val="single" w:sz="4" w:space="0" w:color="auto"/>
            </w:tcBorders>
            <w:vAlign w:val="center"/>
            <w:hideMark/>
          </w:tcPr>
          <w:p w14:paraId="755A87AD" w14:textId="77777777" w:rsidR="00891ADF" w:rsidRPr="008E4EB0" w:rsidRDefault="00891ADF">
            <w:pPr>
              <w:rPr>
                <w:rFonts w:ascii="Times New Roman" w:hAnsi="Times New Roman" w:cs="Times New Roman"/>
                <w:sz w:val="24"/>
                <w:szCs w:val="24"/>
              </w:rPr>
            </w:pPr>
          </w:p>
        </w:tc>
        <w:tc>
          <w:tcPr>
            <w:tcW w:w="3083" w:type="dxa"/>
            <w:vMerge/>
            <w:tcBorders>
              <w:top w:val="single" w:sz="4" w:space="0" w:color="auto"/>
              <w:left w:val="single" w:sz="4" w:space="0" w:color="auto"/>
              <w:bottom w:val="single" w:sz="4" w:space="0" w:color="auto"/>
              <w:right w:val="single" w:sz="4" w:space="0" w:color="auto"/>
            </w:tcBorders>
            <w:vAlign w:val="center"/>
            <w:hideMark/>
          </w:tcPr>
          <w:p w14:paraId="2D13DB94" w14:textId="77777777" w:rsidR="00891ADF" w:rsidRPr="008E4EB0" w:rsidRDefault="00891ADF">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6DDB8D9C" w14:textId="77777777" w:rsidR="00891ADF" w:rsidRPr="008E4EB0" w:rsidRDefault="00891ADF">
            <w:pPr>
              <w:pStyle w:val="ListParagraph"/>
              <w:ind w:left="-30" w:right="-48"/>
              <w:jc w:val="center"/>
              <w:rPr>
                <w:rFonts w:ascii="Times New Roman" w:hAnsi="Times New Roman" w:cs="Times New Roman"/>
                <w:sz w:val="24"/>
                <w:szCs w:val="24"/>
              </w:rPr>
            </w:pPr>
            <w:r w:rsidRPr="008E4EB0">
              <w:rPr>
                <w:rFonts w:ascii="Times New Roman" w:hAnsi="Times New Roman" w:cs="Times New Roman"/>
                <w:sz w:val="24"/>
                <w:szCs w:val="24"/>
              </w:rPr>
              <w:t>U</w:t>
            </w:r>
            <w:r w:rsidRPr="008E4EB0">
              <w:rPr>
                <w:rFonts w:ascii="Times New Roman" w:hAnsi="Times New Roman" w:cs="Times New Roman"/>
                <w:sz w:val="24"/>
                <w:szCs w:val="24"/>
                <w:vertAlign w:val="subscript"/>
              </w:rPr>
              <w:t>RN</w:t>
            </w:r>
          </w:p>
        </w:tc>
        <w:tc>
          <w:tcPr>
            <w:tcW w:w="567" w:type="dxa"/>
            <w:tcBorders>
              <w:top w:val="single" w:sz="4" w:space="0" w:color="auto"/>
              <w:left w:val="single" w:sz="4" w:space="0" w:color="auto"/>
              <w:bottom w:val="single" w:sz="4" w:space="0" w:color="auto"/>
              <w:right w:val="single" w:sz="4" w:space="0" w:color="auto"/>
            </w:tcBorders>
            <w:hideMark/>
          </w:tcPr>
          <w:p w14:paraId="1AD49981" w14:textId="77777777" w:rsidR="00891ADF" w:rsidRPr="008E4EB0" w:rsidRDefault="00891ADF">
            <w:pPr>
              <w:pStyle w:val="ListParagraph"/>
              <w:ind w:left="-30" w:right="-48"/>
              <w:jc w:val="center"/>
              <w:rPr>
                <w:rFonts w:ascii="Times New Roman" w:hAnsi="Times New Roman" w:cs="Times New Roman"/>
                <w:sz w:val="24"/>
                <w:szCs w:val="24"/>
              </w:rPr>
            </w:pPr>
            <w:r w:rsidRPr="008E4EB0">
              <w:rPr>
                <w:rFonts w:ascii="Times New Roman" w:hAnsi="Times New Roman" w:cs="Times New Roman"/>
                <w:sz w:val="24"/>
                <w:szCs w:val="24"/>
              </w:rPr>
              <w:t>U</w:t>
            </w:r>
            <w:r w:rsidRPr="008E4EB0">
              <w:rPr>
                <w:rFonts w:ascii="Times New Roman" w:hAnsi="Times New Roman" w:cs="Times New Roman"/>
                <w:sz w:val="24"/>
                <w:szCs w:val="24"/>
                <w:vertAlign w:val="subscript"/>
              </w:rPr>
              <w:t>RM</w:t>
            </w:r>
          </w:p>
        </w:tc>
        <w:tc>
          <w:tcPr>
            <w:tcW w:w="567" w:type="dxa"/>
            <w:tcBorders>
              <w:top w:val="single" w:sz="4" w:space="0" w:color="auto"/>
              <w:left w:val="single" w:sz="4" w:space="0" w:color="auto"/>
              <w:bottom w:val="single" w:sz="4" w:space="0" w:color="auto"/>
              <w:right w:val="single" w:sz="4" w:space="0" w:color="auto"/>
            </w:tcBorders>
            <w:hideMark/>
          </w:tcPr>
          <w:p w14:paraId="691198D7" w14:textId="77777777" w:rsidR="00891ADF" w:rsidRPr="008E4EB0" w:rsidRDefault="00891ADF">
            <w:pPr>
              <w:pStyle w:val="ListParagraph"/>
              <w:ind w:left="-30" w:right="-48"/>
              <w:jc w:val="center"/>
              <w:rPr>
                <w:rFonts w:ascii="Times New Roman" w:hAnsi="Times New Roman" w:cs="Times New Roman"/>
                <w:sz w:val="24"/>
                <w:szCs w:val="24"/>
              </w:rPr>
            </w:pPr>
            <w:r w:rsidRPr="008E4EB0">
              <w:rPr>
                <w:rFonts w:ascii="Times New Roman" w:hAnsi="Times New Roman" w:cs="Times New Roman"/>
                <w:sz w:val="24"/>
                <w:szCs w:val="24"/>
              </w:rPr>
              <w:t>U</w:t>
            </w:r>
            <w:r w:rsidRPr="008E4EB0">
              <w:rPr>
                <w:rFonts w:ascii="Times New Roman" w:hAnsi="Times New Roman" w:cs="Times New Roman"/>
                <w:sz w:val="24"/>
                <w:szCs w:val="24"/>
                <w:vertAlign w:val="subscript"/>
              </w:rPr>
              <w:t>RN</w:t>
            </w:r>
          </w:p>
        </w:tc>
        <w:tc>
          <w:tcPr>
            <w:tcW w:w="567" w:type="dxa"/>
            <w:tcBorders>
              <w:top w:val="single" w:sz="4" w:space="0" w:color="auto"/>
              <w:left w:val="single" w:sz="4" w:space="0" w:color="auto"/>
              <w:bottom w:val="single" w:sz="4" w:space="0" w:color="auto"/>
              <w:right w:val="single" w:sz="4" w:space="0" w:color="auto"/>
            </w:tcBorders>
            <w:hideMark/>
          </w:tcPr>
          <w:p w14:paraId="63216C09" w14:textId="77777777" w:rsidR="00891ADF" w:rsidRPr="008E4EB0" w:rsidRDefault="00891ADF">
            <w:pPr>
              <w:pStyle w:val="ListParagraph"/>
              <w:ind w:left="-30" w:right="-48"/>
              <w:jc w:val="center"/>
              <w:rPr>
                <w:rFonts w:ascii="Times New Roman" w:hAnsi="Times New Roman" w:cs="Times New Roman"/>
                <w:sz w:val="24"/>
                <w:szCs w:val="24"/>
              </w:rPr>
            </w:pPr>
            <w:r w:rsidRPr="008E4EB0">
              <w:rPr>
                <w:rFonts w:ascii="Times New Roman" w:hAnsi="Times New Roman" w:cs="Times New Roman"/>
                <w:sz w:val="24"/>
                <w:szCs w:val="24"/>
              </w:rPr>
              <w:t>U</w:t>
            </w:r>
            <w:r w:rsidRPr="008E4EB0">
              <w:rPr>
                <w:rFonts w:ascii="Times New Roman" w:hAnsi="Times New Roman" w:cs="Times New Roman"/>
                <w:sz w:val="24"/>
                <w:szCs w:val="24"/>
                <w:vertAlign w:val="subscript"/>
              </w:rPr>
              <w:t>RM</w:t>
            </w:r>
          </w:p>
        </w:tc>
        <w:tc>
          <w:tcPr>
            <w:tcW w:w="567" w:type="dxa"/>
            <w:tcBorders>
              <w:top w:val="single" w:sz="4" w:space="0" w:color="auto"/>
              <w:left w:val="single" w:sz="4" w:space="0" w:color="auto"/>
              <w:bottom w:val="single" w:sz="4" w:space="0" w:color="auto"/>
              <w:right w:val="single" w:sz="4" w:space="0" w:color="auto"/>
            </w:tcBorders>
            <w:hideMark/>
          </w:tcPr>
          <w:p w14:paraId="143A7FBF" w14:textId="77777777" w:rsidR="00891ADF" w:rsidRPr="008E4EB0" w:rsidRDefault="00891ADF">
            <w:pPr>
              <w:pStyle w:val="ListParagraph"/>
              <w:ind w:left="-30" w:right="-48"/>
              <w:jc w:val="center"/>
              <w:rPr>
                <w:rFonts w:ascii="Times New Roman" w:hAnsi="Times New Roman" w:cs="Times New Roman"/>
                <w:sz w:val="24"/>
                <w:szCs w:val="24"/>
              </w:rPr>
            </w:pPr>
            <w:r w:rsidRPr="008E4EB0">
              <w:rPr>
                <w:rFonts w:ascii="Times New Roman" w:hAnsi="Times New Roman" w:cs="Times New Roman"/>
                <w:sz w:val="24"/>
                <w:szCs w:val="24"/>
              </w:rPr>
              <w:t>U</w:t>
            </w:r>
            <w:r w:rsidRPr="008E4EB0">
              <w:rPr>
                <w:rFonts w:ascii="Times New Roman" w:hAnsi="Times New Roman" w:cs="Times New Roman"/>
                <w:sz w:val="24"/>
                <w:szCs w:val="24"/>
                <w:vertAlign w:val="subscript"/>
              </w:rPr>
              <w:t>RN</w:t>
            </w:r>
          </w:p>
        </w:tc>
        <w:tc>
          <w:tcPr>
            <w:tcW w:w="567" w:type="dxa"/>
            <w:tcBorders>
              <w:top w:val="single" w:sz="4" w:space="0" w:color="auto"/>
              <w:left w:val="single" w:sz="4" w:space="0" w:color="auto"/>
              <w:bottom w:val="single" w:sz="4" w:space="0" w:color="auto"/>
              <w:right w:val="single" w:sz="4" w:space="0" w:color="auto"/>
            </w:tcBorders>
            <w:hideMark/>
          </w:tcPr>
          <w:p w14:paraId="23437A23" w14:textId="77777777" w:rsidR="00891ADF" w:rsidRPr="008E4EB0" w:rsidRDefault="00891ADF">
            <w:pPr>
              <w:pStyle w:val="ListParagraph"/>
              <w:ind w:left="-30" w:right="-48"/>
              <w:jc w:val="center"/>
              <w:rPr>
                <w:rFonts w:ascii="Times New Roman" w:hAnsi="Times New Roman" w:cs="Times New Roman"/>
                <w:sz w:val="24"/>
                <w:szCs w:val="24"/>
              </w:rPr>
            </w:pPr>
            <w:r w:rsidRPr="008E4EB0">
              <w:rPr>
                <w:rFonts w:ascii="Times New Roman" w:hAnsi="Times New Roman" w:cs="Times New Roman"/>
                <w:sz w:val="24"/>
                <w:szCs w:val="24"/>
              </w:rPr>
              <w:t>U</w:t>
            </w:r>
            <w:r w:rsidRPr="008E4EB0">
              <w:rPr>
                <w:rFonts w:ascii="Times New Roman" w:hAnsi="Times New Roman" w:cs="Times New Roman"/>
                <w:sz w:val="24"/>
                <w:szCs w:val="24"/>
                <w:vertAlign w:val="subscript"/>
              </w:rPr>
              <w:t>RM</w:t>
            </w:r>
          </w:p>
        </w:tc>
        <w:tc>
          <w:tcPr>
            <w:tcW w:w="567" w:type="dxa"/>
            <w:tcBorders>
              <w:top w:val="single" w:sz="4" w:space="0" w:color="auto"/>
              <w:left w:val="single" w:sz="4" w:space="0" w:color="auto"/>
              <w:bottom w:val="single" w:sz="4" w:space="0" w:color="auto"/>
              <w:right w:val="single" w:sz="4" w:space="0" w:color="auto"/>
            </w:tcBorders>
            <w:hideMark/>
          </w:tcPr>
          <w:p w14:paraId="6EB14995" w14:textId="77777777" w:rsidR="00891ADF" w:rsidRPr="008E4EB0" w:rsidRDefault="00891ADF">
            <w:pPr>
              <w:pStyle w:val="ListParagraph"/>
              <w:ind w:left="-30" w:right="-48"/>
              <w:jc w:val="center"/>
              <w:rPr>
                <w:rFonts w:ascii="Times New Roman" w:hAnsi="Times New Roman" w:cs="Times New Roman"/>
                <w:sz w:val="24"/>
                <w:szCs w:val="24"/>
              </w:rPr>
            </w:pPr>
            <w:r w:rsidRPr="008E4EB0">
              <w:rPr>
                <w:rFonts w:ascii="Times New Roman" w:hAnsi="Times New Roman" w:cs="Times New Roman"/>
                <w:sz w:val="24"/>
                <w:szCs w:val="24"/>
              </w:rPr>
              <w:t>U</w:t>
            </w:r>
            <w:r w:rsidRPr="008E4EB0">
              <w:rPr>
                <w:rFonts w:ascii="Times New Roman" w:hAnsi="Times New Roman" w:cs="Times New Roman"/>
                <w:sz w:val="24"/>
                <w:szCs w:val="24"/>
                <w:vertAlign w:val="subscript"/>
              </w:rPr>
              <w:t>RN</w:t>
            </w:r>
          </w:p>
        </w:tc>
        <w:tc>
          <w:tcPr>
            <w:tcW w:w="567" w:type="dxa"/>
            <w:tcBorders>
              <w:top w:val="single" w:sz="4" w:space="0" w:color="auto"/>
              <w:left w:val="single" w:sz="4" w:space="0" w:color="auto"/>
              <w:bottom w:val="single" w:sz="4" w:space="0" w:color="auto"/>
              <w:right w:val="single" w:sz="4" w:space="0" w:color="auto"/>
            </w:tcBorders>
            <w:hideMark/>
          </w:tcPr>
          <w:p w14:paraId="2260D42A" w14:textId="77777777" w:rsidR="00891ADF" w:rsidRPr="008E4EB0" w:rsidRDefault="00891ADF">
            <w:pPr>
              <w:pStyle w:val="ListParagraph"/>
              <w:ind w:left="-30" w:right="-48"/>
              <w:jc w:val="center"/>
              <w:rPr>
                <w:rFonts w:ascii="Times New Roman" w:hAnsi="Times New Roman" w:cs="Times New Roman"/>
                <w:sz w:val="24"/>
                <w:szCs w:val="24"/>
              </w:rPr>
            </w:pPr>
            <w:r w:rsidRPr="008E4EB0">
              <w:rPr>
                <w:rFonts w:ascii="Times New Roman" w:hAnsi="Times New Roman" w:cs="Times New Roman"/>
                <w:sz w:val="24"/>
                <w:szCs w:val="24"/>
              </w:rPr>
              <w:t>U</w:t>
            </w:r>
            <w:r w:rsidRPr="008E4EB0">
              <w:rPr>
                <w:rFonts w:ascii="Times New Roman" w:hAnsi="Times New Roman" w:cs="Times New Roman"/>
                <w:sz w:val="24"/>
                <w:szCs w:val="24"/>
                <w:vertAlign w:val="subscript"/>
              </w:rPr>
              <w:t>RM</w:t>
            </w:r>
          </w:p>
        </w:tc>
        <w:tc>
          <w:tcPr>
            <w:tcW w:w="567" w:type="dxa"/>
            <w:tcBorders>
              <w:top w:val="single" w:sz="4" w:space="0" w:color="auto"/>
              <w:left w:val="single" w:sz="4" w:space="0" w:color="auto"/>
              <w:bottom w:val="single" w:sz="4" w:space="0" w:color="auto"/>
              <w:right w:val="single" w:sz="4" w:space="0" w:color="auto"/>
            </w:tcBorders>
            <w:hideMark/>
          </w:tcPr>
          <w:p w14:paraId="77B80C9F" w14:textId="77777777" w:rsidR="00891ADF" w:rsidRPr="008E4EB0" w:rsidRDefault="00891ADF">
            <w:pPr>
              <w:pStyle w:val="ListParagraph"/>
              <w:ind w:left="-30" w:right="-48"/>
              <w:jc w:val="center"/>
              <w:rPr>
                <w:rFonts w:ascii="Times New Roman" w:hAnsi="Times New Roman" w:cs="Times New Roman"/>
                <w:sz w:val="24"/>
                <w:szCs w:val="24"/>
              </w:rPr>
            </w:pPr>
            <w:r w:rsidRPr="008E4EB0">
              <w:rPr>
                <w:rFonts w:ascii="Times New Roman" w:hAnsi="Times New Roman" w:cs="Times New Roman"/>
                <w:sz w:val="24"/>
                <w:szCs w:val="24"/>
              </w:rPr>
              <w:t>U</w:t>
            </w:r>
            <w:r w:rsidRPr="008E4EB0">
              <w:rPr>
                <w:rFonts w:ascii="Times New Roman" w:hAnsi="Times New Roman" w:cs="Times New Roman"/>
                <w:sz w:val="24"/>
                <w:szCs w:val="24"/>
                <w:vertAlign w:val="subscript"/>
              </w:rPr>
              <w:t>RN</w:t>
            </w:r>
          </w:p>
        </w:tc>
        <w:tc>
          <w:tcPr>
            <w:tcW w:w="567" w:type="dxa"/>
            <w:tcBorders>
              <w:top w:val="single" w:sz="4" w:space="0" w:color="auto"/>
              <w:left w:val="single" w:sz="4" w:space="0" w:color="auto"/>
              <w:bottom w:val="single" w:sz="4" w:space="0" w:color="auto"/>
              <w:right w:val="single" w:sz="4" w:space="0" w:color="auto"/>
            </w:tcBorders>
            <w:hideMark/>
          </w:tcPr>
          <w:p w14:paraId="6AC926E5" w14:textId="77777777" w:rsidR="00891ADF" w:rsidRPr="008E4EB0" w:rsidRDefault="00891ADF">
            <w:pPr>
              <w:pStyle w:val="ListParagraph"/>
              <w:ind w:left="-30" w:right="-48"/>
              <w:jc w:val="center"/>
              <w:rPr>
                <w:rFonts w:ascii="Times New Roman" w:hAnsi="Times New Roman" w:cs="Times New Roman"/>
                <w:sz w:val="24"/>
                <w:szCs w:val="24"/>
              </w:rPr>
            </w:pPr>
            <w:r w:rsidRPr="008E4EB0">
              <w:rPr>
                <w:rFonts w:ascii="Times New Roman" w:hAnsi="Times New Roman" w:cs="Times New Roman"/>
                <w:sz w:val="24"/>
                <w:szCs w:val="24"/>
              </w:rPr>
              <w:t>U</w:t>
            </w:r>
            <w:r w:rsidRPr="008E4EB0">
              <w:rPr>
                <w:rFonts w:ascii="Times New Roman" w:hAnsi="Times New Roman" w:cs="Times New Roman"/>
                <w:sz w:val="24"/>
                <w:szCs w:val="24"/>
                <w:vertAlign w:val="subscript"/>
              </w:rPr>
              <w:t>RM</w:t>
            </w:r>
          </w:p>
        </w:tc>
        <w:tc>
          <w:tcPr>
            <w:tcW w:w="567" w:type="dxa"/>
            <w:tcBorders>
              <w:top w:val="single" w:sz="4" w:space="0" w:color="auto"/>
              <w:left w:val="single" w:sz="4" w:space="0" w:color="auto"/>
              <w:bottom w:val="single" w:sz="4" w:space="0" w:color="auto"/>
              <w:right w:val="single" w:sz="4" w:space="0" w:color="auto"/>
            </w:tcBorders>
            <w:hideMark/>
          </w:tcPr>
          <w:p w14:paraId="41E61833" w14:textId="77777777" w:rsidR="00891ADF" w:rsidRPr="008E4EB0" w:rsidRDefault="00891ADF">
            <w:pPr>
              <w:pStyle w:val="ListParagraph"/>
              <w:ind w:left="-30" w:right="-48"/>
              <w:jc w:val="center"/>
              <w:rPr>
                <w:rFonts w:ascii="Times New Roman" w:hAnsi="Times New Roman" w:cs="Times New Roman"/>
                <w:sz w:val="24"/>
                <w:szCs w:val="24"/>
              </w:rPr>
            </w:pPr>
            <w:r w:rsidRPr="008E4EB0">
              <w:rPr>
                <w:rFonts w:ascii="Times New Roman" w:hAnsi="Times New Roman" w:cs="Times New Roman"/>
                <w:sz w:val="24"/>
                <w:szCs w:val="24"/>
              </w:rPr>
              <w:t>U</w:t>
            </w:r>
            <w:r w:rsidRPr="008E4EB0">
              <w:rPr>
                <w:rFonts w:ascii="Times New Roman" w:hAnsi="Times New Roman" w:cs="Times New Roman"/>
                <w:sz w:val="24"/>
                <w:szCs w:val="24"/>
                <w:vertAlign w:val="subscript"/>
              </w:rPr>
              <w:t>RN</w:t>
            </w:r>
          </w:p>
        </w:tc>
        <w:tc>
          <w:tcPr>
            <w:tcW w:w="567" w:type="dxa"/>
            <w:tcBorders>
              <w:top w:val="single" w:sz="4" w:space="0" w:color="auto"/>
              <w:left w:val="single" w:sz="4" w:space="0" w:color="auto"/>
              <w:bottom w:val="single" w:sz="4" w:space="0" w:color="auto"/>
              <w:right w:val="single" w:sz="4" w:space="0" w:color="auto"/>
            </w:tcBorders>
            <w:hideMark/>
          </w:tcPr>
          <w:p w14:paraId="333B43DB" w14:textId="77777777" w:rsidR="00891ADF" w:rsidRPr="008E4EB0" w:rsidRDefault="00891ADF">
            <w:pPr>
              <w:pStyle w:val="ListParagraph"/>
              <w:ind w:left="-30" w:right="-48"/>
              <w:jc w:val="center"/>
              <w:rPr>
                <w:rFonts w:ascii="Times New Roman" w:hAnsi="Times New Roman" w:cs="Times New Roman"/>
                <w:sz w:val="24"/>
                <w:szCs w:val="24"/>
              </w:rPr>
            </w:pPr>
            <w:r w:rsidRPr="008E4EB0">
              <w:rPr>
                <w:rFonts w:ascii="Times New Roman" w:hAnsi="Times New Roman" w:cs="Times New Roman"/>
                <w:sz w:val="24"/>
                <w:szCs w:val="24"/>
              </w:rPr>
              <w:t>U</w:t>
            </w:r>
            <w:r w:rsidRPr="008E4EB0">
              <w:rPr>
                <w:rFonts w:ascii="Times New Roman" w:hAnsi="Times New Roman" w:cs="Times New Roman"/>
                <w:sz w:val="24"/>
                <w:szCs w:val="24"/>
                <w:vertAlign w:val="subscript"/>
              </w:rPr>
              <w:t>RM</w:t>
            </w:r>
          </w:p>
        </w:tc>
      </w:tr>
      <w:tr w:rsidR="00891ADF" w:rsidRPr="008E4EB0" w14:paraId="7D4ACE79" w14:textId="77777777" w:rsidTr="00891ADF">
        <w:tc>
          <w:tcPr>
            <w:tcW w:w="462" w:type="dxa"/>
            <w:tcBorders>
              <w:top w:val="single" w:sz="4" w:space="0" w:color="auto"/>
              <w:left w:val="single" w:sz="4" w:space="0" w:color="auto"/>
              <w:bottom w:val="single" w:sz="4" w:space="0" w:color="auto"/>
              <w:right w:val="single" w:sz="4" w:space="0" w:color="auto"/>
            </w:tcBorders>
            <w:hideMark/>
          </w:tcPr>
          <w:p w14:paraId="361A1700" w14:textId="77777777" w:rsidR="00891ADF" w:rsidRPr="008E4EB0" w:rsidRDefault="00891ADF">
            <w:pPr>
              <w:pStyle w:val="ListParagraph"/>
              <w:ind w:left="-30" w:right="-48"/>
              <w:jc w:val="center"/>
              <w:rPr>
                <w:rFonts w:ascii="Times New Roman" w:hAnsi="Times New Roman" w:cs="Times New Roman"/>
                <w:sz w:val="24"/>
                <w:szCs w:val="24"/>
              </w:rPr>
            </w:pPr>
            <w:r w:rsidRPr="008E4EB0">
              <w:rPr>
                <w:rFonts w:ascii="Times New Roman" w:hAnsi="Times New Roman" w:cs="Times New Roman"/>
                <w:sz w:val="24"/>
                <w:szCs w:val="24"/>
              </w:rPr>
              <w:t>1.</w:t>
            </w:r>
          </w:p>
        </w:tc>
        <w:tc>
          <w:tcPr>
            <w:tcW w:w="3083" w:type="dxa"/>
            <w:tcBorders>
              <w:top w:val="single" w:sz="4" w:space="0" w:color="auto"/>
              <w:left w:val="single" w:sz="4" w:space="0" w:color="auto"/>
              <w:bottom w:val="single" w:sz="4" w:space="0" w:color="auto"/>
              <w:right w:val="single" w:sz="4" w:space="0" w:color="auto"/>
            </w:tcBorders>
            <w:hideMark/>
          </w:tcPr>
          <w:p w14:paraId="21F11FF0" w14:textId="77777777" w:rsidR="00891ADF" w:rsidRPr="008E4EB0" w:rsidRDefault="00891ADF">
            <w:pPr>
              <w:pStyle w:val="ListParagraph"/>
              <w:ind w:left="-30" w:right="-48"/>
              <w:jc w:val="center"/>
              <w:rPr>
                <w:rFonts w:ascii="Times New Roman" w:hAnsi="Times New Roman" w:cs="Times New Roman"/>
                <w:sz w:val="24"/>
                <w:szCs w:val="24"/>
              </w:rPr>
            </w:pPr>
            <w:r w:rsidRPr="008E4EB0">
              <w:rPr>
                <w:rFonts w:ascii="Times New Roman" w:hAnsi="Times New Roman" w:cs="Times New Roman"/>
                <w:sz w:val="24"/>
                <w:szCs w:val="24"/>
              </w:rPr>
              <w:t>Jumti un pārsegumi, kas saskaras ar āra gaisu</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62F1DC"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0.20 k</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E55D31"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0.25 k</w:t>
            </w:r>
          </w:p>
        </w:tc>
        <w:tc>
          <w:tcPr>
            <w:tcW w:w="567" w:type="dxa"/>
            <w:tcBorders>
              <w:top w:val="single" w:sz="4" w:space="0" w:color="auto"/>
              <w:left w:val="single" w:sz="4" w:space="0" w:color="auto"/>
              <w:bottom w:val="single" w:sz="4" w:space="0" w:color="auto"/>
              <w:right w:val="single" w:sz="4" w:space="0" w:color="auto"/>
            </w:tcBorders>
            <w:vAlign w:val="center"/>
            <w:hideMark/>
          </w:tcPr>
          <w:p w14:paraId="7A34D339"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0.15 k</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983B47"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0.20 k</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26E4B2"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0.25 k</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20223C"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0.35 k</w:t>
            </w:r>
          </w:p>
        </w:tc>
        <w:tc>
          <w:tcPr>
            <w:tcW w:w="567" w:type="dxa"/>
            <w:tcBorders>
              <w:top w:val="single" w:sz="4" w:space="0" w:color="auto"/>
              <w:left w:val="single" w:sz="4" w:space="0" w:color="auto"/>
              <w:bottom w:val="single" w:sz="4" w:space="0" w:color="auto"/>
              <w:right w:val="single" w:sz="4" w:space="0" w:color="auto"/>
            </w:tcBorders>
            <w:vAlign w:val="center"/>
            <w:hideMark/>
          </w:tcPr>
          <w:p w14:paraId="74CE19A8"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0.20 k</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BB3546"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0.25 k</w:t>
            </w:r>
          </w:p>
        </w:tc>
        <w:tc>
          <w:tcPr>
            <w:tcW w:w="567" w:type="dxa"/>
            <w:tcBorders>
              <w:top w:val="single" w:sz="4" w:space="0" w:color="auto"/>
              <w:left w:val="single" w:sz="4" w:space="0" w:color="auto"/>
              <w:bottom w:val="single" w:sz="4" w:space="0" w:color="auto"/>
              <w:right w:val="single" w:sz="4" w:space="0" w:color="auto"/>
            </w:tcBorders>
            <w:vAlign w:val="center"/>
            <w:hideMark/>
          </w:tcPr>
          <w:p w14:paraId="25F77FFE"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0.35 k</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F60AA4"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0.50 k</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030779"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0.25 k</w:t>
            </w:r>
          </w:p>
        </w:tc>
        <w:tc>
          <w:tcPr>
            <w:tcW w:w="567" w:type="dxa"/>
            <w:tcBorders>
              <w:top w:val="single" w:sz="4" w:space="0" w:color="auto"/>
              <w:left w:val="single" w:sz="4" w:space="0" w:color="auto"/>
              <w:bottom w:val="single" w:sz="4" w:space="0" w:color="auto"/>
              <w:right w:val="single" w:sz="4" w:space="0" w:color="auto"/>
            </w:tcBorders>
            <w:vAlign w:val="center"/>
            <w:hideMark/>
          </w:tcPr>
          <w:p w14:paraId="13429B41"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0.35 k</w:t>
            </w:r>
          </w:p>
        </w:tc>
      </w:tr>
      <w:tr w:rsidR="00891ADF" w:rsidRPr="008E4EB0" w14:paraId="5B172C40" w14:textId="77777777" w:rsidTr="00891ADF">
        <w:tc>
          <w:tcPr>
            <w:tcW w:w="462" w:type="dxa"/>
            <w:tcBorders>
              <w:top w:val="single" w:sz="4" w:space="0" w:color="auto"/>
              <w:left w:val="single" w:sz="4" w:space="0" w:color="auto"/>
              <w:bottom w:val="single" w:sz="4" w:space="0" w:color="auto"/>
              <w:right w:val="single" w:sz="4" w:space="0" w:color="auto"/>
            </w:tcBorders>
            <w:hideMark/>
          </w:tcPr>
          <w:p w14:paraId="39DFEB33" w14:textId="77777777" w:rsidR="00891ADF" w:rsidRPr="008E4EB0" w:rsidRDefault="00891ADF">
            <w:pPr>
              <w:pStyle w:val="ListParagraph"/>
              <w:ind w:left="-30" w:right="-48"/>
              <w:jc w:val="center"/>
              <w:rPr>
                <w:rFonts w:ascii="Times New Roman" w:hAnsi="Times New Roman" w:cs="Times New Roman"/>
                <w:sz w:val="24"/>
                <w:szCs w:val="24"/>
              </w:rPr>
            </w:pPr>
            <w:r w:rsidRPr="008E4EB0">
              <w:rPr>
                <w:rFonts w:ascii="Times New Roman" w:hAnsi="Times New Roman" w:cs="Times New Roman"/>
                <w:sz w:val="24"/>
                <w:szCs w:val="24"/>
              </w:rPr>
              <w:t>2.</w:t>
            </w:r>
          </w:p>
        </w:tc>
        <w:tc>
          <w:tcPr>
            <w:tcW w:w="3083" w:type="dxa"/>
            <w:tcBorders>
              <w:top w:val="single" w:sz="4" w:space="0" w:color="auto"/>
              <w:left w:val="single" w:sz="4" w:space="0" w:color="auto"/>
              <w:bottom w:val="single" w:sz="4" w:space="0" w:color="auto"/>
              <w:right w:val="single" w:sz="4" w:space="0" w:color="auto"/>
            </w:tcBorders>
            <w:hideMark/>
          </w:tcPr>
          <w:p w14:paraId="5E4EC517" w14:textId="77777777" w:rsidR="00891ADF" w:rsidRPr="008E4EB0" w:rsidRDefault="00891ADF">
            <w:pPr>
              <w:pStyle w:val="ListParagraph"/>
              <w:ind w:left="-30" w:right="-48"/>
              <w:jc w:val="center"/>
              <w:rPr>
                <w:rFonts w:ascii="Times New Roman" w:hAnsi="Times New Roman" w:cs="Times New Roman"/>
                <w:sz w:val="24"/>
                <w:szCs w:val="24"/>
              </w:rPr>
            </w:pPr>
            <w:r w:rsidRPr="008E4EB0">
              <w:rPr>
                <w:rFonts w:ascii="Times New Roman" w:hAnsi="Times New Roman" w:cs="Times New Roman"/>
                <w:sz w:val="24"/>
                <w:szCs w:val="24"/>
              </w:rPr>
              <w:t>Grīdas uz grunts</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EBDABA"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0.25 k</w:t>
            </w:r>
          </w:p>
        </w:tc>
        <w:tc>
          <w:tcPr>
            <w:tcW w:w="567" w:type="dxa"/>
            <w:tcBorders>
              <w:top w:val="single" w:sz="4" w:space="0" w:color="auto"/>
              <w:left w:val="single" w:sz="4" w:space="0" w:color="auto"/>
              <w:bottom w:val="single" w:sz="4" w:space="0" w:color="auto"/>
              <w:right w:val="single" w:sz="4" w:space="0" w:color="auto"/>
            </w:tcBorders>
            <w:vAlign w:val="center"/>
            <w:hideMark/>
          </w:tcPr>
          <w:p w14:paraId="0932BD1B"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0.35 k</w:t>
            </w:r>
          </w:p>
        </w:tc>
        <w:tc>
          <w:tcPr>
            <w:tcW w:w="567" w:type="dxa"/>
            <w:tcBorders>
              <w:top w:val="single" w:sz="4" w:space="0" w:color="auto"/>
              <w:left w:val="single" w:sz="4" w:space="0" w:color="auto"/>
              <w:bottom w:val="single" w:sz="4" w:space="0" w:color="auto"/>
              <w:right w:val="single" w:sz="4" w:space="0" w:color="auto"/>
            </w:tcBorders>
            <w:vAlign w:val="center"/>
            <w:hideMark/>
          </w:tcPr>
          <w:p w14:paraId="7A8D7CBD"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0.15 k</w:t>
            </w:r>
          </w:p>
        </w:tc>
        <w:tc>
          <w:tcPr>
            <w:tcW w:w="567" w:type="dxa"/>
            <w:tcBorders>
              <w:top w:val="single" w:sz="4" w:space="0" w:color="auto"/>
              <w:left w:val="single" w:sz="4" w:space="0" w:color="auto"/>
              <w:bottom w:val="single" w:sz="4" w:space="0" w:color="auto"/>
              <w:right w:val="single" w:sz="4" w:space="0" w:color="auto"/>
            </w:tcBorders>
            <w:vAlign w:val="center"/>
            <w:hideMark/>
          </w:tcPr>
          <w:p w14:paraId="20F746E3"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0.20 k</w:t>
            </w:r>
          </w:p>
        </w:tc>
        <w:tc>
          <w:tcPr>
            <w:tcW w:w="567" w:type="dxa"/>
            <w:tcBorders>
              <w:top w:val="single" w:sz="4" w:space="0" w:color="auto"/>
              <w:left w:val="single" w:sz="4" w:space="0" w:color="auto"/>
              <w:bottom w:val="single" w:sz="4" w:space="0" w:color="auto"/>
              <w:right w:val="single" w:sz="4" w:space="0" w:color="auto"/>
            </w:tcBorders>
            <w:vAlign w:val="center"/>
            <w:hideMark/>
          </w:tcPr>
          <w:p w14:paraId="49673F6A"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0.35 k</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F8B441"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0.50 k</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7E6ED"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0.20 k</w:t>
            </w:r>
          </w:p>
        </w:tc>
        <w:tc>
          <w:tcPr>
            <w:tcW w:w="567" w:type="dxa"/>
            <w:tcBorders>
              <w:top w:val="single" w:sz="4" w:space="0" w:color="auto"/>
              <w:left w:val="single" w:sz="4" w:space="0" w:color="auto"/>
              <w:bottom w:val="single" w:sz="4" w:space="0" w:color="auto"/>
              <w:right w:val="single" w:sz="4" w:space="0" w:color="auto"/>
            </w:tcBorders>
            <w:vAlign w:val="center"/>
            <w:hideMark/>
          </w:tcPr>
          <w:p w14:paraId="4DD2C63F"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0.25 k</w:t>
            </w:r>
          </w:p>
        </w:tc>
        <w:tc>
          <w:tcPr>
            <w:tcW w:w="567" w:type="dxa"/>
            <w:tcBorders>
              <w:top w:val="single" w:sz="4" w:space="0" w:color="auto"/>
              <w:left w:val="single" w:sz="4" w:space="0" w:color="auto"/>
              <w:bottom w:val="single" w:sz="4" w:space="0" w:color="auto"/>
              <w:right w:val="single" w:sz="4" w:space="0" w:color="auto"/>
            </w:tcBorders>
            <w:vAlign w:val="center"/>
            <w:hideMark/>
          </w:tcPr>
          <w:p w14:paraId="2A0C48E9"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0.50 k</w:t>
            </w:r>
          </w:p>
        </w:tc>
        <w:tc>
          <w:tcPr>
            <w:tcW w:w="567" w:type="dxa"/>
            <w:tcBorders>
              <w:top w:val="single" w:sz="4" w:space="0" w:color="auto"/>
              <w:left w:val="single" w:sz="4" w:space="0" w:color="auto"/>
              <w:bottom w:val="single" w:sz="4" w:space="0" w:color="auto"/>
              <w:right w:val="single" w:sz="4" w:space="0" w:color="auto"/>
            </w:tcBorders>
            <w:vAlign w:val="center"/>
            <w:hideMark/>
          </w:tcPr>
          <w:p w14:paraId="3455ED4F"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0.70 k</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7DC14B"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0.30 k</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6D5307"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0.40 k</w:t>
            </w:r>
          </w:p>
        </w:tc>
      </w:tr>
      <w:tr w:rsidR="00891ADF" w:rsidRPr="008E4EB0" w14:paraId="513DE2D9" w14:textId="77777777" w:rsidTr="00891ADF">
        <w:tc>
          <w:tcPr>
            <w:tcW w:w="462" w:type="dxa"/>
            <w:tcBorders>
              <w:top w:val="single" w:sz="4" w:space="0" w:color="auto"/>
              <w:left w:val="single" w:sz="4" w:space="0" w:color="auto"/>
              <w:bottom w:val="single" w:sz="4" w:space="0" w:color="auto"/>
              <w:right w:val="single" w:sz="4" w:space="0" w:color="auto"/>
            </w:tcBorders>
            <w:hideMark/>
          </w:tcPr>
          <w:p w14:paraId="23098511" w14:textId="77777777" w:rsidR="00891ADF" w:rsidRPr="008E4EB0" w:rsidRDefault="00891ADF">
            <w:pPr>
              <w:pStyle w:val="ListParagraph"/>
              <w:ind w:left="-30" w:right="-48"/>
              <w:jc w:val="center"/>
              <w:rPr>
                <w:rFonts w:ascii="Times New Roman" w:hAnsi="Times New Roman" w:cs="Times New Roman"/>
                <w:sz w:val="24"/>
                <w:szCs w:val="24"/>
              </w:rPr>
            </w:pPr>
            <w:r w:rsidRPr="008E4EB0">
              <w:rPr>
                <w:rFonts w:ascii="Times New Roman" w:hAnsi="Times New Roman" w:cs="Times New Roman"/>
                <w:sz w:val="24"/>
                <w:szCs w:val="24"/>
              </w:rPr>
              <w:t>3.</w:t>
            </w:r>
          </w:p>
        </w:tc>
        <w:tc>
          <w:tcPr>
            <w:tcW w:w="3083" w:type="dxa"/>
            <w:tcBorders>
              <w:top w:val="single" w:sz="4" w:space="0" w:color="auto"/>
              <w:left w:val="single" w:sz="4" w:space="0" w:color="auto"/>
              <w:bottom w:val="single" w:sz="4" w:space="0" w:color="auto"/>
              <w:right w:val="single" w:sz="4" w:space="0" w:color="auto"/>
            </w:tcBorders>
            <w:hideMark/>
          </w:tcPr>
          <w:p w14:paraId="3F42B3A5" w14:textId="77777777" w:rsidR="00891ADF" w:rsidRPr="008E4EB0" w:rsidRDefault="00891ADF">
            <w:pPr>
              <w:pStyle w:val="ListParagraph"/>
              <w:ind w:left="-30" w:right="-48"/>
              <w:jc w:val="center"/>
              <w:rPr>
                <w:rFonts w:ascii="Times New Roman" w:hAnsi="Times New Roman" w:cs="Times New Roman"/>
                <w:sz w:val="24"/>
                <w:szCs w:val="24"/>
              </w:rPr>
            </w:pPr>
            <w:r w:rsidRPr="008E4EB0">
              <w:rPr>
                <w:rFonts w:ascii="Times New Roman" w:hAnsi="Times New Roman" w:cs="Times New Roman"/>
                <w:sz w:val="24"/>
                <w:szCs w:val="24"/>
              </w:rPr>
              <w:t>Sienas</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F28BF1" w14:textId="77777777" w:rsidR="00891ADF" w:rsidRPr="008E4EB0" w:rsidRDefault="00891ADF">
            <w:pPr>
              <w:pStyle w:val="ListParagraph"/>
              <w:ind w:left="-184" w:right="-142"/>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EF95EE" w14:textId="77777777" w:rsidR="00891ADF" w:rsidRPr="008E4EB0" w:rsidRDefault="00891ADF">
            <w:pPr>
              <w:pStyle w:val="ListParagraph"/>
              <w:ind w:left="-184" w:right="-142"/>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57D58E" w14:textId="77777777" w:rsidR="00891ADF" w:rsidRPr="008E4EB0" w:rsidRDefault="00891ADF">
            <w:pPr>
              <w:pStyle w:val="ListParagraph"/>
              <w:ind w:left="-184" w:right="-142"/>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A8796F" w14:textId="77777777" w:rsidR="00891ADF" w:rsidRPr="008E4EB0" w:rsidRDefault="00891ADF">
            <w:pPr>
              <w:pStyle w:val="ListParagraph"/>
              <w:ind w:left="-184" w:right="-142"/>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4770CB" w14:textId="77777777" w:rsidR="00891ADF" w:rsidRPr="008E4EB0" w:rsidRDefault="00891ADF">
            <w:pPr>
              <w:pStyle w:val="ListParagraph"/>
              <w:ind w:left="-184" w:right="-142"/>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BECA94" w14:textId="77777777" w:rsidR="00891ADF" w:rsidRPr="008E4EB0" w:rsidRDefault="00891ADF">
            <w:pPr>
              <w:pStyle w:val="ListParagraph"/>
              <w:ind w:left="-184" w:right="-142"/>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6E5766" w14:textId="77777777" w:rsidR="00891ADF" w:rsidRPr="008E4EB0" w:rsidRDefault="00891ADF">
            <w:pPr>
              <w:pStyle w:val="ListParagraph"/>
              <w:ind w:left="-184" w:right="-142"/>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1BB068" w14:textId="77777777" w:rsidR="00891ADF" w:rsidRPr="008E4EB0" w:rsidRDefault="00891ADF">
            <w:pPr>
              <w:pStyle w:val="ListParagraph"/>
              <w:ind w:left="-184" w:right="-142"/>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4B6325" w14:textId="77777777" w:rsidR="00891ADF" w:rsidRPr="008E4EB0" w:rsidRDefault="00891ADF">
            <w:pPr>
              <w:pStyle w:val="ListParagraph"/>
              <w:ind w:left="-184" w:right="-142"/>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27425B" w14:textId="77777777" w:rsidR="00891ADF" w:rsidRPr="008E4EB0" w:rsidRDefault="00891ADF">
            <w:pPr>
              <w:pStyle w:val="ListParagraph"/>
              <w:ind w:left="-184" w:right="-142"/>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297493" w14:textId="77777777" w:rsidR="00891ADF" w:rsidRPr="008E4EB0" w:rsidRDefault="00891ADF">
            <w:pPr>
              <w:pStyle w:val="ListParagraph"/>
              <w:ind w:left="-184" w:right="-142"/>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6A0B3B" w14:textId="77777777" w:rsidR="00891ADF" w:rsidRPr="008E4EB0" w:rsidRDefault="00891ADF">
            <w:pPr>
              <w:pStyle w:val="ListParagraph"/>
              <w:ind w:left="-184" w:right="-142"/>
              <w:jc w:val="center"/>
              <w:rPr>
                <w:rFonts w:ascii="Times New Roman" w:hAnsi="Times New Roman" w:cs="Times New Roman"/>
                <w:sz w:val="20"/>
                <w:szCs w:val="20"/>
              </w:rPr>
            </w:pPr>
          </w:p>
        </w:tc>
      </w:tr>
      <w:tr w:rsidR="00891ADF" w:rsidRPr="008E4EB0" w14:paraId="0F7701A8" w14:textId="77777777" w:rsidTr="00891ADF">
        <w:tc>
          <w:tcPr>
            <w:tcW w:w="462" w:type="dxa"/>
            <w:tcBorders>
              <w:top w:val="single" w:sz="4" w:space="0" w:color="auto"/>
              <w:left w:val="single" w:sz="4" w:space="0" w:color="auto"/>
              <w:bottom w:val="single" w:sz="4" w:space="0" w:color="auto"/>
              <w:right w:val="single" w:sz="4" w:space="0" w:color="auto"/>
            </w:tcBorders>
            <w:hideMark/>
          </w:tcPr>
          <w:p w14:paraId="4E3487F5" w14:textId="77777777" w:rsidR="00891ADF" w:rsidRPr="008E4EB0" w:rsidRDefault="00891ADF">
            <w:pPr>
              <w:pStyle w:val="ListParagraph"/>
              <w:ind w:left="-30" w:right="-48"/>
              <w:jc w:val="center"/>
              <w:rPr>
                <w:rFonts w:ascii="Times New Roman" w:hAnsi="Times New Roman" w:cs="Times New Roman"/>
                <w:sz w:val="24"/>
                <w:szCs w:val="24"/>
              </w:rPr>
            </w:pPr>
            <w:r w:rsidRPr="008E4EB0">
              <w:rPr>
                <w:rFonts w:ascii="Times New Roman" w:hAnsi="Times New Roman" w:cs="Times New Roman"/>
                <w:sz w:val="24"/>
                <w:szCs w:val="24"/>
              </w:rPr>
              <w:t>3.1.</w:t>
            </w:r>
          </w:p>
        </w:tc>
        <w:tc>
          <w:tcPr>
            <w:tcW w:w="3083" w:type="dxa"/>
            <w:tcBorders>
              <w:top w:val="single" w:sz="4" w:space="0" w:color="auto"/>
              <w:left w:val="single" w:sz="4" w:space="0" w:color="auto"/>
              <w:bottom w:val="single" w:sz="4" w:space="0" w:color="auto"/>
              <w:right w:val="single" w:sz="4" w:space="0" w:color="auto"/>
            </w:tcBorders>
            <w:hideMark/>
          </w:tcPr>
          <w:p w14:paraId="505095C6" w14:textId="77777777" w:rsidR="00891ADF" w:rsidRPr="008E4EB0" w:rsidRDefault="00891ADF">
            <w:pPr>
              <w:pStyle w:val="ListParagraph"/>
              <w:ind w:left="-30" w:right="-48"/>
              <w:jc w:val="center"/>
              <w:rPr>
                <w:rFonts w:ascii="Times New Roman" w:hAnsi="Times New Roman" w:cs="Times New Roman"/>
                <w:sz w:val="24"/>
                <w:szCs w:val="24"/>
              </w:rPr>
            </w:pPr>
            <w:r w:rsidRPr="008E4EB0">
              <w:rPr>
                <w:rFonts w:ascii="Times New Roman" w:hAnsi="Times New Roman" w:cs="Times New Roman"/>
                <w:sz w:val="24"/>
                <w:szCs w:val="24"/>
              </w:rPr>
              <w:t>ar masu, mazāku nekā 100 kg/m</w:t>
            </w:r>
            <w:r w:rsidRPr="008E4EB0">
              <w:rPr>
                <w:rFonts w:ascii="Times New Roman" w:hAnsi="Times New Roman" w:cs="Times New Roman"/>
                <w:sz w:val="24"/>
                <w:szCs w:val="24"/>
                <w:vertAlign w:val="superscript"/>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E8EA99E"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0.25 k</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0DE054"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0.30 k</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6963A665"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0.18 k</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2EF34D28"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0.23 k</w:t>
            </w:r>
          </w:p>
        </w:tc>
        <w:tc>
          <w:tcPr>
            <w:tcW w:w="567" w:type="dxa"/>
            <w:tcBorders>
              <w:top w:val="single" w:sz="4" w:space="0" w:color="auto"/>
              <w:left w:val="single" w:sz="4" w:space="0" w:color="auto"/>
              <w:bottom w:val="single" w:sz="4" w:space="0" w:color="auto"/>
              <w:right w:val="single" w:sz="4" w:space="0" w:color="auto"/>
            </w:tcBorders>
            <w:vAlign w:val="center"/>
            <w:hideMark/>
          </w:tcPr>
          <w:p w14:paraId="46E3C78E"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0.35 k</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6B6C20"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0.40 k</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531FE3C9"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0.20 k</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09727FE6"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0.25 k</w:t>
            </w:r>
          </w:p>
        </w:tc>
        <w:tc>
          <w:tcPr>
            <w:tcW w:w="567" w:type="dxa"/>
            <w:tcBorders>
              <w:top w:val="single" w:sz="4" w:space="0" w:color="auto"/>
              <w:left w:val="single" w:sz="4" w:space="0" w:color="auto"/>
              <w:bottom w:val="single" w:sz="4" w:space="0" w:color="auto"/>
              <w:right w:val="single" w:sz="4" w:space="0" w:color="auto"/>
            </w:tcBorders>
            <w:vAlign w:val="center"/>
            <w:hideMark/>
          </w:tcPr>
          <w:p w14:paraId="08A140EC"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0.45 k</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45136"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0.50 k</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30EC564A"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0.25 k</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75B72E45"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0.30 k</w:t>
            </w:r>
          </w:p>
        </w:tc>
      </w:tr>
      <w:tr w:rsidR="00891ADF" w:rsidRPr="008E4EB0" w14:paraId="19BF619C" w14:textId="77777777" w:rsidTr="00891ADF">
        <w:tc>
          <w:tcPr>
            <w:tcW w:w="462" w:type="dxa"/>
            <w:tcBorders>
              <w:top w:val="single" w:sz="4" w:space="0" w:color="auto"/>
              <w:left w:val="single" w:sz="4" w:space="0" w:color="auto"/>
              <w:bottom w:val="single" w:sz="4" w:space="0" w:color="auto"/>
              <w:right w:val="single" w:sz="4" w:space="0" w:color="auto"/>
            </w:tcBorders>
            <w:hideMark/>
          </w:tcPr>
          <w:p w14:paraId="638755C8" w14:textId="77777777" w:rsidR="00891ADF" w:rsidRPr="008E4EB0" w:rsidRDefault="00891ADF">
            <w:pPr>
              <w:pStyle w:val="ListParagraph"/>
              <w:ind w:left="-30" w:right="-48"/>
              <w:jc w:val="center"/>
              <w:rPr>
                <w:rFonts w:ascii="Times New Roman" w:hAnsi="Times New Roman" w:cs="Times New Roman"/>
                <w:sz w:val="24"/>
                <w:szCs w:val="24"/>
              </w:rPr>
            </w:pPr>
            <w:r w:rsidRPr="008E4EB0">
              <w:rPr>
                <w:rFonts w:ascii="Times New Roman" w:hAnsi="Times New Roman" w:cs="Times New Roman"/>
                <w:sz w:val="24"/>
                <w:szCs w:val="24"/>
              </w:rPr>
              <w:t>3.2.</w:t>
            </w:r>
          </w:p>
        </w:tc>
        <w:tc>
          <w:tcPr>
            <w:tcW w:w="3083" w:type="dxa"/>
            <w:tcBorders>
              <w:top w:val="single" w:sz="4" w:space="0" w:color="auto"/>
              <w:left w:val="single" w:sz="4" w:space="0" w:color="auto"/>
              <w:bottom w:val="single" w:sz="4" w:space="0" w:color="auto"/>
              <w:right w:val="single" w:sz="4" w:space="0" w:color="auto"/>
            </w:tcBorders>
            <w:hideMark/>
          </w:tcPr>
          <w:p w14:paraId="59F2CBFF" w14:textId="77777777" w:rsidR="00891ADF" w:rsidRPr="008E4EB0" w:rsidRDefault="00891ADF">
            <w:pPr>
              <w:pStyle w:val="ListParagraph"/>
              <w:ind w:left="-30" w:right="-48"/>
              <w:jc w:val="center"/>
              <w:rPr>
                <w:rFonts w:ascii="Times New Roman" w:hAnsi="Times New Roman" w:cs="Times New Roman"/>
                <w:sz w:val="24"/>
                <w:szCs w:val="24"/>
              </w:rPr>
            </w:pPr>
            <w:r w:rsidRPr="008E4EB0">
              <w:rPr>
                <w:rFonts w:ascii="Times New Roman" w:hAnsi="Times New Roman" w:cs="Times New Roman"/>
                <w:sz w:val="24"/>
                <w:szCs w:val="24"/>
              </w:rPr>
              <w:t>ar masu 100 kg/m</w:t>
            </w:r>
            <w:r w:rsidRPr="008E4EB0">
              <w:rPr>
                <w:rFonts w:ascii="Times New Roman" w:hAnsi="Times New Roman" w:cs="Times New Roman"/>
                <w:sz w:val="24"/>
                <w:szCs w:val="24"/>
                <w:vertAlign w:val="superscript"/>
              </w:rPr>
              <w:t>2</w:t>
            </w:r>
            <w:r w:rsidRPr="008E4EB0">
              <w:rPr>
                <w:rFonts w:ascii="Times New Roman" w:hAnsi="Times New Roman" w:cs="Times New Roman"/>
                <w:sz w:val="24"/>
                <w:szCs w:val="24"/>
              </w:rPr>
              <w:t xml:space="preserve"> un vairāk</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88D685"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0.30 k</w:t>
            </w:r>
          </w:p>
        </w:tc>
        <w:tc>
          <w:tcPr>
            <w:tcW w:w="567" w:type="dxa"/>
            <w:tcBorders>
              <w:top w:val="single" w:sz="4" w:space="0" w:color="auto"/>
              <w:left w:val="single" w:sz="4" w:space="0" w:color="auto"/>
              <w:bottom w:val="single" w:sz="4" w:space="0" w:color="auto"/>
              <w:right w:val="single" w:sz="4" w:space="0" w:color="auto"/>
            </w:tcBorders>
            <w:vAlign w:val="center"/>
            <w:hideMark/>
          </w:tcPr>
          <w:p w14:paraId="669A80D5"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0.40 k</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04D6762" w14:textId="77777777" w:rsidR="00891ADF" w:rsidRPr="008E4EB0" w:rsidRDefault="00891ADF">
            <w:pP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4840C0B" w14:textId="77777777" w:rsidR="00891ADF" w:rsidRPr="008E4EB0" w:rsidRDefault="00891ADF">
            <w:pP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8CEDBFD"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0.40 k</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DA3228"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0.50 k</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7C2F9AE" w14:textId="77777777" w:rsidR="00891ADF" w:rsidRPr="008E4EB0" w:rsidRDefault="00891ADF">
            <w:pP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DF15730" w14:textId="77777777" w:rsidR="00891ADF" w:rsidRPr="008E4EB0" w:rsidRDefault="00891ADF">
            <w:pP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EAA9126"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0.50 k</w:t>
            </w:r>
          </w:p>
        </w:tc>
        <w:tc>
          <w:tcPr>
            <w:tcW w:w="567" w:type="dxa"/>
            <w:tcBorders>
              <w:top w:val="single" w:sz="4" w:space="0" w:color="auto"/>
              <w:left w:val="single" w:sz="4" w:space="0" w:color="auto"/>
              <w:bottom w:val="single" w:sz="4" w:space="0" w:color="auto"/>
              <w:right w:val="single" w:sz="4" w:space="0" w:color="auto"/>
            </w:tcBorders>
            <w:vAlign w:val="center"/>
            <w:hideMark/>
          </w:tcPr>
          <w:p w14:paraId="108F27F0"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0.60 k</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EFBE074" w14:textId="77777777" w:rsidR="00891ADF" w:rsidRPr="008E4EB0" w:rsidRDefault="00891ADF">
            <w:pP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FDE99CE" w14:textId="77777777" w:rsidR="00891ADF" w:rsidRPr="008E4EB0" w:rsidRDefault="00891ADF">
            <w:pPr>
              <w:rPr>
                <w:rFonts w:ascii="Times New Roman" w:hAnsi="Times New Roman" w:cs="Times New Roman"/>
                <w:sz w:val="20"/>
                <w:szCs w:val="20"/>
              </w:rPr>
            </w:pPr>
          </w:p>
        </w:tc>
      </w:tr>
      <w:tr w:rsidR="00891ADF" w:rsidRPr="008E4EB0" w14:paraId="10600F91" w14:textId="77777777" w:rsidTr="00891ADF">
        <w:tc>
          <w:tcPr>
            <w:tcW w:w="462" w:type="dxa"/>
            <w:tcBorders>
              <w:top w:val="single" w:sz="4" w:space="0" w:color="auto"/>
              <w:left w:val="single" w:sz="4" w:space="0" w:color="auto"/>
              <w:bottom w:val="single" w:sz="4" w:space="0" w:color="auto"/>
              <w:right w:val="single" w:sz="4" w:space="0" w:color="auto"/>
            </w:tcBorders>
            <w:hideMark/>
          </w:tcPr>
          <w:p w14:paraId="5E105531" w14:textId="77777777" w:rsidR="00891ADF" w:rsidRPr="008E4EB0" w:rsidRDefault="00891ADF">
            <w:pPr>
              <w:pStyle w:val="ListParagraph"/>
              <w:ind w:left="-30" w:right="-48"/>
              <w:jc w:val="center"/>
              <w:rPr>
                <w:rFonts w:ascii="Times New Roman" w:hAnsi="Times New Roman" w:cs="Times New Roman"/>
                <w:sz w:val="24"/>
                <w:szCs w:val="24"/>
              </w:rPr>
            </w:pPr>
            <w:r w:rsidRPr="008E4EB0">
              <w:rPr>
                <w:rFonts w:ascii="Times New Roman" w:hAnsi="Times New Roman" w:cs="Times New Roman"/>
                <w:sz w:val="24"/>
                <w:szCs w:val="24"/>
              </w:rPr>
              <w:t>3.3.</w:t>
            </w:r>
          </w:p>
        </w:tc>
        <w:tc>
          <w:tcPr>
            <w:tcW w:w="3083" w:type="dxa"/>
            <w:tcBorders>
              <w:top w:val="single" w:sz="4" w:space="0" w:color="auto"/>
              <w:left w:val="single" w:sz="4" w:space="0" w:color="auto"/>
              <w:bottom w:val="single" w:sz="4" w:space="0" w:color="auto"/>
              <w:right w:val="single" w:sz="4" w:space="0" w:color="auto"/>
            </w:tcBorders>
            <w:hideMark/>
          </w:tcPr>
          <w:p w14:paraId="33A1297E" w14:textId="77777777" w:rsidR="00891ADF" w:rsidRPr="008E4EB0" w:rsidRDefault="00891ADF">
            <w:pPr>
              <w:pStyle w:val="ListParagraph"/>
              <w:ind w:left="-30" w:right="-48"/>
              <w:jc w:val="center"/>
              <w:rPr>
                <w:rFonts w:ascii="Times New Roman" w:hAnsi="Times New Roman" w:cs="Times New Roman"/>
                <w:sz w:val="24"/>
                <w:szCs w:val="24"/>
              </w:rPr>
            </w:pPr>
            <w:r w:rsidRPr="008E4EB0">
              <w:rPr>
                <w:rFonts w:ascii="Times New Roman" w:hAnsi="Times New Roman" w:cs="Times New Roman"/>
                <w:sz w:val="24"/>
                <w:szCs w:val="24"/>
              </w:rPr>
              <w:t>Sienas tradicionālajās guļbūvēs bez siltumizolācijas slāņa iebūvēšanas sienā</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C1A7CE" w14:textId="77777777" w:rsidR="00891ADF" w:rsidRPr="008E4EB0" w:rsidRDefault="00891ADF">
            <w:pPr>
              <w:pStyle w:val="ListParagraph"/>
              <w:ind w:left="-184" w:right="-142"/>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4F6C4B" w14:textId="77777777" w:rsidR="00891ADF" w:rsidRPr="008E4EB0" w:rsidRDefault="00891ADF">
            <w:pPr>
              <w:pStyle w:val="ListParagraph"/>
              <w:ind w:left="-184" w:right="-142"/>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FA46A6" w14:textId="77777777" w:rsidR="00891ADF" w:rsidRPr="008E4EB0" w:rsidRDefault="00891ADF">
            <w:pPr>
              <w:pStyle w:val="ListParagraph"/>
              <w:ind w:left="-184" w:right="-142"/>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1751A23"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0.65 k</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785D4D" w14:textId="77777777" w:rsidR="00891ADF" w:rsidRPr="008E4EB0" w:rsidRDefault="00891ADF">
            <w:pPr>
              <w:pStyle w:val="ListParagraph"/>
              <w:ind w:left="-184" w:right="-142"/>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A00960" w14:textId="77777777" w:rsidR="00891ADF" w:rsidRPr="008E4EB0" w:rsidRDefault="00891ADF">
            <w:pPr>
              <w:pStyle w:val="ListParagraph"/>
              <w:ind w:left="-184" w:right="-142"/>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9461E7" w14:textId="77777777" w:rsidR="00891ADF" w:rsidRPr="008E4EB0" w:rsidRDefault="00891ADF">
            <w:pPr>
              <w:pStyle w:val="ListParagraph"/>
              <w:ind w:left="-184" w:right="-142"/>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D7CB411"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0.65 k</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14B15E" w14:textId="77777777" w:rsidR="00891ADF" w:rsidRPr="008E4EB0" w:rsidRDefault="00891ADF">
            <w:pPr>
              <w:pStyle w:val="ListParagraph"/>
              <w:ind w:left="-184" w:right="-142"/>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E517AC" w14:textId="77777777" w:rsidR="00891ADF" w:rsidRPr="008E4EB0" w:rsidRDefault="00891ADF">
            <w:pPr>
              <w:pStyle w:val="ListParagraph"/>
              <w:ind w:left="-184" w:right="-142"/>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CA07FD" w14:textId="77777777" w:rsidR="00891ADF" w:rsidRPr="008E4EB0" w:rsidRDefault="00891ADF">
            <w:pPr>
              <w:pStyle w:val="ListParagraph"/>
              <w:ind w:left="-184" w:right="-142"/>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CA13AF8"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0.30 k</w:t>
            </w:r>
          </w:p>
        </w:tc>
      </w:tr>
      <w:tr w:rsidR="00891ADF" w:rsidRPr="008E4EB0" w14:paraId="1AC33DB6" w14:textId="77777777" w:rsidTr="00891ADF">
        <w:tc>
          <w:tcPr>
            <w:tcW w:w="462" w:type="dxa"/>
            <w:tcBorders>
              <w:top w:val="single" w:sz="4" w:space="0" w:color="auto"/>
              <w:left w:val="single" w:sz="4" w:space="0" w:color="auto"/>
              <w:bottom w:val="single" w:sz="4" w:space="0" w:color="auto"/>
              <w:right w:val="single" w:sz="4" w:space="0" w:color="auto"/>
            </w:tcBorders>
            <w:hideMark/>
          </w:tcPr>
          <w:p w14:paraId="5041EE7D" w14:textId="77777777" w:rsidR="00891ADF" w:rsidRPr="008E4EB0" w:rsidRDefault="00891ADF">
            <w:pPr>
              <w:pStyle w:val="ListParagraph"/>
              <w:ind w:left="-30" w:right="-48"/>
              <w:jc w:val="center"/>
              <w:rPr>
                <w:rFonts w:ascii="Times New Roman" w:hAnsi="Times New Roman" w:cs="Times New Roman"/>
                <w:sz w:val="24"/>
                <w:szCs w:val="24"/>
              </w:rPr>
            </w:pPr>
            <w:r w:rsidRPr="008E4EB0">
              <w:rPr>
                <w:rFonts w:ascii="Times New Roman" w:hAnsi="Times New Roman" w:cs="Times New Roman"/>
                <w:sz w:val="24"/>
                <w:szCs w:val="24"/>
              </w:rPr>
              <w:t>4.</w:t>
            </w:r>
          </w:p>
        </w:tc>
        <w:tc>
          <w:tcPr>
            <w:tcW w:w="3083" w:type="dxa"/>
            <w:tcBorders>
              <w:top w:val="single" w:sz="4" w:space="0" w:color="auto"/>
              <w:left w:val="single" w:sz="4" w:space="0" w:color="auto"/>
              <w:bottom w:val="single" w:sz="4" w:space="0" w:color="auto"/>
              <w:right w:val="single" w:sz="4" w:space="0" w:color="auto"/>
            </w:tcBorders>
            <w:hideMark/>
          </w:tcPr>
          <w:p w14:paraId="0C670FD3" w14:textId="77777777" w:rsidR="00891ADF" w:rsidRPr="008E4EB0" w:rsidRDefault="00891ADF">
            <w:pPr>
              <w:pStyle w:val="ListParagraph"/>
              <w:ind w:left="-30" w:right="-48"/>
              <w:jc w:val="center"/>
              <w:rPr>
                <w:rFonts w:ascii="Times New Roman" w:hAnsi="Times New Roman" w:cs="Times New Roman"/>
                <w:sz w:val="24"/>
                <w:szCs w:val="24"/>
              </w:rPr>
            </w:pPr>
            <w:r w:rsidRPr="008E4EB0">
              <w:rPr>
                <w:rFonts w:ascii="Times New Roman" w:hAnsi="Times New Roman" w:cs="Times New Roman"/>
                <w:sz w:val="24"/>
                <w:szCs w:val="24"/>
              </w:rPr>
              <w:t>Logi, durvis un citas stiklotās konstrukcijas:</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68D6C008"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1.80 k</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1191DD75"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2.70 k</w:t>
            </w:r>
          </w:p>
        </w:tc>
        <w:tc>
          <w:tcPr>
            <w:tcW w:w="567" w:type="dxa"/>
            <w:tcBorders>
              <w:top w:val="single" w:sz="4" w:space="0" w:color="auto"/>
              <w:left w:val="single" w:sz="4" w:space="0" w:color="auto"/>
              <w:bottom w:val="single" w:sz="4" w:space="0" w:color="auto"/>
              <w:right w:val="single" w:sz="4" w:space="0" w:color="auto"/>
            </w:tcBorders>
            <w:vAlign w:val="center"/>
            <w:hideMark/>
          </w:tcPr>
          <w:p w14:paraId="23E99039"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1.30 k</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4E8F75"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1.80 k</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2AE2508D"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2.20 k</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4738EAEB"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2.90 k</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990DF6"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1.40 k</w:t>
            </w:r>
          </w:p>
        </w:tc>
        <w:tc>
          <w:tcPr>
            <w:tcW w:w="567" w:type="dxa"/>
            <w:tcBorders>
              <w:top w:val="single" w:sz="4" w:space="0" w:color="auto"/>
              <w:left w:val="single" w:sz="4" w:space="0" w:color="auto"/>
              <w:bottom w:val="single" w:sz="4" w:space="0" w:color="auto"/>
              <w:right w:val="single" w:sz="4" w:space="0" w:color="auto"/>
            </w:tcBorders>
            <w:vAlign w:val="center"/>
            <w:hideMark/>
          </w:tcPr>
          <w:p w14:paraId="23B99958"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1.80 k</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223C8BEE"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2.40 k</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07D0DD77"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2.90 k</w:t>
            </w:r>
          </w:p>
        </w:tc>
        <w:tc>
          <w:tcPr>
            <w:tcW w:w="567" w:type="dxa"/>
            <w:tcBorders>
              <w:top w:val="single" w:sz="4" w:space="0" w:color="auto"/>
              <w:left w:val="single" w:sz="4" w:space="0" w:color="auto"/>
              <w:bottom w:val="single" w:sz="4" w:space="0" w:color="auto"/>
              <w:right w:val="single" w:sz="4" w:space="0" w:color="auto"/>
            </w:tcBorders>
            <w:vAlign w:val="center"/>
            <w:hideMark/>
          </w:tcPr>
          <w:p w14:paraId="72CCD3F4"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1.60 k</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EC1A8C"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1.80 k</w:t>
            </w:r>
          </w:p>
        </w:tc>
      </w:tr>
      <w:tr w:rsidR="00891ADF" w:rsidRPr="008E4EB0" w14:paraId="5DF121D5" w14:textId="77777777" w:rsidTr="00891ADF">
        <w:tc>
          <w:tcPr>
            <w:tcW w:w="462" w:type="dxa"/>
            <w:tcBorders>
              <w:top w:val="single" w:sz="4" w:space="0" w:color="auto"/>
              <w:left w:val="single" w:sz="4" w:space="0" w:color="auto"/>
              <w:bottom w:val="single" w:sz="4" w:space="0" w:color="auto"/>
              <w:right w:val="single" w:sz="4" w:space="0" w:color="auto"/>
            </w:tcBorders>
            <w:hideMark/>
          </w:tcPr>
          <w:p w14:paraId="4F232238" w14:textId="77777777" w:rsidR="00891ADF" w:rsidRPr="008E4EB0" w:rsidRDefault="00891ADF">
            <w:pPr>
              <w:pStyle w:val="ListParagraph"/>
              <w:ind w:left="-30" w:right="-48"/>
              <w:jc w:val="center"/>
              <w:rPr>
                <w:rFonts w:ascii="Times New Roman" w:hAnsi="Times New Roman" w:cs="Times New Roman"/>
                <w:sz w:val="24"/>
                <w:szCs w:val="24"/>
              </w:rPr>
            </w:pPr>
            <w:r w:rsidRPr="008E4EB0">
              <w:rPr>
                <w:rFonts w:ascii="Times New Roman" w:hAnsi="Times New Roman" w:cs="Times New Roman"/>
                <w:sz w:val="24"/>
                <w:szCs w:val="24"/>
              </w:rPr>
              <w:t>5.</w:t>
            </w:r>
          </w:p>
        </w:tc>
        <w:tc>
          <w:tcPr>
            <w:tcW w:w="3083" w:type="dxa"/>
            <w:tcBorders>
              <w:top w:val="single" w:sz="4" w:space="0" w:color="auto"/>
              <w:left w:val="single" w:sz="4" w:space="0" w:color="auto"/>
              <w:bottom w:val="single" w:sz="4" w:space="0" w:color="auto"/>
              <w:right w:val="single" w:sz="4" w:space="0" w:color="auto"/>
            </w:tcBorders>
            <w:hideMark/>
          </w:tcPr>
          <w:p w14:paraId="11E4938A" w14:textId="77777777" w:rsidR="00891ADF" w:rsidRPr="008E4EB0" w:rsidRDefault="00891ADF">
            <w:pPr>
              <w:pStyle w:val="ListParagraph"/>
              <w:ind w:left="-30" w:right="-48"/>
              <w:jc w:val="center"/>
              <w:rPr>
                <w:rFonts w:ascii="Times New Roman" w:hAnsi="Times New Roman" w:cs="Times New Roman"/>
                <w:sz w:val="24"/>
                <w:szCs w:val="24"/>
              </w:rPr>
            </w:pPr>
            <w:r w:rsidRPr="008E4EB0">
              <w:rPr>
                <w:rFonts w:ascii="Times New Roman" w:hAnsi="Times New Roman" w:cs="Times New Roman"/>
                <w:sz w:val="24"/>
                <w:szCs w:val="24"/>
              </w:rPr>
              <w:t>ēku ārdurvis</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8FCDCC5" w14:textId="77777777" w:rsidR="00891ADF" w:rsidRPr="008E4EB0" w:rsidRDefault="00891ADF">
            <w:pP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7AE178E" w14:textId="77777777" w:rsidR="00891ADF" w:rsidRPr="008E4EB0" w:rsidRDefault="00891ADF">
            <w:pP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CCA7FF3"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1.80 k</w:t>
            </w:r>
          </w:p>
        </w:tc>
        <w:tc>
          <w:tcPr>
            <w:tcW w:w="567" w:type="dxa"/>
            <w:tcBorders>
              <w:top w:val="single" w:sz="4" w:space="0" w:color="auto"/>
              <w:left w:val="single" w:sz="4" w:space="0" w:color="auto"/>
              <w:bottom w:val="single" w:sz="4" w:space="0" w:color="auto"/>
              <w:right w:val="single" w:sz="4" w:space="0" w:color="auto"/>
            </w:tcBorders>
            <w:vAlign w:val="center"/>
            <w:hideMark/>
          </w:tcPr>
          <w:p w14:paraId="1F9B4D32"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2.30 k</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3ED2852" w14:textId="77777777" w:rsidR="00891ADF" w:rsidRPr="008E4EB0" w:rsidRDefault="00891ADF">
            <w:pP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C308B42" w14:textId="77777777" w:rsidR="00891ADF" w:rsidRPr="008E4EB0" w:rsidRDefault="00891ADF">
            <w:pP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4D5B4907"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2.00 k</w:t>
            </w:r>
          </w:p>
        </w:tc>
        <w:tc>
          <w:tcPr>
            <w:tcW w:w="567" w:type="dxa"/>
            <w:tcBorders>
              <w:top w:val="single" w:sz="4" w:space="0" w:color="auto"/>
              <w:left w:val="single" w:sz="4" w:space="0" w:color="auto"/>
              <w:bottom w:val="single" w:sz="4" w:space="0" w:color="auto"/>
              <w:right w:val="single" w:sz="4" w:space="0" w:color="auto"/>
            </w:tcBorders>
            <w:vAlign w:val="center"/>
            <w:hideMark/>
          </w:tcPr>
          <w:p w14:paraId="420D7A85"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2.50 k</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A220627" w14:textId="77777777" w:rsidR="00891ADF" w:rsidRPr="008E4EB0" w:rsidRDefault="00891ADF">
            <w:pP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652C4BC" w14:textId="77777777" w:rsidR="00891ADF" w:rsidRPr="008E4EB0" w:rsidRDefault="00891ADF">
            <w:pP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0522D79"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2.20 k</w:t>
            </w:r>
          </w:p>
        </w:tc>
        <w:tc>
          <w:tcPr>
            <w:tcW w:w="567" w:type="dxa"/>
            <w:tcBorders>
              <w:top w:val="single" w:sz="4" w:space="0" w:color="auto"/>
              <w:left w:val="single" w:sz="4" w:space="0" w:color="auto"/>
              <w:bottom w:val="single" w:sz="4" w:space="0" w:color="auto"/>
              <w:right w:val="single" w:sz="4" w:space="0" w:color="auto"/>
            </w:tcBorders>
            <w:vAlign w:val="center"/>
            <w:hideMark/>
          </w:tcPr>
          <w:p w14:paraId="7BA7583D"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2.70 k</w:t>
            </w:r>
          </w:p>
        </w:tc>
      </w:tr>
      <w:tr w:rsidR="00891ADF" w:rsidRPr="008E4EB0" w14:paraId="7937C9AE" w14:textId="77777777" w:rsidTr="00891ADF">
        <w:tc>
          <w:tcPr>
            <w:tcW w:w="462" w:type="dxa"/>
            <w:tcBorders>
              <w:top w:val="single" w:sz="4" w:space="0" w:color="auto"/>
              <w:left w:val="single" w:sz="4" w:space="0" w:color="auto"/>
              <w:bottom w:val="single" w:sz="4" w:space="0" w:color="auto"/>
              <w:right w:val="single" w:sz="4" w:space="0" w:color="auto"/>
            </w:tcBorders>
          </w:tcPr>
          <w:p w14:paraId="06ABC405" w14:textId="77777777" w:rsidR="00891ADF" w:rsidRPr="008E4EB0" w:rsidRDefault="00891ADF">
            <w:pPr>
              <w:pStyle w:val="ListParagraph"/>
              <w:ind w:left="-30" w:right="-48"/>
              <w:jc w:val="center"/>
              <w:rPr>
                <w:rFonts w:ascii="Times New Roman" w:hAnsi="Times New Roman" w:cs="Times New Roman"/>
                <w:sz w:val="24"/>
                <w:szCs w:val="24"/>
              </w:rPr>
            </w:pPr>
          </w:p>
        </w:tc>
        <w:tc>
          <w:tcPr>
            <w:tcW w:w="3083" w:type="dxa"/>
            <w:tcBorders>
              <w:top w:val="single" w:sz="4" w:space="0" w:color="auto"/>
              <w:left w:val="single" w:sz="4" w:space="0" w:color="auto"/>
              <w:bottom w:val="single" w:sz="4" w:space="0" w:color="auto"/>
              <w:right w:val="single" w:sz="4" w:space="0" w:color="auto"/>
            </w:tcBorders>
          </w:tcPr>
          <w:p w14:paraId="068BACEA" w14:textId="77777777" w:rsidR="00891ADF" w:rsidRPr="008E4EB0" w:rsidRDefault="00891ADF">
            <w:pPr>
              <w:pStyle w:val="ListParagraph"/>
              <w:ind w:left="-30" w:right="-48"/>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7755038"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caps/>
                <w:sz w:val="20"/>
                <w:szCs w:val="20"/>
              </w:rPr>
              <w:t>ψ</w:t>
            </w:r>
            <w:r w:rsidRPr="008E4EB0">
              <w:rPr>
                <w:rFonts w:ascii="Times New Roman" w:hAnsi="Times New Roman" w:cs="Times New Roman"/>
                <w:sz w:val="20"/>
                <w:szCs w:val="20"/>
                <w:vertAlign w:val="subscript"/>
              </w:rPr>
              <w:t>RN</w:t>
            </w:r>
          </w:p>
        </w:tc>
        <w:tc>
          <w:tcPr>
            <w:tcW w:w="567" w:type="dxa"/>
            <w:tcBorders>
              <w:top w:val="single" w:sz="4" w:space="0" w:color="auto"/>
              <w:left w:val="single" w:sz="4" w:space="0" w:color="auto"/>
              <w:bottom w:val="single" w:sz="4" w:space="0" w:color="auto"/>
              <w:right w:val="single" w:sz="4" w:space="0" w:color="auto"/>
            </w:tcBorders>
            <w:vAlign w:val="center"/>
            <w:hideMark/>
          </w:tcPr>
          <w:p w14:paraId="2A934B90"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caps/>
                <w:sz w:val="20"/>
                <w:szCs w:val="20"/>
              </w:rPr>
              <w:t>ψ</w:t>
            </w:r>
            <w:r w:rsidRPr="008E4EB0">
              <w:rPr>
                <w:rFonts w:ascii="Times New Roman" w:hAnsi="Times New Roman" w:cs="Times New Roman"/>
                <w:sz w:val="20"/>
                <w:szCs w:val="20"/>
                <w:vertAlign w:val="subscript"/>
              </w:rPr>
              <w:t>RM</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C69745"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caps/>
                <w:sz w:val="20"/>
                <w:szCs w:val="20"/>
              </w:rPr>
              <w:t>ψ</w:t>
            </w:r>
            <w:r w:rsidRPr="008E4EB0">
              <w:rPr>
                <w:rFonts w:ascii="Times New Roman" w:hAnsi="Times New Roman" w:cs="Times New Roman"/>
                <w:sz w:val="20"/>
                <w:szCs w:val="20"/>
                <w:vertAlign w:val="subscript"/>
              </w:rPr>
              <w:t>RN</w:t>
            </w:r>
          </w:p>
        </w:tc>
        <w:tc>
          <w:tcPr>
            <w:tcW w:w="567" w:type="dxa"/>
            <w:tcBorders>
              <w:top w:val="single" w:sz="4" w:space="0" w:color="auto"/>
              <w:left w:val="single" w:sz="4" w:space="0" w:color="auto"/>
              <w:bottom w:val="single" w:sz="4" w:space="0" w:color="auto"/>
              <w:right w:val="single" w:sz="4" w:space="0" w:color="auto"/>
            </w:tcBorders>
            <w:vAlign w:val="center"/>
            <w:hideMark/>
          </w:tcPr>
          <w:p w14:paraId="30A6289B"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caps/>
                <w:sz w:val="20"/>
                <w:szCs w:val="20"/>
              </w:rPr>
              <w:t>ψ</w:t>
            </w:r>
            <w:r w:rsidRPr="008E4EB0">
              <w:rPr>
                <w:rFonts w:ascii="Times New Roman" w:hAnsi="Times New Roman" w:cs="Times New Roman"/>
                <w:sz w:val="20"/>
                <w:szCs w:val="20"/>
                <w:vertAlign w:val="subscript"/>
              </w:rPr>
              <w:t>RM</w:t>
            </w:r>
          </w:p>
        </w:tc>
        <w:tc>
          <w:tcPr>
            <w:tcW w:w="567" w:type="dxa"/>
            <w:tcBorders>
              <w:top w:val="single" w:sz="4" w:space="0" w:color="auto"/>
              <w:left w:val="single" w:sz="4" w:space="0" w:color="auto"/>
              <w:bottom w:val="single" w:sz="4" w:space="0" w:color="auto"/>
              <w:right w:val="single" w:sz="4" w:space="0" w:color="auto"/>
            </w:tcBorders>
            <w:vAlign w:val="center"/>
            <w:hideMark/>
          </w:tcPr>
          <w:p w14:paraId="71708392"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caps/>
                <w:sz w:val="20"/>
                <w:szCs w:val="20"/>
              </w:rPr>
              <w:t>ψ</w:t>
            </w:r>
            <w:r w:rsidRPr="008E4EB0">
              <w:rPr>
                <w:rFonts w:ascii="Times New Roman" w:hAnsi="Times New Roman" w:cs="Times New Roman"/>
                <w:sz w:val="20"/>
                <w:szCs w:val="20"/>
                <w:vertAlign w:val="subscript"/>
              </w:rPr>
              <w:t>RN</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7459E6"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caps/>
                <w:sz w:val="20"/>
                <w:szCs w:val="20"/>
              </w:rPr>
              <w:t>ψ</w:t>
            </w:r>
            <w:r w:rsidRPr="008E4EB0">
              <w:rPr>
                <w:rFonts w:ascii="Times New Roman" w:hAnsi="Times New Roman" w:cs="Times New Roman"/>
                <w:sz w:val="20"/>
                <w:szCs w:val="20"/>
                <w:vertAlign w:val="subscript"/>
              </w:rPr>
              <w:t>RM</w:t>
            </w:r>
          </w:p>
        </w:tc>
        <w:tc>
          <w:tcPr>
            <w:tcW w:w="567" w:type="dxa"/>
            <w:tcBorders>
              <w:top w:val="single" w:sz="4" w:space="0" w:color="auto"/>
              <w:left w:val="single" w:sz="4" w:space="0" w:color="auto"/>
              <w:bottom w:val="single" w:sz="4" w:space="0" w:color="auto"/>
              <w:right w:val="single" w:sz="4" w:space="0" w:color="auto"/>
            </w:tcBorders>
            <w:vAlign w:val="center"/>
            <w:hideMark/>
          </w:tcPr>
          <w:p w14:paraId="7EA988B8"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caps/>
                <w:sz w:val="20"/>
                <w:szCs w:val="20"/>
              </w:rPr>
              <w:t>ψ</w:t>
            </w:r>
            <w:r w:rsidRPr="008E4EB0">
              <w:rPr>
                <w:rFonts w:ascii="Times New Roman" w:hAnsi="Times New Roman" w:cs="Times New Roman"/>
                <w:sz w:val="20"/>
                <w:szCs w:val="20"/>
                <w:vertAlign w:val="subscript"/>
              </w:rPr>
              <w:t>RN</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EEF593"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caps/>
                <w:sz w:val="20"/>
                <w:szCs w:val="20"/>
              </w:rPr>
              <w:t>ψ</w:t>
            </w:r>
            <w:r w:rsidRPr="008E4EB0">
              <w:rPr>
                <w:rFonts w:ascii="Times New Roman" w:hAnsi="Times New Roman" w:cs="Times New Roman"/>
                <w:sz w:val="20"/>
                <w:szCs w:val="20"/>
                <w:vertAlign w:val="subscript"/>
              </w:rPr>
              <w:t>RM</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4FF6A0"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caps/>
                <w:sz w:val="20"/>
                <w:szCs w:val="20"/>
              </w:rPr>
              <w:t>ψ</w:t>
            </w:r>
            <w:r w:rsidRPr="008E4EB0">
              <w:rPr>
                <w:rFonts w:ascii="Times New Roman" w:hAnsi="Times New Roman" w:cs="Times New Roman"/>
                <w:sz w:val="20"/>
                <w:szCs w:val="20"/>
                <w:vertAlign w:val="subscript"/>
              </w:rPr>
              <w:t>RN</w:t>
            </w:r>
          </w:p>
        </w:tc>
        <w:tc>
          <w:tcPr>
            <w:tcW w:w="567" w:type="dxa"/>
            <w:tcBorders>
              <w:top w:val="single" w:sz="4" w:space="0" w:color="auto"/>
              <w:left w:val="single" w:sz="4" w:space="0" w:color="auto"/>
              <w:bottom w:val="single" w:sz="4" w:space="0" w:color="auto"/>
              <w:right w:val="single" w:sz="4" w:space="0" w:color="auto"/>
            </w:tcBorders>
            <w:vAlign w:val="center"/>
            <w:hideMark/>
          </w:tcPr>
          <w:p w14:paraId="20B51305"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caps/>
                <w:sz w:val="20"/>
                <w:szCs w:val="20"/>
              </w:rPr>
              <w:t>ψ</w:t>
            </w:r>
            <w:r w:rsidRPr="008E4EB0">
              <w:rPr>
                <w:rFonts w:ascii="Times New Roman" w:hAnsi="Times New Roman" w:cs="Times New Roman"/>
                <w:sz w:val="20"/>
                <w:szCs w:val="20"/>
                <w:vertAlign w:val="subscript"/>
              </w:rPr>
              <w:t>RM</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A777D0"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caps/>
                <w:sz w:val="20"/>
                <w:szCs w:val="20"/>
              </w:rPr>
              <w:t>ψ</w:t>
            </w:r>
            <w:r w:rsidRPr="008E4EB0">
              <w:rPr>
                <w:rFonts w:ascii="Times New Roman" w:hAnsi="Times New Roman" w:cs="Times New Roman"/>
                <w:sz w:val="20"/>
                <w:szCs w:val="20"/>
                <w:vertAlign w:val="subscript"/>
              </w:rPr>
              <w:t>RN</w:t>
            </w:r>
          </w:p>
        </w:tc>
        <w:tc>
          <w:tcPr>
            <w:tcW w:w="567" w:type="dxa"/>
            <w:tcBorders>
              <w:top w:val="single" w:sz="4" w:space="0" w:color="auto"/>
              <w:left w:val="single" w:sz="4" w:space="0" w:color="auto"/>
              <w:bottom w:val="single" w:sz="4" w:space="0" w:color="auto"/>
              <w:right w:val="single" w:sz="4" w:space="0" w:color="auto"/>
            </w:tcBorders>
            <w:vAlign w:val="center"/>
            <w:hideMark/>
          </w:tcPr>
          <w:p w14:paraId="7CAC4DF6"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caps/>
                <w:sz w:val="20"/>
                <w:szCs w:val="20"/>
              </w:rPr>
              <w:t>ψ</w:t>
            </w:r>
            <w:r w:rsidRPr="008E4EB0">
              <w:rPr>
                <w:rFonts w:ascii="Times New Roman" w:hAnsi="Times New Roman" w:cs="Times New Roman"/>
                <w:sz w:val="20"/>
                <w:szCs w:val="20"/>
                <w:vertAlign w:val="subscript"/>
              </w:rPr>
              <w:t>RM</w:t>
            </w:r>
          </w:p>
        </w:tc>
      </w:tr>
      <w:tr w:rsidR="00891ADF" w:rsidRPr="008E4EB0" w14:paraId="0299ACF3" w14:textId="77777777" w:rsidTr="00891ADF">
        <w:tc>
          <w:tcPr>
            <w:tcW w:w="462" w:type="dxa"/>
            <w:tcBorders>
              <w:top w:val="single" w:sz="4" w:space="0" w:color="auto"/>
              <w:left w:val="single" w:sz="4" w:space="0" w:color="auto"/>
              <w:bottom w:val="single" w:sz="4" w:space="0" w:color="auto"/>
              <w:right w:val="single" w:sz="4" w:space="0" w:color="auto"/>
            </w:tcBorders>
            <w:hideMark/>
          </w:tcPr>
          <w:p w14:paraId="6C410707" w14:textId="77777777" w:rsidR="00891ADF" w:rsidRPr="008E4EB0" w:rsidRDefault="00891ADF">
            <w:pPr>
              <w:pStyle w:val="ListParagraph"/>
              <w:ind w:left="-30" w:right="-48"/>
              <w:jc w:val="center"/>
              <w:rPr>
                <w:rFonts w:ascii="Times New Roman" w:hAnsi="Times New Roman" w:cs="Times New Roman"/>
                <w:sz w:val="24"/>
                <w:szCs w:val="24"/>
              </w:rPr>
            </w:pPr>
            <w:r w:rsidRPr="008E4EB0">
              <w:rPr>
                <w:rFonts w:ascii="Times New Roman" w:hAnsi="Times New Roman" w:cs="Times New Roman"/>
                <w:sz w:val="24"/>
                <w:szCs w:val="24"/>
              </w:rPr>
              <w:t>6.</w:t>
            </w:r>
          </w:p>
        </w:tc>
        <w:tc>
          <w:tcPr>
            <w:tcW w:w="3083" w:type="dxa"/>
            <w:tcBorders>
              <w:top w:val="single" w:sz="4" w:space="0" w:color="auto"/>
              <w:left w:val="single" w:sz="4" w:space="0" w:color="auto"/>
              <w:bottom w:val="single" w:sz="4" w:space="0" w:color="auto"/>
              <w:right w:val="single" w:sz="4" w:space="0" w:color="auto"/>
            </w:tcBorders>
            <w:hideMark/>
          </w:tcPr>
          <w:p w14:paraId="15B78A43" w14:textId="77777777" w:rsidR="00891ADF" w:rsidRPr="008E4EB0" w:rsidRDefault="00891ADF">
            <w:pPr>
              <w:pStyle w:val="ListParagraph"/>
              <w:ind w:left="-30" w:right="-48"/>
              <w:jc w:val="center"/>
              <w:rPr>
                <w:rFonts w:ascii="Times New Roman" w:hAnsi="Times New Roman" w:cs="Times New Roman"/>
                <w:sz w:val="24"/>
                <w:szCs w:val="24"/>
              </w:rPr>
            </w:pPr>
            <w:r w:rsidRPr="008E4EB0">
              <w:rPr>
                <w:rFonts w:ascii="Times New Roman" w:hAnsi="Times New Roman" w:cs="Times New Roman"/>
                <w:sz w:val="24"/>
                <w:szCs w:val="24"/>
              </w:rPr>
              <w:t>Termiskie tilti</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3FE36A"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0.20 k</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042064"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0.25 k</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5B6FB9"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0.10 k</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D9EC6A"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0.15 k</w:t>
            </w:r>
          </w:p>
        </w:tc>
        <w:tc>
          <w:tcPr>
            <w:tcW w:w="567" w:type="dxa"/>
            <w:tcBorders>
              <w:top w:val="single" w:sz="4" w:space="0" w:color="auto"/>
              <w:left w:val="single" w:sz="4" w:space="0" w:color="auto"/>
              <w:bottom w:val="single" w:sz="4" w:space="0" w:color="auto"/>
              <w:right w:val="single" w:sz="4" w:space="0" w:color="auto"/>
            </w:tcBorders>
            <w:vAlign w:val="center"/>
            <w:hideMark/>
          </w:tcPr>
          <w:p w14:paraId="0D4F810B"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0.25 k</w:t>
            </w:r>
          </w:p>
        </w:tc>
        <w:tc>
          <w:tcPr>
            <w:tcW w:w="567" w:type="dxa"/>
            <w:tcBorders>
              <w:top w:val="single" w:sz="4" w:space="0" w:color="auto"/>
              <w:left w:val="single" w:sz="4" w:space="0" w:color="auto"/>
              <w:bottom w:val="single" w:sz="4" w:space="0" w:color="auto"/>
              <w:right w:val="single" w:sz="4" w:space="0" w:color="auto"/>
            </w:tcBorders>
            <w:vAlign w:val="center"/>
            <w:hideMark/>
          </w:tcPr>
          <w:p w14:paraId="3E163101"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0.35 k</w:t>
            </w:r>
          </w:p>
        </w:tc>
        <w:tc>
          <w:tcPr>
            <w:tcW w:w="567" w:type="dxa"/>
            <w:tcBorders>
              <w:top w:val="single" w:sz="4" w:space="0" w:color="auto"/>
              <w:left w:val="single" w:sz="4" w:space="0" w:color="auto"/>
              <w:bottom w:val="single" w:sz="4" w:space="0" w:color="auto"/>
              <w:right w:val="single" w:sz="4" w:space="0" w:color="auto"/>
            </w:tcBorders>
            <w:vAlign w:val="center"/>
            <w:hideMark/>
          </w:tcPr>
          <w:p w14:paraId="7462BB11"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0.15 k</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AF74DD"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0.20 k</w:t>
            </w:r>
          </w:p>
        </w:tc>
        <w:tc>
          <w:tcPr>
            <w:tcW w:w="567" w:type="dxa"/>
            <w:tcBorders>
              <w:top w:val="single" w:sz="4" w:space="0" w:color="auto"/>
              <w:left w:val="single" w:sz="4" w:space="0" w:color="auto"/>
              <w:bottom w:val="single" w:sz="4" w:space="0" w:color="auto"/>
              <w:right w:val="single" w:sz="4" w:space="0" w:color="auto"/>
            </w:tcBorders>
            <w:vAlign w:val="center"/>
            <w:hideMark/>
          </w:tcPr>
          <w:p w14:paraId="0822F52A"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0.35 k</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240C8C"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0.50 k</w:t>
            </w:r>
          </w:p>
        </w:tc>
        <w:tc>
          <w:tcPr>
            <w:tcW w:w="567" w:type="dxa"/>
            <w:tcBorders>
              <w:top w:val="single" w:sz="4" w:space="0" w:color="auto"/>
              <w:left w:val="single" w:sz="4" w:space="0" w:color="auto"/>
              <w:bottom w:val="single" w:sz="4" w:space="0" w:color="auto"/>
              <w:right w:val="single" w:sz="4" w:space="0" w:color="auto"/>
            </w:tcBorders>
            <w:vAlign w:val="center"/>
            <w:hideMark/>
          </w:tcPr>
          <w:p w14:paraId="42022ADB"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0.30 k</w:t>
            </w:r>
          </w:p>
        </w:tc>
        <w:tc>
          <w:tcPr>
            <w:tcW w:w="567" w:type="dxa"/>
            <w:tcBorders>
              <w:top w:val="single" w:sz="4" w:space="0" w:color="auto"/>
              <w:left w:val="single" w:sz="4" w:space="0" w:color="auto"/>
              <w:bottom w:val="single" w:sz="4" w:space="0" w:color="auto"/>
              <w:right w:val="single" w:sz="4" w:space="0" w:color="auto"/>
            </w:tcBorders>
            <w:vAlign w:val="center"/>
            <w:hideMark/>
          </w:tcPr>
          <w:p w14:paraId="6832DEC9" w14:textId="77777777" w:rsidR="00891ADF" w:rsidRPr="008E4EB0" w:rsidRDefault="00891ADF">
            <w:pPr>
              <w:pStyle w:val="ListParagraph"/>
              <w:ind w:left="-184" w:right="-142"/>
              <w:jc w:val="center"/>
              <w:rPr>
                <w:rFonts w:ascii="Times New Roman" w:hAnsi="Times New Roman" w:cs="Times New Roman"/>
                <w:sz w:val="20"/>
                <w:szCs w:val="20"/>
              </w:rPr>
            </w:pPr>
            <w:r w:rsidRPr="008E4EB0">
              <w:rPr>
                <w:rFonts w:ascii="Times New Roman" w:hAnsi="Times New Roman" w:cs="Times New Roman"/>
                <w:sz w:val="20"/>
                <w:szCs w:val="20"/>
              </w:rPr>
              <w:t>0.35 k</w:t>
            </w:r>
          </w:p>
        </w:tc>
      </w:tr>
    </w:tbl>
    <w:p w14:paraId="5C8C9747" w14:textId="77777777" w:rsidR="00891ADF" w:rsidRPr="008E4EB0" w:rsidRDefault="00891ADF" w:rsidP="00891ADF">
      <w:pPr>
        <w:pStyle w:val="ListParagraph"/>
        <w:ind w:left="0" w:firstLine="851"/>
        <w:jc w:val="both"/>
        <w:rPr>
          <w:rFonts w:ascii="Times New Roman" w:hAnsi="Times New Roman" w:cs="Times New Roman"/>
          <w:sz w:val="24"/>
          <w:szCs w:val="24"/>
        </w:rPr>
      </w:pPr>
    </w:p>
    <w:p w14:paraId="1894770F" w14:textId="6ECCBA0B" w:rsidR="00891ADF" w:rsidRPr="008E4EB0" w:rsidRDefault="00891ADF" w:rsidP="00891ADF">
      <w:pPr>
        <w:pStyle w:val="ListParagraph"/>
        <w:ind w:left="0" w:firstLine="851"/>
        <w:jc w:val="both"/>
        <w:rPr>
          <w:rFonts w:ascii="Times New Roman" w:hAnsi="Times New Roman" w:cs="Times New Roman"/>
          <w:sz w:val="24"/>
          <w:szCs w:val="24"/>
        </w:rPr>
      </w:pPr>
      <w:r w:rsidRPr="008E4EB0">
        <w:rPr>
          <w:rFonts w:ascii="Times New Roman" w:hAnsi="Times New Roman" w:cs="Times New Roman"/>
          <w:sz w:val="24"/>
          <w:szCs w:val="24"/>
        </w:rPr>
        <w:t xml:space="preserve">Ņemot vērā, ka būvnormatīvs LBN 002-15 nenosaka precīzu enerģijas novērtējuma vērtību, un katrai būvei </w:t>
      </w:r>
      <w:r w:rsidR="001B447B" w:rsidRPr="008E4EB0">
        <w:rPr>
          <w:rFonts w:ascii="Times New Roman" w:hAnsi="Times New Roman" w:cs="Times New Roman"/>
          <w:sz w:val="24"/>
          <w:szCs w:val="24"/>
        </w:rPr>
        <w:t xml:space="preserve">atkarībā no tās formas, būvelementiem un projektētās ventilācijas sistēmas veidojas citādāks energoefektivitātes novērtējums, </w:t>
      </w:r>
      <w:r w:rsidRPr="008E4EB0">
        <w:rPr>
          <w:rFonts w:ascii="Times New Roman" w:hAnsi="Times New Roman" w:cs="Times New Roman"/>
          <w:sz w:val="24"/>
          <w:szCs w:val="24"/>
        </w:rPr>
        <w:t xml:space="preserve">2015. gada beigās tika noteiktas jaunas prasības 2013.gada 9.jūlija Ministru kabineta noteikumos Nr.383 “Noteikumi par ēku energosertifikāciju”, kur ne tikai tika precizēta klasifikācijas sistēma, bet arī noteikts ēku energoefektivitātes minimālais pieļaujamais līmenis. </w:t>
      </w:r>
      <w:r w:rsidR="00F749EA" w:rsidRPr="008E4EB0">
        <w:rPr>
          <w:rFonts w:ascii="Times New Roman" w:hAnsi="Times New Roman" w:cs="Times New Roman"/>
          <w:sz w:val="24"/>
          <w:szCs w:val="24"/>
        </w:rPr>
        <w:t>1</w:t>
      </w:r>
      <w:r w:rsidR="00F749EA">
        <w:rPr>
          <w:rFonts w:ascii="Times New Roman" w:hAnsi="Times New Roman" w:cs="Times New Roman"/>
          <w:sz w:val="24"/>
          <w:szCs w:val="24"/>
        </w:rPr>
        <w:t>3</w:t>
      </w:r>
      <w:r w:rsidRPr="008E4EB0">
        <w:rPr>
          <w:rFonts w:ascii="Times New Roman" w:hAnsi="Times New Roman" w:cs="Times New Roman"/>
          <w:sz w:val="24"/>
          <w:szCs w:val="24"/>
        </w:rPr>
        <w:t>.tabulā apkopoti noteiktie minimālie prasību līmeņi gan atjaunošanām/pārbūvēm, gan prasības jaunbūvēm.</w:t>
      </w:r>
    </w:p>
    <w:p w14:paraId="12A83306" w14:textId="77777777" w:rsidR="00891ADF" w:rsidRPr="008E4EB0" w:rsidRDefault="00891ADF" w:rsidP="00891ADF">
      <w:pPr>
        <w:pStyle w:val="ListParagraph"/>
        <w:ind w:left="0" w:firstLine="851"/>
        <w:jc w:val="both"/>
        <w:rPr>
          <w:rFonts w:ascii="Times New Roman" w:hAnsi="Times New Roman" w:cs="Times New Roman"/>
          <w:sz w:val="24"/>
          <w:szCs w:val="24"/>
        </w:rPr>
      </w:pPr>
    </w:p>
    <w:p w14:paraId="59BA25F9" w14:textId="025AB979" w:rsidR="00891ADF" w:rsidRPr="008E4EB0" w:rsidRDefault="00F749EA" w:rsidP="00891ADF">
      <w:pPr>
        <w:pStyle w:val="ListParagraph"/>
        <w:ind w:left="0" w:firstLine="851"/>
        <w:jc w:val="center"/>
        <w:rPr>
          <w:rFonts w:ascii="Times New Roman" w:hAnsi="Times New Roman" w:cs="Times New Roman"/>
          <w:sz w:val="24"/>
          <w:szCs w:val="24"/>
        </w:rPr>
      </w:pPr>
      <w:r w:rsidRPr="008E4EB0">
        <w:rPr>
          <w:rFonts w:ascii="Times New Roman" w:hAnsi="Times New Roman" w:cs="Times New Roman"/>
          <w:sz w:val="24"/>
          <w:szCs w:val="24"/>
        </w:rPr>
        <w:t>1</w:t>
      </w:r>
      <w:r>
        <w:rPr>
          <w:rFonts w:ascii="Times New Roman" w:hAnsi="Times New Roman" w:cs="Times New Roman"/>
          <w:sz w:val="24"/>
          <w:szCs w:val="24"/>
        </w:rPr>
        <w:t>3</w:t>
      </w:r>
      <w:r w:rsidR="00891ADF" w:rsidRPr="008E4EB0">
        <w:rPr>
          <w:rFonts w:ascii="Times New Roman" w:hAnsi="Times New Roman" w:cs="Times New Roman"/>
          <w:sz w:val="24"/>
          <w:szCs w:val="24"/>
        </w:rPr>
        <w:t>.tabula. Ēku energoefektivitātes minimālais pieļaujamais līmenis atjaunošanām, pārbūvēm un jaunbūvēm</w:t>
      </w:r>
    </w:p>
    <w:p w14:paraId="554FB585" w14:textId="77777777" w:rsidR="00891ADF" w:rsidRPr="008E4EB0" w:rsidRDefault="00891ADF" w:rsidP="00891ADF">
      <w:pPr>
        <w:pStyle w:val="ListParagraph"/>
        <w:ind w:left="0" w:firstLine="851"/>
        <w:jc w:val="both"/>
        <w:rPr>
          <w:rFonts w:ascii="Times New Roman" w:hAnsi="Times New Roman" w:cs="Times New Roman"/>
          <w:sz w:val="24"/>
          <w:szCs w:val="24"/>
        </w:rPr>
      </w:pPr>
    </w:p>
    <w:tbl>
      <w:tblPr>
        <w:tblStyle w:val="TableGrid"/>
        <w:tblW w:w="10349" w:type="dxa"/>
        <w:tblInd w:w="-856" w:type="dxa"/>
        <w:tblLayout w:type="fixed"/>
        <w:tblLook w:val="04A0" w:firstRow="1" w:lastRow="0" w:firstColumn="1" w:lastColumn="0" w:noHBand="0" w:noVBand="1"/>
      </w:tblPr>
      <w:tblGrid>
        <w:gridCol w:w="2411"/>
        <w:gridCol w:w="2126"/>
        <w:gridCol w:w="2126"/>
        <w:gridCol w:w="2126"/>
        <w:gridCol w:w="1560"/>
      </w:tblGrid>
      <w:tr w:rsidR="00891ADF" w:rsidRPr="008E4EB0" w14:paraId="34F55D47" w14:textId="77777777" w:rsidTr="0061203A">
        <w:tc>
          <w:tcPr>
            <w:tcW w:w="10349" w:type="dxa"/>
            <w:gridSpan w:val="5"/>
            <w:tcBorders>
              <w:top w:val="single" w:sz="4" w:space="0" w:color="auto"/>
              <w:left w:val="single" w:sz="4" w:space="0" w:color="auto"/>
              <w:bottom w:val="single" w:sz="4" w:space="0" w:color="auto"/>
              <w:right w:val="single" w:sz="4" w:space="0" w:color="auto"/>
            </w:tcBorders>
            <w:vAlign w:val="center"/>
            <w:hideMark/>
          </w:tcPr>
          <w:p w14:paraId="6DF39704" w14:textId="77777777" w:rsidR="00891ADF" w:rsidRPr="008E4EB0" w:rsidRDefault="00891ADF">
            <w:pPr>
              <w:pStyle w:val="ListParagraph"/>
              <w:ind w:left="0"/>
              <w:jc w:val="center"/>
              <w:rPr>
                <w:rFonts w:ascii="Times New Roman" w:hAnsi="Times New Roman" w:cs="Times New Roman"/>
                <w:sz w:val="24"/>
                <w:szCs w:val="24"/>
              </w:rPr>
            </w:pPr>
            <w:r w:rsidRPr="008E4EB0">
              <w:rPr>
                <w:rFonts w:ascii="Times New Roman" w:hAnsi="Times New Roman" w:cs="Times New Roman"/>
                <w:sz w:val="24"/>
                <w:szCs w:val="24"/>
              </w:rPr>
              <w:t>Ēku energoefektivitātes minimālais pieļaujamais līmenis, energoefektivitātes rādītājs apkurei, kWh/m</w:t>
            </w:r>
            <w:r w:rsidRPr="008E4EB0">
              <w:rPr>
                <w:rFonts w:ascii="Times New Roman" w:hAnsi="Times New Roman" w:cs="Times New Roman"/>
                <w:sz w:val="24"/>
                <w:szCs w:val="24"/>
                <w:vertAlign w:val="superscript"/>
              </w:rPr>
              <w:t>2</w:t>
            </w:r>
            <w:r w:rsidRPr="008E4EB0">
              <w:rPr>
                <w:rFonts w:ascii="Times New Roman" w:hAnsi="Times New Roman" w:cs="Times New Roman"/>
                <w:sz w:val="24"/>
                <w:szCs w:val="24"/>
              </w:rPr>
              <w:t xml:space="preserve"> gadā</w:t>
            </w:r>
          </w:p>
        </w:tc>
      </w:tr>
      <w:tr w:rsidR="00891ADF" w:rsidRPr="008E4EB0" w14:paraId="0D36FEC4" w14:textId="77777777" w:rsidTr="0061203A">
        <w:tc>
          <w:tcPr>
            <w:tcW w:w="10349" w:type="dxa"/>
            <w:gridSpan w:val="5"/>
            <w:tcBorders>
              <w:top w:val="single" w:sz="4" w:space="0" w:color="auto"/>
              <w:left w:val="single" w:sz="4" w:space="0" w:color="auto"/>
              <w:bottom w:val="single" w:sz="4" w:space="0" w:color="auto"/>
              <w:right w:val="single" w:sz="4" w:space="0" w:color="auto"/>
            </w:tcBorders>
            <w:vAlign w:val="center"/>
            <w:hideMark/>
          </w:tcPr>
          <w:p w14:paraId="44084B21" w14:textId="77777777" w:rsidR="00891ADF" w:rsidRPr="008E4EB0" w:rsidRDefault="00891ADF">
            <w:pPr>
              <w:pStyle w:val="ListParagraph"/>
              <w:ind w:left="0"/>
              <w:jc w:val="center"/>
              <w:rPr>
                <w:rFonts w:ascii="Times New Roman" w:hAnsi="Times New Roman" w:cs="Times New Roman"/>
                <w:sz w:val="24"/>
                <w:szCs w:val="24"/>
              </w:rPr>
            </w:pPr>
            <w:r w:rsidRPr="008E4EB0">
              <w:rPr>
                <w:rFonts w:ascii="Times New Roman" w:hAnsi="Times New Roman" w:cs="Times New Roman"/>
                <w:sz w:val="24"/>
                <w:szCs w:val="24"/>
              </w:rPr>
              <w:t>Atjaunošanas vai pārbūves</w:t>
            </w:r>
          </w:p>
        </w:tc>
      </w:tr>
      <w:tr w:rsidR="00891ADF" w:rsidRPr="008E4EB0" w14:paraId="08F7FF5F" w14:textId="77777777" w:rsidTr="00FC1505">
        <w:tc>
          <w:tcPr>
            <w:tcW w:w="2411" w:type="dxa"/>
            <w:vMerge w:val="restart"/>
            <w:tcBorders>
              <w:top w:val="single" w:sz="4" w:space="0" w:color="auto"/>
              <w:left w:val="single" w:sz="4" w:space="0" w:color="auto"/>
              <w:bottom w:val="single" w:sz="4" w:space="0" w:color="auto"/>
              <w:right w:val="single" w:sz="4" w:space="0" w:color="auto"/>
            </w:tcBorders>
            <w:vAlign w:val="center"/>
            <w:hideMark/>
          </w:tcPr>
          <w:p w14:paraId="11D86D83" w14:textId="77777777" w:rsidR="00891ADF" w:rsidRPr="008E4EB0" w:rsidRDefault="00891ADF" w:rsidP="00891ADF">
            <w:pPr>
              <w:pStyle w:val="ListParagraph"/>
              <w:ind w:left="0"/>
              <w:jc w:val="center"/>
              <w:rPr>
                <w:rFonts w:ascii="Times New Roman" w:hAnsi="Times New Roman" w:cs="Times New Roman"/>
                <w:sz w:val="24"/>
                <w:szCs w:val="24"/>
              </w:rPr>
            </w:pPr>
            <w:r w:rsidRPr="008E4EB0">
              <w:rPr>
                <w:rFonts w:ascii="Times New Roman" w:hAnsi="Times New Roman" w:cs="Times New Roman"/>
                <w:sz w:val="24"/>
                <w:szCs w:val="24"/>
              </w:rPr>
              <w:t>Prasību piemērošanas periods</w:t>
            </w:r>
          </w:p>
        </w:tc>
        <w:tc>
          <w:tcPr>
            <w:tcW w:w="4252" w:type="dxa"/>
            <w:gridSpan w:val="2"/>
            <w:tcBorders>
              <w:top w:val="single" w:sz="4" w:space="0" w:color="auto"/>
              <w:left w:val="single" w:sz="4" w:space="0" w:color="auto"/>
              <w:bottom w:val="single" w:sz="4" w:space="0" w:color="auto"/>
              <w:right w:val="single" w:sz="4" w:space="0" w:color="auto"/>
            </w:tcBorders>
            <w:vAlign w:val="center"/>
            <w:hideMark/>
          </w:tcPr>
          <w:p w14:paraId="36EDF8EE" w14:textId="77777777" w:rsidR="00891ADF" w:rsidRPr="008E4EB0" w:rsidRDefault="00891ADF">
            <w:pPr>
              <w:pStyle w:val="ListParagraph"/>
              <w:ind w:left="0"/>
              <w:jc w:val="center"/>
              <w:rPr>
                <w:rFonts w:ascii="Times New Roman" w:hAnsi="Times New Roman" w:cs="Times New Roman"/>
                <w:sz w:val="24"/>
                <w:szCs w:val="24"/>
              </w:rPr>
            </w:pPr>
            <w:r w:rsidRPr="008E4EB0">
              <w:rPr>
                <w:rFonts w:ascii="Times New Roman" w:hAnsi="Times New Roman" w:cs="Times New Roman"/>
                <w:sz w:val="24"/>
                <w:szCs w:val="24"/>
              </w:rPr>
              <w:t>Dzīvojamām ēkām</w:t>
            </w:r>
          </w:p>
        </w:tc>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6273A118" w14:textId="77777777" w:rsidR="00891ADF" w:rsidRPr="008E4EB0" w:rsidRDefault="00891ADF">
            <w:pPr>
              <w:pStyle w:val="ListParagraph"/>
              <w:ind w:left="0"/>
              <w:jc w:val="center"/>
              <w:rPr>
                <w:rFonts w:ascii="Times New Roman" w:hAnsi="Times New Roman" w:cs="Times New Roman"/>
                <w:sz w:val="24"/>
                <w:szCs w:val="24"/>
              </w:rPr>
            </w:pPr>
            <w:r w:rsidRPr="008E4EB0">
              <w:rPr>
                <w:rFonts w:ascii="Times New Roman" w:hAnsi="Times New Roman" w:cs="Times New Roman"/>
                <w:sz w:val="24"/>
                <w:szCs w:val="24"/>
              </w:rPr>
              <w:t>Nedzīvojamām ēkām</w:t>
            </w:r>
          </w:p>
        </w:tc>
      </w:tr>
      <w:tr w:rsidR="00891ADF" w:rsidRPr="008E4EB0" w14:paraId="5A12FDCD" w14:textId="77777777" w:rsidTr="00FC1505">
        <w:tc>
          <w:tcPr>
            <w:tcW w:w="2411" w:type="dxa"/>
            <w:vMerge/>
            <w:tcBorders>
              <w:top w:val="single" w:sz="4" w:space="0" w:color="auto"/>
              <w:left w:val="single" w:sz="4" w:space="0" w:color="auto"/>
              <w:bottom w:val="single" w:sz="4" w:space="0" w:color="auto"/>
              <w:right w:val="single" w:sz="4" w:space="0" w:color="auto"/>
            </w:tcBorders>
            <w:vAlign w:val="center"/>
            <w:hideMark/>
          </w:tcPr>
          <w:p w14:paraId="2D0C9756" w14:textId="77777777" w:rsidR="00891ADF" w:rsidRPr="008E4EB0" w:rsidRDefault="00891ADF" w:rsidP="00891ADF">
            <w:pPr>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7167E14" w14:textId="77777777" w:rsidR="00891ADF" w:rsidRPr="008E4EB0" w:rsidRDefault="00891ADF">
            <w:pPr>
              <w:pStyle w:val="ListParagraph"/>
              <w:ind w:left="0"/>
              <w:jc w:val="center"/>
              <w:rPr>
                <w:rFonts w:ascii="Times New Roman" w:hAnsi="Times New Roman" w:cs="Times New Roman"/>
                <w:sz w:val="24"/>
                <w:szCs w:val="24"/>
              </w:rPr>
            </w:pPr>
            <w:r w:rsidRPr="008E4EB0">
              <w:rPr>
                <w:rFonts w:ascii="Times New Roman" w:hAnsi="Times New Roman" w:cs="Times New Roman"/>
                <w:sz w:val="24"/>
                <w:szCs w:val="24"/>
              </w:rPr>
              <w:t>Daudzdzīvokļu mājām</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4EFBC2E" w14:textId="77777777" w:rsidR="00891ADF" w:rsidRPr="008E4EB0" w:rsidRDefault="00891ADF">
            <w:pPr>
              <w:pStyle w:val="ListParagraph"/>
              <w:ind w:left="0"/>
              <w:jc w:val="center"/>
              <w:rPr>
                <w:rFonts w:ascii="Times New Roman" w:hAnsi="Times New Roman" w:cs="Times New Roman"/>
                <w:sz w:val="24"/>
                <w:szCs w:val="24"/>
              </w:rPr>
            </w:pPr>
            <w:r w:rsidRPr="008E4EB0">
              <w:rPr>
                <w:rFonts w:ascii="Times New Roman" w:hAnsi="Times New Roman" w:cs="Times New Roman"/>
                <w:sz w:val="24"/>
                <w:szCs w:val="24"/>
              </w:rPr>
              <w:t>Dažādu veidu viendzīvokļa un daudzīvokļu ēkām</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C12EE4D" w14:textId="77777777" w:rsidR="00891ADF" w:rsidRPr="008E4EB0" w:rsidRDefault="00891ADF">
            <w:pPr>
              <w:pStyle w:val="ListParagraph"/>
              <w:ind w:left="0"/>
              <w:jc w:val="center"/>
              <w:rPr>
                <w:rFonts w:ascii="Times New Roman" w:hAnsi="Times New Roman" w:cs="Times New Roman"/>
                <w:sz w:val="24"/>
                <w:szCs w:val="24"/>
              </w:rPr>
            </w:pPr>
            <w:r w:rsidRPr="008E4EB0">
              <w:rPr>
                <w:rFonts w:ascii="Times New Roman" w:hAnsi="Times New Roman" w:cs="Times New Roman"/>
                <w:sz w:val="24"/>
                <w:szCs w:val="24"/>
              </w:rPr>
              <w:t xml:space="preserve">Ēkas, kuras ir valsts īpašumā un institūciju valdījumā un kurās </w:t>
            </w:r>
            <w:r w:rsidRPr="008E4EB0">
              <w:rPr>
                <w:rFonts w:ascii="Times New Roman" w:hAnsi="Times New Roman" w:cs="Times New Roman"/>
                <w:sz w:val="24"/>
                <w:szCs w:val="24"/>
              </w:rPr>
              <w:lastRenderedPageBreak/>
              <w:t>atrodas valsts institūcijas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D4CE5A7" w14:textId="77777777" w:rsidR="00891ADF" w:rsidRPr="008E4EB0" w:rsidRDefault="00891ADF">
            <w:pPr>
              <w:pStyle w:val="ListParagraph"/>
              <w:ind w:left="0"/>
              <w:jc w:val="center"/>
              <w:rPr>
                <w:rFonts w:ascii="Times New Roman" w:hAnsi="Times New Roman" w:cs="Times New Roman"/>
                <w:sz w:val="24"/>
                <w:szCs w:val="24"/>
              </w:rPr>
            </w:pPr>
            <w:r w:rsidRPr="008E4EB0">
              <w:rPr>
                <w:rFonts w:ascii="Times New Roman" w:hAnsi="Times New Roman" w:cs="Times New Roman"/>
                <w:sz w:val="24"/>
                <w:szCs w:val="24"/>
              </w:rPr>
              <w:lastRenderedPageBreak/>
              <w:t>Pārējās nedzīvojamās ēkas</w:t>
            </w:r>
          </w:p>
        </w:tc>
      </w:tr>
      <w:tr w:rsidR="00891ADF" w:rsidRPr="008E4EB0" w14:paraId="22685F36" w14:textId="77777777" w:rsidTr="00FC1505">
        <w:tc>
          <w:tcPr>
            <w:tcW w:w="2411" w:type="dxa"/>
            <w:tcBorders>
              <w:top w:val="single" w:sz="4" w:space="0" w:color="auto"/>
              <w:left w:val="single" w:sz="4" w:space="0" w:color="auto"/>
              <w:bottom w:val="single" w:sz="4" w:space="0" w:color="auto"/>
              <w:right w:val="single" w:sz="4" w:space="0" w:color="auto"/>
            </w:tcBorders>
            <w:vAlign w:val="center"/>
            <w:hideMark/>
          </w:tcPr>
          <w:p w14:paraId="259F7BEA" w14:textId="77777777" w:rsidR="00891ADF" w:rsidRPr="008E4EB0" w:rsidRDefault="00891ADF" w:rsidP="00891ADF">
            <w:pPr>
              <w:pStyle w:val="ListParagraph"/>
              <w:ind w:left="0"/>
              <w:rPr>
                <w:rFonts w:ascii="Times New Roman" w:hAnsi="Times New Roman" w:cs="Times New Roman"/>
                <w:sz w:val="24"/>
                <w:szCs w:val="24"/>
              </w:rPr>
            </w:pPr>
            <w:r w:rsidRPr="008E4EB0">
              <w:rPr>
                <w:rFonts w:ascii="Times New Roman" w:hAnsi="Times New Roman" w:cs="Times New Roman"/>
                <w:sz w:val="24"/>
                <w:szCs w:val="24"/>
              </w:rPr>
              <w:t>No 21.11.2015. un turpmāk</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2617CB2" w14:textId="77777777" w:rsidR="00891ADF" w:rsidRPr="008E4EB0" w:rsidRDefault="00891ADF">
            <w:pPr>
              <w:pStyle w:val="ListParagraph"/>
              <w:ind w:left="0"/>
              <w:jc w:val="center"/>
              <w:rPr>
                <w:rFonts w:ascii="Times New Roman" w:hAnsi="Times New Roman" w:cs="Times New Roman"/>
                <w:sz w:val="24"/>
                <w:szCs w:val="24"/>
              </w:rPr>
            </w:pPr>
            <w:r w:rsidRPr="008E4EB0">
              <w:rPr>
                <w:rFonts w:ascii="Times New Roman" w:hAnsi="Times New Roman" w:cs="Times New Roman"/>
                <w:sz w:val="24"/>
                <w:szCs w:val="24"/>
              </w:rPr>
              <w:t>≤ 90 kWh/m</w:t>
            </w:r>
            <w:r w:rsidRPr="008E4EB0">
              <w:rPr>
                <w:rFonts w:ascii="Times New Roman" w:hAnsi="Times New Roman" w:cs="Times New Roman"/>
                <w:sz w:val="24"/>
                <w:szCs w:val="24"/>
                <w:vertAlign w:val="superscript"/>
              </w:rPr>
              <w:t>2</w:t>
            </w:r>
            <w:r w:rsidRPr="008E4EB0">
              <w:rPr>
                <w:rFonts w:ascii="Times New Roman" w:hAnsi="Times New Roman" w:cs="Times New Roman"/>
                <w:sz w:val="24"/>
                <w:szCs w:val="24"/>
              </w:rPr>
              <w:t xml:space="preserve"> gadā</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0F9BDD0" w14:textId="77777777" w:rsidR="00891ADF" w:rsidRPr="008E4EB0" w:rsidRDefault="00891ADF">
            <w:pPr>
              <w:pStyle w:val="ListParagraph"/>
              <w:ind w:left="0"/>
              <w:jc w:val="center"/>
              <w:rPr>
                <w:rFonts w:ascii="Times New Roman" w:hAnsi="Times New Roman" w:cs="Times New Roman"/>
                <w:sz w:val="24"/>
                <w:szCs w:val="24"/>
              </w:rPr>
            </w:pPr>
            <w:r w:rsidRPr="008E4EB0">
              <w:rPr>
                <w:rFonts w:ascii="Times New Roman" w:hAnsi="Times New Roman" w:cs="Times New Roman"/>
                <w:sz w:val="24"/>
                <w:szCs w:val="24"/>
              </w:rPr>
              <w:t>≤ 100 kWh/m</w:t>
            </w:r>
            <w:r w:rsidRPr="008E4EB0">
              <w:rPr>
                <w:rFonts w:ascii="Times New Roman" w:hAnsi="Times New Roman" w:cs="Times New Roman"/>
                <w:sz w:val="24"/>
                <w:szCs w:val="24"/>
                <w:vertAlign w:val="superscript"/>
              </w:rPr>
              <w:t>2</w:t>
            </w:r>
            <w:r w:rsidRPr="008E4EB0">
              <w:rPr>
                <w:rFonts w:ascii="Times New Roman" w:hAnsi="Times New Roman" w:cs="Times New Roman"/>
                <w:sz w:val="24"/>
                <w:szCs w:val="24"/>
              </w:rPr>
              <w:t xml:space="preserve"> gadā</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7F3A5DD" w14:textId="77777777" w:rsidR="00891ADF" w:rsidRPr="008E4EB0" w:rsidRDefault="00891ADF">
            <w:pPr>
              <w:pStyle w:val="ListParagraph"/>
              <w:ind w:left="0"/>
              <w:jc w:val="center"/>
              <w:rPr>
                <w:rFonts w:ascii="Times New Roman" w:hAnsi="Times New Roman" w:cs="Times New Roman"/>
                <w:sz w:val="24"/>
                <w:szCs w:val="24"/>
              </w:rPr>
            </w:pPr>
            <w:r w:rsidRPr="008E4EB0">
              <w:rPr>
                <w:rFonts w:ascii="Times New Roman" w:hAnsi="Times New Roman" w:cs="Times New Roman"/>
                <w:sz w:val="24"/>
                <w:szCs w:val="24"/>
              </w:rPr>
              <w:t>≤ 110 kWh/m</w:t>
            </w:r>
            <w:r w:rsidRPr="008E4EB0">
              <w:rPr>
                <w:rFonts w:ascii="Times New Roman" w:hAnsi="Times New Roman" w:cs="Times New Roman"/>
                <w:sz w:val="24"/>
                <w:szCs w:val="24"/>
                <w:vertAlign w:val="superscript"/>
              </w:rPr>
              <w:t>2</w:t>
            </w:r>
            <w:r w:rsidRPr="008E4EB0">
              <w:rPr>
                <w:rFonts w:ascii="Times New Roman" w:hAnsi="Times New Roman" w:cs="Times New Roman"/>
                <w:sz w:val="24"/>
                <w:szCs w:val="24"/>
              </w:rPr>
              <w:t xml:space="preserve"> gadā</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92EC5D5" w14:textId="77777777" w:rsidR="00891ADF" w:rsidRPr="008E4EB0" w:rsidRDefault="00891ADF">
            <w:pPr>
              <w:pStyle w:val="ListParagraph"/>
              <w:ind w:left="0"/>
              <w:jc w:val="center"/>
              <w:rPr>
                <w:rFonts w:ascii="Times New Roman" w:hAnsi="Times New Roman" w:cs="Times New Roman"/>
                <w:sz w:val="24"/>
                <w:szCs w:val="24"/>
              </w:rPr>
            </w:pPr>
            <w:r w:rsidRPr="008E4EB0">
              <w:rPr>
                <w:rFonts w:ascii="Times New Roman" w:hAnsi="Times New Roman" w:cs="Times New Roman"/>
                <w:sz w:val="24"/>
                <w:szCs w:val="24"/>
              </w:rPr>
              <w:t>≤ 110 kWh/m</w:t>
            </w:r>
            <w:r w:rsidRPr="008E4EB0">
              <w:rPr>
                <w:rFonts w:ascii="Times New Roman" w:hAnsi="Times New Roman" w:cs="Times New Roman"/>
                <w:sz w:val="24"/>
                <w:szCs w:val="24"/>
                <w:vertAlign w:val="superscript"/>
              </w:rPr>
              <w:t>2</w:t>
            </w:r>
            <w:r w:rsidRPr="008E4EB0">
              <w:rPr>
                <w:rFonts w:ascii="Times New Roman" w:hAnsi="Times New Roman" w:cs="Times New Roman"/>
                <w:sz w:val="24"/>
                <w:szCs w:val="24"/>
              </w:rPr>
              <w:t xml:space="preserve"> gadā</w:t>
            </w:r>
          </w:p>
        </w:tc>
      </w:tr>
      <w:tr w:rsidR="00891ADF" w:rsidRPr="008E4EB0" w14:paraId="7E3139B8" w14:textId="77777777" w:rsidTr="0061203A">
        <w:tc>
          <w:tcPr>
            <w:tcW w:w="10349" w:type="dxa"/>
            <w:gridSpan w:val="5"/>
            <w:tcBorders>
              <w:top w:val="single" w:sz="4" w:space="0" w:color="auto"/>
              <w:left w:val="single" w:sz="4" w:space="0" w:color="auto"/>
              <w:bottom w:val="single" w:sz="4" w:space="0" w:color="auto"/>
              <w:right w:val="single" w:sz="4" w:space="0" w:color="auto"/>
            </w:tcBorders>
            <w:vAlign w:val="center"/>
            <w:hideMark/>
          </w:tcPr>
          <w:p w14:paraId="19196480" w14:textId="77777777" w:rsidR="00891ADF" w:rsidRPr="008E4EB0" w:rsidRDefault="00891ADF" w:rsidP="00891ADF">
            <w:pPr>
              <w:pStyle w:val="ListParagraph"/>
              <w:ind w:left="0"/>
              <w:jc w:val="center"/>
              <w:rPr>
                <w:rFonts w:ascii="Times New Roman" w:hAnsi="Times New Roman" w:cs="Times New Roman"/>
                <w:sz w:val="24"/>
                <w:szCs w:val="24"/>
              </w:rPr>
            </w:pPr>
            <w:r w:rsidRPr="008E4EB0">
              <w:rPr>
                <w:rFonts w:ascii="Times New Roman" w:hAnsi="Times New Roman" w:cs="Times New Roman"/>
                <w:sz w:val="24"/>
                <w:szCs w:val="24"/>
              </w:rPr>
              <w:t>Jaunbūves</w:t>
            </w:r>
          </w:p>
        </w:tc>
      </w:tr>
      <w:tr w:rsidR="00891ADF" w:rsidRPr="008E4EB0" w14:paraId="23F8C951" w14:textId="77777777" w:rsidTr="00FC1505">
        <w:tc>
          <w:tcPr>
            <w:tcW w:w="2411" w:type="dxa"/>
            <w:tcBorders>
              <w:top w:val="single" w:sz="4" w:space="0" w:color="auto"/>
              <w:left w:val="single" w:sz="4" w:space="0" w:color="auto"/>
              <w:bottom w:val="single" w:sz="4" w:space="0" w:color="auto"/>
              <w:right w:val="single" w:sz="4" w:space="0" w:color="auto"/>
            </w:tcBorders>
            <w:vAlign w:val="center"/>
            <w:hideMark/>
          </w:tcPr>
          <w:p w14:paraId="41804307" w14:textId="77777777" w:rsidR="00891ADF" w:rsidRPr="008E4EB0" w:rsidRDefault="00891ADF" w:rsidP="00891ADF">
            <w:pPr>
              <w:pStyle w:val="ListParagraph"/>
              <w:ind w:left="0"/>
              <w:rPr>
                <w:rFonts w:ascii="Times New Roman" w:hAnsi="Times New Roman" w:cs="Times New Roman"/>
                <w:sz w:val="24"/>
                <w:szCs w:val="24"/>
              </w:rPr>
            </w:pPr>
            <w:r w:rsidRPr="008E4EB0">
              <w:rPr>
                <w:rFonts w:ascii="Times New Roman" w:hAnsi="Times New Roman" w:cs="Times New Roman"/>
                <w:sz w:val="24"/>
                <w:szCs w:val="24"/>
              </w:rPr>
              <w:t>No 21.11.2015. līdz 31.12.2016.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0982EB2" w14:textId="77777777" w:rsidR="00891ADF" w:rsidRPr="008E4EB0" w:rsidRDefault="00891ADF">
            <w:pPr>
              <w:pStyle w:val="ListParagraph"/>
              <w:ind w:left="0"/>
              <w:jc w:val="center"/>
              <w:rPr>
                <w:rFonts w:ascii="Times New Roman" w:hAnsi="Times New Roman" w:cs="Times New Roman"/>
                <w:sz w:val="24"/>
                <w:szCs w:val="24"/>
              </w:rPr>
            </w:pPr>
            <w:r w:rsidRPr="008E4EB0">
              <w:rPr>
                <w:rFonts w:ascii="Times New Roman" w:hAnsi="Times New Roman" w:cs="Times New Roman"/>
                <w:sz w:val="24"/>
                <w:szCs w:val="24"/>
              </w:rPr>
              <w:t>≤ 70 kWh/m</w:t>
            </w:r>
            <w:r w:rsidRPr="008E4EB0">
              <w:rPr>
                <w:rFonts w:ascii="Times New Roman" w:hAnsi="Times New Roman" w:cs="Times New Roman"/>
                <w:sz w:val="24"/>
                <w:szCs w:val="24"/>
                <w:vertAlign w:val="superscript"/>
              </w:rPr>
              <w:t>2</w:t>
            </w:r>
            <w:r w:rsidRPr="008E4EB0">
              <w:rPr>
                <w:rFonts w:ascii="Times New Roman" w:hAnsi="Times New Roman" w:cs="Times New Roman"/>
                <w:sz w:val="24"/>
                <w:szCs w:val="24"/>
              </w:rPr>
              <w:t xml:space="preserve"> gadā</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94443A0" w14:textId="77777777" w:rsidR="00891ADF" w:rsidRPr="008E4EB0" w:rsidRDefault="00891ADF">
            <w:pPr>
              <w:pStyle w:val="ListParagraph"/>
              <w:ind w:left="0"/>
              <w:jc w:val="center"/>
              <w:rPr>
                <w:rFonts w:ascii="Times New Roman" w:hAnsi="Times New Roman" w:cs="Times New Roman"/>
                <w:sz w:val="24"/>
                <w:szCs w:val="24"/>
              </w:rPr>
            </w:pPr>
            <w:r w:rsidRPr="008E4EB0">
              <w:rPr>
                <w:rFonts w:ascii="Times New Roman" w:hAnsi="Times New Roman" w:cs="Times New Roman"/>
                <w:sz w:val="24"/>
                <w:szCs w:val="24"/>
              </w:rPr>
              <w:t>≤ 80 kWh/m</w:t>
            </w:r>
            <w:r w:rsidRPr="008E4EB0">
              <w:rPr>
                <w:rFonts w:ascii="Times New Roman" w:hAnsi="Times New Roman" w:cs="Times New Roman"/>
                <w:sz w:val="24"/>
                <w:szCs w:val="24"/>
                <w:vertAlign w:val="superscript"/>
              </w:rPr>
              <w:t>2</w:t>
            </w:r>
            <w:r w:rsidRPr="008E4EB0">
              <w:rPr>
                <w:rFonts w:ascii="Times New Roman" w:hAnsi="Times New Roman" w:cs="Times New Roman"/>
                <w:sz w:val="24"/>
                <w:szCs w:val="24"/>
              </w:rPr>
              <w:t xml:space="preserve"> gadā</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AE30666" w14:textId="77777777" w:rsidR="00891ADF" w:rsidRPr="008E4EB0" w:rsidRDefault="00891ADF">
            <w:pPr>
              <w:pStyle w:val="ListParagraph"/>
              <w:ind w:left="0"/>
              <w:jc w:val="center"/>
              <w:rPr>
                <w:rFonts w:ascii="Times New Roman" w:hAnsi="Times New Roman" w:cs="Times New Roman"/>
                <w:sz w:val="24"/>
                <w:szCs w:val="24"/>
              </w:rPr>
            </w:pPr>
            <w:r w:rsidRPr="008E4EB0">
              <w:rPr>
                <w:rFonts w:ascii="Times New Roman" w:hAnsi="Times New Roman" w:cs="Times New Roman"/>
                <w:sz w:val="24"/>
                <w:szCs w:val="24"/>
              </w:rPr>
              <w:t>≤ 100 kWh/m</w:t>
            </w:r>
            <w:r w:rsidRPr="008E4EB0">
              <w:rPr>
                <w:rFonts w:ascii="Times New Roman" w:hAnsi="Times New Roman" w:cs="Times New Roman"/>
                <w:sz w:val="24"/>
                <w:szCs w:val="24"/>
                <w:vertAlign w:val="superscript"/>
              </w:rPr>
              <w:t>2</w:t>
            </w:r>
            <w:r w:rsidRPr="008E4EB0">
              <w:rPr>
                <w:rFonts w:ascii="Times New Roman" w:hAnsi="Times New Roman" w:cs="Times New Roman"/>
                <w:sz w:val="24"/>
                <w:szCs w:val="24"/>
              </w:rPr>
              <w:t xml:space="preserve"> gadā</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2795684" w14:textId="77777777" w:rsidR="00891ADF" w:rsidRPr="008E4EB0" w:rsidRDefault="00891ADF">
            <w:pPr>
              <w:pStyle w:val="ListParagraph"/>
              <w:ind w:left="0"/>
              <w:jc w:val="center"/>
              <w:rPr>
                <w:rFonts w:ascii="Times New Roman" w:hAnsi="Times New Roman" w:cs="Times New Roman"/>
                <w:sz w:val="24"/>
                <w:szCs w:val="24"/>
              </w:rPr>
            </w:pPr>
            <w:r w:rsidRPr="008E4EB0">
              <w:rPr>
                <w:rFonts w:ascii="Times New Roman" w:hAnsi="Times New Roman" w:cs="Times New Roman"/>
                <w:sz w:val="24"/>
                <w:szCs w:val="24"/>
              </w:rPr>
              <w:t>≤ 100 kWh/m</w:t>
            </w:r>
            <w:r w:rsidRPr="008E4EB0">
              <w:rPr>
                <w:rFonts w:ascii="Times New Roman" w:hAnsi="Times New Roman" w:cs="Times New Roman"/>
                <w:sz w:val="24"/>
                <w:szCs w:val="24"/>
                <w:vertAlign w:val="superscript"/>
              </w:rPr>
              <w:t>2</w:t>
            </w:r>
            <w:r w:rsidRPr="008E4EB0">
              <w:rPr>
                <w:rFonts w:ascii="Times New Roman" w:hAnsi="Times New Roman" w:cs="Times New Roman"/>
                <w:sz w:val="24"/>
                <w:szCs w:val="24"/>
              </w:rPr>
              <w:t xml:space="preserve"> gadā</w:t>
            </w:r>
          </w:p>
        </w:tc>
      </w:tr>
      <w:tr w:rsidR="00891ADF" w:rsidRPr="008E4EB0" w14:paraId="311BA4BC" w14:textId="77777777" w:rsidTr="00FC1505">
        <w:tc>
          <w:tcPr>
            <w:tcW w:w="2411" w:type="dxa"/>
            <w:tcBorders>
              <w:top w:val="single" w:sz="4" w:space="0" w:color="auto"/>
              <w:left w:val="single" w:sz="4" w:space="0" w:color="auto"/>
              <w:bottom w:val="single" w:sz="4" w:space="0" w:color="auto"/>
              <w:right w:val="single" w:sz="4" w:space="0" w:color="auto"/>
            </w:tcBorders>
            <w:vAlign w:val="center"/>
            <w:hideMark/>
          </w:tcPr>
          <w:p w14:paraId="1A4FE738" w14:textId="77777777" w:rsidR="00891ADF" w:rsidRPr="008E4EB0" w:rsidRDefault="00891ADF" w:rsidP="00891ADF">
            <w:pPr>
              <w:pStyle w:val="ListParagraph"/>
              <w:ind w:left="0"/>
              <w:rPr>
                <w:rFonts w:ascii="Times New Roman" w:hAnsi="Times New Roman" w:cs="Times New Roman"/>
                <w:sz w:val="24"/>
                <w:szCs w:val="24"/>
              </w:rPr>
            </w:pPr>
            <w:r w:rsidRPr="008E4EB0">
              <w:rPr>
                <w:rFonts w:ascii="Times New Roman" w:hAnsi="Times New Roman" w:cs="Times New Roman"/>
                <w:sz w:val="24"/>
                <w:szCs w:val="24"/>
              </w:rPr>
              <w:t>No 01.01.2017. līdz 31.12.2017.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6660B11" w14:textId="77777777" w:rsidR="00891ADF" w:rsidRPr="008E4EB0" w:rsidRDefault="00891ADF">
            <w:pPr>
              <w:pStyle w:val="ListParagraph"/>
              <w:ind w:left="0"/>
              <w:jc w:val="center"/>
              <w:rPr>
                <w:rFonts w:ascii="Times New Roman" w:hAnsi="Times New Roman" w:cs="Times New Roman"/>
                <w:sz w:val="24"/>
                <w:szCs w:val="24"/>
              </w:rPr>
            </w:pPr>
            <w:r w:rsidRPr="008E4EB0">
              <w:rPr>
                <w:rFonts w:ascii="Times New Roman" w:hAnsi="Times New Roman" w:cs="Times New Roman"/>
                <w:sz w:val="24"/>
                <w:szCs w:val="24"/>
              </w:rPr>
              <w:t>≤ 60 kWh/m</w:t>
            </w:r>
            <w:r w:rsidRPr="008E4EB0">
              <w:rPr>
                <w:rFonts w:ascii="Times New Roman" w:hAnsi="Times New Roman" w:cs="Times New Roman"/>
                <w:sz w:val="24"/>
                <w:szCs w:val="24"/>
                <w:vertAlign w:val="superscript"/>
              </w:rPr>
              <w:t>2</w:t>
            </w:r>
            <w:r w:rsidRPr="008E4EB0">
              <w:rPr>
                <w:rFonts w:ascii="Times New Roman" w:hAnsi="Times New Roman" w:cs="Times New Roman"/>
                <w:sz w:val="24"/>
                <w:szCs w:val="24"/>
              </w:rPr>
              <w:t xml:space="preserve"> gadā</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3C335BD" w14:textId="77777777" w:rsidR="00891ADF" w:rsidRPr="008E4EB0" w:rsidRDefault="00891ADF">
            <w:pPr>
              <w:pStyle w:val="ListParagraph"/>
              <w:ind w:left="0"/>
              <w:jc w:val="center"/>
              <w:rPr>
                <w:rFonts w:ascii="Times New Roman" w:hAnsi="Times New Roman" w:cs="Times New Roman"/>
                <w:sz w:val="24"/>
                <w:szCs w:val="24"/>
              </w:rPr>
            </w:pPr>
            <w:r w:rsidRPr="008E4EB0">
              <w:rPr>
                <w:rFonts w:ascii="Times New Roman" w:hAnsi="Times New Roman" w:cs="Times New Roman"/>
                <w:sz w:val="24"/>
                <w:szCs w:val="24"/>
              </w:rPr>
              <w:t>≤ 70 kWh/m</w:t>
            </w:r>
            <w:r w:rsidRPr="008E4EB0">
              <w:rPr>
                <w:rFonts w:ascii="Times New Roman" w:hAnsi="Times New Roman" w:cs="Times New Roman"/>
                <w:sz w:val="24"/>
                <w:szCs w:val="24"/>
                <w:vertAlign w:val="superscript"/>
              </w:rPr>
              <w:t>2</w:t>
            </w:r>
            <w:r w:rsidRPr="008E4EB0">
              <w:rPr>
                <w:rFonts w:ascii="Times New Roman" w:hAnsi="Times New Roman" w:cs="Times New Roman"/>
                <w:sz w:val="24"/>
                <w:szCs w:val="24"/>
              </w:rPr>
              <w:t xml:space="preserve"> gadā</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2F14DBB" w14:textId="77777777" w:rsidR="00891ADF" w:rsidRPr="008E4EB0" w:rsidRDefault="00891ADF">
            <w:pPr>
              <w:pStyle w:val="ListParagraph"/>
              <w:ind w:left="0"/>
              <w:jc w:val="center"/>
              <w:rPr>
                <w:rFonts w:ascii="Times New Roman" w:hAnsi="Times New Roman" w:cs="Times New Roman"/>
                <w:sz w:val="24"/>
                <w:szCs w:val="24"/>
              </w:rPr>
            </w:pPr>
            <w:r w:rsidRPr="008E4EB0">
              <w:rPr>
                <w:rFonts w:ascii="Times New Roman" w:hAnsi="Times New Roman" w:cs="Times New Roman"/>
                <w:sz w:val="24"/>
                <w:szCs w:val="24"/>
              </w:rPr>
              <w:t>≤ 90 kWh/m</w:t>
            </w:r>
            <w:r w:rsidRPr="008E4EB0">
              <w:rPr>
                <w:rFonts w:ascii="Times New Roman" w:hAnsi="Times New Roman" w:cs="Times New Roman"/>
                <w:sz w:val="24"/>
                <w:szCs w:val="24"/>
                <w:vertAlign w:val="superscript"/>
              </w:rPr>
              <w:t>2</w:t>
            </w:r>
            <w:r w:rsidRPr="008E4EB0">
              <w:rPr>
                <w:rFonts w:ascii="Times New Roman" w:hAnsi="Times New Roman" w:cs="Times New Roman"/>
                <w:sz w:val="24"/>
                <w:szCs w:val="24"/>
              </w:rPr>
              <w:t xml:space="preserve"> gadā</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E3FD002" w14:textId="77777777" w:rsidR="00891ADF" w:rsidRPr="008E4EB0" w:rsidRDefault="00891ADF">
            <w:pPr>
              <w:pStyle w:val="ListParagraph"/>
              <w:ind w:left="0"/>
              <w:jc w:val="center"/>
              <w:rPr>
                <w:rFonts w:ascii="Times New Roman" w:hAnsi="Times New Roman" w:cs="Times New Roman"/>
                <w:sz w:val="24"/>
                <w:szCs w:val="24"/>
              </w:rPr>
            </w:pPr>
            <w:r w:rsidRPr="008E4EB0">
              <w:rPr>
                <w:rFonts w:ascii="Times New Roman" w:hAnsi="Times New Roman" w:cs="Times New Roman"/>
                <w:sz w:val="24"/>
                <w:szCs w:val="24"/>
              </w:rPr>
              <w:t>≤ 90 kWh/m</w:t>
            </w:r>
            <w:r w:rsidRPr="008E4EB0">
              <w:rPr>
                <w:rFonts w:ascii="Times New Roman" w:hAnsi="Times New Roman" w:cs="Times New Roman"/>
                <w:sz w:val="24"/>
                <w:szCs w:val="24"/>
                <w:vertAlign w:val="superscript"/>
              </w:rPr>
              <w:t>2</w:t>
            </w:r>
            <w:r w:rsidRPr="008E4EB0">
              <w:rPr>
                <w:rFonts w:ascii="Times New Roman" w:hAnsi="Times New Roman" w:cs="Times New Roman"/>
                <w:sz w:val="24"/>
                <w:szCs w:val="24"/>
              </w:rPr>
              <w:t xml:space="preserve"> gadā</w:t>
            </w:r>
          </w:p>
        </w:tc>
      </w:tr>
      <w:tr w:rsidR="00891ADF" w:rsidRPr="008E4EB0" w14:paraId="73E807A4" w14:textId="77777777" w:rsidTr="00FC1505">
        <w:tc>
          <w:tcPr>
            <w:tcW w:w="2411" w:type="dxa"/>
            <w:tcBorders>
              <w:top w:val="single" w:sz="4" w:space="0" w:color="auto"/>
              <w:left w:val="single" w:sz="4" w:space="0" w:color="auto"/>
              <w:bottom w:val="single" w:sz="4" w:space="0" w:color="auto"/>
              <w:right w:val="single" w:sz="4" w:space="0" w:color="auto"/>
            </w:tcBorders>
            <w:vAlign w:val="center"/>
            <w:hideMark/>
          </w:tcPr>
          <w:p w14:paraId="0C8B8921" w14:textId="77777777" w:rsidR="00891ADF" w:rsidRPr="008E4EB0" w:rsidRDefault="00891ADF" w:rsidP="00891ADF">
            <w:pPr>
              <w:pStyle w:val="ListParagraph"/>
              <w:ind w:left="0"/>
              <w:rPr>
                <w:rFonts w:ascii="Times New Roman" w:hAnsi="Times New Roman" w:cs="Times New Roman"/>
                <w:sz w:val="24"/>
                <w:szCs w:val="24"/>
              </w:rPr>
            </w:pPr>
            <w:r w:rsidRPr="008E4EB0">
              <w:rPr>
                <w:rFonts w:ascii="Times New Roman" w:hAnsi="Times New Roman" w:cs="Times New Roman"/>
                <w:sz w:val="24"/>
                <w:szCs w:val="24"/>
              </w:rPr>
              <w:t>No 01.01.2018. līdz 31.12.2018.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0187FBE" w14:textId="77777777" w:rsidR="00891ADF" w:rsidRPr="008E4EB0" w:rsidRDefault="00891ADF">
            <w:pPr>
              <w:pStyle w:val="ListParagraph"/>
              <w:ind w:left="0"/>
              <w:jc w:val="center"/>
              <w:rPr>
                <w:rFonts w:ascii="Times New Roman" w:hAnsi="Times New Roman" w:cs="Times New Roman"/>
                <w:sz w:val="24"/>
                <w:szCs w:val="24"/>
              </w:rPr>
            </w:pPr>
            <w:r w:rsidRPr="008E4EB0">
              <w:rPr>
                <w:rFonts w:ascii="Times New Roman" w:hAnsi="Times New Roman" w:cs="Times New Roman"/>
                <w:sz w:val="24"/>
                <w:szCs w:val="24"/>
              </w:rPr>
              <w:t>≤ 60 kWh/m</w:t>
            </w:r>
            <w:r w:rsidRPr="008E4EB0">
              <w:rPr>
                <w:rFonts w:ascii="Times New Roman" w:hAnsi="Times New Roman" w:cs="Times New Roman"/>
                <w:sz w:val="24"/>
                <w:szCs w:val="24"/>
                <w:vertAlign w:val="superscript"/>
              </w:rPr>
              <w:t>2</w:t>
            </w:r>
            <w:r w:rsidRPr="008E4EB0">
              <w:rPr>
                <w:rFonts w:ascii="Times New Roman" w:hAnsi="Times New Roman" w:cs="Times New Roman"/>
                <w:sz w:val="24"/>
                <w:szCs w:val="24"/>
              </w:rPr>
              <w:t xml:space="preserve"> gadā</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6E9842D" w14:textId="77777777" w:rsidR="00891ADF" w:rsidRPr="008E4EB0" w:rsidRDefault="00891ADF">
            <w:pPr>
              <w:pStyle w:val="ListParagraph"/>
              <w:ind w:left="0"/>
              <w:jc w:val="center"/>
              <w:rPr>
                <w:rFonts w:ascii="Times New Roman" w:hAnsi="Times New Roman" w:cs="Times New Roman"/>
                <w:sz w:val="24"/>
                <w:szCs w:val="24"/>
              </w:rPr>
            </w:pPr>
            <w:r w:rsidRPr="008E4EB0">
              <w:rPr>
                <w:rFonts w:ascii="Times New Roman" w:hAnsi="Times New Roman" w:cs="Times New Roman"/>
                <w:sz w:val="24"/>
                <w:szCs w:val="24"/>
              </w:rPr>
              <w:t>≤ 70 kWh/m</w:t>
            </w:r>
            <w:r w:rsidRPr="008E4EB0">
              <w:rPr>
                <w:rFonts w:ascii="Times New Roman" w:hAnsi="Times New Roman" w:cs="Times New Roman"/>
                <w:sz w:val="24"/>
                <w:szCs w:val="24"/>
                <w:vertAlign w:val="superscript"/>
              </w:rPr>
              <w:t>2</w:t>
            </w:r>
            <w:r w:rsidRPr="008E4EB0">
              <w:rPr>
                <w:rFonts w:ascii="Times New Roman" w:hAnsi="Times New Roman" w:cs="Times New Roman"/>
                <w:sz w:val="24"/>
                <w:szCs w:val="24"/>
              </w:rPr>
              <w:t xml:space="preserve"> gadā</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7807841" w14:textId="77777777" w:rsidR="00891ADF" w:rsidRPr="008E4EB0" w:rsidRDefault="00891ADF">
            <w:pPr>
              <w:pStyle w:val="ListParagraph"/>
              <w:ind w:left="0"/>
              <w:jc w:val="center"/>
              <w:rPr>
                <w:rFonts w:ascii="Times New Roman" w:hAnsi="Times New Roman" w:cs="Times New Roman"/>
                <w:sz w:val="24"/>
                <w:szCs w:val="24"/>
              </w:rPr>
            </w:pPr>
            <w:r w:rsidRPr="008E4EB0">
              <w:rPr>
                <w:rFonts w:ascii="Times New Roman" w:hAnsi="Times New Roman" w:cs="Times New Roman"/>
                <w:sz w:val="24"/>
                <w:szCs w:val="24"/>
              </w:rPr>
              <w:t>≤ 65 kWh/m</w:t>
            </w:r>
            <w:r w:rsidRPr="008E4EB0">
              <w:rPr>
                <w:rFonts w:ascii="Times New Roman" w:hAnsi="Times New Roman" w:cs="Times New Roman"/>
                <w:sz w:val="24"/>
                <w:szCs w:val="24"/>
                <w:vertAlign w:val="superscript"/>
              </w:rPr>
              <w:t>2</w:t>
            </w:r>
            <w:r w:rsidRPr="008E4EB0">
              <w:rPr>
                <w:rFonts w:ascii="Times New Roman" w:hAnsi="Times New Roman" w:cs="Times New Roman"/>
                <w:sz w:val="24"/>
                <w:szCs w:val="24"/>
              </w:rPr>
              <w:t xml:space="preserve"> gadā</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6924183" w14:textId="77777777" w:rsidR="00891ADF" w:rsidRPr="008E4EB0" w:rsidRDefault="00891ADF">
            <w:pPr>
              <w:pStyle w:val="ListParagraph"/>
              <w:ind w:left="0"/>
              <w:jc w:val="center"/>
              <w:rPr>
                <w:rFonts w:ascii="Times New Roman" w:hAnsi="Times New Roman" w:cs="Times New Roman"/>
                <w:sz w:val="24"/>
                <w:szCs w:val="24"/>
              </w:rPr>
            </w:pPr>
            <w:r w:rsidRPr="008E4EB0">
              <w:rPr>
                <w:rFonts w:ascii="Times New Roman" w:hAnsi="Times New Roman" w:cs="Times New Roman"/>
                <w:sz w:val="24"/>
                <w:szCs w:val="24"/>
              </w:rPr>
              <w:t>≤ 90 kWh/m</w:t>
            </w:r>
            <w:r w:rsidRPr="008E4EB0">
              <w:rPr>
                <w:rFonts w:ascii="Times New Roman" w:hAnsi="Times New Roman" w:cs="Times New Roman"/>
                <w:sz w:val="24"/>
                <w:szCs w:val="24"/>
                <w:vertAlign w:val="superscript"/>
              </w:rPr>
              <w:t>2</w:t>
            </w:r>
            <w:r w:rsidRPr="008E4EB0">
              <w:rPr>
                <w:rFonts w:ascii="Times New Roman" w:hAnsi="Times New Roman" w:cs="Times New Roman"/>
                <w:sz w:val="24"/>
                <w:szCs w:val="24"/>
              </w:rPr>
              <w:t xml:space="preserve"> gadā</w:t>
            </w:r>
          </w:p>
        </w:tc>
      </w:tr>
      <w:tr w:rsidR="00891ADF" w:rsidRPr="008E4EB0" w14:paraId="1CBD5F34" w14:textId="77777777" w:rsidTr="00FC1505">
        <w:tc>
          <w:tcPr>
            <w:tcW w:w="2411" w:type="dxa"/>
            <w:tcBorders>
              <w:top w:val="single" w:sz="4" w:space="0" w:color="auto"/>
              <w:left w:val="single" w:sz="4" w:space="0" w:color="auto"/>
              <w:bottom w:val="single" w:sz="4" w:space="0" w:color="auto"/>
              <w:right w:val="single" w:sz="4" w:space="0" w:color="auto"/>
            </w:tcBorders>
            <w:vAlign w:val="center"/>
            <w:hideMark/>
          </w:tcPr>
          <w:p w14:paraId="277A229B" w14:textId="77777777" w:rsidR="00891ADF" w:rsidRPr="008E4EB0" w:rsidRDefault="00891ADF" w:rsidP="00891ADF">
            <w:pPr>
              <w:pStyle w:val="ListParagraph"/>
              <w:ind w:left="0"/>
              <w:rPr>
                <w:rFonts w:ascii="Times New Roman" w:hAnsi="Times New Roman" w:cs="Times New Roman"/>
                <w:sz w:val="24"/>
                <w:szCs w:val="24"/>
              </w:rPr>
            </w:pPr>
            <w:r w:rsidRPr="008E4EB0">
              <w:rPr>
                <w:rFonts w:ascii="Times New Roman" w:hAnsi="Times New Roman" w:cs="Times New Roman"/>
                <w:sz w:val="24"/>
                <w:szCs w:val="24"/>
              </w:rPr>
              <w:t>No 01.01.2019. līdz 31.12.2020.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38E49E3" w14:textId="77777777" w:rsidR="00891ADF" w:rsidRPr="008E4EB0" w:rsidRDefault="00891ADF">
            <w:pPr>
              <w:pStyle w:val="ListParagraph"/>
              <w:ind w:left="0"/>
              <w:jc w:val="center"/>
              <w:rPr>
                <w:rFonts w:ascii="Times New Roman" w:hAnsi="Times New Roman" w:cs="Times New Roman"/>
                <w:sz w:val="24"/>
                <w:szCs w:val="24"/>
              </w:rPr>
            </w:pPr>
            <w:r w:rsidRPr="008E4EB0">
              <w:rPr>
                <w:rFonts w:ascii="Times New Roman" w:hAnsi="Times New Roman" w:cs="Times New Roman"/>
                <w:sz w:val="24"/>
                <w:szCs w:val="24"/>
              </w:rPr>
              <w:t>≤ 50 kWh/m</w:t>
            </w:r>
            <w:r w:rsidRPr="008E4EB0">
              <w:rPr>
                <w:rFonts w:ascii="Times New Roman" w:hAnsi="Times New Roman" w:cs="Times New Roman"/>
                <w:sz w:val="24"/>
                <w:szCs w:val="24"/>
                <w:vertAlign w:val="superscript"/>
              </w:rPr>
              <w:t>2</w:t>
            </w:r>
            <w:r w:rsidRPr="008E4EB0">
              <w:rPr>
                <w:rFonts w:ascii="Times New Roman" w:hAnsi="Times New Roman" w:cs="Times New Roman"/>
                <w:sz w:val="24"/>
                <w:szCs w:val="24"/>
              </w:rPr>
              <w:t xml:space="preserve"> gadā</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4B53812" w14:textId="77777777" w:rsidR="00891ADF" w:rsidRPr="008E4EB0" w:rsidRDefault="00891ADF">
            <w:pPr>
              <w:pStyle w:val="ListParagraph"/>
              <w:ind w:left="0"/>
              <w:jc w:val="center"/>
              <w:rPr>
                <w:rFonts w:ascii="Times New Roman" w:hAnsi="Times New Roman" w:cs="Times New Roman"/>
                <w:sz w:val="24"/>
                <w:szCs w:val="24"/>
              </w:rPr>
            </w:pPr>
            <w:r w:rsidRPr="008E4EB0">
              <w:rPr>
                <w:rFonts w:ascii="Times New Roman" w:hAnsi="Times New Roman" w:cs="Times New Roman"/>
                <w:sz w:val="24"/>
                <w:szCs w:val="24"/>
              </w:rPr>
              <w:t>≤ 60 kWh/m</w:t>
            </w:r>
            <w:r w:rsidRPr="008E4EB0">
              <w:rPr>
                <w:rFonts w:ascii="Times New Roman" w:hAnsi="Times New Roman" w:cs="Times New Roman"/>
                <w:sz w:val="24"/>
                <w:szCs w:val="24"/>
                <w:vertAlign w:val="superscript"/>
              </w:rPr>
              <w:t>2</w:t>
            </w:r>
            <w:r w:rsidRPr="008E4EB0">
              <w:rPr>
                <w:rFonts w:ascii="Times New Roman" w:hAnsi="Times New Roman" w:cs="Times New Roman"/>
                <w:sz w:val="24"/>
                <w:szCs w:val="24"/>
              </w:rPr>
              <w:t xml:space="preserve"> gadā</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734E3A1" w14:textId="77777777" w:rsidR="00891ADF" w:rsidRPr="008E4EB0" w:rsidRDefault="00891ADF">
            <w:pPr>
              <w:pStyle w:val="ListParagraph"/>
              <w:ind w:left="0"/>
              <w:jc w:val="center"/>
              <w:rPr>
                <w:rFonts w:ascii="Times New Roman" w:hAnsi="Times New Roman" w:cs="Times New Roman"/>
                <w:sz w:val="24"/>
                <w:szCs w:val="24"/>
              </w:rPr>
            </w:pPr>
            <w:r w:rsidRPr="008E4EB0">
              <w:rPr>
                <w:rFonts w:ascii="Times New Roman" w:hAnsi="Times New Roman" w:cs="Times New Roman"/>
                <w:sz w:val="24"/>
                <w:szCs w:val="24"/>
              </w:rPr>
              <w:t>Gandrīz nulles enerģijas ēka,</w:t>
            </w:r>
          </w:p>
          <w:p w14:paraId="530D7034" w14:textId="77777777" w:rsidR="00891ADF" w:rsidRPr="008E4EB0" w:rsidRDefault="00891ADF">
            <w:pPr>
              <w:pStyle w:val="ListParagraph"/>
              <w:ind w:left="0"/>
              <w:jc w:val="center"/>
              <w:rPr>
                <w:rFonts w:ascii="Times New Roman" w:hAnsi="Times New Roman" w:cs="Times New Roman"/>
                <w:sz w:val="24"/>
                <w:szCs w:val="24"/>
              </w:rPr>
            </w:pPr>
            <w:r w:rsidRPr="008E4EB0">
              <w:rPr>
                <w:rFonts w:ascii="Times New Roman" w:hAnsi="Times New Roman" w:cs="Times New Roman"/>
                <w:sz w:val="24"/>
                <w:szCs w:val="24"/>
              </w:rPr>
              <w:t>≤ 45 kWh/m</w:t>
            </w:r>
            <w:r w:rsidRPr="008E4EB0">
              <w:rPr>
                <w:rFonts w:ascii="Times New Roman" w:hAnsi="Times New Roman" w:cs="Times New Roman"/>
                <w:sz w:val="24"/>
                <w:szCs w:val="24"/>
                <w:vertAlign w:val="superscript"/>
              </w:rPr>
              <w:t>2</w:t>
            </w:r>
            <w:r w:rsidRPr="008E4EB0">
              <w:rPr>
                <w:rFonts w:ascii="Times New Roman" w:hAnsi="Times New Roman" w:cs="Times New Roman"/>
                <w:sz w:val="24"/>
                <w:szCs w:val="24"/>
              </w:rPr>
              <w:t xml:space="preserve"> gadā</w:t>
            </w:r>
          </w:p>
        </w:tc>
        <w:tc>
          <w:tcPr>
            <w:tcW w:w="1560" w:type="dxa"/>
            <w:tcBorders>
              <w:top w:val="single" w:sz="4" w:space="0" w:color="auto"/>
              <w:left w:val="single" w:sz="4" w:space="0" w:color="auto"/>
              <w:bottom w:val="single" w:sz="4" w:space="0" w:color="auto"/>
              <w:right w:val="single" w:sz="4" w:space="0" w:color="auto"/>
            </w:tcBorders>
            <w:vAlign w:val="center"/>
          </w:tcPr>
          <w:p w14:paraId="45965721" w14:textId="77777777" w:rsidR="00891ADF" w:rsidRPr="008E4EB0" w:rsidRDefault="00891ADF">
            <w:pPr>
              <w:pStyle w:val="ListParagraph"/>
              <w:ind w:left="0"/>
              <w:jc w:val="center"/>
              <w:rPr>
                <w:rFonts w:ascii="Times New Roman" w:hAnsi="Times New Roman" w:cs="Times New Roman"/>
                <w:sz w:val="24"/>
                <w:szCs w:val="24"/>
              </w:rPr>
            </w:pPr>
          </w:p>
          <w:p w14:paraId="33995778" w14:textId="77777777" w:rsidR="00891ADF" w:rsidRPr="008E4EB0" w:rsidRDefault="00891ADF">
            <w:pPr>
              <w:pStyle w:val="ListParagraph"/>
              <w:ind w:left="0"/>
              <w:jc w:val="center"/>
              <w:rPr>
                <w:rFonts w:ascii="Times New Roman" w:hAnsi="Times New Roman" w:cs="Times New Roman"/>
                <w:sz w:val="24"/>
                <w:szCs w:val="24"/>
              </w:rPr>
            </w:pPr>
            <w:r w:rsidRPr="008E4EB0">
              <w:rPr>
                <w:rFonts w:ascii="Times New Roman" w:hAnsi="Times New Roman" w:cs="Times New Roman"/>
                <w:sz w:val="24"/>
                <w:szCs w:val="24"/>
              </w:rPr>
              <w:t>≤ 65 kWh/m</w:t>
            </w:r>
            <w:r w:rsidRPr="008E4EB0">
              <w:rPr>
                <w:rFonts w:ascii="Times New Roman" w:hAnsi="Times New Roman" w:cs="Times New Roman"/>
                <w:sz w:val="24"/>
                <w:szCs w:val="24"/>
                <w:vertAlign w:val="superscript"/>
              </w:rPr>
              <w:t>2</w:t>
            </w:r>
            <w:r w:rsidRPr="008E4EB0">
              <w:rPr>
                <w:rFonts w:ascii="Times New Roman" w:hAnsi="Times New Roman" w:cs="Times New Roman"/>
                <w:sz w:val="24"/>
                <w:szCs w:val="24"/>
              </w:rPr>
              <w:t xml:space="preserve"> gadā</w:t>
            </w:r>
          </w:p>
        </w:tc>
      </w:tr>
      <w:tr w:rsidR="00891ADF" w:rsidRPr="008E4EB0" w14:paraId="574AD16C" w14:textId="77777777" w:rsidTr="00FC1505">
        <w:tc>
          <w:tcPr>
            <w:tcW w:w="2411" w:type="dxa"/>
            <w:tcBorders>
              <w:top w:val="single" w:sz="4" w:space="0" w:color="auto"/>
              <w:left w:val="single" w:sz="4" w:space="0" w:color="auto"/>
              <w:bottom w:val="single" w:sz="4" w:space="0" w:color="auto"/>
              <w:right w:val="single" w:sz="4" w:space="0" w:color="auto"/>
            </w:tcBorders>
            <w:vAlign w:val="center"/>
            <w:hideMark/>
          </w:tcPr>
          <w:p w14:paraId="27FA01BE" w14:textId="77777777" w:rsidR="00891ADF" w:rsidRPr="008E4EB0" w:rsidRDefault="00891ADF" w:rsidP="00891ADF">
            <w:pPr>
              <w:pStyle w:val="ListParagraph"/>
              <w:ind w:left="0"/>
              <w:rPr>
                <w:rFonts w:ascii="Times New Roman" w:hAnsi="Times New Roman" w:cs="Times New Roman"/>
                <w:sz w:val="24"/>
                <w:szCs w:val="24"/>
              </w:rPr>
            </w:pPr>
            <w:r w:rsidRPr="008E4EB0">
              <w:rPr>
                <w:rFonts w:ascii="Times New Roman" w:hAnsi="Times New Roman" w:cs="Times New Roman"/>
                <w:sz w:val="24"/>
                <w:szCs w:val="24"/>
              </w:rPr>
              <w:t>No 01.01.2021. un turpmāk</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D21A42D" w14:textId="77777777" w:rsidR="00891ADF" w:rsidRPr="008E4EB0" w:rsidRDefault="00891ADF">
            <w:pPr>
              <w:pStyle w:val="ListParagraph"/>
              <w:ind w:left="0"/>
              <w:jc w:val="center"/>
              <w:rPr>
                <w:rFonts w:ascii="Times New Roman" w:hAnsi="Times New Roman" w:cs="Times New Roman"/>
                <w:sz w:val="24"/>
                <w:szCs w:val="24"/>
              </w:rPr>
            </w:pPr>
            <w:r w:rsidRPr="008E4EB0">
              <w:rPr>
                <w:rFonts w:ascii="Times New Roman" w:hAnsi="Times New Roman" w:cs="Times New Roman"/>
                <w:sz w:val="24"/>
                <w:szCs w:val="24"/>
              </w:rPr>
              <w:t>Gandrīz nulles enerģijas ēka,</w:t>
            </w:r>
          </w:p>
          <w:p w14:paraId="4EA41722" w14:textId="77777777" w:rsidR="00891ADF" w:rsidRPr="008E4EB0" w:rsidRDefault="00891ADF">
            <w:pPr>
              <w:pStyle w:val="ListParagraph"/>
              <w:ind w:left="0"/>
              <w:jc w:val="center"/>
              <w:rPr>
                <w:rFonts w:ascii="Times New Roman" w:hAnsi="Times New Roman" w:cs="Times New Roman"/>
                <w:sz w:val="24"/>
                <w:szCs w:val="24"/>
              </w:rPr>
            </w:pPr>
            <w:r w:rsidRPr="008E4EB0">
              <w:rPr>
                <w:rFonts w:ascii="Times New Roman" w:hAnsi="Times New Roman" w:cs="Times New Roman"/>
                <w:sz w:val="24"/>
                <w:szCs w:val="24"/>
              </w:rPr>
              <w:t>≤ 40 kWh/m</w:t>
            </w:r>
            <w:r w:rsidRPr="008E4EB0">
              <w:rPr>
                <w:rFonts w:ascii="Times New Roman" w:hAnsi="Times New Roman" w:cs="Times New Roman"/>
                <w:sz w:val="24"/>
                <w:szCs w:val="24"/>
                <w:vertAlign w:val="superscript"/>
              </w:rPr>
              <w:t>2</w:t>
            </w:r>
            <w:r w:rsidRPr="008E4EB0">
              <w:rPr>
                <w:rFonts w:ascii="Times New Roman" w:hAnsi="Times New Roman" w:cs="Times New Roman"/>
                <w:sz w:val="24"/>
                <w:szCs w:val="24"/>
              </w:rPr>
              <w:t xml:space="preserve"> gadā</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8184374" w14:textId="77777777" w:rsidR="00891ADF" w:rsidRPr="008E4EB0" w:rsidRDefault="00891ADF">
            <w:pPr>
              <w:pStyle w:val="ListParagraph"/>
              <w:ind w:left="0"/>
              <w:jc w:val="center"/>
              <w:rPr>
                <w:rFonts w:ascii="Times New Roman" w:hAnsi="Times New Roman" w:cs="Times New Roman"/>
                <w:sz w:val="24"/>
                <w:szCs w:val="24"/>
              </w:rPr>
            </w:pPr>
            <w:r w:rsidRPr="008E4EB0">
              <w:rPr>
                <w:rFonts w:ascii="Times New Roman" w:hAnsi="Times New Roman" w:cs="Times New Roman"/>
                <w:sz w:val="24"/>
                <w:szCs w:val="24"/>
              </w:rPr>
              <w:t>Gandrīz nulles enerģijas ēka,</w:t>
            </w:r>
          </w:p>
          <w:p w14:paraId="25E07349" w14:textId="77777777" w:rsidR="00891ADF" w:rsidRPr="008E4EB0" w:rsidRDefault="00891ADF">
            <w:pPr>
              <w:pStyle w:val="ListParagraph"/>
              <w:ind w:left="0"/>
              <w:jc w:val="center"/>
              <w:rPr>
                <w:rFonts w:ascii="Times New Roman" w:hAnsi="Times New Roman" w:cs="Times New Roman"/>
                <w:sz w:val="24"/>
                <w:szCs w:val="24"/>
              </w:rPr>
            </w:pPr>
            <w:r w:rsidRPr="008E4EB0">
              <w:rPr>
                <w:rFonts w:ascii="Times New Roman" w:hAnsi="Times New Roman" w:cs="Times New Roman"/>
                <w:sz w:val="24"/>
                <w:szCs w:val="24"/>
              </w:rPr>
              <w:t>≤ 40 kWh/m</w:t>
            </w:r>
            <w:r w:rsidRPr="008E4EB0">
              <w:rPr>
                <w:rFonts w:ascii="Times New Roman" w:hAnsi="Times New Roman" w:cs="Times New Roman"/>
                <w:sz w:val="24"/>
                <w:szCs w:val="24"/>
                <w:vertAlign w:val="superscript"/>
              </w:rPr>
              <w:t>2</w:t>
            </w:r>
            <w:r w:rsidRPr="008E4EB0">
              <w:rPr>
                <w:rFonts w:ascii="Times New Roman" w:hAnsi="Times New Roman" w:cs="Times New Roman"/>
                <w:sz w:val="24"/>
                <w:szCs w:val="24"/>
              </w:rPr>
              <w:t xml:space="preserve"> gadā</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EB38F90" w14:textId="77777777" w:rsidR="00891ADF" w:rsidRPr="008E4EB0" w:rsidRDefault="00891ADF">
            <w:pPr>
              <w:pStyle w:val="ListParagraph"/>
              <w:ind w:left="0"/>
              <w:jc w:val="center"/>
              <w:rPr>
                <w:rFonts w:ascii="Times New Roman" w:hAnsi="Times New Roman" w:cs="Times New Roman"/>
                <w:sz w:val="24"/>
                <w:szCs w:val="24"/>
              </w:rPr>
            </w:pPr>
            <w:r w:rsidRPr="008E4EB0">
              <w:rPr>
                <w:rFonts w:ascii="Times New Roman" w:hAnsi="Times New Roman" w:cs="Times New Roman"/>
                <w:sz w:val="24"/>
                <w:szCs w:val="24"/>
              </w:rPr>
              <w:t>Gandrīz nulles enerģijas ēka,</w:t>
            </w:r>
          </w:p>
          <w:p w14:paraId="39974B33" w14:textId="77777777" w:rsidR="00891ADF" w:rsidRPr="008E4EB0" w:rsidRDefault="00891ADF">
            <w:pPr>
              <w:pStyle w:val="ListParagraph"/>
              <w:ind w:left="0"/>
              <w:jc w:val="center"/>
              <w:rPr>
                <w:rFonts w:ascii="Times New Roman" w:hAnsi="Times New Roman" w:cs="Times New Roman"/>
                <w:sz w:val="24"/>
                <w:szCs w:val="24"/>
              </w:rPr>
            </w:pPr>
            <w:r w:rsidRPr="008E4EB0">
              <w:rPr>
                <w:rFonts w:ascii="Times New Roman" w:hAnsi="Times New Roman" w:cs="Times New Roman"/>
                <w:sz w:val="24"/>
                <w:szCs w:val="24"/>
              </w:rPr>
              <w:t>≤ 45 kWh/m</w:t>
            </w:r>
            <w:r w:rsidRPr="008E4EB0">
              <w:rPr>
                <w:rFonts w:ascii="Times New Roman" w:hAnsi="Times New Roman" w:cs="Times New Roman"/>
                <w:sz w:val="24"/>
                <w:szCs w:val="24"/>
                <w:vertAlign w:val="superscript"/>
              </w:rPr>
              <w:t>2</w:t>
            </w:r>
            <w:r w:rsidRPr="008E4EB0">
              <w:rPr>
                <w:rFonts w:ascii="Times New Roman" w:hAnsi="Times New Roman" w:cs="Times New Roman"/>
                <w:sz w:val="24"/>
                <w:szCs w:val="24"/>
              </w:rPr>
              <w:t xml:space="preserve"> gadā</w:t>
            </w:r>
          </w:p>
        </w:tc>
        <w:tc>
          <w:tcPr>
            <w:tcW w:w="1560" w:type="dxa"/>
            <w:tcBorders>
              <w:top w:val="single" w:sz="4" w:space="0" w:color="auto"/>
              <w:left w:val="single" w:sz="4" w:space="0" w:color="auto"/>
              <w:bottom w:val="single" w:sz="4" w:space="0" w:color="auto"/>
              <w:right w:val="single" w:sz="4" w:space="0" w:color="auto"/>
            </w:tcBorders>
            <w:vAlign w:val="center"/>
          </w:tcPr>
          <w:p w14:paraId="58EB6D88" w14:textId="77777777" w:rsidR="00891ADF" w:rsidRPr="008E4EB0" w:rsidRDefault="00891ADF">
            <w:pPr>
              <w:pStyle w:val="ListParagraph"/>
              <w:ind w:left="0"/>
              <w:jc w:val="center"/>
              <w:rPr>
                <w:rFonts w:ascii="Times New Roman" w:hAnsi="Times New Roman" w:cs="Times New Roman"/>
                <w:sz w:val="24"/>
                <w:szCs w:val="24"/>
              </w:rPr>
            </w:pPr>
            <w:r w:rsidRPr="008E4EB0">
              <w:rPr>
                <w:rFonts w:ascii="Times New Roman" w:hAnsi="Times New Roman" w:cs="Times New Roman"/>
                <w:sz w:val="24"/>
                <w:szCs w:val="24"/>
              </w:rPr>
              <w:t>Gandrīz nulles enerģijas ēka,</w:t>
            </w:r>
          </w:p>
          <w:p w14:paraId="5AD5CDF3" w14:textId="77777777" w:rsidR="00891ADF" w:rsidRPr="008E4EB0" w:rsidRDefault="00891ADF">
            <w:pPr>
              <w:pStyle w:val="ListParagraph"/>
              <w:ind w:left="0"/>
              <w:jc w:val="center"/>
              <w:rPr>
                <w:rFonts w:ascii="Times New Roman" w:hAnsi="Times New Roman" w:cs="Times New Roman"/>
                <w:sz w:val="24"/>
                <w:szCs w:val="24"/>
              </w:rPr>
            </w:pPr>
            <w:r w:rsidRPr="008E4EB0">
              <w:rPr>
                <w:rFonts w:ascii="Times New Roman" w:hAnsi="Times New Roman" w:cs="Times New Roman"/>
                <w:sz w:val="24"/>
                <w:szCs w:val="24"/>
              </w:rPr>
              <w:t>≤ 45 kWh/m</w:t>
            </w:r>
            <w:r w:rsidRPr="008E4EB0">
              <w:rPr>
                <w:rFonts w:ascii="Times New Roman" w:hAnsi="Times New Roman" w:cs="Times New Roman"/>
                <w:sz w:val="24"/>
                <w:szCs w:val="24"/>
                <w:vertAlign w:val="superscript"/>
              </w:rPr>
              <w:t>2</w:t>
            </w:r>
            <w:r w:rsidRPr="008E4EB0">
              <w:rPr>
                <w:rFonts w:ascii="Times New Roman" w:hAnsi="Times New Roman" w:cs="Times New Roman"/>
                <w:sz w:val="24"/>
                <w:szCs w:val="24"/>
              </w:rPr>
              <w:t xml:space="preserve"> gadā</w:t>
            </w:r>
          </w:p>
        </w:tc>
      </w:tr>
    </w:tbl>
    <w:p w14:paraId="3A0BE1FF" w14:textId="77777777" w:rsidR="008E391D" w:rsidRPr="008E4EB0" w:rsidRDefault="008E391D" w:rsidP="00891ADF">
      <w:pPr>
        <w:pStyle w:val="ListParagraph"/>
        <w:tabs>
          <w:tab w:val="left" w:pos="4485"/>
        </w:tabs>
        <w:ind w:left="0" w:firstLine="851"/>
        <w:jc w:val="both"/>
        <w:rPr>
          <w:rFonts w:ascii="Times New Roman" w:hAnsi="Times New Roman" w:cs="Times New Roman"/>
          <w:sz w:val="24"/>
          <w:szCs w:val="24"/>
        </w:rPr>
      </w:pPr>
    </w:p>
    <w:p w14:paraId="6C50F685" w14:textId="6D8A0C4E" w:rsidR="00891ADF" w:rsidRPr="008E4EB0" w:rsidRDefault="008E391D" w:rsidP="008E391D">
      <w:pPr>
        <w:pStyle w:val="ListParagraph"/>
        <w:ind w:left="0" w:firstLine="851"/>
        <w:jc w:val="both"/>
        <w:rPr>
          <w:rFonts w:ascii="Times New Roman" w:hAnsi="Times New Roman" w:cs="Times New Roman"/>
          <w:sz w:val="24"/>
          <w:szCs w:val="24"/>
        </w:rPr>
      </w:pPr>
      <w:r w:rsidRPr="008E4EB0">
        <w:rPr>
          <w:rFonts w:ascii="Times New Roman" w:hAnsi="Times New Roman" w:cs="Times New Roman"/>
          <w:sz w:val="24"/>
          <w:szCs w:val="24"/>
        </w:rPr>
        <w:t xml:space="preserve">LBN 002-15 prasības </w:t>
      </w:r>
      <w:r w:rsidR="00F749EA" w:rsidRPr="008E4EB0">
        <w:rPr>
          <w:rFonts w:ascii="Times New Roman" w:hAnsi="Times New Roman" w:cs="Times New Roman"/>
          <w:sz w:val="24"/>
          <w:szCs w:val="24"/>
        </w:rPr>
        <w:t>1</w:t>
      </w:r>
      <w:r w:rsidR="00F749EA">
        <w:rPr>
          <w:rFonts w:ascii="Times New Roman" w:hAnsi="Times New Roman" w:cs="Times New Roman"/>
          <w:sz w:val="24"/>
          <w:szCs w:val="24"/>
        </w:rPr>
        <w:t>3</w:t>
      </w:r>
      <w:r w:rsidRPr="008E4EB0">
        <w:rPr>
          <w:rFonts w:ascii="Times New Roman" w:hAnsi="Times New Roman" w:cs="Times New Roman"/>
          <w:sz w:val="24"/>
          <w:szCs w:val="24"/>
        </w:rPr>
        <w:t>.tabulā paredz prasību piemērošanu atbilstoši klimatiskajiem apstākļiem (temperatūras faktors k</w:t>
      </w:r>
      <w:r w:rsidR="007F75E7" w:rsidRPr="008E4EB0">
        <w:rPr>
          <w:rFonts w:ascii="Times New Roman" w:hAnsi="Times New Roman" w:cs="Times New Roman"/>
          <w:sz w:val="24"/>
          <w:szCs w:val="24"/>
        </w:rPr>
        <w:t xml:space="preserve">, kas atkarīgs no iekštelpu </w:t>
      </w:r>
      <w:r w:rsidR="000E56FF" w:rsidRPr="008E4EB0">
        <w:rPr>
          <w:rFonts w:ascii="Times New Roman" w:hAnsi="Times New Roman" w:cs="Times New Roman"/>
          <w:sz w:val="24"/>
          <w:szCs w:val="24"/>
        </w:rPr>
        <w:t>vides temperatūras un ārējās vides temperatūras</w:t>
      </w:r>
      <w:r w:rsidRPr="008E4EB0">
        <w:rPr>
          <w:rFonts w:ascii="Times New Roman" w:hAnsi="Times New Roman" w:cs="Times New Roman"/>
          <w:sz w:val="24"/>
          <w:szCs w:val="24"/>
        </w:rPr>
        <w:t>)</w:t>
      </w:r>
      <w:r w:rsidR="000E56FF" w:rsidRPr="008E4EB0">
        <w:rPr>
          <w:rFonts w:ascii="Times New Roman" w:hAnsi="Times New Roman" w:cs="Times New Roman"/>
          <w:sz w:val="24"/>
          <w:szCs w:val="24"/>
        </w:rPr>
        <w:t>. T</w:t>
      </w:r>
      <w:r w:rsidR="007F75E7" w:rsidRPr="008E4EB0">
        <w:rPr>
          <w:rFonts w:ascii="Times New Roman" w:hAnsi="Times New Roman" w:cs="Times New Roman"/>
          <w:sz w:val="24"/>
          <w:szCs w:val="24"/>
        </w:rPr>
        <w:t>ādā veidā paredzot stingrākas prasības bargāka klimata zonai</w:t>
      </w:r>
      <w:r w:rsidRPr="008E4EB0">
        <w:rPr>
          <w:rFonts w:ascii="Times New Roman" w:hAnsi="Times New Roman" w:cs="Times New Roman"/>
          <w:sz w:val="24"/>
          <w:szCs w:val="24"/>
        </w:rPr>
        <w:t xml:space="preserve"> </w:t>
      </w:r>
      <w:r w:rsidR="007F75E7" w:rsidRPr="008E4EB0">
        <w:rPr>
          <w:rFonts w:ascii="Times New Roman" w:hAnsi="Times New Roman" w:cs="Times New Roman"/>
          <w:sz w:val="24"/>
          <w:szCs w:val="24"/>
        </w:rPr>
        <w:t xml:space="preserve">un </w:t>
      </w:r>
      <w:r w:rsidR="000E56FF" w:rsidRPr="008E4EB0">
        <w:rPr>
          <w:rFonts w:ascii="Times New Roman" w:hAnsi="Times New Roman" w:cs="Times New Roman"/>
          <w:sz w:val="24"/>
          <w:szCs w:val="24"/>
        </w:rPr>
        <w:t>maigākas</w:t>
      </w:r>
      <w:r w:rsidR="007F75E7" w:rsidRPr="008E4EB0">
        <w:rPr>
          <w:rFonts w:ascii="Times New Roman" w:hAnsi="Times New Roman" w:cs="Times New Roman"/>
          <w:sz w:val="24"/>
          <w:szCs w:val="24"/>
        </w:rPr>
        <w:t xml:space="preserve"> prasības</w:t>
      </w:r>
      <w:r w:rsidR="000E56FF" w:rsidRPr="008E4EB0">
        <w:rPr>
          <w:rFonts w:ascii="Times New Roman" w:hAnsi="Times New Roman" w:cs="Times New Roman"/>
          <w:sz w:val="24"/>
          <w:szCs w:val="24"/>
        </w:rPr>
        <w:t xml:space="preserve"> siltāka klimata zonām. Ārējās vides temperatūras noteiktas LBN 003-15</w:t>
      </w:r>
      <w:r w:rsidR="007F75E7" w:rsidRPr="008E4EB0">
        <w:rPr>
          <w:rFonts w:ascii="Times New Roman" w:hAnsi="Times New Roman" w:cs="Times New Roman"/>
          <w:sz w:val="24"/>
          <w:szCs w:val="24"/>
        </w:rPr>
        <w:t xml:space="preserve"> </w:t>
      </w:r>
      <w:r w:rsidR="000E56FF" w:rsidRPr="008E4EB0">
        <w:rPr>
          <w:rFonts w:ascii="Times New Roman" w:hAnsi="Times New Roman" w:cs="Times New Roman"/>
          <w:sz w:val="24"/>
          <w:szCs w:val="24"/>
        </w:rPr>
        <w:t>“Būvklimatoloģija</w:t>
      </w:r>
      <w:r w:rsidR="00FC1505" w:rsidRPr="008E4EB0">
        <w:rPr>
          <w:rFonts w:ascii="Times New Roman" w:hAnsi="Times New Roman" w:cs="Times New Roman"/>
          <w:sz w:val="24"/>
          <w:szCs w:val="24"/>
        </w:rPr>
        <w:t>”</w:t>
      </w:r>
      <w:r w:rsidR="000E56FF" w:rsidRPr="008E4EB0">
        <w:rPr>
          <w:rFonts w:ascii="Times New Roman" w:hAnsi="Times New Roman" w:cs="Times New Roman"/>
          <w:sz w:val="24"/>
          <w:szCs w:val="24"/>
        </w:rPr>
        <w:t>. Ņemot vērā pakāpeniskas klimata pārmaiņas (pēdējos gados ziemas ir kļuvušas siltākas), šajā būvnormatīvā noteiktie dati būtu periodiski jāpārskata.</w:t>
      </w:r>
      <w:r w:rsidR="00891ADF" w:rsidRPr="008E4EB0">
        <w:rPr>
          <w:rFonts w:ascii="Times New Roman" w:hAnsi="Times New Roman" w:cs="Times New Roman"/>
          <w:sz w:val="24"/>
          <w:szCs w:val="24"/>
        </w:rPr>
        <w:tab/>
      </w:r>
    </w:p>
    <w:p w14:paraId="790E47CC" w14:textId="77777777" w:rsidR="00891ADF" w:rsidRPr="008E4EB0" w:rsidRDefault="00891ADF" w:rsidP="00891ADF">
      <w:pPr>
        <w:pStyle w:val="ListParagraph"/>
        <w:ind w:left="0" w:firstLine="851"/>
        <w:jc w:val="both"/>
        <w:rPr>
          <w:rFonts w:ascii="Times New Roman" w:hAnsi="Times New Roman" w:cs="Times New Roman"/>
          <w:sz w:val="24"/>
          <w:szCs w:val="24"/>
        </w:rPr>
      </w:pPr>
    </w:p>
    <w:p w14:paraId="080AF333" w14:textId="6406F2C3" w:rsidR="00681193" w:rsidRPr="008E4EB0" w:rsidRDefault="00681193" w:rsidP="00D64CF6">
      <w:pPr>
        <w:pStyle w:val="apakvirsraksts"/>
      </w:pPr>
      <w:bookmarkStart w:id="70" w:name="_Toc480527965"/>
      <w:bookmarkStart w:id="71" w:name="_Toc491870914"/>
      <w:r w:rsidRPr="008E4EB0">
        <w:t>Plānotās prasību izmaiņas nākotnē</w:t>
      </w:r>
      <w:bookmarkEnd w:id="70"/>
      <w:bookmarkEnd w:id="71"/>
    </w:p>
    <w:p w14:paraId="64FB4E99" w14:textId="42A41781" w:rsidR="000E56FF" w:rsidRPr="008E4EB0" w:rsidRDefault="00891ADF" w:rsidP="000E56FF">
      <w:pPr>
        <w:spacing w:after="0"/>
        <w:ind w:firstLine="851"/>
        <w:jc w:val="both"/>
        <w:rPr>
          <w:rFonts w:ascii="Times New Roman" w:hAnsi="Times New Roman" w:cs="Times New Roman"/>
          <w:sz w:val="24"/>
          <w:szCs w:val="24"/>
        </w:rPr>
      </w:pPr>
      <w:r w:rsidRPr="008E4EB0">
        <w:rPr>
          <w:rFonts w:ascii="Times New Roman" w:hAnsi="Times New Roman" w:cs="Times New Roman"/>
          <w:sz w:val="24"/>
          <w:szCs w:val="24"/>
        </w:rPr>
        <w:t xml:space="preserve">Atbilstoši Direktīvas 2010/31/ES 5.panta 2.punkta otrās daļas prasībām, dalībvalstis iesniedz komisijai ziņojumus regulāros laikposmos, kas nav ilgāki par pieciem gadiem. Latvijai nākamais ziņojums </w:t>
      </w:r>
      <w:r w:rsidR="00661923" w:rsidRPr="008E4EB0">
        <w:rPr>
          <w:rFonts w:ascii="Times New Roman" w:hAnsi="Times New Roman" w:cs="Times New Roman"/>
          <w:sz w:val="24"/>
          <w:szCs w:val="24"/>
        </w:rPr>
        <w:t xml:space="preserve">atbilstoši Eiropas Komisijas sniegtajai informācijai būtu </w:t>
      </w:r>
      <w:r w:rsidRPr="008E4EB0">
        <w:rPr>
          <w:rFonts w:ascii="Times New Roman" w:hAnsi="Times New Roman" w:cs="Times New Roman"/>
          <w:sz w:val="24"/>
          <w:szCs w:val="24"/>
        </w:rPr>
        <w:t>jāizstrādā līdz 2018.gada martam.</w:t>
      </w:r>
    </w:p>
    <w:p w14:paraId="7D73C342" w14:textId="48447904" w:rsidR="00891ADF" w:rsidRPr="008E4EB0" w:rsidRDefault="00891ADF" w:rsidP="000E56FF">
      <w:pPr>
        <w:spacing w:after="0"/>
        <w:ind w:firstLine="851"/>
        <w:jc w:val="both"/>
        <w:rPr>
          <w:rFonts w:ascii="Times New Roman" w:hAnsi="Times New Roman" w:cs="Times New Roman"/>
          <w:sz w:val="24"/>
          <w:szCs w:val="24"/>
          <w:lang w:eastAsia="lv-LV"/>
        </w:rPr>
      </w:pPr>
      <w:r w:rsidRPr="008E4EB0">
        <w:rPr>
          <w:rFonts w:ascii="Times New Roman" w:hAnsi="Times New Roman" w:cs="Times New Roman"/>
          <w:sz w:val="24"/>
          <w:szCs w:val="24"/>
          <w:lang w:eastAsia="lv-LV"/>
        </w:rPr>
        <w:t xml:space="preserve"> </w:t>
      </w:r>
      <w:r w:rsidR="000E56FF" w:rsidRPr="008E4EB0">
        <w:rPr>
          <w:rFonts w:ascii="Times New Roman" w:hAnsi="Times New Roman" w:cs="Times New Roman"/>
          <w:sz w:val="24"/>
          <w:szCs w:val="24"/>
          <w:lang w:eastAsia="lv-LV"/>
        </w:rPr>
        <w:t xml:space="preserve">2016.gada 30.novembrī Eiropas Komisija publicēja preses relīzi “Clean Energy for All </w:t>
      </w:r>
      <w:r w:rsidR="008E4EB0" w:rsidRPr="008E4EB0">
        <w:rPr>
          <w:rFonts w:ascii="Times New Roman" w:hAnsi="Times New Roman" w:cs="Times New Roman"/>
          <w:i/>
          <w:sz w:val="24"/>
          <w:szCs w:val="24"/>
          <w:lang w:eastAsia="lv-LV"/>
        </w:rPr>
        <w:t>Euro</w:t>
      </w:r>
      <w:r w:rsidR="000E56FF" w:rsidRPr="008E4EB0">
        <w:rPr>
          <w:rFonts w:ascii="Times New Roman" w:hAnsi="Times New Roman" w:cs="Times New Roman"/>
          <w:sz w:val="24"/>
          <w:szCs w:val="24"/>
          <w:lang w:eastAsia="lv-LV"/>
        </w:rPr>
        <w:t>peans”</w:t>
      </w:r>
      <w:r w:rsidR="000E56FF" w:rsidRPr="008E4EB0">
        <w:rPr>
          <w:rStyle w:val="FootnoteReference"/>
          <w:rFonts w:ascii="Times New Roman" w:hAnsi="Times New Roman" w:cs="Times New Roman"/>
          <w:sz w:val="24"/>
          <w:szCs w:val="24"/>
          <w:lang w:eastAsia="lv-LV"/>
        </w:rPr>
        <w:footnoteReference w:id="18"/>
      </w:r>
      <w:r w:rsidR="000E56FF" w:rsidRPr="008E4EB0">
        <w:rPr>
          <w:rFonts w:ascii="Times New Roman" w:hAnsi="Times New Roman" w:cs="Times New Roman"/>
          <w:sz w:val="24"/>
          <w:szCs w:val="24"/>
          <w:lang w:eastAsia="lv-LV"/>
        </w:rPr>
        <w:t>. Šīs ziemas dokumentu pakotnes sastāvā iekļauti arī priekšlikumi Eiropas Parlamenta un Padomes Direktīvas 2010/31/ES par ēku energoefektivitāti grozījumiem</w:t>
      </w:r>
      <w:r w:rsidR="00160AB4" w:rsidRPr="008E4EB0">
        <w:rPr>
          <w:rStyle w:val="FootnoteReference"/>
          <w:rFonts w:ascii="Times New Roman" w:hAnsi="Times New Roman" w:cs="Times New Roman"/>
          <w:sz w:val="24"/>
          <w:szCs w:val="24"/>
          <w:lang w:eastAsia="lv-LV"/>
        </w:rPr>
        <w:footnoteReference w:id="19"/>
      </w:r>
      <w:r w:rsidR="00160AB4" w:rsidRPr="008E4EB0">
        <w:rPr>
          <w:rFonts w:ascii="Times New Roman" w:hAnsi="Times New Roman" w:cs="Times New Roman"/>
          <w:sz w:val="24"/>
          <w:szCs w:val="24"/>
          <w:lang w:eastAsia="lv-LV"/>
        </w:rPr>
        <w:t xml:space="preserve">, kas paredz dažādu prasību izmaiņas. Ņemot vērā, ka prasību izmaiņās iekļautas tādas prasības, kas ietekmē ēkas energoefektivitātes aprēķina metodiku, </w:t>
      </w:r>
      <w:r w:rsidR="00661923" w:rsidRPr="008E4EB0">
        <w:rPr>
          <w:rFonts w:ascii="Times New Roman" w:hAnsi="Times New Roman" w:cs="Times New Roman"/>
          <w:sz w:val="24"/>
          <w:szCs w:val="24"/>
          <w:lang w:eastAsia="lv-LV"/>
        </w:rPr>
        <w:t>un, lai netiktu lieki tērēti valsts finanšu resursi šāda ziņojuma izstrādei, izmaksu optimālu līmeņu ziņojums būtu jāizstrādā līdz ar metodoloģijas izmaiņām, vai arī pēc tām, nevis līdz noteiktajam termiņam.</w:t>
      </w:r>
    </w:p>
    <w:p w14:paraId="1A6F26C9" w14:textId="6507FA6F" w:rsidR="00920634" w:rsidRPr="008E4EB0" w:rsidRDefault="00920634" w:rsidP="000E56FF">
      <w:pPr>
        <w:spacing w:after="0"/>
        <w:ind w:firstLine="851"/>
        <w:jc w:val="both"/>
        <w:rPr>
          <w:rFonts w:ascii="Times New Roman" w:hAnsi="Times New Roman" w:cs="Times New Roman"/>
          <w:sz w:val="24"/>
          <w:szCs w:val="24"/>
          <w:lang w:eastAsia="lv-LV"/>
        </w:rPr>
      </w:pPr>
      <w:r w:rsidRPr="008E4EB0">
        <w:rPr>
          <w:rFonts w:ascii="Times New Roman" w:hAnsi="Times New Roman" w:cs="Times New Roman"/>
          <w:sz w:val="24"/>
          <w:szCs w:val="24"/>
          <w:lang w:eastAsia="lv-LV"/>
        </w:rPr>
        <w:t>Ziemas dokumentu pakotnes sastāvā iekļautie priekšlikumi plašāk izklāstīti stratēģijas</w:t>
      </w:r>
      <w:r w:rsidR="002B3767" w:rsidRPr="008E4EB0">
        <w:rPr>
          <w:rFonts w:ascii="Times New Roman" w:hAnsi="Times New Roman" w:cs="Times New Roman"/>
          <w:sz w:val="24"/>
          <w:szCs w:val="24"/>
          <w:lang w:eastAsia="lv-LV"/>
        </w:rPr>
        <w:t xml:space="preserve"> </w:t>
      </w:r>
      <w:r w:rsidR="00334ED1" w:rsidRPr="008E4EB0">
        <w:rPr>
          <w:rFonts w:ascii="Times New Roman" w:hAnsi="Times New Roman" w:cs="Times New Roman"/>
          <w:sz w:val="24"/>
          <w:szCs w:val="24"/>
          <w:lang w:eastAsia="lv-LV"/>
        </w:rPr>
        <w:t>5</w:t>
      </w:r>
      <w:r w:rsidR="002B3767" w:rsidRPr="008E4EB0">
        <w:rPr>
          <w:rFonts w:ascii="Times New Roman" w:hAnsi="Times New Roman" w:cs="Times New Roman"/>
          <w:sz w:val="24"/>
          <w:szCs w:val="24"/>
          <w:lang w:eastAsia="lv-LV"/>
        </w:rPr>
        <w:t>.daļā.</w:t>
      </w:r>
    </w:p>
    <w:p w14:paraId="0980469E" w14:textId="369BB8F8" w:rsidR="006C5165" w:rsidRPr="008E4EB0" w:rsidRDefault="006C5165" w:rsidP="007B2931">
      <w:pPr>
        <w:spacing w:after="0" w:line="276" w:lineRule="auto"/>
        <w:rPr>
          <w:rFonts w:ascii="Times New Roman" w:hAnsi="Times New Roman" w:cs="Times New Roman"/>
          <w:sz w:val="24"/>
          <w:szCs w:val="24"/>
        </w:rPr>
      </w:pPr>
      <w:r w:rsidRPr="008E4EB0">
        <w:rPr>
          <w:rFonts w:ascii="Times New Roman" w:hAnsi="Times New Roman" w:cs="Times New Roman"/>
          <w:sz w:val="24"/>
          <w:szCs w:val="24"/>
        </w:rPr>
        <w:br w:type="page"/>
      </w:r>
    </w:p>
    <w:p w14:paraId="7F883283" w14:textId="3C4F5099" w:rsidR="0061203A" w:rsidRPr="008E4EB0" w:rsidRDefault="0061203A" w:rsidP="00D64CF6">
      <w:pPr>
        <w:pStyle w:val="virsraksts"/>
      </w:pPr>
      <w:bookmarkStart w:id="72" w:name="_Toc480527966"/>
      <w:bookmarkStart w:id="73" w:name="_Toc491870915"/>
      <w:r w:rsidRPr="008E4EB0">
        <w:lastRenderedPageBreak/>
        <w:t xml:space="preserve">Politika un pasākumi ēku </w:t>
      </w:r>
      <w:r w:rsidR="00CE0F55" w:rsidRPr="008E4EB0">
        <w:t>atjaunošanas</w:t>
      </w:r>
      <w:r w:rsidRPr="008E4EB0">
        <w:t xml:space="preserve"> stimulēšanai</w:t>
      </w:r>
      <w:bookmarkEnd w:id="72"/>
      <w:bookmarkEnd w:id="73"/>
    </w:p>
    <w:p w14:paraId="7E6A0650" w14:textId="7C7A78E7" w:rsidR="00226D5A" w:rsidRPr="008E4EB0" w:rsidRDefault="00226D5A" w:rsidP="00D64CF6">
      <w:pPr>
        <w:pStyle w:val="apakvirsraksts"/>
      </w:pPr>
      <w:bookmarkStart w:id="74" w:name="_Toc480527967"/>
      <w:bookmarkStart w:id="75" w:name="_Toc491870916"/>
      <w:r w:rsidRPr="008E4EB0">
        <w:t>Ēku energoefektivitātes politika</w:t>
      </w:r>
      <w:r w:rsidR="008B6881" w:rsidRPr="008E4EB0">
        <w:t>s</w:t>
      </w:r>
      <w:r w:rsidRPr="008E4EB0">
        <w:t xml:space="preserve"> </w:t>
      </w:r>
      <w:r w:rsidR="008B6881" w:rsidRPr="008E4EB0">
        <w:t>plānošanas dokumenti</w:t>
      </w:r>
      <w:bookmarkEnd w:id="74"/>
      <w:bookmarkEnd w:id="75"/>
    </w:p>
    <w:p w14:paraId="1E180DA5" w14:textId="04E4DABC" w:rsidR="00226D5A" w:rsidRPr="008E4EB0" w:rsidRDefault="00226D5A" w:rsidP="008B6881">
      <w:pPr>
        <w:ind w:firstLine="567"/>
        <w:jc w:val="both"/>
        <w:rPr>
          <w:rFonts w:ascii="Times New Roman" w:hAnsi="Times New Roman" w:cs="Times New Roman"/>
          <w:sz w:val="24"/>
          <w:szCs w:val="24"/>
        </w:rPr>
      </w:pPr>
      <w:r w:rsidRPr="008E4EB0">
        <w:rPr>
          <w:rFonts w:ascii="Times New Roman" w:hAnsi="Times New Roman" w:cs="Times New Roman"/>
          <w:sz w:val="24"/>
          <w:szCs w:val="24"/>
        </w:rPr>
        <w:t>Ēku energoefektivitātes politika</w:t>
      </w:r>
      <w:r w:rsidR="008B6881" w:rsidRPr="008E4EB0">
        <w:rPr>
          <w:rFonts w:ascii="Times New Roman" w:hAnsi="Times New Roman" w:cs="Times New Roman"/>
          <w:sz w:val="24"/>
          <w:szCs w:val="24"/>
        </w:rPr>
        <w:t xml:space="preserve">s plānošanas dokumenti ir </w:t>
      </w:r>
      <w:r w:rsidRPr="008E4EB0">
        <w:rPr>
          <w:rFonts w:ascii="Times New Roman" w:hAnsi="Times New Roman" w:cs="Times New Roman"/>
          <w:sz w:val="24"/>
          <w:szCs w:val="24"/>
        </w:rPr>
        <w:t xml:space="preserve">noteikti šādos politikas </w:t>
      </w:r>
      <w:r w:rsidR="008B6881" w:rsidRPr="008E4EB0">
        <w:rPr>
          <w:rFonts w:ascii="Times New Roman" w:hAnsi="Times New Roman" w:cs="Times New Roman"/>
          <w:sz w:val="24"/>
          <w:szCs w:val="24"/>
        </w:rPr>
        <w:t xml:space="preserve">plānošanas </w:t>
      </w:r>
      <w:r w:rsidRPr="008E4EB0">
        <w:rPr>
          <w:rFonts w:ascii="Times New Roman" w:hAnsi="Times New Roman" w:cs="Times New Roman"/>
          <w:sz w:val="24"/>
          <w:szCs w:val="24"/>
        </w:rPr>
        <w:t>dokumentos</w:t>
      </w:r>
      <w:r w:rsidR="008B6881" w:rsidRPr="008E4EB0">
        <w:rPr>
          <w:rFonts w:ascii="Times New Roman" w:hAnsi="Times New Roman" w:cs="Times New Roman"/>
          <w:sz w:val="24"/>
          <w:szCs w:val="24"/>
        </w:rPr>
        <w:t>:</w:t>
      </w:r>
    </w:p>
    <w:p w14:paraId="1BD0357B" w14:textId="77777777" w:rsidR="00226D5A" w:rsidRPr="008E4EB0" w:rsidRDefault="00226D5A" w:rsidP="008B6881">
      <w:pPr>
        <w:jc w:val="both"/>
        <w:rPr>
          <w:rFonts w:ascii="Times New Roman" w:hAnsi="Times New Roman" w:cs="Times New Roman"/>
          <w:sz w:val="24"/>
          <w:szCs w:val="24"/>
        </w:rPr>
      </w:pPr>
      <w:r w:rsidRPr="008E4EB0">
        <w:rPr>
          <w:rFonts w:ascii="Times New Roman" w:hAnsi="Times New Roman" w:cs="Times New Roman"/>
          <w:sz w:val="24"/>
          <w:szCs w:val="24"/>
        </w:rPr>
        <w:t>•</w:t>
      </w:r>
      <w:r w:rsidRPr="008E4EB0">
        <w:rPr>
          <w:rFonts w:ascii="Times New Roman" w:hAnsi="Times New Roman" w:cs="Times New Roman"/>
          <w:sz w:val="24"/>
          <w:szCs w:val="24"/>
        </w:rPr>
        <w:tab/>
        <w:t>Latvijas Nacionālais attīstības plāns 2014. – 2020. gadam (turpmāk – NAP) (apstiprināts ar 2012.gada 20.decembra Latvijas Republikas Saeimas lēmumu);</w:t>
      </w:r>
    </w:p>
    <w:p w14:paraId="1DA06E8D" w14:textId="77777777" w:rsidR="00226D5A" w:rsidRPr="008E4EB0" w:rsidRDefault="00226D5A" w:rsidP="008B6881">
      <w:pPr>
        <w:jc w:val="both"/>
        <w:rPr>
          <w:rFonts w:ascii="Times New Roman" w:hAnsi="Times New Roman" w:cs="Times New Roman"/>
          <w:sz w:val="24"/>
          <w:szCs w:val="24"/>
        </w:rPr>
      </w:pPr>
      <w:r w:rsidRPr="008E4EB0">
        <w:rPr>
          <w:rFonts w:ascii="Times New Roman" w:hAnsi="Times New Roman" w:cs="Times New Roman"/>
          <w:sz w:val="24"/>
          <w:szCs w:val="24"/>
        </w:rPr>
        <w:t>•</w:t>
      </w:r>
      <w:r w:rsidRPr="008E4EB0">
        <w:rPr>
          <w:rFonts w:ascii="Times New Roman" w:hAnsi="Times New Roman" w:cs="Times New Roman"/>
          <w:sz w:val="24"/>
          <w:szCs w:val="24"/>
        </w:rPr>
        <w:tab/>
        <w:t>Latvijas nacionālā reformu programma stratēģijas „ES 2020” īstenošanai (turpmāk - NRP) (apstiprināta ar Ministru kabineta 2011. gada 26. aprīļa rīkojumu, (protokols Nr. 27 34.§));</w:t>
      </w:r>
    </w:p>
    <w:p w14:paraId="53E1D238" w14:textId="1E535CF3" w:rsidR="00226D5A" w:rsidRPr="008E4EB0" w:rsidRDefault="00226D5A" w:rsidP="008B6881">
      <w:pPr>
        <w:jc w:val="both"/>
        <w:rPr>
          <w:rFonts w:ascii="Times New Roman" w:hAnsi="Times New Roman" w:cs="Times New Roman"/>
          <w:sz w:val="24"/>
          <w:szCs w:val="24"/>
        </w:rPr>
      </w:pPr>
      <w:r w:rsidRPr="008E4EB0">
        <w:rPr>
          <w:rFonts w:ascii="Times New Roman" w:hAnsi="Times New Roman" w:cs="Times New Roman"/>
          <w:sz w:val="24"/>
          <w:szCs w:val="24"/>
        </w:rPr>
        <w:t>•</w:t>
      </w:r>
      <w:r w:rsidRPr="008E4EB0">
        <w:rPr>
          <w:rFonts w:ascii="Times New Roman" w:hAnsi="Times New Roman" w:cs="Times New Roman"/>
          <w:sz w:val="24"/>
          <w:szCs w:val="24"/>
        </w:rPr>
        <w:tab/>
        <w:t>Informatīvais ziņojums „Latvijas Enerģētikas ilgtermiņa stratēģija 2030 – konkurētspējīga enerģētika sabiedrībai” (apstiprināts ar Ministru kabineta 2013. gada 28. maij</w:t>
      </w:r>
      <w:r w:rsidR="00A4761D" w:rsidRPr="008E4EB0">
        <w:rPr>
          <w:rFonts w:ascii="Times New Roman" w:hAnsi="Times New Roman" w:cs="Times New Roman"/>
          <w:sz w:val="24"/>
          <w:szCs w:val="24"/>
        </w:rPr>
        <w:t>a rīkojumu (prot. Nr.32 59.§));</w:t>
      </w:r>
    </w:p>
    <w:p w14:paraId="194AA243" w14:textId="77777777" w:rsidR="00226D5A" w:rsidRPr="008E4EB0" w:rsidRDefault="00226D5A" w:rsidP="008B6881">
      <w:pPr>
        <w:jc w:val="both"/>
        <w:rPr>
          <w:rFonts w:ascii="Times New Roman" w:hAnsi="Times New Roman" w:cs="Times New Roman"/>
          <w:sz w:val="24"/>
          <w:szCs w:val="24"/>
        </w:rPr>
      </w:pPr>
      <w:r w:rsidRPr="008E4EB0">
        <w:rPr>
          <w:rFonts w:ascii="Times New Roman" w:hAnsi="Times New Roman" w:cs="Times New Roman"/>
          <w:sz w:val="24"/>
          <w:szCs w:val="24"/>
        </w:rPr>
        <w:t>•</w:t>
      </w:r>
      <w:r w:rsidRPr="008E4EB0">
        <w:rPr>
          <w:rFonts w:ascii="Times New Roman" w:hAnsi="Times New Roman" w:cs="Times New Roman"/>
          <w:sz w:val="24"/>
          <w:szCs w:val="24"/>
        </w:rPr>
        <w:tab/>
        <w:t>Partnerības līgums Eiropas Savienības fondu 2014.–2020.gada plānošanas periodam (apstiprināts ar Ministru kabineta 2014. gada 2. janvāra rīkojumu Nr. 1);</w:t>
      </w:r>
    </w:p>
    <w:p w14:paraId="5F3F97BD" w14:textId="77777777" w:rsidR="00226D5A" w:rsidRPr="008E4EB0" w:rsidRDefault="00226D5A" w:rsidP="008B6881">
      <w:pPr>
        <w:jc w:val="both"/>
        <w:rPr>
          <w:rFonts w:ascii="Times New Roman" w:hAnsi="Times New Roman" w:cs="Times New Roman"/>
          <w:sz w:val="24"/>
          <w:szCs w:val="24"/>
        </w:rPr>
      </w:pPr>
      <w:r w:rsidRPr="008E4EB0">
        <w:rPr>
          <w:rFonts w:ascii="Times New Roman" w:hAnsi="Times New Roman" w:cs="Times New Roman"/>
          <w:sz w:val="24"/>
          <w:szCs w:val="24"/>
        </w:rPr>
        <w:t>•</w:t>
      </w:r>
      <w:r w:rsidRPr="008E4EB0">
        <w:rPr>
          <w:rFonts w:ascii="Times New Roman" w:hAnsi="Times New Roman" w:cs="Times New Roman"/>
          <w:sz w:val="24"/>
          <w:szCs w:val="24"/>
        </w:rPr>
        <w:tab/>
        <w:t>Darbības programma „Izaugsme un nodarbinātība” 2014. – 2020.gada plānošanas periodam (apstiprināta ar Ministru kabineta 2014. gada 17. februāra rīkojumu Nr. 71);</w:t>
      </w:r>
    </w:p>
    <w:p w14:paraId="25AD1EBB" w14:textId="77777777" w:rsidR="00226D5A" w:rsidRPr="008E4EB0" w:rsidRDefault="00226D5A" w:rsidP="008B6881">
      <w:pPr>
        <w:jc w:val="both"/>
        <w:rPr>
          <w:rFonts w:ascii="Times New Roman" w:hAnsi="Times New Roman" w:cs="Times New Roman"/>
          <w:sz w:val="24"/>
          <w:szCs w:val="24"/>
        </w:rPr>
      </w:pPr>
      <w:r w:rsidRPr="008E4EB0">
        <w:rPr>
          <w:rFonts w:ascii="Times New Roman" w:hAnsi="Times New Roman" w:cs="Times New Roman"/>
          <w:sz w:val="24"/>
          <w:szCs w:val="24"/>
        </w:rPr>
        <w:t>•</w:t>
      </w:r>
      <w:r w:rsidRPr="008E4EB0">
        <w:rPr>
          <w:rFonts w:ascii="Times New Roman" w:hAnsi="Times New Roman" w:cs="Times New Roman"/>
          <w:sz w:val="24"/>
          <w:szCs w:val="24"/>
        </w:rPr>
        <w:tab/>
        <w:t>“Koncepcija par Eiropas Parlamenta un Padomes 2012.gada 25.oktobra Direktīvas 2012/27/ES par energoefektivitāti, ar ko groza Direktīvas 2009/125/EK un 2010/30/ES, un atceļ Direktīvas 2004/8/EK un 2006/32/EK, prasību pārņemšanu normatīvajos aktos” (apstiprināta ar Ministru kabineta 2013. gada 26. novembra rīkojumu Nr. 587);</w:t>
      </w:r>
    </w:p>
    <w:p w14:paraId="7D80A314" w14:textId="77777777" w:rsidR="00226D5A" w:rsidRPr="008E4EB0" w:rsidRDefault="00226D5A" w:rsidP="008B6881">
      <w:pPr>
        <w:jc w:val="both"/>
        <w:rPr>
          <w:rFonts w:ascii="Times New Roman" w:hAnsi="Times New Roman" w:cs="Times New Roman"/>
          <w:sz w:val="24"/>
          <w:szCs w:val="24"/>
        </w:rPr>
      </w:pPr>
      <w:r w:rsidRPr="008E4EB0">
        <w:rPr>
          <w:rFonts w:ascii="Times New Roman" w:hAnsi="Times New Roman" w:cs="Times New Roman"/>
          <w:sz w:val="24"/>
          <w:szCs w:val="24"/>
        </w:rPr>
        <w:t>•</w:t>
      </w:r>
      <w:r w:rsidRPr="008E4EB0">
        <w:rPr>
          <w:rFonts w:ascii="Times New Roman" w:hAnsi="Times New Roman" w:cs="Times New Roman"/>
          <w:sz w:val="24"/>
          <w:szCs w:val="24"/>
        </w:rPr>
        <w:tab/>
        <w:t>Reģionālās politikas pamatnostādnes 2013. – 2019.gadam (apstiprinātas ar Ministru kabineta 2013.gada 29.oktobra rīkojumu Nr. 496).</w:t>
      </w:r>
    </w:p>
    <w:p w14:paraId="7176EE97" w14:textId="331A5ADE" w:rsidR="008B6881" w:rsidRPr="008E4EB0" w:rsidRDefault="008B6881" w:rsidP="008B6881">
      <w:pPr>
        <w:ind w:firstLine="567"/>
        <w:jc w:val="both"/>
        <w:rPr>
          <w:rFonts w:ascii="Times New Roman" w:hAnsi="Times New Roman" w:cs="Times New Roman"/>
          <w:sz w:val="24"/>
          <w:szCs w:val="24"/>
        </w:rPr>
      </w:pPr>
      <w:r w:rsidRPr="008E4EB0">
        <w:rPr>
          <w:rFonts w:ascii="Times New Roman" w:hAnsi="Times New Roman" w:cs="Times New Roman"/>
          <w:sz w:val="24"/>
          <w:szCs w:val="24"/>
        </w:rPr>
        <w:t>No minētajiem plānošanas dokumentiem izriet turpmākajās sadaļās īstenotie un plānotie ēku energoefektivitātes politikas pasākumi.</w:t>
      </w:r>
    </w:p>
    <w:p w14:paraId="6912544A" w14:textId="4A49A030" w:rsidR="008B6881" w:rsidRPr="008E4EB0" w:rsidRDefault="008B6881" w:rsidP="008B6881">
      <w:pPr>
        <w:ind w:firstLine="567"/>
        <w:rPr>
          <w:rFonts w:ascii="Times New Roman" w:hAnsi="Times New Roman" w:cs="Times New Roman"/>
          <w:sz w:val="24"/>
          <w:szCs w:val="24"/>
        </w:rPr>
      </w:pPr>
      <w:r w:rsidRPr="008E4EB0">
        <w:rPr>
          <w:rFonts w:ascii="Times New Roman" w:hAnsi="Times New Roman" w:cs="Times New Roman"/>
          <w:sz w:val="24"/>
          <w:szCs w:val="24"/>
        </w:rPr>
        <w:br w:type="page"/>
      </w:r>
    </w:p>
    <w:p w14:paraId="2706C43A" w14:textId="72F00E85" w:rsidR="0061203A" w:rsidRPr="008E4EB0" w:rsidRDefault="0061203A" w:rsidP="00D64CF6">
      <w:pPr>
        <w:pStyle w:val="apakvirsraksts"/>
      </w:pPr>
      <w:bookmarkStart w:id="76" w:name="_Toc480527968"/>
      <w:bookmarkStart w:id="77" w:name="_Toc491870917"/>
      <w:r w:rsidRPr="008E4EB0">
        <w:lastRenderedPageBreak/>
        <w:t>Pieejamais finansējums no fondiem un finanšu instrumentiem</w:t>
      </w:r>
      <w:bookmarkEnd w:id="76"/>
      <w:bookmarkEnd w:id="77"/>
    </w:p>
    <w:p w14:paraId="3ABF9D9D" w14:textId="37C4E87B" w:rsidR="00990903" w:rsidRPr="008E4EB0" w:rsidRDefault="00990903" w:rsidP="00D82FCF">
      <w:pPr>
        <w:pStyle w:val="apakapakvirsraksts"/>
      </w:pPr>
      <w:bookmarkStart w:id="78" w:name="_Toc480527969"/>
      <w:bookmarkStart w:id="79" w:name="_Toc491870918"/>
      <w:r w:rsidRPr="008E4EB0">
        <w:t>Eiropas Savienības fondu izmantošana</w:t>
      </w:r>
      <w:bookmarkEnd w:id="78"/>
      <w:bookmarkEnd w:id="79"/>
    </w:p>
    <w:p w14:paraId="640E544B" w14:textId="77777777" w:rsidR="00990903" w:rsidRPr="008E4EB0" w:rsidRDefault="00990903" w:rsidP="007B2931">
      <w:pPr>
        <w:spacing w:after="0" w:line="276" w:lineRule="auto"/>
        <w:ind w:firstLine="851"/>
        <w:jc w:val="both"/>
        <w:rPr>
          <w:rFonts w:ascii="Times New Roman" w:eastAsia="Calibri" w:hAnsi="Times New Roman" w:cs="Times New Roman"/>
          <w:sz w:val="24"/>
          <w:szCs w:val="24"/>
          <w:lang w:eastAsia="lv-LV"/>
        </w:rPr>
      </w:pPr>
      <w:r w:rsidRPr="008E4EB0">
        <w:rPr>
          <w:rFonts w:ascii="Times New Roman" w:eastAsia="Calibri" w:hAnsi="Times New Roman" w:cs="Times New Roman"/>
          <w:sz w:val="24"/>
          <w:szCs w:val="24"/>
          <w:lang w:eastAsia="lv-LV"/>
        </w:rPr>
        <w:t xml:space="preserve">ES fondi ir uzskatāmi par apjomīgāko finansējuma piesaistes avotu no 2009. gada. Atbalsts ēku energoefektivitātes paaugstināšanai ir bijis pieejams, gan 2007.-2013. gada ES fondu plānošanas periodā (Eiropas Reģionālās attīstības fonda (turpmāk – ERAF), gan 2014.-2020. gada ES fondu plānošanas periodā (ERAF un Kohēzijas fonda (turpmāk – KF) finansējums). </w:t>
      </w:r>
    </w:p>
    <w:p w14:paraId="14C4AD4C" w14:textId="77777777" w:rsidR="00990903" w:rsidRPr="008E4EB0" w:rsidRDefault="00990903" w:rsidP="007B2931">
      <w:pPr>
        <w:spacing w:after="0" w:line="276" w:lineRule="auto"/>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 xml:space="preserve"> </w:t>
      </w:r>
    </w:p>
    <w:p w14:paraId="5838ED3D" w14:textId="77777777" w:rsidR="00990903" w:rsidRPr="008E4EB0" w:rsidRDefault="00990903" w:rsidP="007B2931">
      <w:pPr>
        <w:spacing w:after="0" w:line="276" w:lineRule="auto"/>
        <w:jc w:val="both"/>
        <w:rPr>
          <w:rFonts w:ascii="Times New Roman" w:eastAsia="Times New Roman" w:hAnsi="Times New Roman" w:cs="Times New Roman"/>
          <w:i/>
          <w:sz w:val="24"/>
          <w:szCs w:val="24"/>
          <w:lang w:bidi="en-US"/>
        </w:rPr>
      </w:pPr>
      <w:r w:rsidRPr="008E4EB0">
        <w:rPr>
          <w:rFonts w:ascii="Times New Roman" w:eastAsia="Times New Roman" w:hAnsi="Times New Roman" w:cs="Times New Roman"/>
          <w:i/>
          <w:sz w:val="24"/>
          <w:szCs w:val="24"/>
          <w:lang w:bidi="en-US"/>
        </w:rPr>
        <w:t>2007.-2013. gada ES fondu plānošanas periods</w:t>
      </w:r>
    </w:p>
    <w:p w14:paraId="1AF21295" w14:textId="77777777" w:rsidR="00990903" w:rsidRPr="008E4EB0" w:rsidRDefault="00990903" w:rsidP="007B2931">
      <w:pPr>
        <w:spacing w:after="0" w:line="276" w:lineRule="auto"/>
        <w:ind w:firstLine="851"/>
        <w:jc w:val="both"/>
        <w:rPr>
          <w:rFonts w:ascii="Times New Roman" w:eastAsia="Times New Roman" w:hAnsi="Times New Roman" w:cs="Times New Roman"/>
          <w:sz w:val="24"/>
          <w:szCs w:val="24"/>
          <w:lang w:bidi="en-US"/>
        </w:rPr>
      </w:pPr>
      <w:r w:rsidRPr="008E4EB0">
        <w:rPr>
          <w:rFonts w:ascii="Times New Roman" w:eastAsia="Times New Roman" w:hAnsi="Times New Roman" w:cs="Times New Roman"/>
          <w:sz w:val="24"/>
          <w:szCs w:val="24"/>
          <w:lang w:bidi="en-US"/>
        </w:rPr>
        <w:t>2007.-2013. gada ES fondu plānošanas perioda darbības programmas „Infrastruktūra un pakalpojumi” papildinājuma 3.4.4. pasākuma „Mājokļu energoefektivitāte” ietvaros EM administrēja divas aktivitātes, kuru ieviešanu nodrošina Latvijas Investīciju un attīstības aģentūra (turpmāk – LIAA):</w:t>
      </w:r>
    </w:p>
    <w:p w14:paraId="53BF944D" w14:textId="77777777" w:rsidR="00990903" w:rsidRPr="008E4EB0" w:rsidRDefault="00990903" w:rsidP="00D9693B">
      <w:pPr>
        <w:numPr>
          <w:ilvl w:val="0"/>
          <w:numId w:val="1"/>
        </w:numPr>
        <w:spacing w:after="0" w:line="276" w:lineRule="auto"/>
        <w:ind w:left="709" w:hanging="371"/>
        <w:jc w:val="both"/>
        <w:rPr>
          <w:rFonts w:ascii="Times New Roman" w:eastAsia="Calibri" w:hAnsi="Times New Roman" w:cs="Times New Roman"/>
          <w:sz w:val="24"/>
          <w:szCs w:val="24"/>
          <w:lang w:eastAsia="da-DK"/>
        </w:rPr>
      </w:pPr>
      <w:r w:rsidRPr="008E4EB0">
        <w:rPr>
          <w:rFonts w:ascii="Times New Roman" w:eastAsia="Calibri" w:hAnsi="Times New Roman" w:cs="Times New Roman"/>
          <w:sz w:val="24"/>
          <w:szCs w:val="24"/>
          <w:lang w:eastAsia="da-DK"/>
        </w:rPr>
        <w:t xml:space="preserve">3.4.4.1. aktivitāte „Daudzdzīvokļu māju siltumnoturības uzlabošanas pasākumi” (turpmāk – 3.4.4.1.aktivitāte). </w:t>
      </w:r>
    </w:p>
    <w:p w14:paraId="77A93452" w14:textId="77777777" w:rsidR="00990903" w:rsidRPr="008E4EB0" w:rsidRDefault="00990903" w:rsidP="00D9693B">
      <w:pPr>
        <w:numPr>
          <w:ilvl w:val="0"/>
          <w:numId w:val="1"/>
        </w:numPr>
        <w:spacing w:after="0" w:line="276" w:lineRule="auto"/>
        <w:ind w:left="709"/>
        <w:jc w:val="both"/>
        <w:rPr>
          <w:rFonts w:ascii="Times New Roman" w:eastAsia="Calibri" w:hAnsi="Times New Roman" w:cs="Times New Roman"/>
          <w:sz w:val="24"/>
          <w:szCs w:val="24"/>
          <w:lang w:eastAsia="da-DK"/>
        </w:rPr>
      </w:pPr>
      <w:r w:rsidRPr="008E4EB0">
        <w:rPr>
          <w:rFonts w:ascii="Times New Roman" w:eastAsia="Calibri" w:hAnsi="Times New Roman" w:cs="Times New Roman"/>
          <w:sz w:val="24"/>
          <w:szCs w:val="24"/>
          <w:lang w:eastAsia="da-DK"/>
        </w:rPr>
        <w:t>3.4.4.2. aktivitāte „Sociālo dzīvojamo māju siltumnoturības uzlabošanas pasākumi” (turpmāk – 3.4.4.2.aktivitāte).</w:t>
      </w:r>
    </w:p>
    <w:p w14:paraId="314932A3" w14:textId="77777777" w:rsidR="00990903" w:rsidRPr="008E4EB0" w:rsidRDefault="00990903" w:rsidP="007B2931">
      <w:pPr>
        <w:spacing w:after="0" w:line="276" w:lineRule="auto"/>
        <w:ind w:left="1080"/>
        <w:jc w:val="both"/>
        <w:rPr>
          <w:rFonts w:ascii="Times New Roman" w:eastAsia="Calibri" w:hAnsi="Times New Roman" w:cs="Times New Roman"/>
          <w:sz w:val="24"/>
          <w:szCs w:val="24"/>
          <w:lang w:eastAsia="da-DK"/>
        </w:rPr>
      </w:pPr>
    </w:p>
    <w:p w14:paraId="60287300" w14:textId="77E02362" w:rsidR="00990903" w:rsidRPr="008E4EB0" w:rsidRDefault="00990903" w:rsidP="007B2931">
      <w:pPr>
        <w:keepNext/>
        <w:keepLines/>
        <w:numPr>
          <w:ilvl w:val="3"/>
          <w:numId w:val="0"/>
        </w:numPr>
        <w:spacing w:after="0" w:line="276" w:lineRule="auto"/>
        <w:contextualSpacing/>
        <w:jc w:val="both"/>
        <w:outlineLvl w:val="3"/>
        <w:rPr>
          <w:rFonts w:ascii="Times New Roman" w:eastAsia="Calibri" w:hAnsi="Times New Roman" w:cs="Times New Roman"/>
          <w:color w:val="000000"/>
          <w:sz w:val="24"/>
          <w:szCs w:val="24"/>
          <w:u w:val="single"/>
          <w:lang w:eastAsia="da-DK"/>
        </w:rPr>
      </w:pPr>
      <w:bookmarkStart w:id="80" w:name="_Ref411625267"/>
      <w:r w:rsidRPr="008E4EB0">
        <w:rPr>
          <w:rFonts w:ascii="Times New Roman" w:eastAsia="Calibri" w:hAnsi="Times New Roman" w:cs="Times New Roman"/>
          <w:color w:val="000000"/>
          <w:sz w:val="24"/>
          <w:szCs w:val="24"/>
          <w:u w:val="single"/>
          <w:lang w:eastAsia="da-DK"/>
        </w:rPr>
        <w:t>3.4.4.1. aktivitāte „Dzīvojamo māju siltumnoturības uzlabošanas pasākumi”</w:t>
      </w:r>
      <w:bookmarkEnd w:id="80"/>
      <w:r w:rsidRPr="008E4EB0">
        <w:rPr>
          <w:rFonts w:ascii="Times New Roman" w:eastAsia="Calibri" w:hAnsi="Times New Roman" w:cs="Times New Roman"/>
          <w:color w:val="000000"/>
          <w:sz w:val="24"/>
          <w:szCs w:val="24"/>
          <w:u w:val="single"/>
          <w:lang w:eastAsia="da-DK"/>
        </w:rPr>
        <w:t>.</w:t>
      </w:r>
    </w:p>
    <w:p w14:paraId="0AD0B466" w14:textId="77777777" w:rsidR="00990903" w:rsidRPr="008E4EB0" w:rsidRDefault="00990903" w:rsidP="007B2931">
      <w:pPr>
        <w:keepNext/>
        <w:keepLines/>
        <w:numPr>
          <w:ilvl w:val="3"/>
          <w:numId w:val="0"/>
        </w:numPr>
        <w:spacing w:after="0" w:line="276" w:lineRule="auto"/>
        <w:contextualSpacing/>
        <w:jc w:val="both"/>
        <w:outlineLvl w:val="3"/>
        <w:rPr>
          <w:rFonts w:ascii="Times New Roman" w:eastAsia="Calibri" w:hAnsi="Times New Roman" w:cs="Times New Roman"/>
          <w:b/>
          <w:color w:val="000000"/>
          <w:sz w:val="24"/>
          <w:szCs w:val="24"/>
          <w:lang w:eastAsia="da-DK"/>
        </w:rPr>
      </w:pPr>
    </w:p>
    <w:p w14:paraId="03A56807" w14:textId="1A1165D0" w:rsidR="00990903" w:rsidRPr="008E4EB0" w:rsidRDefault="00990903" w:rsidP="007B2931">
      <w:pPr>
        <w:spacing w:after="0" w:line="276" w:lineRule="auto"/>
        <w:ind w:firstLine="851"/>
        <w:jc w:val="both"/>
        <w:rPr>
          <w:rFonts w:ascii="Times New Roman" w:eastAsia="Times New Roman" w:hAnsi="Times New Roman" w:cs="Times New Roman"/>
          <w:sz w:val="24"/>
          <w:szCs w:val="24"/>
          <w:lang w:bidi="en-US"/>
        </w:rPr>
      </w:pPr>
      <w:r w:rsidRPr="008E4EB0">
        <w:rPr>
          <w:rFonts w:ascii="Times New Roman" w:eastAsia="Times New Roman" w:hAnsi="Times New Roman" w:cs="Times New Roman"/>
          <w:sz w:val="24"/>
          <w:szCs w:val="24"/>
          <w:lang w:bidi="en-US"/>
        </w:rPr>
        <w:t>3.4.4.1. aktivitātes ietvaros atbalsts daudzdzīvokļu dzīvojamo māju energoefektivitātes paaugstināšanai ti</w:t>
      </w:r>
      <w:r w:rsidR="00916787">
        <w:rPr>
          <w:rFonts w:ascii="Times New Roman" w:eastAsia="Times New Roman" w:hAnsi="Times New Roman" w:cs="Times New Roman"/>
          <w:sz w:val="24"/>
          <w:szCs w:val="24"/>
          <w:lang w:bidi="en-US"/>
        </w:rPr>
        <w:t>ka</w:t>
      </w:r>
      <w:r w:rsidRPr="008E4EB0">
        <w:rPr>
          <w:rFonts w:ascii="Times New Roman" w:eastAsia="Times New Roman" w:hAnsi="Times New Roman" w:cs="Times New Roman"/>
          <w:sz w:val="24"/>
          <w:szCs w:val="24"/>
          <w:lang w:bidi="en-US"/>
        </w:rPr>
        <w:t xml:space="preserve"> sniegts kopš 2009. gada. Šīs aktivitātes mērķis </w:t>
      </w:r>
      <w:r w:rsidR="00916787">
        <w:rPr>
          <w:rFonts w:ascii="Times New Roman" w:eastAsia="Times New Roman" w:hAnsi="Times New Roman" w:cs="Times New Roman"/>
          <w:sz w:val="24"/>
          <w:szCs w:val="24"/>
          <w:lang w:bidi="en-US"/>
        </w:rPr>
        <w:t>bija</w:t>
      </w:r>
      <w:r w:rsidR="00916787" w:rsidRPr="008E4EB0">
        <w:rPr>
          <w:rFonts w:ascii="Times New Roman" w:eastAsia="Times New Roman" w:hAnsi="Times New Roman" w:cs="Times New Roman"/>
          <w:sz w:val="24"/>
          <w:szCs w:val="24"/>
          <w:lang w:bidi="en-US"/>
        </w:rPr>
        <w:t xml:space="preserve"> </w:t>
      </w:r>
      <w:r w:rsidRPr="008E4EB0">
        <w:rPr>
          <w:rFonts w:ascii="Times New Roman" w:eastAsia="Times New Roman" w:hAnsi="Times New Roman" w:cs="Times New Roman"/>
          <w:sz w:val="24"/>
          <w:szCs w:val="24"/>
          <w:lang w:bidi="en-US"/>
        </w:rPr>
        <w:t xml:space="preserve">mājokļu energoefektivitātes paaugstināšana daudzdzīvokļu dzīvojamās mājās, lai nodrošinātu dzīvojamā fonda ilgtspēju un energoresursu efektīvu izmantošanu. </w:t>
      </w:r>
    </w:p>
    <w:p w14:paraId="7B948624" w14:textId="44DA3466" w:rsidR="00990903" w:rsidRPr="008E4EB0" w:rsidRDefault="00990903" w:rsidP="007B2931">
      <w:pPr>
        <w:spacing w:after="0" w:line="276" w:lineRule="auto"/>
        <w:ind w:firstLine="851"/>
        <w:jc w:val="both"/>
        <w:rPr>
          <w:rFonts w:ascii="Times New Roman" w:eastAsia="Times New Roman" w:hAnsi="Times New Roman" w:cs="Times New Roman"/>
          <w:sz w:val="24"/>
          <w:szCs w:val="24"/>
          <w:lang w:bidi="en-US"/>
        </w:rPr>
      </w:pPr>
      <w:r w:rsidRPr="008E4EB0">
        <w:rPr>
          <w:rFonts w:ascii="Times New Roman" w:eastAsia="Times New Roman" w:hAnsi="Times New Roman" w:cs="Times New Roman"/>
          <w:sz w:val="24"/>
          <w:szCs w:val="24"/>
          <w:lang w:bidi="en-US"/>
        </w:rPr>
        <w:t xml:space="preserve">Kopš 3.4.4.1. aktivitātes uzsākšanas 2009. gada 14. aprīlī tika iesniegti 1440 projektu iesniegumi. Lai gan sākotnēji 3.4.4.1. aktivitātē iesniegto projektu skaits bija neliels – 117 2009. gadā, tomēr jau 2011. gadā iesniegto projektu skaits bija četras reizes lielāks - 470 (skatīt </w:t>
      </w:r>
      <w:r w:rsidR="005B10DE" w:rsidRPr="008E4EB0">
        <w:rPr>
          <w:rFonts w:ascii="Times New Roman" w:eastAsia="Times New Roman" w:hAnsi="Times New Roman" w:cs="Times New Roman"/>
          <w:sz w:val="24"/>
          <w:szCs w:val="24"/>
          <w:lang w:bidi="en-US"/>
        </w:rPr>
        <w:t>7</w:t>
      </w:r>
      <w:r w:rsidRPr="008E4EB0">
        <w:rPr>
          <w:rFonts w:ascii="Times New Roman" w:eastAsia="Times New Roman" w:hAnsi="Times New Roman" w:cs="Times New Roman"/>
          <w:sz w:val="24"/>
          <w:szCs w:val="24"/>
          <w:lang w:bidi="en-US"/>
        </w:rPr>
        <w:t xml:space="preserve">.attēlu). </w:t>
      </w:r>
    </w:p>
    <w:p w14:paraId="0FEAA97C" w14:textId="3874A309" w:rsidR="005B10DE" w:rsidRPr="00150827" w:rsidRDefault="005B10DE" w:rsidP="007B2931">
      <w:pPr>
        <w:spacing w:after="0" w:line="276" w:lineRule="auto"/>
        <w:ind w:firstLine="851"/>
        <w:jc w:val="both"/>
        <w:rPr>
          <w:rFonts w:ascii="Times New Roman" w:eastAsia="Times New Roman" w:hAnsi="Times New Roman" w:cs="Times New Roman"/>
          <w:sz w:val="20"/>
          <w:szCs w:val="20"/>
          <w:lang w:bidi="en-US"/>
        </w:rPr>
      </w:pPr>
    </w:p>
    <w:p w14:paraId="71BFA8DC" w14:textId="77777777" w:rsidR="005B10DE" w:rsidRPr="008E4EB0" w:rsidRDefault="005B10DE" w:rsidP="0067305F">
      <w:pPr>
        <w:keepNext/>
        <w:spacing w:after="0" w:line="276" w:lineRule="auto"/>
        <w:jc w:val="center"/>
        <w:rPr>
          <w:rFonts w:ascii="Times New Roman" w:eastAsia="Times New Roman" w:hAnsi="Times New Roman" w:cs="Times New Roman"/>
          <w:bCs/>
          <w:sz w:val="24"/>
          <w:szCs w:val="24"/>
        </w:rPr>
      </w:pPr>
      <w:r w:rsidRPr="008E4EB0">
        <w:rPr>
          <w:rFonts w:ascii="Times New Roman" w:eastAsia="Times New Roman" w:hAnsi="Times New Roman" w:cs="Times New Roman"/>
          <w:bCs/>
          <w:sz w:val="24"/>
          <w:szCs w:val="24"/>
        </w:rPr>
        <w:t>7.attēls. 3.4.4.1. aktivitātē iesniegto projektu skaits pa gadiem no 2009. līdz 2013.gadam.</w:t>
      </w:r>
    </w:p>
    <w:p w14:paraId="0BEB1CBA" w14:textId="77777777" w:rsidR="00990903" w:rsidRPr="008E4EB0" w:rsidRDefault="00990903" w:rsidP="007B2931">
      <w:pPr>
        <w:spacing w:after="0" w:line="276" w:lineRule="auto"/>
        <w:jc w:val="center"/>
        <w:rPr>
          <w:rFonts w:ascii="Times New Roman" w:eastAsia="Times New Roman" w:hAnsi="Times New Roman" w:cs="Times New Roman"/>
          <w:sz w:val="24"/>
          <w:szCs w:val="24"/>
          <w:lang w:bidi="en-US"/>
        </w:rPr>
      </w:pPr>
      <w:r w:rsidRPr="008E4EB0">
        <w:rPr>
          <w:rFonts w:ascii="Times New Roman" w:eastAsia="Times New Roman" w:hAnsi="Times New Roman" w:cs="Times New Roman"/>
          <w:noProof/>
          <w:sz w:val="24"/>
          <w:szCs w:val="24"/>
          <w:lang w:eastAsia="lv-LV"/>
        </w:rPr>
        <w:drawing>
          <wp:inline distT="0" distB="0" distL="0" distR="0" wp14:anchorId="61E630CE" wp14:editId="56EB3C61">
            <wp:extent cx="4284980" cy="21583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84980" cy="2158365"/>
                    </a:xfrm>
                    <a:prstGeom prst="rect">
                      <a:avLst/>
                    </a:prstGeom>
                    <a:noFill/>
                    <a:ln>
                      <a:noFill/>
                    </a:ln>
                  </pic:spPr>
                </pic:pic>
              </a:graphicData>
            </a:graphic>
          </wp:inline>
        </w:drawing>
      </w:r>
    </w:p>
    <w:p w14:paraId="5005D680" w14:textId="2E6018D7" w:rsidR="00990903" w:rsidRPr="008E4EB0" w:rsidRDefault="00990903" w:rsidP="007B2931">
      <w:pPr>
        <w:spacing w:after="0" w:line="276" w:lineRule="auto"/>
        <w:jc w:val="both"/>
        <w:rPr>
          <w:rFonts w:ascii="Times New Roman" w:eastAsia="Calibri" w:hAnsi="Times New Roman" w:cs="Times New Roman"/>
          <w:sz w:val="16"/>
          <w:szCs w:val="16"/>
          <w:lang w:bidi="en-US"/>
        </w:rPr>
      </w:pPr>
      <w:r w:rsidRPr="008E4EB0">
        <w:rPr>
          <w:rFonts w:ascii="Times New Roman" w:eastAsia="Calibri" w:hAnsi="Times New Roman" w:cs="Times New Roman"/>
          <w:sz w:val="16"/>
          <w:szCs w:val="16"/>
          <w:lang w:bidi="en-US"/>
        </w:rPr>
        <w:t>Piezīme: Kopējais 3.4.4.1.aktivitātes ietvaros iesniegto projektu skaits ir 1</w:t>
      </w:r>
      <w:r w:rsidR="005B10DE" w:rsidRPr="008E4EB0">
        <w:rPr>
          <w:rFonts w:ascii="Times New Roman" w:eastAsia="Calibri" w:hAnsi="Times New Roman" w:cs="Times New Roman"/>
          <w:sz w:val="16"/>
          <w:szCs w:val="16"/>
          <w:lang w:bidi="en-US"/>
        </w:rPr>
        <w:t> </w:t>
      </w:r>
      <w:r w:rsidRPr="008E4EB0">
        <w:rPr>
          <w:rFonts w:ascii="Times New Roman" w:eastAsia="Calibri" w:hAnsi="Times New Roman" w:cs="Times New Roman"/>
          <w:sz w:val="16"/>
          <w:szCs w:val="16"/>
          <w:lang w:bidi="en-US"/>
        </w:rPr>
        <w:t>440.</w:t>
      </w:r>
    </w:p>
    <w:p w14:paraId="0B02BF73" w14:textId="7562AA28" w:rsidR="00990903" w:rsidRPr="008E4EB0" w:rsidRDefault="00990903" w:rsidP="007B2931">
      <w:pPr>
        <w:spacing w:after="0" w:line="276" w:lineRule="auto"/>
        <w:ind w:firstLine="567"/>
        <w:jc w:val="both"/>
        <w:rPr>
          <w:rFonts w:ascii="Times New Roman" w:eastAsia="Times New Roman" w:hAnsi="Times New Roman" w:cs="Times New Roman"/>
          <w:sz w:val="24"/>
          <w:szCs w:val="24"/>
          <w:lang w:bidi="en-US"/>
        </w:rPr>
      </w:pPr>
      <w:r w:rsidRPr="008E4EB0">
        <w:rPr>
          <w:rFonts w:ascii="Times New Roman" w:eastAsia="Times New Roman" w:hAnsi="Times New Roman" w:cs="Times New Roman"/>
          <w:sz w:val="24"/>
          <w:szCs w:val="24"/>
          <w:lang w:bidi="en-US"/>
        </w:rPr>
        <w:lastRenderedPageBreak/>
        <w:t xml:space="preserve">3.4.4.1. aktivitātes ietvaros ir pabeigta 741 energoefektivitātes paaugstināšanas projektu īstenošana par kopējo investīciju apjomu 149 miljonu </w:t>
      </w:r>
      <w:r w:rsidR="008E4EB0">
        <w:rPr>
          <w:rFonts w:ascii="Times New Roman" w:eastAsia="Times New Roman" w:hAnsi="Times New Roman" w:cs="Times New Roman"/>
          <w:i/>
          <w:sz w:val="24"/>
          <w:szCs w:val="24"/>
          <w:lang w:bidi="en-US"/>
        </w:rPr>
        <w:t>euro</w:t>
      </w:r>
      <w:r w:rsidRPr="008E4EB0">
        <w:rPr>
          <w:rFonts w:ascii="Times New Roman" w:eastAsia="Times New Roman" w:hAnsi="Times New Roman" w:cs="Times New Roman"/>
          <w:sz w:val="24"/>
          <w:szCs w:val="24"/>
          <w:lang w:bidi="en-US"/>
        </w:rPr>
        <w:t xml:space="preserve"> apmērā - ERAF finansējums 63 miljoni </w:t>
      </w:r>
      <w:r w:rsidR="008E4EB0">
        <w:rPr>
          <w:rFonts w:ascii="Times New Roman" w:eastAsia="Times New Roman" w:hAnsi="Times New Roman" w:cs="Times New Roman"/>
          <w:i/>
          <w:sz w:val="24"/>
          <w:szCs w:val="24"/>
          <w:lang w:bidi="en-US"/>
        </w:rPr>
        <w:t>euro</w:t>
      </w:r>
      <w:r w:rsidRPr="008E4EB0">
        <w:rPr>
          <w:rFonts w:ascii="Times New Roman" w:eastAsia="Times New Roman" w:hAnsi="Times New Roman" w:cs="Times New Roman"/>
          <w:sz w:val="24"/>
          <w:szCs w:val="24"/>
          <w:lang w:bidi="en-US"/>
        </w:rPr>
        <w:t xml:space="preserve"> un privātais līdzfinansējums 86 miljoni </w:t>
      </w:r>
      <w:r w:rsidR="008E4EB0">
        <w:rPr>
          <w:rFonts w:ascii="Times New Roman" w:eastAsia="Times New Roman" w:hAnsi="Times New Roman" w:cs="Times New Roman"/>
          <w:i/>
          <w:sz w:val="24"/>
          <w:szCs w:val="24"/>
          <w:lang w:bidi="en-US"/>
        </w:rPr>
        <w:t>euro</w:t>
      </w:r>
      <w:r w:rsidRPr="008E4EB0">
        <w:rPr>
          <w:rFonts w:ascii="Times New Roman" w:eastAsia="Times New Roman" w:hAnsi="Times New Roman" w:cs="Times New Roman"/>
          <w:sz w:val="24"/>
          <w:szCs w:val="24"/>
          <w:lang w:bidi="en-US"/>
        </w:rPr>
        <w:t xml:space="preserve">. Pabeigto projektu ietvaros sasniegts siltumenerģijas ietaupījums ir 30-60% no iepriekš patērētā siltumenerģijas apjoma (vidēji 43%). (skatīt </w:t>
      </w:r>
      <w:r w:rsidR="00F749EA" w:rsidRPr="008E4EB0">
        <w:rPr>
          <w:rFonts w:ascii="Times New Roman" w:eastAsia="Times New Roman" w:hAnsi="Times New Roman" w:cs="Times New Roman"/>
          <w:sz w:val="24"/>
          <w:szCs w:val="24"/>
          <w:lang w:bidi="en-US"/>
        </w:rPr>
        <w:t>1</w:t>
      </w:r>
      <w:r w:rsidR="00F749EA">
        <w:rPr>
          <w:rFonts w:ascii="Times New Roman" w:eastAsia="Times New Roman" w:hAnsi="Times New Roman" w:cs="Times New Roman"/>
          <w:sz w:val="24"/>
          <w:szCs w:val="24"/>
          <w:lang w:bidi="en-US"/>
        </w:rPr>
        <w:t>4</w:t>
      </w:r>
      <w:r w:rsidRPr="008E4EB0">
        <w:rPr>
          <w:rFonts w:ascii="Times New Roman" w:eastAsia="Times New Roman" w:hAnsi="Times New Roman" w:cs="Times New Roman"/>
          <w:sz w:val="24"/>
          <w:szCs w:val="24"/>
          <w:lang w:bidi="en-US"/>
        </w:rPr>
        <w:t>. tabulu)</w:t>
      </w:r>
    </w:p>
    <w:p w14:paraId="0377552E" w14:textId="77777777" w:rsidR="00990903" w:rsidRPr="008E4EB0" w:rsidRDefault="00990903" w:rsidP="007B2931">
      <w:pPr>
        <w:spacing w:after="0" w:line="276" w:lineRule="auto"/>
        <w:jc w:val="both"/>
        <w:rPr>
          <w:rFonts w:ascii="Times New Roman" w:eastAsia="Times New Roman" w:hAnsi="Times New Roman" w:cs="Times New Roman"/>
          <w:sz w:val="24"/>
          <w:szCs w:val="24"/>
          <w:lang w:bidi="en-US"/>
        </w:rPr>
      </w:pPr>
    </w:p>
    <w:p w14:paraId="140B743F" w14:textId="1B9A1403" w:rsidR="00990903" w:rsidRPr="008E4EB0" w:rsidRDefault="00F749EA" w:rsidP="00FC1505">
      <w:pPr>
        <w:keepNext/>
        <w:spacing w:after="0" w:line="276" w:lineRule="auto"/>
        <w:jc w:val="center"/>
        <w:rPr>
          <w:rFonts w:ascii="Times New Roman" w:eastAsia="Times New Roman" w:hAnsi="Times New Roman" w:cs="Times New Roman"/>
          <w:bCs/>
          <w:sz w:val="24"/>
          <w:szCs w:val="24"/>
        </w:rPr>
      </w:pPr>
      <w:bookmarkStart w:id="81" w:name="_Toc412660750"/>
      <w:r w:rsidRPr="008E4EB0">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4</w:t>
      </w:r>
      <w:r w:rsidR="00990903" w:rsidRPr="008E4EB0">
        <w:rPr>
          <w:rFonts w:ascii="Times New Roman" w:eastAsia="Times New Roman" w:hAnsi="Times New Roman" w:cs="Times New Roman"/>
          <w:bCs/>
          <w:sz w:val="24"/>
          <w:szCs w:val="24"/>
        </w:rPr>
        <w:t>.tabula. 3.4.4.1.aktivitātes ietvaros īstenoto un īstenošanā esošo projektu skaits un finansējums 2007.-2013.gada ES fondu plānošanas periodā</w:t>
      </w:r>
      <w:bookmarkEnd w:id="81"/>
      <w:r w:rsidR="00990903" w:rsidRPr="008E4EB0">
        <w:rPr>
          <w:rFonts w:ascii="Times New Roman" w:eastAsia="Times New Roman" w:hAnsi="Times New Roman" w:cs="Times New Roman"/>
          <w:bCs/>
          <w:sz w:val="24"/>
          <w:szCs w:val="24"/>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1129"/>
        <w:gridCol w:w="1053"/>
        <w:gridCol w:w="1357"/>
        <w:gridCol w:w="1701"/>
        <w:gridCol w:w="1843"/>
        <w:gridCol w:w="1417"/>
      </w:tblGrid>
      <w:tr w:rsidR="00990903" w:rsidRPr="008E4EB0" w14:paraId="6C1B63B6" w14:textId="77777777" w:rsidTr="00FC1505">
        <w:trPr>
          <w:trHeight w:val="283"/>
        </w:trPr>
        <w:tc>
          <w:tcPr>
            <w:tcW w:w="1129" w:type="dxa"/>
            <w:shd w:val="clear" w:color="auto" w:fill="auto"/>
            <w:vAlign w:val="center"/>
          </w:tcPr>
          <w:p w14:paraId="167740A6" w14:textId="77777777" w:rsidR="00990903" w:rsidRPr="008E4EB0" w:rsidRDefault="00990903" w:rsidP="007B2931">
            <w:pPr>
              <w:spacing w:after="0" w:line="276" w:lineRule="auto"/>
              <w:jc w:val="center"/>
              <w:rPr>
                <w:rFonts w:ascii="Times New Roman" w:eastAsia="Times New Roman" w:hAnsi="Times New Roman" w:cs="Times New Roman"/>
                <w:b/>
                <w:lang w:eastAsia="lv-LV"/>
              </w:rPr>
            </w:pPr>
            <w:r w:rsidRPr="008E4EB0">
              <w:rPr>
                <w:rFonts w:ascii="Times New Roman" w:eastAsia="Times New Roman" w:hAnsi="Times New Roman" w:cs="Times New Roman"/>
                <w:b/>
                <w:lang w:eastAsia="lv-LV"/>
              </w:rPr>
              <w:t>Projekta statuss</w:t>
            </w:r>
          </w:p>
        </w:tc>
        <w:tc>
          <w:tcPr>
            <w:tcW w:w="1053" w:type="dxa"/>
            <w:shd w:val="clear" w:color="auto" w:fill="auto"/>
            <w:vAlign w:val="center"/>
          </w:tcPr>
          <w:p w14:paraId="77F7D6C6" w14:textId="77777777" w:rsidR="00990903" w:rsidRPr="008E4EB0" w:rsidRDefault="00990903" w:rsidP="007B2931">
            <w:pPr>
              <w:spacing w:after="0" w:line="276" w:lineRule="auto"/>
              <w:jc w:val="center"/>
              <w:rPr>
                <w:rFonts w:ascii="Times New Roman" w:eastAsia="Times New Roman" w:hAnsi="Times New Roman" w:cs="Times New Roman"/>
                <w:b/>
                <w:lang w:eastAsia="lv-LV"/>
              </w:rPr>
            </w:pPr>
            <w:r w:rsidRPr="008E4EB0">
              <w:rPr>
                <w:rFonts w:ascii="Times New Roman" w:eastAsia="Times New Roman" w:hAnsi="Times New Roman" w:cs="Times New Roman"/>
                <w:b/>
                <w:lang w:eastAsia="lv-LV"/>
              </w:rPr>
              <w:t>Projektu skaits</w:t>
            </w:r>
          </w:p>
        </w:tc>
        <w:tc>
          <w:tcPr>
            <w:tcW w:w="1357" w:type="dxa"/>
            <w:shd w:val="clear" w:color="auto" w:fill="auto"/>
            <w:vAlign w:val="center"/>
          </w:tcPr>
          <w:p w14:paraId="79F76C27" w14:textId="77777777" w:rsidR="00990903" w:rsidRPr="008E4EB0" w:rsidRDefault="00990903" w:rsidP="007B2931">
            <w:pPr>
              <w:spacing w:after="0" w:line="276" w:lineRule="auto"/>
              <w:jc w:val="center"/>
              <w:rPr>
                <w:rFonts w:ascii="Times New Roman" w:eastAsia="Times New Roman" w:hAnsi="Times New Roman" w:cs="Times New Roman"/>
                <w:b/>
                <w:lang w:eastAsia="lv-LV"/>
              </w:rPr>
            </w:pPr>
            <w:r w:rsidRPr="008E4EB0">
              <w:rPr>
                <w:rFonts w:ascii="Times New Roman" w:eastAsia="Times New Roman" w:hAnsi="Times New Roman" w:cs="Times New Roman"/>
                <w:b/>
                <w:lang w:eastAsia="lv-LV"/>
              </w:rPr>
              <w:t>ERAF finansējums (EUR)</w:t>
            </w:r>
          </w:p>
        </w:tc>
        <w:tc>
          <w:tcPr>
            <w:tcW w:w="1701" w:type="dxa"/>
            <w:vAlign w:val="center"/>
          </w:tcPr>
          <w:p w14:paraId="23FD08AF" w14:textId="77777777" w:rsidR="00990903" w:rsidRPr="008E4EB0" w:rsidRDefault="00990903" w:rsidP="007B2931">
            <w:pPr>
              <w:spacing w:after="0" w:line="276" w:lineRule="auto"/>
              <w:jc w:val="center"/>
              <w:rPr>
                <w:rFonts w:ascii="Times New Roman" w:eastAsia="Times New Roman" w:hAnsi="Times New Roman" w:cs="Times New Roman"/>
                <w:b/>
                <w:lang w:eastAsia="lv-LV"/>
              </w:rPr>
            </w:pPr>
            <w:r w:rsidRPr="008E4EB0">
              <w:rPr>
                <w:rFonts w:ascii="Times New Roman" w:eastAsia="Times New Roman" w:hAnsi="Times New Roman" w:cs="Times New Roman"/>
                <w:b/>
                <w:lang w:eastAsia="lv-LV"/>
              </w:rPr>
              <w:t>Privātais attiecināmais finansējums (EUR)</w:t>
            </w:r>
          </w:p>
        </w:tc>
        <w:tc>
          <w:tcPr>
            <w:tcW w:w="1843" w:type="dxa"/>
            <w:vAlign w:val="center"/>
          </w:tcPr>
          <w:p w14:paraId="3D42E66F" w14:textId="77777777" w:rsidR="00990903" w:rsidRPr="008E4EB0" w:rsidRDefault="00990903" w:rsidP="007B2931">
            <w:pPr>
              <w:spacing w:after="0" w:line="276" w:lineRule="auto"/>
              <w:jc w:val="center"/>
              <w:rPr>
                <w:rFonts w:ascii="Times New Roman" w:eastAsia="Times New Roman" w:hAnsi="Times New Roman" w:cs="Times New Roman"/>
                <w:b/>
                <w:lang w:eastAsia="lv-LV"/>
              </w:rPr>
            </w:pPr>
            <w:r w:rsidRPr="008E4EB0">
              <w:rPr>
                <w:rFonts w:ascii="Times New Roman" w:eastAsia="Times New Roman" w:hAnsi="Times New Roman" w:cs="Times New Roman"/>
                <w:b/>
                <w:lang w:eastAsia="lv-LV"/>
              </w:rPr>
              <w:t>Neattiecināmās izmaksas (EUR)</w:t>
            </w:r>
          </w:p>
        </w:tc>
        <w:tc>
          <w:tcPr>
            <w:tcW w:w="1417" w:type="dxa"/>
            <w:shd w:val="clear" w:color="auto" w:fill="auto"/>
            <w:vAlign w:val="center"/>
          </w:tcPr>
          <w:p w14:paraId="4A8F0764" w14:textId="77777777" w:rsidR="00990903" w:rsidRPr="008E4EB0" w:rsidRDefault="00990903" w:rsidP="007B2931">
            <w:pPr>
              <w:spacing w:after="0" w:line="276" w:lineRule="auto"/>
              <w:jc w:val="center"/>
              <w:rPr>
                <w:rFonts w:ascii="Times New Roman" w:eastAsia="Times New Roman" w:hAnsi="Times New Roman" w:cs="Times New Roman"/>
                <w:b/>
                <w:lang w:eastAsia="lv-LV"/>
              </w:rPr>
            </w:pPr>
            <w:r w:rsidRPr="008E4EB0">
              <w:rPr>
                <w:rFonts w:ascii="Times New Roman" w:eastAsia="Times New Roman" w:hAnsi="Times New Roman" w:cs="Times New Roman"/>
                <w:b/>
                <w:lang w:eastAsia="lv-LV"/>
              </w:rPr>
              <w:t>Kopējās investīcijas (EUR)</w:t>
            </w:r>
            <w:r w:rsidRPr="008E4EB0">
              <w:rPr>
                <w:rFonts w:ascii="Times New Roman" w:eastAsia="Times New Roman" w:hAnsi="Times New Roman" w:cs="Times New Roman"/>
                <w:b/>
                <w:vertAlign w:val="superscript"/>
                <w:lang w:eastAsia="lv-LV"/>
              </w:rPr>
              <w:footnoteReference w:id="20"/>
            </w:r>
          </w:p>
        </w:tc>
      </w:tr>
      <w:tr w:rsidR="00990903" w:rsidRPr="008E4EB0" w14:paraId="226139B1" w14:textId="77777777" w:rsidTr="00FC1505">
        <w:trPr>
          <w:trHeight w:val="238"/>
        </w:trPr>
        <w:tc>
          <w:tcPr>
            <w:tcW w:w="1129" w:type="dxa"/>
            <w:shd w:val="clear" w:color="auto" w:fill="auto"/>
            <w:vAlign w:val="center"/>
          </w:tcPr>
          <w:p w14:paraId="71CD3BE5" w14:textId="77777777" w:rsidR="00990903" w:rsidRPr="008E4EB0" w:rsidRDefault="00990903" w:rsidP="007B2931">
            <w:pPr>
              <w:spacing w:after="0" w:line="276" w:lineRule="auto"/>
              <w:rPr>
                <w:rFonts w:ascii="Times New Roman" w:eastAsia="Times New Roman" w:hAnsi="Times New Roman" w:cs="Times New Roman"/>
                <w:sz w:val="24"/>
                <w:szCs w:val="24"/>
                <w:lang w:eastAsia="lv-LV"/>
              </w:rPr>
            </w:pPr>
            <w:r w:rsidRPr="008E4EB0">
              <w:rPr>
                <w:rFonts w:ascii="Times New Roman" w:eastAsia="Times New Roman" w:hAnsi="Times New Roman" w:cs="Times New Roman"/>
                <w:sz w:val="24"/>
                <w:szCs w:val="24"/>
                <w:lang w:eastAsia="lv-LV"/>
              </w:rPr>
              <w:t>Pabeigts</w:t>
            </w:r>
          </w:p>
        </w:tc>
        <w:tc>
          <w:tcPr>
            <w:tcW w:w="1053" w:type="dxa"/>
            <w:shd w:val="clear" w:color="auto" w:fill="auto"/>
            <w:vAlign w:val="center"/>
          </w:tcPr>
          <w:p w14:paraId="697FA6EA" w14:textId="77777777" w:rsidR="00990903" w:rsidRPr="008E4EB0" w:rsidRDefault="00990903" w:rsidP="007B2931">
            <w:pPr>
              <w:spacing w:after="0" w:line="276" w:lineRule="auto"/>
              <w:jc w:val="center"/>
              <w:rPr>
                <w:rFonts w:ascii="Times New Roman" w:eastAsia="Times New Roman" w:hAnsi="Times New Roman" w:cs="Times New Roman"/>
                <w:sz w:val="24"/>
                <w:szCs w:val="24"/>
                <w:lang w:bidi="en-US"/>
              </w:rPr>
            </w:pPr>
            <w:r w:rsidRPr="008E4EB0">
              <w:rPr>
                <w:rFonts w:ascii="Times New Roman" w:eastAsia="Times New Roman" w:hAnsi="Times New Roman" w:cs="Times New Roman"/>
                <w:sz w:val="24"/>
                <w:szCs w:val="24"/>
                <w:lang w:bidi="en-US"/>
              </w:rPr>
              <w:t>741</w:t>
            </w:r>
          </w:p>
        </w:tc>
        <w:tc>
          <w:tcPr>
            <w:tcW w:w="1357" w:type="dxa"/>
            <w:shd w:val="clear" w:color="auto" w:fill="auto"/>
            <w:vAlign w:val="center"/>
          </w:tcPr>
          <w:p w14:paraId="61336068" w14:textId="77777777" w:rsidR="00990903" w:rsidRPr="008E4EB0" w:rsidRDefault="00990903" w:rsidP="007B2931">
            <w:pPr>
              <w:spacing w:after="0" w:line="276" w:lineRule="auto"/>
              <w:jc w:val="center"/>
              <w:rPr>
                <w:rFonts w:ascii="Times New Roman" w:eastAsia="Times New Roman" w:hAnsi="Times New Roman" w:cs="Times New Roman"/>
                <w:sz w:val="24"/>
                <w:szCs w:val="24"/>
                <w:lang w:bidi="en-US"/>
              </w:rPr>
            </w:pPr>
            <w:r w:rsidRPr="008E4EB0">
              <w:rPr>
                <w:rFonts w:ascii="Times New Roman" w:eastAsia="Times New Roman" w:hAnsi="Times New Roman" w:cs="Times New Roman"/>
                <w:sz w:val="24"/>
                <w:szCs w:val="24"/>
                <w:lang w:bidi="en-US"/>
              </w:rPr>
              <w:t>63 219 895,92</w:t>
            </w:r>
          </w:p>
        </w:tc>
        <w:tc>
          <w:tcPr>
            <w:tcW w:w="1701" w:type="dxa"/>
            <w:vAlign w:val="center"/>
          </w:tcPr>
          <w:p w14:paraId="0B066A39" w14:textId="77777777" w:rsidR="00990903" w:rsidRPr="008E4EB0" w:rsidRDefault="00990903" w:rsidP="007B2931">
            <w:pPr>
              <w:spacing w:after="0" w:line="276" w:lineRule="auto"/>
              <w:jc w:val="center"/>
              <w:rPr>
                <w:rFonts w:ascii="Times New Roman" w:eastAsia="Times New Roman" w:hAnsi="Times New Roman" w:cs="Times New Roman"/>
                <w:sz w:val="24"/>
                <w:szCs w:val="24"/>
                <w:lang w:bidi="en-US"/>
              </w:rPr>
            </w:pPr>
            <w:r w:rsidRPr="008E4EB0">
              <w:rPr>
                <w:rFonts w:ascii="Times New Roman" w:eastAsia="Times New Roman" w:hAnsi="Times New Roman" w:cs="Times New Roman"/>
                <w:sz w:val="24"/>
                <w:szCs w:val="24"/>
                <w:lang w:bidi="en-US"/>
              </w:rPr>
              <w:t>63 024 534,16</w:t>
            </w:r>
          </w:p>
        </w:tc>
        <w:tc>
          <w:tcPr>
            <w:tcW w:w="1843" w:type="dxa"/>
            <w:vAlign w:val="center"/>
          </w:tcPr>
          <w:p w14:paraId="1025CA87" w14:textId="77777777" w:rsidR="00990903" w:rsidRPr="008E4EB0" w:rsidRDefault="00990903" w:rsidP="007B2931">
            <w:pPr>
              <w:spacing w:after="0" w:line="276" w:lineRule="auto"/>
              <w:jc w:val="center"/>
              <w:rPr>
                <w:rFonts w:ascii="Times New Roman" w:eastAsia="Times New Roman" w:hAnsi="Times New Roman" w:cs="Times New Roman"/>
                <w:sz w:val="24"/>
                <w:szCs w:val="24"/>
                <w:lang w:bidi="en-US"/>
              </w:rPr>
            </w:pPr>
            <w:r w:rsidRPr="008E4EB0">
              <w:rPr>
                <w:rFonts w:ascii="Times New Roman" w:eastAsia="Times New Roman" w:hAnsi="Times New Roman" w:cs="Times New Roman"/>
                <w:sz w:val="24"/>
                <w:szCs w:val="24"/>
                <w:lang w:bidi="en-US"/>
              </w:rPr>
              <w:t>23 478 465,53</w:t>
            </w:r>
          </w:p>
        </w:tc>
        <w:tc>
          <w:tcPr>
            <w:tcW w:w="1417" w:type="dxa"/>
            <w:shd w:val="clear" w:color="auto" w:fill="auto"/>
            <w:vAlign w:val="center"/>
          </w:tcPr>
          <w:p w14:paraId="14D74AE7" w14:textId="77777777" w:rsidR="00990903" w:rsidRPr="008E4EB0" w:rsidRDefault="00990903" w:rsidP="007B2931">
            <w:pPr>
              <w:spacing w:after="0" w:line="276" w:lineRule="auto"/>
              <w:jc w:val="center"/>
              <w:rPr>
                <w:rFonts w:ascii="Times New Roman" w:eastAsia="Times New Roman" w:hAnsi="Times New Roman" w:cs="Times New Roman"/>
                <w:sz w:val="24"/>
                <w:szCs w:val="24"/>
                <w:lang w:bidi="en-US"/>
              </w:rPr>
            </w:pPr>
            <w:r w:rsidRPr="008E4EB0">
              <w:rPr>
                <w:rFonts w:ascii="Times New Roman" w:eastAsia="Times New Roman" w:hAnsi="Times New Roman" w:cs="Times New Roman"/>
                <w:sz w:val="24"/>
                <w:szCs w:val="24"/>
                <w:lang w:bidi="en-US"/>
              </w:rPr>
              <w:t>149 722 895,61</w:t>
            </w:r>
          </w:p>
        </w:tc>
      </w:tr>
    </w:tbl>
    <w:p w14:paraId="06EEF081" w14:textId="77777777" w:rsidR="00990903" w:rsidRPr="008E4EB0" w:rsidRDefault="00990903" w:rsidP="007B2931">
      <w:pPr>
        <w:spacing w:after="0" w:line="276" w:lineRule="auto"/>
        <w:rPr>
          <w:rFonts w:ascii="Times New Roman" w:eastAsia="Calibri" w:hAnsi="Times New Roman" w:cs="Times New Roman"/>
          <w:i/>
          <w:sz w:val="24"/>
          <w:szCs w:val="24"/>
          <w:lang w:bidi="en-US"/>
        </w:rPr>
      </w:pPr>
    </w:p>
    <w:p w14:paraId="178D36FE" w14:textId="5D800A3A" w:rsidR="00990903" w:rsidRPr="008E4EB0" w:rsidRDefault="00990903" w:rsidP="007B2931">
      <w:pPr>
        <w:spacing w:after="0" w:line="276" w:lineRule="auto"/>
        <w:ind w:firstLine="567"/>
        <w:jc w:val="both"/>
        <w:rPr>
          <w:rFonts w:ascii="Times New Roman" w:eastAsia="Times New Roman" w:hAnsi="Times New Roman" w:cs="Times New Roman"/>
          <w:sz w:val="24"/>
          <w:szCs w:val="24"/>
          <w:lang w:bidi="en-US"/>
        </w:rPr>
      </w:pPr>
      <w:r w:rsidRPr="008E4EB0">
        <w:rPr>
          <w:rFonts w:ascii="Times New Roman" w:eastAsia="Times New Roman" w:hAnsi="Times New Roman" w:cs="Times New Roman"/>
          <w:sz w:val="24"/>
          <w:szCs w:val="24"/>
          <w:lang w:bidi="en-US"/>
        </w:rPr>
        <w:t xml:space="preserve">Kopš 3.4.4.1. aktivitātes uzsākšanas visaktīvāk ES fondu atbalstu dzīvojamo māju atjaunošanai ir izmantojuši Kurzemes reģiona iedzīvotāji. Kurzemes reģionā kopumā tika īstenoti 232 energoefektivitātes paaugstināšanas projekti. Liels atjaunoto ēku skaits arī ir no Rīgas reģiona (163 projekti) un Vidzemē (168 projekti). Vismazāk daudzdzīvokļu māju īpašnieku iespēju paaugstināt māju energoefektivitāti ir izmantojuši Rīgā un Latgalē (skatīt </w:t>
      </w:r>
      <w:r w:rsidR="00F749EA" w:rsidRPr="008E4EB0">
        <w:rPr>
          <w:rFonts w:ascii="Times New Roman" w:eastAsia="Times New Roman" w:hAnsi="Times New Roman" w:cs="Times New Roman"/>
          <w:sz w:val="24"/>
          <w:szCs w:val="24"/>
          <w:lang w:bidi="en-US"/>
        </w:rPr>
        <w:t>1</w:t>
      </w:r>
      <w:r w:rsidR="00F749EA">
        <w:rPr>
          <w:rFonts w:ascii="Times New Roman" w:eastAsia="Times New Roman" w:hAnsi="Times New Roman" w:cs="Times New Roman"/>
          <w:sz w:val="24"/>
          <w:szCs w:val="24"/>
          <w:lang w:bidi="en-US"/>
        </w:rPr>
        <w:t>5</w:t>
      </w:r>
      <w:r w:rsidRPr="008E4EB0">
        <w:rPr>
          <w:rFonts w:ascii="Times New Roman" w:eastAsia="Times New Roman" w:hAnsi="Times New Roman" w:cs="Times New Roman"/>
          <w:sz w:val="24"/>
          <w:szCs w:val="24"/>
          <w:lang w:bidi="en-US"/>
        </w:rPr>
        <w:t>. tabulu).</w:t>
      </w:r>
    </w:p>
    <w:p w14:paraId="3343E280" w14:textId="77777777" w:rsidR="005B10DE" w:rsidRPr="008E4EB0" w:rsidRDefault="005B10DE" w:rsidP="007B2931">
      <w:pPr>
        <w:spacing w:after="0" w:line="276" w:lineRule="auto"/>
        <w:ind w:firstLine="567"/>
        <w:jc w:val="both"/>
        <w:rPr>
          <w:rFonts w:ascii="Times New Roman" w:eastAsia="Times New Roman" w:hAnsi="Times New Roman" w:cs="Times New Roman"/>
          <w:sz w:val="24"/>
          <w:szCs w:val="24"/>
          <w:lang w:bidi="en-US"/>
        </w:rPr>
      </w:pPr>
    </w:p>
    <w:p w14:paraId="1F83759C" w14:textId="141537DA" w:rsidR="00990903" w:rsidRPr="008E4EB0" w:rsidRDefault="00F749EA" w:rsidP="00FC1505">
      <w:pPr>
        <w:keepNext/>
        <w:spacing w:after="0" w:line="276" w:lineRule="auto"/>
        <w:jc w:val="center"/>
        <w:rPr>
          <w:rFonts w:ascii="Times New Roman" w:eastAsia="Times New Roman" w:hAnsi="Times New Roman" w:cs="Times New Roman"/>
          <w:bCs/>
          <w:sz w:val="24"/>
          <w:szCs w:val="24"/>
        </w:rPr>
      </w:pPr>
      <w:bookmarkStart w:id="82" w:name="_Toc412660751"/>
      <w:r w:rsidRPr="008E4EB0">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5</w:t>
      </w:r>
      <w:r w:rsidR="00990903" w:rsidRPr="008E4EB0">
        <w:rPr>
          <w:rFonts w:ascii="Times New Roman" w:eastAsia="Times New Roman" w:hAnsi="Times New Roman" w:cs="Times New Roman"/>
          <w:bCs/>
          <w:sz w:val="24"/>
          <w:szCs w:val="24"/>
        </w:rPr>
        <w:t>.tabula. 3.4.4.1. aktivitātes ietvaros īstenoto un īstenošanā esošo projektu skaits pa reģioniem</w:t>
      </w:r>
      <w:bookmarkEnd w:id="82"/>
      <w:r w:rsidR="00990903" w:rsidRPr="008E4EB0">
        <w:rPr>
          <w:rFonts w:ascii="Times New Roman" w:eastAsia="Times New Roman" w:hAnsi="Times New Roman" w:cs="Times New Roman"/>
          <w:bCs/>
          <w:sz w:val="24"/>
          <w:szCs w:val="24"/>
        </w:rPr>
        <w:t>.</w:t>
      </w:r>
    </w:p>
    <w:tbl>
      <w:tblPr>
        <w:tblW w:w="8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199"/>
        <w:gridCol w:w="927"/>
        <w:gridCol w:w="1276"/>
        <w:gridCol w:w="971"/>
        <w:gridCol w:w="929"/>
        <w:gridCol w:w="929"/>
        <w:gridCol w:w="930"/>
      </w:tblGrid>
      <w:tr w:rsidR="00990903" w:rsidRPr="008E4EB0" w14:paraId="7515B968" w14:textId="77777777" w:rsidTr="00FC1505">
        <w:trPr>
          <w:trHeight w:val="272"/>
        </w:trPr>
        <w:tc>
          <w:tcPr>
            <w:tcW w:w="1271" w:type="dxa"/>
            <w:shd w:val="clear" w:color="auto" w:fill="auto"/>
            <w:noWrap/>
            <w:hideMark/>
          </w:tcPr>
          <w:p w14:paraId="11439227" w14:textId="77777777" w:rsidR="00990903" w:rsidRPr="008E4EB0" w:rsidRDefault="00990903" w:rsidP="007B2931">
            <w:pPr>
              <w:spacing w:after="0" w:line="276" w:lineRule="auto"/>
              <w:jc w:val="both"/>
              <w:rPr>
                <w:rFonts w:ascii="Times New Roman" w:eastAsia="Times New Roman" w:hAnsi="Times New Roman" w:cs="Times New Roman"/>
                <w:b/>
                <w:lang w:eastAsia="lv-LV"/>
              </w:rPr>
            </w:pPr>
            <w:r w:rsidRPr="008E4EB0">
              <w:rPr>
                <w:rFonts w:ascii="Times New Roman" w:eastAsia="Times New Roman" w:hAnsi="Times New Roman" w:cs="Times New Roman"/>
                <w:b/>
                <w:lang w:eastAsia="lv-LV"/>
              </w:rPr>
              <w:t>Projekta statuss</w:t>
            </w:r>
          </w:p>
        </w:tc>
        <w:tc>
          <w:tcPr>
            <w:tcW w:w="1199" w:type="dxa"/>
            <w:shd w:val="clear" w:color="auto" w:fill="auto"/>
            <w:noWrap/>
            <w:hideMark/>
          </w:tcPr>
          <w:p w14:paraId="684AA9A6" w14:textId="77777777" w:rsidR="00990903" w:rsidRPr="008E4EB0" w:rsidRDefault="00990903" w:rsidP="007B2931">
            <w:pPr>
              <w:spacing w:after="0" w:line="276" w:lineRule="auto"/>
              <w:jc w:val="both"/>
              <w:rPr>
                <w:rFonts w:ascii="Times New Roman" w:eastAsia="Times New Roman" w:hAnsi="Times New Roman" w:cs="Times New Roman"/>
                <w:b/>
                <w:lang w:eastAsia="lv-LV"/>
              </w:rPr>
            </w:pPr>
            <w:r w:rsidRPr="008E4EB0">
              <w:rPr>
                <w:rFonts w:ascii="Times New Roman" w:eastAsia="Times New Roman" w:hAnsi="Times New Roman" w:cs="Times New Roman"/>
                <w:b/>
                <w:lang w:eastAsia="lv-LV"/>
              </w:rPr>
              <w:t>Kurzeme</w:t>
            </w:r>
          </w:p>
        </w:tc>
        <w:tc>
          <w:tcPr>
            <w:tcW w:w="927" w:type="dxa"/>
            <w:shd w:val="clear" w:color="auto" w:fill="auto"/>
          </w:tcPr>
          <w:p w14:paraId="135B2A16" w14:textId="77777777" w:rsidR="00990903" w:rsidRPr="008E4EB0" w:rsidRDefault="00990903" w:rsidP="007B2931">
            <w:pPr>
              <w:spacing w:after="0" w:line="276" w:lineRule="auto"/>
              <w:jc w:val="both"/>
              <w:rPr>
                <w:rFonts w:ascii="Times New Roman" w:eastAsia="Times New Roman" w:hAnsi="Times New Roman" w:cs="Times New Roman"/>
                <w:b/>
                <w:lang w:eastAsia="lv-LV"/>
              </w:rPr>
            </w:pPr>
            <w:r w:rsidRPr="008E4EB0">
              <w:rPr>
                <w:rFonts w:ascii="Times New Roman" w:eastAsia="Times New Roman" w:hAnsi="Times New Roman" w:cs="Times New Roman"/>
                <w:b/>
                <w:lang w:eastAsia="lv-LV"/>
              </w:rPr>
              <w:t>Rīgas reģions</w:t>
            </w:r>
          </w:p>
        </w:tc>
        <w:tc>
          <w:tcPr>
            <w:tcW w:w="1276" w:type="dxa"/>
            <w:shd w:val="clear" w:color="auto" w:fill="auto"/>
          </w:tcPr>
          <w:p w14:paraId="2B6A4D3C" w14:textId="77777777" w:rsidR="00990903" w:rsidRPr="008E4EB0" w:rsidRDefault="00990903" w:rsidP="007B2931">
            <w:pPr>
              <w:spacing w:after="0" w:line="276" w:lineRule="auto"/>
              <w:jc w:val="both"/>
              <w:rPr>
                <w:rFonts w:ascii="Times New Roman" w:eastAsia="Times New Roman" w:hAnsi="Times New Roman" w:cs="Times New Roman"/>
                <w:b/>
                <w:lang w:eastAsia="lv-LV"/>
              </w:rPr>
            </w:pPr>
            <w:r w:rsidRPr="008E4EB0">
              <w:rPr>
                <w:rFonts w:ascii="Times New Roman" w:eastAsia="Times New Roman" w:hAnsi="Times New Roman" w:cs="Times New Roman"/>
                <w:b/>
                <w:lang w:eastAsia="lv-LV"/>
              </w:rPr>
              <w:t>Vidzeme</w:t>
            </w:r>
          </w:p>
        </w:tc>
        <w:tc>
          <w:tcPr>
            <w:tcW w:w="971" w:type="dxa"/>
            <w:shd w:val="clear" w:color="auto" w:fill="auto"/>
            <w:noWrap/>
            <w:hideMark/>
          </w:tcPr>
          <w:p w14:paraId="2821B5F7" w14:textId="77777777" w:rsidR="00990903" w:rsidRPr="008E4EB0" w:rsidRDefault="00990903" w:rsidP="007B2931">
            <w:pPr>
              <w:spacing w:after="0" w:line="276" w:lineRule="auto"/>
              <w:jc w:val="both"/>
              <w:rPr>
                <w:rFonts w:ascii="Times New Roman" w:eastAsia="Times New Roman" w:hAnsi="Times New Roman" w:cs="Times New Roman"/>
                <w:b/>
                <w:lang w:eastAsia="lv-LV"/>
              </w:rPr>
            </w:pPr>
            <w:r w:rsidRPr="008E4EB0">
              <w:rPr>
                <w:rFonts w:ascii="Times New Roman" w:eastAsia="Times New Roman" w:hAnsi="Times New Roman" w:cs="Times New Roman"/>
                <w:b/>
                <w:lang w:eastAsia="lv-LV"/>
              </w:rPr>
              <w:t>Zemgale</w:t>
            </w:r>
          </w:p>
        </w:tc>
        <w:tc>
          <w:tcPr>
            <w:tcW w:w="929" w:type="dxa"/>
            <w:shd w:val="clear" w:color="auto" w:fill="auto"/>
            <w:noWrap/>
            <w:hideMark/>
          </w:tcPr>
          <w:p w14:paraId="304E7CEE" w14:textId="77777777" w:rsidR="00990903" w:rsidRPr="008E4EB0" w:rsidRDefault="00990903" w:rsidP="007B2931">
            <w:pPr>
              <w:spacing w:after="0" w:line="276" w:lineRule="auto"/>
              <w:jc w:val="both"/>
              <w:rPr>
                <w:rFonts w:ascii="Times New Roman" w:eastAsia="Times New Roman" w:hAnsi="Times New Roman" w:cs="Times New Roman"/>
                <w:b/>
                <w:lang w:eastAsia="lv-LV"/>
              </w:rPr>
            </w:pPr>
            <w:r w:rsidRPr="008E4EB0">
              <w:rPr>
                <w:rFonts w:ascii="Times New Roman" w:eastAsia="Times New Roman" w:hAnsi="Times New Roman" w:cs="Times New Roman"/>
                <w:b/>
                <w:lang w:eastAsia="lv-LV"/>
              </w:rPr>
              <w:t>Rīga</w:t>
            </w:r>
          </w:p>
        </w:tc>
        <w:tc>
          <w:tcPr>
            <w:tcW w:w="929" w:type="dxa"/>
            <w:shd w:val="clear" w:color="auto" w:fill="auto"/>
            <w:noWrap/>
            <w:hideMark/>
          </w:tcPr>
          <w:p w14:paraId="4E1B72C7" w14:textId="77777777" w:rsidR="00990903" w:rsidRPr="008E4EB0" w:rsidRDefault="00990903" w:rsidP="007B2931">
            <w:pPr>
              <w:spacing w:after="0" w:line="276" w:lineRule="auto"/>
              <w:jc w:val="both"/>
              <w:rPr>
                <w:rFonts w:ascii="Times New Roman" w:eastAsia="Times New Roman" w:hAnsi="Times New Roman" w:cs="Times New Roman"/>
                <w:b/>
                <w:lang w:eastAsia="lv-LV"/>
              </w:rPr>
            </w:pPr>
            <w:r w:rsidRPr="008E4EB0">
              <w:rPr>
                <w:rFonts w:ascii="Times New Roman" w:eastAsia="Times New Roman" w:hAnsi="Times New Roman" w:cs="Times New Roman"/>
                <w:b/>
                <w:lang w:eastAsia="lv-LV"/>
              </w:rPr>
              <w:t>Latgale</w:t>
            </w:r>
          </w:p>
        </w:tc>
        <w:tc>
          <w:tcPr>
            <w:tcW w:w="930" w:type="dxa"/>
            <w:shd w:val="clear" w:color="auto" w:fill="auto"/>
            <w:noWrap/>
            <w:hideMark/>
          </w:tcPr>
          <w:p w14:paraId="0E0F1E9A" w14:textId="77777777" w:rsidR="00990903" w:rsidRPr="008E4EB0" w:rsidRDefault="00990903" w:rsidP="007B2931">
            <w:pPr>
              <w:spacing w:after="0" w:line="276" w:lineRule="auto"/>
              <w:jc w:val="both"/>
              <w:rPr>
                <w:rFonts w:ascii="Times New Roman" w:eastAsia="Times New Roman" w:hAnsi="Times New Roman" w:cs="Times New Roman"/>
                <w:b/>
                <w:lang w:eastAsia="lv-LV"/>
              </w:rPr>
            </w:pPr>
            <w:r w:rsidRPr="008E4EB0">
              <w:rPr>
                <w:rFonts w:ascii="Times New Roman" w:eastAsia="Times New Roman" w:hAnsi="Times New Roman" w:cs="Times New Roman"/>
                <w:b/>
                <w:lang w:eastAsia="lv-LV"/>
              </w:rPr>
              <w:t>Kopā</w:t>
            </w:r>
          </w:p>
        </w:tc>
      </w:tr>
      <w:tr w:rsidR="00990903" w:rsidRPr="008E4EB0" w14:paraId="48CF4852" w14:textId="77777777" w:rsidTr="00FC1505">
        <w:trPr>
          <w:trHeight w:val="272"/>
        </w:trPr>
        <w:tc>
          <w:tcPr>
            <w:tcW w:w="1271" w:type="dxa"/>
            <w:shd w:val="clear" w:color="auto" w:fill="auto"/>
            <w:noWrap/>
            <w:vAlign w:val="center"/>
            <w:hideMark/>
          </w:tcPr>
          <w:p w14:paraId="5D76C536" w14:textId="77777777" w:rsidR="00990903" w:rsidRPr="008E4EB0" w:rsidRDefault="00990903" w:rsidP="007B2931">
            <w:pPr>
              <w:spacing w:after="0" w:line="276" w:lineRule="auto"/>
              <w:rPr>
                <w:rFonts w:ascii="Times New Roman" w:eastAsia="Times New Roman" w:hAnsi="Times New Roman" w:cs="Times New Roman"/>
                <w:sz w:val="24"/>
                <w:szCs w:val="24"/>
                <w:lang w:eastAsia="lv-LV"/>
              </w:rPr>
            </w:pPr>
            <w:r w:rsidRPr="008E4EB0">
              <w:rPr>
                <w:rFonts w:ascii="Times New Roman" w:eastAsia="Times New Roman" w:hAnsi="Times New Roman" w:cs="Times New Roman"/>
                <w:sz w:val="24"/>
                <w:szCs w:val="24"/>
                <w:lang w:eastAsia="lv-LV"/>
              </w:rPr>
              <w:t>Pabeigts</w:t>
            </w:r>
          </w:p>
        </w:tc>
        <w:tc>
          <w:tcPr>
            <w:tcW w:w="1199" w:type="dxa"/>
            <w:shd w:val="clear" w:color="auto" w:fill="auto"/>
            <w:noWrap/>
            <w:vAlign w:val="center"/>
            <w:hideMark/>
          </w:tcPr>
          <w:p w14:paraId="3078A154" w14:textId="77777777" w:rsidR="00990903" w:rsidRPr="008E4EB0" w:rsidRDefault="00990903" w:rsidP="007B2931">
            <w:pPr>
              <w:spacing w:after="0" w:line="276" w:lineRule="auto"/>
              <w:jc w:val="center"/>
              <w:rPr>
                <w:rFonts w:ascii="Times New Roman" w:eastAsia="Times New Roman" w:hAnsi="Times New Roman" w:cs="Times New Roman"/>
                <w:sz w:val="24"/>
                <w:szCs w:val="24"/>
                <w:lang w:eastAsia="lv-LV" w:bidi="en-US"/>
              </w:rPr>
            </w:pPr>
            <w:r w:rsidRPr="008E4EB0">
              <w:rPr>
                <w:rFonts w:ascii="Times New Roman" w:eastAsia="Times New Roman" w:hAnsi="Times New Roman" w:cs="Times New Roman"/>
                <w:sz w:val="24"/>
                <w:szCs w:val="24"/>
                <w:lang w:eastAsia="lv-LV" w:bidi="en-US"/>
              </w:rPr>
              <w:t>232</w:t>
            </w:r>
          </w:p>
        </w:tc>
        <w:tc>
          <w:tcPr>
            <w:tcW w:w="927" w:type="dxa"/>
            <w:shd w:val="clear" w:color="auto" w:fill="auto"/>
            <w:vAlign w:val="center"/>
          </w:tcPr>
          <w:p w14:paraId="1ED1DEE5" w14:textId="77777777" w:rsidR="00990903" w:rsidRPr="008E4EB0" w:rsidRDefault="00990903" w:rsidP="007B2931">
            <w:pPr>
              <w:spacing w:after="0" w:line="276" w:lineRule="auto"/>
              <w:jc w:val="center"/>
              <w:rPr>
                <w:rFonts w:ascii="Times New Roman" w:eastAsia="Times New Roman" w:hAnsi="Times New Roman" w:cs="Times New Roman"/>
                <w:sz w:val="24"/>
                <w:szCs w:val="24"/>
                <w:lang w:eastAsia="lv-LV" w:bidi="en-US"/>
              </w:rPr>
            </w:pPr>
            <w:r w:rsidRPr="008E4EB0">
              <w:rPr>
                <w:rFonts w:ascii="Times New Roman" w:eastAsia="Times New Roman" w:hAnsi="Times New Roman" w:cs="Times New Roman"/>
                <w:sz w:val="24"/>
                <w:szCs w:val="24"/>
                <w:lang w:eastAsia="lv-LV" w:bidi="en-US"/>
              </w:rPr>
              <w:t>163</w:t>
            </w:r>
          </w:p>
        </w:tc>
        <w:tc>
          <w:tcPr>
            <w:tcW w:w="1276" w:type="dxa"/>
            <w:shd w:val="clear" w:color="auto" w:fill="auto"/>
            <w:vAlign w:val="center"/>
          </w:tcPr>
          <w:p w14:paraId="7460C6B0" w14:textId="77777777" w:rsidR="00990903" w:rsidRPr="008E4EB0" w:rsidRDefault="00990903" w:rsidP="007B2931">
            <w:pPr>
              <w:spacing w:after="0" w:line="276" w:lineRule="auto"/>
              <w:jc w:val="center"/>
              <w:rPr>
                <w:rFonts w:ascii="Times New Roman" w:eastAsia="Times New Roman" w:hAnsi="Times New Roman" w:cs="Times New Roman"/>
                <w:sz w:val="24"/>
                <w:szCs w:val="24"/>
                <w:lang w:eastAsia="lv-LV" w:bidi="en-US"/>
              </w:rPr>
            </w:pPr>
            <w:r w:rsidRPr="008E4EB0">
              <w:rPr>
                <w:rFonts w:ascii="Times New Roman" w:eastAsia="Times New Roman" w:hAnsi="Times New Roman" w:cs="Times New Roman"/>
                <w:sz w:val="24"/>
                <w:szCs w:val="24"/>
                <w:lang w:eastAsia="lv-LV" w:bidi="en-US"/>
              </w:rPr>
              <w:t>168</w:t>
            </w:r>
          </w:p>
        </w:tc>
        <w:tc>
          <w:tcPr>
            <w:tcW w:w="971" w:type="dxa"/>
            <w:shd w:val="clear" w:color="auto" w:fill="auto"/>
            <w:noWrap/>
            <w:vAlign w:val="center"/>
            <w:hideMark/>
          </w:tcPr>
          <w:p w14:paraId="3FB3436D" w14:textId="77777777" w:rsidR="00990903" w:rsidRPr="008E4EB0" w:rsidRDefault="00990903" w:rsidP="007B2931">
            <w:pPr>
              <w:spacing w:after="0" w:line="276" w:lineRule="auto"/>
              <w:jc w:val="center"/>
              <w:rPr>
                <w:rFonts w:ascii="Times New Roman" w:eastAsia="Times New Roman" w:hAnsi="Times New Roman" w:cs="Times New Roman"/>
                <w:sz w:val="24"/>
                <w:szCs w:val="24"/>
                <w:lang w:eastAsia="lv-LV" w:bidi="en-US"/>
              </w:rPr>
            </w:pPr>
            <w:r w:rsidRPr="008E4EB0">
              <w:rPr>
                <w:rFonts w:ascii="Times New Roman" w:eastAsia="Times New Roman" w:hAnsi="Times New Roman" w:cs="Times New Roman"/>
                <w:sz w:val="24"/>
                <w:szCs w:val="24"/>
                <w:lang w:eastAsia="lv-LV" w:bidi="en-US"/>
              </w:rPr>
              <w:t>102</w:t>
            </w:r>
          </w:p>
        </w:tc>
        <w:tc>
          <w:tcPr>
            <w:tcW w:w="929" w:type="dxa"/>
            <w:shd w:val="clear" w:color="auto" w:fill="auto"/>
            <w:noWrap/>
            <w:vAlign w:val="center"/>
            <w:hideMark/>
          </w:tcPr>
          <w:p w14:paraId="5B2E7F3E" w14:textId="77777777" w:rsidR="00990903" w:rsidRPr="008E4EB0" w:rsidRDefault="00990903" w:rsidP="007B2931">
            <w:pPr>
              <w:spacing w:after="0" w:line="276" w:lineRule="auto"/>
              <w:jc w:val="center"/>
              <w:rPr>
                <w:rFonts w:ascii="Times New Roman" w:eastAsia="Times New Roman" w:hAnsi="Times New Roman" w:cs="Times New Roman"/>
                <w:sz w:val="24"/>
                <w:szCs w:val="24"/>
                <w:lang w:eastAsia="lv-LV" w:bidi="en-US"/>
              </w:rPr>
            </w:pPr>
            <w:r w:rsidRPr="008E4EB0">
              <w:rPr>
                <w:rFonts w:ascii="Times New Roman" w:eastAsia="Times New Roman" w:hAnsi="Times New Roman" w:cs="Times New Roman"/>
                <w:sz w:val="24"/>
                <w:szCs w:val="24"/>
                <w:lang w:eastAsia="lv-LV" w:bidi="en-US"/>
              </w:rPr>
              <w:t>46</w:t>
            </w:r>
          </w:p>
        </w:tc>
        <w:tc>
          <w:tcPr>
            <w:tcW w:w="929" w:type="dxa"/>
            <w:shd w:val="clear" w:color="auto" w:fill="auto"/>
            <w:noWrap/>
            <w:vAlign w:val="center"/>
            <w:hideMark/>
          </w:tcPr>
          <w:p w14:paraId="21D454C7" w14:textId="77777777" w:rsidR="00990903" w:rsidRPr="008E4EB0" w:rsidRDefault="00990903" w:rsidP="007B2931">
            <w:pPr>
              <w:spacing w:after="0" w:line="276" w:lineRule="auto"/>
              <w:jc w:val="center"/>
              <w:rPr>
                <w:rFonts w:ascii="Times New Roman" w:eastAsia="Times New Roman" w:hAnsi="Times New Roman" w:cs="Times New Roman"/>
                <w:sz w:val="24"/>
                <w:szCs w:val="24"/>
                <w:lang w:eastAsia="lv-LV" w:bidi="en-US"/>
              </w:rPr>
            </w:pPr>
            <w:r w:rsidRPr="008E4EB0">
              <w:rPr>
                <w:rFonts w:ascii="Times New Roman" w:eastAsia="Times New Roman" w:hAnsi="Times New Roman" w:cs="Times New Roman"/>
                <w:sz w:val="24"/>
                <w:szCs w:val="24"/>
                <w:lang w:eastAsia="lv-LV" w:bidi="en-US"/>
              </w:rPr>
              <w:t>30</w:t>
            </w:r>
          </w:p>
        </w:tc>
        <w:tc>
          <w:tcPr>
            <w:tcW w:w="930" w:type="dxa"/>
            <w:shd w:val="clear" w:color="auto" w:fill="auto"/>
            <w:noWrap/>
            <w:vAlign w:val="center"/>
            <w:hideMark/>
          </w:tcPr>
          <w:p w14:paraId="69C5154E" w14:textId="77777777" w:rsidR="00990903" w:rsidRPr="008E4EB0" w:rsidRDefault="00990903" w:rsidP="007B2931">
            <w:pPr>
              <w:spacing w:after="0" w:line="276" w:lineRule="auto"/>
              <w:jc w:val="center"/>
              <w:rPr>
                <w:rFonts w:ascii="Times New Roman" w:eastAsia="Times New Roman" w:hAnsi="Times New Roman" w:cs="Times New Roman"/>
                <w:b/>
                <w:bCs/>
                <w:sz w:val="24"/>
                <w:szCs w:val="24"/>
                <w:lang w:eastAsia="lv-LV" w:bidi="en-US"/>
              </w:rPr>
            </w:pPr>
            <w:r w:rsidRPr="008E4EB0">
              <w:rPr>
                <w:rFonts w:ascii="Times New Roman" w:eastAsia="Times New Roman" w:hAnsi="Times New Roman" w:cs="Times New Roman"/>
                <w:b/>
                <w:bCs/>
                <w:sz w:val="24"/>
                <w:szCs w:val="24"/>
                <w:lang w:eastAsia="lv-LV" w:bidi="en-US"/>
              </w:rPr>
              <w:t>741</w:t>
            </w:r>
          </w:p>
        </w:tc>
      </w:tr>
    </w:tbl>
    <w:p w14:paraId="53165CB6" w14:textId="5130E6AC" w:rsidR="00990903" w:rsidRPr="008E4EB0" w:rsidRDefault="00990903" w:rsidP="007B2931">
      <w:pPr>
        <w:spacing w:after="0" w:line="276" w:lineRule="auto"/>
        <w:ind w:firstLine="567"/>
        <w:jc w:val="both"/>
        <w:rPr>
          <w:rFonts w:ascii="Times New Roman" w:eastAsia="Times New Roman" w:hAnsi="Times New Roman" w:cs="Times New Roman"/>
          <w:sz w:val="24"/>
          <w:szCs w:val="24"/>
          <w:lang w:bidi="en-US"/>
        </w:rPr>
      </w:pPr>
      <w:r w:rsidRPr="008E4EB0">
        <w:rPr>
          <w:rFonts w:ascii="Times New Roman" w:eastAsia="Times New Roman" w:hAnsi="Times New Roman" w:cs="Times New Roman"/>
          <w:sz w:val="24"/>
          <w:szCs w:val="24"/>
          <w:lang w:bidi="en-US"/>
        </w:rPr>
        <w:t>Saskaņā ar</w:t>
      </w:r>
      <w:r w:rsidRPr="008E4EB0">
        <w:rPr>
          <w:rFonts w:ascii="Times New Roman" w:eastAsia="Times New Roman" w:hAnsi="Times New Roman" w:cs="Times New Roman"/>
          <w:color w:val="548DD4"/>
          <w:sz w:val="24"/>
          <w:szCs w:val="24"/>
          <w:lang w:bidi="en-US"/>
        </w:rPr>
        <w:t xml:space="preserve"> </w:t>
      </w:r>
      <w:r w:rsidR="00F749EA">
        <w:rPr>
          <w:rFonts w:ascii="Times New Roman" w:eastAsia="Times New Roman" w:hAnsi="Times New Roman" w:cs="Times New Roman"/>
          <w:sz w:val="24"/>
          <w:szCs w:val="24"/>
          <w:lang w:bidi="en-US"/>
        </w:rPr>
        <w:t>16</w:t>
      </w:r>
      <w:r w:rsidRPr="008E4EB0">
        <w:rPr>
          <w:rFonts w:ascii="Times New Roman" w:eastAsia="Times New Roman" w:hAnsi="Times New Roman" w:cs="Times New Roman"/>
          <w:sz w:val="24"/>
          <w:szCs w:val="24"/>
          <w:lang w:bidi="en-US"/>
        </w:rPr>
        <w:t xml:space="preserve">.tabulā norādītajiem datiem Kurzemē vislielāko atjaunoto ēku skaitu (167 projekti) nodrošinās Liepājā un Ventspilī īstenotie projekti. Savukārt ņemot vērā kopējo ēku skaitu pilsētā, Valmiera 3.4.4.1. aktivitātes ietvaros ir nodrošinājusi vislielāko dzīvojamā fonda atjaunošanu, izmantojot ES fondu atbalstu. Neskatoties uz Rīgas lielo potenciālu ēku energoefektivitātes paaugstināšanā, </w:t>
      </w:r>
      <w:r w:rsidR="00D2754E">
        <w:rPr>
          <w:rFonts w:ascii="Times New Roman" w:eastAsia="Times New Roman" w:hAnsi="Times New Roman" w:cs="Times New Roman"/>
          <w:sz w:val="24"/>
          <w:szCs w:val="24"/>
          <w:lang w:bidi="en-US"/>
        </w:rPr>
        <w:t>šajā periodā</w:t>
      </w:r>
      <w:r w:rsidRPr="008E4EB0">
        <w:rPr>
          <w:rFonts w:ascii="Times New Roman" w:eastAsia="Times New Roman" w:hAnsi="Times New Roman" w:cs="Times New Roman"/>
          <w:sz w:val="24"/>
          <w:szCs w:val="24"/>
          <w:lang w:bidi="en-US"/>
        </w:rPr>
        <w:t xml:space="preserve"> tās iedzīvotāji kūtri izmatojoši ES fondu un pašvaldības sniegto atbalstu.</w:t>
      </w:r>
    </w:p>
    <w:p w14:paraId="03CECF92" w14:textId="77777777" w:rsidR="005B10DE" w:rsidRPr="008E4EB0" w:rsidRDefault="005B10DE" w:rsidP="007B2931">
      <w:pPr>
        <w:spacing w:after="0" w:line="276" w:lineRule="auto"/>
        <w:ind w:firstLine="567"/>
        <w:jc w:val="both"/>
        <w:rPr>
          <w:rFonts w:ascii="Times New Roman" w:eastAsia="Times New Roman" w:hAnsi="Times New Roman" w:cs="Times New Roman"/>
          <w:sz w:val="24"/>
          <w:szCs w:val="24"/>
          <w:lang w:bidi="en-US"/>
        </w:rPr>
      </w:pPr>
    </w:p>
    <w:p w14:paraId="1BEF93AD" w14:textId="5C0E3FEE" w:rsidR="00990903" w:rsidRPr="008E4EB0" w:rsidRDefault="00F749EA" w:rsidP="00FC1505">
      <w:pPr>
        <w:keepNext/>
        <w:spacing w:after="0" w:line="276" w:lineRule="auto"/>
        <w:jc w:val="center"/>
        <w:rPr>
          <w:rFonts w:ascii="Times New Roman" w:eastAsia="Times New Roman" w:hAnsi="Times New Roman" w:cs="Times New Roman"/>
          <w:bCs/>
          <w:sz w:val="24"/>
          <w:szCs w:val="24"/>
        </w:rPr>
      </w:pPr>
      <w:bookmarkStart w:id="83" w:name="_Toc412660752"/>
      <w:r>
        <w:rPr>
          <w:rFonts w:ascii="Times New Roman" w:eastAsia="Times New Roman" w:hAnsi="Times New Roman" w:cs="Times New Roman"/>
          <w:bCs/>
          <w:sz w:val="24"/>
          <w:szCs w:val="24"/>
        </w:rPr>
        <w:t>16</w:t>
      </w:r>
      <w:r w:rsidR="00990903" w:rsidRPr="008E4EB0">
        <w:rPr>
          <w:rFonts w:ascii="Times New Roman" w:eastAsia="Times New Roman" w:hAnsi="Times New Roman" w:cs="Times New Roman"/>
          <w:bCs/>
          <w:sz w:val="24"/>
          <w:szCs w:val="24"/>
        </w:rPr>
        <w:t>.tabula. 3.4.4.1. aktivitātes ietvaros aktīvākajās pašvaldībās atjaunoto ēku īpatsvars attiecībā pret to kopējo dzīvojamo ēku skaitu</w:t>
      </w:r>
      <w:bookmarkEnd w:id="83"/>
      <w:r w:rsidR="00990903" w:rsidRPr="008E4EB0">
        <w:rPr>
          <w:rFonts w:ascii="Times New Roman" w:eastAsia="Times New Roman" w:hAnsi="Times New Roman" w:cs="Times New Roman"/>
          <w:bCs/>
          <w:sz w:val="24"/>
          <w:szCs w:val="24"/>
        </w:rPr>
        <w:t>.</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2376"/>
        <w:gridCol w:w="993"/>
        <w:gridCol w:w="1134"/>
        <w:gridCol w:w="1275"/>
        <w:gridCol w:w="1276"/>
        <w:gridCol w:w="1276"/>
      </w:tblGrid>
      <w:tr w:rsidR="00990903" w:rsidRPr="008E4EB0" w14:paraId="7B98B673" w14:textId="77777777" w:rsidTr="00FC1505">
        <w:trPr>
          <w:trHeight w:val="255"/>
          <w:tblHeader/>
        </w:trPr>
        <w:tc>
          <w:tcPr>
            <w:tcW w:w="2376" w:type="dxa"/>
            <w:shd w:val="clear" w:color="auto" w:fill="auto"/>
            <w:hideMark/>
          </w:tcPr>
          <w:p w14:paraId="51011A5B" w14:textId="77777777" w:rsidR="00990903" w:rsidRPr="008E4EB0" w:rsidRDefault="00990903" w:rsidP="007B2931">
            <w:pPr>
              <w:spacing w:after="0" w:line="276" w:lineRule="auto"/>
              <w:jc w:val="center"/>
              <w:rPr>
                <w:rFonts w:ascii="Times New Roman" w:eastAsia="Times New Roman" w:hAnsi="Times New Roman" w:cs="Times New Roman"/>
                <w:b/>
                <w:lang w:eastAsia="lv-LV"/>
              </w:rPr>
            </w:pPr>
            <w:r w:rsidRPr="008E4EB0">
              <w:rPr>
                <w:rFonts w:ascii="Times New Roman" w:eastAsia="Times New Roman" w:hAnsi="Times New Roman" w:cs="Times New Roman"/>
                <w:b/>
                <w:lang w:eastAsia="lv-LV"/>
              </w:rPr>
              <w:t>Projekta statuss</w:t>
            </w:r>
          </w:p>
        </w:tc>
        <w:tc>
          <w:tcPr>
            <w:tcW w:w="993" w:type="dxa"/>
            <w:shd w:val="clear" w:color="auto" w:fill="auto"/>
            <w:noWrap/>
            <w:hideMark/>
          </w:tcPr>
          <w:p w14:paraId="325CEBFA" w14:textId="77777777" w:rsidR="00990903" w:rsidRPr="008E4EB0" w:rsidRDefault="00990903" w:rsidP="007B2931">
            <w:pPr>
              <w:spacing w:after="0" w:line="276" w:lineRule="auto"/>
              <w:jc w:val="center"/>
              <w:rPr>
                <w:rFonts w:ascii="Times New Roman" w:eastAsia="Times New Roman" w:hAnsi="Times New Roman" w:cs="Times New Roman"/>
                <w:b/>
                <w:lang w:eastAsia="lv-LV"/>
              </w:rPr>
            </w:pPr>
            <w:r w:rsidRPr="008E4EB0">
              <w:rPr>
                <w:rFonts w:ascii="Times New Roman" w:eastAsia="Times New Roman" w:hAnsi="Times New Roman" w:cs="Times New Roman"/>
                <w:b/>
                <w:lang w:eastAsia="lv-LV"/>
              </w:rPr>
              <w:t>Rīga</w:t>
            </w:r>
          </w:p>
        </w:tc>
        <w:tc>
          <w:tcPr>
            <w:tcW w:w="1134" w:type="dxa"/>
            <w:shd w:val="clear" w:color="auto" w:fill="auto"/>
            <w:noWrap/>
            <w:hideMark/>
          </w:tcPr>
          <w:p w14:paraId="31D5A445" w14:textId="77777777" w:rsidR="00990903" w:rsidRPr="008E4EB0" w:rsidRDefault="00990903" w:rsidP="007B2931">
            <w:pPr>
              <w:spacing w:after="0" w:line="276" w:lineRule="auto"/>
              <w:jc w:val="center"/>
              <w:rPr>
                <w:rFonts w:ascii="Times New Roman" w:eastAsia="Times New Roman" w:hAnsi="Times New Roman" w:cs="Times New Roman"/>
                <w:b/>
                <w:lang w:eastAsia="lv-LV"/>
              </w:rPr>
            </w:pPr>
            <w:r w:rsidRPr="008E4EB0">
              <w:rPr>
                <w:rFonts w:ascii="Times New Roman" w:eastAsia="Times New Roman" w:hAnsi="Times New Roman" w:cs="Times New Roman"/>
                <w:b/>
                <w:lang w:eastAsia="lv-LV"/>
              </w:rPr>
              <w:t>Valmiera</w:t>
            </w:r>
          </w:p>
        </w:tc>
        <w:tc>
          <w:tcPr>
            <w:tcW w:w="1275" w:type="dxa"/>
            <w:shd w:val="clear" w:color="auto" w:fill="auto"/>
            <w:noWrap/>
            <w:hideMark/>
          </w:tcPr>
          <w:p w14:paraId="6C0BCBB9" w14:textId="77777777" w:rsidR="00990903" w:rsidRPr="008E4EB0" w:rsidRDefault="00990903" w:rsidP="007B2931">
            <w:pPr>
              <w:spacing w:after="0" w:line="276" w:lineRule="auto"/>
              <w:jc w:val="center"/>
              <w:rPr>
                <w:rFonts w:ascii="Times New Roman" w:eastAsia="Times New Roman" w:hAnsi="Times New Roman" w:cs="Times New Roman"/>
                <w:b/>
                <w:lang w:eastAsia="lv-LV"/>
              </w:rPr>
            </w:pPr>
            <w:r w:rsidRPr="008E4EB0">
              <w:rPr>
                <w:rFonts w:ascii="Times New Roman" w:eastAsia="Times New Roman" w:hAnsi="Times New Roman" w:cs="Times New Roman"/>
                <w:b/>
                <w:lang w:eastAsia="lv-LV"/>
              </w:rPr>
              <w:t>Liepāja</w:t>
            </w:r>
          </w:p>
        </w:tc>
        <w:tc>
          <w:tcPr>
            <w:tcW w:w="1276" w:type="dxa"/>
            <w:shd w:val="clear" w:color="auto" w:fill="auto"/>
            <w:noWrap/>
            <w:hideMark/>
          </w:tcPr>
          <w:p w14:paraId="1B935E30" w14:textId="77777777" w:rsidR="00990903" w:rsidRPr="008E4EB0" w:rsidRDefault="00990903" w:rsidP="007B2931">
            <w:pPr>
              <w:spacing w:after="0" w:line="276" w:lineRule="auto"/>
              <w:jc w:val="center"/>
              <w:rPr>
                <w:rFonts w:ascii="Times New Roman" w:eastAsia="Times New Roman" w:hAnsi="Times New Roman" w:cs="Times New Roman"/>
                <w:b/>
                <w:lang w:eastAsia="lv-LV"/>
              </w:rPr>
            </w:pPr>
            <w:r w:rsidRPr="008E4EB0">
              <w:rPr>
                <w:rFonts w:ascii="Times New Roman" w:eastAsia="Times New Roman" w:hAnsi="Times New Roman" w:cs="Times New Roman"/>
                <w:b/>
                <w:lang w:eastAsia="lv-LV"/>
              </w:rPr>
              <w:t>Ventspils</w:t>
            </w:r>
          </w:p>
        </w:tc>
        <w:tc>
          <w:tcPr>
            <w:tcW w:w="1276" w:type="dxa"/>
            <w:shd w:val="clear" w:color="auto" w:fill="auto"/>
            <w:noWrap/>
            <w:hideMark/>
          </w:tcPr>
          <w:p w14:paraId="7F911327" w14:textId="77777777" w:rsidR="00990903" w:rsidRPr="008E4EB0" w:rsidRDefault="00990903" w:rsidP="007B2931">
            <w:pPr>
              <w:spacing w:after="0" w:line="276" w:lineRule="auto"/>
              <w:jc w:val="center"/>
              <w:rPr>
                <w:rFonts w:ascii="Times New Roman" w:eastAsia="Times New Roman" w:hAnsi="Times New Roman" w:cs="Times New Roman"/>
                <w:b/>
                <w:lang w:eastAsia="lv-LV"/>
              </w:rPr>
            </w:pPr>
            <w:r w:rsidRPr="008E4EB0">
              <w:rPr>
                <w:rFonts w:ascii="Times New Roman" w:eastAsia="Times New Roman" w:hAnsi="Times New Roman" w:cs="Times New Roman"/>
                <w:b/>
                <w:lang w:eastAsia="lv-LV"/>
              </w:rPr>
              <w:t>Cēsis</w:t>
            </w:r>
          </w:p>
        </w:tc>
      </w:tr>
      <w:tr w:rsidR="00990903" w:rsidRPr="008E4EB0" w14:paraId="6B231241" w14:textId="77777777" w:rsidTr="00FC1505">
        <w:trPr>
          <w:trHeight w:val="255"/>
        </w:trPr>
        <w:tc>
          <w:tcPr>
            <w:tcW w:w="2376" w:type="dxa"/>
            <w:shd w:val="clear" w:color="auto" w:fill="auto"/>
            <w:hideMark/>
          </w:tcPr>
          <w:p w14:paraId="2C9C6093" w14:textId="77777777" w:rsidR="00990903" w:rsidRPr="008E4EB0" w:rsidRDefault="00990903" w:rsidP="007B2931">
            <w:pPr>
              <w:spacing w:after="0" w:line="276" w:lineRule="auto"/>
              <w:rPr>
                <w:rFonts w:ascii="Times New Roman" w:eastAsia="Times New Roman" w:hAnsi="Times New Roman" w:cs="Times New Roman"/>
                <w:sz w:val="24"/>
                <w:szCs w:val="24"/>
                <w:lang w:eastAsia="lv-LV"/>
              </w:rPr>
            </w:pPr>
            <w:r w:rsidRPr="008E4EB0">
              <w:rPr>
                <w:rFonts w:ascii="Times New Roman" w:eastAsia="Times New Roman" w:hAnsi="Times New Roman" w:cs="Times New Roman"/>
                <w:sz w:val="24"/>
                <w:szCs w:val="24"/>
                <w:lang w:eastAsia="lv-LV"/>
              </w:rPr>
              <w:t>Pabeigts</w:t>
            </w:r>
          </w:p>
        </w:tc>
        <w:tc>
          <w:tcPr>
            <w:tcW w:w="993" w:type="dxa"/>
            <w:shd w:val="clear" w:color="auto" w:fill="auto"/>
            <w:noWrap/>
            <w:hideMark/>
          </w:tcPr>
          <w:p w14:paraId="0631B88E" w14:textId="77777777" w:rsidR="00990903" w:rsidRPr="008E4EB0" w:rsidRDefault="00990903" w:rsidP="007B2931">
            <w:pPr>
              <w:spacing w:after="0" w:line="276" w:lineRule="auto"/>
              <w:jc w:val="center"/>
              <w:rPr>
                <w:rFonts w:ascii="Times New Roman" w:eastAsia="Times New Roman" w:hAnsi="Times New Roman" w:cs="Times New Roman"/>
                <w:sz w:val="24"/>
                <w:szCs w:val="24"/>
                <w:lang w:eastAsia="lv-LV"/>
              </w:rPr>
            </w:pPr>
            <w:r w:rsidRPr="008E4EB0">
              <w:rPr>
                <w:rFonts w:ascii="Times New Roman" w:eastAsia="Times New Roman" w:hAnsi="Times New Roman" w:cs="Times New Roman"/>
                <w:sz w:val="24"/>
                <w:szCs w:val="24"/>
                <w:lang w:eastAsia="lv-LV"/>
              </w:rPr>
              <w:t>46</w:t>
            </w:r>
          </w:p>
        </w:tc>
        <w:tc>
          <w:tcPr>
            <w:tcW w:w="1134" w:type="dxa"/>
            <w:shd w:val="clear" w:color="auto" w:fill="auto"/>
            <w:noWrap/>
            <w:hideMark/>
          </w:tcPr>
          <w:p w14:paraId="3C81C833" w14:textId="77777777" w:rsidR="00990903" w:rsidRPr="008E4EB0" w:rsidRDefault="00990903" w:rsidP="007B2931">
            <w:pPr>
              <w:spacing w:after="0" w:line="276" w:lineRule="auto"/>
              <w:jc w:val="center"/>
              <w:rPr>
                <w:rFonts w:ascii="Times New Roman" w:eastAsia="Times New Roman" w:hAnsi="Times New Roman" w:cs="Times New Roman"/>
                <w:sz w:val="24"/>
                <w:szCs w:val="24"/>
                <w:lang w:eastAsia="lv-LV"/>
              </w:rPr>
            </w:pPr>
            <w:r w:rsidRPr="008E4EB0">
              <w:rPr>
                <w:rFonts w:ascii="Times New Roman" w:eastAsia="Times New Roman" w:hAnsi="Times New Roman" w:cs="Times New Roman"/>
                <w:sz w:val="24"/>
                <w:szCs w:val="24"/>
                <w:lang w:eastAsia="lv-LV"/>
              </w:rPr>
              <w:t>60</w:t>
            </w:r>
          </w:p>
        </w:tc>
        <w:tc>
          <w:tcPr>
            <w:tcW w:w="1275" w:type="dxa"/>
            <w:shd w:val="clear" w:color="auto" w:fill="auto"/>
            <w:noWrap/>
            <w:hideMark/>
          </w:tcPr>
          <w:p w14:paraId="59EA113C" w14:textId="77777777" w:rsidR="00990903" w:rsidRPr="008E4EB0" w:rsidRDefault="00990903" w:rsidP="007B2931">
            <w:pPr>
              <w:spacing w:after="0" w:line="276" w:lineRule="auto"/>
              <w:jc w:val="center"/>
              <w:rPr>
                <w:rFonts w:ascii="Times New Roman" w:eastAsia="Times New Roman" w:hAnsi="Times New Roman" w:cs="Times New Roman"/>
                <w:sz w:val="24"/>
                <w:szCs w:val="24"/>
                <w:lang w:eastAsia="lv-LV"/>
              </w:rPr>
            </w:pPr>
            <w:r w:rsidRPr="008E4EB0">
              <w:rPr>
                <w:rFonts w:ascii="Times New Roman" w:eastAsia="Times New Roman" w:hAnsi="Times New Roman" w:cs="Times New Roman"/>
                <w:sz w:val="24"/>
                <w:szCs w:val="24"/>
                <w:lang w:eastAsia="lv-LV"/>
              </w:rPr>
              <w:t>110</w:t>
            </w:r>
          </w:p>
        </w:tc>
        <w:tc>
          <w:tcPr>
            <w:tcW w:w="1276" w:type="dxa"/>
            <w:shd w:val="clear" w:color="auto" w:fill="auto"/>
            <w:noWrap/>
            <w:hideMark/>
          </w:tcPr>
          <w:p w14:paraId="03A41A4B" w14:textId="77777777" w:rsidR="00990903" w:rsidRPr="008E4EB0" w:rsidRDefault="00990903" w:rsidP="007B2931">
            <w:pPr>
              <w:spacing w:after="0" w:line="276" w:lineRule="auto"/>
              <w:jc w:val="center"/>
              <w:rPr>
                <w:rFonts w:ascii="Times New Roman" w:eastAsia="Times New Roman" w:hAnsi="Times New Roman" w:cs="Times New Roman"/>
                <w:sz w:val="24"/>
                <w:szCs w:val="24"/>
                <w:lang w:eastAsia="lv-LV"/>
              </w:rPr>
            </w:pPr>
            <w:r w:rsidRPr="008E4EB0">
              <w:rPr>
                <w:rFonts w:ascii="Times New Roman" w:eastAsia="Times New Roman" w:hAnsi="Times New Roman" w:cs="Times New Roman"/>
                <w:sz w:val="24"/>
                <w:szCs w:val="24"/>
                <w:lang w:eastAsia="lv-LV"/>
              </w:rPr>
              <w:t>57</w:t>
            </w:r>
          </w:p>
        </w:tc>
        <w:tc>
          <w:tcPr>
            <w:tcW w:w="1276" w:type="dxa"/>
            <w:shd w:val="clear" w:color="auto" w:fill="auto"/>
            <w:noWrap/>
            <w:hideMark/>
          </w:tcPr>
          <w:p w14:paraId="49916D83" w14:textId="77777777" w:rsidR="00990903" w:rsidRPr="008E4EB0" w:rsidRDefault="00990903" w:rsidP="007B2931">
            <w:pPr>
              <w:spacing w:after="0" w:line="276" w:lineRule="auto"/>
              <w:jc w:val="center"/>
              <w:rPr>
                <w:rFonts w:ascii="Times New Roman" w:eastAsia="Times New Roman" w:hAnsi="Times New Roman" w:cs="Times New Roman"/>
                <w:sz w:val="24"/>
                <w:szCs w:val="24"/>
                <w:lang w:eastAsia="lv-LV"/>
              </w:rPr>
            </w:pPr>
            <w:r w:rsidRPr="008E4EB0">
              <w:rPr>
                <w:rFonts w:ascii="Times New Roman" w:eastAsia="Times New Roman" w:hAnsi="Times New Roman" w:cs="Times New Roman"/>
                <w:sz w:val="24"/>
                <w:szCs w:val="24"/>
                <w:lang w:eastAsia="lv-LV"/>
              </w:rPr>
              <w:t>28</w:t>
            </w:r>
          </w:p>
        </w:tc>
      </w:tr>
      <w:tr w:rsidR="00990903" w:rsidRPr="008E4EB0" w14:paraId="0207C268" w14:textId="77777777" w:rsidTr="00FC1505">
        <w:trPr>
          <w:trHeight w:val="281"/>
        </w:trPr>
        <w:tc>
          <w:tcPr>
            <w:tcW w:w="2376" w:type="dxa"/>
            <w:shd w:val="clear" w:color="auto" w:fill="auto"/>
            <w:hideMark/>
          </w:tcPr>
          <w:p w14:paraId="3B803562" w14:textId="77777777" w:rsidR="00990903" w:rsidRPr="008E4EB0" w:rsidRDefault="00990903" w:rsidP="007B2931">
            <w:pPr>
              <w:spacing w:after="0" w:line="276" w:lineRule="auto"/>
              <w:rPr>
                <w:rFonts w:ascii="Times New Roman" w:eastAsia="Times New Roman" w:hAnsi="Times New Roman" w:cs="Times New Roman"/>
                <w:sz w:val="24"/>
                <w:szCs w:val="24"/>
                <w:lang w:eastAsia="lv-LV"/>
              </w:rPr>
            </w:pPr>
            <w:r w:rsidRPr="008E4EB0">
              <w:rPr>
                <w:rFonts w:ascii="Times New Roman" w:eastAsia="Times New Roman" w:hAnsi="Times New Roman" w:cs="Times New Roman"/>
                <w:sz w:val="24"/>
                <w:szCs w:val="24"/>
                <w:lang w:eastAsia="lv-LV"/>
              </w:rPr>
              <w:t>Ēkas kopā (Valsts zemes dienesta dati)</w:t>
            </w:r>
          </w:p>
        </w:tc>
        <w:tc>
          <w:tcPr>
            <w:tcW w:w="993" w:type="dxa"/>
            <w:shd w:val="clear" w:color="auto" w:fill="auto"/>
            <w:noWrap/>
            <w:hideMark/>
          </w:tcPr>
          <w:p w14:paraId="408CCE7D" w14:textId="77777777" w:rsidR="00990903" w:rsidRPr="008E4EB0" w:rsidRDefault="00990903" w:rsidP="007B2931">
            <w:pPr>
              <w:spacing w:after="0" w:line="276" w:lineRule="auto"/>
              <w:jc w:val="center"/>
              <w:rPr>
                <w:rFonts w:ascii="Times New Roman" w:eastAsia="Times New Roman" w:hAnsi="Times New Roman" w:cs="Times New Roman"/>
                <w:sz w:val="24"/>
                <w:szCs w:val="24"/>
                <w:lang w:eastAsia="lv-LV"/>
              </w:rPr>
            </w:pPr>
            <w:r w:rsidRPr="008E4EB0">
              <w:rPr>
                <w:rFonts w:ascii="Times New Roman" w:eastAsia="Times New Roman" w:hAnsi="Times New Roman" w:cs="Times New Roman"/>
                <w:sz w:val="24"/>
                <w:szCs w:val="24"/>
                <w:lang w:eastAsia="lv-LV"/>
              </w:rPr>
              <w:t>11 913</w:t>
            </w:r>
          </w:p>
        </w:tc>
        <w:tc>
          <w:tcPr>
            <w:tcW w:w="1134" w:type="dxa"/>
            <w:shd w:val="clear" w:color="auto" w:fill="auto"/>
            <w:noWrap/>
            <w:hideMark/>
          </w:tcPr>
          <w:p w14:paraId="74DA5BBC" w14:textId="77777777" w:rsidR="00990903" w:rsidRPr="008E4EB0" w:rsidRDefault="00990903" w:rsidP="007B2931">
            <w:pPr>
              <w:spacing w:after="0" w:line="276" w:lineRule="auto"/>
              <w:jc w:val="center"/>
              <w:rPr>
                <w:rFonts w:ascii="Times New Roman" w:eastAsia="Times New Roman" w:hAnsi="Times New Roman" w:cs="Times New Roman"/>
                <w:sz w:val="24"/>
                <w:szCs w:val="24"/>
                <w:lang w:eastAsia="lv-LV"/>
              </w:rPr>
            </w:pPr>
            <w:r w:rsidRPr="008E4EB0">
              <w:rPr>
                <w:rFonts w:ascii="Times New Roman" w:eastAsia="Times New Roman" w:hAnsi="Times New Roman" w:cs="Times New Roman"/>
                <w:sz w:val="24"/>
                <w:szCs w:val="24"/>
                <w:lang w:eastAsia="lv-LV"/>
              </w:rPr>
              <w:t>453</w:t>
            </w:r>
          </w:p>
        </w:tc>
        <w:tc>
          <w:tcPr>
            <w:tcW w:w="1275" w:type="dxa"/>
            <w:shd w:val="clear" w:color="auto" w:fill="auto"/>
            <w:noWrap/>
            <w:hideMark/>
          </w:tcPr>
          <w:p w14:paraId="77FE42B0" w14:textId="77777777" w:rsidR="00990903" w:rsidRPr="008E4EB0" w:rsidRDefault="00990903" w:rsidP="007B2931">
            <w:pPr>
              <w:spacing w:after="0" w:line="276" w:lineRule="auto"/>
              <w:jc w:val="center"/>
              <w:rPr>
                <w:rFonts w:ascii="Times New Roman" w:eastAsia="Times New Roman" w:hAnsi="Times New Roman" w:cs="Times New Roman"/>
                <w:sz w:val="24"/>
                <w:szCs w:val="24"/>
                <w:lang w:eastAsia="lv-LV"/>
              </w:rPr>
            </w:pPr>
            <w:r w:rsidRPr="008E4EB0">
              <w:rPr>
                <w:rFonts w:ascii="Times New Roman" w:eastAsia="Times New Roman" w:hAnsi="Times New Roman" w:cs="Times New Roman"/>
                <w:sz w:val="24"/>
                <w:szCs w:val="24"/>
                <w:lang w:eastAsia="lv-LV"/>
              </w:rPr>
              <w:t>2 117</w:t>
            </w:r>
          </w:p>
        </w:tc>
        <w:tc>
          <w:tcPr>
            <w:tcW w:w="1276" w:type="dxa"/>
            <w:shd w:val="clear" w:color="auto" w:fill="auto"/>
            <w:noWrap/>
            <w:hideMark/>
          </w:tcPr>
          <w:p w14:paraId="705162D4" w14:textId="77777777" w:rsidR="00990903" w:rsidRPr="008E4EB0" w:rsidRDefault="00990903" w:rsidP="007B2931">
            <w:pPr>
              <w:spacing w:after="0" w:line="276" w:lineRule="auto"/>
              <w:jc w:val="center"/>
              <w:rPr>
                <w:rFonts w:ascii="Times New Roman" w:eastAsia="Times New Roman" w:hAnsi="Times New Roman" w:cs="Times New Roman"/>
                <w:sz w:val="24"/>
                <w:szCs w:val="24"/>
                <w:lang w:eastAsia="lv-LV"/>
              </w:rPr>
            </w:pPr>
            <w:r w:rsidRPr="008E4EB0">
              <w:rPr>
                <w:rFonts w:ascii="Times New Roman" w:eastAsia="Times New Roman" w:hAnsi="Times New Roman" w:cs="Times New Roman"/>
                <w:sz w:val="24"/>
                <w:szCs w:val="24"/>
                <w:lang w:eastAsia="lv-LV"/>
              </w:rPr>
              <w:t>828</w:t>
            </w:r>
          </w:p>
        </w:tc>
        <w:tc>
          <w:tcPr>
            <w:tcW w:w="1276" w:type="dxa"/>
            <w:shd w:val="clear" w:color="auto" w:fill="auto"/>
            <w:noWrap/>
            <w:hideMark/>
          </w:tcPr>
          <w:p w14:paraId="7D4959D2" w14:textId="77777777" w:rsidR="00990903" w:rsidRPr="008E4EB0" w:rsidRDefault="00990903" w:rsidP="007B2931">
            <w:pPr>
              <w:spacing w:after="0" w:line="276" w:lineRule="auto"/>
              <w:jc w:val="center"/>
              <w:rPr>
                <w:rFonts w:ascii="Times New Roman" w:eastAsia="Times New Roman" w:hAnsi="Times New Roman" w:cs="Times New Roman"/>
                <w:sz w:val="24"/>
                <w:szCs w:val="24"/>
                <w:lang w:eastAsia="lv-LV"/>
              </w:rPr>
            </w:pPr>
            <w:r w:rsidRPr="008E4EB0">
              <w:rPr>
                <w:rFonts w:ascii="Times New Roman" w:eastAsia="Times New Roman" w:hAnsi="Times New Roman" w:cs="Times New Roman"/>
                <w:sz w:val="24"/>
                <w:szCs w:val="24"/>
                <w:lang w:eastAsia="lv-LV"/>
              </w:rPr>
              <w:t>432</w:t>
            </w:r>
          </w:p>
        </w:tc>
      </w:tr>
      <w:tr w:rsidR="00990903" w:rsidRPr="008E4EB0" w14:paraId="6985D013" w14:textId="77777777" w:rsidTr="00FC1505">
        <w:trPr>
          <w:trHeight w:val="275"/>
        </w:trPr>
        <w:tc>
          <w:tcPr>
            <w:tcW w:w="2376" w:type="dxa"/>
            <w:shd w:val="clear" w:color="auto" w:fill="auto"/>
            <w:hideMark/>
          </w:tcPr>
          <w:p w14:paraId="7EB9BFA8" w14:textId="77777777" w:rsidR="00990903" w:rsidRPr="008E4EB0" w:rsidRDefault="00990903" w:rsidP="007B2931">
            <w:pPr>
              <w:spacing w:after="0" w:line="276" w:lineRule="auto"/>
              <w:rPr>
                <w:rFonts w:ascii="Times New Roman" w:eastAsia="Times New Roman" w:hAnsi="Times New Roman" w:cs="Times New Roman"/>
                <w:b/>
                <w:sz w:val="24"/>
                <w:szCs w:val="24"/>
                <w:lang w:eastAsia="lv-LV"/>
              </w:rPr>
            </w:pPr>
            <w:r w:rsidRPr="008E4EB0">
              <w:rPr>
                <w:rFonts w:ascii="Times New Roman" w:eastAsia="Times New Roman" w:hAnsi="Times New Roman" w:cs="Times New Roman"/>
                <w:b/>
                <w:sz w:val="24"/>
                <w:szCs w:val="24"/>
                <w:lang w:eastAsia="lv-LV"/>
              </w:rPr>
              <w:t>Siltinātas no kopējā ēku skaita, %</w:t>
            </w:r>
          </w:p>
        </w:tc>
        <w:tc>
          <w:tcPr>
            <w:tcW w:w="993" w:type="dxa"/>
            <w:shd w:val="clear" w:color="auto" w:fill="auto"/>
            <w:noWrap/>
            <w:hideMark/>
          </w:tcPr>
          <w:p w14:paraId="36FA92DC" w14:textId="77777777" w:rsidR="00990903" w:rsidRPr="008E4EB0" w:rsidRDefault="00990903" w:rsidP="007B2931">
            <w:pPr>
              <w:spacing w:after="0" w:line="276" w:lineRule="auto"/>
              <w:jc w:val="center"/>
              <w:rPr>
                <w:rFonts w:ascii="Times New Roman" w:eastAsia="Times New Roman" w:hAnsi="Times New Roman" w:cs="Times New Roman"/>
                <w:b/>
                <w:sz w:val="24"/>
                <w:szCs w:val="24"/>
                <w:lang w:eastAsia="lv-LV"/>
              </w:rPr>
            </w:pPr>
            <w:r w:rsidRPr="008E4EB0">
              <w:rPr>
                <w:rFonts w:ascii="Times New Roman" w:eastAsia="Times New Roman" w:hAnsi="Times New Roman" w:cs="Times New Roman"/>
                <w:b/>
                <w:sz w:val="24"/>
                <w:szCs w:val="24"/>
                <w:lang w:eastAsia="lv-LV"/>
              </w:rPr>
              <w:t>0,39%</w:t>
            </w:r>
          </w:p>
        </w:tc>
        <w:tc>
          <w:tcPr>
            <w:tcW w:w="1134" w:type="dxa"/>
            <w:shd w:val="clear" w:color="auto" w:fill="auto"/>
            <w:noWrap/>
            <w:hideMark/>
          </w:tcPr>
          <w:p w14:paraId="45E0D205" w14:textId="77777777" w:rsidR="00990903" w:rsidRPr="008E4EB0" w:rsidRDefault="00990903" w:rsidP="007B2931">
            <w:pPr>
              <w:spacing w:after="0" w:line="276" w:lineRule="auto"/>
              <w:jc w:val="center"/>
              <w:rPr>
                <w:rFonts w:ascii="Times New Roman" w:eastAsia="Times New Roman" w:hAnsi="Times New Roman" w:cs="Times New Roman"/>
                <w:b/>
                <w:sz w:val="24"/>
                <w:szCs w:val="24"/>
                <w:lang w:eastAsia="lv-LV"/>
              </w:rPr>
            </w:pPr>
            <w:r w:rsidRPr="008E4EB0">
              <w:rPr>
                <w:rFonts w:ascii="Times New Roman" w:eastAsia="Times New Roman" w:hAnsi="Times New Roman" w:cs="Times New Roman"/>
                <w:b/>
                <w:sz w:val="24"/>
                <w:szCs w:val="24"/>
                <w:lang w:eastAsia="lv-LV"/>
              </w:rPr>
              <w:t>13,25%</w:t>
            </w:r>
          </w:p>
        </w:tc>
        <w:tc>
          <w:tcPr>
            <w:tcW w:w="1275" w:type="dxa"/>
            <w:shd w:val="clear" w:color="auto" w:fill="auto"/>
            <w:noWrap/>
            <w:hideMark/>
          </w:tcPr>
          <w:p w14:paraId="5CE5EA53" w14:textId="77777777" w:rsidR="00990903" w:rsidRPr="008E4EB0" w:rsidRDefault="00990903" w:rsidP="007B2931">
            <w:pPr>
              <w:spacing w:after="0" w:line="276" w:lineRule="auto"/>
              <w:jc w:val="center"/>
              <w:rPr>
                <w:rFonts w:ascii="Times New Roman" w:eastAsia="Times New Roman" w:hAnsi="Times New Roman" w:cs="Times New Roman"/>
                <w:b/>
                <w:sz w:val="24"/>
                <w:szCs w:val="24"/>
                <w:lang w:eastAsia="lv-LV"/>
              </w:rPr>
            </w:pPr>
            <w:r w:rsidRPr="008E4EB0">
              <w:rPr>
                <w:rFonts w:ascii="Times New Roman" w:eastAsia="Times New Roman" w:hAnsi="Times New Roman" w:cs="Times New Roman"/>
                <w:b/>
                <w:sz w:val="24"/>
                <w:szCs w:val="24"/>
                <w:lang w:eastAsia="lv-LV"/>
              </w:rPr>
              <w:t>5,2%</w:t>
            </w:r>
          </w:p>
        </w:tc>
        <w:tc>
          <w:tcPr>
            <w:tcW w:w="1276" w:type="dxa"/>
            <w:shd w:val="clear" w:color="auto" w:fill="auto"/>
            <w:noWrap/>
            <w:hideMark/>
          </w:tcPr>
          <w:p w14:paraId="7B5B4A31" w14:textId="77777777" w:rsidR="00990903" w:rsidRPr="008E4EB0" w:rsidRDefault="00990903" w:rsidP="007B2931">
            <w:pPr>
              <w:spacing w:after="0" w:line="276" w:lineRule="auto"/>
              <w:jc w:val="center"/>
              <w:rPr>
                <w:rFonts w:ascii="Times New Roman" w:eastAsia="Times New Roman" w:hAnsi="Times New Roman" w:cs="Times New Roman"/>
                <w:b/>
                <w:sz w:val="24"/>
                <w:szCs w:val="24"/>
                <w:lang w:eastAsia="lv-LV"/>
              </w:rPr>
            </w:pPr>
            <w:r w:rsidRPr="008E4EB0">
              <w:rPr>
                <w:rFonts w:ascii="Times New Roman" w:eastAsia="Times New Roman" w:hAnsi="Times New Roman" w:cs="Times New Roman"/>
                <w:b/>
                <w:sz w:val="24"/>
                <w:szCs w:val="24"/>
                <w:lang w:eastAsia="lv-LV"/>
              </w:rPr>
              <w:t>6,88%</w:t>
            </w:r>
          </w:p>
        </w:tc>
        <w:tc>
          <w:tcPr>
            <w:tcW w:w="1276" w:type="dxa"/>
            <w:shd w:val="clear" w:color="auto" w:fill="auto"/>
            <w:noWrap/>
            <w:hideMark/>
          </w:tcPr>
          <w:p w14:paraId="783A240C" w14:textId="77777777" w:rsidR="00990903" w:rsidRPr="008E4EB0" w:rsidRDefault="00990903" w:rsidP="007B2931">
            <w:pPr>
              <w:spacing w:after="0" w:line="276" w:lineRule="auto"/>
              <w:jc w:val="center"/>
              <w:rPr>
                <w:rFonts w:ascii="Times New Roman" w:eastAsia="Times New Roman" w:hAnsi="Times New Roman" w:cs="Times New Roman"/>
                <w:b/>
                <w:sz w:val="24"/>
                <w:szCs w:val="24"/>
                <w:lang w:eastAsia="lv-LV"/>
              </w:rPr>
            </w:pPr>
            <w:r w:rsidRPr="008E4EB0">
              <w:rPr>
                <w:rFonts w:ascii="Times New Roman" w:eastAsia="Times New Roman" w:hAnsi="Times New Roman" w:cs="Times New Roman"/>
                <w:b/>
                <w:sz w:val="24"/>
                <w:szCs w:val="24"/>
                <w:lang w:eastAsia="lv-LV"/>
              </w:rPr>
              <w:t>6,48%</w:t>
            </w:r>
          </w:p>
        </w:tc>
      </w:tr>
    </w:tbl>
    <w:p w14:paraId="4D8C6283" w14:textId="77777777" w:rsidR="00990903" w:rsidRPr="008E4EB0" w:rsidRDefault="00990903" w:rsidP="007B2931">
      <w:pPr>
        <w:spacing w:after="0" w:line="276" w:lineRule="auto"/>
        <w:ind w:firstLine="851"/>
        <w:jc w:val="both"/>
        <w:rPr>
          <w:rFonts w:ascii="Times New Roman" w:eastAsia="Times New Roman" w:hAnsi="Times New Roman" w:cs="Times New Roman"/>
          <w:sz w:val="24"/>
          <w:szCs w:val="24"/>
          <w:lang w:bidi="en-US"/>
        </w:rPr>
      </w:pPr>
    </w:p>
    <w:p w14:paraId="1DAC0DDD" w14:textId="26BC2808" w:rsidR="00990903" w:rsidRPr="008E4EB0" w:rsidRDefault="00990903" w:rsidP="007B2931">
      <w:pPr>
        <w:keepNext/>
        <w:keepLines/>
        <w:numPr>
          <w:ilvl w:val="3"/>
          <w:numId w:val="0"/>
        </w:numPr>
        <w:spacing w:after="0" w:line="276" w:lineRule="auto"/>
        <w:contextualSpacing/>
        <w:jc w:val="both"/>
        <w:outlineLvl w:val="3"/>
        <w:rPr>
          <w:rFonts w:ascii="Times New Roman" w:eastAsia="Calibri" w:hAnsi="Times New Roman" w:cs="Times New Roman"/>
          <w:color w:val="000000"/>
          <w:sz w:val="24"/>
          <w:szCs w:val="24"/>
          <w:u w:val="single"/>
          <w:lang w:eastAsia="da-DK"/>
        </w:rPr>
      </w:pPr>
      <w:bookmarkStart w:id="84" w:name="p19"/>
      <w:bookmarkEnd w:id="84"/>
      <w:r w:rsidRPr="008E4EB0">
        <w:rPr>
          <w:rFonts w:ascii="Times New Roman" w:eastAsia="Calibri" w:hAnsi="Times New Roman" w:cs="Times New Roman"/>
          <w:color w:val="000000"/>
          <w:sz w:val="24"/>
          <w:szCs w:val="24"/>
          <w:u w:val="single"/>
          <w:lang w:eastAsia="da-DK"/>
        </w:rPr>
        <w:t>3.4.4.2. aktivitāte „Sociālo dzīvojamo māju siltumnoturības uzlabošanas pasākumi“.</w:t>
      </w:r>
    </w:p>
    <w:p w14:paraId="6C9C9BB1" w14:textId="77777777" w:rsidR="00990903" w:rsidRPr="008E4EB0" w:rsidRDefault="00990903" w:rsidP="007B2931">
      <w:pPr>
        <w:keepNext/>
        <w:keepLines/>
        <w:numPr>
          <w:ilvl w:val="3"/>
          <w:numId w:val="0"/>
        </w:numPr>
        <w:spacing w:after="0" w:line="276" w:lineRule="auto"/>
        <w:contextualSpacing/>
        <w:jc w:val="both"/>
        <w:outlineLvl w:val="3"/>
        <w:rPr>
          <w:rFonts w:ascii="Times New Roman" w:eastAsia="Calibri" w:hAnsi="Times New Roman" w:cs="Times New Roman"/>
          <w:b/>
          <w:color w:val="000000"/>
          <w:sz w:val="24"/>
          <w:szCs w:val="24"/>
          <w:lang w:eastAsia="da-DK"/>
        </w:rPr>
      </w:pPr>
    </w:p>
    <w:p w14:paraId="4F0DCF49" w14:textId="01BD2DAE" w:rsidR="00990903" w:rsidRPr="008E4EB0" w:rsidRDefault="00990903" w:rsidP="007B2931">
      <w:pPr>
        <w:spacing w:after="0" w:line="276" w:lineRule="auto"/>
        <w:ind w:firstLine="851"/>
        <w:jc w:val="both"/>
        <w:rPr>
          <w:rFonts w:ascii="Times New Roman" w:eastAsia="Times New Roman" w:hAnsi="Times New Roman" w:cs="Times New Roman"/>
          <w:sz w:val="24"/>
          <w:szCs w:val="24"/>
          <w:lang w:bidi="en-US"/>
        </w:rPr>
      </w:pPr>
      <w:r w:rsidRPr="008E4EB0">
        <w:rPr>
          <w:rFonts w:ascii="Times New Roman" w:eastAsia="Times New Roman" w:hAnsi="Times New Roman" w:cs="Times New Roman"/>
          <w:sz w:val="24"/>
          <w:szCs w:val="24"/>
          <w:lang w:bidi="en-US"/>
        </w:rPr>
        <w:t>3.4.4.2. aktivitāte „Sociālo dzīvojamo māju siltumnoturības uzlabošanas pasākumi“ tika uzsākta 2008. gada maijā. Aktivitātes mērķis ir palielināt pašvaldības sociālā dzīvojamā fonda energoefektivitāti, vienlaikus ceļot tā kvalitāti un ilgtspēju un nodrošinot sociāli mazaizsargātas personu grupas ar adekvātu mājokli. Projektu iesniegumus finansējuma saņemšanai varēja iesniegt par sociālām dzīvojamām mājām, kas ir pašvaldības īpašumā un kurām ar pašvaldības lēmumu ir noteikts sociālās dzīvojamās mājas statuss. Pēc atjaunošanas vai rekonstrukcijas darbu veikšanas jāsasniedz vismaz 20% siltumenerģijas patēriņa ietaupījums.</w:t>
      </w:r>
    </w:p>
    <w:p w14:paraId="5FD5F244" w14:textId="77DEBE84" w:rsidR="00990903" w:rsidRPr="008E4EB0" w:rsidRDefault="00990903" w:rsidP="007B2931">
      <w:pPr>
        <w:spacing w:after="0" w:line="276" w:lineRule="auto"/>
        <w:ind w:firstLine="567"/>
        <w:jc w:val="both"/>
        <w:rPr>
          <w:rFonts w:ascii="Times New Roman" w:eastAsia="Times New Roman" w:hAnsi="Times New Roman" w:cs="Times New Roman"/>
          <w:sz w:val="24"/>
          <w:szCs w:val="24"/>
          <w:lang w:bidi="en-US"/>
        </w:rPr>
      </w:pPr>
      <w:r w:rsidRPr="008E4EB0">
        <w:rPr>
          <w:rFonts w:ascii="Times New Roman" w:eastAsia="Times New Roman" w:hAnsi="Times New Roman" w:cs="Times New Roman"/>
          <w:sz w:val="24"/>
          <w:szCs w:val="24"/>
          <w:lang w:bidi="en-US"/>
        </w:rPr>
        <w:t xml:space="preserve">Aktivitātes ietvaros maksimāli pieļaujamā ERAF finansējuma intensitāte noteikta 75% no projekta kopējām attiecināmajām izmaksām. Vienam projekta iesniegumam aktivitātes ietvaros maksimāli pieļaujamais ERAF finansējuma apmērs ir 200 000 </w:t>
      </w:r>
      <w:r w:rsidR="008E4EB0">
        <w:rPr>
          <w:rFonts w:ascii="Times New Roman" w:eastAsia="Times New Roman" w:hAnsi="Times New Roman" w:cs="Times New Roman"/>
          <w:i/>
          <w:sz w:val="24"/>
          <w:szCs w:val="24"/>
          <w:lang w:bidi="en-US"/>
        </w:rPr>
        <w:t>euro</w:t>
      </w:r>
      <w:r w:rsidRPr="008E4EB0">
        <w:rPr>
          <w:rFonts w:ascii="Times New Roman" w:eastAsia="Times New Roman" w:hAnsi="Times New Roman" w:cs="Times New Roman"/>
          <w:sz w:val="24"/>
          <w:szCs w:val="24"/>
          <w:lang w:bidi="en-US"/>
        </w:rPr>
        <w:t xml:space="preserve">. Aktivitātes ietvaros pieejamais ERAF finansējums ir 6,9 miljoni </w:t>
      </w:r>
      <w:r w:rsidR="008E4EB0">
        <w:rPr>
          <w:rFonts w:ascii="Times New Roman" w:eastAsia="Times New Roman" w:hAnsi="Times New Roman" w:cs="Times New Roman"/>
          <w:i/>
          <w:sz w:val="24"/>
          <w:szCs w:val="24"/>
          <w:lang w:bidi="en-US"/>
        </w:rPr>
        <w:t>euro</w:t>
      </w:r>
      <w:r w:rsidRPr="008E4EB0">
        <w:rPr>
          <w:rFonts w:ascii="Times New Roman" w:eastAsia="Times New Roman" w:hAnsi="Times New Roman" w:cs="Times New Roman"/>
          <w:sz w:val="24"/>
          <w:szCs w:val="24"/>
          <w:lang w:bidi="en-US"/>
        </w:rPr>
        <w:t xml:space="preserve">. </w:t>
      </w:r>
    </w:p>
    <w:p w14:paraId="2DBC173C" w14:textId="2306069D" w:rsidR="00990903" w:rsidRPr="008E4EB0" w:rsidRDefault="00990903" w:rsidP="007B2931">
      <w:pPr>
        <w:spacing w:after="0" w:line="276" w:lineRule="auto"/>
        <w:ind w:firstLine="567"/>
        <w:jc w:val="both"/>
        <w:rPr>
          <w:rFonts w:ascii="Times New Roman" w:eastAsia="Times New Roman" w:hAnsi="Times New Roman" w:cs="Times New Roman"/>
          <w:sz w:val="24"/>
          <w:szCs w:val="24"/>
          <w:lang w:bidi="en-US"/>
        </w:rPr>
      </w:pPr>
      <w:r w:rsidRPr="008E4EB0">
        <w:rPr>
          <w:rFonts w:ascii="Times New Roman" w:eastAsia="Times New Roman" w:hAnsi="Times New Roman" w:cs="Times New Roman"/>
          <w:sz w:val="24"/>
          <w:szCs w:val="24"/>
          <w:lang w:bidi="en-US"/>
        </w:rPr>
        <w:t xml:space="preserve">Aktivitātes ietvaros ir pabeigti 55 projekti, izmantojot 5,1 milj. </w:t>
      </w:r>
      <w:r w:rsidR="008E4EB0">
        <w:rPr>
          <w:rFonts w:ascii="Times New Roman" w:eastAsia="Times New Roman" w:hAnsi="Times New Roman" w:cs="Times New Roman"/>
          <w:i/>
          <w:sz w:val="24"/>
          <w:szCs w:val="24"/>
          <w:lang w:bidi="en-US"/>
        </w:rPr>
        <w:t>euro</w:t>
      </w:r>
      <w:r w:rsidRPr="008E4EB0">
        <w:rPr>
          <w:rFonts w:ascii="Times New Roman" w:eastAsia="Times New Roman" w:hAnsi="Times New Roman" w:cs="Times New Roman"/>
          <w:sz w:val="24"/>
          <w:szCs w:val="24"/>
          <w:lang w:bidi="en-US"/>
        </w:rPr>
        <w:t xml:space="preserve"> ERAF finansējuma un nodrošinot aptuveni 50% pašvaldībām piederošu sociālo māju atjaunošanu.</w:t>
      </w:r>
    </w:p>
    <w:p w14:paraId="23D42E4B" w14:textId="77777777" w:rsidR="00990903" w:rsidRPr="008E4EB0" w:rsidRDefault="00990903" w:rsidP="007B2931">
      <w:pPr>
        <w:spacing w:after="0" w:line="276" w:lineRule="auto"/>
        <w:jc w:val="both"/>
        <w:rPr>
          <w:rFonts w:ascii="Times New Roman" w:eastAsia="Times New Roman" w:hAnsi="Times New Roman" w:cs="Times New Roman"/>
          <w:i/>
          <w:sz w:val="24"/>
          <w:szCs w:val="24"/>
          <w:lang w:bidi="en-US"/>
        </w:rPr>
      </w:pPr>
    </w:p>
    <w:p w14:paraId="1E00B064" w14:textId="77777777" w:rsidR="00990903" w:rsidRPr="008E4EB0" w:rsidRDefault="00990903" w:rsidP="007B2931">
      <w:pPr>
        <w:keepNext/>
        <w:spacing w:after="0" w:line="276" w:lineRule="auto"/>
        <w:jc w:val="both"/>
        <w:rPr>
          <w:rFonts w:ascii="Times New Roman" w:eastAsia="Times New Roman" w:hAnsi="Times New Roman" w:cs="Times New Roman"/>
          <w:i/>
          <w:sz w:val="24"/>
          <w:szCs w:val="24"/>
          <w:lang w:bidi="en-US"/>
        </w:rPr>
      </w:pPr>
      <w:r w:rsidRPr="008E4EB0">
        <w:rPr>
          <w:rFonts w:ascii="Times New Roman" w:eastAsia="Times New Roman" w:hAnsi="Times New Roman" w:cs="Times New Roman"/>
          <w:i/>
          <w:sz w:val="24"/>
          <w:szCs w:val="24"/>
          <w:lang w:bidi="en-US"/>
        </w:rPr>
        <w:t>2014.-2020.gada ES fondu plānošanas periods</w:t>
      </w:r>
    </w:p>
    <w:p w14:paraId="1B7BA833" w14:textId="6E7E711F" w:rsidR="00990903" w:rsidRPr="008E4EB0" w:rsidRDefault="00990903" w:rsidP="007B2931">
      <w:pPr>
        <w:keepNext/>
        <w:spacing w:after="0" w:line="276" w:lineRule="auto"/>
        <w:jc w:val="both"/>
        <w:rPr>
          <w:rFonts w:ascii="Times New Roman" w:eastAsia="Times New Roman" w:hAnsi="Times New Roman" w:cs="Times New Roman"/>
          <w:sz w:val="24"/>
          <w:szCs w:val="24"/>
          <w:lang w:bidi="en-US"/>
        </w:rPr>
      </w:pPr>
    </w:p>
    <w:p w14:paraId="76E1E62F" w14:textId="518E0F20" w:rsidR="009D16BC" w:rsidRPr="008E4EB0" w:rsidRDefault="009D16BC" w:rsidP="009D16BC">
      <w:pPr>
        <w:spacing w:after="0" w:line="240" w:lineRule="auto"/>
        <w:ind w:firstLine="851"/>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 xml:space="preserve">Saskaņā ar  ES fondu 2014.-2020.gada plānošanas dokumentiem: Partnerības līgumu un DP no 2014.-2020. gadam Latvijā ēku energoefektivitātei un AER izmantošanai plānoti  indikatīvi 322,97 milj. </w:t>
      </w:r>
      <w:r w:rsidR="008E4EB0" w:rsidRPr="008E4EB0">
        <w:rPr>
          <w:rFonts w:ascii="Times New Roman" w:eastAsia="Calibri" w:hAnsi="Times New Roman" w:cs="Times New Roman"/>
          <w:i/>
          <w:sz w:val="24"/>
          <w:szCs w:val="24"/>
        </w:rPr>
        <w:t>euro</w:t>
      </w:r>
      <w:r w:rsidRPr="008E4EB0">
        <w:rPr>
          <w:rFonts w:ascii="Times New Roman" w:eastAsia="Calibri" w:hAnsi="Times New Roman" w:cs="Times New Roman"/>
          <w:sz w:val="24"/>
          <w:szCs w:val="24"/>
        </w:rPr>
        <w:t>, tajā skaitā:</w:t>
      </w:r>
    </w:p>
    <w:p w14:paraId="5348911C" w14:textId="2EBD4C58" w:rsidR="009D16BC" w:rsidRPr="00BF58E9" w:rsidRDefault="009D16BC" w:rsidP="00D9693B">
      <w:pPr>
        <w:pStyle w:val="ListParagraph"/>
        <w:numPr>
          <w:ilvl w:val="0"/>
          <w:numId w:val="38"/>
        </w:numPr>
        <w:spacing w:after="0" w:line="240" w:lineRule="auto"/>
        <w:jc w:val="both"/>
        <w:rPr>
          <w:rFonts w:ascii="Times New Roman" w:eastAsia="Calibri" w:hAnsi="Times New Roman" w:cs="Times New Roman"/>
          <w:sz w:val="24"/>
          <w:szCs w:val="24"/>
        </w:rPr>
      </w:pPr>
      <w:r w:rsidRPr="00BF58E9">
        <w:rPr>
          <w:rFonts w:ascii="Times New Roman" w:eastAsia="Calibri" w:hAnsi="Times New Roman" w:cs="Times New Roman"/>
          <w:sz w:val="24"/>
          <w:szCs w:val="24"/>
        </w:rPr>
        <w:t xml:space="preserve">industriālo ēku energoefektivitātei un AER izmantošanai– 32,56 milj. </w:t>
      </w:r>
      <w:r w:rsidR="008E4EB0" w:rsidRPr="00BF58E9">
        <w:rPr>
          <w:rFonts w:ascii="Times New Roman" w:eastAsia="Calibri" w:hAnsi="Times New Roman" w:cs="Times New Roman"/>
          <w:i/>
          <w:sz w:val="24"/>
          <w:szCs w:val="24"/>
        </w:rPr>
        <w:t>euro</w:t>
      </w:r>
      <w:r w:rsidRPr="00BF58E9">
        <w:rPr>
          <w:rFonts w:ascii="Times New Roman" w:eastAsia="Calibri" w:hAnsi="Times New Roman" w:cs="Times New Roman"/>
          <w:sz w:val="24"/>
          <w:szCs w:val="24"/>
        </w:rPr>
        <w:t xml:space="preserve"> (atbildīgā ministrija – EM);</w:t>
      </w:r>
    </w:p>
    <w:p w14:paraId="21F3B8B7" w14:textId="2F268E5B" w:rsidR="009D16BC" w:rsidRPr="00BF58E9" w:rsidRDefault="009D16BC" w:rsidP="00D9693B">
      <w:pPr>
        <w:pStyle w:val="ListParagraph"/>
        <w:numPr>
          <w:ilvl w:val="0"/>
          <w:numId w:val="38"/>
        </w:numPr>
        <w:spacing w:after="0" w:line="240" w:lineRule="auto"/>
        <w:jc w:val="both"/>
        <w:rPr>
          <w:rFonts w:ascii="Times New Roman" w:eastAsia="Calibri" w:hAnsi="Times New Roman" w:cs="Times New Roman"/>
          <w:sz w:val="24"/>
          <w:szCs w:val="24"/>
        </w:rPr>
      </w:pPr>
      <w:r w:rsidRPr="00BF58E9">
        <w:rPr>
          <w:rFonts w:ascii="Times New Roman" w:eastAsia="Calibri" w:hAnsi="Times New Roman" w:cs="Times New Roman"/>
          <w:sz w:val="24"/>
          <w:szCs w:val="24"/>
        </w:rPr>
        <w:t xml:space="preserve">energoefektivitātes paaugstināšanai valsts ēkās un AER izmantošanai- 97,86 milj. </w:t>
      </w:r>
      <w:r w:rsidR="008E4EB0" w:rsidRPr="00BF58E9">
        <w:rPr>
          <w:rFonts w:ascii="Times New Roman" w:eastAsia="Calibri" w:hAnsi="Times New Roman" w:cs="Times New Roman"/>
          <w:i/>
          <w:sz w:val="24"/>
          <w:szCs w:val="24"/>
        </w:rPr>
        <w:t>euro</w:t>
      </w:r>
      <w:r w:rsidRPr="00BF58E9">
        <w:rPr>
          <w:rFonts w:ascii="Times New Roman" w:eastAsia="Calibri" w:hAnsi="Times New Roman" w:cs="Times New Roman"/>
          <w:sz w:val="24"/>
          <w:szCs w:val="24"/>
        </w:rPr>
        <w:t xml:space="preserve">; </w:t>
      </w:r>
    </w:p>
    <w:p w14:paraId="1E01FA48" w14:textId="75301059" w:rsidR="009D16BC" w:rsidRPr="00BF58E9" w:rsidRDefault="009D16BC" w:rsidP="00D9693B">
      <w:pPr>
        <w:pStyle w:val="ListParagraph"/>
        <w:numPr>
          <w:ilvl w:val="0"/>
          <w:numId w:val="38"/>
        </w:numPr>
        <w:spacing w:after="0" w:line="240" w:lineRule="auto"/>
        <w:jc w:val="both"/>
        <w:rPr>
          <w:rFonts w:ascii="Times New Roman" w:eastAsia="Calibri" w:hAnsi="Times New Roman" w:cs="Times New Roman"/>
          <w:sz w:val="24"/>
          <w:szCs w:val="24"/>
        </w:rPr>
      </w:pPr>
      <w:r w:rsidRPr="00BF58E9">
        <w:rPr>
          <w:rFonts w:ascii="Times New Roman" w:eastAsia="Calibri" w:hAnsi="Times New Roman" w:cs="Times New Roman"/>
          <w:sz w:val="24"/>
          <w:szCs w:val="24"/>
        </w:rPr>
        <w:t xml:space="preserve">dzīvojamo ēku energoefektivitātei un AER izmantošanai - 150 milj. </w:t>
      </w:r>
      <w:r w:rsidR="008E4EB0" w:rsidRPr="00BF58E9">
        <w:rPr>
          <w:rFonts w:ascii="Times New Roman" w:eastAsia="Calibri" w:hAnsi="Times New Roman" w:cs="Times New Roman"/>
          <w:i/>
          <w:sz w:val="24"/>
          <w:szCs w:val="24"/>
        </w:rPr>
        <w:t>euro</w:t>
      </w:r>
      <w:r w:rsidRPr="00BF58E9">
        <w:rPr>
          <w:rFonts w:ascii="Times New Roman" w:eastAsia="Calibri" w:hAnsi="Times New Roman" w:cs="Times New Roman"/>
          <w:sz w:val="24"/>
          <w:szCs w:val="24"/>
        </w:rPr>
        <w:t xml:space="preserve"> (atbildīgā ministrija – EM);</w:t>
      </w:r>
    </w:p>
    <w:p w14:paraId="03C6A62E" w14:textId="797A81CE" w:rsidR="009D16BC" w:rsidRPr="00BF58E9" w:rsidRDefault="009D16BC" w:rsidP="00D9693B">
      <w:pPr>
        <w:pStyle w:val="ListParagraph"/>
        <w:keepNext/>
        <w:numPr>
          <w:ilvl w:val="0"/>
          <w:numId w:val="38"/>
        </w:numPr>
        <w:spacing w:after="0" w:line="276" w:lineRule="auto"/>
        <w:jc w:val="both"/>
        <w:rPr>
          <w:rFonts w:ascii="Times New Roman" w:eastAsia="Calibri" w:hAnsi="Times New Roman" w:cs="Times New Roman"/>
          <w:sz w:val="24"/>
          <w:szCs w:val="24"/>
        </w:rPr>
      </w:pPr>
      <w:r w:rsidRPr="00BF58E9">
        <w:rPr>
          <w:rFonts w:ascii="Times New Roman" w:eastAsia="Calibri" w:hAnsi="Times New Roman" w:cs="Times New Roman"/>
          <w:sz w:val="24"/>
          <w:szCs w:val="24"/>
        </w:rPr>
        <w:t>energoefektivitātes paaugstināšanu pašvaldību ēkās - 4</w:t>
      </w:r>
      <w:r w:rsidR="002B032F">
        <w:rPr>
          <w:rFonts w:ascii="Times New Roman" w:eastAsia="Calibri" w:hAnsi="Times New Roman" w:cs="Times New Roman"/>
          <w:sz w:val="24"/>
          <w:szCs w:val="24"/>
        </w:rPr>
        <w:t>6</w:t>
      </w:r>
      <w:r w:rsidRPr="00BF58E9">
        <w:rPr>
          <w:rFonts w:ascii="Times New Roman" w:eastAsia="Calibri" w:hAnsi="Times New Roman" w:cs="Times New Roman"/>
          <w:sz w:val="24"/>
          <w:szCs w:val="24"/>
        </w:rPr>
        <w:t>,</w:t>
      </w:r>
      <w:r w:rsidR="002B032F">
        <w:rPr>
          <w:rFonts w:ascii="Times New Roman" w:eastAsia="Calibri" w:hAnsi="Times New Roman" w:cs="Times New Roman"/>
          <w:sz w:val="24"/>
          <w:szCs w:val="24"/>
        </w:rPr>
        <w:t>9</w:t>
      </w:r>
      <w:r w:rsidRPr="00BF58E9">
        <w:rPr>
          <w:rFonts w:ascii="Times New Roman" w:eastAsia="Calibri" w:hAnsi="Times New Roman" w:cs="Times New Roman"/>
          <w:sz w:val="24"/>
          <w:szCs w:val="24"/>
        </w:rPr>
        <w:t xml:space="preserve"> milj. </w:t>
      </w:r>
      <w:r w:rsidR="008E4EB0" w:rsidRPr="00BF58E9">
        <w:rPr>
          <w:rFonts w:ascii="Times New Roman" w:eastAsia="Calibri" w:hAnsi="Times New Roman" w:cs="Times New Roman"/>
          <w:i/>
          <w:sz w:val="24"/>
          <w:szCs w:val="24"/>
        </w:rPr>
        <w:t>euro</w:t>
      </w:r>
      <w:r w:rsidRPr="00BF58E9">
        <w:rPr>
          <w:rFonts w:ascii="Times New Roman" w:eastAsia="Calibri" w:hAnsi="Times New Roman" w:cs="Times New Roman"/>
          <w:sz w:val="24"/>
          <w:szCs w:val="24"/>
        </w:rPr>
        <w:t xml:space="preserve"> apmērā (atbildīgā ministrija – VARAM).</w:t>
      </w:r>
    </w:p>
    <w:p w14:paraId="371B31AC" w14:textId="77777777" w:rsidR="009D16BC" w:rsidRPr="008E4EB0" w:rsidRDefault="009D16BC" w:rsidP="009D16BC">
      <w:pPr>
        <w:keepNext/>
        <w:spacing w:after="0" w:line="276" w:lineRule="auto"/>
        <w:jc w:val="both"/>
        <w:rPr>
          <w:rFonts w:ascii="Times New Roman" w:eastAsia="Times New Roman" w:hAnsi="Times New Roman" w:cs="Times New Roman"/>
          <w:sz w:val="24"/>
          <w:szCs w:val="24"/>
          <w:lang w:bidi="en-US"/>
        </w:rPr>
      </w:pPr>
    </w:p>
    <w:p w14:paraId="71F06505" w14:textId="77777777" w:rsidR="00990903" w:rsidRPr="008E4EB0" w:rsidRDefault="00990903" w:rsidP="007B2931">
      <w:pPr>
        <w:spacing w:after="0" w:line="276" w:lineRule="auto"/>
        <w:ind w:firstLine="567"/>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2014.-2020. gada ES fondu plānošanas periodā ēku energoefektivitātes paaugstināšanas jomā EM nodrošina trīs atbalsta programmu īstenošanu:</w:t>
      </w:r>
    </w:p>
    <w:p w14:paraId="2E606F5F" w14:textId="77777777" w:rsidR="00990903" w:rsidRPr="008E4EB0" w:rsidRDefault="00990903" w:rsidP="00D9693B">
      <w:pPr>
        <w:numPr>
          <w:ilvl w:val="0"/>
          <w:numId w:val="2"/>
        </w:numPr>
        <w:spacing w:after="0" w:line="276" w:lineRule="auto"/>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4.1.1.specifiskais atbalsta mērķis „Veicināt efektīvu energoresursu izmantošanu, enerģijas patēriņa samazināšanu un pāreju uz AER apstrādes rūpniecības nozarē”;</w:t>
      </w:r>
    </w:p>
    <w:p w14:paraId="449D6169" w14:textId="77777777" w:rsidR="00990903" w:rsidRPr="008E4EB0" w:rsidRDefault="00990903" w:rsidP="00D9693B">
      <w:pPr>
        <w:numPr>
          <w:ilvl w:val="0"/>
          <w:numId w:val="2"/>
        </w:numPr>
        <w:spacing w:after="0" w:line="276" w:lineRule="auto"/>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4.2.1.1.pasākums “Veicināt energoefektivitātes paaugstināšanu dzīvojamās ēkās”;</w:t>
      </w:r>
    </w:p>
    <w:p w14:paraId="64AEC113" w14:textId="77777777" w:rsidR="00990903" w:rsidRPr="008E4EB0" w:rsidRDefault="00990903" w:rsidP="00D9693B">
      <w:pPr>
        <w:numPr>
          <w:ilvl w:val="0"/>
          <w:numId w:val="2"/>
        </w:numPr>
        <w:spacing w:after="0" w:line="276" w:lineRule="auto"/>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4.2.1.2.pasākums “Veicināt energoefektivitātes paaugstināšanu valsts ēkās”.</w:t>
      </w:r>
    </w:p>
    <w:p w14:paraId="1F31DE21" w14:textId="77777777" w:rsidR="00990903" w:rsidRPr="008E4EB0" w:rsidRDefault="00990903" w:rsidP="007B2931">
      <w:pPr>
        <w:spacing w:after="0" w:line="276" w:lineRule="auto"/>
        <w:ind w:left="720"/>
        <w:jc w:val="both"/>
        <w:rPr>
          <w:rFonts w:ascii="Times New Roman" w:eastAsia="Calibri" w:hAnsi="Times New Roman" w:cs="Times New Roman"/>
          <w:sz w:val="24"/>
          <w:szCs w:val="24"/>
        </w:rPr>
      </w:pPr>
    </w:p>
    <w:p w14:paraId="572364DD" w14:textId="77777777" w:rsidR="00990903" w:rsidRPr="008E4EB0" w:rsidRDefault="00990903" w:rsidP="007B2931">
      <w:pPr>
        <w:spacing w:after="0" w:line="276" w:lineRule="auto"/>
        <w:ind w:firstLine="567"/>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lastRenderedPageBreak/>
        <w:t>Šajā periodā Vides aizsardzības un reģionālās attīstības ministrija (turpmāk – VARAM) ēku energoefektivitātes paaugstināšanas jomā administrē vienu atbalsta programmu:</w:t>
      </w:r>
    </w:p>
    <w:p w14:paraId="4FDBE290" w14:textId="3C247B71" w:rsidR="009D16BC" w:rsidRPr="008E4EB0" w:rsidRDefault="00990903" w:rsidP="00D9693B">
      <w:pPr>
        <w:numPr>
          <w:ilvl w:val="0"/>
          <w:numId w:val="2"/>
        </w:numPr>
        <w:spacing w:after="0" w:line="276" w:lineRule="auto"/>
        <w:jc w:val="both"/>
        <w:rPr>
          <w:rFonts w:ascii="Times New Roman" w:eastAsia="Calibri" w:hAnsi="Times New Roman" w:cs="Times New Roman"/>
          <w:sz w:val="24"/>
          <w:szCs w:val="24"/>
        </w:rPr>
      </w:pPr>
      <w:r w:rsidRPr="008E4EB0">
        <w:rPr>
          <w:rFonts w:ascii="Times New Roman" w:eastAsia="Calibri" w:hAnsi="Times New Roman" w:cs="Times New Roman"/>
          <w:bCs/>
          <w:sz w:val="24"/>
          <w:szCs w:val="24"/>
        </w:rPr>
        <w:t>4.2.2. specifisko atbalsta mērķi “</w:t>
      </w:r>
      <w:r w:rsidRPr="00595E1A">
        <w:rPr>
          <w:rFonts w:ascii="Times New Roman" w:eastAsia="Calibri" w:hAnsi="Times New Roman" w:cs="Times New Roman"/>
          <w:bCs/>
          <w:iCs/>
          <w:sz w:val="24"/>
          <w:szCs w:val="24"/>
        </w:rPr>
        <w:t>Atbilstoši pašvaldības integrētajām attīstības programmām sekmēt energoefektivitātes paaugstināšanu un atjaunojamo energoresursu izmantošanu pašvaldību ēkās</w:t>
      </w:r>
      <w:r w:rsidRPr="00595E1A">
        <w:rPr>
          <w:rFonts w:ascii="Times New Roman" w:eastAsia="Calibri" w:hAnsi="Times New Roman" w:cs="Times New Roman"/>
          <w:bCs/>
          <w:sz w:val="24"/>
          <w:szCs w:val="24"/>
        </w:rPr>
        <w:t>”</w:t>
      </w:r>
      <w:r w:rsidRPr="00595E1A">
        <w:rPr>
          <w:rFonts w:ascii="Times New Roman" w:eastAsia="Calibri" w:hAnsi="Times New Roman" w:cs="Times New Roman"/>
          <w:sz w:val="24"/>
          <w:szCs w:val="24"/>
        </w:rPr>
        <w:t>”.</w:t>
      </w:r>
    </w:p>
    <w:p w14:paraId="5EA08334" w14:textId="77777777" w:rsidR="009D16BC" w:rsidRPr="008E4EB0" w:rsidRDefault="009D16BC" w:rsidP="009D16BC">
      <w:pPr>
        <w:spacing w:after="0" w:line="276" w:lineRule="auto"/>
        <w:ind w:left="720"/>
        <w:jc w:val="both"/>
        <w:rPr>
          <w:rFonts w:ascii="Times New Roman" w:eastAsia="Calibri" w:hAnsi="Times New Roman" w:cs="Times New Roman"/>
          <w:sz w:val="24"/>
          <w:szCs w:val="24"/>
        </w:rPr>
      </w:pPr>
    </w:p>
    <w:p w14:paraId="28F1F48F" w14:textId="77777777" w:rsidR="009D16BC" w:rsidRPr="008E4EB0" w:rsidRDefault="009D16BC" w:rsidP="007B2931">
      <w:pPr>
        <w:spacing w:after="0" w:line="276" w:lineRule="auto"/>
        <w:jc w:val="both"/>
        <w:rPr>
          <w:rFonts w:ascii="Times New Roman" w:eastAsia="Calibri" w:hAnsi="Times New Roman" w:cs="Times New Roman"/>
          <w:sz w:val="24"/>
          <w:szCs w:val="24"/>
        </w:rPr>
      </w:pPr>
    </w:p>
    <w:p w14:paraId="41F5E1AA" w14:textId="77777777" w:rsidR="00990903" w:rsidRPr="008E4EB0" w:rsidRDefault="00990903" w:rsidP="007B2931">
      <w:pPr>
        <w:spacing w:after="0" w:line="276" w:lineRule="auto"/>
        <w:jc w:val="both"/>
        <w:rPr>
          <w:rFonts w:ascii="Times New Roman" w:eastAsia="Calibri" w:hAnsi="Times New Roman" w:cs="Times New Roman"/>
          <w:sz w:val="24"/>
          <w:szCs w:val="24"/>
          <w:u w:val="single"/>
        </w:rPr>
      </w:pPr>
      <w:r w:rsidRPr="008E4EB0">
        <w:rPr>
          <w:rFonts w:ascii="Times New Roman" w:eastAsia="Calibri" w:hAnsi="Times New Roman" w:cs="Times New Roman"/>
          <w:sz w:val="24"/>
          <w:szCs w:val="24"/>
          <w:u w:val="single"/>
        </w:rPr>
        <w:t>Kohēzijas fonda 4.1.1.specifiskais atbalsta mērķis „Veicināt efektīvu energoresursu izmantošanu, enerģijas patēriņa samazināšanu un pāreju uz AER apstrādes rūpniecības nozarē” (turpmāk – 4.1.1.SAM).</w:t>
      </w:r>
    </w:p>
    <w:p w14:paraId="10DEFE05" w14:textId="77777777" w:rsidR="00990903" w:rsidRPr="008E4EB0" w:rsidRDefault="00990903" w:rsidP="007B2931">
      <w:pPr>
        <w:spacing w:after="0" w:line="276" w:lineRule="auto"/>
        <w:jc w:val="both"/>
        <w:rPr>
          <w:rFonts w:ascii="Times New Roman" w:eastAsia="Calibri" w:hAnsi="Times New Roman" w:cs="Times New Roman"/>
          <w:b/>
          <w:sz w:val="24"/>
          <w:szCs w:val="24"/>
        </w:rPr>
      </w:pPr>
    </w:p>
    <w:p w14:paraId="55C3AF53" w14:textId="51E73131" w:rsidR="00990903" w:rsidRPr="008E4EB0" w:rsidRDefault="00990903" w:rsidP="007B2931">
      <w:pPr>
        <w:spacing w:after="0" w:line="276" w:lineRule="auto"/>
        <w:ind w:firstLine="567"/>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 xml:space="preserve">4.1.1.SAM mērķis </w:t>
      </w:r>
      <w:r w:rsidR="00D2754E">
        <w:rPr>
          <w:rFonts w:ascii="Times New Roman" w:eastAsia="Calibri" w:hAnsi="Times New Roman" w:cs="Times New Roman"/>
          <w:sz w:val="24"/>
          <w:szCs w:val="24"/>
        </w:rPr>
        <w:t xml:space="preserve">ir </w:t>
      </w:r>
      <w:r w:rsidRPr="008E4EB0">
        <w:rPr>
          <w:rFonts w:ascii="Times New Roman" w:eastAsia="Calibri" w:hAnsi="Times New Roman" w:cs="Times New Roman"/>
          <w:sz w:val="24"/>
          <w:szCs w:val="24"/>
        </w:rPr>
        <w:t xml:space="preserve">veicināt energoefektivitātes paaugstināšanu un atjaunojamo energoresursu izmantošanu apstrādes rūpniecības ražošanas ēkās. 4.1.1.SAM īstenošanai kopējais pieejamais finansējums ir 32,55 milj. </w:t>
      </w:r>
      <w:r w:rsidR="008E4EB0">
        <w:rPr>
          <w:rFonts w:ascii="Times New Roman" w:eastAsia="Calibri" w:hAnsi="Times New Roman" w:cs="Times New Roman"/>
          <w:i/>
          <w:sz w:val="24"/>
          <w:szCs w:val="24"/>
        </w:rPr>
        <w:t>euro</w:t>
      </w:r>
      <w:r w:rsidRPr="008E4EB0">
        <w:rPr>
          <w:rFonts w:ascii="Times New Roman" w:eastAsia="Calibri" w:hAnsi="Times New Roman" w:cs="Times New Roman"/>
          <w:sz w:val="24"/>
          <w:szCs w:val="24"/>
        </w:rPr>
        <w:t xml:space="preserve">, kas grantu veidā </w:t>
      </w:r>
      <w:r w:rsidR="00D2754E" w:rsidRPr="008E4EB0">
        <w:rPr>
          <w:rFonts w:ascii="Times New Roman" w:eastAsia="Calibri" w:hAnsi="Times New Roman" w:cs="Times New Roman"/>
          <w:sz w:val="24"/>
          <w:szCs w:val="24"/>
        </w:rPr>
        <w:t>ti</w:t>
      </w:r>
      <w:r w:rsidR="00D2754E">
        <w:rPr>
          <w:rFonts w:ascii="Times New Roman" w:eastAsia="Calibri" w:hAnsi="Times New Roman" w:cs="Times New Roman"/>
          <w:sz w:val="24"/>
          <w:szCs w:val="24"/>
        </w:rPr>
        <w:t>ek</w:t>
      </w:r>
      <w:r w:rsidR="00D2754E" w:rsidRPr="008E4EB0">
        <w:rPr>
          <w:rFonts w:ascii="Times New Roman" w:eastAsia="Calibri" w:hAnsi="Times New Roman" w:cs="Times New Roman"/>
          <w:sz w:val="24"/>
          <w:szCs w:val="24"/>
        </w:rPr>
        <w:t xml:space="preserve"> </w:t>
      </w:r>
      <w:r w:rsidRPr="008E4EB0">
        <w:rPr>
          <w:rFonts w:ascii="Times New Roman" w:eastAsia="Calibri" w:hAnsi="Times New Roman" w:cs="Times New Roman"/>
          <w:sz w:val="24"/>
          <w:szCs w:val="24"/>
        </w:rPr>
        <w:t xml:space="preserve">piešķirts 65 sīkajiem (mikro), mazajiem, vidējiem un lielajiem komersantiem, kas saimniecisko darbību veic apstrādes rūpniecības nozarēs. Vienam projekta iesniegumam minimāli pieejamais publiskā finansējuma apmērs ir 50 000 </w:t>
      </w:r>
      <w:r w:rsidR="008E4EB0">
        <w:rPr>
          <w:rFonts w:ascii="Times New Roman" w:eastAsia="Calibri" w:hAnsi="Times New Roman" w:cs="Times New Roman"/>
          <w:i/>
          <w:sz w:val="24"/>
          <w:szCs w:val="24"/>
        </w:rPr>
        <w:t>euro</w:t>
      </w:r>
      <w:r w:rsidRPr="008E4EB0">
        <w:rPr>
          <w:rFonts w:ascii="Times New Roman" w:eastAsia="Calibri" w:hAnsi="Times New Roman" w:cs="Times New Roman"/>
          <w:sz w:val="24"/>
          <w:szCs w:val="24"/>
        </w:rPr>
        <w:t xml:space="preserve"> un maksimālais – 600 000 </w:t>
      </w:r>
      <w:r w:rsidR="008E4EB0">
        <w:rPr>
          <w:rFonts w:ascii="Times New Roman" w:eastAsia="Calibri" w:hAnsi="Times New Roman" w:cs="Times New Roman"/>
          <w:i/>
          <w:sz w:val="24"/>
          <w:szCs w:val="24"/>
        </w:rPr>
        <w:t>euro</w:t>
      </w:r>
      <w:r w:rsidRPr="008E4EB0">
        <w:rPr>
          <w:rFonts w:ascii="Times New Roman" w:eastAsia="Calibri" w:hAnsi="Times New Roman" w:cs="Times New Roman"/>
          <w:sz w:val="24"/>
          <w:szCs w:val="24"/>
        </w:rPr>
        <w:t xml:space="preserve">. Tādējādi maksimāli vienam projektam pieļaujamais attiecināmo izmaksu apmērs ir 2 000 000 </w:t>
      </w:r>
      <w:r w:rsidR="008E4EB0">
        <w:rPr>
          <w:rFonts w:ascii="Times New Roman" w:eastAsia="Calibri" w:hAnsi="Times New Roman" w:cs="Times New Roman"/>
          <w:i/>
          <w:sz w:val="24"/>
          <w:szCs w:val="24"/>
        </w:rPr>
        <w:t>euro</w:t>
      </w:r>
      <w:r w:rsidRPr="008E4EB0">
        <w:rPr>
          <w:rFonts w:ascii="Times New Roman" w:eastAsia="Calibri" w:hAnsi="Times New Roman" w:cs="Times New Roman"/>
          <w:sz w:val="24"/>
          <w:szCs w:val="24"/>
        </w:rPr>
        <w:t>.</w:t>
      </w:r>
    </w:p>
    <w:p w14:paraId="4F29F51E" w14:textId="2D570B3B" w:rsidR="00990903" w:rsidRPr="008E4EB0" w:rsidRDefault="00990903" w:rsidP="007B2931">
      <w:pPr>
        <w:spacing w:after="0" w:line="276" w:lineRule="auto"/>
        <w:ind w:firstLine="567"/>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 xml:space="preserve">4.1.1. SAM Projektu iesniegumu atlase </w:t>
      </w:r>
      <w:r w:rsidR="00D2754E" w:rsidRPr="008E4EB0">
        <w:rPr>
          <w:rFonts w:ascii="Times New Roman" w:eastAsia="Calibri" w:hAnsi="Times New Roman" w:cs="Times New Roman"/>
          <w:sz w:val="24"/>
          <w:szCs w:val="24"/>
        </w:rPr>
        <w:t>ti</w:t>
      </w:r>
      <w:r w:rsidR="00D2754E">
        <w:rPr>
          <w:rFonts w:ascii="Times New Roman" w:eastAsia="Calibri" w:hAnsi="Times New Roman" w:cs="Times New Roman"/>
          <w:sz w:val="24"/>
          <w:szCs w:val="24"/>
        </w:rPr>
        <w:t>ek</w:t>
      </w:r>
      <w:r w:rsidR="00D2754E" w:rsidRPr="008E4EB0">
        <w:rPr>
          <w:rFonts w:ascii="Times New Roman" w:eastAsia="Calibri" w:hAnsi="Times New Roman" w:cs="Times New Roman"/>
          <w:sz w:val="24"/>
          <w:szCs w:val="24"/>
        </w:rPr>
        <w:t xml:space="preserve"> </w:t>
      </w:r>
      <w:r w:rsidRPr="008E4EB0">
        <w:rPr>
          <w:rFonts w:ascii="Times New Roman" w:eastAsia="Calibri" w:hAnsi="Times New Roman" w:cs="Times New Roman"/>
          <w:sz w:val="24"/>
          <w:szCs w:val="24"/>
        </w:rPr>
        <w:t>organizētas periodā no 13.12.2016. līdz 12.05.2017, savukārt projektu īstenošanas notiks līdz 2020.gada 31.decembrim.</w:t>
      </w:r>
    </w:p>
    <w:p w14:paraId="17AD644E" w14:textId="77777777" w:rsidR="00990903" w:rsidRPr="008E4EB0" w:rsidRDefault="00990903" w:rsidP="007B2931">
      <w:pPr>
        <w:spacing w:after="0" w:line="276" w:lineRule="auto"/>
        <w:ind w:firstLine="567"/>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4.1.1.SAM ietvaros atbalstāmās izmaksas:</w:t>
      </w:r>
    </w:p>
    <w:p w14:paraId="71EDC718" w14:textId="77777777" w:rsidR="00990903" w:rsidRPr="008E4EB0" w:rsidRDefault="00990903" w:rsidP="00D9693B">
      <w:pPr>
        <w:numPr>
          <w:ilvl w:val="0"/>
          <w:numId w:val="3"/>
        </w:numPr>
        <w:spacing w:after="0" w:line="276" w:lineRule="auto"/>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Ēku energoefektivitātes paaugstināšana.</w:t>
      </w:r>
    </w:p>
    <w:p w14:paraId="49FBDDDA" w14:textId="77777777" w:rsidR="00990903" w:rsidRPr="008E4EB0" w:rsidRDefault="00990903" w:rsidP="00D9693B">
      <w:pPr>
        <w:numPr>
          <w:ilvl w:val="0"/>
          <w:numId w:val="3"/>
        </w:numPr>
        <w:spacing w:after="0" w:line="276" w:lineRule="auto"/>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 xml:space="preserve">Energoefektivitātes paaugstināšana esošajās ražošanas tehnoloģiskajās iekārtās. </w:t>
      </w:r>
    </w:p>
    <w:p w14:paraId="5E7AD108" w14:textId="77777777" w:rsidR="00990903" w:rsidRPr="008E4EB0" w:rsidRDefault="00990903" w:rsidP="00D9693B">
      <w:pPr>
        <w:numPr>
          <w:ilvl w:val="0"/>
          <w:numId w:val="3"/>
        </w:numPr>
        <w:spacing w:after="0" w:line="276" w:lineRule="auto"/>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Ieguldījumi pārejai no fosilām uz biomasas izmantojošām siltumenerģijas ražošanas iekārtām.</w:t>
      </w:r>
    </w:p>
    <w:p w14:paraId="28B1FBC5" w14:textId="77777777" w:rsidR="00990903" w:rsidRPr="008E4EB0" w:rsidRDefault="00990903" w:rsidP="00D9693B">
      <w:pPr>
        <w:numPr>
          <w:ilvl w:val="0"/>
          <w:numId w:val="3"/>
        </w:numPr>
        <w:spacing w:after="0" w:line="276" w:lineRule="auto"/>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Energopārvaldības sistēmas ieviešana (attiecināms tikai MVU).</w:t>
      </w:r>
    </w:p>
    <w:p w14:paraId="4F148291" w14:textId="77777777" w:rsidR="00990903" w:rsidRPr="008E4EB0" w:rsidRDefault="00990903" w:rsidP="00D9693B">
      <w:pPr>
        <w:numPr>
          <w:ilvl w:val="0"/>
          <w:numId w:val="3"/>
        </w:numPr>
        <w:spacing w:after="0" w:line="276" w:lineRule="auto"/>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Tehniskās dokumentācijas sagatavošana.</w:t>
      </w:r>
    </w:p>
    <w:p w14:paraId="60E1D1E3" w14:textId="77777777" w:rsidR="00990903" w:rsidRPr="008E4EB0" w:rsidRDefault="00990903" w:rsidP="00D9693B">
      <w:pPr>
        <w:numPr>
          <w:ilvl w:val="0"/>
          <w:numId w:val="3"/>
        </w:numPr>
        <w:spacing w:after="0" w:line="276" w:lineRule="auto"/>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Vadības un uzraudzības nodrošināšana.</w:t>
      </w:r>
    </w:p>
    <w:p w14:paraId="523DC9CE" w14:textId="77777777" w:rsidR="00990903" w:rsidRPr="008E4EB0" w:rsidRDefault="00990903" w:rsidP="007B2931">
      <w:pPr>
        <w:spacing w:after="0" w:line="276" w:lineRule="auto"/>
        <w:ind w:firstLine="567"/>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4.1.1. SAM galvenie nosacījumi:</w:t>
      </w:r>
    </w:p>
    <w:p w14:paraId="2773C399" w14:textId="77777777" w:rsidR="00990903" w:rsidRPr="008E4EB0" w:rsidRDefault="00990903" w:rsidP="00D9693B">
      <w:pPr>
        <w:numPr>
          <w:ilvl w:val="0"/>
          <w:numId w:val="4"/>
        </w:numPr>
        <w:spacing w:after="0" w:line="276" w:lineRule="auto"/>
        <w:ind w:left="1276"/>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Projekta iesniegumam ir pievienots energosertifikāts vai uzņēmuma energoaudita pārskats.</w:t>
      </w:r>
    </w:p>
    <w:p w14:paraId="1F237D4E" w14:textId="77777777" w:rsidR="00990903" w:rsidRPr="008E4EB0" w:rsidRDefault="00990903" w:rsidP="00D9693B">
      <w:pPr>
        <w:numPr>
          <w:ilvl w:val="0"/>
          <w:numId w:val="4"/>
        </w:numPr>
        <w:spacing w:after="0" w:line="276" w:lineRule="auto"/>
        <w:ind w:left="1276"/>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Projekta iesniedzēja pašu kapitāls vismaz 25% no projekta attiecināmajām izmaksām.</w:t>
      </w:r>
    </w:p>
    <w:p w14:paraId="2F8AE012" w14:textId="77777777" w:rsidR="00990903" w:rsidRPr="008E4EB0" w:rsidRDefault="00990903" w:rsidP="00D9693B">
      <w:pPr>
        <w:numPr>
          <w:ilvl w:val="0"/>
          <w:numId w:val="4"/>
        </w:numPr>
        <w:spacing w:after="0" w:line="276" w:lineRule="auto"/>
        <w:ind w:left="1276"/>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Projekta īstenošanas rezultātā jāsasniedz vismaz 15% enerģijas ietaupījums gadā konkrētajā ražošanas procesā vai ēkas enerģijas patēriņā.</w:t>
      </w:r>
    </w:p>
    <w:p w14:paraId="7DC2D7FF" w14:textId="77777777" w:rsidR="00990903" w:rsidRPr="008E4EB0" w:rsidRDefault="00990903" w:rsidP="00D9693B">
      <w:pPr>
        <w:numPr>
          <w:ilvl w:val="0"/>
          <w:numId w:val="4"/>
        </w:numPr>
        <w:spacing w:after="0" w:line="276" w:lineRule="auto"/>
        <w:ind w:left="1276"/>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Plānotais siltumenerģijas patēriņš apkurei nepārsniedz 110kWh/m2 gadā (ja attiecināms).</w:t>
      </w:r>
    </w:p>
    <w:p w14:paraId="36E53A16" w14:textId="77777777" w:rsidR="00990903" w:rsidRPr="008E4EB0" w:rsidRDefault="00990903" w:rsidP="00D9693B">
      <w:pPr>
        <w:numPr>
          <w:ilvl w:val="0"/>
          <w:numId w:val="4"/>
        </w:numPr>
        <w:spacing w:after="0" w:line="276" w:lineRule="auto"/>
        <w:ind w:left="1276"/>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Vismaz 5 gadus pēc projekta pabeigšanas:</w:t>
      </w:r>
    </w:p>
    <w:p w14:paraId="12F23FED" w14:textId="77777777" w:rsidR="00990903" w:rsidRPr="008E4EB0" w:rsidRDefault="00990903" w:rsidP="00D9693B">
      <w:pPr>
        <w:numPr>
          <w:ilvl w:val="2"/>
          <w:numId w:val="4"/>
        </w:numPr>
        <w:spacing w:after="0" w:line="276" w:lineRule="auto"/>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lastRenderedPageBreak/>
        <w:t>Ražošanas ēku izmanto ražošanas vajadzībām apstrādes rūpniecības nozarē.</w:t>
      </w:r>
    </w:p>
    <w:p w14:paraId="728B2A15" w14:textId="77777777" w:rsidR="00990903" w:rsidRPr="008E4EB0" w:rsidRDefault="00990903" w:rsidP="00D9693B">
      <w:pPr>
        <w:numPr>
          <w:ilvl w:val="2"/>
          <w:numId w:val="4"/>
        </w:numPr>
        <w:spacing w:after="0" w:line="276" w:lineRule="auto"/>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Ik gadu iesniedz pārskatu par enerģijas patēriņu ēkā vai konkrētajā ražošanas procesā.</w:t>
      </w:r>
    </w:p>
    <w:p w14:paraId="5FDA504D" w14:textId="77777777" w:rsidR="00990903" w:rsidRPr="008E4EB0" w:rsidRDefault="00990903" w:rsidP="007B2931">
      <w:pPr>
        <w:spacing w:after="0" w:line="276" w:lineRule="auto"/>
        <w:jc w:val="both"/>
        <w:rPr>
          <w:rFonts w:ascii="Times New Roman" w:eastAsia="Calibri" w:hAnsi="Times New Roman" w:cs="Times New Roman"/>
          <w:b/>
          <w:sz w:val="24"/>
          <w:szCs w:val="24"/>
        </w:rPr>
      </w:pPr>
    </w:p>
    <w:p w14:paraId="554790BC" w14:textId="77777777" w:rsidR="00990903" w:rsidRPr="008E4EB0" w:rsidRDefault="00990903" w:rsidP="007B2931">
      <w:pPr>
        <w:spacing w:after="0" w:line="276" w:lineRule="auto"/>
        <w:jc w:val="both"/>
        <w:rPr>
          <w:rFonts w:ascii="Times New Roman" w:eastAsia="Calibri" w:hAnsi="Times New Roman" w:cs="Times New Roman"/>
          <w:sz w:val="24"/>
          <w:szCs w:val="24"/>
          <w:u w:val="single"/>
        </w:rPr>
      </w:pPr>
      <w:r w:rsidRPr="008E4EB0">
        <w:rPr>
          <w:rFonts w:ascii="Times New Roman" w:eastAsia="Calibri" w:hAnsi="Times New Roman" w:cs="Times New Roman"/>
          <w:color w:val="000000"/>
          <w:sz w:val="24"/>
          <w:szCs w:val="24"/>
          <w:u w:val="single"/>
          <w:lang w:eastAsia="da-DK"/>
        </w:rPr>
        <w:t>Eiropas Reģionālās attīstības fonda</w:t>
      </w:r>
      <w:r w:rsidRPr="008E4EB0">
        <w:rPr>
          <w:rFonts w:ascii="Times New Roman" w:eastAsia="Calibri" w:hAnsi="Times New Roman" w:cs="Times New Roman"/>
          <w:sz w:val="24"/>
          <w:szCs w:val="24"/>
          <w:u w:val="single"/>
        </w:rPr>
        <w:t xml:space="preserve"> 4.2.1.1.pasākums “Veicināt energoefektivitātes paaugstināšanu dzīvojamās ēkās” (turpmāk – 4.2.1.1.pasākums).</w:t>
      </w:r>
    </w:p>
    <w:p w14:paraId="35885251" w14:textId="77777777" w:rsidR="00990903" w:rsidRPr="008E4EB0" w:rsidRDefault="00990903" w:rsidP="007B2931">
      <w:pPr>
        <w:spacing w:after="0" w:line="276" w:lineRule="auto"/>
        <w:jc w:val="both"/>
        <w:rPr>
          <w:rFonts w:ascii="Times New Roman" w:eastAsia="Calibri" w:hAnsi="Times New Roman" w:cs="Times New Roman"/>
          <w:b/>
          <w:sz w:val="24"/>
          <w:szCs w:val="24"/>
        </w:rPr>
      </w:pPr>
    </w:p>
    <w:p w14:paraId="49CAB4FB" w14:textId="6485B51D" w:rsidR="00990903" w:rsidRPr="008E4EB0" w:rsidRDefault="00990903" w:rsidP="007B2931">
      <w:pPr>
        <w:spacing w:after="0" w:line="276" w:lineRule="auto"/>
        <w:ind w:firstLine="567"/>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 xml:space="preserve">4.2.1.1.pasākuma mērķis ir veicināt energoefektivitātes paaugstināšanu, viedu energovadību un atjaunojamo energoresursu izmantošanu daudzdzīvokļu dzīvojamās ēkās. Kopējais pieejamais publiskais finansējums 4.2.1.1.pasākuma īstenošanai ir 176 milj. </w:t>
      </w:r>
      <w:r w:rsidR="008E4EB0">
        <w:rPr>
          <w:rFonts w:ascii="Times New Roman" w:eastAsia="Calibri" w:hAnsi="Times New Roman" w:cs="Times New Roman"/>
          <w:i/>
          <w:sz w:val="24"/>
          <w:szCs w:val="24"/>
        </w:rPr>
        <w:t>euro</w:t>
      </w:r>
      <w:r w:rsidRPr="008E4EB0">
        <w:rPr>
          <w:rFonts w:ascii="Times New Roman" w:eastAsia="Calibri" w:hAnsi="Times New Roman" w:cs="Times New Roman"/>
          <w:sz w:val="24"/>
          <w:szCs w:val="24"/>
        </w:rPr>
        <w:t xml:space="preserve"> – 150 milj. </w:t>
      </w:r>
      <w:r w:rsidRPr="008E4EB0">
        <w:rPr>
          <w:rFonts w:ascii="Times New Roman" w:eastAsia="Calibri" w:hAnsi="Times New Roman" w:cs="Times New Roman"/>
          <w:i/>
          <w:sz w:val="24"/>
          <w:szCs w:val="24"/>
        </w:rPr>
        <w:t>eiro</w:t>
      </w:r>
      <w:r w:rsidRPr="008E4EB0">
        <w:rPr>
          <w:rFonts w:ascii="Times New Roman" w:eastAsia="Calibri" w:hAnsi="Times New Roman" w:cs="Times New Roman"/>
          <w:sz w:val="24"/>
          <w:szCs w:val="24"/>
        </w:rPr>
        <w:t xml:space="preserve"> ERAF finansējums un 26 milj. </w:t>
      </w:r>
      <w:r w:rsidRPr="008E4EB0">
        <w:rPr>
          <w:rFonts w:ascii="Times New Roman" w:eastAsia="Calibri" w:hAnsi="Times New Roman" w:cs="Times New Roman"/>
          <w:i/>
          <w:sz w:val="24"/>
          <w:szCs w:val="24"/>
        </w:rPr>
        <w:t>eiro</w:t>
      </w:r>
      <w:r w:rsidRPr="008E4EB0">
        <w:rPr>
          <w:rFonts w:ascii="Times New Roman" w:eastAsia="Calibri" w:hAnsi="Times New Roman" w:cs="Times New Roman"/>
          <w:sz w:val="24"/>
          <w:szCs w:val="24"/>
        </w:rPr>
        <w:t xml:space="preserve"> valsts budžeta finansējums. Atbalstu daudzdzīvokļu māju energoefektivitātes paaugstināšanas pasākumiem sniegs AS "Attīstības finanšu institūcija Altum" (turpmāk - Altum). Projektu iesniegšana tika uzsākta 2016. gada septembrī un to īstenošana tiks nodrošināta līdz 2022. gada 31. decembrim.</w:t>
      </w:r>
    </w:p>
    <w:p w14:paraId="008DECEF" w14:textId="77777777" w:rsidR="00990903" w:rsidRPr="008E4EB0" w:rsidRDefault="00990903" w:rsidP="007B2931">
      <w:pPr>
        <w:spacing w:after="0" w:line="276" w:lineRule="auto"/>
        <w:ind w:firstLine="567"/>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Nosacījumi energoefektivitātes paaugstināšanas projektiem, lai pretendētu uz šo atbalstu būs šādi:</w:t>
      </w:r>
    </w:p>
    <w:p w14:paraId="5FC747F1" w14:textId="77777777" w:rsidR="00990903" w:rsidRPr="008E4EB0" w:rsidRDefault="00990903" w:rsidP="00D9693B">
      <w:pPr>
        <w:numPr>
          <w:ilvl w:val="0"/>
          <w:numId w:val="6"/>
        </w:numPr>
        <w:spacing w:after="0" w:line="276" w:lineRule="auto"/>
        <w:ind w:left="1276" w:hanging="425"/>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vienam īpašniekam nepieder vairāk kā 20% no kopējā dzīvokļa īpašumu vai dzīvojamo telpu grupu skaita (ierobežojums neattiecas uz pašvaldībām);</w:t>
      </w:r>
    </w:p>
    <w:p w14:paraId="0E401EA5" w14:textId="40442754" w:rsidR="00990903" w:rsidRPr="008E4EB0" w:rsidRDefault="00990903" w:rsidP="00D9693B">
      <w:pPr>
        <w:numPr>
          <w:ilvl w:val="0"/>
          <w:numId w:val="6"/>
        </w:numPr>
        <w:spacing w:after="0" w:line="276" w:lineRule="auto"/>
        <w:ind w:left="1276" w:hanging="425"/>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 xml:space="preserve">siltumenerģijas patēriņš apkurei pēc </w:t>
      </w:r>
      <w:r w:rsidR="00CE0F55" w:rsidRPr="008E4EB0">
        <w:rPr>
          <w:rFonts w:ascii="Times New Roman" w:eastAsia="Calibri" w:hAnsi="Times New Roman" w:cs="Times New Roman"/>
          <w:sz w:val="24"/>
          <w:szCs w:val="24"/>
        </w:rPr>
        <w:t>atjaunošanas</w:t>
      </w:r>
      <w:r w:rsidRPr="008E4EB0">
        <w:rPr>
          <w:rFonts w:ascii="Times New Roman" w:eastAsia="Calibri" w:hAnsi="Times New Roman" w:cs="Times New Roman"/>
          <w:sz w:val="24"/>
          <w:szCs w:val="24"/>
        </w:rPr>
        <w:t xml:space="preserve"> nepārsniedz 90 kWh/m</w:t>
      </w:r>
      <w:r w:rsidRPr="00DD1140">
        <w:rPr>
          <w:rFonts w:ascii="Times New Roman" w:eastAsia="Calibri" w:hAnsi="Times New Roman" w:cs="Times New Roman"/>
          <w:sz w:val="24"/>
          <w:szCs w:val="24"/>
          <w:vertAlign w:val="superscript"/>
        </w:rPr>
        <w:t>2</w:t>
      </w:r>
      <w:r w:rsidRPr="008E4EB0">
        <w:rPr>
          <w:rFonts w:ascii="Times New Roman" w:eastAsia="Calibri" w:hAnsi="Times New Roman" w:cs="Times New Roman"/>
          <w:sz w:val="24"/>
          <w:szCs w:val="24"/>
        </w:rPr>
        <w:t xml:space="preserve"> gadā;</w:t>
      </w:r>
    </w:p>
    <w:p w14:paraId="4CE46600" w14:textId="77777777" w:rsidR="00990903" w:rsidRPr="008E4EB0" w:rsidRDefault="00990903" w:rsidP="00D9693B">
      <w:pPr>
        <w:numPr>
          <w:ilvl w:val="0"/>
          <w:numId w:val="6"/>
        </w:numPr>
        <w:spacing w:after="0" w:line="276" w:lineRule="auto"/>
        <w:ind w:left="1276" w:hanging="425"/>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mājas parādsaistību apjoms par saņemtajiem pakalpojumiem, kas saistīti ar dzīvokļa īpašuma lietošanu (apsaimniekošanas, atkritumu apsaimniekošanas, siltumapgādes, ūdensapgādes un kanalizācijas pakalpojumi), pēdējā gada laikā ir mazāks par 10% no kopējā šo pakalpojumu rēķinu summas;</w:t>
      </w:r>
    </w:p>
    <w:p w14:paraId="7129E178" w14:textId="77777777" w:rsidR="00990903" w:rsidRPr="008E4EB0" w:rsidRDefault="00990903" w:rsidP="00D9693B">
      <w:pPr>
        <w:numPr>
          <w:ilvl w:val="0"/>
          <w:numId w:val="6"/>
        </w:numPr>
        <w:spacing w:after="0" w:line="276" w:lineRule="auto"/>
        <w:ind w:left="1276" w:hanging="425"/>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investīcijām ir jābūt ekonomiski pamatotām – projekta iekšējās atdeves koeficients (IRR) ir lielāks par 0, rēķinot 20 gadu periodā.</w:t>
      </w:r>
    </w:p>
    <w:p w14:paraId="6EBB9FC4" w14:textId="77777777" w:rsidR="00990903" w:rsidRPr="008E4EB0" w:rsidRDefault="00990903" w:rsidP="007B2931">
      <w:pPr>
        <w:spacing w:after="0" w:line="276" w:lineRule="auto"/>
        <w:ind w:firstLine="567"/>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4.2.1.1.pasākuma ietvaros atbalsta veidi ir:</w:t>
      </w:r>
    </w:p>
    <w:p w14:paraId="2EED270D" w14:textId="77777777" w:rsidR="00990903" w:rsidRPr="008E4EB0" w:rsidRDefault="00990903" w:rsidP="00D9693B">
      <w:pPr>
        <w:numPr>
          <w:ilvl w:val="0"/>
          <w:numId w:val="5"/>
        </w:numPr>
        <w:spacing w:after="0" w:line="276" w:lineRule="auto"/>
        <w:ind w:left="1276" w:hanging="425"/>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grants;</w:t>
      </w:r>
    </w:p>
    <w:p w14:paraId="5AFFF982" w14:textId="77777777" w:rsidR="00990903" w:rsidRPr="008E4EB0" w:rsidRDefault="00990903" w:rsidP="00D9693B">
      <w:pPr>
        <w:numPr>
          <w:ilvl w:val="0"/>
          <w:numId w:val="5"/>
        </w:numPr>
        <w:spacing w:after="0" w:line="276" w:lineRule="auto"/>
        <w:ind w:left="1276" w:hanging="425"/>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garantijas;</w:t>
      </w:r>
    </w:p>
    <w:p w14:paraId="2913DDA0" w14:textId="77777777" w:rsidR="00990903" w:rsidRPr="008E4EB0" w:rsidRDefault="00990903" w:rsidP="00D9693B">
      <w:pPr>
        <w:numPr>
          <w:ilvl w:val="0"/>
          <w:numId w:val="5"/>
        </w:numPr>
        <w:spacing w:after="0" w:line="276" w:lineRule="auto"/>
        <w:ind w:left="1276" w:hanging="425"/>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tiešais Altum aizdevums;</w:t>
      </w:r>
    </w:p>
    <w:p w14:paraId="7A29FE17" w14:textId="77777777" w:rsidR="00990903" w:rsidRPr="008E4EB0" w:rsidRDefault="00990903" w:rsidP="00D9693B">
      <w:pPr>
        <w:numPr>
          <w:ilvl w:val="0"/>
          <w:numId w:val="5"/>
        </w:numPr>
        <w:spacing w:after="0" w:line="276" w:lineRule="auto"/>
        <w:ind w:left="1276" w:hanging="425"/>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tehniskās konsultācijas, lai mazinātu riskus energoefektivitātes paaugstināšanas projektu sagatavošanas un īstenošanas stadijā.</w:t>
      </w:r>
    </w:p>
    <w:p w14:paraId="3805B6AF" w14:textId="77777777" w:rsidR="00990903" w:rsidRPr="008E4EB0" w:rsidRDefault="00990903" w:rsidP="007B2931">
      <w:pPr>
        <w:spacing w:after="0" w:line="276" w:lineRule="auto"/>
        <w:ind w:firstLine="567"/>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Granta apmērs tiek noteikts balstoties gan uz projekta finansēšanas avotu, gan plānoto energoefektivitātes līmeni pēc projekta īstenošanas. Ja projekta īstenošanai tiks piesaistīts komercbankas vai cits privātā investora finansējums, granta apmērs no kopējām projekta izmaksām būs:</w:t>
      </w:r>
    </w:p>
    <w:p w14:paraId="4E3E3B01" w14:textId="1709BD78" w:rsidR="00990903" w:rsidRPr="008E4EB0" w:rsidRDefault="00990903" w:rsidP="00D9693B">
      <w:pPr>
        <w:numPr>
          <w:ilvl w:val="0"/>
          <w:numId w:val="7"/>
        </w:numPr>
        <w:spacing w:after="0" w:line="276" w:lineRule="auto"/>
        <w:ind w:left="1276"/>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 xml:space="preserve">36%, ja plānotais patēriņš apkurei pēc </w:t>
      </w:r>
      <w:r w:rsidR="00CE0F55" w:rsidRPr="008E4EB0">
        <w:rPr>
          <w:rFonts w:ascii="Times New Roman" w:eastAsia="Calibri" w:hAnsi="Times New Roman" w:cs="Times New Roman"/>
          <w:sz w:val="24"/>
          <w:szCs w:val="24"/>
        </w:rPr>
        <w:t>atjaunošanas</w:t>
      </w:r>
      <w:r w:rsidRPr="008E4EB0">
        <w:rPr>
          <w:rFonts w:ascii="Times New Roman" w:eastAsia="Calibri" w:hAnsi="Times New Roman" w:cs="Times New Roman"/>
          <w:sz w:val="24"/>
          <w:szCs w:val="24"/>
        </w:rPr>
        <w:t xml:space="preserve"> līdz 89 - 90 kWh/m</w:t>
      </w:r>
      <w:r w:rsidRPr="008E4EB0">
        <w:rPr>
          <w:rFonts w:ascii="Times New Roman" w:eastAsia="Calibri" w:hAnsi="Times New Roman" w:cs="Times New Roman"/>
          <w:sz w:val="24"/>
          <w:szCs w:val="24"/>
          <w:vertAlign w:val="superscript"/>
        </w:rPr>
        <w:t>2</w:t>
      </w:r>
      <w:r w:rsidRPr="008E4EB0">
        <w:rPr>
          <w:rFonts w:ascii="Times New Roman" w:eastAsia="Calibri" w:hAnsi="Times New Roman" w:cs="Times New Roman"/>
          <w:sz w:val="24"/>
          <w:szCs w:val="24"/>
        </w:rPr>
        <w:t xml:space="preserve"> gadā;</w:t>
      </w:r>
    </w:p>
    <w:p w14:paraId="446A70A0" w14:textId="4F770407" w:rsidR="00990903" w:rsidRPr="008E4EB0" w:rsidRDefault="00990903" w:rsidP="00D9693B">
      <w:pPr>
        <w:numPr>
          <w:ilvl w:val="0"/>
          <w:numId w:val="7"/>
        </w:numPr>
        <w:spacing w:after="0" w:line="276" w:lineRule="auto"/>
        <w:ind w:left="1276"/>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lastRenderedPageBreak/>
        <w:t xml:space="preserve">43%, ja plānotais patēriņš apkurei pēc </w:t>
      </w:r>
      <w:r w:rsidR="00CE0F55" w:rsidRPr="008E4EB0">
        <w:rPr>
          <w:rFonts w:ascii="Times New Roman" w:eastAsia="Calibri" w:hAnsi="Times New Roman" w:cs="Times New Roman"/>
          <w:sz w:val="24"/>
          <w:szCs w:val="24"/>
        </w:rPr>
        <w:t>atjaunošanas</w:t>
      </w:r>
      <w:r w:rsidRPr="008E4EB0">
        <w:rPr>
          <w:rFonts w:ascii="Times New Roman" w:eastAsia="Calibri" w:hAnsi="Times New Roman" w:cs="Times New Roman"/>
          <w:sz w:val="24"/>
          <w:szCs w:val="24"/>
        </w:rPr>
        <w:t xml:space="preserve"> līdz 71- 80 kWh/m</w:t>
      </w:r>
      <w:r w:rsidRPr="008E4EB0">
        <w:rPr>
          <w:rFonts w:ascii="Times New Roman" w:eastAsia="Calibri" w:hAnsi="Times New Roman" w:cs="Times New Roman"/>
          <w:sz w:val="24"/>
          <w:szCs w:val="24"/>
          <w:vertAlign w:val="superscript"/>
        </w:rPr>
        <w:t>2</w:t>
      </w:r>
      <w:r w:rsidRPr="008E4EB0">
        <w:rPr>
          <w:rFonts w:ascii="Times New Roman" w:eastAsia="Calibri" w:hAnsi="Times New Roman" w:cs="Times New Roman"/>
          <w:sz w:val="24"/>
          <w:szCs w:val="24"/>
        </w:rPr>
        <w:t xml:space="preserve"> gadā;</w:t>
      </w:r>
    </w:p>
    <w:p w14:paraId="426F8D1B" w14:textId="3D2279BD" w:rsidR="00990903" w:rsidRPr="008E4EB0" w:rsidRDefault="00990903" w:rsidP="00D9693B">
      <w:pPr>
        <w:numPr>
          <w:ilvl w:val="0"/>
          <w:numId w:val="7"/>
        </w:numPr>
        <w:spacing w:after="0" w:line="276" w:lineRule="auto"/>
        <w:ind w:left="1276"/>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 xml:space="preserve">50%, ja plānotais patēriņš apkurei pēc </w:t>
      </w:r>
      <w:r w:rsidR="00CE0F55" w:rsidRPr="008E4EB0">
        <w:rPr>
          <w:rFonts w:ascii="Times New Roman" w:eastAsia="Calibri" w:hAnsi="Times New Roman" w:cs="Times New Roman"/>
          <w:sz w:val="24"/>
          <w:szCs w:val="24"/>
        </w:rPr>
        <w:t>atjaunošanas</w:t>
      </w:r>
      <w:r w:rsidRPr="008E4EB0">
        <w:rPr>
          <w:rFonts w:ascii="Times New Roman" w:eastAsia="Calibri" w:hAnsi="Times New Roman" w:cs="Times New Roman"/>
          <w:sz w:val="24"/>
          <w:szCs w:val="24"/>
        </w:rPr>
        <w:t xml:space="preserve"> līdz 70 kWh/m</w:t>
      </w:r>
      <w:r w:rsidRPr="008E4EB0">
        <w:rPr>
          <w:rFonts w:ascii="Times New Roman" w:eastAsia="Calibri" w:hAnsi="Times New Roman" w:cs="Times New Roman"/>
          <w:sz w:val="24"/>
          <w:szCs w:val="24"/>
          <w:vertAlign w:val="superscript"/>
        </w:rPr>
        <w:t>2</w:t>
      </w:r>
      <w:r w:rsidRPr="008E4EB0">
        <w:rPr>
          <w:rFonts w:ascii="Times New Roman" w:eastAsia="Calibri" w:hAnsi="Times New Roman" w:cs="Times New Roman"/>
          <w:sz w:val="24"/>
          <w:szCs w:val="24"/>
        </w:rPr>
        <w:t xml:space="preserve"> gadā.</w:t>
      </w:r>
    </w:p>
    <w:p w14:paraId="4C851CA0" w14:textId="77777777" w:rsidR="00990903" w:rsidRPr="008E4EB0" w:rsidRDefault="00990903" w:rsidP="007B2931">
      <w:pPr>
        <w:spacing w:after="0" w:line="276" w:lineRule="auto"/>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Savukārt, gadījumos, kad komercbanka projekta īstenošanai aizdevumu neizsniegs, būs iespēja saņemt Altum aizdevumu ar samazinātām procentu likmēm (plānots, 2% + EURIBOR), bet arī ar samazinātu granta apmēru. Šajā gadījumā granta apmērs no kopējām projekta izmaksām būs:</w:t>
      </w:r>
    </w:p>
    <w:p w14:paraId="29A7FB78" w14:textId="5213E560" w:rsidR="00990903" w:rsidRPr="008E4EB0" w:rsidRDefault="00990903" w:rsidP="00D9693B">
      <w:pPr>
        <w:numPr>
          <w:ilvl w:val="0"/>
          <w:numId w:val="8"/>
        </w:numPr>
        <w:spacing w:after="0" w:line="276" w:lineRule="auto"/>
        <w:ind w:left="1276" w:hanging="425"/>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 xml:space="preserve">25%, ja  plānotais patēriņš apkurei pēc </w:t>
      </w:r>
      <w:r w:rsidR="00CE0F55" w:rsidRPr="008E4EB0">
        <w:rPr>
          <w:rFonts w:ascii="Times New Roman" w:eastAsia="Calibri" w:hAnsi="Times New Roman" w:cs="Times New Roman"/>
          <w:sz w:val="24"/>
          <w:szCs w:val="24"/>
        </w:rPr>
        <w:t>atjaunošanas</w:t>
      </w:r>
      <w:r w:rsidRPr="008E4EB0">
        <w:rPr>
          <w:rFonts w:ascii="Times New Roman" w:eastAsia="Calibri" w:hAnsi="Times New Roman" w:cs="Times New Roman"/>
          <w:sz w:val="24"/>
          <w:szCs w:val="24"/>
        </w:rPr>
        <w:t xml:space="preserve"> līdz 89 - 90 kWh/m</w:t>
      </w:r>
      <w:r w:rsidRPr="008E4EB0">
        <w:rPr>
          <w:rFonts w:ascii="Times New Roman" w:eastAsia="Calibri" w:hAnsi="Times New Roman" w:cs="Times New Roman"/>
          <w:sz w:val="24"/>
          <w:szCs w:val="24"/>
          <w:vertAlign w:val="superscript"/>
        </w:rPr>
        <w:t>2</w:t>
      </w:r>
      <w:r w:rsidRPr="008E4EB0">
        <w:rPr>
          <w:rFonts w:ascii="Times New Roman" w:eastAsia="Calibri" w:hAnsi="Times New Roman" w:cs="Times New Roman"/>
          <w:sz w:val="24"/>
          <w:szCs w:val="24"/>
        </w:rPr>
        <w:t xml:space="preserve"> gadā;</w:t>
      </w:r>
    </w:p>
    <w:p w14:paraId="2C67002A" w14:textId="7CF24826" w:rsidR="00990903" w:rsidRPr="008E4EB0" w:rsidRDefault="00990903" w:rsidP="00D9693B">
      <w:pPr>
        <w:numPr>
          <w:ilvl w:val="0"/>
          <w:numId w:val="8"/>
        </w:numPr>
        <w:spacing w:after="0" w:line="276" w:lineRule="auto"/>
        <w:ind w:left="1276" w:hanging="425"/>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 xml:space="preserve">30%, ja  plānotais patēriņš apkurei pēc </w:t>
      </w:r>
      <w:r w:rsidR="00CE0F55" w:rsidRPr="008E4EB0">
        <w:rPr>
          <w:rFonts w:ascii="Times New Roman" w:eastAsia="Calibri" w:hAnsi="Times New Roman" w:cs="Times New Roman"/>
          <w:sz w:val="24"/>
          <w:szCs w:val="24"/>
        </w:rPr>
        <w:t>atjaunošanas</w:t>
      </w:r>
      <w:r w:rsidRPr="008E4EB0">
        <w:rPr>
          <w:rFonts w:ascii="Times New Roman" w:eastAsia="Calibri" w:hAnsi="Times New Roman" w:cs="Times New Roman"/>
          <w:sz w:val="24"/>
          <w:szCs w:val="24"/>
        </w:rPr>
        <w:t xml:space="preserve"> līdz 71- 80 kWh/m</w:t>
      </w:r>
      <w:r w:rsidRPr="008E4EB0">
        <w:rPr>
          <w:rFonts w:ascii="Times New Roman" w:eastAsia="Calibri" w:hAnsi="Times New Roman" w:cs="Times New Roman"/>
          <w:sz w:val="24"/>
          <w:szCs w:val="24"/>
          <w:vertAlign w:val="superscript"/>
        </w:rPr>
        <w:t>2</w:t>
      </w:r>
      <w:r w:rsidRPr="008E4EB0">
        <w:rPr>
          <w:rFonts w:ascii="Times New Roman" w:eastAsia="Calibri" w:hAnsi="Times New Roman" w:cs="Times New Roman"/>
          <w:sz w:val="24"/>
          <w:szCs w:val="24"/>
        </w:rPr>
        <w:t xml:space="preserve"> gadā;</w:t>
      </w:r>
    </w:p>
    <w:p w14:paraId="067E0F5F" w14:textId="65EEAFC5" w:rsidR="00990903" w:rsidRPr="008E4EB0" w:rsidRDefault="00990903" w:rsidP="00D9693B">
      <w:pPr>
        <w:numPr>
          <w:ilvl w:val="0"/>
          <w:numId w:val="8"/>
        </w:numPr>
        <w:spacing w:after="0" w:line="276" w:lineRule="auto"/>
        <w:ind w:left="1276" w:hanging="425"/>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 xml:space="preserve">35%, ja  plānotais patēriņš apkurei pēc </w:t>
      </w:r>
      <w:r w:rsidR="00CE0F55" w:rsidRPr="008E4EB0">
        <w:rPr>
          <w:rFonts w:ascii="Times New Roman" w:eastAsia="Calibri" w:hAnsi="Times New Roman" w:cs="Times New Roman"/>
          <w:sz w:val="24"/>
          <w:szCs w:val="24"/>
        </w:rPr>
        <w:t>atjaunošanas</w:t>
      </w:r>
      <w:r w:rsidRPr="008E4EB0">
        <w:rPr>
          <w:rFonts w:ascii="Times New Roman" w:eastAsia="Calibri" w:hAnsi="Times New Roman" w:cs="Times New Roman"/>
          <w:sz w:val="24"/>
          <w:szCs w:val="24"/>
        </w:rPr>
        <w:t xml:space="preserve"> līdz 70 -79 kWh/m</w:t>
      </w:r>
      <w:r w:rsidRPr="008E4EB0">
        <w:rPr>
          <w:rFonts w:ascii="Times New Roman" w:eastAsia="Calibri" w:hAnsi="Times New Roman" w:cs="Times New Roman"/>
          <w:sz w:val="24"/>
          <w:szCs w:val="24"/>
          <w:vertAlign w:val="superscript"/>
        </w:rPr>
        <w:t>2</w:t>
      </w:r>
      <w:r w:rsidRPr="008E4EB0">
        <w:rPr>
          <w:rFonts w:ascii="Times New Roman" w:eastAsia="Calibri" w:hAnsi="Times New Roman" w:cs="Times New Roman"/>
          <w:sz w:val="24"/>
          <w:szCs w:val="24"/>
        </w:rPr>
        <w:t xml:space="preserve"> gadā.</w:t>
      </w:r>
    </w:p>
    <w:p w14:paraId="2D206743" w14:textId="77777777" w:rsidR="00990903" w:rsidRPr="008E4EB0" w:rsidRDefault="00990903" w:rsidP="007B2931">
      <w:pPr>
        <w:spacing w:after="0" w:line="276" w:lineRule="auto"/>
        <w:jc w:val="both"/>
        <w:rPr>
          <w:rFonts w:ascii="Times New Roman" w:eastAsia="Calibri" w:hAnsi="Times New Roman" w:cs="Times New Roman"/>
          <w:b/>
          <w:sz w:val="24"/>
          <w:szCs w:val="24"/>
        </w:rPr>
      </w:pPr>
    </w:p>
    <w:p w14:paraId="4F262E36" w14:textId="77777777" w:rsidR="00990903" w:rsidRPr="008E4EB0" w:rsidRDefault="00990903" w:rsidP="007B2931">
      <w:pPr>
        <w:spacing w:after="0" w:line="276" w:lineRule="auto"/>
        <w:jc w:val="both"/>
        <w:rPr>
          <w:rFonts w:ascii="Times New Roman" w:eastAsia="Calibri" w:hAnsi="Times New Roman" w:cs="Times New Roman"/>
          <w:sz w:val="24"/>
          <w:szCs w:val="24"/>
          <w:u w:val="single"/>
        </w:rPr>
      </w:pPr>
      <w:r w:rsidRPr="008E4EB0">
        <w:rPr>
          <w:rFonts w:ascii="Times New Roman" w:eastAsia="Calibri" w:hAnsi="Times New Roman" w:cs="Times New Roman"/>
          <w:color w:val="000000"/>
          <w:sz w:val="24"/>
          <w:szCs w:val="24"/>
          <w:u w:val="single"/>
          <w:lang w:eastAsia="da-DK"/>
        </w:rPr>
        <w:t>Eiropas Reģionālās attīstības fonda</w:t>
      </w:r>
      <w:r w:rsidRPr="008E4EB0">
        <w:rPr>
          <w:rFonts w:ascii="Times New Roman" w:eastAsia="Calibri" w:hAnsi="Times New Roman" w:cs="Times New Roman"/>
          <w:sz w:val="24"/>
          <w:szCs w:val="24"/>
          <w:u w:val="single"/>
        </w:rPr>
        <w:t xml:space="preserve"> 4.2.1.2.pasākums “Veicināt energoefektivitātes paaugstināšanu valsts ēkās” (turpmāk – 4.2.1.2. pasākums).</w:t>
      </w:r>
    </w:p>
    <w:p w14:paraId="06C7A24A" w14:textId="77777777" w:rsidR="00990903" w:rsidRPr="008E4EB0" w:rsidRDefault="00990903" w:rsidP="007B2931">
      <w:pPr>
        <w:spacing w:after="0" w:line="276" w:lineRule="auto"/>
        <w:jc w:val="both"/>
        <w:rPr>
          <w:rFonts w:ascii="Times New Roman" w:eastAsia="Calibri" w:hAnsi="Times New Roman" w:cs="Times New Roman"/>
          <w:b/>
          <w:sz w:val="24"/>
          <w:szCs w:val="24"/>
        </w:rPr>
      </w:pPr>
    </w:p>
    <w:p w14:paraId="33A9AE1A" w14:textId="0E2EEDC9" w:rsidR="00990903" w:rsidRPr="008E4EB0" w:rsidRDefault="00990903" w:rsidP="007B2931">
      <w:pPr>
        <w:spacing w:after="0" w:line="276" w:lineRule="auto"/>
        <w:ind w:firstLine="426"/>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 xml:space="preserve">4.2.1.2.pasākuma mērķis ir veicināt energoefektivitātes paaugstināšanu, viedu energovadību un atjaunojamo energoresursu izmantošanu tiešās valsts pārvaldes iestādes vai tās padotības iestādes, vai valsts deleģētās funkcijas veicošas atvasinātas publiskas personas īpašumā vai lietošanā esošajās ēkā. 4.2.1.2. pasākums tiks īstenots divās projektu iesniegumu atlases kārtās. Valsts ēku energoefektivitātes paaugstināšanai tiks novirzīts tāds 4.2.1.2.pasākuma finansējums, lai ik gadu no 2017.-2025.gadam </w:t>
      </w:r>
      <w:r w:rsidR="00CE0F55" w:rsidRPr="008E4EB0">
        <w:rPr>
          <w:rFonts w:ascii="Times New Roman" w:eastAsia="Calibri" w:hAnsi="Times New Roman" w:cs="Times New Roman"/>
          <w:sz w:val="24"/>
          <w:szCs w:val="24"/>
        </w:rPr>
        <w:t>atjaunotu</w:t>
      </w:r>
      <w:r w:rsidRPr="008E4EB0">
        <w:rPr>
          <w:rFonts w:ascii="Times New Roman" w:eastAsia="Calibri" w:hAnsi="Times New Roman" w:cs="Times New Roman"/>
          <w:sz w:val="24"/>
          <w:szCs w:val="24"/>
        </w:rPr>
        <w:t xml:space="preserve"> 3% valstij piederošo ēku platības. </w:t>
      </w:r>
    </w:p>
    <w:p w14:paraId="0F88DE49" w14:textId="61327B5E" w:rsidR="00990903" w:rsidRPr="008E4EB0" w:rsidRDefault="00990903" w:rsidP="007B2931">
      <w:pPr>
        <w:spacing w:after="0" w:line="276" w:lineRule="auto"/>
        <w:ind w:firstLine="426"/>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 xml:space="preserve">Pirmajā ierobežotā projektu iesnieguma atlase Projektu iesniegšana no 2016 .gada 19. septembra – 2018. gada 31.decembrim. 4.2.1.2. pasākuma pirmās projektu iesniegumu atlases kārtā pieejamais kopējais publiskais finansējums ir 82,61 milj. </w:t>
      </w:r>
      <w:r w:rsidR="008E4EB0">
        <w:rPr>
          <w:rFonts w:ascii="Times New Roman" w:eastAsia="Calibri" w:hAnsi="Times New Roman" w:cs="Times New Roman"/>
          <w:i/>
          <w:sz w:val="24"/>
          <w:szCs w:val="24"/>
        </w:rPr>
        <w:t>euro</w:t>
      </w:r>
      <w:r w:rsidRPr="008E4EB0">
        <w:rPr>
          <w:rFonts w:ascii="Times New Roman" w:eastAsia="Calibri" w:hAnsi="Times New Roman" w:cs="Times New Roman"/>
          <w:sz w:val="24"/>
          <w:szCs w:val="24"/>
        </w:rPr>
        <w:t xml:space="preserve"> - ERAF finansējums – 70,22 milj. </w:t>
      </w:r>
      <w:r w:rsidR="008E4EB0">
        <w:rPr>
          <w:rFonts w:ascii="Times New Roman" w:eastAsia="Calibri" w:hAnsi="Times New Roman" w:cs="Times New Roman"/>
          <w:i/>
          <w:sz w:val="24"/>
          <w:szCs w:val="24"/>
        </w:rPr>
        <w:t>euro</w:t>
      </w:r>
      <w:r w:rsidRPr="008E4EB0">
        <w:rPr>
          <w:rFonts w:ascii="Times New Roman" w:eastAsia="Calibri" w:hAnsi="Times New Roman" w:cs="Times New Roman"/>
          <w:sz w:val="24"/>
          <w:szCs w:val="24"/>
        </w:rPr>
        <w:t xml:space="preserve">,  valsts budžeta finansējums – 12,39 milj. </w:t>
      </w:r>
      <w:r w:rsidR="008E4EB0">
        <w:rPr>
          <w:rFonts w:ascii="Times New Roman" w:eastAsia="Calibri" w:hAnsi="Times New Roman" w:cs="Times New Roman"/>
          <w:i/>
          <w:sz w:val="24"/>
          <w:szCs w:val="24"/>
        </w:rPr>
        <w:t>euro</w:t>
      </w:r>
      <w:r w:rsidRPr="008E4EB0">
        <w:rPr>
          <w:rFonts w:ascii="Times New Roman" w:eastAsia="Calibri" w:hAnsi="Times New Roman" w:cs="Times New Roman"/>
          <w:sz w:val="24"/>
          <w:szCs w:val="24"/>
        </w:rPr>
        <w:t>. Maksimālā ERAF atbalsta intensitāte ir 85%, valsts budžeta finansējums – 15%.</w:t>
      </w:r>
    </w:p>
    <w:p w14:paraId="10C44AE6" w14:textId="3C48E7C6" w:rsidR="00990903" w:rsidRPr="008E4EB0" w:rsidRDefault="00990903" w:rsidP="007B2931">
      <w:pPr>
        <w:spacing w:after="0" w:line="276" w:lineRule="auto"/>
        <w:ind w:firstLine="426"/>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 xml:space="preserve">Otrās projektu iesniegumu atlases kārtas īstenošanai pieejamais publiskais finansējums ir </w:t>
      </w:r>
      <w:r w:rsidR="00C671AE">
        <w:rPr>
          <w:rFonts w:ascii="Times New Roman" w:eastAsia="Calibri" w:hAnsi="Times New Roman" w:cs="Times New Roman"/>
          <w:sz w:val="24"/>
          <w:szCs w:val="24"/>
        </w:rPr>
        <w:t>32 507 612</w:t>
      </w:r>
      <w:r w:rsidRPr="008E4EB0">
        <w:rPr>
          <w:rFonts w:ascii="Times New Roman" w:eastAsia="Calibri" w:hAnsi="Times New Roman" w:cs="Times New Roman"/>
          <w:sz w:val="24"/>
          <w:szCs w:val="24"/>
        </w:rPr>
        <w:t xml:space="preserve"> </w:t>
      </w:r>
      <w:r w:rsidR="008E4EB0">
        <w:rPr>
          <w:rFonts w:ascii="Times New Roman" w:eastAsia="Calibri" w:hAnsi="Times New Roman" w:cs="Times New Roman"/>
          <w:i/>
          <w:sz w:val="24"/>
          <w:szCs w:val="24"/>
        </w:rPr>
        <w:t>euro</w:t>
      </w:r>
      <w:r w:rsidRPr="008E4EB0">
        <w:rPr>
          <w:rFonts w:ascii="Times New Roman" w:eastAsia="Calibri" w:hAnsi="Times New Roman" w:cs="Times New Roman"/>
          <w:sz w:val="24"/>
          <w:szCs w:val="24"/>
        </w:rPr>
        <w:t xml:space="preserve">, tajā skaitā ERAF  finansējums – </w:t>
      </w:r>
      <w:r w:rsidR="00C671AE">
        <w:rPr>
          <w:rFonts w:ascii="Times New Roman" w:eastAsia="Calibri" w:hAnsi="Times New Roman" w:cs="Times New Roman"/>
          <w:sz w:val="24"/>
          <w:szCs w:val="24"/>
        </w:rPr>
        <w:t>27 631 470</w:t>
      </w:r>
      <w:r w:rsidRPr="008E4EB0">
        <w:rPr>
          <w:rFonts w:ascii="Times New Roman" w:eastAsia="Calibri" w:hAnsi="Times New Roman" w:cs="Times New Roman"/>
          <w:sz w:val="24"/>
          <w:szCs w:val="24"/>
        </w:rPr>
        <w:t xml:space="preserve"> </w:t>
      </w:r>
      <w:r w:rsidR="008E4EB0">
        <w:rPr>
          <w:rFonts w:ascii="Times New Roman" w:eastAsia="Calibri" w:hAnsi="Times New Roman" w:cs="Times New Roman"/>
          <w:i/>
          <w:sz w:val="24"/>
          <w:szCs w:val="24"/>
        </w:rPr>
        <w:t>euro</w:t>
      </w:r>
      <w:r w:rsidRPr="008E4EB0">
        <w:rPr>
          <w:rFonts w:ascii="Times New Roman" w:eastAsia="Calibri" w:hAnsi="Times New Roman" w:cs="Times New Roman"/>
          <w:sz w:val="24"/>
          <w:szCs w:val="24"/>
        </w:rPr>
        <w:t xml:space="preserve"> un valsts budžeta finansējums – </w:t>
      </w:r>
      <w:r w:rsidR="00C671AE">
        <w:rPr>
          <w:rFonts w:ascii="Times New Roman" w:eastAsia="Calibri" w:hAnsi="Times New Roman" w:cs="Times New Roman"/>
          <w:sz w:val="24"/>
          <w:szCs w:val="24"/>
        </w:rPr>
        <w:t>4 876 142</w:t>
      </w:r>
      <w:r w:rsidRPr="008E4EB0">
        <w:rPr>
          <w:rFonts w:ascii="Times New Roman" w:eastAsia="Calibri" w:hAnsi="Times New Roman" w:cs="Times New Roman"/>
          <w:sz w:val="24"/>
          <w:szCs w:val="24"/>
        </w:rPr>
        <w:t xml:space="preserve"> </w:t>
      </w:r>
      <w:r w:rsidR="008E4EB0">
        <w:rPr>
          <w:rFonts w:ascii="Times New Roman" w:eastAsia="Calibri" w:hAnsi="Times New Roman" w:cs="Times New Roman"/>
          <w:i/>
          <w:sz w:val="24"/>
          <w:szCs w:val="24"/>
        </w:rPr>
        <w:t>euro</w:t>
      </w:r>
      <w:r w:rsidRPr="008E4EB0">
        <w:rPr>
          <w:rFonts w:ascii="Times New Roman" w:eastAsia="Calibri" w:hAnsi="Times New Roman" w:cs="Times New Roman"/>
          <w:sz w:val="24"/>
          <w:szCs w:val="24"/>
        </w:rPr>
        <w:t>, kas tiks piešķirts valsts kapitālsabiedrībām, biedrībām un nodibinājumiem.</w:t>
      </w:r>
    </w:p>
    <w:p w14:paraId="557A0BC1" w14:textId="77777777" w:rsidR="00990903" w:rsidRPr="008E4EB0" w:rsidRDefault="00990903" w:rsidP="007B2931">
      <w:pPr>
        <w:spacing w:after="0" w:line="276" w:lineRule="auto"/>
        <w:ind w:firstLine="426"/>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4.2.1.2.pasākuma pirmās projektu iesniegumu atlases kārtas projektu īstenošanas rezultātā 4.2.1.2. pasākuma ietvaros ir jāsasniedz šādi rādītāji:</w:t>
      </w:r>
    </w:p>
    <w:p w14:paraId="1C92A804" w14:textId="77777777" w:rsidR="00990903" w:rsidRPr="008E4EB0" w:rsidRDefault="00990903" w:rsidP="00D9693B">
      <w:pPr>
        <w:numPr>
          <w:ilvl w:val="0"/>
          <w:numId w:val="12"/>
        </w:numPr>
        <w:spacing w:after="0" w:line="276" w:lineRule="auto"/>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siltumenerģijas patēriņš apkurei pēc projekta īstenošanas nepārsniedz 90 kWh/m</w:t>
      </w:r>
      <w:r w:rsidRPr="008E4EB0">
        <w:rPr>
          <w:rFonts w:ascii="Times New Roman" w:eastAsia="Calibri" w:hAnsi="Times New Roman" w:cs="Times New Roman"/>
          <w:sz w:val="24"/>
          <w:szCs w:val="24"/>
          <w:vertAlign w:val="superscript"/>
        </w:rPr>
        <w:t>2</w:t>
      </w:r>
      <w:r w:rsidRPr="008E4EB0">
        <w:rPr>
          <w:rFonts w:ascii="Times New Roman" w:eastAsia="Calibri" w:hAnsi="Times New Roman" w:cs="Times New Roman"/>
          <w:sz w:val="24"/>
          <w:szCs w:val="24"/>
        </w:rPr>
        <w:t xml:space="preserve"> gadā;</w:t>
      </w:r>
    </w:p>
    <w:p w14:paraId="6C581578" w14:textId="1D35B1FF" w:rsidR="00D82FCF" w:rsidRPr="00D82FCF" w:rsidRDefault="00D82FCF" w:rsidP="00D82FCF">
      <w:pPr>
        <w:numPr>
          <w:ilvl w:val="0"/>
          <w:numId w:val="12"/>
        </w:numPr>
        <w:spacing w:after="0" w:line="276" w:lineRule="auto"/>
        <w:jc w:val="both"/>
        <w:rPr>
          <w:rFonts w:ascii="Times New Roman" w:eastAsia="Calibri" w:hAnsi="Times New Roman" w:cs="Times New Roman"/>
          <w:sz w:val="24"/>
          <w:szCs w:val="24"/>
        </w:rPr>
      </w:pPr>
      <w:r w:rsidRPr="00D82FCF">
        <w:rPr>
          <w:rFonts w:ascii="Times New Roman" w:eastAsia="Calibri" w:hAnsi="Times New Roman" w:cs="Times New Roman"/>
          <w:sz w:val="24"/>
          <w:szCs w:val="24"/>
        </w:rPr>
        <w:t>primārās enerģijas gada patēriņa samazinājums sabiedriskajās ēkās 36 347 000 kwh/gadā;</w:t>
      </w:r>
    </w:p>
    <w:p w14:paraId="0A3C86BC" w14:textId="77777777" w:rsidR="00D82FCF" w:rsidRPr="00D82FCF" w:rsidRDefault="00D82FCF" w:rsidP="00D82FCF">
      <w:pPr>
        <w:numPr>
          <w:ilvl w:val="0"/>
          <w:numId w:val="12"/>
        </w:numPr>
        <w:spacing w:after="0" w:line="276" w:lineRule="auto"/>
        <w:jc w:val="both"/>
        <w:rPr>
          <w:rFonts w:ascii="Times New Roman" w:eastAsia="Calibri" w:hAnsi="Times New Roman" w:cs="Times New Roman"/>
          <w:sz w:val="24"/>
          <w:szCs w:val="24"/>
        </w:rPr>
      </w:pPr>
      <w:r w:rsidRPr="00D82FCF">
        <w:rPr>
          <w:rFonts w:ascii="Times New Roman" w:eastAsia="Calibri" w:hAnsi="Times New Roman" w:cs="Times New Roman"/>
          <w:sz w:val="24"/>
          <w:szCs w:val="24"/>
        </w:rPr>
        <w:t>no atjaunojamiem energoresursiem ražotā papildjauda 4,8 MW;</w:t>
      </w:r>
    </w:p>
    <w:p w14:paraId="7888DCF4" w14:textId="7962EAA9" w:rsidR="00990903" w:rsidRPr="008E4EB0" w:rsidRDefault="00D82FCF" w:rsidP="00D82FCF">
      <w:pPr>
        <w:numPr>
          <w:ilvl w:val="0"/>
          <w:numId w:val="12"/>
        </w:numPr>
        <w:spacing w:after="0" w:line="276" w:lineRule="auto"/>
        <w:jc w:val="both"/>
        <w:rPr>
          <w:rFonts w:ascii="Times New Roman" w:eastAsia="Calibri" w:hAnsi="Times New Roman" w:cs="Times New Roman"/>
          <w:sz w:val="24"/>
          <w:szCs w:val="24"/>
        </w:rPr>
      </w:pPr>
      <w:r w:rsidRPr="00D82FCF">
        <w:rPr>
          <w:rFonts w:ascii="Times New Roman" w:eastAsia="Calibri" w:hAnsi="Times New Roman" w:cs="Times New Roman"/>
          <w:sz w:val="24"/>
          <w:szCs w:val="24"/>
        </w:rPr>
        <w:t>aprēķinātais siltumnīcefekta gāzu samazinājums 22 039 CO</w:t>
      </w:r>
      <w:r w:rsidRPr="00DD1140">
        <w:rPr>
          <w:rFonts w:ascii="Times New Roman" w:eastAsia="Calibri" w:hAnsi="Times New Roman" w:cs="Times New Roman"/>
          <w:sz w:val="24"/>
          <w:szCs w:val="24"/>
          <w:vertAlign w:val="subscript"/>
        </w:rPr>
        <w:t>2</w:t>
      </w:r>
      <w:r w:rsidRPr="00D82FCF">
        <w:rPr>
          <w:rFonts w:ascii="Times New Roman" w:eastAsia="Calibri" w:hAnsi="Times New Roman" w:cs="Times New Roman"/>
          <w:sz w:val="24"/>
          <w:szCs w:val="24"/>
        </w:rPr>
        <w:t xml:space="preserve"> ekvivalenta tonnas</w:t>
      </w:r>
      <w:r w:rsidR="00990903" w:rsidRPr="008E4EB0">
        <w:rPr>
          <w:rFonts w:ascii="Times New Roman" w:eastAsia="Calibri" w:hAnsi="Times New Roman" w:cs="Times New Roman"/>
          <w:sz w:val="24"/>
          <w:szCs w:val="24"/>
        </w:rPr>
        <w:t>.</w:t>
      </w:r>
    </w:p>
    <w:p w14:paraId="35917401" w14:textId="77777777" w:rsidR="00990903" w:rsidRPr="008E4EB0" w:rsidRDefault="00990903" w:rsidP="007B2931">
      <w:pPr>
        <w:spacing w:after="0" w:line="276" w:lineRule="auto"/>
        <w:ind w:firstLine="426"/>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lastRenderedPageBreak/>
        <w:t>4.2.1.2. pasākuma pirmās projektu iesniegumu atlases kārtas ietvaros projektu iesniedzēji ir:</w:t>
      </w:r>
    </w:p>
    <w:p w14:paraId="281C0B7A" w14:textId="77777777" w:rsidR="00990903" w:rsidRPr="008E4EB0" w:rsidRDefault="00990903" w:rsidP="00D9693B">
      <w:pPr>
        <w:numPr>
          <w:ilvl w:val="0"/>
          <w:numId w:val="10"/>
        </w:numPr>
        <w:spacing w:after="0" w:line="276" w:lineRule="auto"/>
        <w:ind w:left="1276" w:hanging="425"/>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tiešās valsts pārvaldes iestāde;</w:t>
      </w:r>
    </w:p>
    <w:p w14:paraId="56F11B3D" w14:textId="77777777" w:rsidR="00990903" w:rsidRPr="008E4EB0" w:rsidRDefault="00990903" w:rsidP="00D9693B">
      <w:pPr>
        <w:numPr>
          <w:ilvl w:val="0"/>
          <w:numId w:val="9"/>
        </w:numPr>
        <w:spacing w:after="0" w:line="276" w:lineRule="auto"/>
        <w:ind w:left="1276" w:hanging="425"/>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tiešās valsts pārvaldes iestādes padotības iestāde;</w:t>
      </w:r>
    </w:p>
    <w:p w14:paraId="7AAEDDC8" w14:textId="77777777" w:rsidR="00990903" w:rsidRPr="008E4EB0" w:rsidRDefault="00990903" w:rsidP="00D9693B">
      <w:pPr>
        <w:numPr>
          <w:ilvl w:val="0"/>
          <w:numId w:val="9"/>
        </w:numPr>
        <w:spacing w:after="0" w:line="276" w:lineRule="auto"/>
        <w:ind w:left="1276" w:hanging="425"/>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valsts augstskola, valsts zinātniskais institūts – atvasināta publiska persona un zinātniskais institūts – atvasināta publiska persona, kas ir valsts dibinātas universitātes pārraudzībā;</w:t>
      </w:r>
    </w:p>
    <w:p w14:paraId="217F2DB4" w14:textId="77777777" w:rsidR="00990903" w:rsidRPr="008E4EB0" w:rsidRDefault="00990903" w:rsidP="00D9693B">
      <w:pPr>
        <w:numPr>
          <w:ilvl w:val="0"/>
          <w:numId w:val="9"/>
        </w:numPr>
        <w:spacing w:after="0" w:line="276" w:lineRule="auto"/>
        <w:ind w:left="1276" w:hanging="425"/>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valsts kapitālsabiedrība, kura saskaņā ar normatīvajos aktos noteikto deleģējumu pārvalda un apsaimnieko valsts nekustamos īpašumus:</w:t>
      </w:r>
    </w:p>
    <w:p w14:paraId="27092989" w14:textId="77777777" w:rsidR="00990903" w:rsidRPr="008E4EB0" w:rsidRDefault="00990903" w:rsidP="00D9693B">
      <w:pPr>
        <w:numPr>
          <w:ilvl w:val="2"/>
          <w:numId w:val="9"/>
        </w:numPr>
        <w:spacing w:after="0" w:line="276" w:lineRule="auto"/>
        <w:ind w:left="2127" w:hanging="284"/>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VAS "Valsts nekustamie īpašumi";</w:t>
      </w:r>
    </w:p>
    <w:p w14:paraId="258B29C3" w14:textId="77777777" w:rsidR="00990903" w:rsidRPr="008E4EB0" w:rsidRDefault="00990903" w:rsidP="00D9693B">
      <w:pPr>
        <w:numPr>
          <w:ilvl w:val="2"/>
          <w:numId w:val="9"/>
        </w:numPr>
        <w:spacing w:after="0" w:line="276" w:lineRule="auto"/>
        <w:ind w:left="2127" w:hanging="284"/>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VAS "Tiesu namu aģentūra";</w:t>
      </w:r>
    </w:p>
    <w:p w14:paraId="66CDF222" w14:textId="77777777" w:rsidR="00990903" w:rsidRPr="008E4EB0" w:rsidRDefault="00990903" w:rsidP="00D9693B">
      <w:pPr>
        <w:numPr>
          <w:ilvl w:val="2"/>
          <w:numId w:val="9"/>
        </w:numPr>
        <w:spacing w:after="0" w:line="276" w:lineRule="auto"/>
        <w:ind w:left="2127" w:hanging="284"/>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VSIA "Šampētera nams";</w:t>
      </w:r>
    </w:p>
    <w:p w14:paraId="05CEE975" w14:textId="77777777" w:rsidR="00990903" w:rsidRPr="008E4EB0" w:rsidRDefault="00990903" w:rsidP="00D9693B">
      <w:pPr>
        <w:numPr>
          <w:ilvl w:val="2"/>
          <w:numId w:val="9"/>
        </w:numPr>
        <w:spacing w:after="0" w:line="276" w:lineRule="auto"/>
        <w:ind w:left="2127" w:hanging="284"/>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VSIA "Zemkopības ministrijas nekustamie īpašumi".</w:t>
      </w:r>
    </w:p>
    <w:p w14:paraId="6DDEDE94" w14:textId="77777777" w:rsidR="00990903" w:rsidRPr="008E4EB0" w:rsidRDefault="00990903" w:rsidP="007B2931">
      <w:pPr>
        <w:spacing w:after="0" w:line="276" w:lineRule="auto"/>
        <w:ind w:firstLine="720"/>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4.2.1.2. pasākuma pirmās projektu iesniegumu atlases kārtā atbalstāmās darbības:</w:t>
      </w:r>
    </w:p>
    <w:p w14:paraId="1A0DD2FF" w14:textId="77777777" w:rsidR="00990903" w:rsidRPr="008E4EB0" w:rsidRDefault="00990903" w:rsidP="00D9693B">
      <w:pPr>
        <w:numPr>
          <w:ilvl w:val="0"/>
          <w:numId w:val="11"/>
        </w:numPr>
        <w:spacing w:after="0" w:line="276" w:lineRule="auto"/>
        <w:ind w:left="1276" w:hanging="425"/>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ēkas energoefektivitātes paaugstināšana:</w:t>
      </w:r>
    </w:p>
    <w:p w14:paraId="1F644499" w14:textId="77777777" w:rsidR="00990903" w:rsidRPr="008E4EB0" w:rsidRDefault="00990903" w:rsidP="00D9693B">
      <w:pPr>
        <w:numPr>
          <w:ilvl w:val="2"/>
          <w:numId w:val="11"/>
        </w:numPr>
        <w:spacing w:after="0" w:line="276" w:lineRule="auto"/>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būvdarbu veikšana ēku norobežojošajās konstrukcijās;</w:t>
      </w:r>
    </w:p>
    <w:p w14:paraId="64A871C1" w14:textId="77777777" w:rsidR="00990903" w:rsidRPr="008E4EB0" w:rsidRDefault="00990903" w:rsidP="00D9693B">
      <w:pPr>
        <w:numPr>
          <w:ilvl w:val="2"/>
          <w:numId w:val="11"/>
        </w:numPr>
        <w:spacing w:after="0" w:line="276" w:lineRule="auto"/>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ēku inženiertehnisko sistēmu atjaunošana, pārbūve vai izveide;</w:t>
      </w:r>
    </w:p>
    <w:p w14:paraId="2D20E097" w14:textId="77777777" w:rsidR="00990903" w:rsidRPr="008E4EB0" w:rsidRDefault="00990903" w:rsidP="00D9693B">
      <w:pPr>
        <w:numPr>
          <w:ilvl w:val="2"/>
          <w:numId w:val="11"/>
        </w:numPr>
        <w:spacing w:after="0" w:line="276" w:lineRule="auto"/>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atjaunojamos energoresursus izmantojošu siltumenerģijas ražošanas avotu iegāde un uzstādīšana;</w:t>
      </w:r>
    </w:p>
    <w:p w14:paraId="6154D4C6" w14:textId="77777777" w:rsidR="00990903" w:rsidRPr="008E4EB0" w:rsidRDefault="00990903" w:rsidP="00D9693B">
      <w:pPr>
        <w:numPr>
          <w:ilvl w:val="2"/>
          <w:numId w:val="11"/>
        </w:numPr>
        <w:spacing w:after="0" w:line="276" w:lineRule="auto"/>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ēku automatizētās vadības un kontroles sistēmu iegāde un uzstādīšana.</w:t>
      </w:r>
    </w:p>
    <w:p w14:paraId="0E739A8E" w14:textId="77777777" w:rsidR="00990903" w:rsidRPr="008E4EB0" w:rsidRDefault="00990903" w:rsidP="00D9693B">
      <w:pPr>
        <w:numPr>
          <w:ilvl w:val="0"/>
          <w:numId w:val="11"/>
        </w:numPr>
        <w:spacing w:after="0" w:line="276" w:lineRule="auto"/>
        <w:ind w:left="1276" w:hanging="425"/>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projekta tehniskās dokumentācijas sagatavošana;</w:t>
      </w:r>
    </w:p>
    <w:p w14:paraId="03FCFF46" w14:textId="77777777" w:rsidR="00990903" w:rsidRPr="008E4EB0" w:rsidRDefault="00990903" w:rsidP="00D9693B">
      <w:pPr>
        <w:numPr>
          <w:ilvl w:val="0"/>
          <w:numId w:val="11"/>
        </w:numPr>
        <w:spacing w:after="0" w:line="276" w:lineRule="auto"/>
        <w:ind w:left="1276" w:hanging="425"/>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ēkas restaurācijas un iekšējās apdares darbi;</w:t>
      </w:r>
    </w:p>
    <w:p w14:paraId="1BD9D110" w14:textId="77777777" w:rsidR="00990903" w:rsidRPr="008E4EB0" w:rsidRDefault="00990903" w:rsidP="00D9693B">
      <w:pPr>
        <w:numPr>
          <w:ilvl w:val="0"/>
          <w:numId w:val="11"/>
        </w:numPr>
        <w:spacing w:after="0" w:line="276" w:lineRule="auto"/>
        <w:ind w:left="1276" w:hanging="425"/>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projekta vadības un uzraudzības nodrošināšana;</w:t>
      </w:r>
    </w:p>
    <w:p w14:paraId="0E3601DF" w14:textId="3D42D440" w:rsidR="00990903" w:rsidRDefault="00990903" w:rsidP="00D9693B">
      <w:pPr>
        <w:numPr>
          <w:ilvl w:val="0"/>
          <w:numId w:val="11"/>
        </w:numPr>
        <w:spacing w:after="0" w:line="276" w:lineRule="auto"/>
        <w:ind w:left="1276" w:hanging="425"/>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publicitātes pasākumi par projekta īstenošanu.</w:t>
      </w:r>
    </w:p>
    <w:p w14:paraId="47D56CFF" w14:textId="77777777" w:rsidR="00595E1A" w:rsidRPr="008E4EB0" w:rsidRDefault="00595E1A" w:rsidP="00A577FB">
      <w:pPr>
        <w:spacing w:after="0" w:line="276" w:lineRule="auto"/>
        <w:jc w:val="both"/>
        <w:rPr>
          <w:rFonts w:ascii="Times New Roman" w:eastAsia="Calibri" w:hAnsi="Times New Roman" w:cs="Times New Roman"/>
          <w:sz w:val="24"/>
          <w:szCs w:val="24"/>
        </w:rPr>
      </w:pPr>
    </w:p>
    <w:p w14:paraId="48F27E2F" w14:textId="77777777" w:rsidR="00990903" w:rsidRPr="008E4EB0" w:rsidRDefault="00990903" w:rsidP="007B2931">
      <w:pPr>
        <w:spacing w:after="0" w:line="276" w:lineRule="auto"/>
        <w:jc w:val="both"/>
        <w:rPr>
          <w:rFonts w:ascii="Times New Roman" w:eastAsia="Calibri" w:hAnsi="Times New Roman" w:cs="Times New Roman"/>
          <w:bCs/>
          <w:sz w:val="24"/>
          <w:szCs w:val="24"/>
          <w:u w:val="single"/>
        </w:rPr>
      </w:pPr>
      <w:r w:rsidRPr="008E4EB0">
        <w:rPr>
          <w:rFonts w:ascii="Times New Roman" w:eastAsia="Calibri" w:hAnsi="Times New Roman" w:cs="Times New Roman"/>
          <w:bCs/>
          <w:sz w:val="24"/>
          <w:szCs w:val="24"/>
          <w:u w:val="single"/>
        </w:rPr>
        <w:t>4.2.2. specifiskais atbalsta mērķis “</w:t>
      </w:r>
      <w:r w:rsidRPr="008E4EB0">
        <w:rPr>
          <w:rFonts w:ascii="Times New Roman" w:eastAsia="Calibri" w:hAnsi="Times New Roman" w:cs="Times New Roman"/>
          <w:bCs/>
          <w:iCs/>
          <w:sz w:val="24"/>
          <w:szCs w:val="24"/>
          <w:u w:val="single"/>
        </w:rPr>
        <w:t>Atbilstoši pašvaldības integrētajām attīstības programmām sekmēt energoefektivitātes paaugstināšanu un atjaunojamo energoresursu izmantošanu pašvaldību ēkās</w:t>
      </w:r>
      <w:r w:rsidRPr="008E4EB0">
        <w:rPr>
          <w:rFonts w:ascii="Times New Roman" w:eastAsia="Calibri" w:hAnsi="Times New Roman" w:cs="Times New Roman"/>
          <w:bCs/>
          <w:sz w:val="24"/>
          <w:szCs w:val="24"/>
          <w:u w:val="single"/>
        </w:rPr>
        <w:t>”</w:t>
      </w:r>
    </w:p>
    <w:p w14:paraId="19DFB76E" w14:textId="77777777" w:rsidR="00990903" w:rsidRPr="008E4EB0" w:rsidRDefault="00990903" w:rsidP="007B2931">
      <w:pPr>
        <w:spacing w:after="0" w:line="276" w:lineRule="auto"/>
        <w:jc w:val="both"/>
        <w:rPr>
          <w:rFonts w:ascii="Times New Roman" w:eastAsia="Calibri" w:hAnsi="Times New Roman" w:cs="Times New Roman"/>
          <w:bCs/>
          <w:sz w:val="24"/>
          <w:szCs w:val="24"/>
          <w:u w:val="single"/>
        </w:rPr>
      </w:pPr>
    </w:p>
    <w:p w14:paraId="368CAF15" w14:textId="6B4204D5" w:rsidR="00990903" w:rsidRPr="008E4EB0" w:rsidRDefault="00990903" w:rsidP="00733665">
      <w:pPr>
        <w:keepNext/>
        <w:spacing w:after="0" w:line="276" w:lineRule="auto"/>
        <w:ind w:firstLine="709"/>
        <w:jc w:val="both"/>
        <w:rPr>
          <w:rFonts w:ascii="Times New Roman" w:eastAsia="Calibri" w:hAnsi="Times New Roman" w:cs="Times New Roman"/>
          <w:sz w:val="24"/>
          <w:szCs w:val="24"/>
          <w:lang w:eastAsia="lv-LV"/>
        </w:rPr>
      </w:pPr>
      <w:r w:rsidRPr="008E4EB0">
        <w:rPr>
          <w:rFonts w:ascii="Times New Roman" w:eastAsia="Calibri" w:hAnsi="Times New Roman" w:cs="Times New Roman"/>
          <w:sz w:val="24"/>
          <w:szCs w:val="24"/>
        </w:rPr>
        <w:t xml:space="preserve">VARAM administrē 2014.-2020.gada ES fondu plānošanas perioda </w:t>
      </w:r>
      <w:r w:rsidRPr="008E4EB0">
        <w:rPr>
          <w:rFonts w:ascii="Times New Roman" w:eastAsia="Calibri" w:hAnsi="Times New Roman" w:cs="Times New Roman"/>
          <w:bCs/>
          <w:sz w:val="24"/>
          <w:szCs w:val="24"/>
        </w:rPr>
        <w:t>4.2.2. specifisko atbalsta mērķi “</w:t>
      </w:r>
      <w:r w:rsidRPr="008E4EB0">
        <w:rPr>
          <w:rFonts w:ascii="Times New Roman" w:eastAsia="Calibri" w:hAnsi="Times New Roman" w:cs="Times New Roman"/>
          <w:bCs/>
          <w:iCs/>
          <w:sz w:val="24"/>
          <w:szCs w:val="24"/>
        </w:rPr>
        <w:t>Atbilstoši pašvaldības integrētajām attīstības programmām sekmēt energoefektivitātes paaugstināšanu un atjaunojamo energoresursu izmantošanu pašvaldību ēkās</w:t>
      </w:r>
      <w:r w:rsidRPr="008E4EB0">
        <w:rPr>
          <w:rFonts w:ascii="Times New Roman" w:eastAsia="Calibri" w:hAnsi="Times New Roman" w:cs="Times New Roman"/>
          <w:bCs/>
          <w:sz w:val="24"/>
          <w:szCs w:val="24"/>
        </w:rPr>
        <w:t>”</w:t>
      </w:r>
      <w:r w:rsidRPr="008E4EB0">
        <w:rPr>
          <w:rFonts w:ascii="Times New Roman" w:eastAsia="Calibri" w:hAnsi="Times New Roman" w:cs="Times New Roman"/>
          <w:sz w:val="24"/>
          <w:szCs w:val="24"/>
        </w:rPr>
        <w:t xml:space="preserve"> (turpmāk – 4.2.2. SAM). 4.2.2. SAM mērķis ir samazināt primārās enerģijas patēriņu, sekmējot energoefektivitātes paaugstināšanu un pašvaldību izdevumu samazināšanos par siltumapgādi un veicot ieguldījumus pašvaldību ēkās atbilstoši pašvaldību attīstības programmās noteiktajām prioritātēm. Par 4.2.2. SAM </w:t>
      </w:r>
      <w:r w:rsidR="00B66215" w:rsidRPr="008E4EB0">
        <w:rPr>
          <w:rFonts w:ascii="Times New Roman" w:eastAsia="Calibri" w:hAnsi="Times New Roman" w:cs="Times New Roman"/>
          <w:sz w:val="24"/>
          <w:szCs w:val="24"/>
        </w:rPr>
        <w:t>p</w:t>
      </w:r>
      <w:r w:rsidR="00B66215">
        <w:rPr>
          <w:rFonts w:ascii="Times New Roman" w:eastAsia="Calibri" w:hAnsi="Times New Roman" w:cs="Times New Roman"/>
          <w:sz w:val="24"/>
          <w:szCs w:val="24"/>
        </w:rPr>
        <w:t>lānoto</w:t>
      </w:r>
      <w:r w:rsidR="00B66215" w:rsidRPr="008E4EB0">
        <w:rPr>
          <w:rFonts w:ascii="Times New Roman" w:eastAsia="Calibri" w:hAnsi="Times New Roman" w:cs="Times New Roman"/>
          <w:sz w:val="24"/>
          <w:szCs w:val="24"/>
        </w:rPr>
        <w:t xml:space="preserve"> </w:t>
      </w:r>
      <w:r w:rsidR="00B66215">
        <w:rPr>
          <w:rFonts w:ascii="Times New Roman" w:eastAsia="Calibri" w:hAnsi="Times New Roman" w:cs="Times New Roman"/>
          <w:sz w:val="24"/>
          <w:szCs w:val="24"/>
        </w:rPr>
        <w:t>finansējumu</w:t>
      </w:r>
      <w:r w:rsidR="00B66215" w:rsidRPr="00B66215">
        <w:rPr>
          <w:rFonts w:ascii="Times New Roman" w:eastAsia="Calibri" w:hAnsi="Times New Roman" w:cs="Times New Roman"/>
          <w:sz w:val="24"/>
          <w:szCs w:val="24"/>
        </w:rPr>
        <w:t xml:space="preserve"> 55 289 876 euro</w:t>
      </w:r>
      <w:r w:rsidR="00B66215">
        <w:rPr>
          <w:rFonts w:ascii="Times New Roman" w:eastAsia="Calibri" w:hAnsi="Times New Roman" w:cs="Times New Roman"/>
          <w:sz w:val="24"/>
          <w:szCs w:val="24"/>
        </w:rPr>
        <w:t xml:space="preserve"> apmērā (</w:t>
      </w:r>
      <w:r w:rsidR="00B66215" w:rsidRPr="00B66215">
        <w:rPr>
          <w:rFonts w:ascii="Times New Roman" w:eastAsia="Calibri" w:hAnsi="Times New Roman" w:cs="Times New Roman"/>
          <w:sz w:val="24"/>
          <w:szCs w:val="24"/>
        </w:rPr>
        <w:t xml:space="preserve">tai skaitā ERAF finansējums – 46 996 394 euro (tai skaitā virssaistību finansējums – 15 602 736 euro) un nacionālais finansējums (pašvaldību finansējums, valsts budžeta dotācija pašvaldībām) – vismaz 8 </w:t>
      </w:r>
      <w:r w:rsidR="00B66215" w:rsidRPr="00B66215">
        <w:rPr>
          <w:rFonts w:ascii="Times New Roman" w:eastAsia="Calibri" w:hAnsi="Times New Roman" w:cs="Times New Roman"/>
          <w:sz w:val="24"/>
          <w:szCs w:val="24"/>
        </w:rPr>
        <w:lastRenderedPageBreak/>
        <w:t>293 482 euro</w:t>
      </w:r>
      <w:r w:rsidR="00B66215">
        <w:rPr>
          <w:rFonts w:ascii="Times New Roman" w:eastAsia="Calibri" w:hAnsi="Times New Roman" w:cs="Times New Roman"/>
          <w:sz w:val="24"/>
          <w:szCs w:val="24"/>
        </w:rPr>
        <w:t>)</w:t>
      </w:r>
      <w:r w:rsidRPr="008E4EB0">
        <w:rPr>
          <w:rFonts w:ascii="Times New Roman" w:eastAsia="Calibri" w:hAnsi="Times New Roman" w:cs="Times New Roman"/>
          <w:sz w:val="24"/>
          <w:szCs w:val="24"/>
        </w:rPr>
        <w:t xml:space="preserve"> īstenotajos projektos līdz 2023. gada 31. decembrim plānots sasniegt šādus rādītājus:</w:t>
      </w:r>
    </w:p>
    <w:p w14:paraId="4E259457" w14:textId="77777777" w:rsidR="00990903" w:rsidRPr="00150827" w:rsidRDefault="00990903" w:rsidP="00D9693B">
      <w:pPr>
        <w:pStyle w:val="ListParagraph"/>
        <w:numPr>
          <w:ilvl w:val="0"/>
          <w:numId w:val="37"/>
        </w:numPr>
        <w:spacing w:after="0" w:line="276" w:lineRule="auto"/>
        <w:jc w:val="both"/>
        <w:rPr>
          <w:rFonts w:ascii="Times New Roman" w:eastAsia="Calibri" w:hAnsi="Times New Roman" w:cs="Times New Roman"/>
          <w:sz w:val="24"/>
          <w:szCs w:val="24"/>
        </w:rPr>
      </w:pPr>
      <w:r w:rsidRPr="00150827">
        <w:rPr>
          <w:rFonts w:ascii="Times New Roman" w:eastAsia="Calibri" w:hAnsi="Times New Roman" w:cs="Times New Roman"/>
          <w:sz w:val="24"/>
          <w:szCs w:val="24"/>
        </w:rPr>
        <w:t xml:space="preserve">primārās </w:t>
      </w:r>
      <w:r w:rsidRPr="00150827">
        <w:rPr>
          <w:rFonts w:ascii="Times New Roman" w:eastAsia="Calibri" w:hAnsi="Times New Roman" w:cs="Times New Roman"/>
          <w:bCs/>
          <w:sz w:val="24"/>
          <w:szCs w:val="24"/>
        </w:rPr>
        <w:t>enerģijas</w:t>
      </w:r>
      <w:r w:rsidRPr="00150827">
        <w:rPr>
          <w:rFonts w:ascii="Times New Roman" w:eastAsia="Calibri" w:hAnsi="Times New Roman" w:cs="Times New Roman"/>
          <w:sz w:val="24"/>
          <w:szCs w:val="24"/>
        </w:rPr>
        <w:t xml:space="preserve"> </w:t>
      </w:r>
      <w:r w:rsidRPr="00150827">
        <w:rPr>
          <w:rFonts w:ascii="Times New Roman" w:eastAsia="Calibri" w:hAnsi="Times New Roman" w:cs="Times New Roman"/>
          <w:bCs/>
          <w:sz w:val="24"/>
          <w:szCs w:val="24"/>
        </w:rPr>
        <w:t>patēriņa samazinājums</w:t>
      </w:r>
      <w:r w:rsidRPr="00150827">
        <w:rPr>
          <w:rFonts w:ascii="Times New Roman" w:eastAsia="Calibri" w:hAnsi="Times New Roman" w:cs="Times New Roman"/>
          <w:sz w:val="24"/>
          <w:szCs w:val="24"/>
        </w:rPr>
        <w:t xml:space="preserve"> sabiedriskajās ēkās – vismaz </w:t>
      </w:r>
      <w:r w:rsidRPr="00150827">
        <w:rPr>
          <w:rFonts w:ascii="Times New Roman" w:eastAsia="Calibri" w:hAnsi="Times New Roman" w:cs="Times New Roman"/>
          <w:bCs/>
          <w:sz w:val="24"/>
          <w:szCs w:val="24"/>
        </w:rPr>
        <w:t>20 536 239 kilovatstundas gadā</w:t>
      </w:r>
      <w:r w:rsidRPr="00150827">
        <w:rPr>
          <w:rFonts w:ascii="Times New Roman" w:eastAsia="Calibri" w:hAnsi="Times New Roman" w:cs="Times New Roman"/>
          <w:sz w:val="24"/>
          <w:szCs w:val="24"/>
        </w:rPr>
        <w:t>;</w:t>
      </w:r>
    </w:p>
    <w:p w14:paraId="12B8B409" w14:textId="77777777" w:rsidR="00990903" w:rsidRPr="00150827" w:rsidRDefault="00990903" w:rsidP="00D9693B">
      <w:pPr>
        <w:pStyle w:val="ListParagraph"/>
        <w:numPr>
          <w:ilvl w:val="0"/>
          <w:numId w:val="37"/>
        </w:numPr>
        <w:spacing w:after="0" w:line="276" w:lineRule="auto"/>
        <w:jc w:val="both"/>
        <w:rPr>
          <w:rFonts w:ascii="Times New Roman" w:eastAsia="Calibri" w:hAnsi="Times New Roman" w:cs="Times New Roman"/>
          <w:sz w:val="24"/>
          <w:szCs w:val="24"/>
        </w:rPr>
      </w:pPr>
      <w:r w:rsidRPr="00150827">
        <w:rPr>
          <w:rFonts w:ascii="Times New Roman" w:eastAsia="Calibri" w:hAnsi="Times New Roman" w:cs="Times New Roman"/>
          <w:sz w:val="24"/>
          <w:szCs w:val="24"/>
        </w:rPr>
        <w:t xml:space="preserve">aprēķinātais </w:t>
      </w:r>
      <w:r w:rsidRPr="00150827">
        <w:rPr>
          <w:rFonts w:ascii="Times New Roman" w:eastAsia="Calibri" w:hAnsi="Times New Roman" w:cs="Times New Roman"/>
          <w:bCs/>
          <w:sz w:val="24"/>
          <w:szCs w:val="24"/>
        </w:rPr>
        <w:t>siltumnīcefekta gāzu samazinājums </w:t>
      </w:r>
      <w:r w:rsidRPr="00150827">
        <w:rPr>
          <w:rFonts w:ascii="Times New Roman" w:eastAsia="Calibri" w:hAnsi="Times New Roman" w:cs="Times New Roman"/>
          <w:sz w:val="24"/>
          <w:szCs w:val="24"/>
        </w:rPr>
        <w:t xml:space="preserve">– vismaz </w:t>
      </w:r>
      <w:r w:rsidRPr="00150827">
        <w:rPr>
          <w:rFonts w:ascii="Times New Roman" w:eastAsia="Calibri" w:hAnsi="Times New Roman" w:cs="Times New Roman"/>
          <w:bCs/>
          <w:sz w:val="24"/>
          <w:szCs w:val="24"/>
        </w:rPr>
        <w:t>5 180 ogļskābās gāzes ekvivalenta tonnas gadā</w:t>
      </w:r>
      <w:r w:rsidRPr="00150827">
        <w:rPr>
          <w:rFonts w:ascii="Times New Roman" w:eastAsia="Calibri" w:hAnsi="Times New Roman" w:cs="Times New Roman"/>
          <w:sz w:val="24"/>
          <w:szCs w:val="24"/>
        </w:rPr>
        <w:t>;</w:t>
      </w:r>
    </w:p>
    <w:p w14:paraId="698D8D3D" w14:textId="77777777" w:rsidR="00F54EAD" w:rsidRDefault="00990903" w:rsidP="00D9693B">
      <w:pPr>
        <w:pStyle w:val="ListParagraph"/>
        <w:numPr>
          <w:ilvl w:val="0"/>
          <w:numId w:val="37"/>
        </w:numPr>
        <w:spacing w:after="0" w:line="276" w:lineRule="auto"/>
        <w:jc w:val="both"/>
        <w:rPr>
          <w:rFonts w:ascii="Times New Roman" w:eastAsia="Calibri" w:hAnsi="Times New Roman" w:cs="Times New Roman"/>
          <w:sz w:val="24"/>
          <w:szCs w:val="24"/>
        </w:rPr>
      </w:pPr>
      <w:r w:rsidRPr="00150827">
        <w:rPr>
          <w:rFonts w:ascii="Times New Roman" w:eastAsia="Calibri" w:hAnsi="Times New Roman" w:cs="Times New Roman"/>
          <w:sz w:val="24"/>
          <w:szCs w:val="24"/>
        </w:rPr>
        <w:t xml:space="preserve">no atjaunojamiem energoresursiem ražotā </w:t>
      </w:r>
      <w:r w:rsidRPr="00150827">
        <w:rPr>
          <w:rFonts w:ascii="Times New Roman" w:eastAsia="Calibri" w:hAnsi="Times New Roman" w:cs="Times New Roman"/>
          <w:bCs/>
          <w:sz w:val="24"/>
          <w:szCs w:val="24"/>
        </w:rPr>
        <w:t>papildjauda </w:t>
      </w:r>
      <w:r w:rsidRPr="00150827">
        <w:rPr>
          <w:rFonts w:ascii="Times New Roman" w:eastAsia="Calibri" w:hAnsi="Times New Roman" w:cs="Times New Roman"/>
          <w:sz w:val="24"/>
          <w:szCs w:val="24"/>
        </w:rPr>
        <w:t xml:space="preserve">– vismaz </w:t>
      </w:r>
      <w:r w:rsidRPr="00150827">
        <w:rPr>
          <w:rFonts w:ascii="Times New Roman" w:eastAsia="Calibri" w:hAnsi="Times New Roman" w:cs="Times New Roman"/>
          <w:bCs/>
          <w:sz w:val="24"/>
          <w:szCs w:val="24"/>
        </w:rPr>
        <w:t>1,8 megavati</w:t>
      </w:r>
      <w:r w:rsidR="00F54EAD">
        <w:rPr>
          <w:rFonts w:ascii="Times New Roman" w:eastAsia="Calibri" w:hAnsi="Times New Roman" w:cs="Times New Roman"/>
          <w:sz w:val="24"/>
          <w:szCs w:val="24"/>
        </w:rPr>
        <w:t>;</w:t>
      </w:r>
    </w:p>
    <w:p w14:paraId="52DF7C5C" w14:textId="5EC04F65" w:rsidR="00990903" w:rsidRDefault="00F54EAD" w:rsidP="00F54EAD">
      <w:pPr>
        <w:pStyle w:val="ListParagraph"/>
        <w:numPr>
          <w:ilvl w:val="0"/>
          <w:numId w:val="37"/>
        </w:numPr>
        <w:spacing w:after="0" w:line="276" w:lineRule="auto"/>
        <w:jc w:val="both"/>
        <w:rPr>
          <w:rFonts w:ascii="Times New Roman" w:eastAsia="Calibri" w:hAnsi="Times New Roman" w:cs="Times New Roman"/>
          <w:sz w:val="24"/>
          <w:szCs w:val="24"/>
        </w:rPr>
      </w:pPr>
      <w:r w:rsidRPr="00F54EAD">
        <w:rPr>
          <w:rFonts w:ascii="Times New Roman" w:eastAsia="Calibri" w:hAnsi="Times New Roman" w:cs="Times New Roman"/>
          <w:sz w:val="24"/>
          <w:szCs w:val="24"/>
        </w:rPr>
        <w:t>vidējais siltumenerģijas patēriņš apkurei – ne vairāk kā 120 kilovatstundas uz kvadrātmetru gadā</w:t>
      </w:r>
      <w:r>
        <w:rPr>
          <w:rFonts w:ascii="Times New Roman" w:eastAsia="Calibri" w:hAnsi="Times New Roman" w:cs="Times New Roman"/>
          <w:sz w:val="24"/>
          <w:szCs w:val="24"/>
        </w:rPr>
        <w:t>.</w:t>
      </w:r>
    </w:p>
    <w:p w14:paraId="4D658069" w14:textId="77777777" w:rsidR="00FC1321" w:rsidRPr="00150827" w:rsidRDefault="00FC1321" w:rsidP="00BF58E9">
      <w:pPr>
        <w:pStyle w:val="ListParagraph"/>
        <w:spacing w:after="0" w:line="276" w:lineRule="auto"/>
        <w:ind w:left="1004"/>
        <w:jc w:val="both"/>
        <w:rPr>
          <w:rFonts w:ascii="Times New Roman" w:eastAsia="Calibri" w:hAnsi="Times New Roman" w:cs="Times New Roman"/>
          <w:sz w:val="24"/>
          <w:szCs w:val="24"/>
        </w:rPr>
      </w:pPr>
    </w:p>
    <w:p w14:paraId="654136C2" w14:textId="77777777" w:rsidR="00990903" w:rsidRPr="008E4EB0" w:rsidRDefault="00990903" w:rsidP="000F5D22">
      <w:pPr>
        <w:pStyle w:val="apakapakvirsraksts"/>
      </w:pPr>
      <w:bookmarkStart w:id="85" w:name="_Toc482016790"/>
      <w:bookmarkStart w:id="86" w:name="_Toc482016791"/>
      <w:bookmarkStart w:id="87" w:name="_Toc491870919"/>
      <w:bookmarkEnd w:id="85"/>
      <w:bookmarkEnd w:id="86"/>
      <w:r w:rsidRPr="008E4EB0">
        <w:t>Eiropas Savienības fondu izmantošanas apkopojums</w:t>
      </w:r>
      <w:bookmarkEnd w:id="87"/>
    </w:p>
    <w:p w14:paraId="1842D31C" w14:textId="77777777" w:rsidR="00990903" w:rsidRPr="008E4EB0" w:rsidRDefault="00990903" w:rsidP="0067305F">
      <w:pPr>
        <w:keepNext/>
        <w:spacing w:after="0" w:line="276" w:lineRule="auto"/>
        <w:jc w:val="both"/>
        <w:rPr>
          <w:rFonts w:ascii="Times New Roman" w:eastAsia="Calibri" w:hAnsi="Times New Roman" w:cs="Times New Roman"/>
          <w:i/>
          <w:sz w:val="24"/>
          <w:szCs w:val="24"/>
        </w:rPr>
      </w:pPr>
    </w:p>
    <w:p w14:paraId="59727D6E" w14:textId="2477FD0D" w:rsidR="00990903" w:rsidRPr="008E4EB0" w:rsidRDefault="00F749EA" w:rsidP="0067305F">
      <w:pPr>
        <w:keepNext/>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r w:rsidR="00990903" w:rsidRPr="008E4EB0">
        <w:rPr>
          <w:rFonts w:ascii="Times New Roman" w:eastAsia="Calibri" w:hAnsi="Times New Roman" w:cs="Times New Roman"/>
          <w:sz w:val="24"/>
          <w:szCs w:val="24"/>
        </w:rPr>
        <w:t>.tabula “Ēku sektorā īstenotie un plānotie projektu iesniegumu konkursi energoefektivitātes pasākumu īstenošanai”</w:t>
      </w:r>
    </w:p>
    <w:tbl>
      <w:tblPr>
        <w:tblStyle w:val="TableGrid"/>
        <w:tblW w:w="10490" w:type="dxa"/>
        <w:tblInd w:w="-856" w:type="dxa"/>
        <w:tblLayout w:type="fixed"/>
        <w:tblCellMar>
          <w:left w:w="28" w:type="dxa"/>
          <w:right w:w="28" w:type="dxa"/>
        </w:tblCellMar>
        <w:tblLook w:val="04A0" w:firstRow="1" w:lastRow="0" w:firstColumn="1" w:lastColumn="0" w:noHBand="0" w:noVBand="1"/>
      </w:tblPr>
      <w:tblGrid>
        <w:gridCol w:w="2269"/>
        <w:gridCol w:w="1701"/>
        <w:gridCol w:w="1701"/>
        <w:gridCol w:w="3544"/>
        <w:gridCol w:w="1275"/>
      </w:tblGrid>
      <w:tr w:rsidR="00281A85" w:rsidRPr="008E4EB0" w14:paraId="5C7C0615" w14:textId="77777777" w:rsidTr="00733665">
        <w:tc>
          <w:tcPr>
            <w:tcW w:w="2269" w:type="dxa"/>
            <w:vAlign w:val="center"/>
          </w:tcPr>
          <w:p w14:paraId="649F8729" w14:textId="78288322" w:rsidR="00281A85" w:rsidRPr="008E4EB0" w:rsidRDefault="00281A85" w:rsidP="007B2931">
            <w:pPr>
              <w:spacing w:line="276" w:lineRule="auto"/>
              <w:jc w:val="center"/>
              <w:rPr>
                <w:rFonts w:ascii="Times New Roman" w:eastAsia="Calibri" w:hAnsi="Times New Roman" w:cs="Times New Roman"/>
                <w:i/>
                <w:sz w:val="24"/>
                <w:szCs w:val="24"/>
              </w:rPr>
            </w:pPr>
            <w:r w:rsidRPr="008E4EB0">
              <w:rPr>
                <w:rFonts w:ascii="Times New Roman" w:eastAsia="Times New Roman" w:hAnsi="Times New Roman" w:cs="Times New Roman"/>
                <w:sz w:val="24"/>
                <w:szCs w:val="24"/>
                <w:lang w:eastAsia="de-DE"/>
              </w:rPr>
              <w:t>Projektu iesniegumu konkursa nosaukums</w:t>
            </w:r>
          </w:p>
        </w:tc>
        <w:tc>
          <w:tcPr>
            <w:tcW w:w="1701" w:type="dxa"/>
            <w:vAlign w:val="center"/>
          </w:tcPr>
          <w:p w14:paraId="5711113A" w14:textId="453BA7D6" w:rsidR="00281A85" w:rsidRPr="008E4EB0" w:rsidRDefault="00281A85" w:rsidP="007B2931">
            <w:pPr>
              <w:spacing w:line="276" w:lineRule="auto"/>
              <w:jc w:val="center"/>
              <w:rPr>
                <w:rFonts w:ascii="Times New Roman" w:eastAsia="Calibri" w:hAnsi="Times New Roman" w:cs="Times New Roman"/>
                <w:i/>
                <w:sz w:val="24"/>
                <w:szCs w:val="24"/>
              </w:rPr>
            </w:pPr>
            <w:r w:rsidRPr="008E4EB0">
              <w:rPr>
                <w:rFonts w:ascii="Times New Roman" w:eastAsia="Times New Roman" w:hAnsi="Times New Roman" w:cs="Times New Roman"/>
                <w:sz w:val="24"/>
                <w:szCs w:val="24"/>
                <w:lang w:eastAsia="de-DE"/>
              </w:rPr>
              <w:t>Mērķauditorija</w:t>
            </w:r>
          </w:p>
        </w:tc>
        <w:tc>
          <w:tcPr>
            <w:tcW w:w="1701" w:type="dxa"/>
            <w:vAlign w:val="center"/>
          </w:tcPr>
          <w:p w14:paraId="44CEB609" w14:textId="1CA29995" w:rsidR="00281A85" w:rsidRPr="008E4EB0" w:rsidRDefault="00281A85" w:rsidP="007B2931">
            <w:pPr>
              <w:spacing w:line="276" w:lineRule="auto"/>
              <w:jc w:val="center"/>
              <w:rPr>
                <w:rFonts w:ascii="Times New Roman" w:eastAsia="Calibri" w:hAnsi="Times New Roman" w:cs="Times New Roman"/>
                <w:i/>
                <w:sz w:val="24"/>
                <w:szCs w:val="24"/>
              </w:rPr>
            </w:pPr>
            <w:r w:rsidRPr="008E4EB0">
              <w:rPr>
                <w:rFonts w:ascii="Times New Roman" w:eastAsia="Times New Roman" w:hAnsi="Times New Roman" w:cs="Times New Roman"/>
                <w:sz w:val="24"/>
                <w:szCs w:val="24"/>
                <w:lang w:eastAsia="de-DE"/>
              </w:rPr>
              <w:t>Projektu īstenošanas termiņš</w:t>
            </w:r>
          </w:p>
        </w:tc>
        <w:tc>
          <w:tcPr>
            <w:tcW w:w="3544" w:type="dxa"/>
            <w:vAlign w:val="center"/>
          </w:tcPr>
          <w:p w14:paraId="492A5A8D" w14:textId="24EA9EA1" w:rsidR="00281A85" w:rsidRPr="008E4EB0" w:rsidRDefault="00281A85" w:rsidP="007B2931">
            <w:pPr>
              <w:spacing w:line="276" w:lineRule="auto"/>
              <w:jc w:val="center"/>
              <w:rPr>
                <w:rFonts w:ascii="Times New Roman" w:eastAsia="Calibri" w:hAnsi="Times New Roman" w:cs="Times New Roman"/>
                <w:i/>
                <w:sz w:val="24"/>
                <w:szCs w:val="24"/>
              </w:rPr>
            </w:pPr>
            <w:r w:rsidRPr="008E4EB0">
              <w:rPr>
                <w:rFonts w:ascii="Times New Roman" w:eastAsia="Times New Roman" w:hAnsi="Times New Roman" w:cs="Times New Roman"/>
                <w:sz w:val="24"/>
                <w:szCs w:val="24"/>
                <w:lang w:eastAsia="de-DE"/>
              </w:rPr>
              <w:t>Sasniedzamie rādītāji</w:t>
            </w:r>
          </w:p>
        </w:tc>
        <w:tc>
          <w:tcPr>
            <w:tcW w:w="1275" w:type="dxa"/>
            <w:vAlign w:val="center"/>
          </w:tcPr>
          <w:p w14:paraId="78E0A08C" w14:textId="2922A5F8" w:rsidR="00281A85" w:rsidRPr="008E4EB0" w:rsidRDefault="00733665" w:rsidP="007B2931">
            <w:pPr>
              <w:spacing w:line="276" w:lineRule="auto"/>
              <w:jc w:val="center"/>
              <w:rPr>
                <w:rFonts w:ascii="Times New Roman" w:eastAsia="Calibri" w:hAnsi="Times New Roman" w:cs="Times New Roman"/>
                <w:i/>
                <w:sz w:val="24"/>
                <w:szCs w:val="24"/>
              </w:rPr>
            </w:pPr>
            <w:r>
              <w:rPr>
                <w:rFonts w:ascii="Times New Roman" w:eastAsia="Times New Roman" w:hAnsi="Times New Roman" w:cs="Times New Roman"/>
                <w:sz w:val="24"/>
                <w:szCs w:val="24"/>
                <w:lang w:eastAsia="de-DE"/>
              </w:rPr>
              <w:t xml:space="preserve">Pieejamais ES fondu </w:t>
            </w:r>
            <w:r w:rsidRPr="00733665">
              <w:rPr>
                <w:rFonts w:ascii="Times New Roman" w:eastAsia="Times New Roman" w:hAnsi="Times New Roman" w:cs="Times New Roman"/>
                <w:spacing w:val="-6"/>
                <w:sz w:val="24"/>
                <w:szCs w:val="24"/>
                <w:lang w:eastAsia="de-DE"/>
              </w:rPr>
              <w:t>finansējums</w:t>
            </w:r>
            <w:r w:rsidR="00281A85" w:rsidRPr="008E4EB0">
              <w:rPr>
                <w:rFonts w:ascii="Times New Roman" w:eastAsia="Times New Roman" w:hAnsi="Times New Roman" w:cs="Times New Roman"/>
                <w:sz w:val="24"/>
                <w:szCs w:val="24"/>
                <w:lang w:eastAsia="de-DE"/>
              </w:rPr>
              <w:t xml:space="preserve">, milj. </w:t>
            </w:r>
            <w:r w:rsidR="008E4EB0">
              <w:rPr>
                <w:rFonts w:ascii="Times New Roman" w:eastAsia="Times New Roman" w:hAnsi="Times New Roman" w:cs="Times New Roman"/>
                <w:i/>
                <w:sz w:val="24"/>
                <w:szCs w:val="24"/>
                <w:lang w:eastAsia="lv-LV"/>
              </w:rPr>
              <w:t>euro</w:t>
            </w:r>
          </w:p>
        </w:tc>
      </w:tr>
      <w:tr w:rsidR="00281A85" w:rsidRPr="008E4EB0" w14:paraId="713C0E3A" w14:textId="77777777" w:rsidTr="00733665">
        <w:tc>
          <w:tcPr>
            <w:tcW w:w="10490" w:type="dxa"/>
            <w:gridSpan w:val="5"/>
          </w:tcPr>
          <w:p w14:paraId="6BCB4C53" w14:textId="22EFF351" w:rsidR="00281A85" w:rsidRPr="008E4EB0" w:rsidRDefault="00281A85" w:rsidP="007B2931">
            <w:pPr>
              <w:spacing w:line="276" w:lineRule="auto"/>
              <w:jc w:val="center"/>
              <w:rPr>
                <w:rFonts w:ascii="Times New Roman" w:eastAsia="Calibri" w:hAnsi="Times New Roman" w:cs="Times New Roman"/>
                <w:i/>
                <w:sz w:val="24"/>
                <w:szCs w:val="24"/>
              </w:rPr>
            </w:pPr>
            <w:r w:rsidRPr="008E4EB0">
              <w:rPr>
                <w:rFonts w:ascii="Times New Roman" w:eastAsia="Times New Roman" w:hAnsi="Times New Roman" w:cs="Times New Roman"/>
                <w:sz w:val="24"/>
                <w:szCs w:val="24"/>
                <w:lang w:eastAsia="de-DE"/>
              </w:rPr>
              <w:t>2007.-2013.gada plānošanas periodā</w:t>
            </w:r>
          </w:p>
        </w:tc>
      </w:tr>
      <w:tr w:rsidR="00281A85" w:rsidRPr="008E4EB0" w14:paraId="7FA8C85C" w14:textId="77777777" w:rsidTr="00733665">
        <w:tc>
          <w:tcPr>
            <w:tcW w:w="2269" w:type="dxa"/>
            <w:vAlign w:val="center"/>
          </w:tcPr>
          <w:p w14:paraId="27FAAD80" w14:textId="09E8D81B" w:rsidR="00281A85" w:rsidRPr="008E4EB0" w:rsidRDefault="00281A85" w:rsidP="007B2931">
            <w:pPr>
              <w:spacing w:line="276" w:lineRule="auto"/>
              <w:rPr>
                <w:rFonts w:ascii="Times New Roman" w:eastAsia="Calibri" w:hAnsi="Times New Roman" w:cs="Times New Roman"/>
                <w:i/>
                <w:sz w:val="24"/>
                <w:szCs w:val="24"/>
              </w:rPr>
            </w:pPr>
            <w:r w:rsidRPr="008E4EB0">
              <w:rPr>
                <w:rFonts w:ascii="Times New Roman" w:eastAsia="Times New Roman" w:hAnsi="Times New Roman" w:cs="Times New Roman"/>
                <w:sz w:val="24"/>
                <w:szCs w:val="24"/>
                <w:lang w:eastAsia="da-DK"/>
              </w:rPr>
              <w:t>3.4.4.1. aktivitāte „Daudzdzīvokļu māju siltumnoturības uzlabošanas pasākumi”</w:t>
            </w:r>
          </w:p>
        </w:tc>
        <w:tc>
          <w:tcPr>
            <w:tcW w:w="1701" w:type="dxa"/>
            <w:vAlign w:val="center"/>
          </w:tcPr>
          <w:p w14:paraId="56DEC6AA" w14:textId="44B73D34" w:rsidR="00281A85" w:rsidRPr="008E4EB0" w:rsidRDefault="00281A85" w:rsidP="007B2931">
            <w:pPr>
              <w:spacing w:line="276" w:lineRule="auto"/>
              <w:jc w:val="center"/>
              <w:rPr>
                <w:rFonts w:ascii="Times New Roman" w:eastAsia="Calibri" w:hAnsi="Times New Roman" w:cs="Times New Roman"/>
                <w:i/>
                <w:sz w:val="24"/>
                <w:szCs w:val="24"/>
              </w:rPr>
            </w:pPr>
            <w:r w:rsidRPr="008E4EB0">
              <w:rPr>
                <w:rFonts w:ascii="Times New Roman" w:eastAsia="Times New Roman" w:hAnsi="Times New Roman" w:cs="Times New Roman"/>
                <w:sz w:val="24"/>
                <w:szCs w:val="24"/>
                <w:lang w:eastAsia="de-DE"/>
              </w:rPr>
              <w:t>Dzīvokļu īpašnieki</w:t>
            </w:r>
          </w:p>
        </w:tc>
        <w:tc>
          <w:tcPr>
            <w:tcW w:w="1701" w:type="dxa"/>
            <w:vAlign w:val="center"/>
          </w:tcPr>
          <w:p w14:paraId="3B784651" w14:textId="77777777" w:rsidR="00281A85" w:rsidRPr="008E4EB0" w:rsidRDefault="00281A85" w:rsidP="007B2931">
            <w:pPr>
              <w:spacing w:line="276" w:lineRule="auto"/>
              <w:jc w:val="center"/>
              <w:rPr>
                <w:rFonts w:ascii="Times New Roman" w:eastAsia="Calibri" w:hAnsi="Times New Roman" w:cs="Times New Roman"/>
                <w:i/>
                <w:sz w:val="24"/>
                <w:szCs w:val="24"/>
              </w:rPr>
            </w:pPr>
          </w:p>
        </w:tc>
        <w:tc>
          <w:tcPr>
            <w:tcW w:w="3544" w:type="dxa"/>
            <w:vAlign w:val="center"/>
          </w:tcPr>
          <w:p w14:paraId="44B3D2FA" w14:textId="77777777" w:rsidR="00281A85" w:rsidRPr="008E4EB0" w:rsidRDefault="00281A85" w:rsidP="00D9693B">
            <w:pPr>
              <w:numPr>
                <w:ilvl w:val="0"/>
                <w:numId w:val="13"/>
              </w:numPr>
              <w:spacing w:line="276" w:lineRule="auto"/>
              <w:ind w:left="0" w:firstLine="0"/>
              <w:contextualSpacing/>
              <w:rPr>
                <w:rFonts w:ascii="Times New Roman" w:eastAsia="Times New Roman" w:hAnsi="Times New Roman" w:cs="Times New Roman"/>
                <w:sz w:val="24"/>
                <w:szCs w:val="24"/>
                <w:lang w:bidi="en-US"/>
              </w:rPr>
            </w:pPr>
            <w:r w:rsidRPr="008E4EB0">
              <w:rPr>
                <w:rFonts w:ascii="Times New Roman" w:eastAsia="Calibri" w:hAnsi="Times New Roman" w:cs="Times New Roman"/>
                <w:sz w:val="24"/>
                <w:szCs w:val="24"/>
                <w:lang w:eastAsia="da-DK"/>
              </w:rPr>
              <w:t>Ēkas būvniecība ir uzsākta pirms 1993.gada un tā nodota ekspluatācijā līdz 2002.gadam.</w:t>
            </w:r>
          </w:p>
          <w:p w14:paraId="41B1878E" w14:textId="77777777" w:rsidR="00281A85" w:rsidRPr="008E4EB0" w:rsidRDefault="00281A85" w:rsidP="00D9693B">
            <w:pPr>
              <w:numPr>
                <w:ilvl w:val="0"/>
                <w:numId w:val="13"/>
              </w:numPr>
              <w:spacing w:line="276" w:lineRule="auto"/>
              <w:ind w:left="0" w:firstLine="0"/>
              <w:contextualSpacing/>
              <w:rPr>
                <w:rFonts w:ascii="Times New Roman" w:eastAsia="Calibri" w:hAnsi="Times New Roman" w:cs="Times New Roman"/>
                <w:sz w:val="24"/>
                <w:szCs w:val="24"/>
                <w:lang w:eastAsia="da-DK"/>
              </w:rPr>
            </w:pPr>
            <w:r w:rsidRPr="008E4EB0">
              <w:rPr>
                <w:rFonts w:ascii="Times New Roman" w:eastAsia="Calibri" w:hAnsi="Times New Roman" w:cs="Times New Roman"/>
                <w:sz w:val="24"/>
                <w:szCs w:val="24"/>
                <w:lang w:eastAsia="da-DK"/>
              </w:rPr>
              <w:t>Ēka ir sadalīta dzīvokļu īpašumos, un vienam īpašniekam nepieder vairāk kā 20% no kopējā dzīvokļu skaita (šis ierobežojums neattiecas uz valsts vai pašvaldības īpašumā esošiem dzīvokļu īpašumiem).</w:t>
            </w:r>
          </w:p>
          <w:p w14:paraId="52AA180B" w14:textId="77777777" w:rsidR="00281A85" w:rsidRPr="008E4EB0" w:rsidRDefault="00281A85" w:rsidP="00D9693B">
            <w:pPr>
              <w:numPr>
                <w:ilvl w:val="0"/>
                <w:numId w:val="13"/>
              </w:numPr>
              <w:spacing w:line="276" w:lineRule="auto"/>
              <w:ind w:left="0" w:firstLine="0"/>
              <w:contextualSpacing/>
              <w:rPr>
                <w:rFonts w:ascii="Times New Roman" w:eastAsia="Calibri" w:hAnsi="Times New Roman" w:cs="Times New Roman"/>
                <w:sz w:val="24"/>
                <w:szCs w:val="24"/>
                <w:lang w:eastAsia="da-DK"/>
              </w:rPr>
            </w:pPr>
            <w:r w:rsidRPr="008E4EB0">
              <w:rPr>
                <w:rFonts w:ascii="Times New Roman" w:eastAsia="Calibri" w:hAnsi="Times New Roman" w:cs="Times New Roman"/>
                <w:sz w:val="24"/>
                <w:szCs w:val="24"/>
                <w:lang w:eastAsia="da-DK"/>
              </w:rPr>
              <w:t>Ēkas neapdzīvojamās platības nepārsniedz 25% no ēkas kopējās platības.</w:t>
            </w:r>
          </w:p>
          <w:p w14:paraId="62694672" w14:textId="77777777" w:rsidR="00281A85" w:rsidRPr="008E4EB0" w:rsidRDefault="00281A85" w:rsidP="00D9693B">
            <w:pPr>
              <w:numPr>
                <w:ilvl w:val="0"/>
                <w:numId w:val="13"/>
              </w:numPr>
              <w:spacing w:line="276" w:lineRule="auto"/>
              <w:ind w:left="0" w:firstLine="0"/>
              <w:contextualSpacing/>
              <w:rPr>
                <w:rFonts w:ascii="Times New Roman" w:eastAsia="Calibri" w:hAnsi="Times New Roman" w:cs="Times New Roman"/>
                <w:sz w:val="24"/>
                <w:szCs w:val="24"/>
                <w:lang w:eastAsia="da-DK"/>
              </w:rPr>
            </w:pPr>
            <w:r w:rsidRPr="008E4EB0">
              <w:rPr>
                <w:rFonts w:ascii="Times New Roman" w:eastAsia="Calibri" w:hAnsi="Times New Roman" w:cs="Times New Roman"/>
                <w:sz w:val="24"/>
                <w:szCs w:val="24"/>
                <w:lang w:eastAsia="da-DK"/>
              </w:rPr>
              <w:t>Minimālais siltumenerģijas ietaupījums 20% apmērā.</w:t>
            </w:r>
          </w:p>
          <w:p w14:paraId="102E741C" w14:textId="152C8656" w:rsidR="00281A85" w:rsidRPr="008E4EB0" w:rsidRDefault="00281A85" w:rsidP="007B2931">
            <w:pPr>
              <w:spacing w:line="276" w:lineRule="auto"/>
              <w:rPr>
                <w:rFonts w:ascii="Times New Roman" w:eastAsia="Calibri" w:hAnsi="Times New Roman" w:cs="Times New Roman"/>
                <w:i/>
                <w:sz w:val="24"/>
                <w:szCs w:val="24"/>
              </w:rPr>
            </w:pPr>
            <w:r w:rsidRPr="008E4EB0">
              <w:rPr>
                <w:rFonts w:ascii="Times New Roman" w:eastAsia="Calibri" w:hAnsi="Times New Roman" w:cs="Times New Roman"/>
                <w:sz w:val="24"/>
                <w:szCs w:val="24"/>
                <w:lang w:eastAsia="da-DK"/>
              </w:rPr>
              <w:t xml:space="preserve">Siltumenerģijas patēriņš apkurei pēc </w:t>
            </w:r>
            <w:r w:rsidR="00CE0F55" w:rsidRPr="008E4EB0">
              <w:rPr>
                <w:rFonts w:ascii="Times New Roman" w:eastAsia="Calibri" w:hAnsi="Times New Roman" w:cs="Times New Roman"/>
                <w:sz w:val="24"/>
                <w:szCs w:val="24"/>
                <w:lang w:eastAsia="da-DK"/>
              </w:rPr>
              <w:t>atjaunošanas</w:t>
            </w:r>
            <w:r w:rsidRPr="008E4EB0">
              <w:rPr>
                <w:rFonts w:ascii="Times New Roman" w:eastAsia="Calibri" w:hAnsi="Times New Roman" w:cs="Times New Roman"/>
                <w:sz w:val="24"/>
                <w:szCs w:val="24"/>
                <w:lang w:eastAsia="da-DK"/>
              </w:rPr>
              <w:t xml:space="preserve"> nedrīkst pārsniegt 100 kWh/m</w:t>
            </w:r>
            <w:r w:rsidRPr="008E4EB0">
              <w:rPr>
                <w:rFonts w:ascii="Times New Roman" w:eastAsia="Calibri" w:hAnsi="Times New Roman" w:cs="Times New Roman"/>
                <w:sz w:val="24"/>
                <w:szCs w:val="24"/>
                <w:vertAlign w:val="superscript"/>
                <w:lang w:eastAsia="da-DK"/>
              </w:rPr>
              <w:t>2</w:t>
            </w:r>
            <w:r w:rsidRPr="008E4EB0">
              <w:rPr>
                <w:rFonts w:ascii="Times New Roman" w:eastAsia="Calibri" w:hAnsi="Times New Roman" w:cs="Times New Roman"/>
                <w:sz w:val="24"/>
                <w:szCs w:val="24"/>
                <w:lang w:eastAsia="da-DK"/>
              </w:rPr>
              <w:t xml:space="preserve"> gadā (ja ēkai ir trīs vai vairāk stāvu) vai 120 kWh/m</w:t>
            </w:r>
            <w:r w:rsidRPr="008E4EB0">
              <w:rPr>
                <w:rFonts w:ascii="Times New Roman" w:eastAsia="Calibri" w:hAnsi="Times New Roman" w:cs="Times New Roman"/>
                <w:sz w:val="24"/>
                <w:szCs w:val="24"/>
                <w:vertAlign w:val="superscript"/>
                <w:lang w:eastAsia="da-DK"/>
              </w:rPr>
              <w:t>2</w:t>
            </w:r>
            <w:r w:rsidRPr="008E4EB0">
              <w:rPr>
                <w:rFonts w:ascii="Times New Roman" w:eastAsia="Calibri" w:hAnsi="Times New Roman" w:cs="Times New Roman"/>
                <w:sz w:val="24"/>
                <w:szCs w:val="24"/>
                <w:lang w:eastAsia="da-DK"/>
              </w:rPr>
              <w:t xml:space="preserve"> gadā (ja ēkai ir viens vai divi stāvi).</w:t>
            </w:r>
          </w:p>
        </w:tc>
        <w:tc>
          <w:tcPr>
            <w:tcW w:w="1275" w:type="dxa"/>
            <w:vAlign w:val="center"/>
          </w:tcPr>
          <w:p w14:paraId="6129121D" w14:textId="1EF70A94" w:rsidR="00281A85" w:rsidRPr="008E4EB0" w:rsidRDefault="00281A85" w:rsidP="007B2931">
            <w:pPr>
              <w:spacing w:line="276" w:lineRule="auto"/>
              <w:jc w:val="center"/>
              <w:rPr>
                <w:rFonts w:ascii="Times New Roman" w:eastAsia="Calibri" w:hAnsi="Times New Roman" w:cs="Times New Roman"/>
                <w:i/>
                <w:sz w:val="24"/>
                <w:szCs w:val="24"/>
              </w:rPr>
            </w:pPr>
            <w:r w:rsidRPr="008E4EB0">
              <w:rPr>
                <w:rFonts w:ascii="Times New Roman" w:eastAsia="Times New Roman" w:hAnsi="Times New Roman" w:cs="Times New Roman"/>
                <w:sz w:val="24"/>
                <w:szCs w:val="24"/>
                <w:lang w:eastAsia="de-DE"/>
              </w:rPr>
              <w:t>81,2</w:t>
            </w:r>
          </w:p>
        </w:tc>
      </w:tr>
      <w:tr w:rsidR="00281A85" w:rsidRPr="008E4EB0" w14:paraId="7104E8CC" w14:textId="77777777" w:rsidTr="00733665">
        <w:tc>
          <w:tcPr>
            <w:tcW w:w="2269" w:type="dxa"/>
            <w:vAlign w:val="center"/>
          </w:tcPr>
          <w:p w14:paraId="091B6BDC" w14:textId="065D9A53" w:rsidR="00281A85" w:rsidRPr="008E4EB0" w:rsidRDefault="00281A85" w:rsidP="007B2931">
            <w:pPr>
              <w:spacing w:line="276" w:lineRule="auto"/>
              <w:rPr>
                <w:rFonts w:ascii="Times New Roman" w:eastAsia="Calibri" w:hAnsi="Times New Roman" w:cs="Times New Roman"/>
                <w:i/>
                <w:sz w:val="24"/>
                <w:szCs w:val="24"/>
              </w:rPr>
            </w:pPr>
            <w:r w:rsidRPr="008E4EB0">
              <w:rPr>
                <w:rFonts w:ascii="Times New Roman" w:eastAsia="Times New Roman" w:hAnsi="Times New Roman" w:cs="Times New Roman"/>
                <w:sz w:val="24"/>
                <w:szCs w:val="24"/>
                <w:lang w:eastAsia="de-DE"/>
              </w:rPr>
              <w:t xml:space="preserve">3.4.4.2. aktivitāte „Sociālo dzīvojamo </w:t>
            </w:r>
            <w:r w:rsidRPr="008E4EB0">
              <w:rPr>
                <w:rFonts w:ascii="Times New Roman" w:eastAsia="Times New Roman" w:hAnsi="Times New Roman" w:cs="Times New Roman"/>
                <w:sz w:val="24"/>
                <w:szCs w:val="24"/>
                <w:lang w:eastAsia="de-DE"/>
              </w:rPr>
              <w:lastRenderedPageBreak/>
              <w:t>māju siltumnoturības uzlabošanas pasākumi“</w:t>
            </w:r>
          </w:p>
        </w:tc>
        <w:tc>
          <w:tcPr>
            <w:tcW w:w="1701" w:type="dxa"/>
            <w:vAlign w:val="center"/>
          </w:tcPr>
          <w:p w14:paraId="7C0582E7" w14:textId="4FF60B5D" w:rsidR="00281A85" w:rsidRPr="008E4EB0" w:rsidRDefault="00281A85" w:rsidP="007B2931">
            <w:pPr>
              <w:spacing w:line="276" w:lineRule="auto"/>
              <w:jc w:val="center"/>
              <w:rPr>
                <w:rFonts w:ascii="Times New Roman" w:eastAsia="Calibri" w:hAnsi="Times New Roman" w:cs="Times New Roman"/>
                <w:i/>
                <w:sz w:val="24"/>
                <w:szCs w:val="24"/>
              </w:rPr>
            </w:pPr>
            <w:r w:rsidRPr="008E4EB0">
              <w:rPr>
                <w:rFonts w:ascii="Times New Roman" w:eastAsia="Times New Roman" w:hAnsi="Times New Roman" w:cs="Times New Roman"/>
                <w:sz w:val="24"/>
                <w:szCs w:val="24"/>
                <w:lang w:eastAsia="de-DE"/>
              </w:rPr>
              <w:lastRenderedPageBreak/>
              <w:t>Pašvaldības</w:t>
            </w:r>
          </w:p>
        </w:tc>
        <w:tc>
          <w:tcPr>
            <w:tcW w:w="1701" w:type="dxa"/>
            <w:vAlign w:val="center"/>
          </w:tcPr>
          <w:p w14:paraId="7A7BC9A8" w14:textId="77777777" w:rsidR="00281A85" w:rsidRPr="008E4EB0" w:rsidRDefault="00281A85" w:rsidP="007B2931">
            <w:pPr>
              <w:spacing w:line="276" w:lineRule="auto"/>
              <w:jc w:val="center"/>
              <w:rPr>
                <w:rFonts w:ascii="Times New Roman" w:eastAsia="Calibri" w:hAnsi="Times New Roman" w:cs="Times New Roman"/>
                <w:i/>
                <w:sz w:val="24"/>
                <w:szCs w:val="24"/>
              </w:rPr>
            </w:pPr>
          </w:p>
        </w:tc>
        <w:tc>
          <w:tcPr>
            <w:tcW w:w="3544" w:type="dxa"/>
            <w:vAlign w:val="center"/>
          </w:tcPr>
          <w:p w14:paraId="79F4280A" w14:textId="372B2912" w:rsidR="00281A85" w:rsidRPr="008E4EB0" w:rsidRDefault="00281A85" w:rsidP="007B2931">
            <w:pPr>
              <w:spacing w:line="276" w:lineRule="auto"/>
              <w:rPr>
                <w:rFonts w:ascii="Times New Roman" w:eastAsia="Calibri" w:hAnsi="Times New Roman" w:cs="Times New Roman"/>
                <w:i/>
                <w:sz w:val="24"/>
                <w:szCs w:val="24"/>
              </w:rPr>
            </w:pPr>
            <w:r w:rsidRPr="008E4EB0">
              <w:rPr>
                <w:rFonts w:ascii="Times New Roman" w:eastAsia="Times New Roman" w:hAnsi="Times New Roman" w:cs="Times New Roman"/>
                <w:sz w:val="24"/>
                <w:szCs w:val="24"/>
                <w:lang w:bidi="en-US"/>
              </w:rPr>
              <w:t xml:space="preserve">Pēc </w:t>
            </w:r>
            <w:r w:rsidR="00CE0F55" w:rsidRPr="008E4EB0">
              <w:rPr>
                <w:rFonts w:ascii="Times New Roman" w:eastAsia="Times New Roman" w:hAnsi="Times New Roman" w:cs="Times New Roman"/>
                <w:sz w:val="24"/>
                <w:szCs w:val="24"/>
                <w:lang w:bidi="en-US"/>
              </w:rPr>
              <w:t>atjaunošanas</w:t>
            </w:r>
            <w:r w:rsidRPr="008E4EB0">
              <w:rPr>
                <w:rFonts w:ascii="Times New Roman" w:eastAsia="Times New Roman" w:hAnsi="Times New Roman" w:cs="Times New Roman"/>
                <w:sz w:val="24"/>
                <w:szCs w:val="24"/>
                <w:lang w:bidi="en-US"/>
              </w:rPr>
              <w:t xml:space="preserve"> vai rekonstrukcijas darbu veikšanas </w:t>
            </w:r>
            <w:r w:rsidRPr="008E4EB0">
              <w:rPr>
                <w:rFonts w:ascii="Times New Roman" w:eastAsia="Times New Roman" w:hAnsi="Times New Roman" w:cs="Times New Roman"/>
                <w:sz w:val="24"/>
                <w:szCs w:val="24"/>
                <w:lang w:bidi="en-US"/>
              </w:rPr>
              <w:lastRenderedPageBreak/>
              <w:t>jāsasniedz vismaz 20% siltumenerģijas patēriņa ietaupījums.</w:t>
            </w:r>
          </w:p>
        </w:tc>
        <w:tc>
          <w:tcPr>
            <w:tcW w:w="1275" w:type="dxa"/>
            <w:vAlign w:val="center"/>
          </w:tcPr>
          <w:p w14:paraId="26B10B22" w14:textId="1073BA44" w:rsidR="00281A85" w:rsidRPr="008E4EB0" w:rsidRDefault="00281A85" w:rsidP="007B2931">
            <w:pPr>
              <w:spacing w:line="276" w:lineRule="auto"/>
              <w:jc w:val="center"/>
              <w:rPr>
                <w:rFonts w:ascii="Times New Roman" w:eastAsia="Calibri" w:hAnsi="Times New Roman" w:cs="Times New Roman"/>
                <w:i/>
                <w:sz w:val="24"/>
                <w:szCs w:val="24"/>
              </w:rPr>
            </w:pPr>
            <w:r w:rsidRPr="008E4EB0">
              <w:rPr>
                <w:rFonts w:ascii="Times New Roman" w:eastAsia="Times New Roman" w:hAnsi="Times New Roman" w:cs="Times New Roman"/>
                <w:sz w:val="24"/>
                <w:szCs w:val="24"/>
                <w:lang w:eastAsia="de-DE"/>
              </w:rPr>
              <w:lastRenderedPageBreak/>
              <w:t>6,9</w:t>
            </w:r>
          </w:p>
        </w:tc>
      </w:tr>
      <w:tr w:rsidR="00281A85" w:rsidRPr="008E4EB0" w14:paraId="47E90378" w14:textId="77777777" w:rsidTr="00733665">
        <w:tc>
          <w:tcPr>
            <w:tcW w:w="10490" w:type="dxa"/>
            <w:gridSpan w:val="5"/>
          </w:tcPr>
          <w:p w14:paraId="5A389640" w14:textId="06738A9D" w:rsidR="00281A85" w:rsidRPr="008E4EB0" w:rsidRDefault="00281A85" w:rsidP="007B2931">
            <w:pPr>
              <w:spacing w:line="276" w:lineRule="auto"/>
              <w:jc w:val="center"/>
              <w:rPr>
                <w:rFonts w:ascii="Times New Roman" w:eastAsia="Calibri" w:hAnsi="Times New Roman" w:cs="Times New Roman"/>
                <w:i/>
                <w:sz w:val="24"/>
                <w:szCs w:val="24"/>
              </w:rPr>
            </w:pPr>
            <w:r w:rsidRPr="008E4EB0">
              <w:rPr>
                <w:rFonts w:ascii="Times New Roman" w:eastAsia="Times New Roman" w:hAnsi="Times New Roman" w:cs="Times New Roman"/>
                <w:sz w:val="24"/>
                <w:szCs w:val="24"/>
                <w:lang w:eastAsia="de-DE"/>
              </w:rPr>
              <w:t>2014. – 2020. gada plānošanas periodā</w:t>
            </w:r>
          </w:p>
        </w:tc>
      </w:tr>
      <w:tr w:rsidR="00281A85" w:rsidRPr="008E4EB0" w14:paraId="44D43B81" w14:textId="77777777" w:rsidTr="00733665">
        <w:tc>
          <w:tcPr>
            <w:tcW w:w="2269" w:type="dxa"/>
            <w:vAlign w:val="center"/>
          </w:tcPr>
          <w:p w14:paraId="7B7C7C95" w14:textId="77777777" w:rsidR="00281A85" w:rsidRPr="008E4EB0" w:rsidRDefault="00281A85" w:rsidP="007B2931">
            <w:pPr>
              <w:tabs>
                <w:tab w:val="right" w:pos="8504"/>
              </w:tabs>
              <w:spacing w:line="276" w:lineRule="auto"/>
              <w:contextualSpacing/>
              <w:rPr>
                <w:rFonts w:ascii="Times New Roman" w:eastAsia="Times New Roman" w:hAnsi="Times New Roman" w:cs="Times New Roman"/>
                <w:bCs/>
                <w:sz w:val="24"/>
                <w:szCs w:val="24"/>
                <w:lang w:eastAsia="de-DE"/>
              </w:rPr>
            </w:pPr>
            <w:r w:rsidRPr="008E4EB0">
              <w:rPr>
                <w:rFonts w:ascii="Times New Roman" w:eastAsia="Times New Roman" w:hAnsi="Times New Roman" w:cs="Times New Roman"/>
                <w:bCs/>
                <w:sz w:val="24"/>
                <w:szCs w:val="24"/>
                <w:lang w:eastAsia="de-DE"/>
              </w:rPr>
              <w:t>4.2.1.1.pasākums “Veicināt energoefektivitātes paaugstināšanu dzīvojamās ēkās“</w:t>
            </w:r>
          </w:p>
          <w:p w14:paraId="5136F3DA" w14:textId="77777777" w:rsidR="00281A85" w:rsidRPr="008E4EB0" w:rsidRDefault="00281A85" w:rsidP="007B2931">
            <w:pPr>
              <w:spacing w:line="276" w:lineRule="auto"/>
              <w:rPr>
                <w:rFonts w:ascii="Times New Roman" w:eastAsia="Calibri" w:hAnsi="Times New Roman" w:cs="Times New Roman"/>
                <w:i/>
                <w:sz w:val="24"/>
                <w:szCs w:val="24"/>
              </w:rPr>
            </w:pPr>
          </w:p>
        </w:tc>
        <w:tc>
          <w:tcPr>
            <w:tcW w:w="1701" w:type="dxa"/>
            <w:vAlign w:val="center"/>
          </w:tcPr>
          <w:p w14:paraId="4435C331" w14:textId="71C468DF" w:rsidR="00281A85" w:rsidRPr="008E4EB0" w:rsidRDefault="00281A85" w:rsidP="007B2931">
            <w:pPr>
              <w:spacing w:line="276" w:lineRule="auto"/>
              <w:jc w:val="center"/>
              <w:rPr>
                <w:rFonts w:ascii="Times New Roman" w:eastAsia="Calibri" w:hAnsi="Times New Roman" w:cs="Times New Roman"/>
                <w:i/>
                <w:sz w:val="24"/>
                <w:szCs w:val="24"/>
              </w:rPr>
            </w:pPr>
            <w:r w:rsidRPr="008E4EB0">
              <w:rPr>
                <w:rFonts w:ascii="Times New Roman" w:eastAsia="Times New Roman" w:hAnsi="Times New Roman" w:cs="Times New Roman"/>
                <w:sz w:val="24"/>
                <w:szCs w:val="24"/>
                <w:lang w:eastAsia="de-DE"/>
              </w:rPr>
              <w:t>Dzīvojamo māju īpašnieki</w:t>
            </w:r>
          </w:p>
        </w:tc>
        <w:tc>
          <w:tcPr>
            <w:tcW w:w="1701" w:type="dxa"/>
            <w:vAlign w:val="center"/>
          </w:tcPr>
          <w:p w14:paraId="5D8E1633" w14:textId="16F81FE3" w:rsidR="00281A85" w:rsidRPr="008E4EB0" w:rsidRDefault="00281A85" w:rsidP="007B2931">
            <w:pPr>
              <w:spacing w:line="276" w:lineRule="auto"/>
              <w:jc w:val="center"/>
              <w:rPr>
                <w:rFonts w:ascii="Times New Roman" w:eastAsia="Calibri" w:hAnsi="Times New Roman" w:cs="Times New Roman"/>
                <w:i/>
                <w:sz w:val="24"/>
                <w:szCs w:val="24"/>
              </w:rPr>
            </w:pPr>
            <w:r w:rsidRPr="008E4EB0">
              <w:rPr>
                <w:rFonts w:ascii="Times New Roman" w:eastAsia="Times New Roman" w:hAnsi="Times New Roman" w:cs="Times New Roman"/>
                <w:sz w:val="24"/>
                <w:szCs w:val="24"/>
                <w:lang w:eastAsia="de-DE"/>
              </w:rPr>
              <w:t>Līdz 2022.gada 31. decembrim.</w:t>
            </w:r>
          </w:p>
        </w:tc>
        <w:tc>
          <w:tcPr>
            <w:tcW w:w="3544" w:type="dxa"/>
            <w:vAlign w:val="center"/>
          </w:tcPr>
          <w:p w14:paraId="47EBF818" w14:textId="77777777" w:rsidR="00281A85" w:rsidRPr="008E4EB0" w:rsidRDefault="00281A85" w:rsidP="007B2931">
            <w:pPr>
              <w:tabs>
                <w:tab w:val="right" w:pos="8504"/>
              </w:tabs>
              <w:spacing w:line="276" w:lineRule="auto"/>
              <w:contextualSpacing/>
              <w:rPr>
                <w:rFonts w:ascii="Times New Roman" w:eastAsia="Times New Roman" w:hAnsi="Times New Roman" w:cs="Times New Roman"/>
                <w:sz w:val="24"/>
                <w:szCs w:val="24"/>
                <w:lang w:eastAsia="de-DE"/>
              </w:rPr>
            </w:pPr>
            <w:r w:rsidRPr="008E4EB0">
              <w:rPr>
                <w:rFonts w:ascii="Times New Roman" w:eastAsia="Times New Roman" w:hAnsi="Times New Roman" w:cs="Times New Roman"/>
                <w:sz w:val="24"/>
                <w:szCs w:val="24"/>
                <w:lang w:eastAsia="de-DE"/>
              </w:rPr>
              <w:t>Vidējais siltumenerģijas patēriņš apkurei daudzdzīvokļu dzīvojamās mājās pēc energoefektivitātes paaugstināšanas pasākumu īstenošanas kalendāra gada griezumā nepārsniedz 90 kWh/m</w:t>
            </w:r>
            <w:r w:rsidRPr="008E4EB0">
              <w:rPr>
                <w:rFonts w:ascii="Times New Roman" w:eastAsia="Times New Roman" w:hAnsi="Times New Roman" w:cs="Times New Roman"/>
                <w:sz w:val="24"/>
                <w:szCs w:val="24"/>
                <w:vertAlign w:val="superscript"/>
                <w:lang w:eastAsia="de-DE"/>
              </w:rPr>
              <w:t>2</w:t>
            </w:r>
            <w:r w:rsidRPr="008E4EB0">
              <w:rPr>
                <w:rFonts w:ascii="Times New Roman" w:eastAsia="Times New Roman" w:hAnsi="Times New Roman" w:cs="Times New Roman"/>
                <w:sz w:val="24"/>
                <w:szCs w:val="24"/>
                <w:lang w:eastAsia="de-DE"/>
              </w:rPr>
              <w:t>.</w:t>
            </w:r>
          </w:p>
          <w:p w14:paraId="42998623" w14:textId="12B2C4D0" w:rsidR="00281A85" w:rsidRPr="008E4EB0" w:rsidRDefault="00281A85" w:rsidP="007B2931">
            <w:pPr>
              <w:tabs>
                <w:tab w:val="right" w:pos="8504"/>
              </w:tabs>
              <w:spacing w:line="276" w:lineRule="auto"/>
              <w:contextualSpacing/>
              <w:rPr>
                <w:rFonts w:ascii="Times New Roman" w:eastAsia="Times New Roman" w:hAnsi="Times New Roman" w:cs="Times New Roman"/>
                <w:sz w:val="24"/>
                <w:szCs w:val="24"/>
                <w:lang w:eastAsia="de-DE"/>
              </w:rPr>
            </w:pPr>
            <w:r w:rsidRPr="008E4EB0">
              <w:rPr>
                <w:rFonts w:ascii="Times New Roman" w:eastAsia="Times New Roman" w:hAnsi="Times New Roman" w:cs="Times New Roman"/>
                <w:sz w:val="24"/>
                <w:szCs w:val="24"/>
                <w:lang w:eastAsia="de-DE"/>
              </w:rPr>
              <w:t>No atjaunojamiem energoresursiem ražotā papildjauda – 2,</w:t>
            </w:r>
            <w:r w:rsidR="00D82FCF">
              <w:rPr>
                <w:rFonts w:ascii="Times New Roman" w:eastAsia="Times New Roman" w:hAnsi="Times New Roman" w:cs="Times New Roman"/>
                <w:sz w:val="24"/>
                <w:szCs w:val="24"/>
                <w:lang w:eastAsia="de-DE"/>
              </w:rPr>
              <w:t>90</w:t>
            </w:r>
            <w:r w:rsidR="00D82FCF" w:rsidRPr="008E4EB0">
              <w:rPr>
                <w:rFonts w:ascii="Times New Roman" w:eastAsia="Times New Roman" w:hAnsi="Times New Roman" w:cs="Times New Roman"/>
                <w:sz w:val="24"/>
                <w:szCs w:val="24"/>
                <w:lang w:eastAsia="de-DE"/>
              </w:rPr>
              <w:t xml:space="preserve"> </w:t>
            </w:r>
            <w:r w:rsidRPr="008E4EB0">
              <w:rPr>
                <w:rFonts w:ascii="Times New Roman" w:eastAsia="Times New Roman" w:hAnsi="Times New Roman" w:cs="Times New Roman"/>
                <w:sz w:val="24"/>
                <w:szCs w:val="24"/>
                <w:lang w:eastAsia="de-DE"/>
              </w:rPr>
              <w:t>MW.</w:t>
            </w:r>
          </w:p>
          <w:p w14:paraId="2EF695D8" w14:textId="6F352159" w:rsidR="00281A85" w:rsidRPr="008E4EB0" w:rsidRDefault="00281A85" w:rsidP="007B2931">
            <w:pPr>
              <w:spacing w:line="276" w:lineRule="auto"/>
              <w:rPr>
                <w:rFonts w:ascii="Times New Roman" w:eastAsia="Calibri" w:hAnsi="Times New Roman" w:cs="Times New Roman"/>
                <w:i/>
                <w:sz w:val="24"/>
                <w:szCs w:val="24"/>
              </w:rPr>
            </w:pPr>
            <w:r w:rsidRPr="008E4EB0">
              <w:rPr>
                <w:rFonts w:ascii="Times New Roman" w:eastAsia="Times New Roman" w:hAnsi="Times New Roman" w:cs="Times New Roman"/>
                <w:sz w:val="24"/>
                <w:szCs w:val="24"/>
                <w:lang w:eastAsia="de-DE"/>
              </w:rPr>
              <w:t xml:space="preserve">Aprēķinātais siltumnīcefekta gāzu samazinājums gadā – </w:t>
            </w:r>
            <w:r w:rsidR="001445EA">
              <w:rPr>
                <w:rFonts w:ascii="Times New Roman" w:eastAsia="Times New Roman" w:hAnsi="Times New Roman" w:cs="Times New Roman"/>
                <w:sz w:val="24"/>
                <w:szCs w:val="24"/>
                <w:lang w:eastAsia="de-DE"/>
              </w:rPr>
              <w:t>13 338</w:t>
            </w:r>
            <w:r w:rsidRPr="008E4EB0">
              <w:rPr>
                <w:rFonts w:ascii="Times New Roman" w:eastAsia="Times New Roman" w:hAnsi="Times New Roman" w:cs="Times New Roman"/>
                <w:sz w:val="24"/>
                <w:szCs w:val="24"/>
                <w:lang w:eastAsia="de-DE"/>
              </w:rPr>
              <w:t xml:space="preserve"> CO</w:t>
            </w:r>
            <w:r w:rsidRPr="008E4EB0">
              <w:rPr>
                <w:rFonts w:ascii="Times New Roman" w:eastAsia="Times New Roman" w:hAnsi="Times New Roman" w:cs="Times New Roman"/>
                <w:sz w:val="24"/>
                <w:szCs w:val="24"/>
                <w:vertAlign w:val="subscript"/>
                <w:lang w:eastAsia="de-DE"/>
              </w:rPr>
              <w:t>2</w:t>
            </w:r>
            <w:r w:rsidRPr="008E4EB0">
              <w:rPr>
                <w:rFonts w:ascii="Times New Roman" w:eastAsia="Times New Roman" w:hAnsi="Times New Roman" w:cs="Times New Roman"/>
                <w:sz w:val="24"/>
                <w:szCs w:val="24"/>
                <w:lang w:eastAsia="de-DE"/>
              </w:rPr>
              <w:t xml:space="preserve"> ekvivalenta tonnas.</w:t>
            </w:r>
          </w:p>
        </w:tc>
        <w:tc>
          <w:tcPr>
            <w:tcW w:w="1275" w:type="dxa"/>
            <w:vAlign w:val="center"/>
          </w:tcPr>
          <w:p w14:paraId="44DF47D9" w14:textId="3D24829A" w:rsidR="00281A85" w:rsidRPr="008E4EB0" w:rsidRDefault="00281A85" w:rsidP="007B2931">
            <w:pPr>
              <w:spacing w:line="276" w:lineRule="auto"/>
              <w:jc w:val="center"/>
              <w:rPr>
                <w:rFonts w:ascii="Times New Roman" w:eastAsia="Calibri" w:hAnsi="Times New Roman" w:cs="Times New Roman"/>
                <w:i/>
                <w:sz w:val="24"/>
                <w:szCs w:val="24"/>
              </w:rPr>
            </w:pPr>
            <w:r w:rsidRPr="008E4EB0">
              <w:rPr>
                <w:rFonts w:ascii="Times New Roman" w:eastAsia="Times New Roman" w:hAnsi="Times New Roman" w:cs="Times New Roman"/>
                <w:sz w:val="24"/>
                <w:szCs w:val="24"/>
                <w:lang w:eastAsia="de-DE"/>
              </w:rPr>
              <w:t>150</w:t>
            </w:r>
          </w:p>
        </w:tc>
      </w:tr>
      <w:tr w:rsidR="00281A85" w:rsidRPr="008E4EB0" w14:paraId="469A5296" w14:textId="77777777" w:rsidTr="00733665">
        <w:tc>
          <w:tcPr>
            <w:tcW w:w="2269" w:type="dxa"/>
            <w:vAlign w:val="center"/>
          </w:tcPr>
          <w:p w14:paraId="3CB32C6E" w14:textId="77777777" w:rsidR="00281A85" w:rsidRPr="008E4EB0" w:rsidRDefault="00281A85" w:rsidP="007B2931">
            <w:pPr>
              <w:tabs>
                <w:tab w:val="right" w:pos="8504"/>
              </w:tabs>
              <w:spacing w:line="276" w:lineRule="auto"/>
              <w:contextualSpacing/>
              <w:rPr>
                <w:rFonts w:ascii="Times New Roman" w:eastAsia="Times New Roman" w:hAnsi="Times New Roman" w:cs="Times New Roman"/>
                <w:bCs/>
                <w:sz w:val="24"/>
                <w:szCs w:val="24"/>
                <w:lang w:eastAsia="de-DE"/>
              </w:rPr>
            </w:pPr>
            <w:r w:rsidRPr="008E4EB0">
              <w:rPr>
                <w:rFonts w:ascii="Times New Roman" w:eastAsia="Times New Roman" w:hAnsi="Times New Roman" w:cs="Times New Roman"/>
                <w:bCs/>
                <w:sz w:val="24"/>
                <w:szCs w:val="24"/>
                <w:lang w:eastAsia="de-DE"/>
              </w:rPr>
              <w:t>4.1.1.specifiskais atbalsta mērķis „Veicināt efektīvu energoresursu izmantošanu, enerģijas patēriņa samazināšanu un pāreju uz AER apstrādes rūpniecības nozarē“</w:t>
            </w:r>
          </w:p>
          <w:p w14:paraId="1CFB9E61" w14:textId="77777777" w:rsidR="00281A85" w:rsidRPr="008E4EB0" w:rsidRDefault="00281A85" w:rsidP="007B2931">
            <w:pPr>
              <w:spacing w:line="276" w:lineRule="auto"/>
              <w:rPr>
                <w:rFonts w:ascii="Times New Roman" w:eastAsia="Calibri" w:hAnsi="Times New Roman" w:cs="Times New Roman"/>
                <w:i/>
                <w:sz w:val="24"/>
                <w:szCs w:val="24"/>
              </w:rPr>
            </w:pPr>
          </w:p>
        </w:tc>
        <w:tc>
          <w:tcPr>
            <w:tcW w:w="1701" w:type="dxa"/>
            <w:vAlign w:val="center"/>
          </w:tcPr>
          <w:p w14:paraId="7BF7B2E5" w14:textId="40BC53AC" w:rsidR="00281A85" w:rsidRPr="008E4EB0" w:rsidRDefault="00281A85" w:rsidP="007B2931">
            <w:pPr>
              <w:spacing w:line="276" w:lineRule="auto"/>
              <w:jc w:val="center"/>
              <w:rPr>
                <w:rFonts w:ascii="Times New Roman" w:eastAsia="Calibri" w:hAnsi="Times New Roman" w:cs="Times New Roman"/>
                <w:i/>
                <w:sz w:val="24"/>
                <w:szCs w:val="24"/>
              </w:rPr>
            </w:pPr>
            <w:r w:rsidRPr="008E4EB0">
              <w:rPr>
                <w:rFonts w:ascii="Times New Roman" w:eastAsia="Times New Roman" w:hAnsi="Times New Roman" w:cs="Times New Roman"/>
                <w:sz w:val="24"/>
                <w:szCs w:val="24"/>
                <w:lang w:eastAsia="de-DE"/>
              </w:rPr>
              <w:t>Sīkie (mikro), mazie, vidējie un lielie komersanti, kas veic saimniecisko darbību apstrādes rūpniecības nozarēs</w:t>
            </w:r>
          </w:p>
        </w:tc>
        <w:tc>
          <w:tcPr>
            <w:tcW w:w="1701" w:type="dxa"/>
            <w:vAlign w:val="center"/>
          </w:tcPr>
          <w:p w14:paraId="6896FC37" w14:textId="13E2D3EA" w:rsidR="00281A85" w:rsidRPr="008E4EB0" w:rsidRDefault="00281A85" w:rsidP="007B2931">
            <w:pPr>
              <w:spacing w:line="276" w:lineRule="auto"/>
              <w:jc w:val="center"/>
              <w:rPr>
                <w:rFonts w:ascii="Times New Roman" w:eastAsia="Calibri" w:hAnsi="Times New Roman" w:cs="Times New Roman"/>
                <w:i/>
                <w:sz w:val="24"/>
                <w:szCs w:val="24"/>
              </w:rPr>
            </w:pPr>
            <w:r w:rsidRPr="008E4EB0">
              <w:rPr>
                <w:rFonts w:ascii="Times New Roman" w:eastAsia="Times New Roman" w:hAnsi="Times New Roman" w:cs="Times New Roman"/>
                <w:sz w:val="24"/>
                <w:szCs w:val="24"/>
                <w:lang w:eastAsia="de-DE"/>
              </w:rPr>
              <w:t>Līdz 2020. gada 31. decembrim.</w:t>
            </w:r>
          </w:p>
        </w:tc>
        <w:tc>
          <w:tcPr>
            <w:tcW w:w="3544" w:type="dxa"/>
            <w:vAlign w:val="center"/>
          </w:tcPr>
          <w:p w14:paraId="7FE87718" w14:textId="1C7E0333" w:rsidR="00281A85" w:rsidRPr="008E4EB0" w:rsidRDefault="00281A85" w:rsidP="007B2931">
            <w:pPr>
              <w:tabs>
                <w:tab w:val="right" w:pos="8504"/>
              </w:tabs>
              <w:spacing w:line="276" w:lineRule="auto"/>
              <w:contextualSpacing/>
              <w:rPr>
                <w:rFonts w:ascii="Times New Roman" w:eastAsia="Times New Roman" w:hAnsi="Times New Roman" w:cs="Times New Roman"/>
                <w:sz w:val="24"/>
                <w:szCs w:val="24"/>
                <w:lang w:eastAsia="de-DE"/>
              </w:rPr>
            </w:pPr>
            <w:r w:rsidRPr="008E4EB0">
              <w:rPr>
                <w:rFonts w:ascii="Times New Roman" w:eastAsia="Times New Roman" w:hAnsi="Times New Roman" w:cs="Times New Roman"/>
                <w:sz w:val="24"/>
                <w:szCs w:val="24"/>
                <w:lang w:eastAsia="de-DE"/>
              </w:rPr>
              <w:t xml:space="preserve">Enerģijas intensitāte apstrādes rūpniecībā – 263,9 kg naftas ekvivalenta uz 1 000 </w:t>
            </w:r>
            <w:r w:rsidR="008E4EB0">
              <w:rPr>
                <w:rFonts w:ascii="Times New Roman" w:eastAsia="Times New Roman" w:hAnsi="Times New Roman" w:cs="Times New Roman"/>
                <w:i/>
                <w:sz w:val="24"/>
                <w:szCs w:val="24"/>
                <w:lang w:eastAsia="de-DE"/>
              </w:rPr>
              <w:t>euro</w:t>
            </w:r>
            <w:r w:rsidRPr="008E4EB0">
              <w:rPr>
                <w:rFonts w:ascii="Times New Roman" w:eastAsia="Times New Roman" w:hAnsi="Times New Roman" w:cs="Times New Roman"/>
                <w:sz w:val="24"/>
                <w:szCs w:val="24"/>
                <w:lang w:eastAsia="de-DE"/>
              </w:rPr>
              <w:t>.</w:t>
            </w:r>
          </w:p>
          <w:p w14:paraId="142DD1AD" w14:textId="77777777" w:rsidR="00281A85" w:rsidRPr="008E4EB0" w:rsidRDefault="00281A85" w:rsidP="007B2931">
            <w:pPr>
              <w:tabs>
                <w:tab w:val="right" w:pos="8504"/>
              </w:tabs>
              <w:spacing w:line="276" w:lineRule="auto"/>
              <w:contextualSpacing/>
              <w:rPr>
                <w:rFonts w:ascii="Times New Roman" w:eastAsia="Times New Roman" w:hAnsi="Times New Roman" w:cs="Times New Roman"/>
                <w:sz w:val="24"/>
                <w:szCs w:val="24"/>
                <w:lang w:eastAsia="de-DE"/>
              </w:rPr>
            </w:pPr>
            <w:r w:rsidRPr="008E4EB0">
              <w:rPr>
                <w:rFonts w:ascii="Times New Roman" w:eastAsia="Times New Roman" w:hAnsi="Times New Roman" w:cs="Times New Roman"/>
                <w:sz w:val="24"/>
                <w:szCs w:val="24"/>
                <w:lang w:eastAsia="de-DE"/>
              </w:rPr>
              <w:t>Atjaunojamo energoresursu īpatsvars apstrādes rūpniecības enerģijas patēriņā – 51 %.</w:t>
            </w:r>
          </w:p>
          <w:p w14:paraId="3CD19A5D" w14:textId="77777777" w:rsidR="00281A85" w:rsidRPr="008E4EB0" w:rsidRDefault="00281A85" w:rsidP="007B2931">
            <w:pPr>
              <w:tabs>
                <w:tab w:val="right" w:pos="8504"/>
              </w:tabs>
              <w:spacing w:line="276" w:lineRule="auto"/>
              <w:contextualSpacing/>
              <w:rPr>
                <w:rFonts w:ascii="Times New Roman" w:eastAsia="Times New Roman" w:hAnsi="Times New Roman" w:cs="Times New Roman"/>
                <w:sz w:val="24"/>
                <w:szCs w:val="24"/>
                <w:lang w:eastAsia="de-DE"/>
              </w:rPr>
            </w:pPr>
            <w:r w:rsidRPr="008E4EB0">
              <w:rPr>
                <w:rFonts w:ascii="Times New Roman" w:eastAsia="Times New Roman" w:hAnsi="Times New Roman" w:cs="Times New Roman"/>
                <w:sz w:val="24"/>
                <w:szCs w:val="24"/>
                <w:lang w:eastAsia="de-DE"/>
              </w:rPr>
              <w:t>Komersantu skaits, kas saņēmuši atbalstu, – 65.</w:t>
            </w:r>
          </w:p>
          <w:p w14:paraId="501BA452" w14:textId="77777777" w:rsidR="00281A85" w:rsidRPr="008E4EB0" w:rsidRDefault="00281A85" w:rsidP="007B2931">
            <w:pPr>
              <w:tabs>
                <w:tab w:val="right" w:pos="8504"/>
              </w:tabs>
              <w:spacing w:line="276" w:lineRule="auto"/>
              <w:contextualSpacing/>
              <w:rPr>
                <w:rFonts w:ascii="Times New Roman" w:eastAsia="Times New Roman" w:hAnsi="Times New Roman" w:cs="Times New Roman"/>
                <w:sz w:val="24"/>
                <w:szCs w:val="24"/>
                <w:lang w:eastAsia="de-DE"/>
              </w:rPr>
            </w:pPr>
            <w:r w:rsidRPr="008E4EB0">
              <w:rPr>
                <w:rFonts w:ascii="Times New Roman" w:eastAsia="Times New Roman" w:hAnsi="Times New Roman" w:cs="Times New Roman"/>
                <w:sz w:val="24"/>
                <w:szCs w:val="24"/>
                <w:lang w:eastAsia="de-DE"/>
              </w:rPr>
              <w:t>Enerģijas ietaupījums atbalstu saņēmušiem komersantiem – 4 395 MWh/gadā.</w:t>
            </w:r>
          </w:p>
          <w:p w14:paraId="4F7BC304" w14:textId="77777777" w:rsidR="00281A85" w:rsidRPr="008E4EB0" w:rsidRDefault="00281A85" w:rsidP="007B2931">
            <w:pPr>
              <w:tabs>
                <w:tab w:val="right" w:pos="8504"/>
              </w:tabs>
              <w:spacing w:line="276" w:lineRule="auto"/>
              <w:contextualSpacing/>
              <w:rPr>
                <w:rFonts w:ascii="Times New Roman" w:eastAsia="Times New Roman" w:hAnsi="Times New Roman" w:cs="Times New Roman"/>
                <w:sz w:val="24"/>
                <w:szCs w:val="24"/>
                <w:lang w:eastAsia="de-DE"/>
              </w:rPr>
            </w:pPr>
            <w:r w:rsidRPr="008E4EB0">
              <w:rPr>
                <w:rFonts w:ascii="Times New Roman" w:eastAsia="Times New Roman" w:hAnsi="Times New Roman" w:cs="Times New Roman"/>
                <w:sz w:val="24"/>
                <w:szCs w:val="24"/>
                <w:lang w:eastAsia="de-DE"/>
              </w:rPr>
              <w:t>No atjaunojamiem energoresursiem ražotā papildjauda – 5,4 MW.</w:t>
            </w:r>
          </w:p>
          <w:p w14:paraId="0356C218" w14:textId="59F55980" w:rsidR="00281A85" w:rsidRPr="008E4EB0" w:rsidRDefault="00281A85" w:rsidP="007B2931">
            <w:pPr>
              <w:spacing w:line="276" w:lineRule="auto"/>
              <w:rPr>
                <w:rFonts w:ascii="Times New Roman" w:eastAsia="Calibri" w:hAnsi="Times New Roman" w:cs="Times New Roman"/>
                <w:i/>
                <w:sz w:val="24"/>
                <w:szCs w:val="24"/>
              </w:rPr>
            </w:pPr>
            <w:r w:rsidRPr="008E4EB0">
              <w:rPr>
                <w:rFonts w:ascii="Times New Roman" w:eastAsia="Times New Roman" w:hAnsi="Times New Roman" w:cs="Times New Roman"/>
                <w:sz w:val="24"/>
                <w:szCs w:val="24"/>
                <w:lang w:eastAsia="de-DE"/>
              </w:rPr>
              <w:t>aprēķinātais Siltumnīcefekta gāzu samazinājums gadā – 6 757 CO2 ekvivalenta tonnas.</w:t>
            </w:r>
          </w:p>
        </w:tc>
        <w:tc>
          <w:tcPr>
            <w:tcW w:w="1275" w:type="dxa"/>
            <w:vAlign w:val="center"/>
          </w:tcPr>
          <w:p w14:paraId="3260CCB7" w14:textId="347776AA" w:rsidR="00281A85" w:rsidRPr="008E4EB0" w:rsidRDefault="00281A85" w:rsidP="007B2931">
            <w:pPr>
              <w:spacing w:line="276" w:lineRule="auto"/>
              <w:jc w:val="center"/>
              <w:rPr>
                <w:rFonts w:ascii="Times New Roman" w:eastAsia="Calibri" w:hAnsi="Times New Roman" w:cs="Times New Roman"/>
                <w:i/>
                <w:sz w:val="24"/>
                <w:szCs w:val="24"/>
              </w:rPr>
            </w:pPr>
            <w:r w:rsidRPr="008E4EB0">
              <w:rPr>
                <w:rFonts w:ascii="Times New Roman" w:eastAsia="Times New Roman" w:hAnsi="Times New Roman" w:cs="Times New Roman"/>
                <w:sz w:val="24"/>
                <w:szCs w:val="24"/>
                <w:lang w:eastAsia="de-DE"/>
              </w:rPr>
              <w:t>32,5</w:t>
            </w:r>
          </w:p>
        </w:tc>
      </w:tr>
      <w:tr w:rsidR="00281A85" w:rsidRPr="008E4EB0" w14:paraId="765DAD51" w14:textId="77777777" w:rsidTr="00733665">
        <w:tc>
          <w:tcPr>
            <w:tcW w:w="2269" w:type="dxa"/>
            <w:vAlign w:val="center"/>
          </w:tcPr>
          <w:p w14:paraId="295F109F" w14:textId="66103890" w:rsidR="00281A85" w:rsidRPr="008E4EB0" w:rsidRDefault="00281A85" w:rsidP="007B2931">
            <w:pPr>
              <w:spacing w:line="276" w:lineRule="auto"/>
              <w:rPr>
                <w:rFonts w:ascii="Times New Roman" w:eastAsia="Calibri" w:hAnsi="Times New Roman" w:cs="Times New Roman"/>
                <w:i/>
                <w:sz w:val="24"/>
                <w:szCs w:val="24"/>
              </w:rPr>
            </w:pPr>
            <w:r w:rsidRPr="008E4EB0">
              <w:rPr>
                <w:rFonts w:ascii="Times New Roman" w:eastAsia="Times New Roman" w:hAnsi="Times New Roman" w:cs="Times New Roman"/>
                <w:bCs/>
                <w:sz w:val="24"/>
                <w:szCs w:val="24"/>
                <w:lang w:eastAsia="de-DE"/>
              </w:rPr>
              <w:t>4.2.1.2.pasākums “Veicināt energoefektivitātes paaugstināšanu valsts ēkās“</w:t>
            </w:r>
          </w:p>
        </w:tc>
        <w:tc>
          <w:tcPr>
            <w:tcW w:w="1701" w:type="dxa"/>
            <w:vAlign w:val="center"/>
          </w:tcPr>
          <w:p w14:paraId="3F0D6C38" w14:textId="1756E03B" w:rsidR="00281A85" w:rsidRPr="008E4EB0" w:rsidRDefault="00281A85" w:rsidP="007B2931">
            <w:pPr>
              <w:spacing w:line="276" w:lineRule="auto"/>
              <w:jc w:val="center"/>
              <w:rPr>
                <w:rFonts w:ascii="Times New Roman" w:eastAsia="Calibri" w:hAnsi="Times New Roman" w:cs="Times New Roman"/>
                <w:i/>
                <w:sz w:val="24"/>
                <w:szCs w:val="24"/>
              </w:rPr>
            </w:pPr>
            <w:r w:rsidRPr="008E4EB0">
              <w:rPr>
                <w:rFonts w:ascii="Times New Roman" w:eastAsia="Times New Roman" w:hAnsi="Times New Roman" w:cs="Times New Roman"/>
                <w:sz w:val="24"/>
                <w:szCs w:val="24"/>
                <w:lang w:eastAsia="de-DE"/>
              </w:rPr>
              <w:t>Valsts ēku īpašnieki un lietotāji.</w:t>
            </w:r>
          </w:p>
        </w:tc>
        <w:tc>
          <w:tcPr>
            <w:tcW w:w="1701" w:type="dxa"/>
            <w:vAlign w:val="center"/>
          </w:tcPr>
          <w:p w14:paraId="00FD6CA0" w14:textId="7AE4EAD5" w:rsidR="00281A85" w:rsidRPr="008E4EB0" w:rsidRDefault="00281A85" w:rsidP="007B2931">
            <w:pPr>
              <w:spacing w:line="276" w:lineRule="auto"/>
              <w:jc w:val="center"/>
              <w:rPr>
                <w:rFonts w:ascii="Times New Roman" w:eastAsia="Calibri" w:hAnsi="Times New Roman" w:cs="Times New Roman"/>
                <w:i/>
                <w:sz w:val="24"/>
                <w:szCs w:val="24"/>
              </w:rPr>
            </w:pPr>
            <w:r w:rsidRPr="008E4EB0">
              <w:rPr>
                <w:rFonts w:ascii="Times New Roman" w:eastAsia="Times New Roman" w:hAnsi="Times New Roman" w:cs="Times New Roman"/>
                <w:sz w:val="24"/>
                <w:szCs w:val="24"/>
                <w:lang w:eastAsia="de-DE"/>
              </w:rPr>
              <w:t>Līdz 2020. gada 31. decembrim.</w:t>
            </w:r>
          </w:p>
        </w:tc>
        <w:tc>
          <w:tcPr>
            <w:tcW w:w="3544" w:type="dxa"/>
            <w:vAlign w:val="center"/>
          </w:tcPr>
          <w:p w14:paraId="3B11DE72" w14:textId="028DE2EC" w:rsidR="00281A85" w:rsidRPr="00F75EF7" w:rsidRDefault="00281A85" w:rsidP="007B2931">
            <w:pPr>
              <w:tabs>
                <w:tab w:val="right" w:pos="8504"/>
              </w:tabs>
              <w:spacing w:line="276" w:lineRule="auto"/>
              <w:contextualSpacing/>
              <w:rPr>
                <w:rFonts w:ascii="Times New Roman" w:eastAsia="Times New Roman" w:hAnsi="Times New Roman" w:cs="Times New Roman"/>
                <w:sz w:val="24"/>
                <w:szCs w:val="24"/>
                <w:lang w:eastAsia="de-DE"/>
              </w:rPr>
            </w:pPr>
            <w:r w:rsidRPr="008E4EB0">
              <w:rPr>
                <w:rFonts w:ascii="Times New Roman" w:eastAsia="Times New Roman" w:hAnsi="Times New Roman" w:cs="Times New Roman"/>
                <w:sz w:val="24"/>
                <w:szCs w:val="24"/>
                <w:lang w:eastAsia="de-DE"/>
              </w:rPr>
              <w:t xml:space="preserve">Primārās enerģijas gada patēriņa samazinājums </w:t>
            </w:r>
            <w:r w:rsidR="00D82FCF">
              <w:rPr>
                <w:rFonts w:ascii="Times New Roman" w:eastAsia="Times New Roman" w:hAnsi="Times New Roman" w:cs="Times New Roman"/>
                <w:sz w:val="24"/>
                <w:szCs w:val="24"/>
                <w:lang w:eastAsia="de-DE"/>
              </w:rPr>
              <w:t>sabiedriskajās ēkās</w:t>
            </w:r>
            <w:r w:rsidRPr="008E4EB0">
              <w:rPr>
                <w:rFonts w:ascii="Times New Roman" w:eastAsia="Times New Roman" w:hAnsi="Times New Roman" w:cs="Times New Roman"/>
                <w:sz w:val="24"/>
                <w:szCs w:val="24"/>
                <w:lang w:eastAsia="de-DE"/>
              </w:rPr>
              <w:t xml:space="preserve">– vismaz </w:t>
            </w:r>
            <w:r w:rsidR="00D82FCF" w:rsidRPr="00DD1140">
              <w:rPr>
                <w:rFonts w:ascii="Times New Roman" w:hAnsi="Times New Roman" w:cs="Times New Roman"/>
                <w:sz w:val="24"/>
                <w:szCs w:val="24"/>
              </w:rPr>
              <w:t>36 347 000 k</w:t>
            </w:r>
            <w:r w:rsidR="00B23A57" w:rsidRPr="00DD1140">
              <w:rPr>
                <w:rFonts w:ascii="Times New Roman" w:hAnsi="Times New Roman" w:cs="Times New Roman"/>
                <w:sz w:val="24"/>
                <w:szCs w:val="24"/>
              </w:rPr>
              <w:t>W</w:t>
            </w:r>
            <w:r w:rsidR="00D82FCF" w:rsidRPr="00DD1140">
              <w:rPr>
                <w:rFonts w:ascii="Times New Roman" w:hAnsi="Times New Roman" w:cs="Times New Roman"/>
                <w:sz w:val="24"/>
                <w:szCs w:val="24"/>
              </w:rPr>
              <w:t>h/gadā</w:t>
            </w:r>
            <w:r w:rsidRPr="00F75EF7">
              <w:rPr>
                <w:rFonts w:ascii="Times New Roman" w:eastAsia="Times New Roman" w:hAnsi="Times New Roman" w:cs="Times New Roman"/>
                <w:sz w:val="24"/>
                <w:szCs w:val="24"/>
                <w:lang w:eastAsia="de-DE"/>
              </w:rPr>
              <w:t>.</w:t>
            </w:r>
          </w:p>
          <w:p w14:paraId="378F9900" w14:textId="7BD8F93B" w:rsidR="00281A85" w:rsidRPr="00F75EF7" w:rsidRDefault="00D82FCF" w:rsidP="007B2931">
            <w:pPr>
              <w:tabs>
                <w:tab w:val="right" w:pos="8504"/>
              </w:tabs>
              <w:spacing w:line="276" w:lineRule="auto"/>
              <w:contextualSpacing/>
              <w:rPr>
                <w:rFonts w:ascii="Times New Roman" w:eastAsia="Times New Roman" w:hAnsi="Times New Roman" w:cs="Times New Roman"/>
                <w:sz w:val="24"/>
                <w:szCs w:val="24"/>
                <w:lang w:eastAsia="de-DE"/>
              </w:rPr>
            </w:pPr>
            <w:r w:rsidRPr="00DD1140">
              <w:rPr>
                <w:rFonts w:ascii="Times New Roman" w:hAnsi="Times New Roman" w:cs="Times New Roman"/>
                <w:sz w:val="24"/>
                <w:szCs w:val="24"/>
              </w:rPr>
              <w:t>No atjaunojamiem energoresursiem ražotā papildjauda 4,8 MW</w:t>
            </w:r>
            <w:r w:rsidR="00281A85" w:rsidRPr="00F75EF7">
              <w:rPr>
                <w:rFonts w:ascii="Times New Roman" w:eastAsia="Times New Roman" w:hAnsi="Times New Roman" w:cs="Times New Roman"/>
                <w:sz w:val="24"/>
                <w:szCs w:val="24"/>
                <w:lang w:eastAsia="de-DE"/>
              </w:rPr>
              <w:t>.</w:t>
            </w:r>
          </w:p>
          <w:p w14:paraId="153CE628" w14:textId="4DDE3F99" w:rsidR="00281A85" w:rsidRPr="008E4EB0" w:rsidRDefault="00281A85" w:rsidP="007B2931">
            <w:pPr>
              <w:spacing w:line="276" w:lineRule="auto"/>
              <w:rPr>
                <w:rFonts w:ascii="Times New Roman" w:eastAsia="Calibri" w:hAnsi="Times New Roman" w:cs="Times New Roman"/>
                <w:i/>
                <w:sz w:val="24"/>
                <w:szCs w:val="24"/>
              </w:rPr>
            </w:pPr>
            <w:r w:rsidRPr="008E4EB0">
              <w:rPr>
                <w:rFonts w:ascii="Times New Roman" w:eastAsia="Times New Roman" w:hAnsi="Times New Roman" w:cs="Times New Roman"/>
                <w:sz w:val="24"/>
                <w:szCs w:val="24"/>
                <w:lang w:eastAsia="de-DE"/>
              </w:rPr>
              <w:t xml:space="preserve">Aprēķinātais siltumnīcefekta gāzu samazinājums – vismaz </w:t>
            </w:r>
            <w:r w:rsidR="00D82FCF">
              <w:rPr>
                <w:rFonts w:ascii="Times New Roman" w:eastAsia="Times New Roman" w:hAnsi="Times New Roman" w:cs="Times New Roman"/>
                <w:sz w:val="24"/>
                <w:szCs w:val="24"/>
                <w:lang w:eastAsia="de-DE"/>
              </w:rPr>
              <w:t>22 039</w:t>
            </w:r>
            <w:r w:rsidRPr="008E4EB0">
              <w:rPr>
                <w:rFonts w:ascii="Times New Roman" w:eastAsia="Times New Roman" w:hAnsi="Times New Roman" w:cs="Times New Roman"/>
                <w:sz w:val="24"/>
                <w:szCs w:val="24"/>
                <w:lang w:eastAsia="de-DE"/>
              </w:rPr>
              <w:t xml:space="preserve"> CO</w:t>
            </w:r>
            <w:r w:rsidRPr="008E4EB0">
              <w:rPr>
                <w:rFonts w:ascii="Times New Roman" w:eastAsia="Times New Roman" w:hAnsi="Times New Roman" w:cs="Times New Roman"/>
                <w:sz w:val="24"/>
                <w:szCs w:val="24"/>
                <w:vertAlign w:val="subscript"/>
                <w:lang w:eastAsia="de-DE"/>
              </w:rPr>
              <w:t>2</w:t>
            </w:r>
            <w:r w:rsidRPr="008E4EB0">
              <w:rPr>
                <w:rFonts w:ascii="Times New Roman" w:eastAsia="Times New Roman" w:hAnsi="Times New Roman" w:cs="Times New Roman"/>
                <w:sz w:val="24"/>
                <w:szCs w:val="24"/>
                <w:lang w:eastAsia="de-DE"/>
              </w:rPr>
              <w:t xml:space="preserve"> ekvivalenta tonnas gadā.</w:t>
            </w:r>
          </w:p>
        </w:tc>
        <w:tc>
          <w:tcPr>
            <w:tcW w:w="1275" w:type="dxa"/>
            <w:vAlign w:val="center"/>
          </w:tcPr>
          <w:p w14:paraId="5C565091" w14:textId="4E096B8F" w:rsidR="00281A85" w:rsidRPr="008E4EB0" w:rsidRDefault="00006528" w:rsidP="00006528">
            <w:pPr>
              <w:spacing w:line="276" w:lineRule="auto"/>
              <w:jc w:val="center"/>
              <w:rPr>
                <w:rFonts w:ascii="Times New Roman" w:eastAsia="Calibri" w:hAnsi="Times New Roman" w:cs="Times New Roman"/>
                <w:i/>
                <w:sz w:val="24"/>
                <w:szCs w:val="24"/>
              </w:rPr>
            </w:pPr>
            <w:r w:rsidRPr="00006528">
              <w:rPr>
                <w:rFonts w:ascii="Times New Roman" w:eastAsia="Times New Roman" w:hAnsi="Times New Roman" w:cs="Times New Roman"/>
                <w:sz w:val="24"/>
                <w:szCs w:val="24"/>
                <w:lang w:eastAsia="de-DE"/>
              </w:rPr>
              <w:t>70,2</w:t>
            </w:r>
          </w:p>
        </w:tc>
      </w:tr>
      <w:tr w:rsidR="00DA2BC4" w:rsidRPr="008E4EB0" w14:paraId="0632E2AC" w14:textId="77777777" w:rsidTr="00733665">
        <w:tc>
          <w:tcPr>
            <w:tcW w:w="2269" w:type="dxa"/>
            <w:vAlign w:val="center"/>
          </w:tcPr>
          <w:p w14:paraId="6C6C875A" w14:textId="21545566" w:rsidR="00DA2BC4" w:rsidRPr="004E1D5E" w:rsidRDefault="00DA2BC4" w:rsidP="004E1D5E">
            <w:pPr>
              <w:spacing w:line="276" w:lineRule="auto"/>
              <w:rPr>
                <w:rFonts w:ascii="Times New Roman" w:eastAsia="Times New Roman" w:hAnsi="Times New Roman" w:cs="Times New Roman"/>
                <w:bCs/>
                <w:sz w:val="24"/>
                <w:szCs w:val="24"/>
                <w:lang w:eastAsia="de-DE"/>
              </w:rPr>
            </w:pPr>
            <w:r w:rsidRPr="004E1D5E">
              <w:rPr>
                <w:rFonts w:ascii="Times New Roman" w:eastAsia="Times New Roman" w:hAnsi="Times New Roman" w:cs="Times New Roman"/>
                <w:bCs/>
                <w:sz w:val="24"/>
                <w:szCs w:val="24"/>
                <w:lang w:eastAsia="de-DE"/>
              </w:rPr>
              <w:t xml:space="preserve">4.2.2. specifiskais atbalsta mērķis “Atbilstoši pašvaldības </w:t>
            </w:r>
            <w:r w:rsidRPr="004E1D5E">
              <w:rPr>
                <w:rFonts w:ascii="Times New Roman" w:eastAsia="Times New Roman" w:hAnsi="Times New Roman" w:cs="Times New Roman"/>
                <w:bCs/>
                <w:sz w:val="24"/>
                <w:szCs w:val="24"/>
                <w:lang w:eastAsia="de-DE"/>
              </w:rPr>
              <w:lastRenderedPageBreak/>
              <w:t>integrētajām attīstības programmām sekmēt energoefektivitātes paaugstināšanu un atjaunojamo energoresursu izmantošanu pašvaldību ēkās”</w:t>
            </w:r>
          </w:p>
        </w:tc>
        <w:tc>
          <w:tcPr>
            <w:tcW w:w="1701" w:type="dxa"/>
            <w:vAlign w:val="center"/>
          </w:tcPr>
          <w:p w14:paraId="6904A4F8" w14:textId="77777777" w:rsidR="00006528" w:rsidRDefault="00006528" w:rsidP="004E1D5E">
            <w:pPr>
              <w:spacing w:line="276" w:lineRule="auto"/>
              <w:jc w:val="center"/>
              <w:rPr>
                <w:rFonts w:ascii="Times New Roman" w:eastAsia="Times New Roman" w:hAnsi="Times New Roman" w:cs="Times New Roman"/>
                <w:sz w:val="24"/>
                <w:szCs w:val="24"/>
                <w:lang w:eastAsia="de-DE"/>
              </w:rPr>
            </w:pPr>
          </w:p>
          <w:p w14:paraId="61F7384A" w14:textId="77777777" w:rsidR="00006528" w:rsidRDefault="00006528" w:rsidP="00006528">
            <w:pPr>
              <w:spacing w:line="276" w:lineRule="auto"/>
              <w:jc w:val="center"/>
              <w:rPr>
                <w:rFonts w:ascii="Times New Roman" w:eastAsia="Times New Roman" w:hAnsi="Times New Roman" w:cs="Times New Roman"/>
                <w:sz w:val="24"/>
                <w:szCs w:val="24"/>
                <w:lang w:eastAsia="de-DE"/>
              </w:rPr>
            </w:pPr>
          </w:p>
          <w:p w14:paraId="1A917132" w14:textId="65AE120C" w:rsidR="00DA2BC4" w:rsidRPr="00006528" w:rsidRDefault="009D395D" w:rsidP="00006528">
            <w:pPr>
              <w:spacing w:line="276" w:lineRule="auto"/>
              <w:jc w:val="center"/>
              <w:rPr>
                <w:rFonts w:ascii="Times New Roman" w:eastAsia="Times New Roman" w:hAnsi="Times New Roman" w:cs="Times New Roman"/>
                <w:sz w:val="24"/>
                <w:szCs w:val="24"/>
                <w:lang w:eastAsia="de-DE"/>
              </w:rPr>
            </w:pPr>
            <w:r w:rsidRPr="004E1D5E">
              <w:rPr>
                <w:rFonts w:ascii="Times New Roman" w:eastAsia="Times New Roman" w:hAnsi="Times New Roman" w:cs="Times New Roman"/>
                <w:sz w:val="24"/>
                <w:szCs w:val="24"/>
                <w:lang w:eastAsia="de-DE"/>
              </w:rPr>
              <w:t xml:space="preserve">Pašvaldības, pašvaldību </w:t>
            </w:r>
            <w:r w:rsidRPr="004E1D5E">
              <w:rPr>
                <w:rFonts w:ascii="Times New Roman" w:eastAsia="Times New Roman" w:hAnsi="Times New Roman" w:cs="Times New Roman"/>
                <w:sz w:val="24"/>
                <w:szCs w:val="24"/>
                <w:lang w:eastAsia="de-DE"/>
              </w:rPr>
              <w:lastRenderedPageBreak/>
              <w:t>iestādes, pašvaldību kapitālsabiedrības</w:t>
            </w:r>
          </w:p>
        </w:tc>
        <w:tc>
          <w:tcPr>
            <w:tcW w:w="1701" w:type="dxa"/>
            <w:vAlign w:val="center"/>
          </w:tcPr>
          <w:p w14:paraId="58B05B69" w14:textId="6611BF79" w:rsidR="00DA2BC4" w:rsidRPr="004E1D5E" w:rsidRDefault="00006528" w:rsidP="004E1D5E">
            <w:pPr>
              <w:spacing w:line="276" w:lineRule="auto"/>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lastRenderedPageBreak/>
              <w:t xml:space="preserve">Līdz </w:t>
            </w:r>
            <w:r w:rsidRPr="00006528">
              <w:rPr>
                <w:rFonts w:ascii="Times New Roman" w:eastAsia="Times New Roman" w:hAnsi="Times New Roman" w:cs="Times New Roman"/>
                <w:bCs/>
                <w:sz w:val="24"/>
                <w:szCs w:val="24"/>
                <w:lang w:eastAsia="de-DE"/>
              </w:rPr>
              <w:t>2022.</w:t>
            </w:r>
            <w:r>
              <w:rPr>
                <w:rFonts w:ascii="Times New Roman" w:eastAsia="Times New Roman" w:hAnsi="Times New Roman" w:cs="Times New Roman"/>
                <w:bCs/>
                <w:sz w:val="24"/>
                <w:szCs w:val="24"/>
                <w:lang w:eastAsia="de-DE"/>
              </w:rPr>
              <w:t> </w:t>
            </w:r>
            <w:r w:rsidRPr="00006528">
              <w:rPr>
                <w:rFonts w:ascii="Times New Roman" w:eastAsia="Times New Roman" w:hAnsi="Times New Roman" w:cs="Times New Roman"/>
                <w:bCs/>
                <w:sz w:val="24"/>
                <w:szCs w:val="24"/>
                <w:lang w:eastAsia="de-DE"/>
              </w:rPr>
              <w:t xml:space="preserve">gada 31. </w:t>
            </w:r>
            <w:r>
              <w:rPr>
                <w:rFonts w:ascii="Times New Roman" w:eastAsia="Times New Roman" w:hAnsi="Times New Roman" w:cs="Times New Roman"/>
                <w:bCs/>
                <w:sz w:val="24"/>
                <w:szCs w:val="24"/>
                <w:lang w:eastAsia="de-DE"/>
              </w:rPr>
              <w:t> </w:t>
            </w:r>
            <w:r w:rsidRPr="00006528">
              <w:rPr>
                <w:rFonts w:ascii="Times New Roman" w:eastAsia="Times New Roman" w:hAnsi="Times New Roman" w:cs="Times New Roman"/>
                <w:bCs/>
                <w:sz w:val="24"/>
                <w:szCs w:val="24"/>
                <w:lang w:eastAsia="de-DE"/>
              </w:rPr>
              <w:t>decembrim.</w:t>
            </w:r>
          </w:p>
        </w:tc>
        <w:tc>
          <w:tcPr>
            <w:tcW w:w="3544" w:type="dxa"/>
            <w:vAlign w:val="center"/>
          </w:tcPr>
          <w:p w14:paraId="787952D2" w14:textId="00B6F6C1" w:rsidR="004E1D5E" w:rsidRPr="00006528" w:rsidRDefault="004E1D5E" w:rsidP="00006528">
            <w:pPr>
              <w:numPr>
                <w:ilvl w:val="0"/>
                <w:numId w:val="13"/>
              </w:numPr>
              <w:spacing w:line="276" w:lineRule="auto"/>
              <w:ind w:left="0" w:firstLine="0"/>
              <w:contextualSpacing/>
              <w:rPr>
                <w:rFonts w:ascii="Times New Roman" w:eastAsia="Calibri" w:hAnsi="Times New Roman" w:cs="Times New Roman"/>
                <w:sz w:val="24"/>
                <w:szCs w:val="24"/>
                <w:lang w:eastAsia="da-DK"/>
              </w:rPr>
            </w:pPr>
            <w:r w:rsidRPr="00006528">
              <w:rPr>
                <w:rFonts w:ascii="Times New Roman" w:eastAsia="Calibri" w:hAnsi="Times New Roman" w:cs="Times New Roman"/>
                <w:sz w:val="24"/>
                <w:szCs w:val="24"/>
                <w:lang w:eastAsia="da-DK"/>
              </w:rPr>
              <w:t>Vidējais siltumenerģijas patēriņš apkurei</w:t>
            </w:r>
            <w:r w:rsidR="00F54EAD">
              <w:rPr>
                <w:rFonts w:ascii="Times New Roman" w:eastAsia="Calibri" w:hAnsi="Times New Roman" w:cs="Times New Roman"/>
                <w:sz w:val="24"/>
                <w:szCs w:val="24"/>
                <w:lang w:eastAsia="da-DK"/>
              </w:rPr>
              <w:t xml:space="preserve"> - ne vairāk kā </w:t>
            </w:r>
            <w:r w:rsidRPr="00006528">
              <w:rPr>
                <w:rFonts w:ascii="Times New Roman" w:eastAsia="Calibri" w:hAnsi="Times New Roman" w:cs="Times New Roman"/>
                <w:sz w:val="24"/>
                <w:szCs w:val="24"/>
                <w:lang w:eastAsia="da-DK"/>
              </w:rPr>
              <w:t>120</w:t>
            </w:r>
            <w:r w:rsidR="00F54EAD">
              <w:rPr>
                <w:rFonts w:ascii="Times New Roman" w:eastAsia="Calibri" w:hAnsi="Times New Roman" w:cs="Times New Roman"/>
                <w:sz w:val="24"/>
                <w:szCs w:val="24"/>
                <w:lang w:eastAsia="da-DK"/>
              </w:rPr>
              <w:t xml:space="preserve"> kWh/m2 </w:t>
            </w:r>
            <w:r w:rsidR="00F54EAD" w:rsidRPr="00006528">
              <w:rPr>
                <w:rFonts w:ascii="Times New Roman" w:eastAsia="Calibri" w:hAnsi="Times New Roman" w:cs="Times New Roman"/>
                <w:sz w:val="24"/>
                <w:szCs w:val="24"/>
                <w:lang w:eastAsia="da-DK"/>
              </w:rPr>
              <w:t>gadā</w:t>
            </w:r>
            <w:r w:rsidRPr="00006528">
              <w:rPr>
                <w:rFonts w:ascii="Times New Roman" w:eastAsia="Calibri" w:hAnsi="Times New Roman" w:cs="Times New Roman"/>
                <w:sz w:val="24"/>
                <w:szCs w:val="24"/>
                <w:lang w:eastAsia="da-DK"/>
              </w:rPr>
              <w:t xml:space="preserve"> (patēriņš 2012.gadā – 150)</w:t>
            </w:r>
          </w:p>
          <w:p w14:paraId="616B2A4A" w14:textId="57BB24B2" w:rsidR="004E1D5E" w:rsidRPr="00006528" w:rsidRDefault="004E1D5E" w:rsidP="00733665">
            <w:pPr>
              <w:numPr>
                <w:ilvl w:val="0"/>
                <w:numId w:val="13"/>
              </w:numPr>
              <w:spacing w:line="276" w:lineRule="auto"/>
              <w:ind w:left="0" w:firstLine="0"/>
              <w:contextualSpacing/>
              <w:rPr>
                <w:rFonts w:ascii="Times New Roman" w:eastAsia="Calibri" w:hAnsi="Times New Roman" w:cs="Times New Roman"/>
                <w:sz w:val="24"/>
                <w:szCs w:val="24"/>
                <w:lang w:eastAsia="da-DK"/>
              </w:rPr>
            </w:pPr>
            <w:r w:rsidRPr="00006528">
              <w:rPr>
                <w:rFonts w:ascii="Times New Roman" w:eastAsia="Calibri" w:hAnsi="Times New Roman" w:cs="Times New Roman"/>
                <w:sz w:val="24"/>
                <w:szCs w:val="24"/>
                <w:lang w:eastAsia="da-DK"/>
              </w:rPr>
              <w:lastRenderedPageBreak/>
              <w:t xml:space="preserve">Primārās enerģijas patēriņa samazinājums publiskajās ēkās – </w:t>
            </w:r>
            <w:r w:rsidR="00733665" w:rsidRPr="00733665">
              <w:rPr>
                <w:rFonts w:ascii="Times New Roman" w:eastAsia="Calibri" w:hAnsi="Times New Roman" w:cs="Times New Roman"/>
                <w:sz w:val="24"/>
                <w:szCs w:val="24"/>
                <w:lang w:eastAsia="da-DK"/>
              </w:rPr>
              <w:t>vismaz 20 536 239 kilovatstundas gadā</w:t>
            </w:r>
          </w:p>
          <w:p w14:paraId="00AFB998" w14:textId="6E235530" w:rsidR="00F54EAD" w:rsidRPr="00F54EAD" w:rsidRDefault="004E1D5E" w:rsidP="00F54EAD">
            <w:pPr>
              <w:numPr>
                <w:ilvl w:val="0"/>
                <w:numId w:val="13"/>
              </w:numPr>
              <w:spacing w:line="276" w:lineRule="auto"/>
              <w:ind w:left="0" w:firstLine="0"/>
              <w:contextualSpacing/>
              <w:rPr>
                <w:rFonts w:ascii="Times New Roman" w:eastAsia="Times New Roman" w:hAnsi="Times New Roman" w:cs="Times New Roman"/>
                <w:bCs/>
                <w:sz w:val="24"/>
                <w:szCs w:val="24"/>
                <w:lang w:eastAsia="de-DE"/>
              </w:rPr>
            </w:pPr>
            <w:r w:rsidRPr="00006528">
              <w:rPr>
                <w:rFonts w:ascii="Times New Roman" w:eastAsia="Calibri" w:hAnsi="Times New Roman" w:cs="Times New Roman"/>
                <w:sz w:val="24"/>
                <w:szCs w:val="24"/>
                <w:lang w:eastAsia="da-DK"/>
              </w:rPr>
              <w:t>No atjaunojamiem energoresursiem ražotā papildjauda – 1,</w:t>
            </w:r>
            <w:r w:rsidR="002027DA">
              <w:rPr>
                <w:rFonts w:ascii="Times New Roman" w:eastAsia="Calibri" w:hAnsi="Times New Roman" w:cs="Times New Roman"/>
                <w:sz w:val="24"/>
                <w:szCs w:val="24"/>
                <w:lang w:eastAsia="da-DK"/>
              </w:rPr>
              <w:t>8</w:t>
            </w:r>
            <w:r w:rsidRPr="00006528">
              <w:rPr>
                <w:rFonts w:ascii="Times New Roman" w:eastAsia="Calibri" w:hAnsi="Times New Roman" w:cs="Times New Roman"/>
                <w:sz w:val="24"/>
                <w:szCs w:val="24"/>
                <w:lang w:eastAsia="da-DK"/>
              </w:rPr>
              <w:t xml:space="preserve"> MW</w:t>
            </w:r>
          </w:p>
        </w:tc>
        <w:tc>
          <w:tcPr>
            <w:tcW w:w="1275" w:type="dxa"/>
            <w:vAlign w:val="center"/>
          </w:tcPr>
          <w:p w14:paraId="706FA5A7" w14:textId="26853FD2" w:rsidR="00DA2BC4" w:rsidRPr="004E1D5E" w:rsidRDefault="00733665" w:rsidP="004E1D5E">
            <w:pPr>
              <w:spacing w:line="276" w:lineRule="auto"/>
              <w:jc w:val="center"/>
              <w:rPr>
                <w:rFonts w:ascii="Times New Roman" w:eastAsia="Times New Roman" w:hAnsi="Times New Roman" w:cs="Times New Roman"/>
                <w:bCs/>
                <w:sz w:val="24"/>
                <w:szCs w:val="24"/>
                <w:lang w:eastAsia="de-DE"/>
              </w:rPr>
            </w:pPr>
            <w:r>
              <w:rPr>
                <w:rFonts w:ascii="Times New Roman" w:eastAsia="Times New Roman" w:hAnsi="Times New Roman" w:cs="Times New Roman"/>
                <w:sz w:val="24"/>
                <w:szCs w:val="24"/>
                <w:lang w:eastAsia="de-DE"/>
              </w:rPr>
              <w:lastRenderedPageBreak/>
              <w:t>47</w:t>
            </w:r>
            <w:r w:rsidR="004E1D5E">
              <w:rPr>
                <w:rFonts w:ascii="Times New Roman" w:eastAsia="Times New Roman" w:hAnsi="Times New Roman" w:cs="Times New Roman"/>
                <w:bCs/>
                <w:sz w:val="24"/>
                <w:szCs w:val="24"/>
                <w:lang w:eastAsia="de-DE"/>
              </w:rPr>
              <w:t xml:space="preserve"> </w:t>
            </w:r>
          </w:p>
        </w:tc>
      </w:tr>
    </w:tbl>
    <w:p w14:paraId="047C09AA" w14:textId="4698B011" w:rsidR="00990903" w:rsidRPr="00006528" w:rsidRDefault="00990903" w:rsidP="00006528">
      <w:pPr>
        <w:spacing w:after="0" w:line="276" w:lineRule="auto"/>
        <w:jc w:val="both"/>
        <w:rPr>
          <w:rFonts w:ascii="Times New Roman" w:hAnsi="Times New Roman" w:cs="Times New Roman"/>
          <w:sz w:val="24"/>
          <w:szCs w:val="24"/>
        </w:rPr>
      </w:pPr>
    </w:p>
    <w:p w14:paraId="50C61AB5" w14:textId="48C78D80" w:rsidR="00990903" w:rsidRPr="00FC1321" w:rsidRDefault="00990903" w:rsidP="00BF58E9">
      <w:pPr>
        <w:pStyle w:val="apakvirsraksts"/>
        <w:spacing w:before="360"/>
        <w:ind w:left="788" w:hanging="431"/>
      </w:pPr>
      <w:bookmarkStart w:id="88" w:name="_Toc482106116"/>
      <w:bookmarkStart w:id="89" w:name="_Toc482106117"/>
      <w:bookmarkStart w:id="90" w:name="_Toc482106122"/>
      <w:bookmarkStart w:id="91" w:name="_Toc482106123"/>
      <w:bookmarkStart w:id="92" w:name="_Toc482092364"/>
      <w:bookmarkStart w:id="93" w:name="_Toc482106202"/>
      <w:bookmarkStart w:id="94" w:name="_Toc480527971"/>
      <w:bookmarkStart w:id="95" w:name="_Toc491870920"/>
      <w:bookmarkEnd w:id="88"/>
      <w:bookmarkEnd w:id="89"/>
      <w:bookmarkEnd w:id="90"/>
      <w:bookmarkEnd w:id="91"/>
      <w:bookmarkEnd w:id="92"/>
      <w:bookmarkEnd w:id="93"/>
      <w:r w:rsidRPr="00FC1321">
        <w:t>Valsts un pašvaldības tiešais atbalsts energoefektivitātes paaugstināšanas pasākumu īstenošanai</w:t>
      </w:r>
      <w:bookmarkEnd w:id="94"/>
      <w:bookmarkEnd w:id="95"/>
    </w:p>
    <w:p w14:paraId="3353C5C8" w14:textId="77777777" w:rsidR="006C5165" w:rsidRPr="008E4EB0" w:rsidRDefault="006C5165" w:rsidP="007B2931">
      <w:pPr>
        <w:spacing w:after="0" w:line="276" w:lineRule="auto"/>
        <w:jc w:val="both"/>
        <w:rPr>
          <w:rFonts w:ascii="Times New Roman" w:hAnsi="Times New Roman" w:cs="Times New Roman"/>
          <w:sz w:val="24"/>
          <w:szCs w:val="24"/>
        </w:rPr>
      </w:pPr>
    </w:p>
    <w:p w14:paraId="4D42EE28" w14:textId="77777777" w:rsidR="006F16AD" w:rsidRPr="008E4EB0" w:rsidRDefault="006F16AD" w:rsidP="007B2931">
      <w:pPr>
        <w:spacing w:after="0" w:line="276" w:lineRule="auto"/>
        <w:ind w:firstLine="817"/>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Latvijā līdz šim valsts vai pašvaldību budžeta finansējuma piesaiste ēku energoefektivitātes pasākumu īstenošanai bijusi salīdzinoši nelielos apjomos. Iemesli šādai praksei ir ierobežotās budžeta iespējas, kā arī fakts, ka valsts un pašvaldību budžets tiek plānots termiņos līdz 3 gadiem.</w:t>
      </w:r>
    </w:p>
    <w:p w14:paraId="61662E45" w14:textId="6EECC8AE" w:rsidR="006F16AD" w:rsidRPr="008E4EB0" w:rsidRDefault="006F16AD" w:rsidP="007B2931">
      <w:pPr>
        <w:spacing w:after="0" w:line="276" w:lineRule="auto"/>
        <w:ind w:firstLine="817"/>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Pašvaldības atbalstu ēku energoefektivitātes pasākumu īstenošanai sniedz saskaņā ar saistošajiem noteikumiem, kas izdoti saskaņā ar likuma „Par palīdzību dzīvokļa jautājumu risināšanā” 27.</w:t>
      </w:r>
      <w:r w:rsidRPr="0010559E">
        <w:rPr>
          <w:rFonts w:ascii="Times New Roman" w:eastAsia="Calibri" w:hAnsi="Times New Roman" w:cs="Times New Roman"/>
          <w:sz w:val="24"/>
          <w:szCs w:val="24"/>
          <w:vertAlign w:val="superscript"/>
        </w:rPr>
        <w:t>2</w:t>
      </w:r>
      <w:r w:rsidR="0010559E">
        <w:rPr>
          <w:rFonts w:ascii="Times New Roman" w:eastAsia="Calibri" w:hAnsi="Times New Roman" w:cs="Times New Roman"/>
          <w:sz w:val="24"/>
          <w:szCs w:val="24"/>
          <w:vertAlign w:val="superscript"/>
        </w:rPr>
        <w:t> </w:t>
      </w:r>
      <w:r w:rsidRPr="008E4EB0">
        <w:rPr>
          <w:rFonts w:ascii="Times New Roman" w:eastAsia="Calibri" w:hAnsi="Times New Roman" w:cs="Times New Roman"/>
          <w:sz w:val="24"/>
          <w:szCs w:val="24"/>
        </w:rPr>
        <w:t xml:space="preserve">panta otrās daļas 4.punktu un piekto daļu. Atbilstošus saistošos noteikumus ir pieņēmušas Daugavpils, Liepājas, Rēzeknes, Rīgas un Ventspils pašvaldības.  </w:t>
      </w:r>
    </w:p>
    <w:p w14:paraId="2809F4FE" w14:textId="61B65825" w:rsidR="006F16AD" w:rsidRPr="008E4EB0" w:rsidRDefault="006F16AD" w:rsidP="007B2931">
      <w:pPr>
        <w:spacing w:after="0" w:line="276" w:lineRule="auto"/>
        <w:ind w:firstLine="817"/>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 xml:space="preserve">Atbilstoši Ministru kabineta 2011.gada 22.novembra noteikumiem Nr. 891 ”Noteikumi par valsts statistikas pārskatu par pašvaldību palīdzību dzīvokļa jautājumu risināšanā”, kas izstrādāti saskaņā ar likuma „Par palīdzību dzīvokļa jautājumu risināšanā”  prasībām,  pilsētu un novadu pašvaldībām jāsniedz pārskats par pašvaldību palīdzību dzīvokļa jautājumu risināšanā, tostarp par piešķirto pašvaldības palīdzību dzīvojamās mājas </w:t>
      </w:r>
      <w:r w:rsidR="00CE0F55" w:rsidRPr="008E4EB0">
        <w:rPr>
          <w:rFonts w:ascii="Times New Roman" w:eastAsia="Calibri" w:hAnsi="Times New Roman" w:cs="Times New Roman"/>
          <w:sz w:val="24"/>
          <w:szCs w:val="24"/>
        </w:rPr>
        <w:t>atjaunošana</w:t>
      </w:r>
      <w:r w:rsidRPr="008E4EB0">
        <w:rPr>
          <w:rFonts w:ascii="Times New Roman" w:eastAsia="Calibri" w:hAnsi="Times New Roman" w:cs="Times New Roman"/>
          <w:sz w:val="24"/>
          <w:szCs w:val="24"/>
        </w:rPr>
        <w:t xml:space="preserve">i, restaurācijai un zemesgabala labiekārtošanai. Pārskati pilnībā pieejami </w:t>
      </w:r>
      <w:hyperlink r:id="rId19" w:history="1">
        <w:r w:rsidRPr="008E4EB0">
          <w:rPr>
            <w:rFonts w:ascii="Times New Roman" w:eastAsia="Calibri" w:hAnsi="Times New Roman" w:cs="Times New Roman"/>
            <w:sz w:val="24"/>
            <w:szCs w:val="24"/>
          </w:rPr>
          <w:t>EM tīmekļa vietnē</w:t>
        </w:r>
      </w:hyperlink>
      <w:r w:rsidRPr="008E4EB0">
        <w:rPr>
          <w:rFonts w:ascii="Times New Roman" w:eastAsia="Calibri" w:hAnsi="Times New Roman" w:cs="Times New Roman"/>
          <w:sz w:val="24"/>
          <w:szCs w:val="24"/>
        </w:rPr>
        <w:t xml:space="preserve">. </w:t>
      </w:r>
      <w:r w:rsidR="00F749EA">
        <w:rPr>
          <w:rFonts w:ascii="Times New Roman" w:eastAsia="Calibri" w:hAnsi="Times New Roman" w:cs="Times New Roman"/>
          <w:sz w:val="24"/>
          <w:szCs w:val="24"/>
        </w:rPr>
        <w:t>19</w:t>
      </w:r>
      <w:r w:rsidRPr="008E4EB0">
        <w:rPr>
          <w:rFonts w:ascii="Times New Roman" w:eastAsia="Calibri" w:hAnsi="Times New Roman" w:cs="Times New Roman"/>
          <w:sz w:val="24"/>
          <w:szCs w:val="24"/>
        </w:rPr>
        <w:t xml:space="preserve">. un </w:t>
      </w:r>
      <w:r w:rsidR="00F749EA">
        <w:rPr>
          <w:rFonts w:ascii="Times New Roman" w:eastAsia="Calibri" w:hAnsi="Times New Roman" w:cs="Times New Roman"/>
          <w:sz w:val="24"/>
          <w:szCs w:val="24"/>
        </w:rPr>
        <w:t>20</w:t>
      </w:r>
      <w:r w:rsidRPr="008E4EB0">
        <w:rPr>
          <w:rFonts w:ascii="Times New Roman" w:eastAsia="Calibri" w:hAnsi="Times New Roman" w:cs="Times New Roman"/>
          <w:sz w:val="24"/>
          <w:szCs w:val="24"/>
        </w:rPr>
        <w:t xml:space="preserve">. tabulā apskatāmi dati no jaunākā pārskata par pašvaldības palīdzību tieši ar energoefektivitāti un </w:t>
      </w:r>
      <w:r w:rsidR="00CE0F55" w:rsidRPr="008E4EB0">
        <w:rPr>
          <w:rFonts w:ascii="Times New Roman" w:eastAsia="Calibri" w:hAnsi="Times New Roman" w:cs="Times New Roman"/>
          <w:sz w:val="24"/>
          <w:szCs w:val="24"/>
        </w:rPr>
        <w:t>atjaunošanu</w:t>
      </w:r>
      <w:r w:rsidRPr="008E4EB0">
        <w:rPr>
          <w:rFonts w:ascii="Times New Roman" w:eastAsia="Calibri" w:hAnsi="Times New Roman" w:cs="Times New Roman"/>
          <w:sz w:val="24"/>
          <w:szCs w:val="24"/>
        </w:rPr>
        <w:t xml:space="preserve"> saistītajos jautājumos.</w:t>
      </w:r>
    </w:p>
    <w:p w14:paraId="21088BA4" w14:textId="2B607F13" w:rsidR="006F16AD" w:rsidRPr="008E4EB0" w:rsidRDefault="006F16AD" w:rsidP="007B2931">
      <w:pPr>
        <w:spacing w:after="0" w:line="276" w:lineRule="auto"/>
        <w:ind w:firstLine="817"/>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 xml:space="preserve">Kopš 2009.gada 1014 ēkām ir sniegta pašvaldību palīdzība energoefektivitātes pasākumu veikšanai un 294 dzīvojamās mājas ir </w:t>
      </w:r>
      <w:r w:rsidR="00CE0F55" w:rsidRPr="008E4EB0">
        <w:rPr>
          <w:rFonts w:ascii="Times New Roman" w:eastAsia="Calibri" w:hAnsi="Times New Roman" w:cs="Times New Roman"/>
          <w:sz w:val="24"/>
          <w:szCs w:val="24"/>
        </w:rPr>
        <w:t>atjaunotas</w:t>
      </w:r>
      <w:r w:rsidRPr="008E4EB0">
        <w:rPr>
          <w:rFonts w:ascii="Times New Roman" w:eastAsia="Calibri" w:hAnsi="Times New Roman" w:cs="Times New Roman"/>
          <w:sz w:val="24"/>
          <w:szCs w:val="24"/>
        </w:rPr>
        <w:t xml:space="preserve">, lielākais skaits </w:t>
      </w:r>
      <w:r w:rsidR="00CE0F55" w:rsidRPr="008E4EB0">
        <w:rPr>
          <w:rFonts w:ascii="Times New Roman" w:eastAsia="Calibri" w:hAnsi="Times New Roman" w:cs="Times New Roman"/>
          <w:sz w:val="24"/>
          <w:szCs w:val="24"/>
        </w:rPr>
        <w:t>atjaunoto</w:t>
      </w:r>
      <w:r w:rsidRPr="008E4EB0">
        <w:rPr>
          <w:rFonts w:ascii="Times New Roman" w:eastAsia="Calibri" w:hAnsi="Times New Roman" w:cs="Times New Roman"/>
          <w:sz w:val="24"/>
          <w:szCs w:val="24"/>
        </w:rPr>
        <w:t xml:space="preserve"> ēku ir 2012.gadā, kad pašvaldībās aktīvi notika sociālo dzīvojamo māju </w:t>
      </w:r>
      <w:r w:rsidR="00CE0F55" w:rsidRPr="008E4EB0">
        <w:rPr>
          <w:rFonts w:ascii="Times New Roman" w:eastAsia="Calibri" w:hAnsi="Times New Roman" w:cs="Times New Roman"/>
          <w:sz w:val="24"/>
          <w:szCs w:val="24"/>
        </w:rPr>
        <w:t>atjaunošana</w:t>
      </w:r>
      <w:r w:rsidR="009E1DA3" w:rsidRPr="008E4EB0">
        <w:rPr>
          <w:rFonts w:ascii="Times New Roman" w:eastAsia="Calibri" w:hAnsi="Times New Roman" w:cs="Times New Roman"/>
          <w:sz w:val="24"/>
          <w:szCs w:val="24"/>
        </w:rPr>
        <w:t xml:space="preserve"> (</w:t>
      </w:r>
      <w:r w:rsidR="00F749EA" w:rsidRPr="008E4EB0">
        <w:rPr>
          <w:rFonts w:ascii="Times New Roman" w:eastAsia="Calibri" w:hAnsi="Times New Roman" w:cs="Times New Roman"/>
          <w:sz w:val="24"/>
          <w:szCs w:val="24"/>
        </w:rPr>
        <w:t>2</w:t>
      </w:r>
      <w:r w:rsidR="00F749EA">
        <w:rPr>
          <w:rFonts w:ascii="Times New Roman" w:eastAsia="Calibri" w:hAnsi="Times New Roman" w:cs="Times New Roman"/>
          <w:sz w:val="24"/>
          <w:szCs w:val="24"/>
        </w:rPr>
        <w:t>1</w:t>
      </w:r>
      <w:r w:rsidR="009E1DA3" w:rsidRPr="008E4EB0">
        <w:rPr>
          <w:rFonts w:ascii="Times New Roman" w:eastAsia="Calibri" w:hAnsi="Times New Roman" w:cs="Times New Roman"/>
          <w:sz w:val="24"/>
          <w:szCs w:val="24"/>
        </w:rPr>
        <w:t>.tabula).</w:t>
      </w:r>
    </w:p>
    <w:p w14:paraId="5FE1E479" w14:textId="77777777" w:rsidR="006F16AD" w:rsidRPr="008E4EB0" w:rsidRDefault="006F16AD" w:rsidP="007B2931">
      <w:pPr>
        <w:pStyle w:val="ListParagraph"/>
        <w:spacing w:after="0" w:line="276" w:lineRule="auto"/>
        <w:ind w:left="525"/>
        <w:rPr>
          <w:rFonts w:ascii="Times New Roman" w:hAnsi="Times New Roman" w:cs="Times New Roman"/>
          <w:b/>
          <w:sz w:val="24"/>
          <w:szCs w:val="24"/>
        </w:rPr>
      </w:pPr>
    </w:p>
    <w:p w14:paraId="7806E440" w14:textId="2FF7CA81" w:rsidR="006F16AD" w:rsidRPr="008E4EB0" w:rsidRDefault="00F749EA" w:rsidP="001E0950">
      <w:pPr>
        <w:pStyle w:val="ListParagraph"/>
        <w:keepNext/>
        <w:keepLines/>
        <w:spacing w:after="0" w:line="276" w:lineRule="auto"/>
        <w:ind w:left="52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19</w:t>
      </w:r>
      <w:r w:rsidR="006F16AD" w:rsidRPr="008E4EB0">
        <w:rPr>
          <w:rFonts w:ascii="Times New Roman" w:eastAsia="Calibri" w:hAnsi="Times New Roman" w:cs="Times New Roman"/>
          <w:sz w:val="24"/>
          <w:szCs w:val="24"/>
        </w:rPr>
        <w:t>.tabula. Pašvaldību palīdzība energoefektivitātes pasākumu veikšanai dzīvojamās mājās 2016. gadā</w:t>
      </w:r>
      <w:r w:rsidR="006F16AD" w:rsidRPr="008E4EB0">
        <w:rPr>
          <w:rFonts w:ascii="Times New Roman" w:eastAsia="Calibri" w:hAnsi="Times New Roman" w:cs="Times New Roman"/>
          <w:sz w:val="24"/>
          <w:szCs w:val="24"/>
          <w:vertAlign w:val="superscript"/>
        </w:rPr>
        <w:footnoteReference w:id="2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18"/>
        <w:gridCol w:w="2693"/>
        <w:gridCol w:w="2835"/>
      </w:tblGrid>
      <w:tr w:rsidR="006F16AD" w:rsidRPr="008E4EB0" w14:paraId="5ACB1DDF" w14:textId="77777777" w:rsidTr="00B744FC">
        <w:trPr>
          <w:trHeight w:val="170"/>
        </w:trPr>
        <w:tc>
          <w:tcPr>
            <w:tcW w:w="3118" w:type="dxa"/>
            <w:shd w:val="clear" w:color="auto" w:fill="auto"/>
            <w:vAlign w:val="center"/>
          </w:tcPr>
          <w:p w14:paraId="3B6F537A" w14:textId="77777777" w:rsidR="006F16AD" w:rsidRPr="008E4EB0" w:rsidRDefault="006F16AD" w:rsidP="001E0950">
            <w:pPr>
              <w:keepNext/>
              <w:spacing w:after="0" w:line="276" w:lineRule="auto"/>
              <w:ind w:firstLine="851"/>
              <w:jc w:val="center"/>
              <w:rPr>
                <w:rFonts w:ascii="Times New Roman" w:hAnsi="Times New Roman" w:cs="Times New Roman"/>
                <w:b/>
                <w:bCs/>
                <w:color w:val="000000"/>
                <w:sz w:val="24"/>
                <w:szCs w:val="24"/>
              </w:rPr>
            </w:pPr>
          </w:p>
        </w:tc>
        <w:tc>
          <w:tcPr>
            <w:tcW w:w="2693" w:type="dxa"/>
            <w:shd w:val="clear" w:color="auto" w:fill="auto"/>
            <w:vAlign w:val="center"/>
          </w:tcPr>
          <w:p w14:paraId="38E23C46" w14:textId="77777777" w:rsidR="006F16AD" w:rsidRPr="008E4EB0" w:rsidRDefault="006F16AD" w:rsidP="001E0950">
            <w:pPr>
              <w:keepNext/>
              <w:spacing w:after="0" w:line="276" w:lineRule="auto"/>
              <w:ind w:firstLine="34"/>
              <w:jc w:val="center"/>
              <w:rPr>
                <w:rFonts w:ascii="Times New Roman" w:hAnsi="Times New Roman" w:cs="Times New Roman"/>
                <w:b/>
                <w:bCs/>
                <w:color w:val="000000"/>
                <w:sz w:val="24"/>
                <w:szCs w:val="24"/>
              </w:rPr>
            </w:pPr>
            <w:r w:rsidRPr="008E4EB0">
              <w:rPr>
                <w:rFonts w:ascii="Times New Roman" w:hAnsi="Times New Roman" w:cs="Times New Roman"/>
                <w:b/>
                <w:bCs/>
                <w:color w:val="000000"/>
                <w:sz w:val="24"/>
                <w:szCs w:val="24"/>
              </w:rPr>
              <w:t>Dzīvojamo māju skaits</w:t>
            </w:r>
          </w:p>
        </w:tc>
        <w:tc>
          <w:tcPr>
            <w:tcW w:w="2835" w:type="dxa"/>
            <w:shd w:val="clear" w:color="auto" w:fill="auto"/>
            <w:vAlign w:val="center"/>
          </w:tcPr>
          <w:p w14:paraId="5A2F11CF" w14:textId="1E3FB642" w:rsidR="006F16AD" w:rsidRPr="008E4EB0" w:rsidRDefault="006F16AD" w:rsidP="001E0950">
            <w:pPr>
              <w:keepNext/>
              <w:spacing w:after="0" w:line="276" w:lineRule="auto"/>
              <w:ind w:firstLine="34"/>
              <w:jc w:val="center"/>
              <w:rPr>
                <w:rFonts w:ascii="Times New Roman" w:hAnsi="Times New Roman" w:cs="Times New Roman"/>
                <w:b/>
                <w:bCs/>
                <w:color w:val="000000"/>
                <w:sz w:val="24"/>
                <w:szCs w:val="24"/>
              </w:rPr>
            </w:pPr>
            <w:r w:rsidRPr="008E4EB0">
              <w:rPr>
                <w:rFonts w:ascii="Times New Roman" w:hAnsi="Times New Roman" w:cs="Times New Roman"/>
                <w:b/>
                <w:bCs/>
                <w:color w:val="000000"/>
                <w:sz w:val="24"/>
                <w:szCs w:val="24"/>
              </w:rPr>
              <w:t xml:space="preserve">Pašvaldību finansējums, </w:t>
            </w:r>
            <w:r w:rsidR="008E4EB0">
              <w:rPr>
                <w:rFonts w:ascii="Times New Roman" w:hAnsi="Times New Roman" w:cs="Times New Roman"/>
                <w:b/>
                <w:bCs/>
                <w:color w:val="000000"/>
                <w:sz w:val="24"/>
                <w:szCs w:val="24"/>
                <w:lang w:eastAsia="lv-LV"/>
              </w:rPr>
              <w:t>euro</w:t>
            </w:r>
          </w:p>
        </w:tc>
      </w:tr>
      <w:tr w:rsidR="006F16AD" w:rsidRPr="008E4EB0" w14:paraId="11B962B0" w14:textId="77777777" w:rsidTr="00B744FC">
        <w:trPr>
          <w:trHeight w:val="170"/>
        </w:trPr>
        <w:tc>
          <w:tcPr>
            <w:tcW w:w="3118" w:type="dxa"/>
            <w:shd w:val="clear" w:color="auto" w:fill="auto"/>
            <w:vAlign w:val="center"/>
          </w:tcPr>
          <w:p w14:paraId="3D45CE87" w14:textId="77777777" w:rsidR="006F16AD" w:rsidRPr="008E4EB0" w:rsidRDefault="006F16AD" w:rsidP="001E0950">
            <w:pPr>
              <w:keepNext/>
              <w:spacing w:after="0" w:line="276" w:lineRule="auto"/>
              <w:ind w:firstLine="33"/>
              <w:jc w:val="center"/>
              <w:rPr>
                <w:rFonts w:ascii="Times New Roman" w:hAnsi="Times New Roman" w:cs="Times New Roman"/>
                <w:bCs/>
                <w:color w:val="000000"/>
                <w:sz w:val="24"/>
                <w:szCs w:val="24"/>
              </w:rPr>
            </w:pPr>
            <w:r w:rsidRPr="008E4EB0">
              <w:rPr>
                <w:rFonts w:ascii="Times New Roman" w:hAnsi="Times New Roman" w:cs="Times New Roman"/>
                <w:b/>
                <w:bCs/>
                <w:color w:val="000000"/>
                <w:sz w:val="24"/>
                <w:szCs w:val="24"/>
              </w:rPr>
              <w:t>Daugavpils pilsēta</w:t>
            </w:r>
          </w:p>
        </w:tc>
        <w:tc>
          <w:tcPr>
            <w:tcW w:w="2693" w:type="dxa"/>
            <w:shd w:val="clear" w:color="auto" w:fill="auto"/>
            <w:vAlign w:val="center"/>
          </w:tcPr>
          <w:p w14:paraId="3A10D4B4" w14:textId="77777777" w:rsidR="006F16AD" w:rsidRPr="008E4EB0" w:rsidRDefault="006F16AD" w:rsidP="001E0950">
            <w:pPr>
              <w:keepNext/>
              <w:spacing w:after="0" w:line="276" w:lineRule="auto"/>
              <w:ind w:firstLine="34"/>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5</w:t>
            </w:r>
          </w:p>
        </w:tc>
        <w:tc>
          <w:tcPr>
            <w:tcW w:w="2835" w:type="dxa"/>
            <w:shd w:val="clear" w:color="auto" w:fill="auto"/>
            <w:vAlign w:val="center"/>
          </w:tcPr>
          <w:p w14:paraId="32BCD80E" w14:textId="77777777" w:rsidR="006F16AD" w:rsidRPr="008E4EB0" w:rsidRDefault="006F16AD" w:rsidP="001E0950">
            <w:pPr>
              <w:keepNext/>
              <w:spacing w:after="0" w:line="276" w:lineRule="auto"/>
              <w:ind w:firstLine="34"/>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27310</w:t>
            </w:r>
          </w:p>
        </w:tc>
      </w:tr>
      <w:tr w:rsidR="006F16AD" w:rsidRPr="008E4EB0" w14:paraId="65BD6A98" w14:textId="77777777" w:rsidTr="00B744FC">
        <w:trPr>
          <w:trHeight w:val="170"/>
        </w:trPr>
        <w:tc>
          <w:tcPr>
            <w:tcW w:w="3118" w:type="dxa"/>
            <w:shd w:val="clear" w:color="auto" w:fill="auto"/>
            <w:vAlign w:val="center"/>
          </w:tcPr>
          <w:p w14:paraId="100BA600" w14:textId="77777777" w:rsidR="006F16AD" w:rsidRPr="008E4EB0" w:rsidRDefault="006F16AD" w:rsidP="007B2931">
            <w:pPr>
              <w:spacing w:after="0" w:line="276" w:lineRule="auto"/>
              <w:ind w:firstLine="33"/>
              <w:jc w:val="center"/>
              <w:rPr>
                <w:rFonts w:ascii="Times New Roman" w:hAnsi="Times New Roman" w:cs="Times New Roman"/>
                <w:bCs/>
                <w:color w:val="000000"/>
                <w:sz w:val="24"/>
                <w:szCs w:val="24"/>
              </w:rPr>
            </w:pPr>
            <w:r w:rsidRPr="008E4EB0">
              <w:rPr>
                <w:rFonts w:ascii="Times New Roman" w:hAnsi="Times New Roman" w:cs="Times New Roman"/>
                <w:b/>
                <w:bCs/>
                <w:color w:val="000000"/>
                <w:sz w:val="24"/>
                <w:szCs w:val="24"/>
              </w:rPr>
              <w:t>Valmieras pilsēta</w:t>
            </w:r>
          </w:p>
        </w:tc>
        <w:tc>
          <w:tcPr>
            <w:tcW w:w="2693" w:type="dxa"/>
            <w:shd w:val="clear" w:color="auto" w:fill="auto"/>
            <w:vAlign w:val="center"/>
          </w:tcPr>
          <w:p w14:paraId="29EBF9FC" w14:textId="77777777" w:rsidR="006F16AD" w:rsidRPr="008E4EB0" w:rsidRDefault="006F16AD" w:rsidP="007B2931">
            <w:pPr>
              <w:spacing w:after="0" w:line="276" w:lineRule="auto"/>
              <w:ind w:firstLine="34"/>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2</w:t>
            </w:r>
          </w:p>
        </w:tc>
        <w:tc>
          <w:tcPr>
            <w:tcW w:w="2835" w:type="dxa"/>
            <w:shd w:val="clear" w:color="auto" w:fill="auto"/>
            <w:vAlign w:val="center"/>
          </w:tcPr>
          <w:p w14:paraId="5CE203EC" w14:textId="77777777" w:rsidR="006F16AD" w:rsidRPr="008E4EB0" w:rsidRDefault="006F16AD" w:rsidP="007B2931">
            <w:pPr>
              <w:spacing w:after="0" w:line="276" w:lineRule="auto"/>
              <w:ind w:firstLine="34"/>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23846</w:t>
            </w:r>
          </w:p>
        </w:tc>
      </w:tr>
      <w:tr w:rsidR="006F16AD" w:rsidRPr="008E4EB0" w14:paraId="6D593DB6" w14:textId="77777777" w:rsidTr="00B744FC">
        <w:trPr>
          <w:trHeight w:val="170"/>
        </w:trPr>
        <w:tc>
          <w:tcPr>
            <w:tcW w:w="3118" w:type="dxa"/>
            <w:shd w:val="clear" w:color="auto" w:fill="auto"/>
            <w:vAlign w:val="center"/>
          </w:tcPr>
          <w:p w14:paraId="2EAF3EB5" w14:textId="77777777" w:rsidR="006F16AD" w:rsidRPr="008E4EB0" w:rsidRDefault="006F16AD" w:rsidP="007B2931">
            <w:pPr>
              <w:spacing w:after="0" w:line="276" w:lineRule="auto"/>
              <w:ind w:firstLine="33"/>
              <w:jc w:val="center"/>
              <w:rPr>
                <w:rFonts w:ascii="Times New Roman" w:hAnsi="Times New Roman" w:cs="Times New Roman"/>
                <w:bCs/>
                <w:color w:val="000000"/>
                <w:sz w:val="24"/>
                <w:szCs w:val="24"/>
              </w:rPr>
            </w:pPr>
            <w:r w:rsidRPr="008E4EB0">
              <w:rPr>
                <w:rFonts w:ascii="Times New Roman" w:hAnsi="Times New Roman" w:cs="Times New Roman"/>
                <w:b/>
                <w:bCs/>
                <w:color w:val="000000"/>
                <w:sz w:val="24"/>
                <w:szCs w:val="24"/>
              </w:rPr>
              <w:t>Ventspils pilsēta</w:t>
            </w:r>
          </w:p>
        </w:tc>
        <w:tc>
          <w:tcPr>
            <w:tcW w:w="2693" w:type="dxa"/>
            <w:shd w:val="clear" w:color="auto" w:fill="auto"/>
            <w:vAlign w:val="center"/>
          </w:tcPr>
          <w:p w14:paraId="14057867" w14:textId="77777777" w:rsidR="006F16AD" w:rsidRPr="008E4EB0" w:rsidRDefault="006F16AD" w:rsidP="007B2931">
            <w:pPr>
              <w:spacing w:after="0" w:line="276" w:lineRule="auto"/>
              <w:ind w:firstLine="34"/>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21</w:t>
            </w:r>
          </w:p>
        </w:tc>
        <w:tc>
          <w:tcPr>
            <w:tcW w:w="2835" w:type="dxa"/>
            <w:shd w:val="clear" w:color="auto" w:fill="auto"/>
            <w:vAlign w:val="center"/>
          </w:tcPr>
          <w:p w14:paraId="30E8C84F" w14:textId="77777777" w:rsidR="006F16AD" w:rsidRPr="008E4EB0" w:rsidRDefault="006F16AD" w:rsidP="007B2931">
            <w:pPr>
              <w:spacing w:after="0" w:line="276" w:lineRule="auto"/>
              <w:ind w:firstLine="34"/>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10118</w:t>
            </w:r>
          </w:p>
        </w:tc>
      </w:tr>
      <w:tr w:rsidR="006F16AD" w:rsidRPr="008E4EB0" w14:paraId="5A37EF43" w14:textId="77777777" w:rsidTr="00B744FC">
        <w:trPr>
          <w:trHeight w:val="170"/>
        </w:trPr>
        <w:tc>
          <w:tcPr>
            <w:tcW w:w="3118" w:type="dxa"/>
            <w:shd w:val="clear" w:color="auto" w:fill="auto"/>
            <w:vAlign w:val="center"/>
          </w:tcPr>
          <w:p w14:paraId="13A1661B" w14:textId="77777777" w:rsidR="006F16AD" w:rsidRPr="008E4EB0" w:rsidRDefault="006F16AD" w:rsidP="007B2931">
            <w:pPr>
              <w:spacing w:after="0" w:line="276" w:lineRule="auto"/>
              <w:ind w:firstLine="33"/>
              <w:jc w:val="center"/>
              <w:rPr>
                <w:rFonts w:ascii="Times New Roman" w:hAnsi="Times New Roman" w:cs="Times New Roman"/>
                <w:bCs/>
                <w:color w:val="000000"/>
                <w:sz w:val="24"/>
                <w:szCs w:val="24"/>
              </w:rPr>
            </w:pPr>
            <w:r w:rsidRPr="008E4EB0">
              <w:rPr>
                <w:rFonts w:ascii="Times New Roman" w:hAnsi="Times New Roman" w:cs="Times New Roman"/>
                <w:b/>
                <w:bCs/>
                <w:sz w:val="24"/>
                <w:szCs w:val="24"/>
              </w:rPr>
              <w:t>Daugavpils novads</w:t>
            </w:r>
          </w:p>
        </w:tc>
        <w:tc>
          <w:tcPr>
            <w:tcW w:w="2693" w:type="dxa"/>
            <w:shd w:val="clear" w:color="auto" w:fill="auto"/>
            <w:vAlign w:val="center"/>
          </w:tcPr>
          <w:p w14:paraId="31D6DE5F" w14:textId="77777777" w:rsidR="006F16AD" w:rsidRPr="008E4EB0" w:rsidRDefault="006F16AD" w:rsidP="007B2931">
            <w:pPr>
              <w:spacing w:after="0" w:line="276" w:lineRule="auto"/>
              <w:ind w:firstLine="34"/>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3</w:t>
            </w:r>
          </w:p>
        </w:tc>
        <w:tc>
          <w:tcPr>
            <w:tcW w:w="2835" w:type="dxa"/>
            <w:shd w:val="clear" w:color="auto" w:fill="auto"/>
            <w:vAlign w:val="center"/>
          </w:tcPr>
          <w:p w14:paraId="1B1D9DB5" w14:textId="77777777" w:rsidR="006F16AD" w:rsidRPr="008E4EB0" w:rsidRDefault="006F16AD" w:rsidP="007B2931">
            <w:pPr>
              <w:spacing w:after="0" w:line="276" w:lineRule="auto"/>
              <w:ind w:firstLine="34"/>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87863</w:t>
            </w:r>
          </w:p>
        </w:tc>
      </w:tr>
      <w:tr w:rsidR="006F16AD" w:rsidRPr="008E4EB0" w14:paraId="02008798" w14:textId="77777777" w:rsidTr="00B744FC">
        <w:trPr>
          <w:trHeight w:val="170"/>
        </w:trPr>
        <w:tc>
          <w:tcPr>
            <w:tcW w:w="3118" w:type="dxa"/>
            <w:shd w:val="clear" w:color="auto" w:fill="auto"/>
            <w:vAlign w:val="center"/>
          </w:tcPr>
          <w:p w14:paraId="2EE2B442" w14:textId="77777777" w:rsidR="006F16AD" w:rsidRPr="008E4EB0" w:rsidRDefault="006F16AD" w:rsidP="007B2931">
            <w:pPr>
              <w:spacing w:after="0" w:line="276" w:lineRule="auto"/>
              <w:ind w:firstLine="33"/>
              <w:jc w:val="center"/>
              <w:rPr>
                <w:rFonts w:ascii="Times New Roman" w:hAnsi="Times New Roman" w:cs="Times New Roman"/>
                <w:bCs/>
                <w:color w:val="000000"/>
                <w:sz w:val="24"/>
                <w:szCs w:val="24"/>
              </w:rPr>
            </w:pPr>
            <w:r w:rsidRPr="008E4EB0">
              <w:rPr>
                <w:rFonts w:ascii="Times New Roman" w:hAnsi="Times New Roman" w:cs="Times New Roman"/>
                <w:b/>
                <w:bCs/>
                <w:sz w:val="24"/>
                <w:szCs w:val="24"/>
              </w:rPr>
              <w:t>Kārsavas novads</w:t>
            </w:r>
          </w:p>
        </w:tc>
        <w:tc>
          <w:tcPr>
            <w:tcW w:w="2693" w:type="dxa"/>
            <w:shd w:val="clear" w:color="auto" w:fill="auto"/>
            <w:vAlign w:val="center"/>
          </w:tcPr>
          <w:p w14:paraId="4A2A166D" w14:textId="77777777" w:rsidR="006F16AD" w:rsidRPr="008E4EB0" w:rsidRDefault="006F16AD" w:rsidP="007B2931">
            <w:pPr>
              <w:spacing w:after="0" w:line="276" w:lineRule="auto"/>
              <w:ind w:firstLine="34"/>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3</w:t>
            </w:r>
          </w:p>
        </w:tc>
        <w:tc>
          <w:tcPr>
            <w:tcW w:w="2835" w:type="dxa"/>
            <w:shd w:val="clear" w:color="auto" w:fill="auto"/>
            <w:vAlign w:val="center"/>
          </w:tcPr>
          <w:p w14:paraId="4BAB3441" w14:textId="77777777" w:rsidR="006F16AD" w:rsidRPr="008E4EB0" w:rsidRDefault="006F16AD" w:rsidP="007B2931">
            <w:pPr>
              <w:spacing w:after="0" w:line="276" w:lineRule="auto"/>
              <w:ind w:firstLine="34"/>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8075</w:t>
            </w:r>
          </w:p>
        </w:tc>
      </w:tr>
      <w:tr w:rsidR="006F16AD" w:rsidRPr="008E4EB0" w14:paraId="321F868D" w14:textId="77777777" w:rsidTr="00B744FC">
        <w:trPr>
          <w:trHeight w:val="170"/>
        </w:trPr>
        <w:tc>
          <w:tcPr>
            <w:tcW w:w="3118" w:type="dxa"/>
            <w:shd w:val="clear" w:color="auto" w:fill="auto"/>
            <w:vAlign w:val="center"/>
          </w:tcPr>
          <w:p w14:paraId="695E8DDC" w14:textId="77777777" w:rsidR="006F16AD" w:rsidRPr="008E4EB0" w:rsidRDefault="006F16AD" w:rsidP="007B2931">
            <w:pPr>
              <w:spacing w:after="0" w:line="276" w:lineRule="auto"/>
              <w:ind w:firstLine="33"/>
              <w:jc w:val="center"/>
              <w:rPr>
                <w:rFonts w:ascii="Times New Roman" w:hAnsi="Times New Roman" w:cs="Times New Roman"/>
                <w:bCs/>
                <w:color w:val="000000"/>
                <w:sz w:val="24"/>
                <w:szCs w:val="24"/>
              </w:rPr>
            </w:pPr>
            <w:r w:rsidRPr="008E4EB0">
              <w:rPr>
                <w:rFonts w:ascii="Times New Roman" w:hAnsi="Times New Roman" w:cs="Times New Roman"/>
                <w:b/>
                <w:bCs/>
                <w:sz w:val="24"/>
                <w:szCs w:val="24"/>
              </w:rPr>
              <w:t>Kocēnu novads</w:t>
            </w:r>
          </w:p>
        </w:tc>
        <w:tc>
          <w:tcPr>
            <w:tcW w:w="2693" w:type="dxa"/>
            <w:shd w:val="clear" w:color="auto" w:fill="auto"/>
            <w:vAlign w:val="center"/>
          </w:tcPr>
          <w:p w14:paraId="6B75213D" w14:textId="77777777" w:rsidR="006F16AD" w:rsidRPr="008E4EB0" w:rsidRDefault="006F16AD" w:rsidP="007B2931">
            <w:pPr>
              <w:spacing w:after="0" w:line="276" w:lineRule="auto"/>
              <w:ind w:firstLine="34"/>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6</w:t>
            </w:r>
          </w:p>
        </w:tc>
        <w:tc>
          <w:tcPr>
            <w:tcW w:w="2835" w:type="dxa"/>
            <w:shd w:val="clear" w:color="auto" w:fill="auto"/>
            <w:vAlign w:val="center"/>
          </w:tcPr>
          <w:p w14:paraId="07891CB8" w14:textId="77777777" w:rsidR="006F16AD" w:rsidRPr="008E4EB0" w:rsidRDefault="006F16AD" w:rsidP="007B2931">
            <w:pPr>
              <w:spacing w:after="0" w:line="276" w:lineRule="auto"/>
              <w:ind w:firstLine="34"/>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13917</w:t>
            </w:r>
          </w:p>
        </w:tc>
      </w:tr>
      <w:tr w:rsidR="006F16AD" w:rsidRPr="008E4EB0" w14:paraId="53E5A724" w14:textId="77777777" w:rsidTr="00B744FC">
        <w:trPr>
          <w:trHeight w:val="170"/>
        </w:trPr>
        <w:tc>
          <w:tcPr>
            <w:tcW w:w="3118" w:type="dxa"/>
            <w:shd w:val="clear" w:color="auto" w:fill="auto"/>
            <w:vAlign w:val="center"/>
          </w:tcPr>
          <w:p w14:paraId="7E79A28A" w14:textId="77777777" w:rsidR="006F16AD" w:rsidRPr="008E4EB0" w:rsidRDefault="006F16AD" w:rsidP="007B2931">
            <w:pPr>
              <w:spacing w:after="0" w:line="276" w:lineRule="auto"/>
              <w:ind w:firstLine="33"/>
              <w:jc w:val="center"/>
              <w:rPr>
                <w:rFonts w:ascii="Times New Roman" w:hAnsi="Times New Roman" w:cs="Times New Roman"/>
                <w:bCs/>
                <w:color w:val="000000"/>
                <w:sz w:val="24"/>
                <w:szCs w:val="24"/>
              </w:rPr>
            </w:pPr>
            <w:r w:rsidRPr="008E4EB0">
              <w:rPr>
                <w:rFonts w:ascii="Times New Roman" w:hAnsi="Times New Roman" w:cs="Times New Roman"/>
                <w:b/>
                <w:bCs/>
                <w:sz w:val="24"/>
                <w:szCs w:val="24"/>
              </w:rPr>
              <w:t>Ķeguma novads</w:t>
            </w:r>
          </w:p>
        </w:tc>
        <w:tc>
          <w:tcPr>
            <w:tcW w:w="2693" w:type="dxa"/>
            <w:shd w:val="clear" w:color="auto" w:fill="auto"/>
            <w:vAlign w:val="center"/>
          </w:tcPr>
          <w:p w14:paraId="1B5D87BD" w14:textId="77777777" w:rsidR="006F16AD" w:rsidRPr="008E4EB0" w:rsidRDefault="006F16AD" w:rsidP="007B2931">
            <w:pPr>
              <w:spacing w:after="0" w:line="276" w:lineRule="auto"/>
              <w:ind w:firstLine="34"/>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2</w:t>
            </w:r>
          </w:p>
        </w:tc>
        <w:tc>
          <w:tcPr>
            <w:tcW w:w="2835" w:type="dxa"/>
            <w:shd w:val="clear" w:color="auto" w:fill="auto"/>
            <w:vAlign w:val="center"/>
          </w:tcPr>
          <w:p w14:paraId="6E2D1E05" w14:textId="77777777" w:rsidR="006F16AD" w:rsidRPr="008E4EB0" w:rsidRDefault="006F16AD" w:rsidP="007B2931">
            <w:pPr>
              <w:spacing w:after="0" w:line="276" w:lineRule="auto"/>
              <w:ind w:firstLine="34"/>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2583</w:t>
            </w:r>
          </w:p>
        </w:tc>
      </w:tr>
      <w:tr w:rsidR="006F16AD" w:rsidRPr="008E4EB0" w14:paraId="29C21AB9" w14:textId="77777777" w:rsidTr="00B744FC">
        <w:trPr>
          <w:trHeight w:val="170"/>
        </w:trPr>
        <w:tc>
          <w:tcPr>
            <w:tcW w:w="3118" w:type="dxa"/>
            <w:shd w:val="clear" w:color="auto" w:fill="auto"/>
            <w:vAlign w:val="center"/>
          </w:tcPr>
          <w:p w14:paraId="2C49FDB3" w14:textId="77777777" w:rsidR="006F16AD" w:rsidRPr="008E4EB0" w:rsidRDefault="006F16AD" w:rsidP="007B2931">
            <w:pPr>
              <w:spacing w:after="0" w:line="276" w:lineRule="auto"/>
              <w:ind w:firstLine="33"/>
              <w:jc w:val="center"/>
              <w:rPr>
                <w:rFonts w:ascii="Times New Roman" w:hAnsi="Times New Roman" w:cs="Times New Roman"/>
                <w:bCs/>
                <w:color w:val="000000"/>
                <w:sz w:val="24"/>
                <w:szCs w:val="24"/>
              </w:rPr>
            </w:pPr>
            <w:r w:rsidRPr="008E4EB0">
              <w:rPr>
                <w:rFonts w:ascii="Times New Roman" w:hAnsi="Times New Roman" w:cs="Times New Roman"/>
                <w:b/>
                <w:bCs/>
                <w:sz w:val="24"/>
                <w:szCs w:val="24"/>
              </w:rPr>
              <w:t>Ķekavas novads</w:t>
            </w:r>
          </w:p>
        </w:tc>
        <w:tc>
          <w:tcPr>
            <w:tcW w:w="2693" w:type="dxa"/>
            <w:shd w:val="clear" w:color="auto" w:fill="auto"/>
            <w:vAlign w:val="center"/>
          </w:tcPr>
          <w:p w14:paraId="2D968BE7" w14:textId="77777777" w:rsidR="006F16AD" w:rsidRPr="008E4EB0" w:rsidRDefault="006F16AD" w:rsidP="007B2931">
            <w:pPr>
              <w:spacing w:after="0" w:line="276" w:lineRule="auto"/>
              <w:ind w:firstLine="34"/>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1</w:t>
            </w:r>
          </w:p>
        </w:tc>
        <w:tc>
          <w:tcPr>
            <w:tcW w:w="2835" w:type="dxa"/>
            <w:shd w:val="clear" w:color="auto" w:fill="auto"/>
            <w:vAlign w:val="center"/>
          </w:tcPr>
          <w:p w14:paraId="0381E886" w14:textId="77777777" w:rsidR="006F16AD" w:rsidRPr="008E4EB0" w:rsidRDefault="006F16AD" w:rsidP="007B2931">
            <w:pPr>
              <w:spacing w:after="0" w:line="276" w:lineRule="auto"/>
              <w:ind w:firstLine="34"/>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15367</w:t>
            </w:r>
          </w:p>
        </w:tc>
      </w:tr>
      <w:tr w:rsidR="006F16AD" w:rsidRPr="008E4EB0" w14:paraId="4BDA3675" w14:textId="77777777" w:rsidTr="00B744FC">
        <w:trPr>
          <w:trHeight w:val="170"/>
        </w:trPr>
        <w:tc>
          <w:tcPr>
            <w:tcW w:w="3118" w:type="dxa"/>
            <w:shd w:val="clear" w:color="auto" w:fill="auto"/>
            <w:vAlign w:val="center"/>
          </w:tcPr>
          <w:p w14:paraId="1687EDF9" w14:textId="77777777" w:rsidR="006F16AD" w:rsidRPr="008E4EB0" w:rsidRDefault="006F16AD" w:rsidP="007B2931">
            <w:pPr>
              <w:spacing w:after="0" w:line="276" w:lineRule="auto"/>
              <w:ind w:firstLine="33"/>
              <w:jc w:val="center"/>
              <w:rPr>
                <w:rFonts w:ascii="Times New Roman" w:hAnsi="Times New Roman" w:cs="Times New Roman"/>
                <w:bCs/>
                <w:color w:val="000000"/>
                <w:sz w:val="24"/>
                <w:szCs w:val="24"/>
              </w:rPr>
            </w:pPr>
            <w:r w:rsidRPr="008E4EB0">
              <w:rPr>
                <w:rFonts w:ascii="Times New Roman" w:hAnsi="Times New Roman" w:cs="Times New Roman"/>
                <w:b/>
                <w:bCs/>
                <w:sz w:val="24"/>
                <w:szCs w:val="24"/>
              </w:rPr>
              <w:t>Ludzas novads</w:t>
            </w:r>
          </w:p>
        </w:tc>
        <w:tc>
          <w:tcPr>
            <w:tcW w:w="2693" w:type="dxa"/>
            <w:shd w:val="clear" w:color="auto" w:fill="auto"/>
            <w:vAlign w:val="center"/>
          </w:tcPr>
          <w:p w14:paraId="77C116DC" w14:textId="77777777" w:rsidR="006F16AD" w:rsidRPr="008E4EB0" w:rsidRDefault="006F16AD" w:rsidP="007B2931">
            <w:pPr>
              <w:spacing w:after="0" w:line="276" w:lineRule="auto"/>
              <w:ind w:firstLine="34"/>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2</w:t>
            </w:r>
          </w:p>
        </w:tc>
        <w:tc>
          <w:tcPr>
            <w:tcW w:w="2835" w:type="dxa"/>
            <w:shd w:val="clear" w:color="auto" w:fill="auto"/>
            <w:vAlign w:val="center"/>
          </w:tcPr>
          <w:p w14:paraId="4596F8F9" w14:textId="77777777" w:rsidR="006F16AD" w:rsidRPr="008E4EB0" w:rsidRDefault="006F16AD" w:rsidP="007B2931">
            <w:pPr>
              <w:spacing w:after="0" w:line="276" w:lineRule="auto"/>
              <w:ind w:firstLine="34"/>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8249</w:t>
            </w:r>
          </w:p>
        </w:tc>
      </w:tr>
      <w:tr w:rsidR="006F16AD" w:rsidRPr="008E4EB0" w14:paraId="566C1671" w14:textId="77777777" w:rsidTr="00B744FC">
        <w:trPr>
          <w:trHeight w:val="170"/>
        </w:trPr>
        <w:tc>
          <w:tcPr>
            <w:tcW w:w="3118" w:type="dxa"/>
            <w:shd w:val="clear" w:color="auto" w:fill="auto"/>
            <w:vAlign w:val="center"/>
          </w:tcPr>
          <w:p w14:paraId="0D6803B8" w14:textId="77777777" w:rsidR="006F16AD" w:rsidRPr="008E4EB0" w:rsidRDefault="006F16AD" w:rsidP="007B2931">
            <w:pPr>
              <w:spacing w:after="0" w:line="276" w:lineRule="auto"/>
              <w:ind w:firstLine="33"/>
              <w:jc w:val="center"/>
              <w:rPr>
                <w:rFonts w:ascii="Times New Roman" w:hAnsi="Times New Roman" w:cs="Times New Roman"/>
                <w:bCs/>
                <w:color w:val="000000"/>
                <w:sz w:val="24"/>
                <w:szCs w:val="24"/>
              </w:rPr>
            </w:pPr>
            <w:r w:rsidRPr="008E4EB0">
              <w:rPr>
                <w:rFonts w:ascii="Times New Roman" w:hAnsi="Times New Roman" w:cs="Times New Roman"/>
                <w:b/>
                <w:bCs/>
                <w:sz w:val="24"/>
                <w:szCs w:val="24"/>
              </w:rPr>
              <w:t>Neretas novads</w:t>
            </w:r>
          </w:p>
        </w:tc>
        <w:tc>
          <w:tcPr>
            <w:tcW w:w="2693" w:type="dxa"/>
            <w:shd w:val="clear" w:color="auto" w:fill="auto"/>
            <w:vAlign w:val="center"/>
          </w:tcPr>
          <w:p w14:paraId="6A635BD2" w14:textId="77777777" w:rsidR="006F16AD" w:rsidRPr="008E4EB0" w:rsidRDefault="006F16AD" w:rsidP="007B2931">
            <w:pPr>
              <w:spacing w:after="0" w:line="276" w:lineRule="auto"/>
              <w:ind w:firstLine="34"/>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12</w:t>
            </w:r>
          </w:p>
        </w:tc>
        <w:tc>
          <w:tcPr>
            <w:tcW w:w="2835" w:type="dxa"/>
            <w:shd w:val="clear" w:color="auto" w:fill="auto"/>
            <w:vAlign w:val="center"/>
          </w:tcPr>
          <w:p w14:paraId="00C6670D" w14:textId="77777777" w:rsidR="006F16AD" w:rsidRPr="008E4EB0" w:rsidRDefault="006F16AD" w:rsidP="007B2931">
            <w:pPr>
              <w:spacing w:after="0" w:line="276" w:lineRule="auto"/>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40669</w:t>
            </w:r>
          </w:p>
        </w:tc>
      </w:tr>
      <w:tr w:rsidR="006F16AD" w:rsidRPr="008E4EB0" w14:paraId="696A0B82" w14:textId="77777777" w:rsidTr="00B744FC">
        <w:trPr>
          <w:trHeight w:val="170"/>
        </w:trPr>
        <w:tc>
          <w:tcPr>
            <w:tcW w:w="3118" w:type="dxa"/>
            <w:shd w:val="clear" w:color="auto" w:fill="auto"/>
            <w:vAlign w:val="center"/>
          </w:tcPr>
          <w:p w14:paraId="0BA5DA27" w14:textId="77777777" w:rsidR="006F16AD" w:rsidRPr="008E4EB0" w:rsidRDefault="006F16AD" w:rsidP="007B2931">
            <w:pPr>
              <w:spacing w:after="0" w:line="276" w:lineRule="auto"/>
              <w:ind w:firstLine="33"/>
              <w:jc w:val="center"/>
              <w:rPr>
                <w:rFonts w:ascii="Times New Roman" w:hAnsi="Times New Roman" w:cs="Times New Roman"/>
                <w:bCs/>
                <w:color w:val="000000"/>
                <w:sz w:val="24"/>
                <w:szCs w:val="24"/>
              </w:rPr>
            </w:pPr>
            <w:r w:rsidRPr="008E4EB0">
              <w:rPr>
                <w:rFonts w:ascii="Times New Roman" w:hAnsi="Times New Roman" w:cs="Times New Roman"/>
                <w:b/>
                <w:bCs/>
                <w:sz w:val="24"/>
                <w:szCs w:val="24"/>
              </w:rPr>
              <w:t>Preiļu novads</w:t>
            </w:r>
          </w:p>
        </w:tc>
        <w:tc>
          <w:tcPr>
            <w:tcW w:w="2693" w:type="dxa"/>
            <w:shd w:val="clear" w:color="auto" w:fill="auto"/>
            <w:vAlign w:val="center"/>
          </w:tcPr>
          <w:p w14:paraId="74AEB4B9" w14:textId="77777777" w:rsidR="006F16AD" w:rsidRPr="008E4EB0" w:rsidRDefault="006F16AD" w:rsidP="007B2931">
            <w:pPr>
              <w:spacing w:after="0" w:line="276" w:lineRule="auto"/>
              <w:ind w:firstLine="34"/>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1</w:t>
            </w:r>
          </w:p>
        </w:tc>
        <w:tc>
          <w:tcPr>
            <w:tcW w:w="2835" w:type="dxa"/>
            <w:shd w:val="clear" w:color="auto" w:fill="auto"/>
            <w:vAlign w:val="center"/>
          </w:tcPr>
          <w:p w14:paraId="6D582400" w14:textId="77777777" w:rsidR="006F16AD" w:rsidRPr="008E4EB0" w:rsidRDefault="006F16AD" w:rsidP="007B2931">
            <w:pPr>
              <w:spacing w:after="0" w:line="276" w:lineRule="auto"/>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857</w:t>
            </w:r>
          </w:p>
        </w:tc>
      </w:tr>
      <w:tr w:rsidR="006F16AD" w:rsidRPr="008E4EB0" w14:paraId="60FA728C" w14:textId="77777777" w:rsidTr="00B744FC">
        <w:trPr>
          <w:trHeight w:val="170"/>
        </w:trPr>
        <w:tc>
          <w:tcPr>
            <w:tcW w:w="3118" w:type="dxa"/>
            <w:shd w:val="clear" w:color="auto" w:fill="auto"/>
            <w:vAlign w:val="center"/>
          </w:tcPr>
          <w:p w14:paraId="24486FA4" w14:textId="77777777" w:rsidR="006F16AD" w:rsidRPr="008E4EB0" w:rsidRDefault="006F16AD" w:rsidP="007B2931">
            <w:pPr>
              <w:spacing w:after="0" w:line="276" w:lineRule="auto"/>
              <w:ind w:firstLine="33"/>
              <w:jc w:val="center"/>
              <w:rPr>
                <w:rFonts w:ascii="Times New Roman" w:hAnsi="Times New Roman" w:cs="Times New Roman"/>
                <w:bCs/>
                <w:color w:val="000000"/>
                <w:sz w:val="24"/>
                <w:szCs w:val="24"/>
              </w:rPr>
            </w:pPr>
            <w:r w:rsidRPr="008E4EB0">
              <w:rPr>
                <w:rFonts w:ascii="Times New Roman" w:hAnsi="Times New Roman" w:cs="Times New Roman"/>
                <w:b/>
                <w:bCs/>
                <w:sz w:val="24"/>
                <w:szCs w:val="24"/>
              </w:rPr>
              <w:t>Tukuma novads</w:t>
            </w:r>
          </w:p>
        </w:tc>
        <w:tc>
          <w:tcPr>
            <w:tcW w:w="2693" w:type="dxa"/>
            <w:shd w:val="clear" w:color="auto" w:fill="auto"/>
            <w:vAlign w:val="center"/>
          </w:tcPr>
          <w:p w14:paraId="09EFB242" w14:textId="77777777" w:rsidR="006F16AD" w:rsidRPr="008E4EB0" w:rsidRDefault="006F16AD" w:rsidP="007B2931">
            <w:pPr>
              <w:spacing w:after="0" w:line="276" w:lineRule="auto"/>
              <w:ind w:firstLine="34"/>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6</w:t>
            </w:r>
          </w:p>
        </w:tc>
        <w:tc>
          <w:tcPr>
            <w:tcW w:w="2835" w:type="dxa"/>
            <w:shd w:val="clear" w:color="auto" w:fill="auto"/>
            <w:vAlign w:val="center"/>
          </w:tcPr>
          <w:p w14:paraId="4B9652FC" w14:textId="77777777" w:rsidR="006F16AD" w:rsidRPr="008E4EB0" w:rsidRDefault="006F16AD" w:rsidP="007B2931">
            <w:pPr>
              <w:spacing w:after="0" w:line="276" w:lineRule="auto"/>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26700</w:t>
            </w:r>
          </w:p>
        </w:tc>
      </w:tr>
      <w:tr w:rsidR="006F16AD" w:rsidRPr="008E4EB0" w14:paraId="4DD8FC81" w14:textId="77777777" w:rsidTr="00B744FC">
        <w:trPr>
          <w:trHeight w:val="170"/>
        </w:trPr>
        <w:tc>
          <w:tcPr>
            <w:tcW w:w="3118" w:type="dxa"/>
            <w:shd w:val="clear" w:color="auto" w:fill="auto"/>
            <w:vAlign w:val="center"/>
          </w:tcPr>
          <w:p w14:paraId="03095F5F" w14:textId="77777777" w:rsidR="006F16AD" w:rsidRPr="008E4EB0" w:rsidRDefault="006F16AD" w:rsidP="007B2931">
            <w:pPr>
              <w:spacing w:after="0" w:line="276" w:lineRule="auto"/>
              <w:ind w:firstLine="33"/>
              <w:jc w:val="center"/>
              <w:rPr>
                <w:rFonts w:ascii="Times New Roman" w:hAnsi="Times New Roman" w:cs="Times New Roman"/>
                <w:bCs/>
                <w:color w:val="000000"/>
                <w:sz w:val="24"/>
                <w:szCs w:val="24"/>
              </w:rPr>
            </w:pPr>
            <w:r w:rsidRPr="008E4EB0">
              <w:rPr>
                <w:rFonts w:ascii="Times New Roman" w:hAnsi="Times New Roman" w:cs="Times New Roman"/>
                <w:b/>
                <w:bCs/>
                <w:sz w:val="24"/>
                <w:szCs w:val="24"/>
              </w:rPr>
              <w:t>Vecumnieku novads</w:t>
            </w:r>
          </w:p>
        </w:tc>
        <w:tc>
          <w:tcPr>
            <w:tcW w:w="2693" w:type="dxa"/>
            <w:shd w:val="clear" w:color="auto" w:fill="auto"/>
            <w:vAlign w:val="center"/>
          </w:tcPr>
          <w:p w14:paraId="199C7251" w14:textId="77777777" w:rsidR="006F16AD" w:rsidRPr="008E4EB0" w:rsidRDefault="006F16AD" w:rsidP="007B2931">
            <w:pPr>
              <w:spacing w:after="0" w:line="276" w:lineRule="auto"/>
              <w:ind w:firstLine="34"/>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8</w:t>
            </w:r>
          </w:p>
        </w:tc>
        <w:tc>
          <w:tcPr>
            <w:tcW w:w="2835" w:type="dxa"/>
            <w:shd w:val="clear" w:color="auto" w:fill="auto"/>
            <w:vAlign w:val="center"/>
          </w:tcPr>
          <w:p w14:paraId="21DA46C0" w14:textId="77777777" w:rsidR="006F16AD" w:rsidRPr="008E4EB0" w:rsidRDefault="006F16AD" w:rsidP="007B2931">
            <w:pPr>
              <w:spacing w:after="0" w:line="276" w:lineRule="auto"/>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15020</w:t>
            </w:r>
          </w:p>
        </w:tc>
      </w:tr>
      <w:tr w:rsidR="006F16AD" w:rsidRPr="008E4EB0" w14:paraId="422057D8" w14:textId="77777777" w:rsidTr="00B744FC">
        <w:trPr>
          <w:trHeight w:val="170"/>
        </w:trPr>
        <w:tc>
          <w:tcPr>
            <w:tcW w:w="3118" w:type="dxa"/>
            <w:shd w:val="clear" w:color="auto" w:fill="auto"/>
            <w:vAlign w:val="center"/>
          </w:tcPr>
          <w:p w14:paraId="185BC904" w14:textId="77777777" w:rsidR="006F16AD" w:rsidRPr="008E4EB0" w:rsidRDefault="006F16AD" w:rsidP="007B2931">
            <w:pPr>
              <w:spacing w:after="0" w:line="276" w:lineRule="auto"/>
              <w:ind w:firstLine="33"/>
              <w:jc w:val="center"/>
              <w:rPr>
                <w:rFonts w:ascii="Times New Roman" w:hAnsi="Times New Roman" w:cs="Times New Roman"/>
                <w:b/>
                <w:bCs/>
                <w:color w:val="000000"/>
                <w:sz w:val="24"/>
                <w:szCs w:val="24"/>
              </w:rPr>
            </w:pPr>
            <w:r w:rsidRPr="008E4EB0">
              <w:rPr>
                <w:rFonts w:ascii="Times New Roman" w:hAnsi="Times New Roman" w:cs="Times New Roman"/>
                <w:b/>
                <w:bCs/>
                <w:color w:val="000000"/>
                <w:sz w:val="24"/>
                <w:szCs w:val="24"/>
              </w:rPr>
              <w:t>KOPĀ:</w:t>
            </w:r>
          </w:p>
        </w:tc>
        <w:tc>
          <w:tcPr>
            <w:tcW w:w="2693" w:type="dxa"/>
            <w:shd w:val="clear" w:color="auto" w:fill="auto"/>
            <w:vAlign w:val="center"/>
          </w:tcPr>
          <w:p w14:paraId="143B645D" w14:textId="77777777" w:rsidR="006F16AD" w:rsidRPr="008E4EB0" w:rsidRDefault="006F16AD" w:rsidP="007B2931">
            <w:pPr>
              <w:spacing w:after="0" w:line="276" w:lineRule="auto"/>
              <w:ind w:firstLine="34"/>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72</w:t>
            </w:r>
          </w:p>
        </w:tc>
        <w:tc>
          <w:tcPr>
            <w:tcW w:w="2835" w:type="dxa"/>
            <w:shd w:val="clear" w:color="auto" w:fill="auto"/>
            <w:vAlign w:val="center"/>
          </w:tcPr>
          <w:p w14:paraId="45860952" w14:textId="77777777" w:rsidR="006F16AD" w:rsidRPr="008E4EB0" w:rsidRDefault="006F16AD" w:rsidP="007B2931">
            <w:pPr>
              <w:spacing w:after="0" w:line="276" w:lineRule="auto"/>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280573</w:t>
            </w:r>
          </w:p>
        </w:tc>
      </w:tr>
    </w:tbl>
    <w:p w14:paraId="6DD6D720" w14:textId="77777777" w:rsidR="006F16AD" w:rsidRPr="008E4EB0" w:rsidRDefault="006F16AD" w:rsidP="007B2931">
      <w:pPr>
        <w:pStyle w:val="ListParagraph"/>
        <w:spacing w:after="0" w:line="276" w:lineRule="auto"/>
        <w:ind w:left="525"/>
        <w:rPr>
          <w:rFonts w:ascii="Times New Roman" w:eastAsia="Calibri" w:hAnsi="Times New Roman" w:cs="Times New Roman"/>
          <w:sz w:val="24"/>
          <w:szCs w:val="24"/>
        </w:rPr>
      </w:pPr>
    </w:p>
    <w:p w14:paraId="6607E8C6" w14:textId="50207F18" w:rsidR="006F16AD" w:rsidRPr="008E4EB0" w:rsidRDefault="00F749EA" w:rsidP="007B2931">
      <w:pPr>
        <w:pStyle w:val="ListParagraph"/>
        <w:spacing w:after="0" w:line="276" w:lineRule="auto"/>
        <w:ind w:left="525"/>
        <w:jc w:val="center"/>
        <w:rPr>
          <w:rFonts w:ascii="Times New Roman" w:eastAsia="Calibri" w:hAnsi="Times New Roman" w:cs="Times New Roman"/>
          <w:sz w:val="24"/>
          <w:szCs w:val="24"/>
        </w:rPr>
      </w:pPr>
      <w:r w:rsidRPr="008E4EB0">
        <w:rPr>
          <w:rFonts w:ascii="Times New Roman" w:eastAsia="Calibri" w:hAnsi="Times New Roman" w:cs="Times New Roman"/>
          <w:sz w:val="24"/>
          <w:szCs w:val="24"/>
        </w:rPr>
        <w:t>2</w:t>
      </w:r>
      <w:r>
        <w:rPr>
          <w:rFonts w:ascii="Times New Roman" w:eastAsia="Calibri" w:hAnsi="Times New Roman" w:cs="Times New Roman"/>
          <w:sz w:val="24"/>
          <w:szCs w:val="24"/>
        </w:rPr>
        <w:t>0</w:t>
      </w:r>
      <w:r w:rsidR="006F16AD" w:rsidRPr="008E4EB0">
        <w:rPr>
          <w:rFonts w:ascii="Times New Roman" w:eastAsia="Calibri" w:hAnsi="Times New Roman" w:cs="Times New Roman"/>
          <w:sz w:val="24"/>
          <w:szCs w:val="24"/>
        </w:rPr>
        <w:t xml:space="preserve">.tabula. Pašvaldību palīdzība dzīvojamo māju </w:t>
      </w:r>
      <w:r w:rsidR="00CE0F55" w:rsidRPr="008E4EB0">
        <w:rPr>
          <w:rFonts w:ascii="Times New Roman" w:eastAsia="Calibri" w:hAnsi="Times New Roman" w:cs="Times New Roman"/>
          <w:sz w:val="24"/>
          <w:szCs w:val="24"/>
        </w:rPr>
        <w:t>atjaunošanai</w:t>
      </w:r>
      <w:r w:rsidR="006F16AD" w:rsidRPr="008E4EB0">
        <w:rPr>
          <w:rFonts w:ascii="Times New Roman" w:eastAsia="Calibri" w:hAnsi="Times New Roman" w:cs="Times New Roman"/>
          <w:sz w:val="24"/>
          <w:szCs w:val="24"/>
        </w:rPr>
        <w:t>/restaurācijai 2016.gadā</w:t>
      </w:r>
      <w:r w:rsidR="006F16AD" w:rsidRPr="008E4EB0">
        <w:rPr>
          <w:rFonts w:ascii="Times New Roman" w:eastAsia="Calibri" w:hAnsi="Times New Roman" w:cs="Times New Roman"/>
          <w:sz w:val="24"/>
          <w:szCs w:val="24"/>
          <w:vertAlign w:val="superscript"/>
        </w:rPr>
        <w:t>39</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3"/>
        <w:gridCol w:w="3462"/>
      </w:tblGrid>
      <w:tr w:rsidR="006F16AD" w:rsidRPr="008E4EB0" w14:paraId="756CECE7" w14:textId="77777777" w:rsidTr="006F16AD">
        <w:tc>
          <w:tcPr>
            <w:tcW w:w="3973" w:type="dxa"/>
            <w:shd w:val="clear" w:color="auto" w:fill="auto"/>
          </w:tcPr>
          <w:p w14:paraId="5879E166" w14:textId="77777777" w:rsidR="006F16AD" w:rsidRPr="008E4EB0" w:rsidRDefault="006F16AD" w:rsidP="007B2931">
            <w:pPr>
              <w:spacing w:after="0" w:line="276" w:lineRule="auto"/>
              <w:ind w:firstLine="851"/>
              <w:jc w:val="center"/>
              <w:rPr>
                <w:rFonts w:ascii="Times New Roman" w:hAnsi="Times New Roman" w:cs="Times New Roman"/>
                <w:b/>
                <w:bCs/>
                <w:color w:val="000000"/>
                <w:sz w:val="24"/>
                <w:szCs w:val="24"/>
              </w:rPr>
            </w:pPr>
          </w:p>
        </w:tc>
        <w:tc>
          <w:tcPr>
            <w:tcW w:w="3462" w:type="dxa"/>
          </w:tcPr>
          <w:p w14:paraId="56C8EE5B" w14:textId="77777777" w:rsidR="006F16AD" w:rsidRPr="008E4EB0" w:rsidRDefault="006F16AD" w:rsidP="007B2931">
            <w:pPr>
              <w:spacing w:after="0" w:line="276" w:lineRule="auto"/>
              <w:ind w:firstLine="34"/>
              <w:jc w:val="center"/>
              <w:rPr>
                <w:rFonts w:ascii="Times New Roman" w:hAnsi="Times New Roman" w:cs="Times New Roman"/>
                <w:b/>
                <w:bCs/>
                <w:color w:val="000000"/>
                <w:sz w:val="24"/>
                <w:szCs w:val="24"/>
              </w:rPr>
            </w:pPr>
            <w:r w:rsidRPr="008E4EB0">
              <w:rPr>
                <w:rFonts w:ascii="Times New Roman" w:hAnsi="Times New Roman" w:cs="Times New Roman"/>
                <w:b/>
                <w:bCs/>
                <w:color w:val="000000"/>
                <w:sz w:val="24"/>
                <w:szCs w:val="24"/>
              </w:rPr>
              <w:t>Daudzdzīvokļu mājas</w:t>
            </w:r>
          </w:p>
        </w:tc>
      </w:tr>
      <w:tr w:rsidR="006F16AD" w:rsidRPr="008E4EB0" w14:paraId="32D059B0" w14:textId="77777777" w:rsidTr="006F16AD">
        <w:tc>
          <w:tcPr>
            <w:tcW w:w="3973" w:type="dxa"/>
            <w:shd w:val="clear" w:color="auto" w:fill="auto"/>
            <w:vAlign w:val="bottom"/>
          </w:tcPr>
          <w:p w14:paraId="6EC93D92" w14:textId="77777777" w:rsidR="006F16AD" w:rsidRPr="008E4EB0" w:rsidRDefault="006F16AD" w:rsidP="007B2931">
            <w:pPr>
              <w:spacing w:after="0" w:line="276" w:lineRule="auto"/>
              <w:ind w:firstLine="33"/>
              <w:rPr>
                <w:rFonts w:ascii="Times New Roman" w:hAnsi="Times New Roman" w:cs="Times New Roman"/>
                <w:bCs/>
                <w:color w:val="000000"/>
                <w:sz w:val="24"/>
                <w:szCs w:val="24"/>
              </w:rPr>
            </w:pPr>
            <w:r w:rsidRPr="008E4EB0">
              <w:rPr>
                <w:rFonts w:ascii="Times New Roman" w:hAnsi="Times New Roman" w:cs="Times New Roman"/>
                <w:b/>
                <w:bCs/>
                <w:sz w:val="24"/>
                <w:szCs w:val="24"/>
              </w:rPr>
              <w:t>Aknīstes novads</w:t>
            </w:r>
          </w:p>
        </w:tc>
        <w:tc>
          <w:tcPr>
            <w:tcW w:w="3462" w:type="dxa"/>
            <w:vAlign w:val="center"/>
          </w:tcPr>
          <w:p w14:paraId="394BFA5B" w14:textId="77777777" w:rsidR="006F16AD" w:rsidRPr="008E4EB0" w:rsidRDefault="006F16AD" w:rsidP="007B2931">
            <w:pPr>
              <w:spacing w:after="0" w:line="276" w:lineRule="auto"/>
              <w:ind w:firstLine="34"/>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1</w:t>
            </w:r>
          </w:p>
        </w:tc>
      </w:tr>
      <w:tr w:rsidR="006F16AD" w:rsidRPr="008E4EB0" w14:paraId="3C61935E" w14:textId="77777777" w:rsidTr="006F16AD">
        <w:tc>
          <w:tcPr>
            <w:tcW w:w="3973" w:type="dxa"/>
            <w:shd w:val="clear" w:color="auto" w:fill="auto"/>
            <w:vAlign w:val="bottom"/>
          </w:tcPr>
          <w:p w14:paraId="7E0D8C9A" w14:textId="77777777" w:rsidR="006F16AD" w:rsidRPr="008E4EB0" w:rsidRDefault="006F16AD" w:rsidP="007B2931">
            <w:pPr>
              <w:spacing w:after="0" w:line="276" w:lineRule="auto"/>
              <w:ind w:firstLine="33"/>
              <w:rPr>
                <w:rFonts w:ascii="Times New Roman" w:hAnsi="Times New Roman" w:cs="Times New Roman"/>
                <w:bCs/>
                <w:color w:val="000000"/>
                <w:sz w:val="24"/>
                <w:szCs w:val="24"/>
              </w:rPr>
            </w:pPr>
            <w:r w:rsidRPr="008E4EB0">
              <w:rPr>
                <w:rFonts w:ascii="Times New Roman" w:hAnsi="Times New Roman" w:cs="Times New Roman"/>
                <w:b/>
                <w:bCs/>
                <w:sz w:val="24"/>
                <w:szCs w:val="24"/>
              </w:rPr>
              <w:t>Daugavpils novads</w:t>
            </w:r>
          </w:p>
        </w:tc>
        <w:tc>
          <w:tcPr>
            <w:tcW w:w="3462" w:type="dxa"/>
            <w:vAlign w:val="center"/>
          </w:tcPr>
          <w:p w14:paraId="68D7DDB7" w14:textId="77777777" w:rsidR="006F16AD" w:rsidRPr="008E4EB0" w:rsidRDefault="006F16AD" w:rsidP="007B2931">
            <w:pPr>
              <w:spacing w:after="0" w:line="276" w:lineRule="auto"/>
              <w:ind w:firstLine="34"/>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3</w:t>
            </w:r>
          </w:p>
        </w:tc>
      </w:tr>
      <w:tr w:rsidR="006F16AD" w:rsidRPr="008E4EB0" w14:paraId="66BC0326" w14:textId="77777777" w:rsidTr="006F16AD">
        <w:tc>
          <w:tcPr>
            <w:tcW w:w="3973" w:type="dxa"/>
            <w:shd w:val="clear" w:color="auto" w:fill="auto"/>
            <w:vAlign w:val="bottom"/>
          </w:tcPr>
          <w:p w14:paraId="065F477B" w14:textId="77777777" w:rsidR="006F16AD" w:rsidRPr="008E4EB0" w:rsidRDefault="006F16AD" w:rsidP="007B2931">
            <w:pPr>
              <w:spacing w:after="0" w:line="276" w:lineRule="auto"/>
              <w:ind w:firstLine="33"/>
              <w:rPr>
                <w:rFonts w:ascii="Times New Roman" w:hAnsi="Times New Roman" w:cs="Times New Roman"/>
                <w:bCs/>
                <w:color w:val="000000"/>
                <w:sz w:val="24"/>
                <w:szCs w:val="24"/>
              </w:rPr>
            </w:pPr>
            <w:r w:rsidRPr="008E4EB0">
              <w:rPr>
                <w:rFonts w:ascii="Times New Roman" w:hAnsi="Times New Roman" w:cs="Times New Roman"/>
                <w:b/>
                <w:bCs/>
                <w:sz w:val="24"/>
                <w:szCs w:val="24"/>
              </w:rPr>
              <w:t>Jaunjelgavas novads</w:t>
            </w:r>
          </w:p>
        </w:tc>
        <w:tc>
          <w:tcPr>
            <w:tcW w:w="3462" w:type="dxa"/>
            <w:vAlign w:val="center"/>
          </w:tcPr>
          <w:p w14:paraId="1045F45B" w14:textId="77777777" w:rsidR="006F16AD" w:rsidRPr="008E4EB0" w:rsidRDefault="006F16AD" w:rsidP="007B2931">
            <w:pPr>
              <w:spacing w:after="0" w:line="276" w:lineRule="auto"/>
              <w:ind w:firstLine="34"/>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1</w:t>
            </w:r>
          </w:p>
        </w:tc>
      </w:tr>
      <w:tr w:rsidR="006F16AD" w:rsidRPr="008E4EB0" w14:paraId="19C72F99" w14:textId="77777777" w:rsidTr="006F16AD">
        <w:tc>
          <w:tcPr>
            <w:tcW w:w="3973" w:type="dxa"/>
            <w:shd w:val="clear" w:color="auto" w:fill="auto"/>
            <w:vAlign w:val="bottom"/>
          </w:tcPr>
          <w:p w14:paraId="55D1BC91" w14:textId="77777777" w:rsidR="006F16AD" w:rsidRPr="008E4EB0" w:rsidRDefault="006F16AD" w:rsidP="007B2931">
            <w:pPr>
              <w:spacing w:after="0" w:line="276" w:lineRule="auto"/>
              <w:ind w:firstLine="33"/>
              <w:rPr>
                <w:rFonts w:ascii="Times New Roman" w:hAnsi="Times New Roman" w:cs="Times New Roman"/>
                <w:bCs/>
                <w:color w:val="000000"/>
                <w:sz w:val="24"/>
                <w:szCs w:val="24"/>
              </w:rPr>
            </w:pPr>
            <w:r w:rsidRPr="008E4EB0">
              <w:rPr>
                <w:rFonts w:ascii="Times New Roman" w:hAnsi="Times New Roman" w:cs="Times New Roman"/>
                <w:b/>
                <w:bCs/>
                <w:sz w:val="24"/>
                <w:szCs w:val="24"/>
              </w:rPr>
              <w:t>Kocēnu novads</w:t>
            </w:r>
          </w:p>
        </w:tc>
        <w:tc>
          <w:tcPr>
            <w:tcW w:w="3462" w:type="dxa"/>
            <w:vAlign w:val="center"/>
          </w:tcPr>
          <w:p w14:paraId="6A3BF8DD" w14:textId="77777777" w:rsidR="006F16AD" w:rsidRPr="008E4EB0" w:rsidRDefault="006F16AD" w:rsidP="007B2931">
            <w:pPr>
              <w:spacing w:after="0" w:line="276" w:lineRule="auto"/>
              <w:ind w:firstLine="34"/>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6</w:t>
            </w:r>
          </w:p>
        </w:tc>
      </w:tr>
      <w:tr w:rsidR="006F16AD" w:rsidRPr="008E4EB0" w14:paraId="0F3D2164" w14:textId="77777777" w:rsidTr="006F16AD">
        <w:tc>
          <w:tcPr>
            <w:tcW w:w="3973" w:type="dxa"/>
            <w:shd w:val="clear" w:color="auto" w:fill="auto"/>
          </w:tcPr>
          <w:p w14:paraId="0979B6FC" w14:textId="77777777" w:rsidR="006F16AD" w:rsidRPr="008E4EB0" w:rsidRDefault="006F16AD" w:rsidP="007B2931">
            <w:pPr>
              <w:spacing w:after="0" w:line="276" w:lineRule="auto"/>
              <w:ind w:firstLine="33"/>
              <w:jc w:val="center"/>
              <w:rPr>
                <w:rFonts w:ascii="Times New Roman" w:hAnsi="Times New Roman" w:cs="Times New Roman"/>
                <w:b/>
                <w:bCs/>
                <w:color w:val="000000"/>
                <w:sz w:val="24"/>
                <w:szCs w:val="24"/>
              </w:rPr>
            </w:pPr>
            <w:r w:rsidRPr="008E4EB0">
              <w:rPr>
                <w:rFonts w:ascii="Times New Roman" w:hAnsi="Times New Roman" w:cs="Times New Roman"/>
                <w:b/>
                <w:bCs/>
                <w:color w:val="000000"/>
                <w:sz w:val="24"/>
                <w:szCs w:val="24"/>
              </w:rPr>
              <w:t>KOPĀ:</w:t>
            </w:r>
          </w:p>
        </w:tc>
        <w:tc>
          <w:tcPr>
            <w:tcW w:w="3462" w:type="dxa"/>
          </w:tcPr>
          <w:p w14:paraId="1D6D9014" w14:textId="77777777" w:rsidR="006F16AD" w:rsidRPr="008E4EB0" w:rsidRDefault="006F16AD" w:rsidP="007B2931">
            <w:pPr>
              <w:spacing w:after="0" w:line="276" w:lineRule="auto"/>
              <w:ind w:firstLine="34"/>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11</w:t>
            </w:r>
          </w:p>
        </w:tc>
      </w:tr>
    </w:tbl>
    <w:p w14:paraId="3736AFCD" w14:textId="77777777" w:rsidR="006F16AD" w:rsidRPr="008E4EB0" w:rsidRDefault="006F16AD" w:rsidP="007B2931">
      <w:pPr>
        <w:pStyle w:val="ListParagraph"/>
        <w:shd w:val="clear" w:color="auto" w:fill="FFFFFF" w:themeFill="background1"/>
        <w:spacing w:after="0" w:line="276" w:lineRule="auto"/>
        <w:ind w:left="525"/>
        <w:jc w:val="both"/>
        <w:rPr>
          <w:rFonts w:ascii="Times New Roman" w:hAnsi="Times New Roman" w:cs="Times New Roman"/>
          <w:color w:val="FF0000"/>
          <w:sz w:val="24"/>
          <w:szCs w:val="24"/>
          <w:highlight w:val="yellow"/>
        </w:rPr>
      </w:pPr>
    </w:p>
    <w:p w14:paraId="15824E94" w14:textId="09B89975" w:rsidR="006F16AD" w:rsidRPr="008E4EB0" w:rsidRDefault="00F749EA" w:rsidP="007B2931">
      <w:pPr>
        <w:pStyle w:val="ListParagraph"/>
        <w:shd w:val="clear" w:color="auto" w:fill="FFFFFF" w:themeFill="background1"/>
        <w:spacing w:after="0" w:line="276" w:lineRule="auto"/>
        <w:ind w:left="525"/>
        <w:jc w:val="center"/>
        <w:rPr>
          <w:rFonts w:ascii="Times New Roman" w:hAnsi="Times New Roman" w:cs="Times New Roman"/>
          <w:color w:val="FF0000"/>
          <w:sz w:val="24"/>
          <w:szCs w:val="24"/>
          <w:highlight w:val="yellow"/>
        </w:rPr>
      </w:pPr>
      <w:r w:rsidRPr="008E4EB0">
        <w:rPr>
          <w:rFonts w:ascii="Times New Roman" w:eastAsia="Calibri" w:hAnsi="Times New Roman" w:cs="Times New Roman"/>
          <w:sz w:val="24"/>
          <w:szCs w:val="24"/>
        </w:rPr>
        <w:t>2</w:t>
      </w:r>
      <w:r>
        <w:rPr>
          <w:rFonts w:ascii="Times New Roman" w:eastAsia="Calibri" w:hAnsi="Times New Roman" w:cs="Times New Roman"/>
          <w:sz w:val="24"/>
          <w:szCs w:val="24"/>
        </w:rPr>
        <w:t>1</w:t>
      </w:r>
      <w:r w:rsidR="006F16AD" w:rsidRPr="008E4EB0">
        <w:rPr>
          <w:rFonts w:ascii="Times New Roman" w:eastAsia="Calibri" w:hAnsi="Times New Roman" w:cs="Times New Roman"/>
          <w:sz w:val="24"/>
          <w:szCs w:val="24"/>
        </w:rPr>
        <w:t>.tabula Pašvaldību sniegtā palīdzība no 2009.gada līdz 2016.gadam (ēku skaits)</w:t>
      </w:r>
      <w:r w:rsidR="006F16AD" w:rsidRPr="008E4EB0">
        <w:rPr>
          <w:rStyle w:val="FootnoteReference"/>
          <w:rFonts w:ascii="Times New Roman" w:eastAsia="Times New Roman" w:hAnsi="Times New Roman" w:cs="Times New Roman"/>
          <w:color w:val="000000"/>
          <w:sz w:val="24"/>
          <w:szCs w:val="24"/>
          <w:lang w:eastAsia="lv-LV"/>
        </w:rPr>
        <w:footnoteReference w:id="22"/>
      </w:r>
    </w:p>
    <w:tbl>
      <w:tblPr>
        <w:tblW w:w="9149" w:type="dxa"/>
        <w:tblInd w:w="-5" w:type="dxa"/>
        <w:shd w:val="clear" w:color="auto" w:fill="FFFFFF" w:themeFill="background1"/>
        <w:tblLook w:val="04A0" w:firstRow="1" w:lastRow="0" w:firstColumn="1" w:lastColumn="0" w:noHBand="0" w:noVBand="1"/>
      </w:tblPr>
      <w:tblGrid>
        <w:gridCol w:w="2596"/>
        <w:gridCol w:w="737"/>
        <w:gridCol w:w="737"/>
        <w:gridCol w:w="737"/>
        <w:gridCol w:w="737"/>
        <w:gridCol w:w="737"/>
        <w:gridCol w:w="737"/>
        <w:gridCol w:w="737"/>
        <w:gridCol w:w="737"/>
        <w:gridCol w:w="777"/>
      </w:tblGrid>
      <w:tr w:rsidR="009E1DA3" w:rsidRPr="008E4EB0" w14:paraId="28D8D312" w14:textId="77777777" w:rsidTr="0045084B">
        <w:trPr>
          <w:trHeight w:val="300"/>
        </w:trPr>
        <w:tc>
          <w:tcPr>
            <w:tcW w:w="25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D5FEBA4" w14:textId="77777777" w:rsidR="006F16AD" w:rsidRPr="008E4EB0" w:rsidRDefault="006F16AD" w:rsidP="007B2931">
            <w:pPr>
              <w:shd w:val="clear" w:color="auto" w:fill="FFFFFF" w:themeFill="background1"/>
              <w:spacing w:after="0" w:line="276" w:lineRule="auto"/>
              <w:rPr>
                <w:rFonts w:ascii="Times New Roman" w:eastAsia="Times New Roman" w:hAnsi="Times New Roman" w:cs="Times New Roman"/>
                <w:color w:val="000000"/>
                <w:sz w:val="24"/>
                <w:szCs w:val="24"/>
                <w:lang w:eastAsia="lv-LV"/>
              </w:rPr>
            </w:pPr>
            <w:r w:rsidRPr="008E4EB0">
              <w:rPr>
                <w:rFonts w:ascii="Times New Roman" w:eastAsia="Times New Roman" w:hAnsi="Times New Roman" w:cs="Times New Roman"/>
                <w:color w:val="000000"/>
                <w:sz w:val="24"/>
                <w:szCs w:val="24"/>
                <w:lang w:eastAsia="lv-LV"/>
              </w:rPr>
              <w:t> </w:t>
            </w:r>
          </w:p>
        </w:tc>
        <w:tc>
          <w:tcPr>
            <w:tcW w:w="737"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33DFABF9" w14:textId="77777777" w:rsidR="006F16AD" w:rsidRPr="008E4EB0" w:rsidRDefault="006F16AD" w:rsidP="007B2931">
            <w:pPr>
              <w:shd w:val="clear" w:color="auto" w:fill="FFFFFF" w:themeFill="background1"/>
              <w:spacing w:after="0" w:line="276" w:lineRule="auto"/>
              <w:jc w:val="right"/>
              <w:rPr>
                <w:rFonts w:ascii="Times New Roman" w:hAnsi="Times New Roman" w:cs="Times New Roman"/>
                <w:b/>
                <w:bCs/>
                <w:color w:val="000000"/>
                <w:sz w:val="24"/>
                <w:szCs w:val="24"/>
              </w:rPr>
            </w:pPr>
            <w:r w:rsidRPr="008E4EB0">
              <w:rPr>
                <w:rFonts w:ascii="Times New Roman" w:hAnsi="Times New Roman" w:cs="Times New Roman"/>
                <w:b/>
                <w:bCs/>
                <w:color w:val="000000"/>
                <w:sz w:val="24"/>
                <w:szCs w:val="24"/>
              </w:rPr>
              <w:t>2009</w:t>
            </w:r>
          </w:p>
        </w:tc>
        <w:tc>
          <w:tcPr>
            <w:tcW w:w="737"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26D54E8B" w14:textId="77777777" w:rsidR="006F16AD" w:rsidRPr="008E4EB0" w:rsidRDefault="006F16AD" w:rsidP="007B2931">
            <w:pPr>
              <w:shd w:val="clear" w:color="auto" w:fill="FFFFFF" w:themeFill="background1"/>
              <w:spacing w:after="0" w:line="276" w:lineRule="auto"/>
              <w:jc w:val="right"/>
              <w:rPr>
                <w:rFonts w:ascii="Times New Roman" w:hAnsi="Times New Roman" w:cs="Times New Roman"/>
                <w:b/>
                <w:bCs/>
                <w:color w:val="000000"/>
                <w:sz w:val="24"/>
                <w:szCs w:val="24"/>
              </w:rPr>
            </w:pPr>
            <w:r w:rsidRPr="008E4EB0">
              <w:rPr>
                <w:rFonts w:ascii="Times New Roman" w:hAnsi="Times New Roman" w:cs="Times New Roman"/>
                <w:b/>
                <w:bCs/>
                <w:color w:val="000000"/>
                <w:sz w:val="24"/>
                <w:szCs w:val="24"/>
              </w:rPr>
              <w:t>2010</w:t>
            </w:r>
          </w:p>
        </w:tc>
        <w:tc>
          <w:tcPr>
            <w:tcW w:w="737"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6032F13A" w14:textId="77777777" w:rsidR="006F16AD" w:rsidRPr="008E4EB0" w:rsidRDefault="006F16AD" w:rsidP="007B2931">
            <w:pPr>
              <w:shd w:val="clear" w:color="auto" w:fill="FFFFFF" w:themeFill="background1"/>
              <w:spacing w:after="0" w:line="276" w:lineRule="auto"/>
              <w:jc w:val="right"/>
              <w:rPr>
                <w:rFonts w:ascii="Times New Roman" w:hAnsi="Times New Roman" w:cs="Times New Roman"/>
                <w:b/>
                <w:bCs/>
                <w:color w:val="000000"/>
                <w:sz w:val="24"/>
                <w:szCs w:val="24"/>
              </w:rPr>
            </w:pPr>
            <w:r w:rsidRPr="008E4EB0">
              <w:rPr>
                <w:rFonts w:ascii="Times New Roman" w:hAnsi="Times New Roman" w:cs="Times New Roman"/>
                <w:b/>
                <w:bCs/>
                <w:color w:val="000000"/>
                <w:sz w:val="24"/>
                <w:szCs w:val="24"/>
              </w:rPr>
              <w:t>2011</w:t>
            </w:r>
          </w:p>
        </w:tc>
        <w:tc>
          <w:tcPr>
            <w:tcW w:w="737"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1D5D29E5" w14:textId="77777777" w:rsidR="006F16AD" w:rsidRPr="008E4EB0" w:rsidRDefault="006F16AD" w:rsidP="007B2931">
            <w:pPr>
              <w:shd w:val="clear" w:color="auto" w:fill="FFFFFF" w:themeFill="background1"/>
              <w:spacing w:after="0" w:line="276" w:lineRule="auto"/>
              <w:jc w:val="right"/>
              <w:rPr>
                <w:rFonts w:ascii="Times New Roman" w:hAnsi="Times New Roman" w:cs="Times New Roman"/>
                <w:b/>
                <w:bCs/>
                <w:color w:val="000000"/>
                <w:sz w:val="24"/>
                <w:szCs w:val="24"/>
              </w:rPr>
            </w:pPr>
            <w:r w:rsidRPr="008E4EB0">
              <w:rPr>
                <w:rFonts w:ascii="Times New Roman" w:hAnsi="Times New Roman" w:cs="Times New Roman"/>
                <w:b/>
                <w:bCs/>
                <w:color w:val="000000"/>
                <w:sz w:val="24"/>
                <w:szCs w:val="24"/>
              </w:rPr>
              <w:t>2012</w:t>
            </w:r>
          </w:p>
        </w:tc>
        <w:tc>
          <w:tcPr>
            <w:tcW w:w="737"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1A1CF848" w14:textId="77777777" w:rsidR="006F16AD" w:rsidRPr="008E4EB0" w:rsidRDefault="006F16AD" w:rsidP="007B2931">
            <w:pPr>
              <w:shd w:val="clear" w:color="auto" w:fill="FFFFFF" w:themeFill="background1"/>
              <w:spacing w:after="0" w:line="276" w:lineRule="auto"/>
              <w:jc w:val="right"/>
              <w:rPr>
                <w:rFonts w:ascii="Times New Roman" w:hAnsi="Times New Roman" w:cs="Times New Roman"/>
                <w:b/>
                <w:bCs/>
                <w:color w:val="000000"/>
                <w:sz w:val="24"/>
                <w:szCs w:val="24"/>
              </w:rPr>
            </w:pPr>
            <w:r w:rsidRPr="008E4EB0">
              <w:rPr>
                <w:rFonts w:ascii="Times New Roman" w:hAnsi="Times New Roman" w:cs="Times New Roman"/>
                <w:b/>
                <w:bCs/>
                <w:color w:val="000000"/>
                <w:sz w:val="24"/>
                <w:szCs w:val="24"/>
              </w:rPr>
              <w:t>2013</w:t>
            </w:r>
          </w:p>
        </w:tc>
        <w:tc>
          <w:tcPr>
            <w:tcW w:w="737"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646D9D93" w14:textId="77777777" w:rsidR="006F16AD" w:rsidRPr="008E4EB0" w:rsidRDefault="006F16AD" w:rsidP="007B2931">
            <w:pPr>
              <w:shd w:val="clear" w:color="auto" w:fill="FFFFFF" w:themeFill="background1"/>
              <w:spacing w:after="0" w:line="276" w:lineRule="auto"/>
              <w:jc w:val="right"/>
              <w:rPr>
                <w:rFonts w:ascii="Times New Roman" w:hAnsi="Times New Roman" w:cs="Times New Roman"/>
                <w:b/>
                <w:bCs/>
                <w:color w:val="000000"/>
                <w:sz w:val="24"/>
                <w:szCs w:val="24"/>
              </w:rPr>
            </w:pPr>
            <w:r w:rsidRPr="008E4EB0">
              <w:rPr>
                <w:rFonts w:ascii="Times New Roman" w:hAnsi="Times New Roman" w:cs="Times New Roman"/>
                <w:b/>
                <w:bCs/>
                <w:color w:val="000000"/>
                <w:sz w:val="24"/>
                <w:szCs w:val="24"/>
              </w:rPr>
              <w:t>2014</w:t>
            </w:r>
          </w:p>
        </w:tc>
        <w:tc>
          <w:tcPr>
            <w:tcW w:w="737"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5C42EBD0" w14:textId="77777777" w:rsidR="006F16AD" w:rsidRPr="008E4EB0" w:rsidRDefault="006F16AD" w:rsidP="007B2931">
            <w:pPr>
              <w:shd w:val="clear" w:color="auto" w:fill="FFFFFF" w:themeFill="background1"/>
              <w:spacing w:after="0" w:line="276" w:lineRule="auto"/>
              <w:jc w:val="right"/>
              <w:rPr>
                <w:rFonts w:ascii="Times New Roman" w:hAnsi="Times New Roman" w:cs="Times New Roman"/>
                <w:b/>
                <w:bCs/>
                <w:color w:val="000000"/>
                <w:sz w:val="24"/>
                <w:szCs w:val="24"/>
              </w:rPr>
            </w:pPr>
            <w:r w:rsidRPr="008E4EB0">
              <w:rPr>
                <w:rFonts w:ascii="Times New Roman" w:hAnsi="Times New Roman" w:cs="Times New Roman"/>
                <w:b/>
                <w:bCs/>
                <w:color w:val="000000"/>
                <w:sz w:val="24"/>
                <w:szCs w:val="24"/>
              </w:rPr>
              <w:t>2015</w:t>
            </w:r>
          </w:p>
        </w:tc>
        <w:tc>
          <w:tcPr>
            <w:tcW w:w="737"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0E5D7B7C" w14:textId="77777777" w:rsidR="006F16AD" w:rsidRPr="008E4EB0" w:rsidRDefault="006F16AD" w:rsidP="007B2931">
            <w:pPr>
              <w:shd w:val="clear" w:color="auto" w:fill="FFFFFF" w:themeFill="background1"/>
              <w:spacing w:after="0" w:line="276" w:lineRule="auto"/>
              <w:jc w:val="right"/>
              <w:rPr>
                <w:rFonts w:ascii="Times New Roman" w:hAnsi="Times New Roman" w:cs="Times New Roman"/>
                <w:b/>
                <w:bCs/>
                <w:color w:val="000000"/>
                <w:sz w:val="24"/>
                <w:szCs w:val="24"/>
              </w:rPr>
            </w:pPr>
            <w:r w:rsidRPr="008E4EB0">
              <w:rPr>
                <w:rFonts w:ascii="Times New Roman" w:hAnsi="Times New Roman" w:cs="Times New Roman"/>
                <w:b/>
                <w:bCs/>
                <w:color w:val="000000"/>
                <w:sz w:val="24"/>
                <w:szCs w:val="24"/>
              </w:rPr>
              <w:t>2016</w:t>
            </w:r>
          </w:p>
        </w:tc>
        <w:tc>
          <w:tcPr>
            <w:tcW w:w="737"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3356ED42" w14:textId="77777777" w:rsidR="006F16AD" w:rsidRPr="008E4EB0" w:rsidRDefault="006F16AD" w:rsidP="007B2931">
            <w:pPr>
              <w:shd w:val="clear" w:color="auto" w:fill="FFFFFF" w:themeFill="background1"/>
              <w:spacing w:after="0" w:line="276" w:lineRule="auto"/>
              <w:rPr>
                <w:rFonts w:ascii="Times New Roman" w:hAnsi="Times New Roman" w:cs="Times New Roman"/>
                <w:b/>
                <w:bCs/>
                <w:color w:val="000000"/>
                <w:sz w:val="24"/>
                <w:szCs w:val="24"/>
              </w:rPr>
            </w:pPr>
            <w:r w:rsidRPr="008E4EB0">
              <w:rPr>
                <w:rFonts w:ascii="Times New Roman" w:hAnsi="Times New Roman" w:cs="Times New Roman"/>
                <w:b/>
                <w:bCs/>
                <w:color w:val="000000"/>
                <w:sz w:val="24"/>
                <w:szCs w:val="24"/>
              </w:rPr>
              <w:t>Kopā</w:t>
            </w:r>
          </w:p>
        </w:tc>
      </w:tr>
      <w:tr w:rsidR="009E1DA3" w:rsidRPr="008E4EB0" w14:paraId="77FA9119" w14:textId="77777777" w:rsidTr="0045084B">
        <w:trPr>
          <w:trHeight w:val="900"/>
        </w:trPr>
        <w:tc>
          <w:tcPr>
            <w:tcW w:w="2516" w:type="dxa"/>
            <w:tcBorders>
              <w:top w:val="nil"/>
              <w:left w:val="single" w:sz="4" w:space="0" w:color="auto"/>
              <w:bottom w:val="single" w:sz="4" w:space="0" w:color="auto"/>
              <w:right w:val="single" w:sz="4" w:space="0" w:color="auto"/>
            </w:tcBorders>
            <w:shd w:val="clear" w:color="auto" w:fill="FFFFFF" w:themeFill="background1"/>
            <w:vAlign w:val="center"/>
            <w:hideMark/>
          </w:tcPr>
          <w:p w14:paraId="21262811" w14:textId="77777777" w:rsidR="006F16AD" w:rsidRPr="008E4EB0" w:rsidRDefault="006F16AD" w:rsidP="007B2931">
            <w:pPr>
              <w:shd w:val="clear" w:color="auto" w:fill="FFFFFF" w:themeFill="background1"/>
              <w:spacing w:after="0" w:line="276" w:lineRule="auto"/>
              <w:ind w:firstLine="33"/>
              <w:rPr>
                <w:rFonts w:ascii="Times New Roman" w:hAnsi="Times New Roman" w:cs="Times New Roman"/>
                <w:b/>
                <w:bCs/>
                <w:sz w:val="24"/>
                <w:szCs w:val="24"/>
              </w:rPr>
            </w:pPr>
            <w:r w:rsidRPr="008E4EB0">
              <w:rPr>
                <w:rFonts w:ascii="Times New Roman" w:hAnsi="Times New Roman" w:cs="Times New Roman"/>
                <w:b/>
                <w:bCs/>
                <w:sz w:val="24"/>
                <w:szCs w:val="24"/>
              </w:rPr>
              <w:t xml:space="preserve">Energoefektivitātes pasākumu veikšana dzīvojamā mājā </w:t>
            </w:r>
          </w:p>
        </w:tc>
        <w:tc>
          <w:tcPr>
            <w:tcW w:w="737" w:type="dxa"/>
            <w:tcBorders>
              <w:top w:val="nil"/>
              <w:left w:val="nil"/>
              <w:bottom w:val="single" w:sz="4" w:space="0" w:color="auto"/>
              <w:right w:val="single" w:sz="4" w:space="0" w:color="auto"/>
            </w:tcBorders>
            <w:shd w:val="clear" w:color="auto" w:fill="FFFFFF" w:themeFill="background1"/>
            <w:noWrap/>
            <w:vAlign w:val="center"/>
            <w:hideMark/>
          </w:tcPr>
          <w:p w14:paraId="4FDBD570" w14:textId="77777777" w:rsidR="006F16AD" w:rsidRPr="008E4EB0" w:rsidRDefault="006F16AD" w:rsidP="007B2931">
            <w:pPr>
              <w:shd w:val="clear" w:color="auto" w:fill="FFFFFF" w:themeFill="background1"/>
              <w:spacing w:after="0" w:line="276" w:lineRule="auto"/>
              <w:ind w:firstLine="34"/>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258</w:t>
            </w:r>
          </w:p>
        </w:tc>
        <w:tc>
          <w:tcPr>
            <w:tcW w:w="737" w:type="dxa"/>
            <w:tcBorders>
              <w:top w:val="nil"/>
              <w:left w:val="nil"/>
              <w:bottom w:val="single" w:sz="4" w:space="0" w:color="auto"/>
              <w:right w:val="single" w:sz="4" w:space="0" w:color="auto"/>
            </w:tcBorders>
            <w:shd w:val="clear" w:color="auto" w:fill="FFFFFF" w:themeFill="background1"/>
            <w:noWrap/>
            <w:vAlign w:val="center"/>
            <w:hideMark/>
          </w:tcPr>
          <w:p w14:paraId="3F980B8B" w14:textId="77777777" w:rsidR="006F16AD" w:rsidRPr="008E4EB0" w:rsidRDefault="006F16AD" w:rsidP="007B2931">
            <w:pPr>
              <w:shd w:val="clear" w:color="auto" w:fill="FFFFFF" w:themeFill="background1"/>
              <w:spacing w:after="0" w:line="276" w:lineRule="auto"/>
              <w:ind w:firstLine="34"/>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57</w:t>
            </w:r>
          </w:p>
        </w:tc>
        <w:tc>
          <w:tcPr>
            <w:tcW w:w="737" w:type="dxa"/>
            <w:tcBorders>
              <w:top w:val="nil"/>
              <w:left w:val="nil"/>
              <w:bottom w:val="single" w:sz="4" w:space="0" w:color="auto"/>
              <w:right w:val="single" w:sz="4" w:space="0" w:color="auto"/>
            </w:tcBorders>
            <w:shd w:val="clear" w:color="auto" w:fill="FFFFFF" w:themeFill="background1"/>
            <w:noWrap/>
            <w:vAlign w:val="center"/>
            <w:hideMark/>
          </w:tcPr>
          <w:p w14:paraId="46FFB5E0" w14:textId="77777777" w:rsidR="006F16AD" w:rsidRPr="008E4EB0" w:rsidRDefault="006F16AD" w:rsidP="007B2931">
            <w:pPr>
              <w:shd w:val="clear" w:color="auto" w:fill="FFFFFF" w:themeFill="background1"/>
              <w:spacing w:after="0" w:line="276" w:lineRule="auto"/>
              <w:ind w:firstLine="34"/>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97</w:t>
            </w:r>
          </w:p>
        </w:tc>
        <w:tc>
          <w:tcPr>
            <w:tcW w:w="737" w:type="dxa"/>
            <w:tcBorders>
              <w:top w:val="nil"/>
              <w:left w:val="nil"/>
              <w:bottom w:val="single" w:sz="4" w:space="0" w:color="auto"/>
              <w:right w:val="single" w:sz="4" w:space="0" w:color="auto"/>
            </w:tcBorders>
            <w:shd w:val="clear" w:color="auto" w:fill="FFFFFF" w:themeFill="background1"/>
            <w:noWrap/>
            <w:vAlign w:val="center"/>
            <w:hideMark/>
          </w:tcPr>
          <w:p w14:paraId="5AF13F2B" w14:textId="77777777" w:rsidR="006F16AD" w:rsidRPr="008E4EB0" w:rsidRDefault="006F16AD" w:rsidP="007B2931">
            <w:pPr>
              <w:shd w:val="clear" w:color="auto" w:fill="FFFFFF" w:themeFill="background1"/>
              <w:spacing w:after="0" w:line="276" w:lineRule="auto"/>
              <w:ind w:firstLine="34"/>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169</w:t>
            </w:r>
          </w:p>
        </w:tc>
        <w:tc>
          <w:tcPr>
            <w:tcW w:w="737" w:type="dxa"/>
            <w:tcBorders>
              <w:top w:val="nil"/>
              <w:left w:val="nil"/>
              <w:bottom w:val="single" w:sz="4" w:space="0" w:color="auto"/>
              <w:right w:val="single" w:sz="4" w:space="0" w:color="auto"/>
            </w:tcBorders>
            <w:shd w:val="clear" w:color="auto" w:fill="FFFFFF" w:themeFill="background1"/>
            <w:noWrap/>
            <w:vAlign w:val="center"/>
            <w:hideMark/>
          </w:tcPr>
          <w:p w14:paraId="74114AEE" w14:textId="77777777" w:rsidR="006F16AD" w:rsidRPr="008E4EB0" w:rsidRDefault="006F16AD" w:rsidP="007B2931">
            <w:pPr>
              <w:shd w:val="clear" w:color="auto" w:fill="FFFFFF" w:themeFill="background1"/>
              <w:spacing w:after="0" w:line="276" w:lineRule="auto"/>
              <w:ind w:firstLine="34"/>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160</w:t>
            </w:r>
          </w:p>
        </w:tc>
        <w:tc>
          <w:tcPr>
            <w:tcW w:w="737" w:type="dxa"/>
            <w:tcBorders>
              <w:top w:val="nil"/>
              <w:left w:val="nil"/>
              <w:bottom w:val="single" w:sz="4" w:space="0" w:color="auto"/>
              <w:right w:val="single" w:sz="4" w:space="0" w:color="auto"/>
            </w:tcBorders>
            <w:shd w:val="clear" w:color="auto" w:fill="FFFFFF" w:themeFill="background1"/>
            <w:noWrap/>
            <w:vAlign w:val="center"/>
            <w:hideMark/>
          </w:tcPr>
          <w:p w14:paraId="56748565" w14:textId="77777777" w:rsidR="006F16AD" w:rsidRPr="008E4EB0" w:rsidRDefault="006F16AD" w:rsidP="007B2931">
            <w:pPr>
              <w:shd w:val="clear" w:color="auto" w:fill="FFFFFF" w:themeFill="background1"/>
              <w:spacing w:after="0" w:line="276" w:lineRule="auto"/>
              <w:ind w:firstLine="34"/>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86</w:t>
            </w:r>
          </w:p>
        </w:tc>
        <w:tc>
          <w:tcPr>
            <w:tcW w:w="737" w:type="dxa"/>
            <w:tcBorders>
              <w:top w:val="nil"/>
              <w:left w:val="nil"/>
              <w:bottom w:val="single" w:sz="4" w:space="0" w:color="auto"/>
              <w:right w:val="single" w:sz="4" w:space="0" w:color="auto"/>
            </w:tcBorders>
            <w:shd w:val="clear" w:color="auto" w:fill="FFFFFF" w:themeFill="background1"/>
            <w:noWrap/>
            <w:vAlign w:val="center"/>
            <w:hideMark/>
          </w:tcPr>
          <w:p w14:paraId="4F2E5420" w14:textId="77777777" w:rsidR="006F16AD" w:rsidRPr="008E4EB0" w:rsidRDefault="006F16AD" w:rsidP="007B2931">
            <w:pPr>
              <w:shd w:val="clear" w:color="auto" w:fill="FFFFFF" w:themeFill="background1"/>
              <w:spacing w:after="0" w:line="276" w:lineRule="auto"/>
              <w:ind w:firstLine="34"/>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81</w:t>
            </w:r>
          </w:p>
        </w:tc>
        <w:tc>
          <w:tcPr>
            <w:tcW w:w="737" w:type="dxa"/>
            <w:tcBorders>
              <w:top w:val="nil"/>
              <w:left w:val="nil"/>
              <w:bottom w:val="single" w:sz="4" w:space="0" w:color="auto"/>
              <w:right w:val="single" w:sz="4" w:space="0" w:color="auto"/>
            </w:tcBorders>
            <w:shd w:val="clear" w:color="auto" w:fill="FFFFFF" w:themeFill="background1"/>
            <w:noWrap/>
            <w:vAlign w:val="center"/>
            <w:hideMark/>
          </w:tcPr>
          <w:p w14:paraId="3F5E20B3" w14:textId="77777777" w:rsidR="006F16AD" w:rsidRPr="008E4EB0" w:rsidRDefault="006F16AD" w:rsidP="007B2931">
            <w:pPr>
              <w:shd w:val="clear" w:color="auto" w:fill="FFFFFF" w:themeFill="background1"/>
              <w:spacing w:after="0" w:line="276" w:lineRule="auto"/>
              <w:ind w:firstLine="34"/>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106</w:t>
            </w:r>
          </w:p>
        </w:tc>
        <w:tc>
          <w:tcPr>
            <w:tcW w:w="737" w:type="dxa"/>
            <w:tcBorders>
              <w:top w:val="nil"/>
              <w:left w:val="nil"/>
              <w:bottom w:val="single" w:sz="4" w:space="0" w:color="auto"/>
              <w:right w:val="single" w:sz="4" w:space="0" w:color="auto"/>
            </w:tcBorders>
            <w:shd w:val="clear" w:color="auto" w:fill="FFFFFF" w:themeFill="background1"/>
            <w:noWrap/>
            <w:vAlign w:val="center"/>
            <w:hideMark/>
          </w:tcPr>
          <w:p w14:paraId="19193B09" w14:textId="77777777" w:rsidR="006F16AD" w:rsidRPr="008E4EB0" w:rsidRDefault="006F16AD" w:rsidP="007B2931">
            <w:pPr>
              <w:shd w:val="clear" w:color="auto" w:fill="FFFFFF" w:themeFill="background1"/>
              <w:spacing w:after="0" w:line="276" w:lineRule="auto"/>
              <w:ind w:firstLine="34"/>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1014</w:t>
            </w:r>
          </w:p>
        </w:tc>
      </w:tr>
      <w:tr w:rsidR="009E1DA3" w:rsidRPr="008E4EB0" w14:paraId="6FDD56F3" w14:textId="77777777" w:rsidTr="0045084B">
        <w:trPr>
          <w:trHeight w:val="600"/>
        </w:trPr>
        <w:tc>
          <w:tcPr>
            <w:tcW w:w="2516" w:type="dxa"/>
            <w:tcBorders>
              <w:top w:val="nil"/>
              <w:left w:val="single" w:sz="4" w:space="0" w:color="auto"/>
              <w:bottom w:val="single" w:sz="4" w:space="0" w:color="auto"/>
              <w:right w:val="single" w:sz="4" w:space="0" w:color="auto"/>
            </w:tcBorders>
            <w:shd w:val="clear" w:color="auto" w:fill="FFFFFF" w:themeFill="background1"/>
            <w:vAlign w:val="center"/>
            <w:hideMark/>
          </w:tcPr>
          <w:p w14:paraId="629D5B33" w14:textId="31C884EB" w:rsidR="006F16AD" w:rsidRPr="008E4EB0" w:rsidRDefault="00CE0F55" w:rsidP="007B2931">
            <w:pPr>
              <w:shd w:val="clear" w:color="auto" w:fill="FFFFFF" w:themeFill="background1"/>
              <w:spacing w:after="0" w:line="276" w:lineRule="auto"/>
              <w:ind w:firstLine="33"/>
              <w:rPr>
                <w:rFonts w:ascii="Times New Roman" w:hAnsi="Times New Roman" w:cs="Times New Roman"/>
                <w:b/>
                <w:bCs/>
                <w:sz w:val="24"/>
                <w:szCs w:val="24"/>
              </w:rPr>
            </w:pPr>
            <w:r w:rsidRPr="008E4EB0">
              <w:rPr>
                <w:rFonts w:ascii="Times New Roman" w:hAnsi="Times New Roman" w:cs="Times New Roman"/>
                <w:b/>
                <w:bCs/>
                <w:sz w:val="24"/>
                <w:szCs w:val="24"/>
              </w:rPr>
              <w:t>Atjaunot</w:t>
            </w:r>
            <w:r w:rsidR="006F16AD" w:rsidRPr="008E4EB0">
              <w:rPr>
                <w:rFonts w:ascii="Times New Roman" w:hAnsi="Times New Roman" w:cs="Times New Roman"/>
                <w:b/>
                <w:bCs/>
                <w:sz w:val="24"/>
                <w:szCs w:val="24"/>
              </w:rPr>
              <w:t>ās/restaurētās dzīvojamās mājas</w:t>
            </w:r>
          </w:p>
        </w:tc>
        <w:tc>
          <w:tcPr>
            <w:tcW w:w="737" w:type="dxa"/>
            <w:tcBorders>
              <w:top w:val="nil"/>
              <w:left w:val="nil"/>
              <w:bottom w:val="single" w:sz="4" w:space="0" w:color="auto"/>
              <w:right w:val="single" w:sz="4" w:space="0" w:color="auto"/>
            </w:tcBorders>
            <w:shd w:val="clear" w:color="auto" w:fill="FFFFFF" w:themeFill="background1"/>
            <w:noWrap/>
            <w:vAlign w:val="center"/>
            <w:hideMark/>
          </w:tcPr>
          <w:p w14:paraId="49C09BC1" w14:textId="77777777" w:rsidR="006F16AD" w:rsidRPr="008E4EB0" w:rsidRDefault="006F16AD" w:rsidP="007B2931">
            <w:pPr>
              <w:shd w:val="clear" w:color="auto" w:fill="FFFFFF" w:themeFill="background1"/>
              <w:spacing w:after="0" w:line="276" w:lineRule="auto"/>
              <w:ind w:firstLine="34"/>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49</w:t>
            </w:r>
          </w:p>
        </w:tc>
        <w:tc>
          <w:tcPr>
            <w:tcW w:w="737" w:type="dxa"/>
            <w:tcBorders>
              <w:top w:val="nil"/>
              <w:left w:val="nil"/>
              <w:bottom w:val="single" w:sz="4" w:space="0" w:color="auto"/>
              <w:right w:val="single" w:sz="4" w:space="0" w:color="auto"/>
            </w:tcBorders>
            <w:shd w:val="clear" w:color="auto" w:fill="FFFFFF" w:themeFill="background1"/>
            <w:noWrap/>
            <w:vAlign w:val="center"/>
            <w:hideMark/>
          </w:tcPr>
          <w:p w14:paraId="7D2407FC" w14:textId="77777777" w:rsidR="006F16AD" w:rsidRPr="008E4EB0" w:rsidRDefault="006F16AD" w:rsidP="007B2931">
            <w:pPr>
              <w:shd w:val="clear" w:color="auto" w:fill="FFFFFF" w:themeFill="background1"/>
              <w:spacing w:after="0" w:line="276" w:lineRule="auto"/>
              <w:ind w:firstLine="34"/>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9</w:t>
            </w:r>
          </w:p>
        </w:tc>
        <w:tc>
          <w:tcPr>
            <w:tcW w:w="737" w:type="dxa"/>
            <w:tcBorders>
              <w:top w:val="nil"/>
              <w:left w:val="nil"/>
              <w:bottom w:val="single" w:sz="4" w:space="0" w:color="auto"/>
              <w:right w:val="single" w:sz="4" w:space="0" w:color="auto"/>
            </w:tcBorders>
            <w:shd w:val="clear" w:color="auto" w:fill="FFFFFF" w:themeFill="background1"/>
            <w:noWrap/>
            <w:vAlign w:val="center"/>
            <w:hideMark/>
          </w:tcPr>
          <w:p w14:paraId="6A535CAF" w14:textId="77777777" w:rsidR="006F16AD" w:rsidRPr="008E4EB0" w:rsidRDefault="006F16AD" w:rsidP="007B2931">
            <w:pPr>
              <w:shd w:val="clear" w:color="auto" w:fill="FFFFFF" w:themeFill="background1"/>
              <w:spacing w:after="0" w:line="276" w:lineRule="auto"/>
              <w:ind w:firstLine="34"/>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31</w:t>
            </w:r>
          </w:p>
        </w:tc>
        <w:tc>
          <w:tcPr>
            <w:tcW w:w="737" w:type="dxa"/>
            <w:tcBorders>
              <w:top w:val="nil"/>
              <w:left w:val="nil"/>
              <w:bottom w:val="single" w:sz="4" w:space="0" w:color="auto"/>
              <w:right w:val="single" w:sz="4" w:space="0" w:color="auto"/>
            </w:tcBorders>
            <w:shd w:val="clear" w:color="auto" w:fill="FFFFFF" w:themeFill="background1"/>
            <w:noWrap/>
            <w:vAlign w:val="center"/>
            <w:hideMark/>
          </w:tcPr>
          <w:p w14:paraId="1B179572" w14:textId="77777777" w:rsidR="006F16AD" w:rsidRPr="008E4EB0" w:rsidRDefault="006F16AD" w:rsidP="007B2931">
            <w:pPr>
              <w:shd w:val="clear" w:color="auto" w:fill="FFFFFF" w:themeFill="background1"/>
              <w:spacing w:after="0" w:line="276" w:lineRule="auto"/>
              <w:ind w:firstLine="34"/>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88</w:t>
            </w:r>
          </w:p>
        </w:tc>
        <w:tc>
          <w:tcPr>
            <w:tcW w:w="737" w:type="dxa"/>
            <w:tcBorders>
              <w:top w:val="nil"/>
              <w:left w:val="nil"/>
              <w:bottom w:val="single" w:sz="4" w:space="0" w:color="auto"/>
              <w:right w:val="single" w:sz="4" w:space="0" w:color="auto"/>
            </w:tcBorders>
            <w:shd w:val="clear" w:color="auto" w:fill="FFFFFF" w:themeFill="background1"/>
            <w:noWrap/>
            <w:vAlign w:val="center"/>
            <w:hideMark/>
          </w:tcPr>
          <w:p w14:paraId="72CCF128" w14:textId="77777777" w:rsidR="006F16AD" w:rsidRPr="008E4EB0" w:rsidRDefault="006F16AD" w:rsidP="007B2931">
            <w:pPr>
              <w:shd w:val="clear" w:color="auto" w:fill="FFFFFF" w:themeFill="background1"/>
              <w:spacing w:after="0" w:line="276" w:lineRule="auto"/>
              <w:ind w:firstLine="34"/>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55</w:t>
            </w:r>
          </w:p>
        </w:tc>
        <w:tc>
          <w:tcPr>
            <w:tcW w:w="737" w:type="dxa"/>
            <w:tcBorders>
              <w:top w:val="nil"/>
              <w:left w:val="nil"/>
              <w:bottom w:val="single" w:sz="4" w:space="0" w:color="auto"/>
              <w:right w:val="single" w:sz="4" w:space="0" w:color="auto"/>
            </w:tcBorders>
            <w:shd w:val="clear" w:color="auto" w:fill="FFFFFF" w:themeFill="background1"/>
            <w:noWrap/>
            <w:vAlign w:val="center"/>
            <w:hideMark/>
          </w:tcPr>
          <w:p w14:paraId="3B4C74F5" w14:textId="77777777" w:rsidR="006F16AD" w:rsidRPr="008E4EB0" w:rsidRDefault="006F16AD" w:rsidP="007B2931">
            <w:pPr>
              <w:shd w:val="clear" w:color="auto" w:fill="FFFFFF" w:themeFill="background1"/>
              <w:spacing w:after="0" w:line="276" w:lineRule="auto"/>
              <w:ind w:firstLine="34"/>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40</w:t>
            </w:r>
          </w:p>
        </w:tc>
        <w:tc>
          <w:tcPr>
            <w:tcW w:w="737" w:type="dxa"/>
            <w:tcBorders>
              <w:top w:val="nil"/>
              <w:left w:val="nil"/>
              <w:bottom w:val="single" w:sz="4" w:space="0" w:color="auto"/>
              <w:right w:val="single" w:sz="4" w:space="0" w:color="auto"/>
            </w:tcBorders>
            <w:shd w:val="clear" w:color="auto" w:fill="FFFFFF" w:themeFill="background1"/>
            <w:noWrap/>
            <w:vAlign w:val="center"/>
            <w:hideMark/>
          </w:tcPr>
          <w:p w14:paraId="7F2FA45B" w14:textId="77777777" w:rsidR="006F16AD" w:rsidRPr="008E4EB0" w:rsidRDefault="006F16AD" w:rsidP="007B2931">
            <w:pPr>
              <w:shd w:val="clear" w:color="auto" w:fill="FFFFFF" w:themeFill="background1"/>
              <w:spacing w:after="0" w:line="276" w:lineRule="auto"/>
              <w:ind w:firstLine="34"/>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10</w:t>
            </w:r>
          </w:p>
        </w:tc>
        <w:tc>
          <w:tcPr>
            <w:tcW w:w="737" w:type="dxa"/>
            <w:tcBorders>
              <w:top w:val="nil"/>
              <w:left w:val="nil"/>
              <w:bottom w:val="single" w:sz="4" w:space="0" w:color="auto"/>
              <w:right w:val="single" w:sz="4" w:space="0" w:color="auto"/>
            </w:tcBorders>
            <w:shd w:val="clear" w:color="auto" w:fill="FFFFFF" w:themeFill="background1"/>
            <w:noWrap/>
            <w:vAlign w:val="center"/>
            <w:hideMark/>
          </w:tcPr>
          <w:p w14:paraId="61C13097" w14:textId="77777777" w:rsidR="006F16AD" w:rsidRPr="008E4EB0" w:rsidRDefault="006F16AD" w:rsidP="007B2931">
            <w:pPr>
              <w:shd w:val="clear" w:color="auto" w:fill="FFFFFF" w:themeFill="background1"/>
              <w:spacing w:after="0" w:line="276" w:lineRule="auto"/>
              <w:ind w:firstLine="34"/>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12</w:t>
            </w:r>
          </w:p>
        </w:tc>
        <w:tc>
          <w:tcPr>
            <w:tcW w:w="737" w:type="dxa"/>
            <w:tcBorders>
              <w:top w:val="nil"/>
              <w:left w:val="nil"/>
              <w:bottom w:val="single" w:sz="4" w:space="0" w:color="auto"/>
              <w:right w:val="single" w:sz="4" w:space="0" w:color="auto"/>
            </w:tcBorders>
            <w:shd w:val="clear" w:color="auto" w:fill="FFFFFF" w:themeFill="background1"/>
            <w:noWrap/>
            <w:vAlign w:val="center"/>
            <w:hideMark/>
          </w:tcPr>
          <w:p w14:paraId="4B7202AC" w14:textId="77777777" w:rsidR="006F16AD" w:rsidRPr="008E4EB0" w:rsidRDefault="006F16AD" w:rsidP="007B2931">
            <w:pPr>
              <w:shd w:val="clear" w:color="auto" w:fill="FFFFFF" w:themeFill="background1"/>
              <w:spacing w:after="0" w:line="276" w:lineRule="auto"/>
              <w:ind w:firstLine="34"/>
              <w:jc w:val="center"/>
              <w:rPr>
                <w:rFonts w:ascii="Times New Roman" w:hAnsi="Times New Roman" w:cs="Times New Roman"/>
                <w:color w:val="000000"/>
                <w:sz w:val="24"/>
                <w:szCs w:val="24"/>
              </w:rPr>
            </w:pPr>
            <w:r w:rsidRPr="008E4EB0">
              <w:rPr>
                <w:rFonts w:ascii="Times New Roman" w:hAnsi="Times New Roman" w:cs="Times New Roman"/>
                <w:color w:val="000000"/>
                <w:sz w:val="24"/>
                <w:szCs w:val="24"/>
              </w:rPr>
              <w:t>294</w:t>
            </w:r>
          </w:p>
        </w:tc>
      </w:tr>
    </w:tbl>
    <w:p w14:paraId="75AF79F2" w14:textId="77777777" w:rsidR="006C5165" w:rsidRPr="008E4EB0" w:rsidRDefault="006C5165" w:rsidP="007B2931">
      <w:pPr>
        <w:spacing w:after="0" w:line="276" w:lineRule="auto"/>
        <w:jc w:val="both"/>
        <w:rPr>
          <w:rFonts w:ascii="Times New Roman" w:hAnsi="Times New Roman" w:cs="Times New Roman"/>
          <w:sz w:val="24"/>
          <w:szCs w:val="24"/>
        </w:rPr>
      </w:pPr>
    </w:p>
    <w:p w14:paraId="67E62E8D" w14:textId="0494B7F6" w:rsidR="006C5165" w:rsidRPr="008E4EB0" w:rsidRDefault="006C5165" w:rsidP="007B2931">
      <w:pPr>
        <w:spacing w:after="0" w:line="276" w:lineRule="auto"/>
        <w:rPr>
          <w:rFonts w:ascii="Times New Roman" w:hAnsi="Times New Roman" w:cs="Times New Roman"/>
          <w:sz w:val="24"/>
          <w:szCs w:val="24"/>
        </w:rPr>
      </w:pPr>
      <w:r w:rsidRPr="008E4EB0">
        <w:rPr>
          <w:rFonts w:ascii="Times New Roman" w:hAnsi="Times New Roman" w:cs="Times New Roman"/>
          <w:sz w:val="24"/>
          <w:szCs w:val="24"/>
        </w:rPr>
        <w:br w:type="page"/>
      </w:r>
    </w:p>
    <w:p w14:paraId="5AFB7D0D" w14:textId="09E3D9E6" w:rsidR="00990903" w:rsidRPr="008E4EB0" w:rsidRDefault="00990903" w:rsidP="00D64CF6">
      <w:pPr>
        <w:pStyle w:val="apakvirsraksts"/>
      </w:pPr>
      <w:bookmarkStart w:id="96" w:name="_Toc480527972"/>
      <w:bookmarkStart w:id="97" w:name="_Toc491870921"/>
      <w:r w:rsidRPr="008E4EB0">
        <w:lastRenderedPageBreak/>
        <w:t>Atbalsts ar nodokļu atvieglojumiem</w:t>
      </w:r>
      <w:bookmarkEnd w:id="96"/>
      <w:bookmarkEnd w:id="97"/>
    </w:p>
    <w:p w14:paraId="57E8F393" w14:textId="77777777" w:rsidR="006F16AD" w:rsidRPr="008E4EB0" w:rsidRDefault="006F16AD" w:rsidP="007B2931">
      <w:pPr>
        <w:spacing w:after="0" w:line="276" w:lineRule="auto"/>
        <w:ind w:firstLine="851"/>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 xml:space="preserve">Regulējumu nekustamā īpašuma (t.sk. ēku) nodokļa piemērošanai nosaka likums „Par nekustamā īpašuma nodokli”. </w:t>
      </w:r>
    </w:p>
    <w:p w14:paraId="1ED52060" w14:textId="19CC174F" w:rsidR="006F16AD" w:rsidRPr="008E4EB0" w:rsidRDefault="006F16AD" w:rsidP="007B2931">
      <w:pPr>
        <w:spacing w:after="0" w:line="276" w:lineRule="auto"/>
        <w:ind w:firstLine="851"/>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 xml:space="preserve">Likuma „Par nekustamā īpašuma nodokli” 3.panta 1.apakšpunktā noteikts, ka nekustamā īpašuma nodokļa likmi vai likmes no 0,2 līdz 3 procentiem no nekustamā īpašuma kadastrālās vērtības nosaka pašvaldība savos saistošajos noteikumos, kurus tā publicē līdz pirmstaksācijas gada 1.novembrim. </w:t>
      </w:r>
      <w:r w:rsidR="00071C7E">
        <w:rPr>
          <w:rFonts w:ascii="Times New Roman" w:eastAsia="Calibri" w:hAnsi="Times New Roman" w:cs="Times New Roman"/>
          <w:sz w:val="24"/>
          <w:szCs w:val="24"/>
        </w:rPr>
        <w:t>N</w:t>
      </w:r>
      <w:r w:rsidR="00071C7E" w:rsidRPr="008E4EB0">
        <w:rPr>
          <w:rFonts w:ascii="Times New Roman" w:eastAsia="Calibri" w:hAnsi="Times New Roman" w:cs="Times New Roman"/>
          <w:sz w:val="24"/>
          <w:szCs w:val="24"/>
        </w:rPr>
        <w:t xml:space="preserve">ekustamā </w:t>
      </w:r>
      <w:r w:rsidRPr="008E4EB0">
        <w:rPr>
          <w:rFonts w:ascii="Times New Roman" w:eastAsia="Calibri" w:hAnsi="Times New Roman" w:cs="Times New Roman"/>
          <w:sz w:val="24"/>
          <w:szCs w:val="24"/>
        </w:rPr>
        <w:t xml:space="preserve">īpašuma nodokļa likmi, kas pārsniedz 1,5 procentus no nekustamā īpašuma kadastrālās vērtības, pašvaldība nosaka tikai gadījumā, ja nekustamais īpašums netiek uzturēts atbilstoši normatīvajos aktos noteiktajai kārtībai. </w:t>
      </w:r>
    </w:p>
    <w:p w14:paraId="6FB5FFC4" w14:textId="4946AF4B" w:rsidR="006F16AD" w:rsidRPr="008E4EB0" w:rsidRDefault="00071C7E" w:rsidP="007B2931">
      <w:pPr>
        <w:spacing w:after="0" w:line="276"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N</w:t>
      </w:r>
      <w:r w:rsidR="006F16AD" w:rsidRPr="008E4EB0">
        <w:rPr>
          <w:rFonts w:ascii="Times New Roman" w:eastAsia="Calibri" w:hAnsi="Times New Roman" w:cs="Times New Roman"/>
          <w:sz w:val="24"/>
          <w:szCs w:val="24"/>
        </w:rPr>
        <w:t xml:space="preserve">osakot nekustamā īpašuma nodokļa likmi vai likmes, pašvaldība pēc izvēles var piemērot šādus principus: </w:t>
      </w:r>
    </w:p>
    <w:p w14:paraId="3421FA04" w14:textId="77777777" w:rsidR="006F16AD" w:rsidRPr="008E4EB0" w:rsidRDefault="006F16AD" w:rsidP="007B2931">
      <w:pPr>
        <w:spacing w:after="0" w:line="276" w:lineRule="auto"/>
        <w:ind w:firstLine="851"/>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1) Uzņēmējdarbības atbalsta princips, saskaņā ar kuru pašvaldība izmanto nodokļa likmi kā līdzekli savas teritorijas uzņēmēju vai noteiktu uzņēmējdarbības veidu konkurētspējas paaugstināšanai, ievērojot Komisijas 2013.gada 18.decembra regulas (ES) Nr.1407/2013 par Līguma par ES darbību 107. un 108.panta piemērošanu de minimis atbalstam (Dokuments attiecas uz EEZ) nosacījumus.</w:t>
      </w:r>
    </w:p>
    <w:p w14:paraId="16813004" w14:textId="77777777" w:rsidR="006F16AD" w:rsidRPr="008E4EB0" w:rsidRDefault="006F16AD" w:rsidP="007B2931">
      <w:pPr>
        <w:spacing w:after="0" w:line="276" w:lineRule="auto"/>
        <w:ind w:firstLine="851"/>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 xml:space="preserve">2) Teritorijas attīstības un teritorijas sakārtošanas princips, saskaņā ar kuru pašvaldība izmanto nodokļa likmi savas teritorijas attīstības veicināšanai un sakārtošanai. </w:t>
      </w:r>
    </w:p>
    <w:p w14:paraId="751BC4A5" w14:textId="77777777" w:rsidR="006F16AD" w:rsidRPr="008E4EB0" w:rsidRDefault="006F16AD" w:rsidP="007B2931">
      <w:pPr>
        <w:spacing w:after="0" w:line="276" w:lineRule="auto"/>
        <w:ind w:firstLine="851"/>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Likumā „Par nekustamā īpašuma nodokli” ir paredzēts, ka, nosakot nekustamā īpašuma nodokļa atvieglojumus kopsakarā ar nodokļa likmi vai likmēm, pašvaldība ievēro sociālās atbildības principu, saskaņā ar kuru tā it īpaši ņem vērā nodokļa ietekmi uz sociāli mazaizsargāto un trūcīgo iedzīvotāju grupām.</w:t>
      </w:r>
    </w:p>
    <w:p w14:paraId="4553DAD0" w14:textId="77777777" w:rsidR="006F16AD" w:rsidRPr="008E4EB0" w:rsidRDefault="006F16AD" w:rsidP="007B2931">
      <w:pPr>
        <w:spacing w:after="0" w:line="276" w:lineRule="auto"/>
        <w:ind w:firstLine="851"/>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Līdz ar to nekustamā īpašuma nodokļa atvieglojumu piešķiršanas tiesības ir nodotas pašvaldību kompetencē. Pašvaldībām, izdodot savus saistošos noteikumus un piemērojot likumā „Par nekustamā īpašuma nodokli” noteiktos principus, ir tiesības piešķirt nekustamā īpašuma atvieglojumus savā teritorijā dzīvojošām personām.</w:t>
      </w:r>
    </w:p>
    <w:p w14:paraId="4864EBA3" w14:textId="18A63005" w:rsidR="006F16AD" w:rsidRPr="008E4EB0" w:rsidRDefault="006F16AD" w:rsidP="007B2931">
      <w:pPr>
        <w:spacing w:after="0" w:line="276" w:lineRule="auto"/>
        <w:ind w:firstLine="851"/>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 xml:space="preserve">Nekustamā īpašuma nodokli aprēķina no nekustamā īpašuma nodokļa objekta kadastrālās vērtības pēc stāvokļa taksācijas gada 1.janvārī. Ja nekustamā īpašuma nodokļa objekts NĪVK IS reģistrēts taksācijas gada laikā, nodokli aprēķina no kadastrālās vērtības objekta reģistrācijas brīdī. Minimālais nekustamā īpašuma nodokļa maksājums katram nodokļa maksātājam katrā pašvaldībā ir 7 </w:t>
      </w:r>
      <w:r w:rsidR="008E4EB0" w:rsidRPr="008E4EB0">
        <w:rPr>
          <w:rFonts w:ascii="Times New Roman" w:eastAsia="Calibri" w:hAnsi="Times New Roman" w:cs="Times New Roman"/>
          <w:i/>
          <w:sz w:val="24"/>
          <w:szCs w:val="24"/>
        </w:rPr>
        <w:t>euro</w:t>
      </w:r>
      <w:r w:rsidRPr="008E4EB0">
        <w:rPr>
          <w:rFonts w:ascii="Times New Roman" w:eastAsia="Calibri" w:hAnsi="Times New Roman" w:cs="Times New Roman"/>
          <w:sz w:val="24"/>
          <w:szCs w:val="24"/>
        </w:rPr>
        <w:t>.</w:t>
      </w:r>
    </w:p>
    <w:p w14:paraId="62B0B9A4" w14:textId="503DBA2E" w:rsidR="006F16AD" w:rsidRPr="008E4EB0" w:rsidRDefault="006F16AD" w:rsidP="007B2931">
      <w:pPr>
        <w:spacing w:after="0" w:line="276" w:lineRule="auto"/>
        <w:ind w:firstLine="851"/>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 xml:space="preserve">Pie esošās nekustamā īpašuma nodokļu politikas, rekonstruējot vai </w:t>
      </w:r>
      <w:r w:rsidR="00CE0F55" w:rsidRPr="008E4EB0">
        <w:rPr>
          <w:rFonts w:ascii="Times New Roman" w:eastAsia="Calibri" w:hAnsi="Times New Roman" w:cs="Times New Roman"/>
          <w:sz w:val="24"/>
          <w:szCs w:val="24"/>
        </w:rPr>
        <w:t>atjaunojot</w:t>
      </w:r>
      <w:r w:rsidRPr="008E4EB0">
        <w:rPr>
          <w:rFonts w:ascii="Times New Roman" w:eastAsia="Calibri" w:hAnsi="Times New Roman" w:cs="Times New Roman"/>
          <w:sz w:val="24"/>
          <w:szCs w:val="24"/>
        </w:rPr>
        <w:t xml:space="preserve"> ēku, pieaug tās kadastrālā vērtība un līdz ar to atsevišķos gadījumos arī nekustamā īpašuma nodokļa likme. Ēku rekonstrukcija un </w:t>
      </w:r>
      <w:r w:rsidR="00CE0F55" w:rsidRPr="008E4EB0">
        <w:rPr>
          <w:rFonts w:ascii="Times New Roman" w:eastAsia="Calibri" w:hAnsi="Times New Roman" w:cs="Times New Roman"/>
          <w:sz w:val="24"/>
          <w:szCs w:val="24"/>
        </w:rPr>
        <w:t>atjaunošana</w:t>
      </w:r>
      <w:r w:rsidRPr="008E4EB0">
        <w:rPr>
          <w:rFonts w:ascii="Times New Roman" w:eastAsia="Calibri" w:hAnsi="Times New Roman" w:cs="Times New Roman"/>
          <w:sz w:val="24"/>
          <w:szCs w:val="24"/>
        </w:rPr>
        <w:t xml:space="preserve"> prasa ievērojamas investīcijas, kā arī vairumā gadījumu nepieciešamību uzņemties finansiālas saistības pret kreditoriem.</w:t>
      </w:r>
    </w:p>
    <w:p w14:paraId="30CEB8F9" w14:textId="77777777" w:rsidR="006F16AD" w:rsidRPr="008E4EB0" w:rsidRDefault="006F16AD" w:rsidP="007B2931">
      <w:pPr>
        <w:spacing w:after="0" w:line="276" w:lineRule="auto"/>
        <w:ind w:firstLine="851"/>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 xml:space="preserve">Likuma „Par nekustamā īpašuma nodokli” 5. panta trešajā līdz piektajā daļā noteikti nosacījumi, kādā pašvaldības ar saistošiem noteikumiem var noteikt atvieglojumus atsevišķām nekustamā īpašuma nodokļa maksātāju kategorijām. Pašvaldību saistošie noteikumi stājas spēkā likumā „Par pašvaldībām” noteiktajā kārtībā. Atvieglojumus atsevišķām nekustamā īpašuma nodokļa maksātāju kategorijām </w:t>
      </w:r>
      <w:r w:rsidRPr="008E4EB0">
        <w:rPr>
          <w:rFonts w:ascii="Times New Roman" w:eastAsia="Calibri" w:hAnsi="Times New Roman" w:cs="Times New Roman"/>
          <w:sz w:val="24"/>
          <w:szCs w:val="24"/>
        </w:rPr>
        <w:lastRenderedPageBreak/>
        <w:t xml:space="preserve">pašvaldības var noteikt 90, 70, 50 vai 25 procentu apmērā no nekustamā īpašuma nodokļa summas. </w:t>
      </w:r>
    </w:p>
    <w:p w14:paraId="6DEB6A41" w14:textId="37C265E4" w:rsidR="004B1242" w:rsidRDefault="006F16AD" w:rsidP="00150827">
      <w:pPr>
        <w:rPr>
          <w:rFonts w:ascii="Times New Roman" w:eastAsia="Calibri" w:hAnsi="Times New Roman" w:cs="Times New Roman"/>
          <w:sz w:val="24"/>
          <w:szCs w:val="24"/>
        </w:rPr>
      </w:pPr>
      <w:r w:rsidRPr="008E4EB0">
        <w:rPr>
          <w:rFonts w:ascii="Times New Roman" w:eastAsia="Calibri" w:hAnsi="Times New Roman" w:cs="Times New Roman"/>
          <w:sz w:val="24"/>
          <w:szCs w:val="24"/>
        </w:rPr>
        <w:t xml:space="preserve">Efektīva nekustamā īpašuma nodokļa politika varētu veicināt ēku rekonstrukciju un </w:t>
      </w:r>
      <w:r w:rsidR="00CE0F55" w:rsidRPr="008E4EB0">
        <w:rPr>
          <w:rFonts w:ascii="Times New Roman" w:eastAsia="Calibri" w:hAnsi="Times New Roman" w:cs="Times New Roman"/>
          <w:sz w:val="24"/>
          <w:szCs w:val="24"/>
        </w:rPr>
        <w:t>atjaunošanu</w:t>
      </w:r>
      <w:r w:rsidRPr="008E4EB0">
        <w:rPr>
          <w:rFonts w:ascii="Times New Roman" w:eastAsia="Calibri" w:hAnsi="Times New Roman" w:cs="Times New Roman"/>
          <w:sz w:val="24"/>
          <w:szCs w:val="24"/>
        </w:rPr>
        <w:t>, tādējādi atsevišķos gadījumos arī sekmējot nodokļu ieņēmumus no komercdarbības. Papildus jāņem vērā, ka pašvaldībām savos saistošajos noteikumos ir tiesības noteikt tādus nekustamā īpašuma nodokļa atvieglojumus vai piemērojamo likmi, kas palielinātu ēku īpašnieku interesi veikt energoefektivitātes pasākumus.</w:t>
      </w:r>
      <w:r w:rsidR="004B1242">
        <w:rPr>
          <w:rFonts w:ascii="Times New Roman" w:eastAsia="Calibri" w:hAnsi="Times New Roman" w:cs="Times New Roman"/>
          <w:sz w:val="24"/>
          <w:szCs w:val="24"/>
        </w:rPr>
        <w:t xml:space="preserve"> </w:t>
      </w:r>
    </w:p>
    <w:p w14:paraId="73157C42" w14:textId="77777777" w:rsidR="004B1242" w:rsidRPr="008E4EB0" w:rsidRDefault="004B1242" w:rsidP="00150827">
      <w:pPr>
        <w:spacing w:after="0" w:line="276" w:lineRule="auto"/>
        <w:ind w:firstLine="360"/>
        <w:jc w:val="both"/>
        <w:rPr>
          <w:rFonts w:ascii="Times New Roman" w:hAnsi="Times New Roman" w:cs="Times New Roman"/>
          <w:sz w:val="24"/>
          <w:szCs w:val="24"/>
        </w:rPr>
      </w:pPr>
    </w:p>
    <w:p w14:paraId="7CF939C1" w14:textId="77777777" w:rsidR="00990903" w:rsidRPr="008E4EB0" w:rsidRDefault="00990903" w:rsidP="00150827">
      <w:pPr>
        <w:pStyle w:val="apakvirsraksts"/>
      </w:pPr>
      <w:bookmarkStart w:id="98" w:name="_Toc480527973"/>
      <w:bookmarkStart w:id="99" w:name="_Toc491870922"/>
      <w:r w:rsidRPr="008E4EB0">
        <w:t>Informācijas kampaņas</w:t>
      </w:r>
      <w:bookmarkEnd w:id="98"/>
      <w:bookmarkEnd w:id="99"/>
    </w:p>
    <w:p w14:paraId="00299FBF" w14:textId="0DA779C9" w:rsidR="00990903" w:rsidRPr="008E4EB0" w:rsidRDefault="00990903" w:rsidP="00D82FCF">
      <w:pPr>
        <w:pStyle w:val="apakapakvirsraksts"/>
      </w:pPr>
      <w:bookmarkStart w:id="100" w:name="_Toc480527974"/>
      <w:bookmarkStart w:id="101" w:name="_Toc491870923"/>
      <w:r w:rsidRPr="008E4EB0">
        <w:t>Informatīvā kampaņa „Dzīvo siltāk!”</w:t>
      </w:r>
      <w:bookmarkEnd w:id="100"/>
      <w:bookmarkEnd w:id="101"/>
    </w:p>
    <w:p w14:paraId="16D78957" w14:textId="77777777" w:rsidR="006F16AD" w:rsidRPr="008E4EB0" w:rsidRDefault="006F16AD" w:rsidP="007B2931">
      <w:pPr>
        <w:pStyle w:val="NormalWeb"/>
        <w:shd w:val="clear" w:color="auto" w:fill="FFFFFF"/>
        <w:spacing w:before="0" w:beforeAutospacing="0" w:after="0" w:afterAutospacing="0" w:line="276" w:lineRule="auto"/>
        <w:ind w:firstLine="851"/>
        <w:jc w:val="both"/>
      </w:pPr>
      <w:r w:rsidRPr="008E4EB0">
        <w:t xml:space="preserve">EM sadarbībā ar partneriem 2010. gada februārī uzsāka informatīvo kampaņu “Dzīvo siltāk!” ar mērķi informēt iedzīvotājus par iespējām, ko dod pieteikšanās 2007. – 2013. gada ES fondu plānošanas perioda 3.4.4.1. aktivitātē „Daudzdzīvokļu māju siltumnoturības uzlabošanas pasākumi”. No 2016. gada EM sadarbībā arī Altum informatīvās kampaņas ietvaros informē par 4.2.1.1. pasākuma “Veicināt energoefektivitātes paaugstināšanu dzīvojamās ēkās” pamatnosacījumiem un projektu kvalitatīvu īstenošanu. </w:t>
      </w:r>
    </w:p>
    <w:p w14:paraId="65BC93EA" w14:textId="627ADF14" w:rsidR="006F16AD" w:rsidRPr="008E4EB0" w:rsidRDefault="006F16AD" w:rsidP="007B2931">
      <w:pPr>
        <w:pStyle w:val="NormalWeb"/>
        <w:shd w:val="clear" w:color="auto" w:fill="FFFFFF"/>
        <w:spacing w:before="0" w:beforeAutospacing="0" w:after="0" w:afterAutospacing="0" w:line="276" w:lineRule="auto"/>
        <w:ind w:firstLine="851"/>
        <w:jc w:val="both"/>
      </w:pPr>
      <w:r w:rsidRPr="008E4EB0">
        <w:t xml:space="preserve">Sešu gadu laikā informatīvās kampaņas ietvaros notikuši vairāk kā 250 informatīvi pasākumi visā Latvijā – semināri, konferences, izstādes, kuros ir piedalījušies vairāk kā 11 200 dalībnieki. Daļa semināru tika pārraidīti arī interneta tiešsaistē un video materiālus var atrast www.youtube.com/siltinam. Pasākumu tēmas ir bijušas dažādas – par nepieciešamību uzlabot savas mājas tehnisko stāvokli, kā pieņemt lēmumu dzīvokļu īpašnieku kopsapulcēs, kā veikt kvalitatīvu mājokļu </w:t>
      </w:r>
      <w:r w:rsidR="00CE0F55" w:rsidRPr="008E4EB0">
        <w:t>atjaunošanu</w:t>
      </w:r>
      <w:r w:rsidRPr="008E4EB0">
        <w:t xml:space="preserve">, uzklausīta jau </w:t>
      </w:r>
      <w:r w:rsidR="00CE0F55" w:rsidRPr="008E4EB0">
        <w:t>atjaunoto</w:t>
      </w:r>
      <w:r w:rsidRPr="008E4EB0">
        <w:t xml:space="preserve"> māju pieredze u.c.</w:t>
      </w:r>
    </w:p>
    <w:p w14:paraId="0E835286" w14:textId="77777777" w:rsidR="006F16AD" w:rsidRPr="008E4EB0" w:rsidRDefault="006F16AD" w:rsidP="007B2931">
      <w:pPr>
        <w:pStyle w:val="NormalWeb"/>
        <w:shd w:val="clear" w:color="auto" w:fill="FFFFFF"/>
        <w:spacing w:before="0" w:beforeAutospacing="0" w:after="0" w:afterAutospacing="0" w:line="276" w:lineRule="auto"/>
        <w:ind w:firstLine="851"/>
        <w:jc w:val="both"/>
      </w:pPr>
      <w:r w:rsidRPr="008E4EB0">
        <w:t xml:space="preserve">Par aktuālajiem notikumiem kampaņas ietvaros notiek aktīva komunikācija sociālajos medijos www.twitter.com/siltinam, www.facebook.com/dzivosiltak, www.draugiem.lv (lapa „Siltinam”, domubiedru grupa „Dzīvo siltāk!”), visas prezentācijas atrodamas www.slideshare.net/siltinam. Regulāri tiek izsūtīta informācija par aktuālajiem pasākumiem gandrīz 2 800 klientiem un sadarbības partneriem. </w:t>
      </w:r>
    </w:p>
    <w:p w14:paraId="5F01A257" w14:textId="7225A300" w:rsidR="006F16AD" w:rsidRPr="008E4EB0" w:rsidRDefault="006F16AD" w:rsidP="007B2931">
      <w:pPr>
        <w:pStyle w:val="NormalWeb"/>
        <w:shd w:val="clear" w:color="auto" w:fill="FFFFFF"/>
        <w:spacing w:before="0" w:beforeAutospacing="0" w:after="0" w:afterAutospacing="0" w:line="276" w:lineRule="auto"/>
        <w:ind w:firstLine="851"/>
        <w:jc w:val="both"/>
      </w:pPr>
      <w:r w:rsidRPr="008E4EB0">
        <w:t xml:space="preserve">Informatīvās kampaņas ietvaros kopš 2011. gada notiek arī konkurss „Energoefektīvākā ēka Latvijā” (www.energoefektivakaeka.lv), kura mērķis ir veicināt labo praksi ēku energoefektivitātes jomā, īstenojot energoefektīvu ēku būvniecību, </w:t>
      </w:r>
      <w:r w:rsidR="00CE0F55" w:rsidRPr="008E4EB0">
        <w:t>atjaunošanu</w:t>
      </w:r>
      <w:r w:rsidRPr="008E4EB0">
        <w:t xml:space="preserve"> un rekonstrukciju, tādējādi samazinot oglekļa dioksīda (turpmāk - CO</w:t>
      </w:r>
      <w:r w:rsidRPr="008E4EB0">
        <w:rPr>
          <w:vertAlign w:val="subscript"/>
        </w:rPr>
        <w:t>2</w:t>
      </w:r>
      <w:r w:rsidRPr="008E4EB0">
        <w:t xml:space="preserve">)  izmešu daudzumu atmosfērā un veicinot sabiedrības izpratni par ēku siltumnoturību, kā arī siltumnīcefekta gāzu emisiju samazināšanas nozīmi un iespējām, lai radītu kvalitatīvu, arhitektoniski izteiksmīgas dzīves telpu.  </w:t>
      </w:r>
      <w:r w:rsidRPr="008E4EB0">
        <w:tab/>
      </w:r>
    </w:p>
    <w:p w14:paraId="5CBDBE44" w14:textId="368BEDCE" w:rsidR="006F16AD" w:rsidRPr="008E4EB0" w:rsidRDefault="006F16AD" w:rsidP="007B2931">
      <w:pPr>
        <w:spacing w:after="0" w:line="276" w:lineRule="auto"/>
        <w:ind w:firstLine="851"/>
        <w:jc w:val="both"/>
        <w:rPr>
          <w:rFonts w:ascii="Times New Roman" w:hAnsi="Times New Roman" w:cs="Times New Roman"/>
          <w:sz w:val="24"/>
          <w:szCs w:val="24"/>
        </w:rPr>
      </w:pPr>
      <w:r w:rsidRPr="008E4EB0">
        <w:rPr>
          <w:rFonts w:ascii="Times New Roman" w:hAnsi="Times New Roman" w:cs="Times New Roman"/>
          <w:sz w:val="24"/>
          <w:szCs w:val="24"/>
        </w:rPr>
        <w:t xml:space="preserve">EM ir izveidojusi arī </w:t>
      </w:r>
      <w:r w:rsidR="00CE0F55" w:rsidRPr="008E4EB0">
        <w:rPr>
          <w:rFonts w:ascii="Times New Roman" w:hAnsi="Times New Roman" w:cs="Times New Roman"/>
          <w:sz w:val="24"/>
          <w:szCs w:val="24"/>
        </w:rPr>
        <w:t>atjaunoto</w:t>
      </w:r>
      <w:r w:rsidRPr="008E4EB0">
        <w:rPr>
          <w:rFonts w:ascii="Times New Roman" w:hAnsi="Times New Roman" w:cs="Times New Roman"/>
          <w:sz w:val="24"/>
          <w:szCs w:val="24"/>
        </w:rPr>
        <w:t xml:space="preserve"> māju e-karti, kur var atrast informāciju par atjaunotajām ēkām 3.4.4.1. aktivitātes „Daudzdzīvokļu māju siltumnoturības uzlabošanas pasākumi” ietvaros. Sagatavoti arī pieci bukleti „Soli pa solim līdz mājokļa atjaunošanai”.</w:t>
      </w:r>
      <w:r w:rsidRPr="008E4EB0">
        <w:rPr>
          <w:rFonts w:ascii="Times New Roman" w:hAnsi="Times New Roman" w:cs="Times New Roman"/>
          <w:sz w:val="24"/>
          <w:szCs w:val="24"/>
          <w:vertAlign w:val="superscript"/>
        </w:rPr>
        <w:footnoteReference w:id="23"/>
      </w:r>
    </w:p>
    <w:p w14:paraId="07F32B7A" w14:textId="77777777" w:rsidR="006F16AD" w:rsidRPr="008E4EB0" w:rsidRDefault="006F16AD" w:rsidP="007B2931">
      <w:pPr>
        <w:spacing w:after="0" w:line="276" w:lineRule="auto"/>
        <w:jc w:val="both"/>
        <w:rPr>
          <w:rFonts w:ascii="Times New Roman" w:hAnsi="Times New Roman" w:cs="Times New Roman"/>
          <w:sz w:val="24"/>
          <w:szCs w:val="24"/>
        </w:rPr>
      </w:pPr>
    </w:p>
    <w:p w14:paraId="57E214F6" w14:textId="193DDFFC" w:rsidR="00990903" w:rsidRPr="008E4EB0" w:rsidRDefault="00990903" w:rsidP="00D82FCF">
      <w:pPr>
        <w:pStyle w:val="apakapakvirsraksts"/>
      </w:pPr>
      <w:bookmarkStart w:id="102" w:name="_Toc480527975"/>
      <w:bookmarkStart w:id="103" w:name="_Toc491870924"/>
      <w:r w:rsidRPr="008E4EB0">
        <w:lastRenderedPageBreak/>
        <w:t>AS „Latvenergo” Energoefektivitātes centrs</w:t>
      </w:r>
      <w:bookmarkEnd w:id="102"/>
      <w:bookmarkEnd w:id="103"/>
    </w:p>
    <w:p w14:paraId="2AA61F70" w14:textId="77777777" w:rsidR="006F16AD" w:rsidRPr="008E4EB0" w:rsidRDefault="006F16AD" w:rsidP="007B2931">
      <w:pPr>
        <w:spacing w:after="0" w:line="276" w:lineRule="auto"/>
        <w:jc w:val="both"/>
        <w:rPr>
          <w:rFonts w:ascii="Times New Roman" w:hAnsi="Times New Roman" w:cs="Times New Roman"/>
          <w:sz w:val="24"/>
          <w:szCs w:val="24"/>
        </w:rPr>
      </w:pPr>
    </w:p>
    <w:p w14:paraId="26D6953F" w14:textId="77777777" w:rsidR="006F16AD" w:rsidRPr="008E4EB0" w:rsidRDefault="006F16AD" w:rsidP="007B2931">
      <w:pPr>
        <w:pStyle w:val="NormalWeb"/>
        <w:shd w:val="clear" w:color="auto" w:fill="FFFFFF"/>
        <w:spacing w:before="0" w:beforeAutospacing="0" w:after="0" w:afterAutospacing="0" w:line="276" w:lineRule="auto"/>
        <w:ind w:firstLine="851"/>
        <w:jc w:val="both"/>
        <w:rPr>
          <w:shd w:val="clear" w:color="auto" w:fill="FFFFFF"/>
        </w:rPr>
      </w:pPr>
      <w:r w:rsidRPr="008E4EB0">
        <w:t xml:space="preserve">AS „Latvenergo” Energoefektivitātes centrs </w:t>
      </w:r>
      <w:r w:rsidRPr="008E4EB0">
        <w:rPr>
          <w:shd w:val="clear" w:color="auto" w:fill="FFFFFF"/>
        </w:rPr>
        <w:t xml:space="preserve">ir izveidots ar mērķi konsultēt elektroenerģijas lietotājus par iespējām drošāk un efektīvāk izmantot elektroenerģiju, lietojot dažādas elektroierīces savām ērtībām. </w:t>
      </w:r>
    </w:p>
    <w:p w14:paraId="11286762" w14:textId="77777777" w:rsidR="006F16AD" w:rsidRPr="008E4EB0" w:rsidRDefault="006F16AD" w:rsidP="007B2931">
      <w:pPr>
        <w:pStyle w:val="NormalWeb"/>
        <w:shd w:val="clear" w:color="auto" w:fill="FFFFFF"/>
        <w:spacing w:before="0" w:beforeAutospacing="0" w:after="0" w:afterAutospacing="0" w:line="276" w:lineRule="auto"/>
        <w:ind w:firstLine="851"/>
        <w:jc w:val="both"/>
      </w:pPr>
      <w:r w:rsidRPr="008E4EB0">
        <w:t>Energoefektivitātes centrā ir izveidota plaša sadzīves elektroierīču ekspozīcija. Visas elektroierīces ir pieslēgtas elektrotīklam, ūdensvadam, kanalizācijai un tiek demonstrētas darbībā. Centrs ir atvērts gan individuāliem apmeklētājiem, gan organizētām grupām.</w:t>
      </w:r>
    </w:p>
    <w:p w14:paraId="5612D7BE" w14:textId="77777777" w:rsidR="006F16AD" w:rsidRPr="008E4EB0" w:rsidRDefault="006F16AD" w:rsidP="007B2931">
      <w:pPr>
        <w:pStyle w:val="NormalWeb"/>
        <w:shd w:val="clear" w:color="auto" w:fill="FFFFFF"/>
        <w:spacing w:before="0" w:beforeAutospacing="0" w:after="0" w:afterAutospacing="0" w:line="276" w:lineRule="auto"/>
        <w:ind w:firstLine="851"/>
        <w:jc w:val="both"/>
      </w:pPr>
      <w:r w:rsidRPr="008E4EB0">
        <w:t>Energoefektivitātes centrā uzņēmumiem tiek rekomendēti efektīvākie risinājumus elektroenerģijas patēriņa samazināšanai, kā arī konsultācijas par pieejamajiem tarifu veidiem. Pamatskolas vecuma bērniem tiek stāstīts par elektroenerģijas sniegto komfortu, ekonomiskumu un tehniskajām priekšrocībām. Savukārt bērnudārza audzēkņiem un bērniem līdz 4. klasei Energoefektivitātes centra darbinieki stāsta par elektrodrošību un lietām, kurām ir jāpievērš uzmanība izmantojot kādu elektrisko ierīci, lai pasargātu sevi un apkārtējos no elektrotraumām.</w:t>
      </w:r>
    </w:p>
    <w:p w14:paraId="2BEB7642" w14:textId="77777777" w:rsidR="006F16AD" w:rsidRPr="008E4EB0" w:rsidRDefault="006F16AD" w:rsidP="007B2931">
      <w:pPr>
        <w:spacing w:after="0" w:line="276" w:lineRule="auto"/>
        <w:ind w:firstLine="851"/>
        <w:jc w:val="both"/>
        <w:rPr>
          <w:rFonts w:ascii="Times New Roman" w:hAnsi="Times New Roman" w:cs="Times New Roman"/>
          <w:sz w:val="24"/>
          <w:szCs w:val="24"/>
        </w:rPr>
      </w:pPr>
      <w:r w:rsidRPr="008E4EB0">
        <w:rPr>
          <w:rFonts w:ascii="Times New Roman" w:hAnsi="Times New Roman" w:cs="Times New Roman"/>
          <w:sz w:val="24"/>
          <w:szCs w:val="24"/>
        </w:rPr>
        <w:t xml:space="preserve">Tā kā privāto klientu vidū ir liela interese par enerģijas, kas ražota no atjaunojamiem energoresursiem, izmantošanu mājsaimniecībā, tiek organizēts semināru cikls, kurā klienti var iepazīties ar siltumsūkņu, saules kolektoru, saules bateriju un vēja ģeneratoru izmantošanas iespējām Latvijas apstākļos. </w:t>
      </w:r>
    </w:p>
    <w:p w14:paraId="03247A7A" w14:textId="77777777" w:rsidR="006F16AD" w:rsidRPr="008E4EB0" w:rsidRDefault="006F16AD" w:rsidP="007B2931">
      <w:pPr>
        <w:spacing w:after="0" w:line="276" w:lineRule="auto"/>
        <w:ind w:firstLine="851"/>
        <w:jc w:val="both"/>
        <w:rPr>
          <w:rFonts w:ascii="Times New Roman" w:hAnsi="Times New Roman" w:cs="Times New Roman"/>
          <w:sz w:val="24"/>
          <w:szCs w:val="24"/>
        </w:rPr>
      </w:pPr>
      <w:r w:rsidRPr="008E4EB0">
        <w:rPr>
          <w:rFonts w:ascii="Times New Roman" w:hAnsi="Times New Roman" w:cs="Times New Roman"/>
          <w:sz w:val="24"/>
          <w:szCs w:val="24"/>
        </w:rPr>
        <w:t xml:space="preserve">Savukārt, juridiskajām personām organizētajos semināros tiek iekļautas tēmas par energoefektīvas apgaismes sistēmas izveidi uzņēmumā, energoefektīvu mikroklimata nodrošināšanu, kvalitatīvas elektroapgādes nosacījumiem un citas tēmas. </w:t>
      </w:r>
    </w:p>
    <w:p w14:paraId="1129EA61" w14:textId="77777777" w:rsidR="00752A17" w:rsidRPr="008E4EB0" w:rsidRDefault="00752A17" w:rsidP="0045084B">
      <w:pPr>
        <w:pStyle w:val="ListParagraph"/>
        <w:spacing w:after="0" w:line="276" w:lineRule="auto"/>
        <w:ind w:left="1701"/>
        <w:jc w:val="both"/>
        <w:rPr>
          <w:rFonts w:ascii="Times New Roman" w:hAnsi="Times New Roman" w:cs="Times New Roman"/>
          <w:sz w:val="24"/>
          <w:szCs w:val="24"/>
        </w:rPr>
      </w:pPr>
    </w:p>
    <w:p w14:paraId="37082E59" w14:textId="77777777" w:rsidR="006F16AD" w:rsidRPr="008E4EB0" w:rsidRDefault="006F16AD" w:rsidP="007B2931">
      <w:pPr>
        <w:spacing w:after="0" w:line="276" w:lineRule="auto"/>
        <w:jc w:val="both"/>
        <w:rPr>
          <w:rFonts w:ascii="Times New Roman" w:hAnsi="Times New Roman" w:cs="Times New Roman"/>
          <w:sz w:val="24"/>
          <w:szCs w:val="24"/>
        </w:rPr>
      </w:pPr>
    </w:p>
    <w:p w14:paraId="3611F818" w14:textId="38896D53" w:rsidR="00990903" w:rsidRPr="008E4EB0" w:rsidRDefault="00990903" w:rsidP="00D82FCF">
      <w:pPr>
        <w:pStyle w:val="apakapakvirsraksts"/>
      </w:pPr>
      <w:bookmarkStart w:id="104" w:name="_Toc480527977"/>
      <w:bookmarkStart w:id="105" w:name="_Toc491870925"/>
      <w:r w:rsidRPr="008E4EB0">
        <w:t>Klimata pārmaiņu finanšu instrumenta konkurss „Sabiedrības izpratnes attīstīšana par siltumnīcefekta gāzu emisiju samazināšanas nozīmi un iespējām” (I un II kārta)</w:t>
      </w:r>
      <w:bookmarkEnd w:id="104"/>
      <w:bookmarkEnd w:id="105"/>
    </w:p>
    <w:p w14:paraId="265DF2B6" w14:textId="77777777" w:rsidR="006F16AD" w:rsidRPr="008E4EB0" w:rsidRDefault="006F16AD" w:rsidP="007B2931">
      <w:pPr>
        <w:spacing w:after="0" w:line="276" w:lineRule="auto"/>
        <w:jc w:val="both"/>
        <w:rPr>
          <w:rFonts w:ascii="Times New Roman" w:hAnsi="Times New Roman" w:cs="Times New Roman"/>
          <w:sz w:val="24"/>
          <w:szCs w:val="24"/>
        </w:rPr>
      </w:pPr>
    </w:p>
    <w:p w14:paraId="3B824D0E" w14:textId="7D6FAC0B" w:rsidR="006F16AD" w:rsidRPr="008E4EB0" w:rsidRDefault="006F16AD" w:rsidP="007B2931">
      <w:pPr>
        <w:spacing w:after="0" w:line="276" w:lineRule="auto"/>
        <w:ind w:firstLine="851"/>
        <w:jc w:val="both"/>
        <w:rPr>
          <w:rFonts w:ascii="Times New Roman" w:hAnsi="Times New Roman" w:cs="Times New Roman"/>
          <w:sz w:val="24"/>
          <w:szCs w:val="24"/>
        </w:rPr>
      </w:pPr>
      <w:r w:rsidRPr="008E4EB0">
        <w:rPr>
          <w:rFonts w:ascii="Times New Roman" w:hAnsi="Times New Roman" w:cs="Times New Roman"/>
          <w:sz w:val="24"/>
          <w:szCs w:val="24"/>
        </w:rPr>
        <w:t>Klimata pārmaiņu finanšu instrumenta (turpmāk – KPFI) konkursa  „</w:t>
      </w:r>
      <w:r w:rsidRPr="008E4EB0">
        <w:rPr>
          <w:rFonts w:ascii="Times New Roman" w:hAnsi="Times New Roman" w:cs="Times New Roman"/>
          <w:bCs/>
          <w:sz w:val="24"/>
          <w:szCs w:val="24"/>
        </w:rPr>
        <w:t xml:space="preserve">Sabiedrības izpratnes attīstīšana par siltumnīcefekta gāzu emisiju samazināšanas nozīmi un iespējām” mērķis ir </w:t>
      </w:r>
      <w:r w:rsidRPr="008E4EB0">
        <w:rPr>
          <w:rFonts w:ascii="Times New Roman" w:hAnsi="Times New Roman" w:cs="Times New Roman"/>
          <w:sz w:val="24"/>
          <w:szCs w:val="24"/>
        </w:rPr>
        <w:t xml:space="preserve">veicināt sabiedrības izpratni par siltumnīcefekta gāzu emisiju samazināšanas nozīmi un iespējām, sekmējot pamatotu lēmumu pieņemšanu un videi nekaitīgu rīcību. Kā projektu konkursa atbalstāmās aktivitātes tika noteiktas: radoša konkursa rīkošana par labākajām publikācijām laikrakstos, žurnālos un tīmekļa vietnēs, kuras aptver iespējami plašu auditoriju un veicina sabiedrības vispārējā informētības līmeņa paaugstināšanu par nepieciešamību novērst klimata pārmaiņas, veicināt energotaupības pasākumus un izmantot atjaunojamos energoresursus. </w:t>
      </w:r>
    </w:p>
    <w:p w14:paraId="10D2E3E9" w14:textId="45B5EA21" w:rsidR="006F16AD" w:rsidRPr="008E4EB0" w:rsidRDefault="006F16AD" w:rsidP="007B2931">
      <w:pPr>
        <w:spacing w:after="0" w:line="276" w:lineRule="auto"/>
        <w:ind w:firstLine="851"/>
        <w:jc w:val="both"/>
        <w:rPr>
          <w:rFonts w:ascii="Times New Roman" w:hAnsi="Times New Roman" w:cs="Times New Roman"/>
          <w:sz w:val="24"/>
          <w:szCs w:val="24"/>
        </w:rPr>
      </w:pPr>
      <w:r w:rsidRPr="008E4EB0">
        <w:rPr>
          <w:rFonts w:ascii="Times New Roman" w:hAnsi="Times New Roman" w:cs="Times New Roman"/>
          <w:sz w:val="24"/>
          <w:szCs w:val="24"/>
        </w:rPr>
        <w:t xml:space="preserve">Konkursa „Sabiedrības izpratnes attīstīšana par siltumnīcefekta gāzu emisiju samazināšanas nozīmi un iespējām” I kārtas ietvaros tika īstenoti 16 projekti, ar kopējo KPFI finansējumu 636965,17 </w:t>
      </w:r>
      <w:r w:rsidR="008E4EB0" w:rsidRPr="008E4EB0">
        <w:rPr>
          <w:rFonts w:ascii="Times New Roman" w:hAnsi="Times New Roman" w:cs="Times New Roman"/>
          <w:i/>
          <w:sz w:val="24"/>
          <w:szCs w:val="24"/>
        </w:rPr>
        <w:t>euro</w:t>
      </w:r>
      <w:r w:rsidRPr="008E4EB0">
        <w:rPr>
          <w:rFonts w:ascii="Times New Roman" w:hAnsi="Times New Roman" w:cs="Times New Roman"/>
          <w:sz w:val="24"/>
          <w:szCs w:val="24"/>
        </w:rPr>
        <w:t xml:space="preserve"> apmērā, savukārt II kārtas ietvaros tika īstenoti 5 projekti, ar kopējo KPFI finansējumu 100 604,45 </w:t>
      </w:r>
      <w:r w:rsidR="008E4EB0" w:rsidRPr="008E4EB0">
        <w:rPr>
          <w:rFonts w:ascii="Times New Roman" w:hAnsi="Times New Roman" w:cs="Times New Roman"/>
          <w:i/>
          <w:sz w:val="24"/>
          <w:szCs w:val="24"/>
        </w:rPr>
        <w:t>euro</w:t>
      </w:r>
      <w:r w:rsidRPr="008E4EB0">
        <w:rPr>
          <w:rFonts w:ascii="Times New Roman" w:hAnsi="Times New Roman" w:cs="Times New Roman"/>
          <w:sz w:val="24"/>
          <w:szCs w:val="24"/>
        </w:rPr>
        <w:t>.</w:t>
      </w:r>
    </w:p>
    <w:p w14:paraId="057E229C" w14:textId="2B3428EC" w:rsidR="006F16AD" w:rsidRPr="008E4EB0" w:rsidRDefault="006F16AD" w:rsidP="007B2931">
      <w:pPr>
        <w:spacing w:after="0" w:line="276" w:lineRule="auto"/>
        <w:ind w:firstLine="851"/>
        <w:jc w:val="both"/>
        <w:rPr>
          <w:rFonts w:ascii="Times New Roman" w:hAnsi="Times New Roman" w:cs="Times New Roman"/>
          <w:sz w:val="24"/>
          <w:szCs w:val="24"/>
        </w:rPr>
      </w:pPr>
      <w:r w:rsidRPr="008E4EB0">
        <w:rPr>
          <w:rFonts w:ascii="Times New Roman" w:hAnsi="Times New Roman" w:cs="Times New Roman"/>
          <w:sz w:val="24"/>
          <w:szCs w:val="24"/>
        </w:rPr>
        <w:lastRenderedPageBreak/>
        <w:t xml:space="preserve">Konkursa I kārtas rezultāti un apstiprināto projektu saraksts pieejams VARAM </w:t>
      </w:r>
      <w:hyperlink r:id="rId20" w:history="1">
        <w:r w:rsidRPr="008E4EB0">
          <w:rPr>
            <w:rStyle w:val="Hyperlink"/>
            <w:rFonts w:ascii="Times New Roman" w:hAnsi="Times New Roman" w:cs="Times New Roman"/>
            <w:sz w:val="24"/>
            <w:szCs w:val="24"/>
          </w:rPr>
          <w:t>interneta vietnē</w:t>
        </w:r>
      </w:hyperlink>
      <w:r w:rsidR="0045084B" w:rsidRPr="008E4EB0">
        <w:rPr>
          <w:rStyle w:val="FootnoteReference"/>
          <w:rFonts w:ascii="Times New Roman" w:hAnsi="Times New Roman" w:cs="Times New Roman"/>
          <w:color w:val="0000FF"/>
          <w:sz w:val="24"/>
          <w:szCs w:val="24"/>
          <w:u w:val="single"/>
        </w:rPr>
        <w:footnoteReference w:id="24"/>
      </w:r>
      <w:r w:rsidRPr="008E4EB0">
        <w:rPr>
          <w:rFonts w:ascii="Times New Roman" w:hAnsi="Times New Roman" w:cs="Times New Roman"/>
          <w:sz w:val="24"/>
          <w:szCs w:val="24"/>
        </w:rPr>
        <w:t>.</w:t>
      </w:r>
    </w:p>
    <w:p w14:paraId="530280A7" w14:textId="05AD51E9" w:rsidR="006F16AD" w:rsidRPr="008E4EB0" w:rsidRDefault="006F16AD" w:rsidP="007B2931">
      <w:pPr>
        <w:spacing w:after="0" w:line="276" w:lineRule="auto"/>
        <w:ind w:firstLine="851"/>
        <w:jc w:val="both"/>
        <w:rPr>
          <w:rFonts w:ascii="Times New Roman" w:hAnsi="Times New Roman" w:cs="Times New Roman"/>
          <w:sz w:val="24"/>
          <w:szCs w:val="24"/>
        </w:rPr>
      </w:pPr>
      <w:r w:rsidRPr="008E4EB0">
        <w:rPr>
          <w:rFonts w:ascii="Times New Roman" w:hAnsi="Times New Roman" w:cs="Times New Roman"/>
          <w:sz w:val="24"/>
          <w:szCs w:val="24"/>
        </w:rPr>
        <w:t xml:space="preserve">Konkursa II kārtas rezultāti un apstiprināto projektu saraksts pieejams Latvijas Vides investīciju fonda </w:t>
      </w:r>
      <w:hyperlink r:id="rId21" w:history="1">
        <w:r w:rsidRPr="008E4EB0">
          <w:rPr>
            <w:rStyle w:val="Hyperlink"/>
            <w:rFonts w:ascii="Times New Roman" w:hAnsi="Times New Roman" w:cs="Times New Roman"/>
            <w:sz w:val="24"/>
            <w:szCs w:val="24"/>
          </w:rPr>
          <w:t>tīmekļa vietnē</w:t>
        </w:r>
      </w:hyperlink>
      <w:r w:rsidR="0045084B" w:rsidRPr="008E4EB0">
        <w:rPr>
          <w:rStyle w:val="FootnoteReference"/>
          <w:rFonts w:ascii="Times New Roman" w:hAnsi="Times New Roman" w:cs="Times New Roman"/>
          <w:color w:val="0000FF"/>
          <w:sz w:val="24"/>
          <w:szCs w:val="24"/>
          <w:u w:val="single"/>
        </w:rPr>
        <w:footnoteReference w:id="25"/>
      </w:r>
      <w:r w:rsidRPr="008E4EB0">
        <w:rPr>
          <w:rFonts w:ascii="Times New Roman" w:hAnsi="Times New Roman" w:cs="Times New Roman"/>
          <w:sz w:val="24"/>
          <w:szCs w:val="24"/>
        </w:rPr>
        <w:t>.</w:t>
      </w:r>
    </w:p>
    <w:p w14:paraId="0988FE58" w14:textId="77777777" w:rsidR="006F16AD" w:rsidRPr="008E4EB0" w:rsidRDefault="006F16AD" w:rsidP="007B2931">
      <w:pPr>
        <w:spacing w:after="0" w:line="276" w:lineRule="auto"/>
        <w:jc w:val="both"/>
        <w:rPr>
          <w:rFonts w:ascii="Times New Roman" w:hAnsi="Times New Roman" w:cs="Times New Roman"/>
          <w:sz w:val="24"/>
          <w:szCs w:val="24"/>
        </w:rPr>
      </w:pPr>
    </w:p>
    <w:p w14:paraId="6A6775A7" w14:textId="10E33F54" w:rsidR="00990903" w:rsidRPr="008E4EB0" w:rsidRDefault="00990903" w:rsidP="00D82FCF">
      <w:pPr>
        <w:pStyle w:val="apakapakvirsraksts"/>
      </w:pPr>
      <w:bookmarkStart w:id="106" w:name="_Toc480527978"/>
      <w:bookmarkStart w:id="107" w:name="_Toc491870926"/>
      <w:r w:rsidRPr="008E4EB0">
        <w:t xml:space="preserve">Sabiedrības iesaiste ēku ilgtermiņa </w:t>
      </w:r>
      <w:r w:rsidR="00CE0F55" w:rsidRPr="008E4EB0">
        <w:t>atjaunošanas</w:t>
      </w:r>
      <w:r w:rsidRPr="008E4EB0">
        <w:t xml:space="preserve"> izstrādē</w:t>
      </w:r>
      <w:bookmarkEnd w:id="106"/>
      <w:bookmarkEnd w:id="107"/>
    </w:p>
    <w:p w14:paraId="0EA2B5C1" w14:textId="77777777" w:rsidR="006F16AD" w:rsidRPr="008E4EB0" w:rsidRDefault="006F16AD" w:rsidP="007B2931">
      <w:pPr>
        <w:spacing w:after="0" w:line="276" w:lineRule="auto"/>
        <w:jc w:val="both"/>
        <w:rPr>
          <w:rFonts w:ascii="Times New Roman" w:hAnsi="Times New Roman" w:cs="Times New Roman"/>
          <w:sz w:val="24"/>
          <w:szCs w:val="24"/>
        </w:rPr>
      </w:pPr>
    </w:p>
    <w:p w14:paraId="38A0651E" w14:textId="2017F3CA" w:rsidR="006F16AD" w:rsidRPr="008E4EB0" w:rsidRDefault="007B2931" w:rsidP="00150827">
      <w:pPr>
        <w:pStyle w:val="NormalWeb"/>
        <w:shd w:val="clear" w:color="auto" w:fill="FFFFFF"/>
        <w:spacing w:before="0" w:beforeAutospacing="0" w:after="0" w:afterAutospacing="0" w:line="276" w:lineRule="auto"/>
        <w:ind w:firstLine="720"/>
        <w:jc w:val="both"/>
      </w:pPr>
      <w:r w:rsidRPr="008E4EB0">
        <w:t>2017.gada</w:t>
      </w:r>
      <w:r w:rsidR="006F16AD" w:rsidRPr="008E4EB0">
        <w:t xml:space="preserve"> 17. februārī Rīgā Latvijas Nacionālajā bibliotēkā notika projekta BUILD UPON noslēguma konference “Sabiedrības līdzdalība un iesaistīšanās – veiksmīgas Latvijas Ēku </w:t>
      </w:r>
      <w:r w:rsidR="00CE0F55" w:rsidRPr="008E4EB0">
        <w:t>atjaunošanas</w:t>
      </w:r>
      <w:r w:rsidR="006F16AD" w:rsidRPr="008E4EB0">
        <w:t xml:space="preserve"> ilgtermiņa stratēģijas pamats”, kuras laikā</w:t>
      </w:r>
      <w:r w:rsidR="006F16AD" w:rsidRPr="008E4EB0">
        <w:rPr>
          <w:rStyle w:val="apple-converted-space"/>
        </w:rPr>
        <w:t> </w:t>
      </w:r>
      <w:r w:rsidR="006F16AD" w:rsidRPr="008E4EB0">
        <w:rPr>
          <w:rStyle w:val="Strong"/>
          <w:b w:val="0"/>
        </w:rPr>
        <w:t>tika apstiprināta</w:t>
      </w:r>
      <w:r w:rsidR="006F16AD" w:rsidRPr="008E4EB0">
        <w:rPr>
          <w:rStyle w:val="apple-converted-space"/>
          <w:bCs/>
        </w:rPr>
        <w:t> </w:t>
      </w:r>
      <w:r w:rsidR="006F16AD" w:rsidRPr="008E4EB0">
        <w:rPr>
          <w:rStyle w:val="Strong"/>
          <w:b w:val="0"/>
        </w:rPr>
        <w:t xml:space="preserve">ES zinātniski pētnieciskās programmas "Apvārsnis-2020" projekta BUILD UPON ietvaros izstrādātā Deklarācija par Latvijas Ēku </w:t>
      </w:r>
      <w:r w:rsidR="00CE0F55" w:rsidRPr="008E4EB0">
        <w:rPr>
          <w:rStyle w:val="Strong"/>
          <w:b w:val="0"/>
        </w:rPr>
        <w:t>atjaunošanas</w:t>
      </w:r>
      <w:r w:rsidR="006F16AD" w:rsidRPr="008E4EB0">
        <w:rPr>
          <w:rStyle w:val="Strong"/>
          <w:b w:val="0"/>
        </w:rPr>
        <w:t xml:space="preserve"> ilgtermiņa stratēģijas 2014. – 2020.gadam pilnveidošanu.</w:t>
      </w:r>
    </w:p>
    <w:p w14:paraId="7C5410A1" w14:textId="6592C70F" w:rsidR="006F16AD" w:rsidRPr="008E4EB0" w:rsidRDefault="006F16AD" w:rsidP="007B2931">
      <w:pPr>
        <w:pStyle w:val="NormalWeb"/>
        <w:shd w:val="clear" w:color="auto" w:fill="FFFFFF"/>
        <w:spacing w:before="0" w:beforeAutospacing="0" w:after="0" w:afterAutospacing="0" w:line="276" w:lineRule="auto"/>
        <w:jc w:val="both"/>
      </w:pPr>
      <w:r w:rsidRPr="008E4EB0">
        <w:t xml:space="preserve">Konferencē “Sabiedrības līdzdalība un iesaistīšanās – veiksmīgas Latvijas Ēku </w:t>
      </w:r>
      <w:r w:rsidR="00CE0F55" w:rsidRPr="008E4EB0">
        <w:t>atjaunošanas</w:t>
      </w:r>
      <w:r w:rsidRPr="008E4EB0">
        <w:t xml:space="preserve"> ilgtermiņa stratēģijas pamats” piedalījās vairāk nekā 60 dalībnieku. To rīkoja Latvijas Ilgtspējīgas būvniecības padome (LIBP) kā sesto un noslēdzošo projekta BUILD UPON pasākumu Latvijā, kas vērsts uz dziļās </w:t>
      </w:r>
      <w:r w:rsidR="00CE0F55" w:rsidRPr="008E4EB0">
        <w:t>atjaunošanas</w:t>
      </w:r>
      <w:r w:rsidRPr="008E4EB0">
        <w:t xml:space="preserve"> un energoefektivitātes veicināšanu</w:t>
      </w:r>
      <w:r w:rsidR="00763E78">
        <w:t>.</w:t>
      </w:r>
    </w:p>
    <w:p w14:paraId="3355D0C6" w14:textId="77777777" w:rsidR="00DD2B16" w:rsidRPr="008E4EB0" w:rsidRDefault="00DD2B16" w:rsidP="007B2931">
      <w:pPr>
        <w:pStyle w:val="NormalWeb"/>
        <w:shd w:val="clear" w:color="auto" w:fill="FFFFFF"/>
        <w:spacing w:before="0" w:beforeAutospacing="0" w:after="0" w:afterAutospacing="0" w:line="276" w:lineRule="auto"/>
        <w:jc w:val="both"/>
      </w:pPr>
    </w:p>
    <w:p w14:paraId="7250BF65" w14:textId="77777777" w:rsidR="00910141" w:rsidRPr="008E4EB0" w:rsidRDefault="00DD2B16" w:rsidP="00150827">
      <w:pPr>
        <w:pStyle w:val="NormalWeb"/>
        <w:keepNext/>
        <w:shd w:val="clear" w:color="auto" w:fill="FFFFFF"/>
        <w:spacing w:before="0" w:beforeAutospacing="0" w:after="0" w:afterAutospacing="0" w:line="276" w:lineRule="auto"/>
        <w:ind w:firstLine="720"/>
        <w:jc w:val="both"/>
      </w:pPr>
      <w:r w:rsidRPr="008E4EB0">
        <w:t xml:space="preserve">Deklarācijai par Latvijas Ēku </w:t>
      </w:r>
      <w:r w:rsidR="00CE0F55" w:rsidRPr="008E4EB0">
        <w:t>atjaunošanas</w:t>
      </w:r>
      <w:r w:rsidRPr="008E4EB0">
        <w:t xml:space="preserve"> ilgtermiņa stratēģijas pilnveidošanu ir šādi mērķi: </w:t>
      </w:r>
    </w:p>
    <w:p w14:paraId="59C0E043" w14:textId="13BA6F69" w:rsidR="0033281F" w:rsidRPr="008E4EB0" w:rsidRDefault="00DD2B16" w:rsidP="00910141">
      <w:pPr>
        <w:pStyle w:val="NormalWeb"/>
        <w:keepNext/>
        <w:shd w:val="clear" w:color="auto" w:fill="FFFFFF"/>
        <w:spacing w:before="0" w:beforeAutospacing="0" w:after="0" w:afterAutospacing="0" w:line="276" w:lineRule="auto"/>
        <w:jc w:val="both"/>
      </w:pPr>
      <w:r w:rsidRPr="008E4EB0">
        <w:t xml:space="preserve">1. Veicināt plaša mēroga kvalitatīvu un rentablu, augstiem energoefektivitātes standartiem atbilstošu ēku </w:t>
      </w:r>
      <w:r w:rsidR="00CE0F55" w:rsidRPr="008E4EB0">
        <w:t>atjaunošanu</w:t>
      </w:r>
      <w:r w:rsidRPr="008E4EB0">
        <w:t xml:space="preserve">, nodrošinot kvalitatīvu Latvijas dzīvojamā, komerciālā un publiskā ēku fonda atjaunošanu. </w:t>
      </w:r>
    </w:p>
    <w:p w14:paraId="57CFB614" w14:textId="77777777" w:rsidR="0033281F" w:rsidRPr="008E4EB0" w:rsidRDefault="00DD2B16" w:rsidP="00910141">
      <w:pPr>
        <w:pStyle w:val="NormalWeb"/>
        <w:shd w:val="clear" w:color="auto" w:fill="FFFFFF"/>
        <w:spacing w:before="0" w:beforeAutospacing="0" w:after="0" w:afterAutospacing="0" w:line="276" w:lineRule="auto"/>
        <w:jc w:val="both"/>
      </w:pPr>
      <w:r w:rsidRPr="008E4EB0">
        <w:t xml:space="preserve">2. Uzlabot būvniecības procesa kvalitāti, sākot no iepirkuma procesa līdz pat ēkas nodošanai ekspluatācijā un projektētās energoefektivitātes sasniegšanai. </w:t>
      </w:r>
    </w:p>
    <w:p w14:paraId="6031B055" w14:textId="1F316904" w:rsidR="0033281F" w:rsidRPr="008E4EB0" w:rsidRDefault="00DD2B16" w:rsidP="00910141">
      <w:pPr>
        <w:pStyle w:val="NormalWeb"/>
        <w:shd w:val="clear" w:color="auto" w:fill="FFFFFF"/>
        <w:spacing w:before="0" w:beforeAutospacing="0" w:after="0" w:afterAutospacing="0" w:line="276" w:lineRule="auto"/>
        <w:jc w:val="both"/>
      </w:pPr>
      <w:r w:rsidRPr="008E4EB0">
        <w:t xml:space="preserve">3. Veicināt Latvijas iedzīvotāju dzīves līmeņa celšanu, uzlabojot ēku kvalitāti un paaugstinot energoefektivitāti, tajā pašā laikā aktīvāk iesaistot iedzīvotājus ēku </w:t>
      </w:r>
      <w:r w:rsidR="00CE0F55" w:rsidRPr="008E4EB0">
        <w:t>atjaunošanā</w:t>
      </w:r>
      <w:r w:rsidRPr="008E4EB0">
        <w:t xml:space="preserve"> un apsaimniekošanā, kā arī paaugstinot sabiedrības zināšanas par energoefektīvu un ilgtspējīgu ēku priekšrocībām. </w:t>
      </w:r>
    </w:p>
    <w:p w14:paraId="46EFE3E7" w14:textId="2E547E13" w:rsidR="0033281F" w:rsidRPr="008E4EB0" w:rsidRDefault="00DD2B16" w:rsidP="00910141">
      <w:pPr>
        <w:pStyle w:val="NormalWeb"/>
        <w:shd w:val="clear" w:color="auto" w:fill="FFFFFF"/>
        <w:spacing w:before="0" w:beforeAutospacing="0" w:after="0" w:afterAutospacing="0" w:line="276" w:lineRule="auto"/>
        <w:jc w:val="both"/>
      </w:pPr>
      <w:r w:rsidRPr="008E4EB0">
        <w:t xml:space="preserve">4. Rosināt jaunu </w:t>
      </w:r>
      <w:r w:rsidR="00CE0F55" w:rsidRPr="008E4EB0">
        <w:t>atjaunošanas</w:t>
      </w:r>
      <w:r w:rsidRPr="008E4EB0">
        <w:t xml:space="preserve"> finansēšanas modeļu un iniciatīvu izmantošanu, t. sk. piesaistot privātās investīcijas papildu finansējuma nodrošināšanai, lai veicinātu mērķtiecīgus ieguldījumus ēku </w:t>
      </w:r>
      <w:r w:rsidR="00CE0F55" w:rsidRPr="008E4EB0">
        <w:t>atjaunošanā</w:t>
      </w:r>
      <w:r w:rsidRPr="008E4EB0">
        <w:t xml:space="preserve"> Latvijā vēl vismaz nākamos 10–20 gadus un īstenotu veiksmīgu energoefektivitātes politiku ilgtermiņā. </w:t>
      </w:r>
    </w:p>
    <w:p w14:paraId="3027E3FA" w14:textId="77777777" w:rsidR="0033281F" w:rsidRPr="008E4EB0" w:rsidRDefault="00DD2B16" w:rsidP="00910141">
      <w:pPr>
        <w:pStyle w:val="NormalWeb"/>
        <w:shd w:val="clear" w:color="auto" w:fill="FFFFFF"/>
        <w:spacing w:before="0" w:beforeAutospacing="0" w:after="0" w:afterAutospacing="0" w:line="276" w:lineRule="auto"/>
        <w:jc w:val="both"/>
      </w:pPr>
      <w:r w:rsidRPr="008E4EB0">
        <w:t xml:space="preserve">5. Panākt ievērojamu ēku energoefektivitātes un kvalitātes paaugstināšanu, lai nodrošinātu ES noteikto mērķu līdz 2030. gadam izpildi, mazinātu enerģijas izmaksu atšķirības starp Latviju un citām Baltijas jūras reģiona valstīm, kā arī lai nodrošinātu cenu un enerģijas piegāžu stabilitāti ilgtermiņā, paaugstinot Latvijas enerģētisko neatkarību. </w:t>
      </w:r>
    </w:p>
    <w:p w14:paraId="7E370402" w14:textId="69987862" w:rsidR="00DD2B16" w:rsidRPr="008E4EB0" w:rsidRDefault="00DD2B16" w:rsidP="00910141">
      <w:pPr>
        <w:pStyle w:val="NormalWeb"/>
        <w:shd w:val="clear" w:color="auto" w:fill="FFFFFF"/>
        <w:spacing w:before="0" w:beforeAutospacing="0" w:after="0" w:afterAutospacing="0" w:line="276" w:lineRule="auto"/>
        <w:jc w:val="both"/>
      </w:pPr>
      <w:r w:rsidRPr="008E4EB0">
        <w:t xml:space="preserve">6. Veicināt aktīvu valsts līdzdalību </w:t>
      </w:r>
      <w:r w:rsidR="00CE0F55" w:rsidRPr="008E4EB0">
        <w:t>atjaunošanas</w:t>
      </w:r>
      <w:r w:rsidRPr="008E4EB0">
        <w:t xml:space="preserve"> procesos, izstrādājot un ieviešot konkrētu rīcības plānu Latvijas Ēku </w:t>
      </w:r>
      <w:r w:rsidR="00CE0F55" w:rsidRPr="008E4EB0">
        <w:t>atjaunošanas</w:t>
      </w:r>
      <w:r w:rsidRPr="008E4EB0">
        <w:t xml:space="preserve"> ilgtermiņa stratēģijas īstenošanai, kā </w:t>
      </w:r>
      <w:r w:rsidRPr="008E4EB0">
        <w:lastRenderedPageBreak/>
        <w:t xml:space="preserve">arī nodrošinot vienkāršu un saprotamu likumdošanas normatīvo aktu bāzi </w:t>
      </w:r>
      <w:r w:rsidR="00CE0F55" w:rsidRPr="008E4EB0">
        <w:t>atjaunošanas</w:t>
      </w:r>
      <w:r w:rsidRPr="008E4EB0">
        <w:t xml:space="preserve"> procesa efektīvai realizācijai.</w:t>
      </w:r>
    </w:p>
    <w:p w14:paraId="5CD657BC" w14:textId="77777777" w:rsidR="00DD2B16" w:rsidRPr="008E4EB0" w:rsidRDefault="00DD2B16" w:rsidP="00910141">
      <w:pPr>
        <w:pStyle w:val="NormalWeb"/>
        <w:shd w:val="clear" w:color="auto" w:fill="FFFFFF"/>
        <w:spacing w:before="0" w:beforeAutospacing="0" w:after="0" w:afterAutospacing="0" w:line="276" w:lineRule="auto"/>
        <w:jc w:val="both"/>
      </w:pPr>
    </w:p>
    <w:p w14:paraId="400EDD6F" w14:textId="77777777" w:rsidR="006F16AD" w:rsidRPr="008E4EB0" w:rsidRDefault="006F16AD" w:rsidP="00150827">
      <w:pPr>
        <w:pStyle w:val="NormalWeb"/>
        <w:shd w:val="clear" w:color="auto" w:fill="FFFFFF"/>
        <w:spacing w:before="0" w:beforeAutospacing="0" w:after="0" w:afterAutospacing="0" w:line="276" w:lineRule="auto"/>
        <w:ind w:firstLine="720"/>
        <w:jc w:val="both"/>
      </w:pPr>
      <w:r w:rsidRPr="008E4EB0">
        <w:t>Projekta BUILD UPON ietvaros izstrādātās rekomendācijas un Deklarācija vērsta uz to, lai, uzlabojot ēku stāvokli, energoefektivitāti un ilgtspējību, celtu sabiedrības pašapziņu un dzīves līmeni. Proti, mūsu bērni mācītos skolās ar labu gaisa kvalitāti, mūsu iedzīvotājiem būtu mazāki rēķini par apkuri, uzlabotos iekštelpu vides kvalitāte, kas neapšaubāmi ietekmē ikviena veselību. Tādējādi, mēs patērētu mazāk fosilos energoresursus gan stiprinot Latvijas energo-neatkarību, gan samazinot ietekmi uz vidi. Īpaši svarīgi šie aspekti ir tieši šobrīd, kad Latvija tikko ratificējusi Parīzes nolīgumu, kas ir nozīmīgs solis Apvienoto Nāciju Organizācijas  ietvaros, visām valstīm uzņemoties atbildību par klimata pārmaiņu samazināšanu.</w:t>
      </w:r>
    </w:p>
    <w:p w14:paraId="1551C95D" w14:textId="77777777" w:rsidR="006F16AD" w:rsidRPr="008E4EB0" w:rsidRDefault="006F16AD" w:rsidP="00150827">
      <w:pPr>
        <w:pStyle w:val="NormalWeb"/>
        <w:shd w:val="clear" w:color="auto" w:fill="FFFFFF"/>
        <w:spacing w:before="0" w:beforeAutospacing="0" w:after="0" w:afterAutospacing="0" w:line="276" w:lineRule="auto"/>
        <w:ind w:firstLine="720"/>
        <w:jc w:val="both"/>
      </w:pPr>
      <w:r w:rsidRPr="008E4EB0">
        <w:rPr>
          <w:rStyle w:val="Strong"/>
          <w:b w:val="0"/>
        </w:rPr>
        <w:t>Deklarāciju klātienē atbalstījuši 46 konferences dalībnieki – ar būvniecību saistītu nozaru eksperti, pašvaldību pārstāvji, finanšu institūciju pārstāvji, augstskolu pārstāvji, nevalstisko organizāciju pārstāvji, kā arī citi</w:t>
      </w:r>
      <w:r w:rsidRPr="008E4EB0">
        <w:t>. Savukārt, </w:t>
      </w:r>
      <w:r w:rsidRPr="008E4EB0">
        <w:rPr>
          <w:rStyle w:val="Strong"/>
          <w:b w:val="0"/>
        </w:rPr>
        <w:t>Deklarāciju elektroniski atbalstījušas vēl</w:t>
      </w:r>
      <w:r w:rsidRPr="008E4EB0">
        <w:rPr>
          <w:rStyle w:val="apple-converted-space"/>
          <w:bCs/>
        </w:rPr>
        <w:t> </w:t>
      </w:r>
      <w:r w:rsidRPr="008E4EB0">
        <w:rPr>
          <w:rStyle w:val="Strong"/>
          <w:b w:val="0"/>
        </w:rPr>
        <w:t>28</w:t>
      </w:r>
      <w:r w:rsidRPr="008E4EB0">
        <w:t> </w:t>
      </w:r>
      <w:r w:rsidRPr="008E4EB0">
        <w:rPr>
          <w:rStyle w:val="Strong"/>
          <w:b w:val="0"/>
        </w:rPr>
        <w:t>personas</w:t>
      </w:r>
      <w:r w:rsidRPr="008E4EB0">
        <w:t>. Līdzīgi kā LIBP rekomendācijas savu nacionālo stratēģiju uzlabošanai sagatavojuši arī citi projekta BUILD UPON partneri no Bulgārijas, Horvātijas, Čehijas, Somijas, Īrijas, Itālijas, Polijas, Rumānijas, Slovākijas, Slovēnijas, Spānijas, Zviedrijas un Turcijas. Tās tiek apkopotas un būs pieejamas projekta mājas lapā:</w:t>
      </w:r>
      <w:r w:rsidRPr="008E4EB0">
        <w:rPr>
          <w:rStyle w:val="apple-converted-space"/>
        </w:rPr>
        <w:t> </w:t>
      </w:r>
      <w:hyperlink r:id="rId22" w:history="1">
        <w:r w:rsidRPr="008E4EB0">
          <w:rPr>
            <w:rStyle w:val="Hyperlink"/>
            <w:rFonts w:eastAsiaTheme="minorHAnsi"/>
            <w:lang w:eastAsia="en-US"/>
          </w:rPr>
          <w:t>www.buildupon.eu</w:t>
        </w:r>
      </w:hyperlink>
      <w:r w:rsidRPr="008E4EB0">
        <w:t>, kā arī tiks iesniegtas Eiropas Komisijai.</w:t>
      </w:r>
    </w:p>
    <w:p w14:paraId="7DA6A6AF" w14:textId="6E1B2546" w:rsidR="006F16AD" w:rsidRPr="008E4EB0" w:rsidRDefault="009E1DA3" w:rsidP="00150827">
      <w:pPr>
        <w:pStyle w:val="NormalWeb"/>
        <w:shd w:val="clear" w:color="auto" w:fill="FFFFFF"/>
        <w:spacing w:before="0" w:beforeAutospacing="0" w:after="0" w:afterAutospacing="0" w:line="276" w:lineRule="auto"/>
        <w:ind w:firstLine="360"/>
        <w:jc w:val="both"/>
      </w:pPr>
      <w:r w:rsidRPr="008E4EB0">
        <w:t>Projekta</w:t>
      </w:r>
      <w:r w:rsidR="006F16AD" w:rsidRPr="008E4EB0">
        <w:t xml:space="preserve"> BUILD UPON </w:t>
      </w:r>
      <w:r w:rsidRPr="008E4EB0">
        <w:t>ietvaros</w:t>
      </w:r>
      <w:r w:rsidR="006F16AD" w:rsidRPr="008E4EB0">
        <w:t xml:space="preserve"> notikušas divas BUILD UPON darba grupas sanāksmes, kā arī seši forumi par dažādām ar </w:t>
      </w:r>
      <w:r w:rsidR="00CE0F55" w:rsidRPr="008E4EB0">
        <w:t>atjaunošanas</w:t>
      </w:r>
      <w:r w:rsidR="006F16AD" w:rsidRPr="008E4EB0">
        <w:t xml:space="preserve"> aktualitātēm saistītām tēmām. Pavisam šajos pasākumos un publiskajās konsultācijās piedalījušies vairāk nekā 300 dalībnieki. Katrā no šiem pasākumiem esam diskutējuši par aktuālām tēmām saistībā ar Latvijas Ēku </w:t>
      </w:r>
      <w:r w:rsidR="00CE0F55" w:rsidRPr="008E4EB0">
        <w:t>atjaunošanas</w:t>
      </w:r>
      <w:r w:rsidR="006F16AD" w:rsidRPr="008E4EB0">
        <w:t xml:space="preserve"> ilgtermiņa stratēģijas (2014.-2020.g.) pilnveidošanu, kā arī aicinājuši dalībniekus un ekspertus izteikt savu viedokli par rekomendācijām stratēģijas pilnveidošanai, un veikuši aptaujas. Šis darbs ir noslēdzies 43 rekomendāciju izstrādāšanu, kuras apkopotas 10 tematiskajās sadaļās un iestrādātas vienotā</w:t>
      </w:r>
      <w:r w:rsidR="006F16AD" w:rsidRPr="008E4EB0">
        <w:rPr>
          <w:rStyle w:val="apple-converted-space"/>
        </w:rPr>
        <w:t> </w:t>
      </w:r>
      <w:r w:rsidR="006F16AD" w:rsidRPr="008E4EB0">
        <w:rPr>
          <w:rFonts w:eastAsiaTheme="minorHAnsi"/>
          <w:lang w:eastAsia="en-US"/>
        </w:rPr>
        <w:t xml:space="preserve">Deklarācijā Latvijas Ēku </w:t>
      </w:r>
      <w:r w:rsidR="00CE0F55" w:rsidRPr="008E4EB0">
        <w:rPr>
          <w:rFonts w:eastAsiaTheme="minorHAnsi"/>
          <w:lang w:eastAsia="en-US"/>
        </w:rPr>
        <w:t>atjaunošanas</w:t>
      </w:r>
      <w:r w:rsidR="006F16AD" w:rsidRPr="008E4EB0">
        <w:rPr>
          <w:rFonts w:eastAsiaTheme="minorHAnsi"/>
          <w:lang w:eastAsia="en-US"/>
        </w:rPr>
        <w:t xml:space="preserve"> ilgte</w:t>
      </w:r>
      <w:r w:rsidR="00DD2B16" w:rsidRPr="008E4EB0">
        <w:rPr>
          <w:rFonts w:eastAsiaTheme="minorHAnsi"/>
          <w:lang w:eastAsia="en-US"/>
        </w:rPr>
        <w:t xml:space="preserve">rmiņa stratēģijas pilnveidošanai. Ar pilnu Deklarācijas tekstu iespējams iepazīties </w:t>
      </w:r>
      <w:hyperlink r:id="rId23" w:history="1">
        <w:r w:rsidR="00B00F90" w:rsidRPr="008E4EB0">
          <w:rPr>
            <w:rStyle w:val="Hyperlink"/>
            <w:rFonts w:eastAsiaTheme="minorHAnsi"/>
            <w:lang w:eastAsia="en-US"/>
          </w:rPr>
          <w:t>Ilgtspējīgas Būvniecības padomes mājas lapā</w:t>
        </w:r>
        <w:r w:rsidR="00B00F90" w:rsidRPr="008E4EB0">
          <w:rPr>
            <w:rStyle w:val="FootnoteReference"/>
            <w:rFonts w:eastAsiaTheme="minorHAnsi"/>
            <w:color w:val="0000FF"/>
            <w:u w:val="single"/>
            <w:lang w:eastAsia="en-US"/>
          </w:rPr>
          <w:footnoteReference w:id="26"/>
        </w:r>
        <w:r w:rsidR="00B00F90" w:rsidRPr="008E4EB0">
          <w:rPr>
            <w:rStyle w:val="Hyperlink"/>
            <w:rFonts w:eastAsiaTheme="minorHAnsi"/>
            <w:lang w:eastAsia="en-US"/>
          </w:rPr>
          <w:t>.</w:t>
        </w:r>
      </w:hyperlink>
    </w:p>
    <w:p w14:paraId="485B7C41" w14:textId="07706EE9" w:rsidR="006F16AD" w:rsidRPr="008E4EB0" w:rsidRDefault="006F16AD" w:rsidP="00CF38B3">
      <w:pPr>
        <w:spacing w:after="0" w:line="276" w:lineRule="auto"/>
        <w:rPr>
          <w:rFonts w:ascii="Times New Roman" w:hAnsi="Times New Roman" w:cs="Times New Roman"/>
          <w:sz w:val="24"/>
          <w:szCs w:val="24"/>
        </w:rPr>
      </w:pPr>
    </w:p>
    <w:p w14:paraId="1E1965B5" w14:textId="40282BCA" w:rsidR="00990903" w:rsidRPr="008E4EB0" w:rsidRDefault="00990903" w:rsidP="00150827">
      <w:pPr>
        <w:pStyle w:val="apakvirsraksts"/>
        <w:keepNext/>
        <w:ind w:left="788" w:hanging="431"/>
      </w:pPr>
      <w:bookmarkStart w:id="108" w:name="_Toc480527979"/>
      <w:bookmarkStart w:id="109" w:name="_Toc491870927"/>
      <w:r w:rsidRPr="008E4EB0">
        <w:t>Marķēšana</w:t>
      </w:r>
      <w:bookmarkEnd w:id="108"/>
      <w:bookmarkEnd w:id="109"/>
    </w:p>
    <w:p w14:paraId="3A6F4E1E" w14:textId="77777777" w:rsidR="007B2931" w:rsidRPr="008E4EB0" w:rsidRDefault="007B2931" w:rsidP="007B2931">
      <w:pPr>
        <w:spacing w:after="0" w:line="276" w:lineRule="auto"/>
        <w:ind w:firstLine="851"/>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 xml:space="preserve">Statistikas dati par enerģijas un citu resursu patēriņa norādīšanu ražojumiem Latvijā netiek apkopota, taču, ņemot vērā informācijas nozīmīgo lomu tirgū un nepieciešamību ieviest vienveidīgu un saskaņotu marķējumu visiem viena veida produktiem, lai pircējiem nodrošinātu vienotu informāciju par šo produktu enerģijas un citu nozīmīgu resursu patēriņu, ES ir pieņemta Eiropas Parlamenta un Padomes Direktīva 2010/30/ES par enerģijas un citu resursu patēriņa norādīšanu ražojumiem, kas saistīti ar energopatēriņu, izmantojot etiķetes un standarta informāciju par precēm. </w:t>
      </w:r>
      <w:r w:rsidRPr="008E4EB0">
        <w:rPr>
          <w:rFonts w:ascii="Times New Roman" w:eastAsia="Calibri" w:hAnsi="Times New Roman" w:cs="Times New Roman"/>
          <w:sz w:val="24"/>
          <w:szCs w:val="24"/>
          <w:shd w:val="clear" w:color="auto" w:fill="FFFFFF"/>
        </w:rPr>
        <w:lastRenderedPageBreak/>
        <w:t>Energomarķējuma ievaddirektīvai ir horizontāls raksturs – tā neizvirza konkrētas prasības produktiem, bet ievieš nosacījumus un kritērijus, kā noteikt prasības vidi ietekmējošo ražojumu raksturīpašībām, piemēram, enerģijas patēriņa līmeni, kā arī nodrošina nosacījumus šo prasību ātrai un efektīvai īstenošanai</w:t>
      </w:r>
      <w:bookmarkStart w:id="110" w:name="_ftnref1"/>
      <w:bookmarkEnd w:id="110"/>
      <w:r w:rsidRPr="008E4EB0">
        <w:rPr>
          <w:rFonts w:ascii="Times New Roman" w:eastAsia="Calibri" w:hAnsi="Times New Roman" w:cs="Times New Roman"/>
          <w:sz w:val="24"/>
          <w:szCs w:val="24"/>
          <w:shd w:val="clear" w:color="auto" w:fill="FFFFFF"/>
        </w:rPr>
        <w:t>.</w:t>
      </w:r>
    </w:p>
    <w:p w14:paraId="2B60042D" w14:textId="5B1499D5" w:rsidR="007B2931" w:rsidRPr="008E4EB0" w:rsidRDefault="007B2931" w:rsidP="00150827">
      <w:pPr>
        <w:spacing w:after="0" w:line="276" w:lineRule="auto"/>
        <w:ind w:firstLine="360"/>
        <w:jc w:val="both"/>
        <w:rPr>
          <w:rFonts w:ascii="Times New Roman" w:hAnsi="Times New Roman" w:cs="Times New Roman"/>
          <w:sz w:val="24"/>
          <w:szCs w:val="24"/>
        </w:rPr>
      </w:pPr>
      <w:r w:rsidRPr="008E4EB0">
        <w:rPr>
          <w:rFonts w:ascii="Times New Roman" w:eastAsia="Calibri" w:hAnsi="Times New Roman" w:cs="Times New Roman"/>
          <w:sz w:val="24"/>
          <w:szCs w:val="24"/>
        </w:rPr>
        <w:t>Šī direktīva Latvijas normatīvajos aktos ir ieviesta ar Ministru Kabineta 2011.gada 21.jūnija noteikumiem Nr.480 „Noteikumi par kārtību, kādā tiek marķētas preces, kas saistītas ar enerģijas un citu resursu patēriņu, kā arī to reklāmu un uzraudzību”</w:t>
      </w:r>
      <w:bookmarkStart w:id="111" w:name="_ftnref2"/>
      <w:bookmarkEnd w:id="111"/>
      <w:r w:rsidRPr="008E4EB0">
        <w:rPr>
          <w:rFonts w:ascii="Times New Roman" w:eastAsia="Calibri" w:hAnsi="Times New Roman" w:cs="Times New Roman"/>
          <w:sz w:val="24"/>
          <w:szCs w:val="24"/>
        </w:rPr>
        <w:t>.</w:t>
      </w:r>
      <w:r w:rsidRPr="008E4EB0">
        <w:rPr>
          <w:rFonts w:ascii="Times New Roman" w:eastAsia="Calibri" w:hAnsi="Times New Roman" w:cs="Times New Roman"/>
          <w:sz w:val="24"/>
          <w:szCs w:val="24"/>
          <w:vertAlign w:val="superscript"/>
        </w:rPr>
        <w:footnoteReference w:id="27"/>
      </w:r>
      <w:r w:rsidRPr="008E4EB0">
        <w:rPr>
          <w:rFonts w:ascii="Times New Roman" w:eastAsia="Calibri" w:hAnsi="Times New Roman" w:cs="Times New Roman"/>
          <w:sz w:val="24"/>
          <w:szCs w:val="24"/>
        </w:rPr>
        <w:t xml:space="preserve"> Noteikumi nosaka kārtību, kādā, </w:t>
      </w:r>
      <w:r w:rsidRPr="008E4EB0">
        <w:rPr>
          <w:rFonts w:ascii="Times New Roman" w:eastAsia="Calibri" w:hAnsi="Times New Roman" w:cs="Times New Roman"/>
          <w:sz w:val="24"/>
          <w:szCs w:val="24"/>
          <w:shd w:val="clear" w:color="auto" w:fill="FFFFFF"/>
        </w:rPr>
        <w:t>izmantojot etiķeti un speciālo zīmi, tiek marķētas preces, kas saistītas ar enerģijas un citu nozīmīgu resursu patēriņu, kā arī prasības minēto preču reklāmai, to tirgus uzraudzības kārtību un atbildīgo tirgus uzraudzības institūciju</w:t>
      </w:r>
      <w:bookmarkStart w:id="112" w:name="_ftnref3"/>
      <w:bookmarkEnd w:id="112"/>
      <w:r w:rsidRPr="008E4EB0">
        <w:rPr>
          <w:rFonts w:ascii="Times New Roman" w:eastAsia="Calibri" w:hAnsi="Times New Roman" w:cs="Times New Roman"/>
          <w:sz w:val="24"/>
          <w:szCs w:val="24"/>
          <w:shd w:val="clear" w:color="auto" w:fill="FFFFFF"/>
        </w:rPr>
        <w:t>.</w:t>
      </w:r>
      <w:r w:rsidRPr="008E4EB0">
        <w:rPr>
          <w:rFonts w:ascii="Times New Roman" w:eastAsia="Calibri" w:hAnsi="Times New Roman" w:cs="Times New Roman"/>
          <w:sz w:val="24"/>
          <w:szCs w:val="24"/>
        </w:rPr>
        <w:t xml:space="preserve"> Minētie noteikumi nosaka, ka lai gala lietotājam sniegtu papildinformāciju par preci, piegādātājs preces, kuras paredzētas pārdošanai, nomai, pārdošanai uz nomaksu vai demonstrēšanai, marķē ar etiķeti un speciālu zīmi. Etiķete un speciālā zīme tiek pievienota arī tādā gadījumā, ja preces tiek piedāvātas ar informācijas sabiedrības pakalpojumu vai distances līgumu starpniecību. Etiķetē un speciālajā zīmē, kas ir standarta informācijas tabula par preci, ietver informāciju par preces enerģijas patēriņu un, ja attiecināms, par citu nozīmīgu resursu patēriņu, kā arī papildinformāciju par preci.</w:t>
      </w:r>
      <w:r w:rsidRPr="008E4EB0">
        <w:rPr>
          <w:rFonts w:ascii="Times New Roman" w:eastAsia="Calibri" w:hAnsi="Times New Roman" w:cs="Times New Roman"/>
          <w:sz w:val="24"/>
          <w:szCs w:val="24"/>
          <w:vertAlign w:val="superscript"/>
        </w:rPr>
        <w:footnoteReference w:id="28"/>
      </w:r>
      <w:r w:rsidRPr="008E4EB0">
        <w:rPr>
          <w:rFonts w:ascii="Times New Roman" w:eastAsia="Calibri" w:hAnsi="Times New Roman" w:cs="Times New Roman"/>
          <w:sz w:val="24"/>
          <w:szCs w:val="24"/>
        </w:rPr>
        <w:t xml:space="preserve">  </w:t>
      </w:r>
    </w:p>
    <w:p w14:paraId="1D8CF75C" w14:textId="0A7E172F" w:rsidR="007B2931" w:rsidRPr="008E4EB0" w:rsidRDefault="007B2931" w:rsidP="007B2931">
      <w:pPr>
        <w:spacing w:after="0"/>
        <w:rPr>
          <w:rFonts w:ascii="Times New Roman" w:hAnsi="Times New Roman" w:cs="Times New Roman"/>
          <w:sz w:val="24"/>
          <w:szCs w:val="24"/>
        </w:rPr>
      </w:pPr>
      <w:r w:rsidRPr="008E4EB0">
        <w:rPr>
          <w:rFonts w:ascii="Times New Roman" w:hAnsi="Times New Roman" w:cs="Times New Roman"/>
          <w:sz w:val="24"/>
          <w:szCs w:val="24"/>
        </w:rPr>
        <w:br w:type="page"/>
      </w:r>
    </w:p>
    <w:p w14:paraId="4F5F82A8" w14:textId="03A0D0FF" w:rsidR="00990903" w:rsidRPr="008E4EB0" w:rsidRDefault="00990903" w:rsidP="00D64CF6">
      <w:pPr>
        <w:pStyle w:val="virsraksts"/>
      </w:pPr>
      <w:bookmarkStart w:id="113" w:name="_Toc480527980"/>
      <w:bookmarkStart w:id="114" w:name="_Toc491870928"/>
      <w:r w:rsidRPr="008E4EB0">
        <w:lastRenderedPageBreak/>
        <w:t xml:space="preserve">Ilgtermiņa perspektīvas ēku </w:t>
      </w:r>
      <w:r w:rsidR="00CE0F55" w:rsidRPr="008E4EB0">
        <w:t>atjaunošanā</w:t>
      </w:r>
      <w:r w:rsidRPr="008E4EB0">
        <w:t xml:space="preserve">, kas </w:t>
      </w:r>
      <w:r w:rsidR="00D64CF6" w:rsidRPr="008E4EB0">
        <w:t xml:space="preserve">veicinātu </w:t>
      </w:r>
      <w:r w:rsidRPr="008E4EB0">
        <w:t>pieņemt lēmumu par ieguldījumiem</w:t>
      </w:r>
      <w:bookmarkEnd w:id="113"/>
      <w:bookmarkEnd w:id="114"/>
    </w:p>
    <w:p w14:paraId="7D315530" w14:textId="61CDD655" w:rsidR="00990903" w:rsidRPr="008E4EB0" w:rsidRDefault="00990903" w:rsidP="00D64CF6">
      <w:pPr>
        <w:pStyle w:val="apakvirsraksts"/>
      </w:pPr>
      <w:bookmarkStart w:id="115" w:name="_Toc480527238"/>
      <w:bookmarkStart w:id="116" w:name="_Toc480527981"/>
      <w:bookmarkStart w:id="117" w:name="_Toc491870929"/>
      <w:bookmarkEnd w:id="115"/>
      <w:r w:rsidRPr="008E4EB0">
        <w:t xml:space="preserve">Iespējamie avoti ēku </w:t>
      </w:r>
      <w:r w:rsidR="00CE0F55" w:rsidRPr="008E4EB0">
        <w:t>atjaunošana</w:t>
      </w:r>
      <w:r w:rsidRPr="008E4EB0">
        <w:t>i</w:t>
      </w:r>
      <w:bookmarkEnd w:id="116"/>
      <w:bookmarkEnd w:id="117"/>
    </w:p>
    <w:p w14:paraId="689E1689" w14:textId="693793CA" w:rsidR="00990903" w:rsidRPr="008E4EB0" w:rsidRDefault="00990903" w:rsidP="00D82FCF">
      <w:pPr>
        <w:pStyle w:val="apakapakvirsraksts"/>
      </w:pPr>
      <w:bookmarkStart w:id="118" w:name="_Toc480527982"/>
      <w:bookmarkStart w:id="119" w:name="_Toc491870930"/>
      <w:r w:rsidRPr="008E4EB0">
        <w:t>Īpašnieku privātais kapitāls</w:t>
      </w:r>
      <w:bookmarkEnd w:id="118"/>
      <w:bookmarkEnd w:id="119"/>
    </w:p>
    <w:p w14:paraId="25857471" w14:textId="1CA77346" w:rsidR="007B2931" w:rsidRPr="008E4EB0" w:rsidRDefault="007B2931" w:rsidP="00150827">
      <w:pPr>
        <w:spacing w:after="0" w:line="276" w:lineRule="auto"/>
        <w:ind w:firstLine="720"/>
        <w:jc w:val="both"/>
        <w:rPr>
          <w:rFonts w:ascii="Times New Roman" w:hAnsi="Times New Roman" w:cs="Times New Roman"/>
          <w:sz w:val="24"/>
          <w:szCs w:val="24"/>
        </w:rPr>
      </w:pPr>
      <w:r w:rsidRPr="008E4EB0">
        <w:rPr>
          <w:rFonts w:ascii="Times New Roman" w:hAnsi="Times New Roman" w:cs="Times New Roman"/>
          <w:sz w:val="24"/>
          <w:szCs w:val="24"/>
        </w:rPr>
        <w:t xml:space="preserve">Iedzīvotāju pašfinansējuma nodrošinājums </w:t>
      </w:r>
      <w:r w:rsidR="00CE0F55" w:rsidRPr="008E4EB0">
        <w:rPr>
          <w:rFonts w:ascii="Times New Roman" w:hAnsi="Times New Roman" w:cs="Times New Roman"/>
          <w:sz w:val="24"/>
          <w:szCs w:val="24"/>
        </w:rPr>
        <w:t>atjaunošana</w:t>
      </w:r>
      <w:r w:rsidRPr="008E4EB0">
        <w:rPr>
          <w:rFonts w:ascii="Times New Roman" w:hAnsi="Times New Roman" w:cs="Times New Roman"/>
          <w:sz w:val="24"/>
          <w:szCs w:val="24"/>
        </w:rPr>
        <w:t xml:space="preserve">i veidojas no iedzīvotāju regulāri veikto remontiem paredzēto maksājumu uzkrājuma.  </w:t>
      </w:r>
    </w:p>
    <w:p w14:paraId="0BD0E0C1" w14:textId="33146782" w:rsidR="007B2931" w:rsidRPr="008E4EB0" w:rsidRDefault="007B2931" w:rsidP="007B2931">
      <w:pPr>
        <w:spacing w:after="0" w:line="276" w:lineRule="auto"/>
        <w:jc w:val="both"/>
        <w:rPr>
          <w:rFonts w:ascii="Times New Roman" w:hAnsi="Times New Roman" w:cs="Times New Roman"/>
          <w:sz w:val="24"/>
          <w:szCs w:val="24"/>
        </w:rPr>
      </w:pPr>
      <w:r w:rsidRPr="008E4EB0">
        <w:rPr>
          <w:rFonts w:ascii="Times New Roman" w:hAnsi="Times New Roman" w:cs="Times New Roman"/>
          <w:sz w:val="24"/>
          <w:szCs w:val="24"/>
        </w:rPr>
        <w:t xml:space="preserve">Lai uzkrājumu veidotu, dzīvokļu īpašniekiem ir jāvienojas par šāda maksājuma nepieciešamību, nosakot tā mērķi un apjomu. Maksājuma apjoms svārstās no </w:t>
      </w:r>
      <w:r w:rsidR="00355D27" w:rsidRPr="008E4EB0">
        <w:rPr>
          <w:rFonts w:ascii="Times New Roman" w:hAnsi="Times New Roman" w:cs="Times New Roman"/>
          <w:sz w:val="24"/>
          <w:szCs w:val="24"/>
        </w:rPr>
        <w:t xml:space="preserve">15 </w:t>
      </w:r>
      <w:r w:rsidRPr="008E4EB0">
        <w:rPr>
          <w:rFonts w:ascii="Times New Roman" w:hAnsi="Times New Roman" w:cs="Times New Roman"/>
          <w:sz w:val="24"/>
          <w:szCs w:val="24"/>
        </w:rPr>
        <w:t xml:space="preserve">līdz </w:t>
      </w:r>
      <w:r w:rsidR="00355D27" w:rsidRPr="008E4EB0">
        <w:rPr>
          <w:rFonts w:ascii="Times New Roman" w:hAnsi="Times New Roman" w:cs="Times New Roman"/>
          <w:sz w:val="24"/>
          <w:szCs w:val="24"/>
        </w:rPr>
        <w:t>30</w:t>
      </w:r>
      <w:r w:rsidRPr="008E4EB0">
        <w:rPr>
          <w:rFonts w:ascii="Times New Roman" w:hAnsi="Times New Roman" w:cs="Times New Roman"/>
          <w:sz w:val="24"/>
          <w:szCs w:val="24"/>
        </w:rPr>
        <w:t xml:space="preserve"> </w:t>
      </w:r>
      <w:r w:rsidR="00355D27" w:rsidRPr="008E4EB0">
        <w:rPr>
          <w:rFonts w:ascii="Times New Roman" w:hAnsi="Times New Roman" w:cs="Times New Roman"/>
          <w:sz w:val="24"/>
          <w:szCs w:val="24"/>
        </w:rPr>
        <w:t>centiem</w:t>
      </w:r>
      <w:r w:rsidRPr="008E4EB0">
        <w:rPr>
          <w:rFonts w:ascii="Times New Roman" w:hAnsi="Times New Roman" w:cs="Times New Roman"/>
          <w:sz w:val="24"/>
          <w:szCs w:val="24"/>
        </w:rPr>
        <w:t xml:space="preserve"> par m</w:t>
      </w:r>
      <w:r w:rsidRPr="008E4EB0">
        <w:rPr>
          <w:rFonts w:ascii="Times New Roman" w:hAnsi="Times New Roman" w:cs="Times New Roman"/>
          <w:sz w:val="24"/>
          <w:szCs w:val="24"/>
          <w:vertAlign w:val="superscript"/>
        </w:rPr>
        <w:t>2</w:t>
      </w:r>
      <w:r w:rsidRPr="008E4EB0">
        <w:rPr>
          <w:rFonts w:ascii="Times New Roman" w:hAnsi="Times New Roman" w:cs="Times New Roman"/>
          <w:sz w:val="24"/>
          <w:szCs w:val="24"/>
        </w:rPr>
        <w:t xml:space="preserve">/mēnesī atkarībā no iedzīvotāju pieņemtā lēmuma un paredzētajiem  remontdarbiem. Šis veids ir piemērots kādas konkrētas ar </w:t>
      </w:r>
      <w:r w:rsidR="00CE0F55" w:rsidRPr="008E4EB0">
        <w:rPr>
          <w:rFonts w:ascii="Times New Roman" w:hAnsi="Times New Roman" w:cs="Times New Roman"/>
          <w:sz w:val="24"/>
          <w:szCs w:val="24"/>
        </w:rPr>
        <w:t>atjaunošanu</w:t>
      </w:r>
      <w:r w:rsidRPr="008E4EB0">
        <w:rPr>
          <w:rFonts w:ascii="Times New Roman" w:hAnsi="Times New Roman" w:cs="Times New Roman"/>
          <w:sz w:val="24"/>
          <w:szCs w:val="24"/>
        </w:rPr>
        <w:t xml:space="preserve"> saistītas neliela apjoma aktivitātes finansēšanai, - piemēram, </w:t>
      </w:r>
      <w:r w:rsidR="00A170FB" w:rsidRPr="008E4EB0">
        <w:rPr>
          <w:rFonts w:ascii="Times New Roman" w:hAnsi="Times New Roman" w:cs="Times New Roman"/>
          <w:sz w:val="24"/>
          <w:szCs w:val="24"/>
        </w:rPr>
        <w:t xml:space="preserve">energosertifikāta </w:t>
      </w:r>
      <w:r w:rsidRPr="008E4EB0">
        <w:rPr>
          <w:rFonts w:ascii="Times New Roman" w:hAnsi="Times New Roman" w:cs="Times New Roman"/>
          <w:sz w:val="24"/>
          <w:szCs w:val="24"/>
        </w:rPr>
        <w:t xml:space="preserve">apmaksai, jumta nomaiņai vai apkures sistēmas rekonstrukcijai, - bet ne kompleksas ēkas </w:t>
      </w:r>
      <w:r w:rsidR="00CE0F55" w:rsidRPr="008E4EB0">
        <w:rPr>
          <w:rFonts w:ascii="Times New Roman" w:hAnsi="Times New Roman" w:cs="Times New Roman"/>
          <w:sz w:val="24"/>
          <w:szCs w:val="24"/>
        </w:rPr>
        <w:t>atjaunošanas</w:t>
      </w:r>
      <w:r w:rsidRPr="008E4EB0">
        <w:rPr>
          <w:rFonts w:ascii="Times New Roman" w:hAnsi="Times New Roman" w:cs="Times New Roman"/>
          <w:sz w:val="24"/>
          <w:szCs w:val="24"/>
        </w:rPr>
        <w:t xml:space="preserve"> nodrošināšanai. Tas ir saistīts ar nelielo finanšu uzkrājumu, kas veidojas ik mēnesi.  </w:t>
      </w:r>
    </w:p>
    <w:p w14:paraId="674B0D73" w14:textId="77777777" w:rsidR="007B2931" w:rsidRPr="008E4EB0" w:rsidRDefault="007B2931" w:rsidP="00150827">
      <w:pPr>
        <w:spacing w:after="0" w:line="276" w:lineRule="auto"/>
        <w:ind w:firstLine="720"/>
        <w:jc w:val="both"/>
        <w:rPr>
          <w:rFonts w:ascii="Times New Roman" w:hAnsi="Times New Roman" w:cs="Times New Roman"/>
          <w:sz w:val="24"/>
          <w:szCs w:val="24"/>
        </w:rPr>
      </w:pPr>
      <w:r w:rsidRPr="008E4EB0">
        <w:rPr>
          <w:rFonts w:ascii="Times New Roman" w:hAnsi="Times New Roman" w:cs="Times New Roman"/>
          <w:sz w:val="24"/>
          <w:szCs w:val="24"/>
        </w:rPr>
        <w:t>Atkarībā no izvēlētā finansēšanas modeļa, pašfinansējums ļauj papildus samazināt kredīta apjomu, nodrošina lielāku pārskatāmību pār līdzekļu plūsmu, kā arī atbildību par sasniedzamo rezultātu, kas ir pieejams uzreiz pēc paveiktā darba beigām.</w:t>
      </w:r>
    </w:p>
    <w:p w14:paraId="454FDD9A" w14:textId="50AEDEB8" w:rsidR="007B2931" w:rsidRPr="008E4EB0" w:rsidRDefault="007B2931" w:rsidP="007B2931">
      <w:pPr>
        <w:spacing w:after="0" w:line="276" w:lineRule="auto"/>
        <w:jc w:val="both"/>
        <w:rPr>
          <w:rFonts w:ascii="Times New Roman" w:hAnsi="Times New Roman" w:cs="Times New Roman"/>
          <w:sz w:val="24"/>
          <w:szCs w:val="24"/>
        </w:rPr>
      </w:pPr>
      <w:r w:rsidRPr="008E4EB0">
        <w:rPr>
          <w:rFonts w:ascii="Times New Roman" w:hAnsi="Times New Roman" w:cs="Times New Roman"/>
          <w:sz w:val="24"/>
          <w:szCs w:val="24"/>
        </w:rPr>
        <w:t xml:space="preserve">Vienlaikus jāatzīmē, ka uzkrājumu veidošana palielina ikmēneša maksājumu apjomu, tādēļ nav īpaši populāra, kā arī, izmantojot tikai pašu finansējumu, nozīmīgu rezultātu māju </w:t>
      </w:r>
      <w:r w:rsidR="00CE0F55" w:rsidRPr="008E4EB0">
        <w:rPr>
          <w:rFonts w:ascii="Times New Roman" w:hAnsi="Times New Roman" w:cs="Times New Roman"/>
          <w:sz w:val="24"/>
          <w:szCs w:val="24"/>
        </w:rPr>
        <w:t>atjaunošanā</w:t>
      </w:r>
      <w:r w:rsidRPr="008E4EB0">
        <w:rPr>
          <w:rFonts w:ascii="Times New Roman" w:hAnsi="Times New Roman" w:cs="Times New Roman"/>
          <w:sz w:val="24"/>
          <w:szCs w:val="24"/>
        </w:rPr>
        <w:t xml:space="preserve"> var sasniegt tikai ievērojamā laika periodā, kas samazinātu mājas dzīves ciklu. </w:t>
      </w:r>
    </w:p>
    <w:p w14:paraId="5CAE316D" w14:textId="77777777" w:rsidR="00C51027" w:rsidRPr="008E4EB0" w:rsidRDefault="00C51027" w:rsidP="00150827">
      <w:pPr>
        <w:spacing w:after="0" w:line="276" w:lineRule="auto"/>
        <w:ind w:firstLine="720"/>
        <w:jc w:val="both"/>
        <w:rPr>
          <w:rFonts w:ascii="Times New Roman" w:hAnsi="Times New Roman" w:cs="Times New Roman"/>
          <w:sz w:val="24"/>
          <w:szCs w:val="24"/>
        </w:rPr>
      </w:pPr>
    </w:p>
    <w:p w14:paraId="13D3689A" w14:textId="77777777" w:rsidR="00990903" w:rsidRPr="008E4EB0" w:rsidRDefault="00990903" w:rsidP="00D82FCF">
      <w:pPr>
        <w:pStyle w:val="apakapakvirsraksts"/>
      </w:pPr>
      <w:bookmarkStart w:id="120" w:name="_Toc480527983"/>
      <w:bookmarkStart w:id="121" w:name="_Toc491870931"/>
      <w:r w:rsidRPr="008E4EB0">
        <w:t>Valsts līdzekļi (ieskaitot Eiropas Savienības struktūrfondus un inovāciju fondus)</w:t>
      </w:r>
      <w:bookmarkEnd w:id="120"/>
      <w:bookmarkEnd w:id="121"/>
    </w:p>
    <w:p w14:paraId="0ACFC2F3" w14:textId="77777777" w:rsidR="007B2931" w:rsidRPr="008E4EB0" w:rsidRDefault="007B2931" w:rsidP="007B2931">
      <w:pPr>
        <w:spacing w:after="0" w:line="276" w:lineRule="auto"/>
        <w:jc w:val="both"/>
        <w:rPr>
          <w:rFonts w:ascii="Times New Roman" w:hAnsi="Times New Roman" w:cs="Times New Roman"/>
          <w:sz w:val="24"/>
          <w:szCs w:val="24"/>
        </w:rPr>
      </w:pPr>
    </w:p>
    <w:p w14:paraId="5B1F207A" w14:textId="5272360D" w:rsidR="007B2931" w:rsidRPr="008E4EB0" w:rsidRDefault="007B2931" w:rsidP="007B2931">
      <w:pPr>
        <w:spacing w:after="0"/>
        <w:ind w:firstLine="851"/>
        <w:jc w:val="both"/>
        <w:rPr>
          <w:rFonts w:ascii="Times New Roman" w:hAnsi="Times New Roman" w:cs="Times New Roman"/>
          <w:sz w:val="24"/>
          <w:szCs w:val="24"/>
        </w:rPr>
      </w:pPr>
      <w:r w:rsidRPr="008E4EB0">
        <w:rPr>
          <w:rFonts w:ascii="Times New Roman" w:hAnsi="Times New Roman" w:cs="Times New Roman"/>
          <w:sz w:val="24"/>
          <w:szCs w:val="24"/>
        </w:rPr>
        <w:t xml:space="preserve">Saskaņā ar Ekonomiskas ministrijas izstrādāto Ēku </w:t>
      </w:r>
      <w:r w:rsidR="00CE0F55" w:rsidRPr="008E4EB0">
        <w:rPr>
          <w:rFonts w:ascii="Times New Roman" w:hAnsi="Times New Roman" w:cs="Times New Roman"/>
          <w:sz w:val="24"/>
          <w:szCs w:val="24"/>
        </w:rPr>
        <w:t>atjaunošanas</w:t>
      </w:r>
      <w:r w:rsidRPr="008E4EB0">
        <w:rPr>
          <w:rFonts w:ascii="Times New Roman" w:hAnsi="Times New Roman" w:cs="Times New Roman"/>
          <w:sz w:val="24"/>
          <w:szCs w:val="24"/>
        </w:rPr>
        <w:t xml:space="preserve"> ilgtermiņa stratēģiju 2014. – 2020.gadam Latvijā ir apmēram 1 miljons mājokļu, no kuriem 69% atrodas daudzdzīvokļu mājās. Lielākā daļa no šīm mājām ir būvētas pirms valstiskās neatkarības atjaunošanas. Tām ir raksturīgs augsts būvkonstrukciju un inženiersistēmu nolietojums, kā arī zema siltumnoturība. Ēku (daudzdzīvokļu māju un publisko ēku) sektorā patērētā enerģija veido līdz 40% no valsts energobilances. Līdz ar to, daudzdzīvokļu māju </w:t>
      </w:r>
      <w:r w:rsidR="00CE0F55" w:rsidRPr="008E4EB0">
        <w:rPr>
          <w:rFonts w:ascii="Times New Roman" w:hAnsi="Times New Roman" w:cs="Times New Roman"/>
          <w:sz w:val="24"/>
          <w:szCs w:val="24"/>
        </w:rPr>
        <w:t>atjaunošana</w:t>
      </w:r>
      <w:r w:rsidRPr="008E4EB0">
        <w:rPr>
          <w:rFonts w:ascii="Times New Roman" w:hAnsi="Times New Roman" w:cs="Times New Roman"/>
          <w:sz w:val="24"/>
          <w:szCs w:val="24"/>
        </w:rPr>
        <w:t xml:space="preserve"> un energoefektivitātes paaugstināšana ir viens no Latvijas valsts mājokļu un enerģētikas politikas mērķiem.</w:t>
      </w:r>
    </w:p>
    <w:p w14:paraId="542DC0F6" w14:textId="379CAE81" w:rsidR="007B2931" w:rsidRPr="008E4EB0" w:rsidRDefault="007B2931" w:rsidP="007B2931">
      <w:pPr>
        <w:spacing w:after="0"/>
        <w:ind w:firstLine="851"/>
        <w:jc w:val="both"/>
        <w:rPr>
          <w:rFonts w:ascii="Times New Roman" w:hAnsi="Times New Roman" w:cs="Times New Roman"/>
          <w:sz w:val="24"/>
          <w:szCs w:val="24"/>
        </w:rPr>
      </w:pPr>
      <w:r w:rsidRPr="008E4EB0">
        <w:rPr>
          <w:rFonts w:ascii="Times New Roman" w:hAnsi="Times New Roman" w:cs="Times New Roman"/>
          <w:sz w:val="24"/>
          <w:szCs w:val="24"/>
        </w:rPr>
        <w:t xml:space="preserve">Neskatoties uz sasniegto progresu, veikto energoefektivitātes paaugstināšanas pasākumu ietekme joprojām ir salīdzinoši neliela, salīdzinot ar daudzdzīvokļu māju segmentā kopējo patērēto siltumenerģijas apjomu. Apmēram tikai 6% no Latvijas daudzdzīvokļu ēkām atbilst normatīvajos aktos noteiktajām ēku siltumtehnikas prasībām. Līdz ar to, Latvijas valsts turpina sniegt atbalstu daudzdzīvokļu māju energoefektivitātes paaugstināšanai arī 2014. – 2020.gada ES fondu plānošanas periodā. Atbalsts tiek sniegts granta un finanšu instrumenta veidā. </w:t>
      </w:r>
    </w:p>
    <w:p w14:paraId="7A5072A2" w14:textId="7A809DCC" w:rsidR="007B2931" w:rsidRPr="008E4EB0" w:rsidRDefault="007B2931" w:rsidP="007B2931">
      <w:pPr>
        <w:spacing w:after="0"/>
        <w:ind w:firstLine="851"/>
        <w:jc w:val="both"/>
        <w:rPr>
          <w:rFonts w:ascii="Times New Roman" w:hAnsi="Times New Roman" w:cs="Times New Roman"/>
          <w:sz w:val="24"/>
          <w:szCs w:val="24"/>
        </w:rPr>
      </w:pPr>
      <w:r w:rsidRPr="008E4EB0">
        <w:rPr>
          <w:rFonts w:ascii="Times New Roman" w:hAnsi="Times New Roman" w:cs="Times New Roman"/>
          <w:sz w:val="24"/>
          <w:szCs w:val="24"/>
        </w:rPr>
        <w:t xml:space="preserve">Informācija par 2014.-2020.gada ES fondu plānošanas periodā </w:t>
      </w:r>
      <w:r w:rsidR="00F13873" w:rsidRPr="008E4EB0">
        <w:rPr>
          <w:rFonts w:ascii="Times New Roman" w:hAnsi="Times New Roman" w:cs="Times New Roman"/>
          <w:sz w:val="24"/>
          <w:szCs w:val="24"/>
        </w:rPr>
        <w:t>paredzētajiem</w:t>
      </w:r>
      <w:r w:rsidRPr="008E4EB0">
        <w:rPr>
          <w:rFonts w:ascii="Times New Roman" w:hAnsi="Times New Roman" w:cs="Times New Roman"/>
          <w:sz w:val="24"/>
          <w:szCs w:val="24"/>
        </w:rPr>
        <w:t xml:space="preserve"> līdzekļiem ēku energoefektivitātes paaugstināšanai apkopota </w:t>
      </w:r>
      <w:r w:rsidR="00141E9F" w:rsidRPr="008E4EB0">
        <w:rPr>
          <w:rFonts w:ascii="Times New Roman" w:hAnsi="Times New Roman" w:cs="Times New Roman"/>
          <w:sz w:val="24"/>
          <w:szCs w:val="24"/>
        </w:rPr>
        <w:t>Stratēģijas 4.daļā</w:t>
      </w:r>
      <w:r w:rsidRPr="008E4EB0">
        <w:rPr>
          <w:rFonts w:ascii="Times New Roman" w:hAnsi="Times New Roman" w:cs="Times New Roman"/>
          <w:sz w:val="24"/>
          <w:szCs w:val="24"/>
        </w:rPr>
        <w:t>.</w:t>
      </w:r>
    </w:p>
    <w:p w14:paraId="333291F2" w14:textId="77777777" w:rsidR="00EC6B06" w:rsidRPr="008E4EB0" w:rsidRDefault="00EC6B06" w:rsidP="007B2931">
      <w:pPr>
        <w:spacing w:after="0"/>
        <w:ind w:firstLine="851"/>
        <w:jc w:val="both"/>
        <w:rPr>
          <w:rFonts w:ascii="Times New Roman" w:hAnsi="Times New Roman" w:cs="Times New Roman"/>
          <w:sz w:val="24"/>
          <w:szCs w:val="24"/>
        </w:rPr>
      </w:pPr>
    </w:p>
    <w:p w14:paraId="3060A5D3" w14:textId="77777777" w:rsidR="00990903" w:rsidRPr="008E4EB0" w:rsidRDefault="00990903" w:rsidP="00D82FCF">
      <w:pPr>
        <w:pStyle w:val="apakapakvirsraksts"/>
      </w:pPr>
      <w:bookmarkStart w:id="122" w:name="_Toc480527984"/>
      <w:bookmarkStart w:id="123" w:name="_Toc491870932"/>
      <w:r w:rsidRPr="008E4EB0">
        <w:lastRenderedPageBreak/>
        <w:t>Bankas un citi privātpersonu ieguldījuma fondi</w:t>
      </w:r>
      <w:bookmarkEnd w:id="122"/>
      <w:bookmarkEnd w:id="123"/>
    </w:p>
    <w:p w14:paraId="2546E878" w14:textId="77777777" w:rsidR="007B2931" w:rsidRPr="008E4EB0" w:rsidRDefault="007B2931" w:rsidP="007B2931">
      <w:pPr>
        <w:pStyle w:val="ListParagraph"/>
        <w:tabs>
          <w:tab w:val="left" w:pos="2127"/>
        </w:tabs>
        <w:spacing w:after="0"/>
        <w:ind w:left="0"/>
        <w:rPr>
          <w:rFonts w:ascii="Times New Roman" w:hAnsi="Times New Roman" w:cs="Times New Roman"/>
          <w:sz w:val="24"/>
          <w:szCs w:val="24"/>
        </w:rPr>
      </w:pPr>
    </w:p>
    <w:p w14:paraId="2C51065B" w14:textId="77777777" w:rsidR="007B2931" w:rsidRPr="008E4EB0" w:rsidRDefault="007B2931" w:rsidP="001E0950">
      <w:pPr>
        <w:pStyle w:val="3apakvirsraksts"/>
      </w:pPr>
      <w:bookmarkStart w:id="124" w:name="_Toc480527985"/>
      <w:bookmarkStart w:id="125" w:name="_Toc491870933"/>
      <w:r w:rsidRPr="008E4EB0">
        <w:t>Latvijas kredītiestāžu finanšu produkti</w:t>
      </w:r>
      <w:bookmarkEnd w:id="124"/>
      <w:bookmarkEnd w:id="125"/>
      <w:r w:rsidRPr="008E4EB0">
        <w:t xml:space="preserve"> </w:t>
      </w:r>
    </w:p>
    <w:p w14:paraId="3B6DA4D4" w14:textId="77777777" w:rsidR="007B2931" w:rsidRPr="008E4EB0" w:rsidRDefault="007B2931" w:rsidP="007B2931">
      <w:pPr>
        <w:pStyle w:val="ListParagraph"/>
        <w:tabs>
          <w:tab w:val="left" w:pos="2127"/>
        </w:tabs>
        <w:spacing w:after="0"/>
        <w:ind w:left="0"/>
        <w:rPr>
          <w:rFonts w:ascii="Times New Roman" w:hAnsi="Times New Roman" w:cs="Times New Roman"/>
          <w:sz w:val="24"/>
          <w:szCs w:val="24"/>
        </w:rPr>
      </w:pPr>
    </w:p>
    <w:p w14:paraId="0A4077B5" w14:textId="4F327FFF" w:rsidR="00F4589A" w:rsidRPr="008E4EB0" w:rsidRDefault="00F4589A">
      <w:pPr>
        <w:spacing w:after="0"/>
        <w:ind w:firstLine="851"/>
        <w:jc w:val="both"/>
        <w:rPr>
          <w:rFonts w:ascii="Times New Roman" w:hAnsi="Times New Roman" w:cs="Times New Roman"/>
          <w:sz w:val="24"/>
          <w:szCs w:val="24"/>
        </w:rPr>
      </w:pPr>
      <w:r w:rsidRPr="008E4EB0">
        <w:rPr>
          <w:rFonts w:ascii="Times New Roman" w:hAnsi="Times New Roman" w:cs="Times New Roman"/>
          <w:sz w:val="24"/>
          <w:szCs w:val="24"/>
        </w:rPr>
        <w:t xml:space="preserve">Investīciju daudzdzīvokļu dzīvojamās ēkas </w:t>
      </w:r>
      <w:r w:rsidR="00CE0F55" w:rsidRPr="008E4EB0">
        <w:rPr>
          <w:rFonts w:ascii="Times New Roman" w:hAnsi="Times New Roman" w:cs="Times New Roman"/>
          <w:sz w:val="24"/>
          <w:szCs w:val="24"/>
        </w:rPr>
        <w:t>atjaunošana</w:t>
      </w:r>
      <w:r w:rsidRPr="008E4EB0">
        <w:rPr>
          <w:rFonts w:ascii="Times New Roman" w:hAnsi="Times New Roman" w:cs="Times New Roman"/>
          <w:sz w:val="24"/>
          <w:szCs w:val="24"/>
        </w:rPr>
        <w:t xml:space="preserve">i kredīta izsniegšanai tiek ņemta vērā nākotnes naudas plūsma daudzdzīvokļu dzīvojamā mājā, kā arī dzīvokļu īpašnieku maksājumu par apsaimniekošanu savlaicīgums. Investīciju kredīta izsniegšanai nav nepieciešama dzīvokļu ieķīlāšana un dzīvokļa īpašnieka personīgais galvojums. Papildus </w:t>
      </w:r>
      <w:r w:rsidRPr="008E4EB0">
        <w:rPr>
          <w:rFonts w:ascii="Times New Roman" w:eastAsia="HiddenHorzOCR" w:hAnsi="Times New Roman" w:cs="Times New Roman"/>
          <w:sz w:val="24"/>
          <w:szCs w:val="24"/>
        </w:rPr>
        <w:t>jānorāda</w:t>
      </w:r>
      <w:r w:rsidRPr="008E4EB0">
        <w:rPr>
          <w:rFonts w:ascii="Times New Roman" w:hAnsi="Times New Roman" w:cs="Times New Roman"/>
          <w:sz w:val="24"/>
          <w:szCs w:val="24"/>
        </w:rPr>
        <w:t xml:space="preserve">, ka </w:t>
      </w:r>
      <w:r w:rsidRPr="008E4EB0">
        <w:rPr>
          <w:rFonts w:ascii="Times New Roman" w:eastAsia="HiddenHorzOCR" w:hAnsi="Times New Roman" w:cs="Times New Roman"/>
          <w:sz w:val="24"/>
          <w:szCs w:val="24"/>
        </w:rPr>
        <w:t xml:space="preserve">ēku </w:t>
      </w:r>
      <w:r w:rsidR="00CE0F55" w:rsidRPr="008E4EB0">
        <w:rPr>
          <w:rFonts w:ascii="Times New Roman" w:eastAsia="HiddenHorzOCR" w:hAnsi="Times New Roman" w:cs="Times New Roman"/>
          <w:sz w:val="24"/>
          <w:szCs w:val="24"/>
        </w:rPr>
        <w:t>atjaunošanas</w:t>
      </w:r>
      <w:r w:rsidRPr="008E4EB0">
        <w:rPr>
          <w:rFonts w:ascii="Times New Roman" w:eastAsia="HiddenHorzOCR" w:hAnsi="Times New Roman" w:cs="Times New Roman"/>
          <w:sz w:val="24"/>
          <w:szCs w:val="24"/>
        </w:rPr>
        <w:t xml:space="preserve"> kredīta gadījumā kā vienīgais nodrošinājums </w:t>
      </w:r>
      <w:r w:rsidRPr="008E4EB0">
        <w:rPr>
          <w:rFonts w:ascii="Times New Roman" w:hAnsi="Times New Roman" w:cs="Times New Roman"/>
          <w:sz w:val="24"/>
          <w:szCs w:val="24"/>
        </w:rPr>
        <w:t xml:space="preserve">kalpo </w:t>
      </w:r>
      <w:r w:rsidRPr="008E4EB0">
        <w:rPr>
          <w:rFonts w:ascii="Times New Roman" w:eastAsia="HiddenHorzOCR" w:hAnsi="Times New Roman" w:cs="Times New Roman"/>
          <w:sz w:val="24"/>
          <w:szCs w:val="24"/>
        </w:rPr>
        <w:t xml:space="preserve">dzīvokļu īpašnieku savlaicīgie maksājumi </w:t>
      </w:r>
      <w:r w:rsidRPr="008E4EB0">
        <w:rPr>
          <w:rFonts w:ascii="Times New Roman" w:hAnsi="Times New Roman" w:cs="Times New Roman"/>
          <w:sz w:val="24"/>
          <w:szCs w:val="24"/>
        </w:rPr>
        <w:t xml:space="preserve">par apsaimniekošanu, t. i., debitoru </w:t>
      </w:r>
      <w:r w:rsidRPr="008E4EB0">
        <w:rPr>
          <w:rFonts w:ascii="Times New Roman" w:eastAsia="HiddenHorzOCR" w:hAnsi="Times New Roman" w:cs="Times New Roman"/>
          <w:sz w:val="24"/>
          <w:szCs w:val="24"/>
        </w:rPr>
        <w:t xml:space="preserve">parādi. Līdz </w:t>
      </w:r>
      <w:r w:rsidRPr="008E4EB0">
        <w:rPr>
          <w:rFonts w:ascii="Times New Roman" w:hAnsi="Times New Roman" w:cs="Times New Roman"/>
          <w:sz w:val="24"/>
          <w:szCs w:val="24"/>
        </w:rPr>
        <w:t xml:space="preserve">ar to šie </w:t>
      </w:r>
      <w:r w:rsidRPr="008E4EB0">
        <w:rPr>
          <w:rFonts w:ascii="Times New Roman" w:eastAsia="HiddenHorzOCR" w:hAnsi="Times New Roman" w:cs="Times New Roman"/>
          <w:sz w:val="24"/>
          <w:szCs w:val="24"/>
        </w:rPr>
        <w:t xml:space="preserve">kredīti </w:t>
      </w:r>
      <w:r w:rsidRPr="008E4EB0">
        <w:rPr>
          <w:rFonts w:ascii="Times New Roman" w:hAnsi="Times New Roman" w:cs="Times New Roman"/>
          <w:sz w:val="24"/>
          <w:szCs w:val="24"/>
        </w:rPr>
        <w:t xml:space="preserve">no </w:t>
      </w:r>
      <w:r w:rsidRPr="008E4EB0">
        <w:rPr>
          <w:rFonts w:ascii="Times New Roman" w:eastAsia="HiddenHorzOCR" w:hAnsi="Times New Roman" w:cs="Times New Roman"/>
          <w:sz w:val="24"/>
          <w:szCs w:val="24"/>
        </w:rPr>
        <w:t xml:space="preserve">nodrošinājuma viedokļa </w:t>
      </w:r>
      <w:r w:rsidRPr="008E4EB0">
        <w:rPr>
          <w:rFonts w:ascii="Times New Roman" w:hAnsi="Times New Roman" w:cs="Times New Roman"/>
          <w:sz w:val="24"/>
          <w:szCs w:val="24"/>
        </w:rPr>
        <w:t xml:space="preserve">ir ar </w:t>
      </w:r>
      <w:r w:rsidRPr="008E4EB0">
        <w:rPr>
          <w:rFonts w:ascii="Times New Roman" w:eastAsia="HiddenHorzOCR" w:hAnsi="Times New Roman" w:cs="Times New Roman"/>
          <w:sz w:val="24"/>
          <w:szCs w:val="24"/>
        </w:rPr>
        <w:t xml:space="preserve">paaugstinātu kredītrisku. Tāpēc </w:t>
      </w:r>
      <w:r w:rsidRPr="008E4EB0">
        <w:rPr>
          <w:rFonts w:ascii="Times New Roman" w:hAnsi="Times New Roman" w:cs="Times New Roman"/>
          <w:sz w:val="24"/>
          <w:szCs w:val="24"/>
        </w:rPr>
        <w:t xml:space="preserve">bankas ļoti </w:t>
      </w:r>
      <w:r w:rsidRPr="008E4EB0">
        <w:rPr>
          <w:rFonts w:ascii="Times New Roman" w:eastAsia="HiddenHorzOCR" w:hAnsi="Times New Roman" w:cs="Times New Roman"/>
          <w:sz w:val="24"/>
          <w:szCs w:val="24"/>
        </w:rPr>
        <w:t xml:space="preserve">piesardzīgi izvērtē konkrētās mājas dzīvokļu </w:t>
      </w:r>
      <w:r w:rsidRPr="008E4EB0">
        <w:rPr>
          <w:rFonts w:ascii="Times New Roman" w:hAnsi="Times New Roman" w:cs="Times New Roman"/>
          <w:sz w:val="24"/>
          <w:szCs w:val="24"/>
        </w:rPr>
        <w:t xml:space="preserve">īpašnieku </w:t>
      </w:r>
      <w:r w:rsidRPr="008E4EB0">
        <w:rPr>
          <w:rFonts w:ascii="Times New Roman" w:eastAsia="HiddenHorzOCR" w:hAnsi="Times New Roman" w:cs="Times New Roman"/>
          <w:sz w:val="24"/>
          <w:szCs w:val="24"/>
        </w:rPr>
        <w:t xml:space="preserve">spēju </w:t>
      </w:r>
      <w:r w:rsidRPr="008E4EB0">
        <w:rPr>
          <w:rFonts w:ascii="Times New Roman" w:hAnsi="Times New Roman" w:cs="Times New Roman"/>
          <w:sz w:val="24"/>
          <w:szCs w:val="24"/>
        </w:rPr>
        <w:t xml:space="preserve">segt </w:t>
      </w:r>
      <w:r w:rsidR="00CE0F55" w:rsidRPr="008E4EB0">
        <w:rPr>
          <w:rFonts w:ascii="Times New Roman" w:eastAsia="HiddenHorzOCR" w:hAnsi="Times New Roman" w:cs="Times New Roman"/>
          <w:sz w:val="24"/>
          <w:szCs w:val="24"/>
        </w:rPr>
        <w:t>atjaunošanas</w:t>
      </w:r>
      <w:r w:rsidRPr="008E4EB0">
        <w:rPr>
          <w:rFonts w:ascii="Times New Roman" w:eastAsia="HiddenHorzOCR" w:hAnsi="Times New Roman" w:cs="Times New Roman"/>
          <w:sz w:val="24"/>
          <w:szCs w:val="24"/>
        </w:rPr>
        <w:t xml:space="preserve"> kredīta maksājumus ilgtermiņā, savukārt, </w:t>
      </w:r>
      <w:r w:rsidRPr="008E4EB0">
        <w:rPr>
          <w:rFonts w:ascii="Times New Roman" w:hAnsi="Times New Roman" w:cs="Times New Roman"/>
          <w:sz w:val="24"/>
          <w:szCs w:val="24"/>
        </w:rPr>
        <w:t xml:space="preserve">pateicoties ES fondu </w:t>
      </w:r>
      <w:r w:rsidRPr="008E4EB0">
        <w:rPr>
          <w:rFonts w:ascii="Times New Roman" w:eastAsia="HiddenHorzOCR" w:hAnsi="Times New Roman" w:cs="Times New Roman"/>
          <w:sz w:val="24"/>
          <w:szCs w:val="24"/>
        </w:rPr>
        <w:t xml:space="preserve">līdzfinansējumam Daudzdzīvokļu dzīvojamo māju siltumnoturības uzlabošanas aktivitātes ietvaros, ēku </w:t>
      </w:r>
      <w:r w:rsidR="00CE0F55" w:rsidRPr="008E4EB0">
        <w:rPr>
          <w:rFonts w:ascii="Times New Roman" w:eastAsia="HiddenHorzOCR" w:hAnsi="Times New Roman" w:cs="Times New Roman"/>
          <w:sz w:val="24"/>
          <w:szCs w:val="24"/>
        </w:rPr>
        <w:t>atjaunošanas</w:t>
      </w:r>
      <w:r w:rsidRPr="008E4EB0">
        <w:rPr>
          <w:rFonts w:ascii="Times New Roman" w:eastAsia="HiddenHorzOCR" w:hAnsi="Times New Roman" w:cs="Times New Roman"/>
          <w:sz w:val="24"/>
          <w:szCs w:val="24"/>
        </w:rPr>
        <w:t xml:space="preserve"> </w:t>
      </w:r>
      <w:r w:rsidRPr="008E4EB0">
        <w:rPr>
          <w:rFonts w:ascii="Times New Roman" w:hAnsi="Times New Roman" w:cs="Times New Roman"/>
          <w:sz w:val="24"/>
          <w:szCs w:val="24"/>
        </w:rPr>
        <w:t xml:space="preserve">projektu </w:t>
      </w:r>
      <w:r w:rsidRPr="008E4EB0">
        <w:rPr>
          <w:rFonts w:ascii="Times New Roman" w:eastAsia="HiddenHorzOCR" w:hAnsi="Times New Roman" w:cs="Times New Roman"/>
          <w:sz w:val="24"/>
          <w:szCs w:val="24"/>
        </w:rPr>
        <w:t xml:space="preserve">kredītrisks būtiski samazinās, </w:t>
      </w:r>
      <w:r w:rsidRPr="008E4EB0">
        <w:rPr>
          <w:rFonts w:ascii="Times New Roman" w:hAnsi="Times New Roman" w:cs="Times New Roman"/>
          <w:sz w:val="24"/>
          <w:szCs w:val="24"/>
        </w:rPr>
        <w:t xml:space="preserve">jo </w:t>
      </w:r>
      <w:r w:rsidRPr="008E4EB0">
        <w:rPr>
          <w:rFonts w:ascii="Times New Roman" w:eastAsia="HiddenHorzOCR" w:hAnsi="Times New Roman" w:cs="Times New Roman"/>
          <w:sz w:val="24"/>
          <w:szCs w:val="24"/>
        </w:rPr>
        <w:t xml:space="preserve">iedzīvotāji pēc </w:t>
      </w:r>
      <w:r w:rsidRPr="008E4EB0">
        <w:rPr>
          <w:rFonts w:ascii="Times New Roman" w:hAnsi="Times New Roman" w:cs="Times New Roman"/>
          <w:sz w:val="24"/>
          <w:szCs w:val="24"/>
        </w:rPr>
        <w:t xml:space="preserve">projekta </w:t>
      </w:r>
      <w:r w:rsidRPr="008E4EB0">
        <w:rPr>
          <w:rFonts w:ascii="Times New Roman" w:eastAsia="HiddenHorzOCR" w:hAnsi="Times New Roman" w:cs="Times New Roman"/>
          <w:sz w:val="24"/>
          <w:szCs w:val="24"/>
        </w:rPr>
        <w:t xml:space="preserve">realizācijas </w:t>
      </w:r>
      <w:r w:rsidRPr="008E4EB0">
        <w:rPr>
          <w:rFonts w:ascii="Times New Roman" w:hAnsi="Times New Roman" w:cs="Times New Roman"/>
          <w:sz w:val="24"/>
          <w:szCs w:val="24"/>
        </w:rPr>
        <w:t xml:space="preserve">var </w:t>
      </w:r>
      <w:r w:rsidRPr="008E4EB0">
        <w:rPr>
          <w:rFonts w:ascii="Times New Roman" w:eastAsia="HiddenHorzOCR" w:hAnsi="Times New Roman" w:cs="Times New Roman"/>
          <w:sz w:val="24"/>
          <w:szCs w:val="24"/>
        </w:rPr>
        <w:t xml:space="preserve">samazināt kredīta </w:t>
      </w:r>
      <w:r w:rsidRPr="008E4EB0">
        <w:rPr>
          <w:rFonts w:ascii="Times New Roman" w:hAnsi="Times New Roman" w:cs="Times New Roman"/>
          <w:sz w:val="24"/>
          <w:szCs w:val="24"/>
        </w:rPr>
        <w:t xml:space="preserve">apjomu </w:t>
      </w:r>
      <w:r w:rsidRPr="008E4EB0">
        <w:rPr>
          <w:rFonts w:ascii="Times New Roman" w:eastAsia="HiddenHorzOCR" w:hAnsi="Times New Roman" w:cs="Times New Roman"/>
          <w:sz w:val="24"/>
          <w:szCs w:val="24"/>
        </w:rPr>
        <w:t xml:space="preserve">līdz </w:t>
      </w:r>
      <w:r w:rsidRPr="008E4EB0">
        <w:rPr>
          <w:rFonts w:ascii="Times New Roman" w:hAnsi="Times New Roman" w:cs="Times New Roman"/>
          <w:sz w:val="24"/>
          <w:szCs w:val="24"/>
        </w:rPr>
        <w:t xml:space="preserve">pat 50%, </w:t>
      </w:r>
      <w:r w:rsidRPr="008E4EB0">
        <w:rPr>
          <w:rFonts w:ascii="Times New Roman" w:eastAsia="HiddenHorzOCR" w:hAnsi="Times New Roman" w:cs="Times New Roman"/>
          <w:sz w:val="24"/>
          <w:szCs w:val="24"/>
        </w:rPr>
        <w:t xml:space="preserve">kā arī saīsinās </w:t>
      </w:r>
      <w:r w:rsidRPr="008E4EB0">
        <w:rPr>
          <w:rFonts w:ascii="Times New Roman" w:hAnsi="Times New Roman" w:cs="Times New Roman"/>
          <w:sz w:val="24"/>
          <w:szCs w:val="24"/>
        </w:rPr>
        <w:t xml:space="preserve">projektu </w:t>
      </w:r>
      <w:r w:rsidRPr="008E4EB0">
        <w:rPr>
          <w:rFonts w:ascii="Times New Roman" w:eastAsia="HiddenHorzOCR" w:hAnsi="Times New Roman" w:cs="Times New Roman"/>
          <w:sz w:val="24"/>
          <w:szCs w:val="24"/>
        </w:rPr>
        <w:t xml:space="preserve">atmaksāšanās </w:t>
      </w:r>
      <w:r w:rsidRPr="008E4EB0">
        <w:rPr>
          <w:rFonts w:ascii="Times New Roman" w:hAnsi="Times New Roman" w:cs="Times New Roman"/>
          <w:sz w:val="24"/>
          <w:szCs w:val="24"/>
        </w:rPr>
        <w:t>laiks. ES fondu līdzfinansējums ļauj samazināt kredīta atmaksāšanas termiņu vidēji divas reizes.</w:t>
      </w:r>
      <w:r w:rsidR="00B33505">
        <w:rPr>
          <w:rFonts w:ascii="Times New Roman" w:hAnsi="Times New Roman" w:cs="Times New Roman"/>
          <w:sz w:val="24"/>
          <w:szCs w:val="24"/>
        </w:rPr>
        <w:t xml:space="preserve"> </w:t>
      </w:r>
      <w:r w:rsidRPr="008E4EB0">
        <w:rPr>
          <w:rFonts w:ascii="Times New Roman" w:hAnsi="Times New Roman" w:cs="Times New Roman"/>
          <w:sz w:val="24"/>
          <w:szCs w:val="24"/>
        </w:rPr>
        <w:t xml:space="preserve">Bez ES fondu </w:t>
      </w:r>
      <w:r w:rsidRPr="008E4EB0">
        <w:rPr>
          <w:rFonts w:ascii="Times New Roman" w:eastAsia="HiddenHorzOCR" w:hAnsi="Times New Roman" w:cs="Times New Roman"/>
          <w:sz w:val="24"/>
          <w:szCs w:val="24"/>
        </w:rPr>
        <w:t xml:space="preserve">līdzfinansējuma kredītu </w:t>
      </w:r>
      <w:r w:rsidRPr="008E4EB0">
        <w:rPr>
          <w:rFonts w:ascii="Times New Roman" w:hAnsi="Times New Roman" w:cs="Times New Roman"/>
          <w:sz w:val="24"/>
          <w:szCs w:val="24"/>
        </w:rPr>
        <w:t xml:space="preserve">atmaksas </w:t>
      </w:r>
      <w:r w:rsidRPr="008E4EB0">
        <w:rPr>
          <w:rFonts w:ascii="Times New Roman" w:eastAsia="HiddenHorzOCR" w:hAnsi="Times New Roman" w:cs="Times New Roman"/>
          <w:sz w:val="24"/>
          <w:szCs w:val="24"/>
        </w:rPr>
        <w:t xml:space="preserve">termiņi </w:t>
      </w:r>
      <w:r w:rsidRPr="008E4EB0">
        <w:rPr>
          <w:rFonts w:ascii="Times New Roman" w:hAnsi="Times New Roman" w:cs="Times New Roman"/>
          <w:sz w:val="24"/>
          <w:szCs w:val="24"/>
        </w:rPr>
        <w:t xml:space="preserve">var pieaugt </w:t>
      </w:r>
      <w:r w:rsidRPr="008E4EB0">
        <w:rPr>
          <w:rFonts w:ascii="Times New Roman" w:eastAsia="HiddenHorzOCR" w:hAnsi="Times New Roman" w:cs="Times New Roman"/>
          <w:sz w:val="24"/>
          <w:szCs w:val="24"/>
        </w:rPr>
        <w:t xml:space="preserve">līdz </w:t>
      </w:r>
      <w:r w:rsidR="00141E9F" w:rsidRPr="008E4EB0">
        <w:rPr>
          <w:rFonts w:ascii="Times New Roman" w:hAnsi="Times New Roman" w:cs="Times New Roman"/>
          <w:sz w:val="24"/>
          <w:szCs w:val="24"/>
        </w:rPr>
        <w:t>3</w:t>
      </w:r>
      <w:r w:rsidRPr="008E4EB0">
        <w:rPr>
          <w:rFonts w:ascii="Times New Roman" w:hAnsi="Times New Roman" w:cs="Times New Roman"/>
          <w:sz w:val="24"/>
          <w:szCs w:val="24"/>
        </w:rPr>
        <w:t xml:space="preserve">0 un pat </w:t>
      </w:r>
      <w:r w:rsidR="00141E9F" w:rsidRPr="008E4EB0">
        <w:rPr>
          <w:rFonts w:ascii="Times New Roman" w:hAnsi="Times New Roman" w:cs="Times New Roman"/>
          <w:sz w:val="24"/>
          <w:szCs w:val="24"/>
        </w:rPr>
        <w:t>4</w:t>
      </w:r>
      <w:r w:rsidRPr="008E4EB0">
        <w:rPr>
          <w:rFonts w:ascii="Times New Roman" w:hAnsi="Times New Roman" w:cs="Times New Roman"/>
          <w:sz w:val="24"/>
          <w:szCs w:val="24"/>
        </w:rPr>
        <w:t>0 gadiem.</w:t>
      </w:r>
    </w:p>
    <w:p w14:paraId="6E9A66EC" w14:textId="0B4F4A55" w:rsidR="00F4589A" w:rsidRPr="008E4EB0" w:rsidRDefault="00F4589A">
      <w:pPr>
        <w:spacing w:after="0"/>
        <w:ind w:firstLine="851"/>
        <w:jc w:val="both"/>
        <w:rPr>
          <w:rFonts w:ascii="Times New Roman" w:hAnsi="Times New Roman" w:cs="Times New Roman"/>
          <w:sz w:val="24"/>
          <w:szCs w:val="24"/>
        </w:rPr>
      </w:pPr>
      <w:r w:rsidRPr="008E4EB0">
        <w:rPr>
          <w:rFonts w:ascii="Times New Roman" w:eastAsia="HiddenHorzOCR" w:hAnsi="Times New Roman" w:cs="Times New Roman"/>
          <w:sz w:val="24"/>
          <w:szCs w:val="24"/>
        </w:rPr>
        <w:t xml:space="preserve">Svarīgi norādīt, ka ēku </w:t>
      </w:r>
      <w:r w:rsidR="00CE0F55" w:rsidRPr="008E4EB0">
        <w:rPr>
          <w:rFonts w:ascii="Times New Roman" w:eastAsia="HiddenHorzOCR" w:hAnsi="Times New Roman" w:cs="Times New Roman"/>
          <w:sz w:val="24"/>
          <w:szCs w:val="24"/>
        </w:rPr>
        <w:t>atjaunošanas</w:t>
      </w:r>
      <w:r w:rsidRPr="008E4EB0">
        <w:rPr>
          <w:rFonts w:ascii="Times New Roman" w:eastAsia="HiddenHorzOCR" w:hAnsi="Times New Roman" w:cs="Times New Roman"/>
          <w:sz w:val="24"/>
          <w:szCs w:val="24"/>
        </w:rPr>
        <w:t xml:space="preserve"> kredīts atšķiras </w:t>
      </w:r>
      <w:r w:rsidRPr="008E4EB0">
        <w:rPr>
          <w:rFonts w:ascii="Times New Roman" w:hAnsi="Times New Roman" w:cs="Times New Roman"/>
          <w:sz w:val="24"/>
          <w:szCs w:val="24"/>
        </w:rPr>
        <w:t xml:space="preserve">no standarta </w:t>
      </w:r>
      <w:r w:rsidRPr="008E4EB0">
        <w:rPr>
          <w:rFonts w:ascii="Times New Roman" w:eastAsia="HiddenHorzOCR" w:hAnsi="Times New Roman" w:cs="Times New Roman"/>
          <w:sz w:val="24"/>
          <w:szCs w:val="24"/>
        </w:rPr>
        <w:t xml:space="preserve">investīciju kredīta, </w:t>
      </w:r>
      <w:r w:rsidRPr="008E4EB0">
        <w:rPr>
          <w:rFonts w:ascii="Times New Roman" w:hAnsi="Times New Roman" w:cs="Times New Roman"/>
          <w:sz w:val="24"/>
          <w:szCs w:val="24"/>
        </w:rPr>
        <w:t xml:space="preserve">ko, </w:t>
      </w:r>
      <w:r w:rsidRPr="008E4EB0">
        <w:rPr>
          <w:rFonts w:ascii="Times New Roman" w:eastAsia="HiddenHorzOCR" w:hAnsi="Times New Roman" w:cs="Times New Roman"/>
          <w:sz w:val="24"/>
          <w:szCs w:val="24"/>
        </w:rPr>
        <w:t xml:space="preserve">piemēram, uzņēmums ņem </w:t>
      </w:r>
      <w:r w:rsidRPr="008E4EB0">
        <w:rPr>
          <w:rFonts w:ascii="Times New Roman" w:hAnsi="Times New Roman" w:cs="Times New Roman"/>
          <w:sz w:val="24"/>
          <w:szCs w:val="24"/>
        </w:rPr>
        <w:t xml:space="preserve">savu ražošanas </w:t>
      </w:r>
      <w:r w:rsidRPr="008E4EB0">
        <w:rPr>
          <w:rFonts w:ascii="Times New Roman" w:eastAsia="HiddenHorzOCR" w:hAnsi="Times New Roman" w:cs="Times New Roman"/>
          <w:sz w:val="24"/>
          <w:szCs w:val="24"/>
        </w:rPr>
        <w:t xml:space="preserve">ēku </w:t>
      </w:r>
      <w:r w:rsidRPr="008E4EB0">
        <w:rPr>
          <w:rFonts w:ascii="Times New Roman" w:hAnsi="Times New Roman" w:cs="Times New Roman"/>
          <w:sz w:val="24"/>
          <w:szCs w:val="24"/>
        </w:rPr>
        <w:t xml:space="preserve">būvniecībai vai </w:t>
      </w:r>
      <w:r w:rsidR="00CE0F55" w:rsidRPr="008E4EB0">
        <w:rPr>
          <w:rFonts w:ascii="Times New Roman" w:eastAsia="HiddenHorzOCR" w:hAnsi="Times New Roman" w:cs="Times New Roman"/>
          <w:sz w:val="24"/>
          <w:szCs w:val="24"/>
        </w:rPr>
        <w:t>atjaunošana</w:t>
      </w:r>
      <w:r w:rsidRPr="008E4EB0">
        <w:rPr>
          <w:rFonts w:ascii="Times New Roman" w:eastAsia="HiddenHorzOCR" w:hAnsi="Times New Roman" w:cs="Times New Roman"/>
          <w:sz w:val="24"/>
          <w:szCs w:val="24"/>
        </w:rPr>
        <w:t xml:space="preserve">i, ieguldījumiem </w:t>
      </w:r>
      <w:r w:rsidRPr="008E4EB0">
        <w:rPr>
          <w:rFonts w:ascii="Times New Roman" w:hAnsi="Times New Roman" w:cs="Times New Roman"/>
          <w:sz w:val="24"/>
          <w:szCs w:val="24"/>
        </w:rPr>
        <w:t xml:space="preserve">biznesa </w:t>
      </w:r>
      <w:r w:rsidRPr="008E4EB0">
        <w:rPr>
          <w:rFonts w:ascii="Times New Roman" w:eastAsia="HiddenHorzOCR" w:hAnsi="Times New Roman" w:cs="Times New Roman"/>
          <w:sz w:val="24"/>
          <w:szCs w:val="24"/>
        </w:rPr>
        <w:t xml:space="preserve">attīstībā </w:t>
      </w:r>
      <w:r w:rsidRPr="008E4EB0">
        <w:rPr>
          <w:rFonts w:ascii="Times New Roman" w:hAnsi="Times New Roman" w:cs="Times New Roman"/>
          <w:sz w:val="24"/>
          <w:szCs w:val="24"/>
        </w:rPr>
        <w:t xml:space="preserve">u. tml., kur parasti </w:t>
      </w:r>
      <w:r w:rsidRPr="008E4EB0">
        <w:rPr>
          <w:rFonts w:ascii="Times New Roman" w:eastAsia="HiddenHorzOCR" w:hAnsi="Times New Roman" w:cs="Times New Roman"/>
          <w:sz w:val="24"/>
          <w:szCs w:val="24"/>
        </w:rPr>
        <w:t xml:space="preserve">kā kredīta nodrošinājums </w:t>
      </w:r>
      <w:r w:rsidRPr="008E4EB0">
        <w:rPr>
          <w:rFonts w:ascii="Times New Roman" w:hAnsi="Times New Roman" w:cs="Times New Roman"/>
          <w:sz w:val="24"/>
          <w:szCs w:val="24"/>
        </w:rPr>
        <w:t xml:space="preserve">kalpo </w:t>
      </w:r>
      <w:r w:rsidRPr="008E4EB0">
        <w:rPr>
          <w:rFonts w:ascii="Times New Roman" w:eastAsia="HiddenHorzOCR" w:hAnsi="Times New Roman" w:cs="Times New Roman"/>
          <w:sz w:val="24"/>
          <w:szCs w:val="24"/>
        </w:rPr>
        <w:t xml:space="preserve">kredītņēmējam </w:t>
      </w:r>
      <w:r w:rsidRPr="008E4EB0">
        <w:rPr>
          <w:rFonts w:ascii="Times New Roman" w:hAnsi="Times New Roman" w:cs="Times New Roman"/>
          <w:sz w:val="24"/>
          <w:szCs w:val="24"/>
        </w:rPr>
        <w:t xml:space="preserve">piederošie </w:t>
      </w:r>
      <w:r w:rsidRPr="008E4EB0">
        <w:rPr>
          <w:rFonts w:ascii="Times New Roman" w:eastAsia="HiddenHorzOCR" w:hAnsi="Times New Roman" w:cs="Times New Roman"/>
          <w:sz w:val="24"/>
          <w:szCs w:val="24"/>
        </w:rPr>
        <w:t xml:space="preserve">aktīvi </w:t>
      </w:r>
      <w:r w:rsidRPr="008E4EB0">
        <w:rPr>
          <w:rFonts w:ascii="Times New Roman" w:hAnsi="Times New Roman" w:cs="Times New Roman"/>
          <w:sz w:val="24"/>
          <w:szCs w:val="24"/>
        </w:rPr>
        <w:t xml:space="preserve">– nekustamais </w:t>
      </w:r>
      <w:r w:rsidRPr="008E4EB0">
        <w:rPr>
          <w:rFonts w:ascii="Times New Roman" w:eastAsia="HiddenHorzOCR" w:hAnsi="Times New Roman" w:cs="Times New Roman"/>
          <w:sz w:val="24"/>
          <w:szCs w:val="24"/>
        </w:rPr>
        <w:t xml:space="preserve">īpašums, pamatlīdzekļi </w:t>
      </w:r>
      <w:r w:rsidRPr="008E4EB0">
        <w:rPr>
          <w:rFonts w:ascii="Times New Roman" w:hAnsi="Times New Roman" w:cs="Times New Roman"/>
          <w:sz w:val="24"/>
          <w:szCs w:val="24"/>
        </w:rPr>
        <w:t xml:space="preserve">u. c. </w:t>
      </w:r>
    </w:p>
    <w:p w14:paraId="73583048" w14:textId="77777777" w:rsidR="00F4589A" w:rsidRPr="008E4EB0" w:rsidRDefault="00F4589A" w:rsidP="00F4589A">
      <w:pPr>
        <w:spacing w:after="0"/>
        <w:ind w:firstLine="851"/>
        <w:jc w:val="both"/>
        <w:rPr>
          <w:rFonts w:ascii="Times New Roman" w:hAnsi="Times New Roman" w:cs="Times New Roman"/>
          <w:sz w:val="24"/>
          <w:szCs w:val="24"/>
        </w:rPr>
      </w:pPr>
      <w:r w:rsidRPr="008E4EB0">
        <w:rPr>
          <w:rFonts w:ascii="Times New Roman" w:hAnsi="Times New Roman" w:cs="Times New Roman"/>
          <w:sz w:val="24"/>
          <w:szCs w:val="24"/>
        </w:rPr>
        <w:t>Pēc banku vērtējuma, analizējot finansējamo projektu potenciālu, ir jāņem vērā Latvijas reģionālās attīstības mērķi, uzņēmējdarbības koncentrācija, nodarbinātība, arī iedzīvotāju mobilitāte (dzīves un darba vietas sasniedzamība) un attīstības centru ietekmes teritorijas.</w:t>
      </w:r>
    </w:p>
    <w:p w14:paraId="6E093C38" w14:textId="5ED3AB19" w:rsidR="00F4589A" w:rsidRPr="008E4EB0" w:rsidRDefault="00F4589A">
      <w:pPr>
        <w:spacing w:after="0"/>
        <w:ind w:firstLine="851"/>
        <w:jc w:val="both"/>
        <w:rPr>
          <w:rFonts w:ascii="Times New Roman" w:hAnsi="Times New Roman" w:cs="Times New Roman"/>
          <w:sz w:val="24"/>
          <w:szCs w:val="24"/>
        </w:rPr>
      </w:pPr>
      <w:r w:rsidRPr="008E4EB0">
        <w:rPr>
          <w:rFonts w:ascii="Times New Roman" w:hAnsi="Times New Roman" w:cs="Times New Roman"/>
          <w:sz w:val="24"/>
          <w:szCs w:val="24"/>
        </w:rPr>
        <w:t xml:space="preserve">Līdz 2009. gadam, kad tika uzsākta daudzdzīvokļu ēku energoefektīva </w:t>
      </w:r>
      <w:r w:rsidR="00CE0F55" w:rsidRPr="008E4EB0">
        <w:rPr>
          <w:rFonts w:ascii="Times New Roman" w:hAnsi="Times New Roman" w:cs="Times New Roman"/>
          <w:sz w:val="24"/>
          <w:szCs w:val="24"/>
        </w:rPr>
        <w:t>atjaunošana</w:t>
      </w:r>
      <w:r w:rsidRPr="008E4EB0">
        <w:rPr>
          <w:rFonts w:ascii="Times New Roman" w:hAnsi="Times New Roman" w:cs="Times New Roman"/>
          <w:sz w:val="24"/>
          <w:szCs w:val="24"/>
        </w:rPr>
        <w:t xml:space="preserve"> no ERAF finanšu līdzekļiem, kredītu ņemšana bankā faktiski bija vienīgais veids, izņemot individuālus ārvalstu dāvinājumus, kā nodrošināt ēku </w:t>
      </w:r>
      <w:r w:rsidR="00CE0F55" w:rsidRPr="008E4EB0">
        <w:rPr>
          <w:rFonts w:ascii="Times New Roman" w:hAnsi="Times New Roman" w:cs="Times New Roman"/>
          <w:sz w:val="24"/>
          <w:szCs w:val="24"/>
        </w:rPr>
        <w:t>atjaunošanu</w:t>
      </w:r>
      <w:r w:rsidRPr="008E4EB0">
        <w:rPr>
          <w:rFonts w:ascii="Times New Roman" w:hAnsi="Times New Roman" w:cs="Times New Roman"/>
          <w:sz w:val="24"/>
          <w:szCs w:val="24"/>
        </w:rPr>
        <w:t>.</w:t>
      </w:r>
      <w:r w:rsidRPr="008E4EB0">
        <w:rPr>
          <w:rStyle w:val="FootnoteReference"/>
          <w:rFonts w:ascii="Times New Roman" w:hAnsi="Times New Roman" w:cs="Times New Roman"/>
          <w:sz w:val="24"/>
          <w:szCs w:val="24"/>
        </w:rPr>
        <w:footnoteReference w:id="29"/>
      </w:r>
    </w:p>
    <w:p w14:paraId="785935B3" w14:textId="3389D975" w:rsidR="007B2931" w:rsidRPr="008E4EB0" w:rsidRDefault="007B2931" w:rsidP="007B2931">
      <w:pPr>
        <w:spacing w:after="0"/>
        <w:ind w:firstLine="851"/>
        <w:jc w:val="both"/>
        <w:rPr>
          <w:rFonts w:ascii="Times New Roman" w:hAnsi="Times New Roman" w:cs="Times New Roman"/>
          <w:sz w:val="24"/>
          <w:szCs w:val="24"/>
        </w:rPr>
      </w:pPr>
      <w:r w:rsidRPr="008E4EB0">
        <w:rPr>
          <w:rFonts w:ascii="Times New Roman" w:hAnsi="Times New Roman" w:cs="Times New Roman"/>
          <w:sz w:val="24"/>
          <w:szCs w:val="24"/>
        </w:rPr>
        <w:t xml:space="preserve">Daudzdzīvokļu māju </w:t>
      </w:r>
      <w:r w:rsidR="00CE0F55" w:rsidRPr="008E4EB0">
        <w:rPr>
          <w:rFonts w:ascii="Times New Roman" w:hAnsi="Times New Roman" w:cs="Times New Roman"/>
          <w:sz w:val="24"/>
          <w:szCs w:val="24"/>
        </w:rPr>
        <w:t>atjaunošanas</w:t>
      </w:r>
      <w:r w:rsidRPr="008E4EB0">
        <w:rPr>
          <w:rFonts w:ascii="Times New Roman" w:hAnsi="Times New Roman" w:cs="Times New Roman"/>
          <w:sz w:val="24"/>
          <w:szCs w:val="24"/>
        </w:rPr>
        <w:t xml:space="preserve"> un energoefektivitātes paaugstināšanas kreditēšanu Latvijā sāka 2001.gadā HIPO. Šī valsts banka izsniedza hipotekāros aizdevumus līdz 2009.gadam, kad tā pārtrauca darbību šajā tirgus segmentā sakarā ar plānoto bankas restrukturizāciju (komercaktīvu pārdošanu un AS „Attīstības finanšu institūcija” (turpmāk – AFI) izveidi). 2014.gada decembrī Altum kredītportfelī bija tikai četri daudzdzīvokļu māju </w:t>
      </w:r>
      <w:r w:rsidR="00CE0F55" w:rsidRPr="008E4EB0">
        <w:rPr>
          <w:rFonts w:ascii="Times New Roman" w:hAnsi="Times New Roman" w:cs="Times New Roman"/>
          <w:sz w:val="24"/>
          <w:szCs w:val="24"/>
        </w:rPr>
        <w:t>atjaunošanas</w:t>
      </w:r>
      <w:r w:rsidRPr="008E4EB0">
        <w:rPr>
          <w:rFonts w:ascii="Times New Roman" w:hAnsi="Times New Roman" w:cs="Times New Roman"/>
          <w:sz w:val="24"/>
          <w:szCs w:val="24"/>
        </w:rPr>
        <w:t xml:space="preserve"> aizdevumi, savukārt Mājokļu attīstības kreditēšanas programmā (hipotekārie kredīti mājokļu iegādei vai būvniecībai) 156 aizdevumi. </w:t>
      </w:r>
    </w:p>
    <w:p w14:paraId="116E0852" w14:textId="4C34143B" w:rsidR="007B2931" w:rsidRPr="008E4EB0" w:rsidRDefault="007B2931" w:rsidP="007B2931">
      <w:pPr>
        <w:spacing w:after="0"/>
        <w:ind w:firstLine="851"/>
        <w:jc w:val="both"/>
        <w:rPr>
          <w:rFonts w:ascii="Times New Roman" w:hAnsi="Times New Roman" w:cs="Times New Roman"/>
          <w:sz w:val="24"/>
          <w:szCs w:val="24"/>
        </w:rPr>
      </w:pPr>
      <w:r w:rsidRPr="008E4EB0">
        <w:rPr>
          <w:rFonts w:ascii="Times New Roman" w:hAnsi="Times New Roman" w:cs="Times New Roman"/>
          <w:sz w:val="24"/>
          <w:szCs w:val="24"/>
        </w:rPr>
        <w:t xml:space="preserve">HIPO izsniegto aizdevumu kopējās gada procentu likmes bija robežās no 5% līdz 8%, vidējais aizdevuma lielums vienai daudzdzīvokļu mājai līdz 20 000 EUR. Aizdevumi tika izsniegti minimāli nepieciešamo </w:t>
      </w:r>
      <w:r w:rsidR="00CE0F55" w:rsidRPr="008E4EB0">
        <w:rPr>
          <w:rFonts w:ascii="Times New Roman" w:hAnsi="Times New Roman" w:cs="Times New Roman"/>
          <w:sz w:val="24"/>
          <w:szCs w:val="24"/>
        </w:rPr>
        <w:t>atjaunošanas</w:t>
      </w:r>
      <w:r w:rsidRPr="008E4EB0">
        <w:rPr>
          <w:rFonts w:ascii="Times New Roman" w:hAnsi="Times New Roman" w:cs="Times New Roman"/>
          <w:sz w:val="24"/>
          <w:szCs w:val="24"/>
        </w:rPr>
        <w:t xml:space="preserve"> un energoefektivitātes </w:t>
      </w:r>
      <w:r w:rsidRPr="008E4EB0">
        <w:rPr>
          <w:rFonts w:ascii="Times New Roman" w:hAnsi="Times New Roman" w:cs="Times New Roman"/>
          <w:sz w:val="24"/>
          <w:szCs w:val="24"/>
        </w:rPr>
        <w:lastRenderedPageBreak/>
        <w:t xml:space="preserve">paaugstināšanas pasākumu īstenošanai, piemēram, logu nomaiņai un mājas fasādes remontam. </w:t>
      </w:r>
    </w:p>
    <w:p w14:paraId="4541E1AB" w14:textId="7A1E3A12" w:rsidR="007B2931" w:rsidRPr="008E4EB0" w:rsidRDefault="007B2931" w:rsidP="007B2931">
      <w:pPr>
        <w:spacing w:after="0"/>
        <w:ind w:firstLine="851"/>
        <w:jc w:val="both"/>
        <w:rPr>
          <w:rFonts w:ascii="Times New Roman" w:hAnsi="Times New Roman" w:cs="Times New Roman"/>
          <w:sz w:val="24"/>
          <w:szCs w:val="24"/>
        </w:rPr>
      </w:pPr>
      <w:r w:rsidRPr="008E4EB0">
        <w:rPr>
          <w:rFonts w:ascii="Times New Roman" w:hAnsi="Times New Roman" w:cs="Times New Roman"/>
          <w:sz w:val="24"/>
          <w:szCs w:val="24"/>
        </w:rPr>
        <w:t xml:space="preserve">Balstoties uz HIPO pieredzi, daudzdzīvokļu māju </w:t>
      </w:r>
      <w:r w:rsidR="00CE0F55" w:rsidRPr="008E4EB0">
        <w:rPr>
          <w:rFonts w:ascii="Times New Roman" w:hAnsi="Times New Roman" w:cs="Times New Roman"/>
          <w:sz w:val="24"/>
          <w:szCs w:val="24"/>
        </w:rPr>
        <w:t>atjaunošanas</w:t>
      </w:r>
      <w:r w:rsidRPr="008E4EB0">
        <w:rPr>
          <w:rFonts w:ascii="Times New Roman" w:hAnsi="Times New Roman" w:cs="Times New Roman"/>
          <w:sz w:val="24"/>
          <w:szCs w:val="24"/>
        </w:rPr>
        <w:t xml:space="preserve"> un energoefektivitātes paaugstināšanas kreditēšanu uzsāka arī citas komercbankas. 2004.gadā aizdevumu izsniegšanu uzsāka AS „Swedbank” (tolaik AS „Hansabanka”), bet 2005.gadā AS „SEB banka” (tolaik AS „SEB Unibanka”). </w:t>
      </w:r>
    </w:p>
    <w:p w14:paraId="0B7B3996" w14:textId="25711D1F" w:rsidR="007B2931" w:rsidRPr="008E4EB0" w:rsidRDefault="007B2931" w:rsidP="007B2931">
      <w:pPr>
        <w:spacing w:after="0"/>
        <w:ind w:firstLine="851"/>
        <w:jc w:val="both"/>
        <w:rPr>
          <w:rFonts w:ascii="Times New Roman" w:hAnsi="Times New Roman" w:cs="Times New Roman"/>
          <w:sz w:val="24"/>
          <w:szCs w:val="24"/>
        </w:rPr>
      </w:pPr>
      <w:r w:rsidRPr="008E4EB0">
        <w:rPr>
          <w:rFonts w:ascii="Times New Roman" w:hAnsi="Times New Roman" w:cs="Times New Roman"/>
          <w:sz w:val="24"/>
          <w:szCs w:val="24"/>
        </w:rPr>
        <w:t xml:space="preserve">Sākotnēji Latvijas kredītiestādes finansēja daudzdzīvokļu māju </w:t>
      </w:r>
      <w:r w:rsidR="00CE0F55" w:rsidRPr="008E4EB0">
        <w:rPr>
          <w:rFonts w:ascii="Times New Roman" w:hAnsi="Times New Roman" w:cs="Times New Roman"/>
          <w:sz w:val="24"/>
          <w:szCs w:val="24"/>
        </w:rPr>
        <w:t>atjaunošanas</w:t>
      </w:r>
      <w:r w:rsidRPr="008E4EB0">
        <w:rPr>
          <w:rFonts w:ascii="Times New Roman" w:hAnsi="Times New Roman" w:cs="Times New Roman"/>
          <w:sz w:val="24"/>
          <w:szCs w:val="24"/>
        </w:rPr>
        <w:t xml:space="preserve"> projektus bez valsts finansiāla atbalsta, tāpēc izsniegto aizdevumu apjoms vidēji vienai mājai bija neliels. Piemēram, AS „Swedbank” izsniegto aizdevumu vidējais apjoms uz vienu projektu 2005.gadā bija apmēram 49 000 EUR, bet 2014.gadā apmēram 192 000 EUR, jeb 4 reizes vairāk. </w:t>
      </w:r>
    </w:p>
    <w:p w14:paraId="115CE884" w14:textId="77777777" w:rsidR="007B2931" w:rsidRPr="008E4EB0" w:rsidRDefault="007B2931" w:rsidP="007B2931">
      <w:pPr>
        <w:spacing w:after="0"/>
        <w:ind w:firstLine="851"/>
        <w:jc w:val="both"/>
        <w:rPr>
          <w:rFonts w:ascii="Times New Roman" w:hAnsi="Times New Roman" w:cs="Times New Roman"/>
          <w:sz w:val="24"/>
          <w:szCs w:val="24"/>
        </w:rPr>
      </w:pPr>
      <w:r w:rsidRPr="008E4EB0">
        <w:rPr>
          <w:rFonts w:ascii="Times New Roman" w:hAnsi="Times New Roman" w:cs="Times New Roman"/>
          <w:sz w:val="24"/>
          <w:szCs w:val="24"/>
        </w:rPr>
        <w:t xml:space="preserve">Kredītiestādes aktīvi iesaistījās daudzdzīvokļu māju kreditēšanas tirgū, sākot no 2011.gada, kad bija pieejams finansējums daudzdzīvokļu māju siltumnoturības paaugstināšanas pasākumiem 3.4.4.1.aktivitātes ietvaros. </w:t>
      </w:r>
    </w:p>
    <w:p w14:paraId="3450CC32" w14:textId="5364969E" w:rsidR="007B2931" w:rsidRPr="008E4EB0" w:rsidRDefault="007B2931" w:rsidP="007B2931">
      <w:pPr>
        <w:spacing w:after="0"/>
        <w:ind w:firstLine="851"/>
        <w:jc w:val="both"/>
        <w:rPr>
          <w:rFonts w:ascii="Times New Roman" w:hAnsi="Times New Roman" w:cs="Times New Roman"/>
          <w:sz w:val="24"/>
          <w:szCs w:val="24"/>
        </w:rPr>
      </w:pPr>
      <w:r w:rsidRPr="008E4EB0">
        <w:rPr>
          <w:rFonts w:ascii="Times New Roman" w:hAnsi="Times New Roman" w:cs="Times New Roman"/>
          <w:sz w:val="24"/>
          <w:szCs w:val="24"/>
        </w:rPr>
        <w:t xml:space="preserve">Aizdevumus daudzdzīvokļu māju </w:t>
      </w:r>
      <w:r w:rsidR="00CE0F55" w:rsidRPr="008E4EB0">
        <w:rPr>
          <w:rFonts w:ascii="Times New Roman" w:hAnsi="Times New Roman" w:cs="Times New Roman"/>
          <w:sz w:val="24"/>
          <w:szCs w:val="24"/>
        </w:rPr>
        <w:t>atjaunošanai</w:t>
      </w:r>
      <w:r w:rsidRPr="008E4EB0">
        <w:rPr>
          <w:rFonts w:ascii="Times New Roman" w:hAnsi="Times New Roman" w:cs="Times New Roman"/>
          <w:sz w:val="24"/>
          <w:szCs w:val="24"/>
        </w:rPr>
        <w:t xml:space="preserve"> izsniedz AS „Swedbank“, AS „SEB Banka“, AS „DNB banka“, AS „Citadele banka“ un „Nordea Bank AB” Latvijas filiāle. Aktīvākie tirgus dalībnieki ir AS „SEB Banka“ un AS „Swedbank“, kuriem ir izstrādāti daudzdzīvokļu māju </w:t>
      </w:r>
      <w:r w:rsidR="00CE0F55" w:rsidRPr="008E4EB0">
        <w:rPr>
          <w:rFonts w:ascii="Times New Roman" w:hAnsi="Times New Roman" w:cs="Times New Roman"/>
          <w:sz w:val="24"/>
          <w:szCs w:val="24"/>
        </w:rPr>
        <w:t>atjaunošanas</w:t>
      </w:r>
      <w:r w:rsidRPr="008E4EB0">
        <w:rPr>
          <w:rFonts w:ascii="Times New Roman" w:hAnsi="Times New Roman" w:cs="Times New Roman"/>
          <w:sz w:val="24"/>
          <w:szCs w:val="24"/>
        </w:rPr>
        <w:t xml:space="preserve"> kredītportfeļi. Vislielākais kredītportfelis ir AS „SEB Banka“. Vēl salīdzinoši aktīvi darbojas AS „DNB banka“. Savukārt pārējās kredītiestādes piedalās daudzdzīvokļu māju kreditēšanā salīdzinoši selektīvi, veicot pilotprojektu pārbaudi, un daudzdzīvokļu māju intensīva kreditēšana neietilpst to stratēģiskās attīstības plānos. </w:t>
      </w:r>
    </w:p>
    <w:p w14:paraId="1AB67581" w14:textId="0C888216" w:rsidR="007B2931" w:rsidRPr="008E4EB0" w:rsidRDefault="007B2931" w:rsidP="007B2931">
      <w:pPr>
        <w:spacing w:after="0"/>
        <w:ind w:firstLine="851"/>
        <w:jc w:val="both"/>
        <w:rPr>
          <w:rFonts w:ascii="Times New Roman" w:hAnsi="Times New Roman" w:cs="Times New Roman"/>
          <w:sz w:val="24"/>
          <w:szCs w:val="24"/>
        </w:rPr>
      </w:pPr>
      <w:r w:rsidRPr="008E4EB0">
        <w:rPr>
          <w:rFonts w:ascii="Times New Roman" w:hAnsi="Times New Roman" w:cs="Times New Roman"/>
          <w:sz w:val="24"/>
          <w:szCs w:val="24"/>
        </w:rPr>
        <w:t xml:space="preserve">Zemāk </w:t>
      </w:r>
      <w:r w:rsidR="00F749EA" w:rsidRPr="008E4EB0">
        <w:rPr>
          <w:rFonts w:ascii="Times New Roman" w:hAnsi="Times New Roman" w:cs="Times New Roman"/>
          <w:sz w:val="24"/>
          <w:szCs w:val="24"/>
        </w:rPr>
        <w:t>2</w:t>
      </w:r>
      <w:r w:rsidR="00F749EA">
        <w:rPr>
          <w:rFonts w:ascii="Times New Roman" w:hAnsi="Times New Roman" w:cs="Times New Roman"/>
          <w:sz w:val="24"/>
          <w:szCs w:val="24"/>
        </w:rPr>
        <w:t>2</w:t>
      </w:r>
      <w:r w:rsidRPr="008E4EB0">
        <w:rPr>
          <w:rFonts w:ascii="Times New Roman" w:hAnsi="Times New Roman" w:cs="Times New Roman"/>
          <w:sz w:val="24"/>
          <w:szCs w:val="24"/>
        </w:rPr>
        <w:t xml:space="preserve">.tabulā ir dota </w:t>
      </w:r>
      <w:r w:rsidR="00B53E03" w:rsidRPr="008E4EB0">
        <w:rPr>
          <w:rFonts w:ascii="Times New Roman" w:hAnsi="Times New Roman" w:cs="Times New Roman"/>
          <w:sz w:val="24"/>
          <w:szCs w:val="24"/>
        </w:rPr>
        <w:t xml:space="preserve">Daudzdzīvokļu māju energoefektivitātes paaugstināšanas finanšu pieejamības </w:t>
      </w:r>
      <w:r w:rsidR="00B53E03" w:rsidRPr="008E4EB0">
        <w:rPr>
          <w:rFonts w:ascii="Times New Roman" w:hAnsi="Times New Roman" w:cs="Times New Roman"/>
          <w:i/>
          <w:sz w:val="24"/>
          <w:szCs w:val="24"/>
        </w:rPr>
        <w:t>Ex ante</w:t>
      </w:r>
      <w:r w:rsidR="00B53E03" w:rsidRPr="008E4EB0">
        <w:rPr>
          <w:rFonts w:ascii="Times New Roman" w:hAnsi="Times New Roman" w:cs="Times New Roman"/>
          <w:sz w:val="24"/>
          <w:szCs w:val="24"/>
        </w:rPr>
        <w:t xml:space="preserve"> izvērtējuma</w:t>
      </w:r>
      <w:r w:rsidR="00F4589A" w:rsidRPr="008E4EB0">
        <w:rPr>
          <w:rStyle w:val="FootnoteReference"/>
          <w:rFonts w:ascii="Times New Roman" w:hAnsi="Times New Roman" w:cs="Times New Roman"/>
          <w:sz w:val="24"/>
          <w:szCs w:val="24"/>
        </w:rPr>
        <w:footnoteReference w:id="30"/>
      </w:r>
      <w:r w:rsidR="00B53E03" w:rsidRPr="008E4EB0">
        <w:rPr>
          <w:rFonts w:ascii="Times New Roman" w:hAnsi="Times New Roman" w:cs="Times New Roman"/>
          <w:sz w:val="24"/>
          <w:szCs w:val="24"/>
        </w:rPr>
        <w:t xml:space="preserve"> </w:t>
      </w:r>
      <w:r w:rsidR="00F4589A" w:rsidRPr="008E4EB0">
        <w:rPr>
          <w:rFonts w:ascii="Times New Roman" w:hAnsi="Times New Roman" w:cs="Times New Roman"/>
          <w:sz w:val="24"/>
          <w:szCs w:val="24"/>
        </w:rPr>
        <w:t xml:space="preserve">(turpmāk – Izvērtējums) </w:t>
      </w:r>
      <w:r w:rsidR="00B53E03" w:rsidRPr="008E4EB0">
        <w:rPr>
          <w:rFonts w:ascii="Times New Roman" w:hAnsi="Times New Roman" w:cs="Times New Roman"/>
          <w:sz w:val="24"/>
          <w:szCs w:val="24"/>
        </w:rPr>
        <w:t>a</w:t>
      </w:r>
      <w:r w:rsidRPr="008E4EB0">
        <w:rPr>
          <w:rFonts w:ascii="Times New Roman" w:hAnsi="Times New Roman" w:cs="Times New Roman"/>
          <w:sz w:val="24"/>
          <w:szCs w:val="24"/>
        </w:rPr>
        <w:t>utoru</w:t>
      </w:r>
      <w:r w:rsidR="00F4589A" w:rsidRPr="008E4EB0">
        <w:rPr>
          <w:rFonts w:ascii="Times New Roman" w:hAnsi="Times New Roman" w:cs="Times New Roman"/>
          <w:sz w:val="24"/>
          <w:szCs w:val="24"/>
        </w:rPr>
        <w:t xml:space="preserve"> (Altum, EM)</w:t>
      </w:r>
      <w:r w:rsidRPr="008E4EB0">
        <w:rPr>
          <w:rFonts w:ascii="Times New Roman" w:hAnsi="Times New Roman" w:cs="Times New Roman"/>
          <w:sz w:val="24"/>
          <w:szCs w:val="24"/>
        </w:rPr>
        <w:t xml:space="preserve"> rīcībā esošā informācija ar Latvijas kredītiestāžu izsniegtajiem aizdevumiem daudzdzīvokļu māju </w:t>
      </w:r>
      <w:r w:rsidR="00CE0F55" w:rsidRPr="008E4EB0">
        <w:rPr>
          <w:rFonts w:ascii="Times New Roman" w:hAnsi="Times New Roman" w:cs="Times New Roman"/>
          <w:sz w:val="24"/>
          <w:szCs w:val="24"/>
        </w:rPr>
        <w:t>atjaunošanai</w:t>
      </w:r>
      <w:r w:rsidRPr="008E4EB0">
        <w:rPr>
          <w:rFonts w:ascii="Times New Roman" w:hAnsi="Times New Roman" w:cs="Times New Roman"/>
          <w:sz w:val="24"/>
          <w:szCs w:val="24"/>
        </w:rPr>
        <w:t xml:space="preserve"> līdz 2015.gadam. </w:t>
      </w:r>
    </w:p>
    <w:p w14:paraId="64C69972" w14:textId="77777777" w:rsidR="007B2931" w:rsidRPr="008E4EB0" w:rsidRDefault="007B2931" w:rsidP="007B2931">
      <w:pPr>
        <w:spacing w:after="0"/>
        <w:ind w:firstLine="851"/>
        <w:jc w:val="both"/>
        <w:rPr>
          <w:rFonts w:ascii="Times New Roman" w:hAnsi="Times New Roman" w:cs="Times New Roman"/>
          <w:sz w:val="24"/>
          <w:szCs w:val="24"/>
        </w:rPr>
      </w:pPr>
      <w:r w:rsidRPr="008E4EB0">
        <w:rPr>
          <w:rFonts w:ascii="Times New Roman" w:hAnsi="Times New Roman" w:cs="Times New Roman"/>
          <w:sz w:val="24"/>
          <w:szCs w:val="24"/>
        </w:rPr>
        <w:t xml:space="preserve">Latvijas Komercbanku asociācija neapkopo statistiku par kredītiestāžu darbību daudzdzīvokļu māju kreditēšanas jomā. Arī LIAA nav pieejama šāda informācija par 2007. – 2013.gada ES fondu plānošanas periodu, jo grantu un aizdevumu izsniegšanas process ir savstarpēji nodalīts. Atbilstoši LGA sniegtajai informācijai 2014.gadā LGA izsniedza 96 aizdevumu garantijas trim kredītiestādēm daudzdzīvokļu māju kreditēšanai ar aizdevumu gada vidējo procentu likmi 4,45% (fiksētā likme + EURIBOR 3 vai 6 mēnešu mainīgā likme). </w:t>
      </w:r>
    </w:p>
    <w:p w14:paraId="31F9A479" w14:textId="77777777" w:rsidR="007B2931" w:rsidRPr="008E4EB0" w:rsidRDefault="007B2931" w:rsidP="007B2931">
      <w:pPr>
        <w:spacing w:after="0"/>
        <w:ind w:firstLine="851"/>
        <w:jc w:val="both"/>
        <w:rPr>
          <w:rFonts w:ascii="Times New Roman" w:hAnsi="Times New Roman" w:cs="Times New Roman"/>
          <w:sz w:val="24"/>
          <w:szCs w:val="24"/>
        </w:rPr>
      </w:pPr>
    </w:p>
    <w:p w14:paraId="51278BAD" w14:textId="6BF346A7" w:rsidR="007B2931" w:rsidRPr="008E4EB0" w:rsidRDefault="00F749EA" w:rsidP="007B2931">
      <w:pPr>
        <w:spacing w:after="0"/>
        <w:ind w:firstLine="851"/>
        <w:jc w:val="both"/>
        <w:rPr>
          <w:rFonts w:ascii="Times New Roman" w:hAnsi="Times New Roman" w:cs="Times New Roman"/>
          <w:sz w:val="24"/>
          <w:szCs w:val="24"/>
        </w:rPr>
      </w:pPr>
      <w:r w:rsidRPr="008E4EB0">
        <w:rPr>
          <w:rFonts w:ascii="Times New Roman" w:hAnsi="Times New Roman" w:cs="Times New Roman"/>
          <w:sz w:val="24"/>
          <w:szCs w:val="24"/>
        </w:rPr>
        <w:t>2</w:t>
      </w:r>
      <w:r>
        <w:rPr>
          <w:rFonts w:ascii="Times New Roman" w:hAnsi="Times New Roman" w:cs="Times New Roman"/>
          <w:sz w:val="24"/>
          <w:szCs w:val="24"/>
        </w:rPr>
        <w:t>2</w:t>
      </w:r>
      <w:r w:rsidR="007B2931" w:rsidRPr="008E4EB0">
        <w:rPr>
          <w:rFonts w:ascii="Times New Roman" w:hAnsi="Times New Roman" w:cs="Times New Roman"/>
          <w:sz w:val="24"/>
          <w:szCs w:val="24"/>
        </w:rPr>
        <w:t xml:space="preserve">.tabula. Informācija par Latvijas kredītiestāžu izsniegtajiem aizdevumiem daudzdzīvokļu māju </w:t>
      </w:r>
      <w:r w:rsidR="00CE0F55" w:rsidRPr="008E4EB0">
        <w:rPr>
          <w:rFonts w:ascii="Times New Roman" w:hAnsi="Times New Roman" w:cs="Times New Roman"/>
          <w:sz w:val="24"/>
          <w:szCs w:val="24"/>
        </w:rPr>
        <w:t>atjaunošana</w:t>
      </w:r>
      <w:r w:rsidR="007B2931" w:rsidRPr="008E4EB0">
        <w:rPr>
          <w:rFonts w:ascii="Times New Roman" w:hAnsi="Times New Roman" w:cs="Times New Roman"/>
          <w:sz w:val="24"/>
          <w:szCs w:val="24"/>
        </w:rPr>
        <w:t>i</w:t>
      </w:r>
    </w:p>
    <w:tbl>
      <w:tblPr>
        <w:tblStyle w:val="TableGrid"/>
        <w:tblW w:w="0" w:type="auto"/>
        <w:tblLook w:val="04A0" w:firstRow="1" w:lastRow="0" w:firstColumn="1" w:lastColumn="0" w:noHBand="0" w:noVBand="1"/>
      </w:tblPr>
      <w:tblGrid>
        <w:gridCol w:w="1743"/>
        <w:gridCol w:w="1487"/>
        <w:gridCol w:w="1649"/>
        <w:gridCol w:w="1619"/>
        <w:gridCol w:w="1798"/>
      </w:tblGrid>
      <w:tr w:rsidR="007B2931" w:rsidRPr="008E4EB0" w14:paraId="17A52B15" w14:textId="77777777" w:rsidTr="00B744FC">
        <w:tc>
          <w:tcPr>
            <w:tcW w:w="1857" w:type="dxa"/>
          </w:tcPr>
          <w:p w14:paraId="75263DE4" w14:textId="77777777" w:rsidR="007B2931" w:rsidRPr="008E4EB0" w:rsidRDefault="007B2931" w:rsidP="00141E9F">
            <w:pPr>
              <w:jc w:val="center"/>
              <w:rPr>
                <w:rFonts w:ascii="Times New Roman" w:hAnsi="Times New Roman" w:cs="Times New Roman"/>
                <w:b/>
                <w:sz w:val="24"/>
                <w:szCs w:val="24"/>
              </w:rPr>
            </w:pPr>
            <w:r w:rsidRPr="008E4EB0">
              <w:rPr>
                <w:rFonts w:ascii="Times New Roman" w:hAnsi="Times New Roman" w:cs="Times New Roman"/>
                <w:b/>
                <w:sz w:val="24"/>
                <w:szCs w:val="24"/>
              </w:rPr>
              <w:t>Kredītiestāde</w:t>
            </w:r>
          </w:p>
        </w:tc>
        <w:tc>
          <w:tcPr>
            <w:tcW w:w="1857" w:type="dxa"/>
          </w:tcPr>
          <w:p w14:paraId="5721500F" w14:textId="77777777" w:rsidR="007B2931" w:rsidRPr="008E4EB0" w:rsidRDefault="007B2931" w:rsidP="00141E9F">
            <w:pPr>
              <w:jc w:val="center"/>
              <w:rPr>
                <w:rFonts w:ascii="Times New Roman" w:hAnsi="Times New Roman" w:cs="Times New Roman"/>
                <w:b/>
                <w:sz w:val="24"/>
                <w:szCs w:val="24"/>
              </w:rPr>
            </w:pPr>
            <w:r w:rsidRPr="008E4EB0">
              <w:rPr>
                <w:rFonts w:ascii="Times New Roman" w:hAnsi="Times New Roman" w:cs="Times New Roman"/>
                <w:b/>
                <w:sz w:val="24"/>
                <w:szCs w:val="24"/>
              </w:rPr>
              <w:t>Līgumu skaits 2005.- 2014.g.</w:t>
            </w:r>
          </w:p>
        </w:tc>
        <w:tc>
          <w:tcPr>
            <w:tcW w:w="1858" w:type="dxa"/>
          </w:tcPr>
          <w:p w14:paraId="34092F95" w14:textId="77777777" w:rsidR="007B2931" w:rsidRPr="008E4EB0" w:rsidRDefault="007B2931" w:rsidP="00141E9F">
            <w:pPr>
              <w:jc w:val="center"/>
              <w:rPr>
                <w:rFonts w:ascii="Times New Roman" w:hAnsi="Times New Roman" w:cs="Times New Roman"/>
                <w:b/>
                <w:sz w:val="24"/>
                <w:szCs w:val="24"/>
              </w:rPr>
            </w:pPr>
            <w:r w:rsidRPr="008E4EB0">
              <w:rPr>
                <w:rFonts w:ascii="Times New Roman" w:hAnsi="Times New Roman" w:cs="Times New Roman"/>
                <w:b/>
                <w:sz w:val="24"/>
                <w:szCs w:val="24"/>
              </w:rPr>
              <w:t>Aizdevumu gada procentu likmes</w:t>
            </w:r>
          </w:p>
        </w:tc>
        <w:tc>
          <w:tcPr>
            <w:tcW w:w="1858" w:type="dxa"/>
          </w:tcPr>
          <w:p w14:paraId="5F7342B1" w14:textId="77777777" w:rsidR="007B2931" w:rsidRPr="008E4EB0" w:rsidRDefault="007B2931" w:rsidP="00141E9F">
            <w:pPr>
              <w:jc w:val="center"/>
              <w:rPr>
                <w:rFonts w:ascii="Times New Roman" w:hAnsi="Times New Roman" w:cs="Times New Roman"/>
                <w:b/>
                <w:sz w:val="24"/>
                <w:szCs w:val="24"/>
              </w:rPr>
            </w:pPr>
            <w:r w:rsidRPr="008E4EB0">
              <w:rPr>
                <w:rFonts w:ascii="Times New Roman" w:hAnsi="Times New Roman" w:cs="Times New Roman"/>
                <w:b/>
                <w:sz w:val="24"/>
                <w:szCs w:val="24"/>
              </w:rPr>
              <w:t>Vidējais aizdevuma apjoms uz projektu (EUR)</w:t>
            </w:r>
          </w:p>
        </w:tc>
        <w:tc>
          <w:tcPr>
            <w:tcW w:w="1858" w:type="dxa"/>
          </w:tcPr>
          <w:p w14:paraId="63D258CA" w14:textId="77777777" w:rsidR="007B2931" w:rsidRPr="008E4EB0" w:rsidRDefault="007B2931" w:rsidP="00141E9F">
            <w:pPr>
              <w:jc w:val="center"/>
              <w:rPr>
                <w:rFonts w:ascii="Times New Roman" w:hAnsi="Times New Roman" w:cs="Times New Roman"/>
                <w:b/>
                <w:sz w:val="24"/>
                <w:szCs w:val="24"/>
              </w:rPr>
            </w:pPr>
            <w:r w:rsidRPr="008E4EB0">
              <w:rPr>
                <w:rFonts w:ascii="Times New Roman" w:hAnsi="Times New Roman" w:cs="Times New Roman"/>
                <w:b/>
                <w:sz w:val="24"/>
                <w:szCs w:val="24"/>
              </w:rPr>
              <w:t>Pamatsummas atmaksas vidējais periods</w:t>
            </w:r>
          </w:p>
        </w:tc>
      </w:tr>
      <w:tr w:rsidR="007B2931" w:rsidRPr="008E4EB0" w14:paraId="02E89140" w14:textId="77777777" w:rsidTr="00B744FC">
        <w:tc>
          <w:tcPr>
            <w:tcW w:w="1857" w:type="dxa"/>
          </w:tcPr>
          <w:p w14:paraId="3672751C" w14:textId="77777777" w:rsidR="007B2931" w:rsidRPr="008E4EB0" w:rsidRDefault="007B2931" w:rsidP="00141E9F">
            <w:pPr>
              <w:jc w:val="center"/>
              <w:rPr>
                <w:rFonts w:ascii="Times New Roman" w:hAnsi="Times New Roman" w:cs="Times New Roman"/>
                <w:sz w:val="24"/>
                <w:szCs w:val="24"/>
              </w:rPr>
            </w:pPr>
            <w:r w:rsidRPr="008E4EB0">
              <w:rPr>
                <w:rFonts w:ascii="Times New Roman" w:hAnsi="Times New Roman" w:cs="Times New Roman"/>
                <w:sz w:val="24"/>
                <w:szCs w:val="24"/>
              </w:rPr>
              <w:t>AS „SEB Banka”</w:t>
            </w:r>
          </w:p>
        </w:tc>
        <w:tc>
          <w:tcPr>
            <w:tcW w:w="1857" w:type="dxa"/>
          </w:tcPr>
          <w:p w14:paraId="60037AA7" w14:textId="77777777" w:rsidR="007B2931" w:rsidRPr="008E4EB0" w:rsidRDefault="007B2931" w:rsidP="00141E9F">
            <w:pPr>
              <w:jc w:val="center"/>
              <w:rPr>
                <w:rFonts w:ascii="Times New Roman" w:hAnsi="Times New Roman" w:cs="Times New Roman"/>
                <w:sz w:val="24"/>
                <w:szCs w:val="24"/>
              </w:rPr>
            </w:pPr>
            <w:r w:rsidRPr="008E4EB0">
              <w:rPr>
                <w:rFonts w:ascii="Times New Roman" w:hAnsi="Times New Roman" w:cs="Times New Roman"/>
                <w:sz w:val="24"/>
                <w:szCs w:val="24"/>
              </w:rPr>
              <w:t>n.p.</w:t>
            </w:r>
          </w:p>
        </w:tc>
        <w:tc>
          <w:tcPr>
            <w:tcW w:w="1858" w:type="dxa"/>
          </w:tcPr>
          <w:p w14:paraId="00853D73" w14:textId="77777777" w:rsidR="007B2931" w:rsidRPr="008E4EB0" w:rsidRDefault="007B2931" w:rsidP="00141E9F">
            <w:pPr>
              <w:jc w:val="center"/>
              <w:rPr>
                <w:rFonts w:ascii="Times New Roman" w:hAnsi="Times New Roman" w:cs="Times New Roman"/>
                <w:sz w:val="24"/>
                <w:szCs w:val="24"/>
              </w:rPr>
            </w:pPr>
            <w:r w:rsidRPr="008E4EB0">
              <w:rPr>
                <w:rFonts w:ascii="Times New Roman" w:hAnsi="Times New Roman" w:cs="Times New Roman"/>
                <w:sz w:val="24"/>
                <w:szCs w:val="24"/>
              </w:rPr>
              <w:t>n.p.</w:t>
            </w:r>
          </w:p>
        </w:tc>
        <w:tc>
          <w:tcPr>
            <w:tcW w:w="1858" w:type="dxa"/>
          </w:tcPr>
          <w:p w14:paraId="12932405" w14:textId="77777777" w:rsidR="007B2931" w:rsidRPr="008E4EB0" w:rsidRDefault="007B2931" w:rsidP="00141E9F">
            <w:pPr>
              <w:jc w:val="center"/>
              <w:rPr>
                <w:rFonts w:ascii="Times New Roman" w:hAnsi="Times New Roman" w:cs="Times New Roman"/>
                <w:sz w:val="24"/>
                <w:szCs w:val="24"/>
              </w:rPr>
            </w:pPr>
            <w:r w:rsidRPr="008E4EB0">
              <w:rPr>
                <w:rFonts w:ascii="Times New Roman" w:hAnsi="Times New Roman" w:cs="Times New Roman"/>
                <w:sz w:val="24"/>
                <w:szCs w:val="24"/>
              </w:rPr>
              <w:t>n.p.</w:t>
            </w:r>
          </w:p>
        </w:tc>
        <w:tc>
          <w:tcPr>
            <w:tcW w:w="1858" w:type="dxa"/>
          </w:tcPr>
          <w:p w14:paraId="31D992FC" w14:textId="77777777" w:rsidR="007B2931" w:rsidRPr="008E4EB0" w:rsidRDefault="007B2931" w:rsidP="00141E9F">
            <w:pPr>
              <w:jc w:val="center"/>
              <w:rPr>
                <w:rFonts w:ascii="Times New Roman" w:hAnsi="Times New Roman" w:cs="Times New Roman"/>
                <w:sz w:val="24"/>
                <w:szCs w:val="24"/>
              </w:rPr>
            </w:pPr>
            <w:r w:rsidRPr="008E4EB0">
              <w:rPr>
                <w:rFonts w:ascii="Times New Roman" w:hAnsi="Times New Roman" w:cs="Times New Roman"/>
                <w:sz w:val="24"/>
                <w:szCs w:val="24"/>
              </w:rPr>
              <w:t>n.p.</w:t>
            </w:r>
          </w:p>
        </w:tc>
      </w:tr>
      <w:tr w:rsidR="007B2931" w:rsidRPr="008E4EB0" w14:paraId="01E7FC94" w14:textId="77777777" w:rsidTr="00B744FC">
        <w:tc>
          <w:tcPr>
            <w:tcW w:w="1857" w:type="dxa"/>
          </w:tcPr>
          <w:p w14:paraId="2F18E8DB" w14:textId="77777777" w:rsidR="007B2931" w:rsidRPr="008E4EB0" w:rsidRDefault="007B2931" w:rsidP="00141E9F">
            <w:pPr>
              <w:jc w:val="center"/>
              <w:rPr>
                <w:rFonts w:ascii="Times New Roman" w:hAnsi="Times New Roman" w:cs="Times New Roman"/>
                <w:sz w:val="24"/>
                <w:szCs w:val="24"/>
              </w:rPr>
            </w:pPr>
            <w:r w:rsidRPr="008E4EB0">
              <w:rPr>
                <w:rFonts w:ascii="Times New Roman" w:hAnsi="Times New Roman" w:cs="Times New Roman"/>
                <w:sz w:val="24"/>
                <w:szCs w:val="24"/>
              </w:rPr>
              <w:lastRenderedPageBreak/>
              <w:t>AS „Swedbank”</w:t>
            </w:r>
          </w:p>
        </w:tc>
        <w:tc>
          <w:tcPr>
            <w:tcW w:w="1857" w:type="dxa"/>
          </w:tcPr>
          <w:p w14:paraId="69A9D5EA" w14:textId="77777777" w:rsidR="007B2931" w:rsidRPr="008E4EB0" w:rsidRDefault="007B2931" w:rsidP="00141E9F">
            <w:pPr>
              <w:jc w:val="center"/>
              <w:rPr>
                <w:rFonts w:ascii="Times New Roman" w:hAnsi="Times New Roman" w:cs="Times New Roman"/>
                <w:sz w:val="24"/>
                <w:szCs w:val="24"/>
              </w:rPr>
            </w:pPr>
            <w:r w:rsidRPr="008E4EB0">
              <w:rPr>
                <w:rFonts w:ascii="Times New Roman" w:hAnsi="Times New Roman" w:cs="Times New Roman"/>
                <w:sz w:val="24"/>
                <w:szCs w:val="24"/>
              </w:rPr>
              <w:t>302</w:t>
            </w:r>
          </w:p>
        </w:tc>
        <w:tc>
          <w:tcPr>
            <w:tcW w:w="1858" w:type="dxa"/>
          </w:tcPr>
          <w:p w14:paraId="33805B9F" w14:textId="77777777" w:rsidR="007B2931" w:rsidRPr="008E4EB0" w:rsidRDefault="007B2931" w:rsidP="00141E9F">
            <w:pPr>
              <w:jc w:val="center"/>
              <w:rPr>
                <w:rFonts w:ascii="Times New Roman" w:hAnsi="Times New Roman" w:cs="Times New Roman"/>
                <w:sz w:val="24"/>
                <w:szCs w:val="24"/>
              </w:rPr>
            </w:pPr>
            <w:r w:rsidRPr="008E4EB0">
              <w:rPr>
                <w:rFonts w:ascii="Times New Roman" w:hAnsi="Times New Roman" w:cs="Times New Roman"/>
                <w:sz w:val="24"/>
                <w:szCs w:val="24"/>
              </w:rPr>
              <w:t>2,79% -7,50% + 3M EURIBOR</w:t>
            </w:r>
          </w:p>
        </w:tc>
        <w:tc>
          <w:tcPr>
            <w:tcW w:w="1858" w:type="dxa"/>
          </w:tcPr>
          <w:p w14:paraId="5E47AA3E" w14:textId="387A5672" w:rsidR="007B2931" w:rsidRPr="008E4EB0" w:rsidRDefault="007B2931" w:rsidP="00141E9F">
            <w:pPr>
              <w:jc w:val="center"/>
              <w:rPr>
                <w:rFonts w:ascii="Times New Roman" w:hAnsi="Times New Roman" w:cs="Times New Roman"/>
                <w:sz w:val="24"/>
                <w:szCs w:val="24"/>
              </w:rPr>
            </w:pPr>
            <w:r w:rsidRPr="008E4EB0">
              <w:rPr>
                <w:rFonts w:ascii="Times New Roman" w:hAnsi="Times New Roman" w:cs="Times New Roman"/>
                <w:sz w:val="24"/>
                <w:szCs w:val="24"/>
              </w:rPr>
              <w:t>174 000</w:t>
            </w:r>
          </w:p>
        </w:tc>
        <w:tc>
          <w:tcPr>
            <w:tcW w:w="1858" w:type="dxa"/>
          </w:tcPr>
          <w:p w14:paraId="7E5AF14C" w14:textId="77777777" w:rsidR="007B2931" w:rsidRPr="008E4EB0" w:rsidRDefault="007B2931" w:rsidP="00141E9F">
            <w:pPr>
              <w:jc w:val="center"/>
              <w:rPr>
                <w:rFonts w:ascii="Times New Roman" w:hAnsi="Times New Roman" w:cs="Times New Roman"/>
                <w:sz w:val="24"/>
                <w:szCs w:val="24"/>
              </w:rPr>
            </w:pPr>
            <w:r w:rsidRPr="008E4EB0">
              <w:rPr>
                <w:rFonts w:ascii="Times New Roman" w:hAnsi="Times New Roman" w:cs="Times New Roman"/>
                <w:sz w:val="24"/>
                <w:szCs w:val="24"/>
              </w:rPr>
              <w:t>11</w:t>
            </w:r>
          </w:p>
        </w:tc>
      </w:tr>
      <w:tr w:rsidR="007B2931" w:rsidRPr="008E4EB0" w14:paraId="1B70930F" w14:textId="77777777" w:rsidTr="00B744FC">
        <w:tc>
          <w:tcPr>
            <w:tcW w:w="1857" w:type="dxa"/>
          </w:tcPr>
          <w:p w14:paraId="3BD178EE" w14:textId="77777777" w:rsidR="007B2931" w:rsidRPr="008E4EB0" w:rsidRDefault="007B2931" w:rsidP="00141E9F">
            <w:pPr>
              <w:jc w:val="center"/>
              <w:rPr>
                <w:rFonts w:ascii="Times New Roman" w:hAnsi="Times New Roman" w:cs="Times New Roman"/>
                <w:sz w:val="24"/>
                <w:szCs w:val="24"/>
              </w:rPr>
            </w:pPr>
            <w:r w:rsidRPr="008E4EB0">
              <w:rPr>
                <w:rFonts w:ascii="Times New Roman" w:hAnsi="Times New Roman" w:cs="Times New Roman"/>
                <w:sz w:val="24"/>
                <w:szCs w:val="24"/>
              </w:rPr>
              <w:t>AS „DNB banka”</w:t>
            </w:r>
          </w:p>
        </w:tc>
        <w:tc>
          <w:tcPr>
            <w:tcW w:w="1857" w:type="dxa"/>
          </w:tcPr>
          <w:p w14:paraId="6E192105" w14:textId="77777777" w:rsidR="007B2931" w:rsidRPr="008E4EB0" w:rsidRDefault="007B2931" w:rsidP="00141E9F">
            <w:pPr>
              <w:jc w:val="center"/>
              <w:rPr>
                <w:rFonts w:ascii="Times New Roman" w:hAnsi="Times New Roman" w:cs="Times New Roman"/>
                <w:sz w:val="24"/>
                <w:szCs w:val="24"/>
              </w:rPr>
            </w:pPr>
            <w:r w:rsidRPr="008E4EB0">
              <w:rPr>
                <w:rFonts w:ascii="Times New Roman" w:hAnsi="Times New Roman" w:cs="Times New Roman"/>
                <w:sz w:val="24"/>
                <w:szCs w:val="24"/>
              </w:rPr>
              <w:t>n.p.</w:t>
            </w:r>
          </w:p>
        </w:tc>
        <w:tc>
          <w:tcPr>
            <w:tcW w:w="1858" w:type="dxa"/>
          </w:tcPr>
          <w:p w14:paraId="5514B680" w14:textId="77777777" w:rsidR="007B2931" w:rsidRPr="008E4EB0" w:rsidRDefault="007B2931" w:rsidP="00141E9F">
            <w:pPr>
              <w:jc w:val="center"/>
              <w:rPr>
                <w:rFonts w:ascii="Times New Roman" w:hAnsi="Times New Roman" w:cs="Times New Roman"/>
                <w:sz w:val="24"/>
                <w:szCs w:val="24"/>
              </w:rPr>
            </w:pPr>
            <w:r w:rsidRPr="008E4EB0">
              <w:rPr>
                <w:rFonts w:ascii="Times New Roman" w:hAnsi="Times New Roman" w:cs="Times New Roman"/>
                <w:sz w:val="24"/>
                <w:szCs w:val="24"/>
              </w:rPr>
              <w:t>n.p.</w:t>
            </w:r>
          </w:p>
        </w:tc>
        <w:tc>
          <w:tcPr>
            <w:tcW w:w="1858" w:type="dxa"/>
          </w:tcPr>
          <w:p w14:paraId="16AA25BE" w14:textId="77777777" w:rsidR="007B2931" w:rsidRPr="008E4EB0" w:rsidRDefault="007B2931" w:rsidP="00141E9F">
            <w:pPr>
              <w:jc w:val="center"/>
              <w:rPr>
                <w:rFonts w:ascii="Times New Roman" w:hAnsi="Times New Roman" w:cs="Times New Roman"/>
                <w:sz w:val="24"/>
                <w:szCs w:val="24"/>
              </w:rPr>
            </w:pPr>
            <w:r w:rsidRPr="008E4EB0">
              <w:rPr>
                <w:rFonts w:ascii="Times New Roman" w:hAnsi="Times New Roman" w:cs="Times New Roman"/>
                <w:sz w:val="24"/>
                <w:szCs w:val="24"/>
              </w:rPr>
              <w:t>n.p.</w:t>
            </w:r>
          </w:p>
        </w:tc>
        <w:tc>
          <w:tcPr>
            <w:tcW w:w="1858" w:type="dxa"/>
          </w:tcPr>
          <w:p w14:paraId="1876AA51" w14:textId="77777777" w:rsidR="007B2931" w:rsidRPr="008E4EB0" w:rsidRDefault="007B2931" w:rsidP="00141E9F">
            <w:pPr>
              <w:jc w:val="center"/>
              <w:rPr>
                <w:rFonts w:ascii="Times New Roman" w:hAnsi="Times New Roman" w:cs="Times New Roman"/>
                <w:sz w:val="24"/>
                <w:szCs w:val="24"/>
              </w:rPr>
            </w:pPr>
            <w:r w:rsidRPr="008E4EB0">
              <w:rPr>
                <w:rFonts w:ascii="Times New Roman" w:hAnsi="Times New Roman" w:cs="Times New Roman"/>
                <w:sz w:val="24"/>
                <w:szCs w:val="24"/>
              </w:rPr>
              <w:t>n.p.</w:t>
            </w:r>
          </w:p>
        </w:tc>
      </w:tr>
      <w:tr w:rsidR="007B2931" w:rsidRPr="008E4EB0" w14:paraId="5BD072E5" w14:textId="77777777" w:rsidTr="00B744FC">
        <w:tc>
          <w:tcPr>
            <w:tcW w:w="1857" w:type="dxa"/>
          </w:tcPr>
          <w:p w14:paraId="48C671AD" w14:textId="77777777" w:rsidR="007B2931" w:rsidRPr="008E4EB0" w:rsidRDefault="007B2931" w:rsidP="00141E9F">
            <w:pPr>
              <w:jc w:val="center"/>
              <w:rPr>
                <w:rFonts w:ascii="Times New Roman" w:hAnsi="Times New Roman" w:cs="Times New Roman"/>
                <w:sz w:val="24"/>
                <w:szCs w:val="24"/>
              </w:rPr>
            </w:pPr>
            <w:r w:rsidRPr="008E4EB0">
              <w:rPr>
                <w:rFonts w:ascii="Times New Roman" w:hAnsi="Times New Roman" w:cs="Times New Roman"/>
                <w:sz w:val="24"/>
                <w:szCs w:val="24"/>
              </w:rPr>
              <w:t>AS „Citadele banka”</w:t>
            </w:r>
          </w:p>
        </w:tc>
        <w:tc>
          <w:tcPr>
            <w:tcW w:w="1857" w:type="dxa"/>
          </w:tcPr>
          <w:p w14:paraId="0003E1C7" w14:textId="77777777" w:rsidR="007B2931" w:rsidRPr="008E4EB0" w:rsidRDefault="007B2931" w:rsidP="00141E9F">
            <w:pPr>
              <w:jc w:val="center"/>
              <w:rPr>
                <w:rFonts w:ascii="Times New Roman" w:hAnsi="Times New Roman" w:cs="Times New Roman"/>
                <w:sz w:val="24"/>
                <w:szCs w:val="24"/>
              </w:rPr>
            </w:pPr>
            <w:r w:rsidRPr="008E4EB0">
              <w:rPr>
                <w:rFonts w:ascii="Times New Roman" w:hAnsi="Times New Roman" w:cs="Times New Roman"/>
                <w:sz w:val="24"/>
                <w:szCs w:val="24"/>
              </w:rPr>
              <w:t>4</w:t>
            </w:r>
          </w:p>
        </w:tc>
        <w:tc>
          <w:tcPr>
            <w:tcW w:w="1858" w:type="dxa"/>
          </w:tcPr>
          <w:p w14:paraId="2FF9404C" w14:textId="77777777" w:rsidR="007B2931" w:rsidRPr="008E4EB0" w:rsidRDefault="007B2931" w:rsidP="00141E9F">
            <w:pPr>
              <w:jc w:val="center"/>
              <w:rPr>
                <w:rFonts w:ascii="Times New Roman" w:hAnsi="Times New Roman" w:cs="Times New Roman"/>
                <w:sz w:val="24"/>
                <w:szCs w:val="24"/>
              </w:rPr>
            </w:pPr>
            <w:r w:rsidRPr="008E4EB0">
              <w:rPr>
                <w:rFonts w:ascii="Times New Roman" w:hAnsi="Times New Roman" w:cs="Times New Roman"/>
                <w:sz w:val="24"/>
                <w:szCs w:val="24"/>
              </w:rPr>
              <w:t>3,5% - 4% + EUR 6M EURIBOR; LIBOR</w:t>
            </w:r>
          </w:p>
        </w:tc>
        <w:tc>
          <w:tcPr>
            <w:tcW w:w="1858" w:type="dxa"/>
          </w:tcPr>
          <w:p w14:paraId="08247583" w14:textId="77777777" w:rsidR="007B2931" w:rsidRPr="008E4EB0" w:rsidRDefault="007B2931" w:rsidP="00141E9F">
            <w:pPr>
              <w:jc w:val="center"/>
              <w:rPr>
                <w:rFonts w:ascii="Times New Roman" w:hAnsi="Times New Roman" w:cs="Times New Roman"/>
                <w:sz w:val="24"/>
                <w:szCs w:val="24"/>
              </w:rPr>
            </w:pPr>
            <w:r w:rsidRPr="008E4EB0">
              <w:rPr>
                <w:rFonts w:ascii="Times New Roman" w:hAnsi="Times New Roman" w:cs="Times New Roman"/>
                <w:sz w:val="24"/>
                <w:szCs w:val="24"/>
              </w:rPr>
              <w:t>191 000</w:t>
            </w:r>
          </w:p>
        </w:tc>
        <w:tc>
          <w:tcPr>
            <w:tcW w:w="1858" w:type="dxa"/>
          </w:tcPr>
          <w:p w14:paraId="79BCD1FB" w14:textId="77777777" w:rsidR="007B2931" w:rsidRPr="008E4EB0" w:rsidRDefault="007B2931" w:rsidP="00141E9F">
            <w:pPr>
              <w:jc w:val="center"/>
              <w:rPr>
                <w:rFonts w:ascii="Times New Roman" w:hAnsi="Times New Roman" w:cs="Times New Roman"/>
                <w:sz w:val="24"/>
                <w:szCs w:val="24"/>
              </w:rPr>
            </w:pPr>
            <w:r w:rsidRPr="008E4EB0">
              <w:rPr>
                <w:rFonts w:ascii="Times New Roman" w:hAnsi="Times New Roman" w:cs="Times New Roman"/>
                <w:sz w:val="24"/>
                <w:szCs w:val="24"/>
              </w:rPr>
              <w:t>18</w:t>
            </w:r>
          </w:p>
        </w:tc>
      </w:tr>
      <w:tr w:rsidR="007B2931" w:rsidRPr="008E4EB0" w14:paraId="4759CCF2" w14:textId="77777777" w:rsidTr="00B744FC">
        <w:tc>
          <w:tcPr>
            <w:tcW w:w="1857" w:type="dxa"/>
          </w:tcPr>
          <w:p w14:paraId="66D4A237" w14:textId="77777777" w:rsidR="007B2931" w:rsidRPr="008E4EB0" w:rsidRDefault="007B2931" w:rsidP="00141E9F">
            <w:pPr>
              <w:jc w:val="center"/>
              <w:rPr>
                <w:rFonts w:ascii="Times New Roman" w:hAnsi="Times New Roman" w:cs="Times New Roman"/>
                <w:sz w:val="24"/>
                <w:szCs w:val="24"/>
              </w:rPr>
            </w:pPr>
            <w:r w:rsidRPr="008E4EB0">
              <w:rPr>
                <w:rFonts w:ascii="Times New Roman" w:hAnsi="Times New Roman" w:cs="Times New Roman"/>
                <w:sz w:val="24"/>
                <w:szCs w:val="24"/>
              </w:rPr>
              <w:t>Nordea Bank AB</w:t>
            </w:r>
          </w:p>
        </w:tc>
        <w:tc>
          <w:tcPr>
            <w:tcW w:w="1857" w:type="dxa"/>
          </w:tcPr>
          <w:p w14:paraId="06600ED2" w14:textId="77777777" w:rsidR="007B2931" w:rsidRPr="008E4EB0" w:rsidRDefault="007B2931" w:rsidP="00141E9F">
            <w:pPr>
              <w:jc w:val="center"/>
              <w:rPr>
                <w:rFonts w:ascii="Times New Roman" w:hAnsi="Times New Roman" w:cs="Times New Roman"/>
                <w:sz w:val="24"/>
                <w:szCs w:val="24"/>
              </w:rPr>
            </w:pPr>
            <w:r w:rsidRPr="008E4EB0">
              <w:rPr>
                <w:rFonts w:ascii="Times New Roman" w:hAnsi="Times New Roman" w:cs="Times New Roman"/>
                <w:sz w:val="24"/>
                <w:szCs w:val="24"/>
              </w:rPr>
              <w:t>5</w:t>
            </w:r>
          </w:p>
        </w:tc>
        <w:tc>
          <w:tcPr>
            <w:tcW w:w="1858" w:type="dxa"/>
          </w:tcPr>
          <w:p w14:paraId="2E2544EA" w14:textId="77777777" w:rsidR="007B2931" w:rsidRPr="008E4EB0" w:rsidRDefault="007B2931" w:rsidP="00141E9F">
            <w:pPr>
              <w:jc w:val="center"/>
              <w:rPr>
                <w:rFonts w:ascii="Times New Roman" w:hAnsi="Times New Roman" w:cs="Times New Roman"/>
                <w:sz w:val="24"/>
                <w:szCs w:val="24"/>
              </w:rPr>
            </w:pPr>
            <w:r w:rsidRPr="008E4EB0">
              <w:rPr>
                <w:rFonts w:ascii="Times New Roman" w:hAnsi="Times New Roman" w:cs="Times New Roman"/>
                <w:sz w:val="24"/>
                <w:szCs w:val="24"/>
              </w:rPr>
              <w:t>4% - 5% + 3M EURIBOR</w:t>
            </w:r>
          </w:p>
        </w:tc>
        <w:tc>
          <w:tcPr>
            <w:tcW w:w="1858" w:type="dxa"/>
          </w:tcPr>
          <w:p w14:paraId="66D18871" w14:textId="77777777" w:rsidR="007B2931" w:rsidRPr="008E4EB0" w:rsidRDefault="007B2931" w:rsidP="00141E9F">
            <w:pPr>
              <w:jc w:val="center"/>
              <w:rPr>
                <w:rFonts w:ascii="Times New Roman" w:hAnsi="Times New Roman" w:cs="Times New Roman"/>
                <w:sz w:val="24"/>
                <w:szCs w:val="24"/>
              </w:rPr>
            </w:pPr>
            <w:r w:rsidRPr="008E4EB0">
              <w:rPr>
                <w:rFonts w:ascii="Times New Roman" w:hAnsi="Times New Roman" w:cs="Times New Roman"/>
                <w:sz w:val="24"/>
                <w:szCs w:val="24"/>
              </w:rPr>
              <w:t>120 000</w:t>
            </w:r>
          </w:p>
        </w:tc>
        <w:tc>
          <w:tcPr>
            <w:tcW w:w="1858" w:type="dxa"/>
          </w:tcPr>
          <w:p w14:paraId="0F6C432D" w14:textId="77777777" w:rsidR="007B2931" w:rsidRPr="008E4EB0" w:rsidRDefault="007B2931" w:rsidP="00141E9F">
            <w:pPr>
              <w:jc w:val="center"/>
              <w:rPr>
                <w:rFonts w:ascii="Times New Roman" w:hAnsi="Times New Roman" w:cs="Times New Roman"/>
                <w:sz w:val="24"/>
                <w:szCs w:val="24"/>
              </w:rPr>
            </w:pPr>
            <w:r w:rsidRPr="008E4EB0">
              <w:rPr>
                <w:rFonts w:ascii="Times New Roman" w:hAnsi="Times New Roman" w:cs="Times New Roman"/>
                <w:sz w:val="24"/>
                <w:szCs w:val="24"/>
              </w:rPr>
              <w:t>15</w:t>
            </w:r>
          </w:p>
        </w:tc>
      </w:tr>
    </w:tbl>
    <w:p w14:paraId="5B183136" w14:textId="77777777" w:rsidR="007B2931" w:rsidRPr="008E4EB0" w:rsidRDefault="007B2931" w:rsidP="007B2931">
      <w:pPr>
        <w:spacing w:after="0"/>
        <w:ind w:firstLine="851"/>
        <w:jc w:val="both"/>
        <w:rPr>
          <w:rFonts w:ascii="Times New Roman" w:hAnsi="Times New Roman" w:cs="Times New Roman"/>
          <w:sz w:val="24"/>
          <w:szCs w:val="24"/>
        </w:rPr>
      </w:pPr>
      <w:r w:rsidRPr="008E4EB0">
        <w:rPr>
          <w:rFonts w:ascii="Times New Roman" w:hAnsi="Times New Roman" w:cs="Times New Roman"/>
          <w:sz w:val="24"/>
          <w:szCs w:val="24"/>
        </w:rPr>
        <w:t>Piezīmes:</w:t>
      </w:r>
    </w:p>
    <w:p w14:paraId="4A24C187" w14:textId="2CC9D745" w:rsidR="007B2931" w:rsidRPr="008E4EB0" w:rsidRDefault="007B2931" w:rsidP="007B2931">
      <w:pPr>
        <w:spacing w:after="0"/>
        <w:ind w:firstLine="851"/>
        <w:jc w:val="both"/>
        <w:rPr>
          <w:rFonts w:ascii="Times New Roman" w:hAnsi="Times New Roman" w:cs="Times New Roman"/>
          <w:sz w:val="16"/>
          <w:szCs w:val="16"/>
        </w:rPr>
      </w:pPr>
      <w:r w:rsidRPr="008E4EB0">
        <w:rPr>
          <w:rFonts w:ascii="Times New Roman" w:hAnsi="Times New Roman" w:cs="Times New Roman"/>
          <w:sz w:val="16"/>
          <w:szCs w:val="16"/>
        </w:rPr>
        <w:t xml:space="preserve"> 1. N.p. - informācija Izvērtējuma </w:t>
      </w:r>
      <w:r w:rsidR="00F4589A" w:rsidRPr="008E4EB0">
        <w:rPr>
          <w:rFonts w:ascii="Times New Roman" w:hAnsi="Times New Roman" w:cs="Times New Roman"/>
          <w:sz w:val="16"/>
          <w:szCs w:val="16"/>
        </w:rPr>
        <w:t xml:space="preserve">autoriem </w:t>
      </w:r>
      <w:r w:rsidRPr="008E4EB0">
        <w:rPr>
          <w:rFonts w:ascii="Times New Roman" w:hAnsi="Times New Roman" w:cs="Times New Roman"/>
          <w:sz w:val="16"/>
          <w:szCs w:val="16"/>
        </w:rPr>
        <w:t xml:space="preserve">nav pieejama (uz Ex Ante Izvērtējuma sagatavošanas dienu SEB Banka nebija sniegusi pieprasīto informāciju). </w:t>
      </w:r>
    </w:p>
    <w:p w14:paraId="7F213ADF" w14:textId="0178CFF8" w:rsidR="007B2931" w:rsidRPr="008E4EB0" w:rsidRDefault="007B2931" w:rsidP="007B2931">
      <w:pPr>
        <w:spacing w:after="0"/>
        <w:ind w:firstLine="851"/>
        <w:jc w:val="both"/>
        <w:rPr>
          <w:rFonts w:ascii="Times New Roman" w:hAnsi="Times New Roman" w:cs="Times New Roman"/>
          <w:sz w:val="16"/>
          <w:szCs w:val="16"/>
        </w:rPr>
      </w:pPr>
      <w:r w:rsidRPr="008E4EB0">
        <w:rPr>
          <w:rFonts w:ascii="Times New Roman" w:hAnsi="Times New Roman" w:cs="Times New Roman"/>
          <w:sz w:val="16"/>
          <w:szCs w:val="16"/>
        </w:rPr>
        <w:t xml:space="preserve">2. Līgumu skaits ir mazāks, nekā aizņēmēju skaits un māju skaits. Piemēram, AS „Citadele” banka ir izsniegusi 3 aizdevumus SIA „Renesco” 15 māju </w:t>
      </w:r>
      <w:r w:rsidR="00CE0F55" w:rsidRPr="008E4EB0">
        <w:rPr>
          <w:rFonts w:ascii="Times New Roman" w:hAnsi="Times New Roman" w:cs="Times New Roman"/>
          <w:sz w:val="16"/>
          <w:szCs w:val="16"/>
        </w:rPr>
        <w:t>atjaunošana</w:t>
      </w:r>
      <w:r w:rsidRPr="008E4EB0">
        <w:rPr>
          <w:rFonts w:ascii="Times New Roman" w:hAnsi="Times New Roman" w:cs="Times New Roman"/>
          <w:sz w:val="16"/>
          <w:szCs w:val="16"/>
        </w:rPr>
        <w:t xml:space="preserve">i un 1 aizdevumu namu apsaimniekotājam 1 mājas </w:t>
      </w:r>
      <w:r w:rsidR="00CE0F55" w:rsidRPr="008E4EB0">
        <w:rPr>
          <w:rFonts w:ascii="Times New Roman" w:hAnsi="Times New Roman" w:cs="Times New Roman"/>
          <w:sz w:val="16"/>
          <w:szCs w:val="16"/>
        </w:rPr>
        <w:t>atjaunošana</w:t>
      </w:r>
      <w:r w:rsidRPr="008E4EB0">
        <w:rPr>
          <w:rFonts w:ascii="Times New Roman" w:hAnsi="Times New Roman" w:cs="Times New Roman"/>
          <w:sz w:val="16"/>
          <w:szCs w:val="16"/>
        </w:rPr>
        <w:t xml:space="preserve">i. </w:t>
      </w:r>
    </w:p>
    <w:p w14:paraId="38DC6D41" w14:textId="77777777" w:rsidR="007B2931" w:rsidRPr="008E4EB0" w:rsidRDefault="007B2931" w:rsidP="007B2931">
      <w:pPr>
        <w:spacing w:after="0"/>
        <w:ind w:firstLine="851"/>
        <w:jc w:val="both"/>
        <w:rPr>
          <w:rFonts w:ascii="Times New Roman" w:hAnsi="Times New Roman" w:cs="Times New Roman"/>
          <w:sz w:val="16"/>
          <w:szCs w:val="16"/>
        </w:rPr>
      </w:pPr>
      <w:r w:rsidRPr="008E4EB0">
        <w:rPr>
          <w:rFonts w:ascii="Times New Roman" w:hAnsi="Times New Roman" w:cs="Times New Roman"/>
          <w:sz w:val="16"/>
          <w:szCs w:val="16"/>
        </w:rPr>
        <w:t xml:space="preserve">3. Vidējais aizdevumu apjoms un pamatsummas atmaksas periods ir dots par laika periodu no 2011.-2014,gadam. </w:t>
      </w:r>
    </w:p>
    <w:p w14:paraId="7B583458" w14:textId="77777777" w:rsidR="007B2931" w:rsidRPr="008E4EB0" w:rsidRDefault="007B2931" w:rsidP="007B2931">
      <w:pPr>
        <w:spacing w:after="0"/>
        <w:ind w:firstLine="851"/>
        <w:jc w:val="both"/>
        <w:rPr>
          <w:rFonts w:ascii="Times New Roman" w:hAnsi="Times New Roman" w:cs="Times New Roman"/>
          <w:sz w:val="16"/>
          <w:szCs w:val="16"/>
        </w:rPr>
      </w:pPr>
      <w:r w:rsidRPr="008E4EB0">
        <w:rPr>
          <w:rFonts w:ascii="Times New Roman" w:hAnsi="Times New Roman" w:cs="Times New Roman"/>
          <w:sz w:val="16"/>
          <w:szCs w:val="16"/>
        </w:rPr>
        <w:t xml:space="preserve">4. AS „Swedbank” izsniegto līgumu skaits laika posmā no 2011. – 2014.gadam, kad bija pieejams 3.4.4.1.aktivitātes publiskais finansējums, ir 169. Procentu likmes dotas par 2013.-2014.g. </w:t>
      </w:r>
    </w:p>
    <w:p w14:paraId="01DD1D17" w14:textId="565438A6" w:rsidR="007B2931" w:rsidRPr="008E4EB0" w:rsidRDefault="007B2931" w:rsidP="007B2931">
      <w:pPr>
        <w:spacing w:after="0"/>
        <w:ind w:firstLine="851"/>
        <w:jc w:val="both"/>
        <w:rPr>
          <w:rFonts w:ascii="Times New Roman" w:hAnsi="Times New Roman" w:cs="Times New Roman"/>
          <w:i/>
          <w:sz w:val="16"/>
          <w:szCs w:val="16"/>
        </w:rPr>
      </w:pPr>
      <w:r w:rsidRPr="008E4EB0">
        <w:rPr>
          <w:rFonts w:ascii="Times New Roman" w:hAnsi="Times New Roman" w:cs="Times New Roman"/>
          <w:i/>
          <w:sz w:val="16"/>
          <w:szCs w:val="16"/>
        </w:rPr>
        <w:t xml:space="preserve">Avots: Izvērtējuma </w:t>
      </w:r>
      <w:r w:rsidR="00F4589A" w:rsidRPr="008E4EB0">
        <w:rPr>
          <w:rFonts w:ascii="Times New Roman" w:hAnsi="Times New Roman" w:cs="Times New Roman"/>
          <w:i/>
          <w:sz w:val="16"/>
          <w:szCs w:val="16"/>
        </w:rPr>
        <w:t>autori</w:t>
      </w:r>
      <w:r w:rsidRPr="008E4EB0">
        <w:rPr>
          <w:rFonts w:ascii="Times New Roman" w:hAnsi="Times New Roman" w:cs="Times New Roman"/>
          <w:i/>
          <w:sz w:val="16"/>
          <w:szCs w:val="16"/>
        </w:rPr>
        <w:t xml:space="preserve">, pamatojoties uz kredītiestāžu sniegto informāciju </w:t>
      </w:r>
    </w:p>
    <w:p w14:paraId="1AB1BE6B" w14:textId="77777777" w:rsidR="007B2931" w:rsidRPr="008E4EB0" w:rsidRDefault="007B2931" w:rsidP="007B2931">
      <w:pPr>
        <w:spacing w:after="0"/>
        <w:ind w:firstLine="851"/>
        <w:jc w:val="both"/>
        <w:rPr>
          <w:rFonts w:ascii="Times New Roman" w:hAnsi="Times New Roman" w:cs="Times New Roman"/>
          <w:i/>
          <w:sz w:val="24"/>
          <w:szCs w:val="24"/>
        </w:rPr>
      </w:pPr>
    </w:p>
    <w:p w14:paraId="2FE2D828" w14:textId="780E1630" w:rsidR="007B2931" w:rsidRPr="008E4EB0" w:rsidRDefault="007B2931" w:rsidP="007B2931">
      <w:pPr>
        <w:spacing w:after="0"/>
        <w:ind w:firstLine="851"/>
        <w:jc w:val="both"/>
        <w:rPr>
          <w:rFonts w:ascii="Times New Roman" w:hAnsi="Times New Roman" w:cs="Times New Roman"/>
          <w:sz w:val="24"/>
          <w:szCs w:val="24"/>
        </w:rPr>
      </w:pPr>
      <w:r w:rsidRPr="008E4EB0">
        <w:rPr>
          <w:rFonts w:ascii="Times New Roman" w:hAnsi="Times New Roman" w:cs="Times New Roman"/>
          <w:sz w:val="24"/>
          <w:szCs w:val="24"/>
        </w:rPr>
        <w:t xml:space="preserve">No </w:t>
      </w:r>
      <w:r w:rsidR="009E1DA3" w:rsidRPr="008E4EB0">
        <w:rPr>
          <w:rFonts w:ascii="Times New Roman" w:hAnsi="Times New Roman" w:cs="Times New Roman"/>
          <w:sz w:val="24"/>
          <w:szCs w:val="24"/>
        </w:rPr>
        <w:t>27</w:t>
      </w:r>
      <w:r w:rsidRPr="008E4EB0">
        <w:rPr>
          <w:rFonts w:ascii="Times New Roman" w:hAnsi="Times New Roman" w:cs="Times New Roman"/>
          <w:sz w:val="24"/>
          <w:szCs w:val="24"/>
        </w:rPr>
        <w:t xml:space="preserve">.tabulas datiem secinām, ka aizdevumu procentu likmēm ir salīdzinoši liela variācijas amplitūda. To vislabāk var redzēt no AS „Swedbank” datiem, jo šai kredītiestādei ir salīdzinoši liels izsniegto aizdevumu skaits, turklāt šī kredītiestāde ir izsniegusi aizdevumus pavisam 27 pilsētās un novados. </w:t>
      </w:r>
    </w:p>
    <w:p w14:paraId="2C8B3360" w14:textId="37CB9F3B" w:rsidR="007B2931" w:rsidRPr="008E4EB0" w:rsidRDefault="007B2931" w:rsidP="007B2931">
      <w:pPr>
        <w:spacing w:after="0"/>
        <w:ind w:firstLine="851"/>
        <w:jc w:val="both"/>
        <w:rPr>
          <w:rFonts w:ascii="Times New Roman" w:hAnsi="Times New Roman" w:cs="Times New Roman"/>
          <w:sz w:val="24"/>
          <w:szCs w:val="24"/>
        </w:rPr>
      </w:pPr>
      <w:r w:rsidRPr="008E4EB0">
        <w:rPr>
          <w:rFonts w:ascii="Times New Roman" w:hAnsi="Times New Roman" w:cs="Times New Roman"/>
          <w:sz w:val="24"/>
          <w:szCs w:val="24"/>
        </w:rPr>
        <w:t xml:space="preserve">Aizdevumu procentu likmes ir atkarīgas no daudzdzīvokļu mājas atrašanās vietas, kā arī mājas lieluma (dzīvokļu skaita). </w:t>
      </w:r>
      <w:r w:rsidR="00CE0F55" w:rsidRPr="008E4EB0">
        <w:rPr>
          <w:rFonts w:ascii="Times New Roman" w:hAnsi="Times New Roman" w:cs="Times New Roman"/>
          <w:sz w:val="24"/>
          <w:szCs w:val="24"/>
        </w:rPr>
        <w:t>Atjaunošanas</w:t>
      </w:r>
      <w:r w:rsidRPr="008E4EB0">
        <w:rPr>
          <w:rFonts w:ascii="Times New Roman" w:hAnsi="Times New Roman" w:cs="Times New Roman"/>
          <w:sz w:val="24"/>
          <w:szCs w:val="24"/>
        </w:rPr>
        <w:t xml:space="preserve"> izmaksas uz 1 m</w:t>
      </w:r>
      <w:r w:rsidRPr="008E4EB0">
        <w:rPr>
          <w:rFonts w:ascii="Times New Roman" w:hAnsi="Times New Roman" w:cs="Times New Roman"/>
          <w:sz w:val="24"/>
          <w:szCs w:val="24"/>
          <w:vertAlign w:val="superscript"/>
        </w:rPr>
        <w:t>2</w:t>
      </w:r>
      <w:r w:rsidRPr="008E4EB0">
        <w:rPr>
          <w:rFonts w:ascii="Times New Roman" w:hAnsi="Times New Roman" w:cs="Times New Roman"/>
          <w:sz w:val="24"/>
          <w:szCs w:val="24"/>
        </w:rPr>
        <w:t xml:space="preserve"> mājā ar, piemēram, 18 dzīvokļiem ir lielākas, nekā mājā ar 60 dzīvokļiem. Līdz ar to šādas ēkas komercbankas uzskata par riskantākām un procentu likmes šādos gadījumos ir augstākas. </w:t>
      </w:r>
    </w:p>
    <w:p w14:paraId="733EB03B" w14:textId="77777777" w:rsidR="007B2931" w:rsidRPr="008E4EB0" w:rsidRDefault="007B2931" w:rsidP="007B2931">
      <w:pPr>
        <w:spacing w:after="0"/>
        <w:ind w:firstLine="851"/>
        <w:jc w:val="both"/>
        <w:rPr>
          <w:rFonts w:ascii="Times New Roman" w:hAnsi="Times New Roman" w:cs="Times New Roman"/>
          <w:sz w:val="24"/>
          <w:szCs w:val="24"/>
        </w:rPr>
      </w:pPr>
      <w:r w:rsidRPr="008E4EB0">
        <w:rPr>
          <w:rFonts w:ascii="Times New Roman" w:hAnsi="Times New Roman" w:cs="Times New Roman"/>
          <w:sz w:val="24"/>
          <w:szCs w:val="24"/>
        </w:rPr>
        <w:t>No AS „Swedbank” 105 aizdevumu līgumiem, par kuriem kredītiestāde ir sniegusi informāciju laika posmam par 2013. un 2014.gadu, aritmētiskā vidējā gada procentu likme ir 4,70%. Procentu likmes, kas ir vienādas vai zemākas par 3%, ir tikai 5 aizdevumiem, jeb tikai 5% no izlases kopas lieluma.</w:t>
      </w:r>
    </w:p>
    <w:p w14:paraId="2C2E6BB4" w14:textId="319F2327" w:rsidR="007B2931" w:rsidRDefault="007B2931" w:rsidP="007B2931">
      <w:pPr>
        <w:spacing w:after="0" w:line="276" w:lineRule="auto"/>
        <w:jc w:val="both"/>
        <w:rPr>
          <w:rFonts w:ascii="Times New Roman" w:hAnsi="Times New Roman" w:cs="Times New Roman"/>
          <w:sz w:val="24"/>
          <w:szCs w:val="24"/>
        </w:rPr>
      </w:pPr>
    </w:p>
    <w:p w14:paraId="41144DA9" w14:textId="77777777" w:rsidR="000948A5" w:rsidRPr="008E4EB0" w:rsidRDefault="000948A5" w:rsidP="007B2931">
      <w:pPr>
        <w:spacing w:after="0" w:line="276" w:lineRule="auto"/>
        <w:jc w:val="both"/>
        <w:rPr>
          <w:rFonts w:ascii="Times New Roman" w:hAnsi="Times New Roman" w:cs="Times New Roman"/>
          <w:sz w:val="24"/>
          <w:szCs w:val="24"/>
        </w:rPr>
      </w:pPr>
    </w:p>
    <w:p w14:paraId="055991FC" w14:textId="33A1AA8F" w:rsidR="00990903" w:rsidRPr="008E4EB0" w:rsidRDefault="00990903" w:rsidP="001E0950">
      <w:pPr>
        <w:pStyle w:val="3apakvirsraksts"/>
      </w:pPr>
      <w:bookmarkStart w:id="126" w:name="_Toc480527986"/>
      <w:bookmarkStart w:id="127" w:name="_Toc491870934"/>
      <w:r w:rsidRPr="008E4EB0">
        <w:t>Starptautiskās bankas</w:t>
      </w:r>
      <w:bookmarkEnd w:id="126"/>
      <w:bookmarkEnd w:id="127"/>
    </w:p>
    <w:p w14:paraId="49155F8A" w14:textId="77777777" w:rsidR="007B2931" w:rsidRPr="008E4EB0" w:rsidRDefault="007B2931" w:rsidP="007B2931">
      <w:pPr>
        <w:spacing w:after="0" w:line="276" w:lineRule="auto"/>
        <w:jc w:val="both"/>
        <w:rPr>
          <w:rFonts w:ascii="Times New Roman" w:hAnsi="Times New Roman" w:cs="Times New Roman"/>
          <w:sz w:val="24"/>
          <w:szCs w:val="24"/>
        </w:rPr>
      </w:pPr>
    </w:p>
    <w:p w14:paraId="09F1278A" w14:textId="39CECA6C" w:rsidR="007B2931" w:rsidRPr="008E4EB0" w:rsidRDefault="007B2931" w:rsidP="00BF58E9">
      <w:pPr>
        <w:spacing w:after="0"/>
        <w:ind w:firstLine="851"/>
        <w:jc w:val="both"/>
        <w:rPr>
          <w:rFonts w:ascii="Times New Roman" w:hAnsi="Times New Roman" w:cs="Times New Roman"/>
          <w:sz w:val="24"/>
          <w:szCs w:val="24"/>
        </w:rPr>
      </w:pPr>
      <w:r w:rsidRPr="008E4EB0">
        <w:rPr>
          <w:rFonts w:ascii="Times New Roman" w:hAnsi="Times New Roman" w:cs="Times New Roman"/>
          <w:sz w:val="24"/>
          <w:szCs w:val="24"/>
        </w:rPr>
        <w:t>2007.–2013.gada ES fondu plānošanas periodā starptautiskās finanšu institūcijas (</w:t>
      </w:r>
      <w:r w:rsidR="001655CF" w:rsidRPr="008E4EB0">
        <w:rPr>
          <w:rFonts w:ascii="Times New Roman" w:hAnsi="Times New Roman" w:cs="Times New Roman"/>
          <w:sz w:val="24"/>
          <w:szCs w:val="24"/>
        </w:rPr>
        <w:t>Eiropas Rekonstrukcijas un attīstības banka</w:t>
      </w:r>
      <w:r w:rsidR="001655CF">
        <w:rPr>
          <w:rFonts w:ascii="Times New Roman" w:hAnsi="Times New Roman" w:cs="Times New Roman"/>
          <w:sz w:val="24"/>
          <w:szCs w:val="24"/>
        </w:rPr>
        <w:t>s</w:t>
      </w:r>
      <w:r w:rsidR="001655CF" w:rsidRPr="008E4EB0">
        <w:rPr>
          <w:rFonts w:ascii="Times New Roman" w:hAnsi="Times New Roman" w:cs="Times New Roman"/>
          <w:sz w:val="24"/>
          <w:szCs w:val="24"/>
        </w:rPr>
        <w:t xml:space="preserve"> (turpmāk - ERAB)</w:t>
      </w:r>
      <w:r w:rsidRPr="008E4EB0">
        <w:rPr>
          <w:rFonts w:ascii="Times New Roman" w:hAnsi="Times New Roman" w:cs="Times New Roman"/>
          <w:sz w:val="24"/>
          <w:szCs w:val="24"/>
        </w:rPr>
        <w:t xml:space="preserve">, </w:t>
      </w:r>
      <w:r w:rsidR="001655CF" w:rsidRPr="008E4EB0">
        <w:rPr>
          <w:rFonts w:ascii="Times New Roman" w:hAnsi="Times New Roman" w:cs="Times New Roman"/>
          <w:sz w:val="24"/>
          <w:szCs w:val="24"/>
        </w:rPr>
        <w:t>un Eiropas Investīcijas banka</w:t>
      </w:r>
      <w:r w:rsidR="001655CF">
        <w:rPr>
          <w:rFonts w:ascii="Times New Roman" w:hAnsi="Times New Roman" w:cs="Times New Roman"/>
          <w:sz w:val="24"/>
          <w:szCs w:val="24"/>
        </w:rPr>
        <w:t>s</w:t>
      </w:r>
      <w:r w:rsidR="001655CF" w:rsidRPr="008E4EB0">
        <w:rPr>
          <w:rFonts w:ascii="Times New Roman" w:hAnsi="Times New Roman" w:cs="Times New Roman"/>
          <w:sz w:val="24"/>
          <w:szCs w:val="24"/>
        </w:rPr>
        <w:t xml:space="preserve"> (turpmāk - EIB)</w:t>
      </w:r>
      <w:r w:rsidRPr="008E4EB0">
        <w:rPr>
          <w:rFonts w:ascii="Times New Roman" w:hAnsi="Times New Roman" w:cs="Times New Roman"/>
          <w:sz w:val="24"/>
          <w:szCs w:val="24"/>
        </w:rPr>
        <w:t xml:space="preserve">, </w:t>
      </w:r>
      <w:r w:rsidR="001655CF" w:rsidRPr="008E4EB0">
        <w:rPr>
          <w:rFonts w:ascii="Times New Roman" w:hAnsi="Times New Roman" w:cs="Times New Roman"/>
          <w:sz w:val="24"/>
          <w:szCs w:val="24"/>
        </w:rPr>
        <w:t>Ziemeļvalstu investīciju banka (turpmāk - NIB)</w:t>
      </w:r>
      <w:r w:rsidRPr="008E4EB0">
        <w:rPr>
          <w:rFonts w:ascii="Times New Roman" w:hAnsi="Times New Roman" w:cs="Times New Roman"/>
          <w:sz w:val="24"/>
          <w:szCs w:val="24"/>
        </w:rPr>
        <w:t xml:space="preserve"> u.c.) nav iesaistījušās daudzdzīvokļu māju energoefektivitātes paaugstināšanas pasākumu kreditēšanā Latvijā. </w:t>
      </w:r>
    </w:p>
    <w:p w14:paraId="03868891" w14:textId="55D7D579" w:rsidR="007B2931" w:rsidRPr="008E4EB0" w:rsidRDefault="007B2931" w:rsidP="007B2931">
      <w:pPr>
        <w:spacing w:after="0"/>
        <w:ind w:firstLine="851"/>
        <w:jc w:val="both"/>
        <w:rPr>
          <w:rFonts w:ascii="Times New Roman" w:hAnsi="Times New Roman" w:cs="Times New Roman"/>
          <w:sz w:val="24"/>
          <w:szCs w:val="24"/>
        </w:rPr>
      </w:pPr>
      <w:r w:rsidRPr="008E4EB0">
        <w:rPr>
          <w:rFonts w:ascii="Times New Roman" w:hAnsi="Times New Roman" w:cs="Times New Roman"/>
          <w:sz w:val="24"/>
          <w:szCs w:val="24"/>
        </w:rPr>
        <w:t xml:space="preserve">Starptautisko finanšu institūciju priekšrocība ir iespējas piedāvāt ilgtermiņa aizdevumus līdz 20 gadiem par salīdzinoši zemām fiksētām aizdevumu gada procentu likmēm (līdz 2%). Starptautiskās finanšu institūcijas var piedāvāt šādus aizdevumus finanšu starpniekiem Latvijā (AFI, komercbankām), kas savukārt sniegtu aizdevumus gala aizņēmējiem daudzdzīvokļu māju energoefektivitātes paaugstināšanai. Tā kā finanšu starpniekiem jāuzņemas gala aizņēmēju kredītriski, tad aizdevumu procentu </w:t>
      </w:r>
      <w:r w:rsidRPr="008E4EB0">
        <w:rPr>
          <w:rFonts w:ascii="Times New Roman" w:hAnsi="Times New Roman" w:cs="Times New Roman"/>
          <w:sz w:val="24"/>
          <w:szCs w:val="24"/>
        </w:rPr>
        <w:lastRenderedPageBreak/>
        <w:t xml:space="preserve">likmē jāparedz šo risku segums un aizdevumu apkalpošanas izmaksas, kas paaugstina procentu likmi par 2 līdz 4 procentpunktiem. AFI gadījumā, lai saņemtu starptautiskās finanšu institūcijas aizdevumu, parasti nepieciešams valsts galvojums, kas attiecīgi jāiekļauj valsts budžetā, un tā saņemšanai jāveic normatīvajos aktos paredzētās darbības. Papildus tradicionālajiem ilgtermiņa aizdevumiem (Latvijas kredītiestādēm un/vai AFI) starptautiskās finanšu institūcijas izskata iespēju piedāvāt finanšu produktus, kas ir domāti energoefektivitātes paaugstināšanas projektu finansēšanai tirgus segmentos, kur pašlaik Latvijas kredītiestādes nevar piedāvāt līdzvērtīgus finanšu produktus. </w:t>
      </w:r>
    </w:p>
    <w:p w14:paraId="5B31D553" w14:textId="6CA72870" w:rsidR="007B2931" w:rsidRPr="008E4EB0" w:rsidRDefault="007B2931" w:rsidP="007B2931">
      <w:pPr>
        <w:spacing w:after="0"/>
        <w:ind w:firstLine="851"/>
        <w:jc w:val="both"/>
        <w:rPr>
          <w:rFonts w:ascii="Times New Roman" w:hAnsi="Times New Roman" w:cs="Times New Roman"/>
          <w:sz w:val="24"/>
          <w:szCs w:val="24"/>
        </w:rPr>
      </w:pPr>
      <w:r w:rsidRPr="008E4EB0">
        <w:rPr>
          <w:rFonts w:ascii="Times New Roman" w:hAnsi="Times New Roman" w:cs="Times New Roman"/>
          <w:sz w:val="24"/>
          <w:szCs w:val="24"/>
        </w:rPr>
        <w:t xml:space="preserve">ESKO īstenoto </w:t>
      </w:r>
      <w:r w:rsidR="00CE0F55" w:rsidRPr="008E4EB0">
        <w:rPr>
          <w:rFonts w:ascii="Times New Roman" w:hAnsi="Times New Roman" w:cs="Times New Roman"/>
          <w:sz w:val="24"/>
          <w:szCs w:val="24"/>
        </w:rPr>
        <w:t>atjaunošanas</w:t>
      </w:r>
      <w:r w:rsidRPr="008E4EB0">
        <w:rPr>
          <w:rFonts w:ascii="Times New Roman" w:hAnsi="Times New Roman" w:cs="Times New Roman"/>
          <w:sz w:val="24"/>
          <w:szCs w:val="24"/>
        </w:rPr>
        <w:t xml:space="preserve"> projektu skaitu ierobežo pašu kapitāla lielums, tāpēc ERAB piedāvā problēmas risinājumu: izveidot energopakalpojuma sniedzēja mērķa uzņēmumu (angļu val. special purpose vehicle, turpmāk – SPV), kas aizņemas ilgtermiņa finanšu resursus no ERAB (vai citām kredītiestādēm) un pārkreditē ESKO ņemtos aizņēmumus kredītiestādēs, tādējādi atbrīvojot šo uzņēmumu bilanci no ilgtermiņa kreditoru saistībām. </w:t>
      </w:r>
    </w:p>
    <w:p w14:paraId="21D1C944" w14:textId="77777777" w:rsidR="007B2931" w:rsidRPr="008E4EB0" w:rsidRDefault="007B2931" w:rsidP="007B2931">
      <w:pPr>
        <w:spacing w:after="0"/>
        <w:ind w:firstLine="851"/>
        <w:jc w:val="both"/>
        <w:rPr>
          <w:rFonts w:ascii="Times New Roman" w:hAnsi="Times New Roman" w:cs="Times New Roman"/>
          <w:sz w:val="24"/>
          <w:szCs w:val="24"/>
        </w:rPr>
      </w:pPr>
      <w:r w:rsidRPr="008E4EB0">
        <w:rPr>
          <w:rFonts w:ascii="Times New Roman" w:hAnsi="Times New Roman" w:cs="Times New Roman"/>
          <w:sz w:val="24"/>
          <w:szCs w:val="24"/>
        </w:rPr>
        <w:t xml:space="preserve">ERAB interesē komerciāli dzīvotspējīgi projekti, tāpēc ir izvēlēti tieši ESKO projekti, kur finanšu ieguldījumi ir jāatpelna no siltumenerģijas ietaupījuma. Turklāt ESKO darbiniekiem ir jābūt atbilstošai kvalifikācijai, lai spētu kvalitatīvi kontrolēt dokumentu sagatavošanas procesu un būvdarbus, tādējādi ilgtermiņā nodrošinot siltumenerģijas patēriņa ekonomiju. </w:t>
      </w:r>
    </w:p>
    <w:p w14:paraId="0822EFB4" w14:textId="5EBF8AA5" w:rsidR="007B2931" w:rsidRPr="008E4EB0" w:rsidRDefault="007B2931" w:rsidP="007B2931">
      <w:pPr>
        <w:spacing w:after="0"/>
        <w:ind w:firstLine="851"/>
        <w:jc w:val="both"/>
        <w:rPr>
          <w:rFonts w:ascii="Times New Roman" w:hAnsi="Times New Roman" w:cs="Times New Roman"/>
          <w:sz w:val="24"/>
          <w:szCs w:val="24"/>
        </w:rPr>
      </w:pPr>
      <w:r w:rsidRPr="008E4EB0">
        <w:rPr>
          <w:rFonts w:ascii="Times New Roman" w:hAnsi="Times New Roman" w:cs="Times New Roman"/>
          <w:sz w:val="24"/>
          <w:szCs w:val="24"/>
        </w:rPr>
        <w:t>ESKO, nododot kredītsaistības SPV, turpinātu sniegt energoefektivitātes paaugstināšanas un siltumenerģija</w:t>
      </w:r>
      <w:r w:rsidR="00882547">
        <w:rPr>
          <w:rFonts w:ascii="Times New Roman" w:hAnsi="Times New Roman" w:cs="Times New Roman"/>
          <w:sz w:val="24"/>
          <w:szCs w:val="24"/>
        </w:rPr>
        <w:t xml:space="preserve"> </w:t>
      </w:r>
      <w:r w:rsidRPr="008E4EB0">
        <w:rPr>
          <w:rFonts w:ascii="Times New Roman" w:hAnsi="Times New Roman" w:cs="Times New Roman"/>
          <w:sz w:val="24"/>
          <w:szCs w:val="24"/>
        </w:rPr>
        <w:t xml:space="preserve">s piegādes pakalpojumus visā energoefektivitātes pakalpojumu līguma (turpmāk – EPL) darbības laikā. Tas nozīmē, ka arī SPV ir jābūt atbilstošai kvalifikācijai, lai spētu veikt ESKO projektu drošu atlasi un nodrošināt kvalitatīvu ESKO darbības uzraudzību ilgtermiņa periodā. </w:t>
      </w:r>
    </w:p>
    <w:p w14:paraId="3F527022" w14:textId="079D66CF" w:rsidR="007B2931" w:rsidRPr="008E4EB0" w:rsidRDefault="007B2931" w:rsidP="007B2931">
      <w:pPr>
        <w:spacing w:after="0"/>
        <w:ind w:firstLine="851"/>
        <w:jc w:val="both"/>
        <w:rPr>
          <w:rFonts w:ascii="Times New Roman" w:hAnsi="Times New Roman" w:cs="Times New Roman"/>
          <w:sz w:val="24"/>
          <w:szCs w:val="24"/>
        </w:rPr>
      </w:pPr>
      <w:r w:rsidRPr="008E4EB0">
        <w:rPr>
          <w:rFonts w:ascii="Times New Roman" w:hAnsi="Times New Roman" w:cs="Times New Roman"/>
          <w:sz w:val="24"/>
          <w:szCs w:val="24"/>
        </w:rPr>
        <w:t xml:space="preserve">ERAB izvirzītās standarta prasības SPV ir pieredzējis un kvalificēts personāls, pozitīva saimnieciskās darbības vēsture (t.i., aizdevums visdrīzāk netiks piešķirts start-up uzņēmumam), pieredze darbā ar atbilstoša mēroga energoefektivitātes paaugstināšanas projektiem un pietiekami liels pamatkapitāls (atbilstošs bankas izvirzītajām minimālajām prasībām). </w:t>
      </w:r>
    </w:p>
    <w:p w14:paraId="16D909C8" w14:textId="77777777" w:rsidR="00FF3BE3" w:rsidRDefault="007B2931" w:rsidP="007B2931">
      <w:pPr>
        <w:spacing w:after="0"/>
        <w:ind w:firstLine="851"/>
        <w:jc w:val="both"/>
        <w:rPr>
          <w:rFonts w:ascii="Times New Roman" w:hAnsi="Times New Roman" w:cs="Times New Roman"/>
          <w:sz w:val="24"/>
          <w:szCs w:val="24"/>
        </w:rPr>
      </w:pPr>
      <w:r w:rsidRPr="008E4EB0">
        <w:rPr>
          <w:rFonts w:ascii="Times New Roman" w:hAnsi="Times New Roman" w:cs="Times New Roman"/>
          <w:sz w:val="24"/>
          <w:szCs w:val="24"/>
        </w:rPr>
        <w:t>Minimālais aizdevuma apjoms, ko ir gatava piešķirt ERAB vienam SPV, ir 10 miljoni EUR (salīdzinājumam norādām, ka SIA „Renesco” (ESKO) kredītportfelis 15 daudzdzīvokļu māju energoefektivitātes paaugstināšanai ir 3,089 miljoni EUR). Maksimālais aizdevumu apjoms nav ierobežots, un to nosaka tirgus apstākļi.</w:t>
      </w:r>
    </w:p>
    <w:p w14:paraId="58A4947A" w14:textId="0624F966" w:rsidR="007B2931" w:rsidRPr="008E4EB0" w:rsidRDefault="00FF3BE3" w:rsidP="005D5795">
      <w:pPr>
        <w:spacing w:after="0"/>
        <w:ind w:firstLine="851"/>
        <w:jc w:val="both"/>
        <w:rPr>
          <w:rFonts w:ascii="Times New Roman" w:hAnsi="Times New Roman" w:cs="Times New Roman"/>
          <w:sz w:val="24"/>
          <w:szCs w:val="24"/>
        </w:rPr>
      </w:pPr>
      <w:r>
        <w:rPr>
          <w:rFonts w:ascii="Times New Roman" w:hAnsi="Times New Roman" w:cs="Times New Roman"/>
          <w:sz w:val="24"/>
          <w:szCs w:val="24"/>
        </w:rPr>
        <w:t>Kopējās vajadzības energoefektivitātes paaugstināšanai valstī ir mērāmas vair</w:t>
      </w:r>
      <w:r w:rsidR="005D5795">
        <w:rPr>
          <w:rFonts w:ascii="Times New Roman" w:hAnsi="Times New Roman" w:cs="Times New Roman"/>
          <w:sz w:val="24"/>
          <w:szCs w:val="24"/>
        </w:rPr>
        <w:t>ākos miljardos EUR</w:t>
      </w:r>
      <w:r>
        <w:rPr>
          <w:rFonts w:ascii="Times New Roman" w:hAnsi="Times New Roman" w:cs="Times New Roman"/>
          <w:sz w:val="24"/>
          <w:szCs w:val="24"/>
        </w:rPr>
        <w:t>. Lai SPV varētu pastāvēt ilgtermiņā un piesaistīt apjomīgus finansējuma apmērus, ir nepieciešams domāt par vērtspapīru izlaidi. SPV,</w:t>
      </w:r>
      <w:r w:rsidR="005D5795">
        <w:rPr>
          <w:rFonts w:ascii="Times New Roman" w:hAnsi="Times New Roman" w:cs="Times New Roman"/>
          <w:sz w:val="24"/>
          <w:szCs w:val="24"/>
        </w:rPr>
        <w:t xml:space="preserve"> uzkrājot pieredzi un izveidojot </w:t>
      </w:r>
      <w:r w:rsidR="004459F3">
        <w:rPr>
          <w:rFonts w:ascii="Times New Roman" w:hAnsi="Times New Roman" w:cs="Times New Roman"/>
          <w:sz w:val="24"/>
          <w:szCs w:val="24"/>
        </w:rPr>
        <w:t xml:space="preserve">pietiekami lielu </w:t>
      </w:r>
      <w:r w:rsidR="005D5795">
        <w:rPr>
          <w:rFonts w:ascii="Times New Roman" w:hAnsi="Times New Roman" w:cs="Times New Roman"/>
          <w:sz w:val="24"/>
          <w:szCs w:val="24"/>
        </w:rPr>
        <w:t>projektu portfeli</w:t>
      </w:r>
      <w:r w:rsidR="004459F3">
        <w:rPr>
          <w:rFonts w:ascii="Times New Roman" w:hAnsi="Times New Roman" w:cs="Times New Roman"/>
          <w:sz w:val="24"/>
          <w:szCs w:val="24"/>
        </w:rPr>
        <w:t xml:space="preserve"> (&gt;50 miljoni</w:t>
      </w:r>
      <w:r w:rsidR="005D5795">
        <w:rPr>
          <w:rFonts w:ascii="Times New Roman" w:hAnsi="Times New Roman" w:cs="Times New Roman"/>
          <w:sz w:val="24"/>
          <w:szCs w:val="24"/>
        </w:rPr>
        <w:t xml:space="preserve"> EUR</w:t>
      </w:r>
      <w:r w:rsidR="004459F3">
        <w:rPr>
          <w:rFonts w:ascii="Times New Roman" w:hAnsi="Times New Roman" w:cs="Times New Roman"/>
          <w:sz w:val="24"/>
          <w:szCs w:val="24"/>
        </w:rPr>
        <w:t>)</w:t>
      </w:r>
      <w:r w:rsidR="005D5795">
        <w:rPr>
          <w:rFonts w:ascii="Times New Roman" w:hAnsi="Times New Roman" w:cs="Times New Roman"/>
          <w:sz w:val="24"/>
          <w:szCs w:val="24"/>
        </w:rPr>
        <w:t>, ir iespējams</w:t>
      </w:r>
      <w:r>
        <w:rPr>
          <w:rFonts w:ascii="Times New Roman" w:hAnsi="Times New Roman" w:cs="Times New Roman"/>
          <w:sz w:val="24"/>
          <w:szCs w:val="24"/>
        </w:rPr>
        <w:t xml:space="preserve"> ieg</w:t>
      </w:r>
      <w:r w:rsidR="005D5795">
        <w:rPr>
          <w:rFonts w:ascii="Times New Roman" w:hAnsi="Times New Roman" w:cs="Times New Roman"/>
          <w:sz w:val="24"/>
          <w:szCs w:val="24"/>
        </w:rPr>
        <w:t xml:space="preserve">ūt </w:t>
      </w:r>
      <w:r>
        <w:rPr>
          <w:rFonts w:ascii="Times New Roman" w:hAnsi="Times New Roman" w:cs="Times New Roman"/>
          <w:sz w:val="24"/>
          <w:szCs w:val="24"/>
        </w:rPr>
        <w:t>kredītreitingu</w:t>
      </w:r>
      <w:r w:rsidR="005D5795">
        <w:rPr>
          <w:rFonts w:ascii="Times New Roman" w:hAnsi="Times New Roman" w:cs="Times New Roman"/>
          <w:sz w:val="24"/>
          <w:szCs w:val="24"/>
        </w:rPr>
        <w:t xml:space="preserve"> no vismaz divām top trīs reitingu aģentūrām</w:t>
      </w:r>
      <w:r>
        <w:rPr>
          <w:rFonts w:ascii="Times New Roman" w:hAnsi="Times New Roman" w:cs="Times New Roman"/>
          <w:sz w:val="24"/>
          <w:szCs w:val="24"/>
        </w:rPr>
        <w:t xml:space="preserve"> (</w:t>
      </w:r>
      <w:r w:rsidR="005D5795">
        <w:rPr>
          <w:rFonts w:ascii="Times New Roman" w:hAnsi="Times New Roman" w:cs="Times New Roman"/>
          <w:sz w:val="24"/>
          <w:szCs w:val="24"/>
        </w:rPr>
        <w:t>Moody’s, S&amp;P, Fitch</w:t>
      </w:r>
      <w:r>
        <w:rPr>
          <w:rFonts w:ascii="Times New Roman" w:hAnsi="Times New Roman" w:cs="Times New Roman"/>
          <w:sz w:val="24"/>
          <w:szCs w:val="24"/>
        </w:rPr>
        <w:t>)</w:t>
      </w:r>
      <w:r w:rsidR="005D5795">
        <w:rPr>
          <w:rFonts w:ascii="Times New Roman" w:hAnsi="Times New Roman" w:cs="Times New Roman"/>
          <w:sz w:val="24"/>
          <w:szCs w:val="24"/>
        </w:rPr>
        <w:t xml:space="preserve">. </w:t>
      </w:r>
      <w:r w:rsidR="005D5795" w:rsidRPr="005D5795">
        <w:rPr>
          <w:rFonts w:ascii="Times New Roman" w:hAnsi="Times New Roman" w:cs="Times New Roman"/>
          <w:sz w:val="24"/>
          <w:szCs w:val="24"/>
        </w:rPr>
        <w:t>Tādā veidā būtu iespējams piekļūt, piemēram, obligāciju</w:t>
      </w:r>
      <w:r w:rsidR="005D5795">
        <w:rPr>
          <w:rFonts w:ascii="Times New Roman" w:hAnsi="Times New Roman" w:cs="Times New Roman"/>
          <w:sz w:val="24"/>
          <w:szCs w:val="24"/>
        </w:rPr>
        <w:t xml:space="preserve"> </w:t>
      </w:r>
      <w:r w:rsidR="005D5795" w:rsidRPr="005D5795">
        <w:rPr>
          <w:rFonts w:ascii="Times New Roman" w:hAnsi="Times New Roman" w:cs="Times New Roman"/>
          <w:sz w:val="24"/>
          <w:szCs w:val="24"/>
        </w:rPr>
        <w:t xml:space="preserve">starptautiskajiem tirgiem </w:t>
      </w:r>
      <w:r w:rsidR="004459F3">
        <w:rPr>
          <w:rFonts w:ascii="Times New Roman" w:hAnsi="Times New Roman" w:cs="Times New Roman"/>
          <w:sz w:val="24"/>
          <w:szCs w:val="24"/>
        </w:rPr>
        <w:t>p</w:t>
      </w:r>
      <w:r w:rsidR="005D5795" w:rsidRPr="005D5795">
        <w:rPr>
          <w:rFonts w:ascii="Times New Roman" w:hAnsi="Times New Roman" w:cs="Times New Roman"/>
          <w:sz w:val="24"/>
          <w:szCs w:val="24"/>
        </w:rPr>
        <w:t>ar konkurētspējīgām likmēm, lai turpinātu finansēt nākotnes</w:t>
      </w:r>
      <w:r w:rsidR="005D5795">
        <w:rPr>
          <w:rFonts w:ascii="Times New Roman" w:hAnsi="Times New Roman" w:cs="Times New Roman"/>
          <w:sz w:val="24"/>
          <w:szCs w:val="24"/>
        </w:rPr>
        <w:t xml:space="preserve"> EPL</w:t>
      </w:r>
      <w:r w:rsidR="005D5795" w:rsidRPr="005D5795">
        <w:rPr>
          <w:rFonts w:ascii="Times New Roman" w:hAnsi="Times New Roman" w:cs="Times New Roman"/>
          <w:sz w:val="24"/>
          <w:szCs w:val="24"/>
        </w:rPr>
        <w:t xml:space="preserve"> projektus, kā arī Latvijas pensiju fondi varētu iegādāties fonda obligācijas, investējot</w:t>
      </w:r>
      <w:r w:rsidR="005D5795">
        <w:rPr>
          <w:rFonts w:ascii="Times New Roman" w:hAnsi="Times New Roman" w:cs="Times New Roman"/>
          <w:sz w:val="24"/>
          <w:szCs w:val="24"/>
        </w:rPr>
        <w:t xml:space="preserve"> </w:t>
      </w:r>
      <w:r w:rsidR="005D5795" w:rsidRPr="005D5795">
        <w:rPr>
          <w:rFonts w:ascii="Times New Roman" w:hAnsi="Times New Roman" w:cs="Times New Roman"/>
          <w:sz w:val="24"/>
          <w:szCs w:val="24"/>
        </w:rPr>
        <w:t>savas valsts tautsaimniecībā, nevis veicinot citu valstu ekon</w:t>
      </w:r>
      <w:r w:rsidR="005D5795">
        <w:rPr>
          <w:rFonts w:ascii="Times New Roman" w:hAnsi="Times New Roman" w:cs="Times New Roman"/>
          <w:sz w:val="24"/>
          <w:szCs w:val="24"/>
        </w:rPr>
        <w:t xml:space="preserve">omiku, kā tas notiek pašreiz. Pagaidām </w:t>
      </w:r>
      <w:r w:rsidR="005D5795" w:rsidRPr="005D5795">
        <w:rPr>
          <w:rFonts w:ascii="Times New Roman" w:hAnsi="Times New Roman" w:cs="Times New Roman"/>
          <w:sz w:val="24"/>
          <w:szCs w:val="24"/>
        </w:rPr>
        <w:t>pensiju fondi nevar investēt Latvijā</w:t>
      </w:r>
      <w:r w:rsidR="005D5795">
        <w:rPr>
          <w:rFonts w:ascii="Times New Roman" w:hAnsi="Times New Roman" w:cs="Times New Roman"/>
          <w:sz w:val="24"/>
          <w:szCs w:val="24"/>
        </w:rPr>
        <w:t xml:space="preserve">, jo nav pieejami stabili un droši </w:t>
      </w:r>
      <w:r w:rsidR="005D5795" w:rsidRPr="005D5795">
        <w:rPr>
          <w:rFonts w:ascii="Times New Roman" w:hAnsi="Times New Roman" w:cs="Times New Roman"/>
          <w:sz w:val="24"/>
          <w:szCs w:val="24"/>
        </w:rPr>
        <w:t>investīciju</w:t>
      </w:r>
      <w:r w:rsidR="005D5795">
        <w:rPr>
          <w:rFonts w:ascii="Times New Roman" w:hAnsi="Times New Roman" w:cs="Times New Roman"/>
          <w:sz w:val="24"/>
          <w:szCs w:val="24"/>
        </w:rPr>
        <w:t xml:space="preserve"> instrumenti</w:t>
      </w:r>
      <w:r w:rsidR="005D5795" w:rsidRPr="005D5795">
        <w:rPr>
          <w:rFonts w:ascii="Times New Roman" w:hAnsi="Times New Roman" w:cs="Times New Roman"/>
          <w:sz w:val="24"/>
          <w:szCs w:val="24"/>
        </w:rPr>
        <w:t>.</w:t>
      </w:r>
    </w:p>
    <w:p w14:paraId="5DB04E73" w14:textId="77777777" w:rsidR="007B2931" w:rsidRPr="008E4EB0" w:rsidRDefault="007B2931" w:rsidP="007B2931">
      <w:pPr>
        <w:spacing w:after="0" w:line="276" w:lineRule="auto"/>
        <w:jc w:val="both"/>
        <w:rPr>
          <w:rFonts w:ascii="Times New Roman" w:hAnsi="Times New Roman" w:cs="Times New Roman"/>
          <w:sz w:val="24"/>
          <w:szCs w:val="24"/>
        </w:rPr>
      </w:pPr>
    </w:p>
    <w:p w14:paraId="58421556" w14:textId="25C7DFD2" w:rsidR="00990903" w:rsidRPr="008E4EB0" w:rsidRDefault="00990903" w:rsidP="00D82FCF">
      <w:pPr>
        <w:pStyle w:val="apakapakvirsraksts"/>
      </w:pPr>
      <w:bookmarkStart w:id="128" w:name="_Toc480527987"/>
      <w:bookmarkStart w:id="129" w:name="_Toc491870935"/>
      <w:r w:rsidRPr="008E4EB0">
        <w:lastRenderedPageBreak/>
        <w:t>Pašvaldības energoservisa uzņēmums (PESKO)</w:t>
      </w:r>
      <w:bookmarkEnd w:id="128"/>
      <w:bookmarkEnd w:id="129"/>
    </w:p>
    <w:p w14:paraId="3EFA8F5D" w14:textId="77777777" w:rsidR="007B2931" w:rsidRPr="008E4EB0" w:rsidRDefault="007B2931" w:rsidP="007B2931">
      <w:pPr>
        <w:spacing w:after="0" w:line="276" w:lineRule="auto"/>
        <w:jc w:val="both"/>
        <w:rPr>
          <w:rFonts w:ascii="Times New Roman" w:hAnsi="Times New Roman" w:cs="Times New Roman"/>
          <w:sz w:val="24"/>
          <w:szCs w:val="24"/>
        </w:rPr>
      </w:pPr>
    </w:p>
    <w:p w14:paraId="79ACBF5C" w14:textId="62A371A3" w:rsidR="007B2931" w:rsidRPr="008E4EB0" w:rsidRDefault="007B2931" w:rsidP="007B2931">
      <w:pPr>
        <w:spacing w:after="0" w:line="240" w:lineRule="auto"/>
        <w:ind w:firstLine="851"/>
        <w:jc w:val="both"/>
        <w:rPr>
          <w:rFonts w:ascii="Times New Roman" w:eastAsia="Calibri" w:hAnsi="Times New Roman" w:cs="Times New Roman"/>
          <w:sz w:val="24"/>
        </w:rPr>
      </w:pPr>
      <w:r w:rsidRPr="008E4EB0">
        <w:rPr>
          <w:rFonts w:ascii="Times New Roman" w:eastAsia="Calibri" w:hAnsi="Times New Roman" w:cs="Times New Roman"/>
          <w:sz w:val="24"/>
        </w:rPr>
        <w:t>Pašvaldības energoservisa kompānija (turpmāk – PES</w:t>
      </w:r>
      <w:r w:rsidR="002B3767" w:rsidRPr="008E4EB0">
        <w:rPr>
          <w:rFonts w:ascii="Times New Roman" w:eastAsia="Calibri" w:hAnsi="Times New Roman" w:cs="Times New Roman"/>
          <w:sz w:val="24"/>
        </w:rPr>
        <w:t>K</w:t>
      </w:r>
      <w:r w:rsidRPr="008E4EB0">
        <w:rPr>
          <w:rFonts w:ascii="Times New Roman" w:eastAsia="Calibri" w:hAnsi="Times New Roman" w:cs="Times New Roman"/>
          <w:sz w:val="24"/>
        </w:rPr>
        <w:t xml:space="preserve">O) ir pašvaldībai piederošs uzņēmums, kas darbojas pēc energoservisa kompānijas principiem, darbībai izmantojot pašvaldības finanšu līdzekļus un piesaistītu finansējumu. Parasti pašvaldības mērķis nav peļņas gūšana, bet gan savā īpašumā esošu sabiedrisko ēku un pilsētas vai reģiona dzīvojamā fonda sakārtošana, ja kādu iemeslu dēļ to nevar veikt iedzīvotāji vai ESKO. PESKO var nodrošināt arī tādu daudzdzīvokļu ēku </w:t>
      </w:r>
      <w:r w:rsidR="00CE0F55" w:rsidRPr="008E4EB0">
        <w:rPr>
          <w:rFonts w:ascii="Times New Roman" w:eastAsia="Calibri" w:hAnsi="Times New Roman" w:cs="Times New Roman"/>
          <w:sz w:val="24"/>
        </w:rPr>
        <w:t>atjaunošanu</w:t>
      </w:r>
      <w:r w:rsidRPr="008E4EB0">
        <w:rPr>
          <w:rFonts w:ascii="Times New Roman" w:eastAsia="Calibri" w:hAnsi="Times New Roman" w:cs="Times New Roman"/>
          <w:sz w:val="24"/>
        </w:rPr>
        <w:t xml:space="preserve">, kuru atmaksāšanās riska dēļ neveic ESKO vai iedzīvotāji. </w:t>
      </w:r>
    </w:p>
    <w:p w14:paraId="2169E84D" w14:textId="6E509DD1" w:rsidR="001015F6" w:rsidRPr="001015F6" w:rsidRDefault="007B2931" w:rsidP="00B13D71">
      <w:pPr>
        <w:spacing w:after="0" w:line="240" w:lineRule="auto"/>
        <w:ind w:firstLine="851"/>
        <w:jc w:val="both"/>
        <w:rPr>
          <w:rFonts w:ascii="Times New Roman" w:eastAsia="Calibri" w:hAnsi="Times New Roman" w:cs="Times New Roman"/>
          <w:sz w:val="24"/>
        </w:rPr>
      </w:pPr>
      <w:r w:rsidRPr="008E4EB0">
        <w:rPr>
          <w:rFonts w:ascii="Times New Roman" w:eastAsia="Calibri" w:hAnsi="Times New Roman" w:cs="Times New Roman"/>
          <w:sz w:val="24"/>
        </w:rPr>
        <w:t>Latvijā līdz šim nav lielas pieredzes ar PESKO modeli. Neskatoties uz to, SIA „Rīgas namu pārvaldnieks” ir pieredze šāda modeļa ieviešanā, piedāvājot iedzīvotājiem slēgt ESKO līgumus, kā arī citās pilsētās ir zināma pieredze. Tomēr šāda modeļa attīstība varētu būt iespējama pašvaldību līmenī gadījumā, ja tiek piedāvāti finanšu resursi PESKO attīstībai.</w:t>
      </w:r>
      <w:r w:rsidRPr="008E4EB0">
        <w:rPr>
          <w:rFonts w:ascii="Times New Roman" w:eastAsia="Calibri" w:hAnsi="Times New Roman" w:cs="Times New Roman"/>
          <w:sz w:val="24"/>
          <w:vertAlign w:val="superscript"/>
        </w:rPr>
        <w:t>37</w:t>
      </w:r>
    </w:p>
    <w:p w14:paraId="62555DA0" w14:textId="6B911FAE" w:rsidR="007B2931" w:rsidRPr="008E4EB0" w:rsidRDefault="00560590" w:rsidP="009866B6">
      <w:pPr>
        <w:pStyle w:val="teksts"/>
        <w:spacing w:after="0"/>
        <w:ind w:firstLine="720"/>
        <w:jc w:val="both"/>
      </w:pPr>
      <w:r w:rsidRPr="00BF58E9" w:rsidDel="00560590">
        <w:t xml:space="preserve"> </w:t>
      </w:r>
    </w:p>
    <w:p w14:paraId="5763ED85" w14:textId="0D497AAC" w:rsidR="007B2931" w:rsidRPr="00B13D71" w:rsidRDefault="00990903" w:rsidP="009866B6">
      <w:pPr>
        <w:pStyle w:val="apakapakvirsraksts"/>
      </w:pPr>
      <w:bookmarkStart w:id="130" w:name="_Toc480527989"/>
      <w:bookmarkStart w:id="131" w:name="_Toc491870936"/>
      <w:r w:rsidRPr="008E4EB0">
        <w:t>Energoservisa pakalpojumi (ESKO)</w:t>
      </w:r>
      <w:bookmarkEnd w:id="130"/>
      <w:bookmarkEnd w:id="131"/>
    </w:p>
    <w:p w14:paraId="135BE4C3" w14:textId="77777777" w:rsidR="007B2931" w:rsidRPr="008E4EB0" w:rsidRDefault="007B2931" w:rsidP="007B2931">
      <w:pPr>
        <w:spacing w:after="0" w:line="240" w:lineRule="auto"/>
        <w:ind w:firstLine="851"/>
        <w:jc w:val="both"/>
        <w:rPr>
          <w:rFonts w:ascii="Times New Roman" w:eastAsia="Calibri" w:hAnsi="Times New Roman" w:cs="Times New Roman"/>
          <w:sz w:val="24"/>
        </w:rPr>
      </w:pPr>
      <w:r w:rsidRPr="008E4EB0">
        <w:rPr>
          <w:rFonts w:ascii="Times New Roman" w:eastAsia="Calibri" w:hAnsi="Times New Roman" w:cs="Times New Roman"/>
          <w:sz w:val="24"/>
        </w:rPr>
        <w:t>Energoservisa pakalpojumu sniegšana kā komercdarbības nozare ir izplatīta, t.s., vecajās ES valstīs, ASV un citur pasaulē, vienlaikus tā joprojām attīstās un ne visās valstīs ir plaši izplatīta. Būtiski norādīt, ka šī prakse galvenokārt ir piemērota nedzīvojamo ēku (publisko un komerciālu) sektoros un dzīvojamo māju sektoros līdz šim ir maz izplatīta.</w:t>
      </w:r>
    </w:p>
    <w:p w14:paraId="4763D645" w14:textId="6E5AB09A" w:rsidR="007B2931" w:rsidRPr="008E4EB0" w:rsidRDefault="007B2931" w:rsidP="007B2931">
      <w:pPr>
        <w:spacing w:after="0" w:line="240" w:lineRule="auto"/>
        <w:ind w:firstLine="851"/>
        <w:jc w:val="both"/>
        <w:rPr>
          <w:rFonts w:ascii="Times New Roman" w:eastAsia="Calibri" w:hAnsi="Times New Roman" w:cs="Times New Roman"/>
          <w:sz w:val="24"/>
        </w:rPr>
      </w:pPr>
      <w:r w:rsidRPr="008E4EB0">
        <w:rPr>
          <w:rFonts w:ascii="Times New Roman" w:eastAsia="Calibri" w:hAnsi="Times New Roman" w:cs="Times New Roman"/>
          <w:sz w:val="24"/>
        </w:rPr>
        <w:t xml:space="preserve">Energoservisa kompānija (turpmāk - ESKO) ir uzņēmējdarbības veids, kas piesaistot privātā sektora, piemēram, komercbanku līdzekļus, sniedz plašu ar enerģētikas nozari saistītu pakalpojumu klāstu, t.sk., īstenojot energotaupības projektus, enerģētikas infrastruktūras ārpakalpojumus, enerģijas ražošanu un piegādi, kā arī risku pārvaldību. Tādēļ ESKO darbība ļauj atjaunot nekustamos īpašumus, kuru </w:t>
      </w:r>
      <w:r w:rsidR="00CE0F55" w:rsidRPr="008E4EB0">
        <w:rPr>
          <w:rFonts w:ascii="Times New Roman" w:eastAsia="Calibri" w:hAnsi="Times New Roman" w:cs="Times New Roman"/>
          <w:sz w:val="24"/>
        </w:rPr>
        <w:t>atjaunošana</w:t>
      </w:r>
      <w:r w:rsidRPr="008E4EB0">
        <w:rPr>
          <w:rFonts w:ascii="Times New Roman" w:eastAsia="Calibri" w:hAnsi="Times New Roman" w:cs="Times New Roman"/>
          <w:sz w:val="24"/>
        </w:rPr>
        <w:t xml:space="preserve">i valstij vai pašvaldībai nepietiek līdzekļu. Tā kā ESKO finansiāli ir ieinteresēta pēc iespējas labāku energoefektivitātes rādītāju sasniegšanā, pasūtītājam tā darbība nav saistīta ar būtisku risku. ESKO veiktās dzīvojamās mājas </w:t>
      </w:r>
      <w:r w:rsidR="00CE0F55" w:rsidRPr="008E4EB0">
        <w:rPr>
          <w:rFonts w:ascii="Times New Roman" w:eastAsia="Calibri" w:hAnsi="Times New Roman" w:cs="Times New Roman"/>
          <w:sz w:val="24"/>
        </w:rPr>
        <w:t>atjaunošanas</w:t>
      </w:r>
      <w:r w:rsidRPr="008E4EB0">
        <w:rPr>
          <w:rFonts w:ascii="Times New Roman" w:eastAsia="Calibri" w:hAnsi="Times New Roman" w:cs="Times New Roman"/>
          <w:sz w:val="24"/>
        </w:rPr>
        <w:t xml:space="preserve"> rezultātā pilsēta iegūst sakoptu pilsētvidi ar atjaunotu dzīvojamo fondu, bet iedzīvotāji – </w:t>
      </w:r>
      <w:r w:rsidR="00CE0F55" w:rsidRPr="008E4EB0">
        <w:rPr>
          <w:rFonts w:ascii="Times New Roman" w:eastAsia="Calibri" w:hAnsi="Times New Roman" w:cs="Times New Roman"/>
          <w:sz w:val="24"/>
        </w:rPr>
        <w:t>atjaunotu</w:t>
      </w:r>
      <w:r w:rsidRPr="008E4EB0">
        <w:rPr>
          <w:rFonts w:ascii="Times New Roman" w:eastAsia="Calibri" w:hAnsi="Times New Roman" w:cs="Times New Roman"/>
          <w:sz w:val="24"/>
        </w:rPr>
        <w:t xml:space="preserve"> nekustamo īpašumu, kam ir palielinājusies tirgus vērtība. Šo iemeslu dēļ ES izrāda centienus, kas stimulētu plašāku ESKO iesaisti energoefektivitātes projektu īstenošanā, lai nodrošinātu papildu finanšu piesaisti un efektīvu investīciju atdevi.</w:t>
      </w:r>
    </w:p>
    <w:p w14:paraId="5C1FEF34" w14:textId="60857925" w:rsidR="007B2931" w:rsidRPr="008E4EB0" w:rsidRDefault="007B2931" w:rsidP="007B2931">
      <w:pPr>
        <w:spacing w:after="0" w:line="240" w:lineRule="auto"/>
        <w:ind w:firstLine="851"/>
        <w:jc w:val="both"/>
        <w:rPr>
          <w:rFonts w:ascii="Times New Roman" w:eastAsia="Calibri" w:hAnsi="Times New Roman" w:cs="Times New Roman"/>
          <w:sz w:val="24"/>
        </w:rPr>
      </w:pPr>
      <w:r w:rsidRPr="008E4EB0">
        <w:rPr>
          <w:rFonts w:ascii="Times New Roman" w:eastAsia="Calibri" w:hAnsi="Times New Roman" w:cs="Times New Roman"/>
          <w:sz w:val="24"/>
        </w:rPr>
        <w:t xml:space="preserve">ESKO var būt jebkuras nozares uzņēmums vai uzņēmumu grupa ar pieeju brīviem finanšu līdzekļiem un iespējām garantēt lētus kredītus, kā arī ar interesi darboties energoefektivitātes jomā.  </w:t>
      </w:r>
    </w:p>
    <w:p w14:paraId="7B85721B" w14:textId="77777777" w:rsidR="009E1DA3" w:rsidRPr="008E4EB0" w:rsidRDefault="009E1DA3" w:rsidP="007B2931">
      <w:pPr>
        <w:spacing w:after="0" w:line="240" w:lineRule="auto"/>
        <w:ind w:firstLine="851"/>
        <w:jc w:val="both"/>
        <w:rPr>
          <w:rFonts w:ascii="Times New Roman" w:eastAsia="Calibri" w:hAnsi="Times New Roman" w:cs="Times New Roman"/>
          <w:sz w:val="24"/>
        </w:rPr>
      </w:pPr>
    </w:p>
    <w:p w14:paraId="50288B6F" w14:textId="40885508" w:rsidR="007B2931" w:rsidRPr="008E4EB0" w:rsidRDefault="009E1DA3" w:rsidP="007B2931">
      <w:pPr>
        <w:spacing w:after="0" w:line="240" w:lineRule="auto"/>
        <w:ind w:firstLine="851"/>
        <w:jc w:val="center"/>
        <w:rPr>
          <w:rFonts w:ascii="Times New Roman" w:eastAsia="Calibri" w:hAnsi="Times New Roman" w:cs="Times New Roman"/>
          <w:sz w:val="24"/>
          <w:vertAlign w:val="superscript"/>
        </w:rPr>
      </w:pPr>
      <w:r w:rsidRPr="008E4EB0">
        <w:rPr>
          <w:rFonts w:ascii="Times New Roman" w:eastAsia="Calibri" w:hAnsi="Times New Roman" w:cs="Times New Roman"/>
          <w:sz w:val="24"/>
        </w:rPr>
        <w:t>8</w:t>
      </w:r>
      <w:r w:rsidR="007B2931" w:rsidRPr="008E4EB0">
        <w:rPr>
          <w:rFonts w:ascii="Times New Roman" w:eastAsia="Calibri" w:hAnsi="Times New Roman" w:cs="Times New Roman"/>
          <w:sz w:val="24"/>
        </w:rPr>
        <w:t>.attēls. ESKO modeļa finansējuma shēma</w:t>
      </w:r>
      <w:r w:rsidR="007B2931" w:rsidRPr="008E4EB0">
        <w:rPr>
          <w:rFonts w:ascii="Times New Roman" w:eastAsia="Calibri" w:hAnsi="Times New Roman" w:cs="Times New Roman"/>
          <w:sz w:val="24"/>
          <w:vertAlign w:val="superscript"/>
        </w:rPr>
        <w:t>2</w:t>
      </w:r>
    </w:p>
    <w:p w14:paraId="3E7A1098" w14:textId="77777777" w:rsidR="007B2931" w:rsidRPr="008E4EB0" w:rsidRDefault="007B2931" w:rsidP="007B2931">
      <w:pPr>
        <w:spacing w:after="0" w:line="240" w:lineRule="auto"/>
        <w:jc w:val="both"/>
        <w:rPr>
          <w:rFonts w:ascii="Times New Roman" w:eastAsia="Calibri" w:hAnsi="Times New Roman" w:cs="Times New Roman"/>
          <w:sz w:val="24"/>
        </w:rPr>
      </w:pPr>
    </w:p>
    <w:tbl>
      <w:tblPr>
        <w:tblW w:w="4500" w:type="pct"/>
        <w:jc w:val="center"/>
        <w:tblLook w:val="04A0" w:firstRow="1" w:lastRow="0" w:firstColumn="1" w:lastColumn="0" w:noHBand="0" w:noVBand="1"/>
      </w:tblPr>
      <w:tblGrid>
        <w:gridCol w:w="1528"/>
        <w:gridCol w:w="1576"/>
        <w:gridCol w:w="1389"/>
        <w:gridCol w:w="1576"/>
        <w:gridCol w:w="1397"/>
      </w:tblGrid>
      <w:tr w:rsidR="007B2931" w:rsidRPr="008E4EB0" w14:paraId="4F97C53A" w14:textId="77777777" w:rsidTr="00B744FC">
        <w:trPr>
          <w:jc w:val="center"/>
        </w:trPr>
        <w:tc>
          <w:tcPr>
            <w:tcW w:w="1695" w:type="dxa"/>
            <w:vMerge w:val="restart"/>
            <w:tcBorders>
              <w:top w:val="single" w:sz="4" w:space="0" w:color="auto"/>
              <w:left w:val="single" w:sz="4" w:space="0" w:color="auto"/>
              <w:right w:val="single" w:sz="4" w:space="0" w:color="auto"/>
            </w:tcBorders>
            <w:shd w:val="clear" w:color="auto" w:fill="auto"/>
            <w:vAlign w:val="center"/>
          </w:tcPr>
          <w:p w14:paraId="6BDB66F1" w14:textId="77777777" w:rsidR="007B2931" w:rsidRPr="008E4EB0" w:rsidRDefault="007B2931" w:rsidP="007B2931">
            <w:pPr>
              <w:spacing w:after="0" w:line="240" w:lineRule="auto"/>
              <w:jc w:val="center"/>
              <w:rPr>
                <w:rFonts w:ascii="Times New Roman" w:eastAsia="Calibri" w:hAnsi="Times New Roman" w:cs="Times New Roman"/>
                <w:b/>
                <w:sz w:val="24"/>
              </w:rPr>
            </w:pPr>
            <w:r w:rsidRPr="008E4EB0">
              <w:rPr>
                <w:rFonts w:ascii="Times New Roman" w:eastAsia="Calibri" w:hAnsi="Times New Roman" w:cs="Times New Roman"/>
                <w:b/>
                <w:sz w:val="24"/>
              </w:rPr>
              <w:t>Ēku īpašnieki</w:t>
            </w:r>
          </w:p>
          <w:p w14:paraId="5B090F94" w14:textId="77777777" w:rsidR="007B2931" w:rsidRPr="008E4EB0" w:rsidRDefault="007B2931" w:rsidP="007B2931">
            <w:pPr>
              <w:spacing w:after="0" w:line="240" w:lineRule="auto"/>
              <w:jc w:val="center"/>
              <w:rPr>
                <w:rFonts w:ascii="Times New Roman" w:eastAsia="Calibri" w:hAnsi="Times New Roman" w:cs="Times New Roman"/>
                <w:sz w:val="20"/>
              </w:rPr>
            </w:pPr>
            <w:r w:rsidRPr="008E4EB0">
              <w:rPr>
                <w:rFonts w:ascii="Times New Roman" w:eastAsia="Calibri" w:hAnsi="Times New Roman" w:cs="Times New Roman"/>
                <w:b/>
                <w:sz w:val="20"/>
              </w:rPr>
              <w:t>(enerģijas patērētāji)</w:t>
            </w:r>
          </w:p>
        </w:tc>
        <w:tc>
          <w:tcPr>
            <w:tcW w:w="1720" w:type="dxa"/>
            <w:tcBorders>
              <w:left w:val="single" w:sz="4" w:space="0" w:color="auto"/>
              <w:right w:val="single" w:sz="4" w:space="0" w:color="auto"/>
            </w:tcBorders>
            <w:shd w:val="clear" w:color="auto" w:fill="auto"/>
            <w:vAlign w:val="center"/>
          </w:tcPr>
          <w:p w14:paraId="05A78D7E" w14:textId="77777777" w:rsidR="007B2931" w:rsidRPr="008E4EB0" w:rsidRDefault="007B2931" w:rsidP="007B2931">
            <w:pPr>
              <w:spacing w:after="0" w:line="240" w:lineRule="auto"/>
              <w:jc w:val="center"/>
              <w:rPr>
                <w:rFonts w:ascii="Times New Roman" w:eastAsia="Calibri" w:hAnsi="Times New Roman" w:cs="Times New Roman"/>
                <w:sz w:val="20"/>
              </w:rPr>
            </w:pPr>
            <w:r w:rsidRPr="008E4EB0">
              <w:rPr>
                <w:rFonts w:ascii="Times New Roman" w:eastAsia="Calibri" w:hAnsi="Times New Roman" w:cs="Times New Roman"/>
                <w:sz w:val="20"/>
              </w:rPr>
              <w:t>Līgums par pasākumu īstenošanu</w:t>
            </w:r>
          </w:p>
        </w:tc>
        <w:tc>
          <w:tcPr>
            <w:tcW w:w="16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EBBD65" w14:textId="77777777" w:rsidR="007B2931" w:rsidRPr="008E4EB0" w:rsidRDefault="007B2931" w:rsidP="007B2931">
            <w:pPr>
              <w:spacing w:after="0" w:line="240" w:lineRule="auto"/>
              <w:jc w:val="center"/>
              <w:rPr>
                <w:rFonts w:ascii="Times New Roman" w:eastAsia="Calibri" w:hAnsi="Times New Roman" w:cs="Times New Roman"/>
                <w:b/>
                <w:sz w:val="20"/>
              </w:rPr>
            </w:pPr>
            <w:r w:rsidRPr="008E4EB0">
              <w:rPr>
                <w:rFonts w:ascii="Times New Roman" w:eastAsia="Calibri" w:hAnsi="Times New Roman" w:cs="Times New Roman"/>
                <w:b/>
                <w:sz w:val="24"/>
              </w:rPr>
              <w:t>ESKO</w:t>
            </w:r>
          </w:p>
        </w:tc>
        <w:tc>
          <w:tcPr>
            <w:tcW w:w="1724" w:type="dxa"/>
            <w:tcBorders>
              <w:left w:val="single" w:sz="4" w:space="0" w:color="auto"/>
              <w:right w:val="single" w:sz="4" w:space="0" w:color="auto"/>
            </w:tcBorders>
            <w:shd w:val="clear" w:color="auto" w:fill="auto"/>
            <w:vAlign w:val="center"/>
          </w:tcPr>
          <w:p w14:paraId="79CD7C04" w14:textId="77777777" w:rsidR="007B2931" w:rsidRPr="008E4EB0" w:rsidRDefault="007B2931" w:rsidP="007B2931">
            <w:pPr>
              <w:spacing w:after="0" w:line="240" w:lineRule="auto"/>
              <w:jc w:val="center"/>
              <w:rPr>
                <w:rFonts w:ascii="Times New Roman" w:eastAsia="Calibri" w:hAnsi="Times New Roman" w:cs="Times New Roman"/>
                <w:sz w:val="20"/>
              </w:rPr>
            </w:pPr>
            <w:r w:rsidRPr="008E4EB0">
              <w:rPr>
                <w:rFonts w:ascii="Times New Roman" w:eastAsia="Calibri" w:hAnsi="Times New Roman" w:cs="Times New Roman"/>
                <w:sz w:val="20"/>
              </w:rPr>
              <w:t>Vienošanās par finansējumu</w:t>
            </w:r>
          </w:p>
        </w:tc>
        <w:tc>
          <w:tcPr>
            <w:tcW w:w="16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1BABB9" w14:textId="77777777" w:rsidR="007B2931" w:rsidRPr="008E4EB0" w:rsidRDefault="007B2931" w:rsidP="007B2931">
            <w:pPr>
              <w:spacing w:after="0" w:line="240" w:lineRule="auto"/>
              <w:jc w:val="center"/>
              <w:rPr>
                <w:rFonts w:ascii="Times New Roman" w:eastAsia="Calibri" w:hAnsi="Times New Roman" w:cs="Times New Roman"/>
                <w:b/>
                <w:sz w:val="20"/>
              </w:rPr>
            </w:pPr>
            <w:r w:rsidRPr="008E4EB0">
              <w:rPr>
                <w:rFonts w:ascii="Times New Roman" w:eastAsia="Calibri" w:hAnsi="Times New Roman" w:cs="Times New Roman"/>
                <w:b/>
                <w:sz w:val="24"/>
              </w:rPr>
              <w:t>Banka</w:t>
            </w:r>
          </w:p>
        </w:tc>
      </w:tr>
      <w:tr w:rsidR="007B2931" w:rsidRPr="008E4EB0" w14:paraId="31BDAA37" w14:textId="77777777" w:rsidTr="00B744FC">
        <w:trPr>
          <w:jc w:val="center"/>
        </w:trPr>
        <w:tc>
          <w:tcPr>
            <w:tcW w:w="1695" w:type="dxa"/>
            <w:vMerge/>
            <w:tcBorders>
              <w:left w:val="single" w:sz="4" w:space="0" w:color="auto"/>
              <w:right w:val="single" w:sz="4" w:space="0" w:color="auto"/>
            </w:tcBorders>
            <w:shd w:val="clear" w:color="auto" w:fill="auto"/>
            <w:vAlign w:val="center"/>
          </w:tcPr>
          <w:p w14:paraId="0C7626ED" w14:textId="77777777" w:rsidR="007B2931" w:rsidRPr="008E4EB0" w:rsidRDefault="007B2931" w:rsidP="007B2931">
            <w:pPr>
              <w:spacing w:after="0" w:line="240" w:lineRule="auto"/>
              <w:jc w:val="center"/>
              <w:rPr>
                <w:rFonts w:ascii="Times New Roman" w:eastAsia="Calibri" w:hAnsi="Times New Roman" w:cs="Times New Roman"/>
                <w:sz w:val="20"/>
              </w:rPr>
            </w:pPr>
          </w:p>
        </w:tc>
        <w:tc>
          <w:tcPr>
            <w:tcW w:w="1720" w:type="dxa"/>
            <w:tcBorders>
              <w:left w:val="single" w:sz="4" w:space="0" w:color="auto"/>
              <w:right w:val="single" w:sz="4" w:space="0" w:color="auto"/>
            </w:tcBorders>
            <w:shd w:val="clear" w:color="auto" w:fill="auto"/>
            <w:vAlign w:val="center"/>
          </w:tcPr>
          <w:p w14:paraId="2BC0184F" w14:textId="77777777" w:rsidR="007B2931" w:rsidRPr="008E4EB0" w:rsidRDefault="007B2931" w:rsidP="007B2931">
            <w:pPr>
              <w:spacing w:after="0" w:line="240" w:lineRule="auto"/>
              <w:jc w:val="center"/>
              <w:rPr>
                <w:rFonts w:ascii="Times New Roman" w:eastAsia="Calibri" w:hAnsi="Times New Roman" w:cs="Times New Roman"/>
                <w:sz w:val="20"/>
              </w:rPr>
            </w:pPr>
            <w:r w:rsidRPr="008E4EB0">
              <w:rPr>
                <w:rFonts w:ascii="Times New Roman" w:eastAsia="Calibri" w:hAnsi="Times New Roman" w:cs="Times New Roman"/>
                <w:sz w:val="20"/>
              </w:rPr>
              <w:sym w:font="Wingdings" w:char="F0DF"/>
            </w:r>
            <w:r w:rsidRPr="008E4EB0">
              <w:rPr>
                <w:rFonts w:ascii="Times New Roman" w:eastAsia="Calibri" w:hAnsi="Times New Roman" w:cs="Times New Roman"/>
                <w:sz w:val="20"/>
              </w:rPr>
              <w:sym w:font="Wingdings" w:char="F0E0"/>
            </w:r>
          </w:p>
          <w:p w14:paraId="037149BF" w14:textId="77777777" w:rsidR="007B2931" w:rsidRPr="008E4EB0" w:rsidRDefault="007B2931" w:rsidP="007B2931">
            <w:pPr>
              <w:spacing w:after="0" w:line="240" w:lineRule="auto"/>
              <w:jc w:val="center"/>
              <w:rPr>
                <w:rFonts w:ascii="Times New Roman" w:eastAsia="Calibri" w:hAnsi="Times New Roman" w:cs="Times New Roman"/>
                <w:sz w:val="20"/>
              </w:rPr>
            </w:pPr>
          </w:p>
        </w:tc>
        <w:tc>
          <w:tcPr>
            <w:tcW w:w="1604" w:type="dxa"/>
            <w:vMerge/>
            <w:tcBorders>
              <w:left w:val="single" w:sz="4" w:space="0" w:color="auto"/>
              <w:bottom w:val="single" w:sz="4" w:space="0" w:color="auto"/>
              <w:right w:val="single" w:sz="4" w:space="0" w:color="auto"/>
            </w:tcBorders>
            <w:shd w:val="clear" w:color="auto" w:fill="auto"/>
            <w:vAlign w:val="center"/>
          </w:tcPr>
          <w:p w14:paraId="2C26DCF6" w14:textId="77777777" w:rsidR="007B2931" w:rsidRPr="008E4EB0" w:rsidRDefault="007B2931" w:rsidP="007B2931">
            <w:pPr>
              <w:spacing w:after="0" w:line="240" w:lineRule="auto"/>
              <w:jc w:val="center"/>
              <w:rPr>
                <w:rFonts w:ascii="Times New Roman" w:eastAsia="Calibri" w:hAnsi="Times New Roman" w:cs="Times New Roman"/>
                <w:sz w:val="20"/>
              </w:rPr>
            </w:pPr>
          </w:p>
        </w:tc>
        <w:tc>
          <w:tcPr>
            <w:tcW w:w="1724" w:type="dxa"/>
            <w:tcBorders>
              <w:left w:val="single" w:sz="4" w:space="0" w:color="auto"/>
              <w:right w:val="single" w:sz="4" w:space="0" w:color="auto"/>
            </w:tcBorders>
            <w:shd w:val="clear" w:color="auto" w:fill="auto"/>
            <w:vAlign w:val="center"/>
          </w:tcPr>
          <w:p w14:paraId="69F78229" w14:textId="77777777" w:rsidR="007B2931" w:rsidRPr="008E4EB0" w:rsidRDefault="007B2931" w:rsidP="007B2931">
            <w:pPr>
              <w:spacing w:after="0" w:line="240" w:lineRule="auto"/>
              <w:jc w:val="center"/>
              <w:rPr>
                <w:rFonts w:ascii="Times New Roman" w:eastAsia="Calibri" w:hAnsi="Times New Roman" w:cs="Times New Roman"/>
                <w:sz w:val="20"/>
              </w:rPr>
            </w:pPr>
            <w:r w:rsidRPr="008E4EB0">
              <w:rPr>
                <w:rFonts w:ascii="Times New Roman" w:eastAsia="Calibri" w:hAnsi="Times New Roman" w:cs="Times New Roman"/>
                <w:sz w:val="20"/>
              </w:rPr>
              <w:sym w:font="Wingdings" w:char="F0DF"/>
            </w:r>
            <w:r w:rsidRPr="008E4EB0">
              <w:rPr>
                <w:rFonts w:ascii="Times New Roman" w:eastAsia="Calibri" w:hAnsi="Times New Roman" w:cs="Times New Roman"/>
                <w:sz w:val="20"/>
              </w:rPr>
              <w:sym w:font="Wingdings" w:char="F0E0"/>
            </w:r>
          </w:p>
          <w:p w14:paraId="574952F5" w14:textId="77777777" w:rsidR="007B2931" w:rsidRPr="008E4EB0" w:rsidRDefault="007B2931" w:rsidP="007B2931">
            <w:pPr>
              <w:spacing w:after="0" w:line="240" w:lineRule="auto"/>
              <w:jc w:val="center"/>
              <w:rPr>
                <w:rFonts w:ascii="Times New Roman" w:eastAsia="Calibri" w:hAnsi="Times New Roman" w:cs="Times New Roman"/>
                <w:sz w:val="20"/>
              </w:rPr>
            </w:pPr>
          </w:p>
        </w:tc>
        <w:tc>
          <w:tcPr>
            <w:tcW w:w="1615" w:type="dxa"/>
            <w:vMerge/>
            <w:tcBorders>
              <w:left w:val="single" w:sz="4" w:space="0" w:color="auto"/>
              <w:bottom w:val="single" w:sz="4" w:space="0" w:color="auto"/>
              <w:right w:val="single" w:sz="4" w:space="0" w:color="auto"/>
            </w:tcBorders>
            <w:shd w:val="clear" w:color="auto" w:fill="auto"/>
            <w:vAlign w:val="center"/>
          </w:tcPr>
          <w:p w14:paraId="330068B5" w14:textId="77777777" w:rsidR="007B2931" w:rsidRPr="008E4EB0" w:rsidRDefault="007B2931" w:rsidP="007B2931">
            <w:pPr>
              <w:spacing w:after="0" w:line="240" w:lineRule="auto"/>
              <w:jc w:val="center"/>
              <w:rPr>
                <w:rFonts w:ascii="Times New Roman" w:eastAsia="Calibri" w:hAnsi="Times New Roman" w:cs="Times New Roman"/>
                <w:sz w:val="20"/>
              </w:rPr>
            </w:pPr>
          </w:p>
        </w:tc>
      </w:tr>
      <w:tr w:rsidR="007B2931" w:rsidRPr="008E4EB0" w14:paraId="67543FE6" w14:textId="77777777" w:rsidTr="00B744FC">
        <w:trPr>
          <w:jc w:val="center"/>
        </w:trPr>
        <w:tc>
          <w:tcPr>
            <w:tcW w:w="1695" w:type="dxa"/>
            <w:vMerge/>
            <w:tcBorders>
              <w:left w:val="single" w:sz="4" w:space="0" w:color="auto"/>
              <w:right w:val="single" w:sz="4" w:space="0" w:color="auto"/>
            </w:tcBorders>
            <w:shd w:val="clear" w:color="auto" w:fill="auto"/>
            <w:vAlign w:val="center"/>
          </w:tcPr>
          <w:p w14:paraId="5437DE3D" w14:textId="77777777" w:rsidR="007B2931" w:rsidRPr="008E4EB0" w:rsidRDefault="007B2931" w:rsidP="007B2931">
            <w:pPr>
              <w:spacing w:after="0" w:line="240" w:lineRule="auto"/>
              <w:jc w:val="center"/>
              <w:rPr>
                <w:rFonts w:ascii="Times New Roman" w:eastAsia="Calibri" w:hAnsi="Times New Roman" w:cs="Times New Roman"/>
                <w:sz w:val="20"/>
              </w:rPr>
            </w:pPr>
          </w:p>
        </w:tc>
        <w:tc>
          <w:tcPr>
            <w:tcW w:w="1720" w:type="dxa"/>
            <w:tcBorders>
              <w:left w:val="single" w:sz="4" w:space="0" w:color="auto"/>
              <w:right w:val="single" w:sz="4" w:space="0" w:color="auto"/>
            </w:tcBorders>
            <w:shd w:val="clear" w:color="auto" w:fill="auto"/>
            <w:vAlign w:val="center"/>
          </w:tcPr>
          <w:p w14:paraId="7E55B754" w14:textId="77777777" w:rsidR="007B2931" w:rsidRPr="008E4EB0" w:rsidRDefault="007B2931" w:rsidP="007B2931">
            <w:pPr>
              <w:spacing w:after="0" w:line="240" w:lineRule="auto"/>
              <w:jc w:val="center"/>
              <w:rPr>
                <w:rFonts w:ascii="Times New Roman" w:eastAsia="Calibri" w:hAnsi="Times New Roman" w:cs="Times New Roman"/>
                <w:sz w:val="20"/>
              </w:rPr>
            </w:pPr>
            <w:r w:rsidRPr="008E4EB0">
              <w:rPr>
                <w:rFonts w:ascii="Times New Roman" w:eastAsia="Calibri" w:hAnsi="Times New Roman" w:cs="Times New Roman"/>
                <w:sz w:val="20"/>
              </w:rPr>
              <w:sym w:font="Wingdings" w:char="F0DF"/>
            </w:r>
            <w:r w:rsidRPr="008E4EB0">
              <w:rPr>
                <w:rFonts w:ascii="Times New Roman" w:eastAsia="Calibri" w:hAnsi="Times New Roman" w:cs="Times New Roman"/>
                <w:sz w:val="20"/>
              </w:rPr>
              <w:t xml:space="preserve"> pakalpojums</w:t>
            </w:r>
          </w:p>
        </w:tc>
        <w:tc>
          <w:tcPr>
            <w:tcW w:w="1604" w:type="dxa"/>
            <w:vMerge/>
            <w:tcBorders>
              <w:left w:val="single" w:sz="4" w:space="0" w:color="auto"/>
              <w:bottom w:val="single" w:sz="4" w:space="0" w:color="auto"/>
              <w:right w:val="single" w:sz="4" w:space="0" w:color="auto"/>
            </w:tcBorders>
            <w:shd w:val="clear" w:color="auto" w:fill="auto"/>
            <w:vAlign w:val="center"/>
          </w:tcPr>
          <w:p w14:paraId="3967044E" w14:textId="77777777" w:rsidR="007B2931" w:rsidRPr="008E4EB0" w:rsidRDefault="007B2931" w:rsidP="007B2931">
            <w:pPr>
              <w:spacing w:after="0" w:line="240" w:lineRule="auto"/>
              <w:jc w:val="center"/>
              <w:rPr>
                <w:rFonts w:ascii="Times New Roman" w:eastAsia="Calibri" w:hAnsi="Times New Roman" w:cs="Times New Roman"/>
                <w:sz w:val="20"/>
              </w:rPr>
            </w:pPr>
          </w:p>
        </w:tc>
        <w:tc>
          <w:tcPr>
            <w:tcW w:w="1724" w:type="dxa"/>
            <w:tcBorders>
              <w:left w:val="single" w:sz="4" w:space="0" w:color="auto"/>
              <w:right w:val="single" w:sz="4" w:space="0" w:color="auto"/>
            </w:tcBorders>
            <w:shd w:val="clear" w:color="auto" w:fill="auto"/>
            <w:vAlign w:val="center"/>
          </w:tcPr>
          <w:p w14:paraId="401D08AA" w14:textId="77777777" w:rsidR="007B2931" w:rsidRPr="008E4EB0" w:rsidRDefault="007B2931" w:rsidP="007B2931">
            <w:pPr>
              <w:spacing w:after="0" w:line="240" w:lineRule="auto"/>
              <w:jc w:val="center"/>
              <w:rPr>
                <w:rFonts w:ascii="Times New Roman" w:eastAsia="Calibri" w:hAnsi="Times New Roman" w:cs="Times New Roman"/>
                <w:sz w:val="20"/>
              </w:rPr>
            </w:pPr>
            <w:r w:rsidRPr="008E4EB0">
              <w:rPr>
                <w:rFonts w:ascii="Times New Roman" w:eastAsia="Calibri" w:hAnsi="Times New Roman" w:cs="Times New Roman"/>
                <w:sz w:val="20"/>
              </w:rPr>
              <w:sym w:font="Wingdings" w:char="F0DF"/>
            </w:r>
            <w:r w:rsidRPr="008E4EB0">
              <w:rPr>
                <w:rFonts w:ascii="Times New Roman" w:eastAsia="Calibri" w:hAnsi="Times New Roman" w:cs="Times New Roman"/>
                <w:sz w:val="20"/>
              </w:rPr>
              <w:t xml:space="preserve"> Finansējums</w:t>
            </w:r>
          </w:p>
        </w:tc>
        <w:tc>
          <w:tcPr>
            <w:tcW w:w="1615" w:type="dxa"/>
            <w:vMerge/>
            <w:tcBorders>
              <w:left w:val="single" w:sz="4" w:space="0" w:color="auto"/>
              <w:bottom w:val="single" w:sz="4" w:space="0" w:color="auto"/>
              <w:right w:val="single" w:sz="4" w:space="0" w:color="auto"/>
            </w:tcBorders>
            <w:shd w:val="clear" w:color="auto" w:fill="auto"/>
            <w:vAlign w:val="center"/>
          </w:tcPr>
          <w:p w14:paraId="34E243EA" w14:textId="77777777" w:rsidR="007B2931" w:rsidRPr="008E4EB0" w:rsidRDefault="007B2931" w:rsidP="007B2931">
            <w:pPr>
              <w:spacing w:after="0" w:line="240" w:lineRule="auto"/>
              <w:jc w:val="center"/>
              <w:rPr>
                <w:rFonts w:ascii="Times New Roman" w:eastAsia="Calibri" w:hAnsi="Times New Roman" w:cs="Times New Roman"/>
                <w:sz w:val="20"/>
              </w:rPr>
            </w:pPr>
          </w:p>
        </w:tc>
      </w:tr>
      <w:tr w:rsidR="007B2931" w:rsidRPr="008E4EB0" w14:paraId="5A2F426B" w14:textId="77777777" w:rsidTr="00B744FC">
        <w:trPr>
          <w:trHeight w:val="687"/>
          <w:jc w:val="center"/>
        </w:trPr>
        <w:tc>
          <w:tcPr>
            <w:tcW w:w="1695" w:type="dxa"/>
            <w:vMerge/>
            <w:tcBorders>
              <w:left w:val="single" w:sz="4" w:space="0" w:color="auto"/>
              <w:bottom w:val="single" w:sz="4" w:space="0" w:color="auto"/>
              <w:right w:val="single" w:sz="4" w:space="0" w:color="auto"/>
            </w:tcBorders>
            <w:shd w:val="clear" w:color="auto" w:fill="auto"/>
            <w:vAlign w:val="center"/>
          </w:tcPr>
          <w:p w14:paraId="262436DE" w14:textId="77777777" w:rsidR="007B2931" w:rsidRPr="008E4EB0" w:rsidRDefault="007B2931" w:rsidP="007B2931">
            <w:pPr>
              <w:spacing w:after="0" w:line="240" w:lineRule="auto"/>
              <w:jc w:val="center"/>
              <w:rPr>
                <w:rFonts w:ascii="Times New Roman" w:eastAsia="Calibri" w:hAnsi="Times New Roman" w:cs="Times New Roman"/>
                <w:sz w:val="20"/>
              </w:rPr>
            </w:pPr>
          </w:p>
        </w:tc>
        <w:tc>
          <w:tcPr>
            <w:tcW w:w="1720" w:type="dxa"/>
            <w:tcBorders>
              <w:left w:val="single" w:sz="4" w:space="0" w:color="auto"/>
              <w:right w:val="single" w:sz="4" w:space="0" w:color="auto"/>
            </w:tcBorders>
            <w:shd w:val="clear" w:color="auto" w:fill="auto"/>
            <w:vAlign w:val="center"/>
          </w:tcPr>
          <w:p w14:paraId="5659B418" w14:textId="77777777" w:rsidR="007B2931" w:rsidRPr="008E4EB0" w:rsidRDefault="007B2931" w:rsidP="007B2931">
            <w:pPr>
              <w:spacing w:after="0" w:line="240" w:lineRule="auto"/>
              <w:jc w:val="center"/>
              <w:rPr>
                <w:rFonts w:ascii="Times New Roman" w:eastAsia="Calibri" w:hAnsi="Times New Roman" w:cs="Times New Roman"/>
                <w:sz w:val="20"/>
              </w:rPr>
            </w:pPr>
            <w:r w:rsidRPr="008E4EB0">
              <w:rPr>
                <w:rFonts w:ascii="Times New Roman" w:eastAsia="Calibri" w:hAnsi="Times New Roman" w:cs="Times New Roman"/>
                <w:sz w:val="20"/>
              </w:rPr>
              <w:t xml:space="preserve">maksājums </w:t>
            </w:r>
            <w:r w:rsidRPr="008E4EB0">
              <w:rPr>
                <w:rFonts w:ascii="Times New Roman" w:eastAsia="Calibri" w:hAnsi="Times New Roman" w:cs="Times New Roman"/>
                <w:sz w:val="20"/>
              </w:rPr>
              <w:sym w:font="Wingdings" w:char="F0E0"/>
            </w:r>
          </w:p>
        </w:tc>
        <w:tc>
          <w:tcPr>
            <w:tcW w:w="1604" w:type="dxa"/>
            <w:vMerge/>
            <w:tcBorders>
              <w:left w:val="single" w:sz="4" w:space="0" w:color="auto"/>
              <w:bottom w:val="single" w:sz="4" w:space="0" w:color="auto"/>
              <w:right w:val="single" w:sz="4" w:space="0" w:color="auto"/>
            </w:tcBorders>
            <w:shd w:val="clear" w:color="auto" w:fill="auto"/>
            <w:vAlign w:val="center"/>
          </w:tcPr>
          <w:p w14:paraId="4A5EE791" w14:textId="77777777" w:rsidR="007B2931" w:rsidRPr="008E4EB0" w:rsidRDefault="007B2931" w:rsidP="007B2931">
            <w:pPr>
              <w:spacing w:after="0" w:line="240" w:lineRule="auto"/>
              <w:jc w:val="center"/>
              <w:rPr>
                <w:rFonts w:ascii="Times New Roman" w:eastAsia="Calibri" w:hAnsi="Times New Roman" w:cs="Times New Roman"/>
                <w:sz w:val="20"/>
              </w:rPr>
            </w:pPr>
          </w:p>
        </w:tc>
        <w:tc>
          <w:tcPr>
            <w:tcW w:w="1724" w:type="dxa"/>
            <w:tcBorders>
              <w:left w:val="single" w:sz="4" w:space="0" w:color="auto"/>
              <w:right w:val="single" w:sz="4" w:space="0" w:color="auto"/>
            </w:tcBorders>
            <w:shd w:val="clear" w:color="auto" w:fill="auto"/>
            <w:vAlign w:val="center"/>
          </w:tcPr>
          <w:p w14:paraId="35E68044" w14:textId="77777777" w:rsidR="007B2931" w:rsidRPr="008E4EB0" w:rsidRDefault="007B2931" w:rsidP="007B2931">
            <w:pPr>
              <w:spacing w:after="0" w:line="240" w:lineRule="auto"/>
              <w:jc w:val="center"/>
              <w:rPr>
                <w:rFonts w:ascii="Times New Roman" w:eastAsia="Calibri" w:hAnsi="Times New Roman" w:cs="Times New Roman"/>
                <w:sz w:val="20"/>
              </w:rPr>
            </w:pPr>
            <w:r w:rsidRPr="008E4EB0">
              <w:rPr>
                <w:rFonts w:ascii="Times New Roman" w:eastAsia="Calibri" w:hAnsi="Times New Roman" w:cs="Times New Roman"/>
                <w:sz w:val="20"/>
              </w:rPr>
              <w:t xml:space="preserve">maksājums </w:t>
            </w:r>
            <w:r w:rsidRPr="008E4EB0">
              <w:rPr>
                <w:rFonts w:ascii="Times New Roman" w:eastAsia="Calibri" w:hAnsi="Times New Roman" w:cs="Times New Roman"/>
                <w:sz w:val="20"/>
              </w:rPr>
              <w:sym w:font="Wingdings" w:char="F0E0"/>
            </w:r>
          </w:p>
        </w:tc>
        <w:tc>
          <w:tcPr>
            <w:tcW w:w="1615" w:type="dxa"/>
            <w:vMerge/>
            <w:tcBorders>
              <w:left w:val="single" w:sz="4" w:space="0" w:color="auto"/>
              <w:bottom w:val="single" w:sz="4" w:space="0" w:color="auto"/>
              <w:right w:val="single" w:sz="4" w:space="0" w:color="auto"/>
            </w:tcBorders>
            <w:shd w:val="clear" w:color="auto" w:fill="auto"/>
            <w:vAlign w:val="center"/>
          </w:tcPr>
          <w:p w14:paraId="66D37B54" w14:textId="77777777" w:rsidR="007B2931" w:rsidRPr="008E4EB0" w:rsidRDefault="007B2931" w:rsidP="007B2931">
            <w:pPr>
              <w:spacing w:after="0" w:line="240" w:lineRule="auto"/>
              <w:jc w:val="center"/>
              <w:rPr>
                <w:rFonts w:ascii="Times New Roman" w:eastAsia="Calibri" w:hAnsi="Times New Roman" w:cs="Times New Roman"/>
                <w:sz w:val="20"/>
              </w:rPr>
            </w:pPr>
          </w:p>
        </w:tc>
      </w:tr>
    </w:tbl>
    <w:p w14:paraId="6213FB34" w14:textId="77777777" w:rsidR="007B2931" w:rsidRPr="008E4EB0" w:rsidRDefault="007B2931" w:rsidP="007B2931">
      <w:pPr>
        <w:spacing w:after="0" w:line="240" w:lineRule="auto"/>
        <w:jc w:val="right"/>
        <w:rPr>
          <w:rFonts w:ascii="Times New Roman" w:eastAsia="Calibri" w:hAnsi="Times New Roman" w:cs="Times New Roman"/>
          <w:sz w:val="24"/>
        </w:rPr>
      </w:pPr>
    </w:p>
    <w:p w14:paraId="3398EF28" w14:textId="77777777" w:rsidR="007B2931" w:rsidRPr="008E4EB0" w:rsidRDefault="007B2931" w:rsidP="007B2931">
      <w:pPr>
        <w:spacing w:after="0" w:line="240" w:lineRule="auto"/>
        <w:ind w:firstLine="851"/>
        <w:jc w:val="both"/>
        <w:rPr>
          <w:rFonts w:ascii="Times New Roman" w:eastAsia="Calibri" w:hAnsi="Times New Roman" w:cs="Times New Roman"/>
          <w:sz w:val="24"/>
        </w:rPr>
      </w:pPr>
    </w:p>
    <w:p w14:paraId="0D1B8F47" w14:textId="6FC14244" w:rsidR="007B2931" w:rsidRPr="008E4EB0" w:rsidRDefault="007B2931" w:rsidP="007B2931">
      <w:pPr>
        <w:spacing w:after="0" w:line="240" w:lineRule="auto"/>
        <w:ind w:firstLine="851"/>
        <w:jc w:val="both"/>
        <w:rPr>
          <w:rFonts w:ascii="Times New Roman" w:eastAsia="Calibri" w:hAnsi="Times New Roman" w:cs="Times New Roman"/>
          <w:sz w:val="24"/>
          <w:vertAlign w:val="superscript"/>
        </w:rPr>
      </w:pPr>
      <w:r w:rsidRPr="008E4EB0">
        <w:rPr>
          <w:rFonts w:ascii="Times New Roman" w:eastAsia="Calibri" w:hAnsi="Times New Roman" w:cs="Times New Roman"/>
          <w:sz w:val="24"/>
        </w:rPr>
        <w:lastRenderedPageBreak/>
        <w:t xml:space="preserve">ESKO veic padziļinātu objektu (ēku, enerģijas pārvades sistēmu, ražošanas objektu vai procesu) analīzi ar nolūku rast visracionālāko energoefektivitātes risinājumu, organizē ar to saistītu nekustamā īpašuma </w:t>
      </w:r>
      <w:r w:rsidR="00CE0F55" w:rsidRPr="008E4EB0">
        <w:rPr>
          <w:rFonts w:ascii="Times New Roman" w:eastAsia="Calibri" w:hAnsi="Times New Roman" w:cs="Times New Roman"/>
          <w:sz w:val="24"/>
        </w:rPr>
        <w:t>atjaunošanu</w:t>
      </w:r>
      <w:r w:rsidRPr="008E4EB0">
        <w:rPr>
          <w:rFonts w:ascii="Times New Roman" w:eastAsia="Calibri" w:hAnsi="Times New Roman" w:cs="Times New Roman"/>
          <w:sz w:val="24"/>
        </w:rPr>
        <w:t xml:space="preserve"> un tā uzturēšanu ieguldīto izdevumu atgūšanas laikā, kas var svārstīties no 5 līdz 20 gadiem. Tas panāk līdzekļu atgūšanu ar starpību, kas rodas energoefektivitātes pasākumu ieviešanas rezultātā. Lai nodrošinātu sekmīgu un abpusēji izdevīgu sadarbību, ESKO slēdz terminētu līgumu ar pakalpojuma saņēmēju (mājas kopības gadījumā ar ēkas pārvaldnieku), kura darbības laikā ESKO uzņemas visas saistības, kas saistītas ar energoefektivitātes pasākumu sagatavošanu, finansēšanu un ieviešanu, garantējot paredzēto energoefektivitātes rezultātu un nodrošinot līguma darbības laikā objekta apsaimniekošanu. Līgumam beidzoties, visi </w:t>
      </w:r>
      <w:r w:rsidR="00CE0F55" w:rsidRPr="008E4EB0">
        <w:rPr>
          <w:rFonts w:ascii="Times New Roman" w:eastAsia="Calibri" w:hAnsi="Times New Roman" w:cs="Times New Roman"/>
          <w:sz w:val="24"/>
        </w:rPr>
        <w:t>atjaunošanas</w:t>
      </w:r>
      <w:r w:rsidRPr="008E4EB0">
        <w:rPr>
          <w:rFonts w:ascii="Times New Roman" w:eastAsia="Calibri" w:hAnsi="Times New Roman" w:cs="Times New Roman"/>
          <w:sz w:val="24"/>
        </w:rPr>
        <w:t xml:space="preserve"> rezultātā sasniegtie ieguvumi pāriet pakalpojuma saņēmēja – iedzīvotāju - īpašumā. </w:t>
      </w:r>
      <w:r w:rsidRPr="008E4EB0">
        <w:rPr>
          <w:rFonts w:ascii="Times New Roman" w:eastAsia="Calibri" w:hAnsi="Times New Roman" w:cs="Times New Roman"/>
          <w:sz w:val="24"/>
          <w:vertAlign w:val="superscript"/>
        </w:rPr>
        <w:t>2</w:t>
      </w:r>
    </w:p>
    <w:p w14:paraId="75543DAE" w14:textId="77777777" w:rsidR="007B2931" w:rsidRPr="008E4EB0" w:rsidRDefault="007B2931" w:rsidP="007B2931">
      <w:pPr>
        <w:spacing w:after="0" w:line="240" w:lineRule="auto"/>
        <w:ind w:firstLine="851"/>
        <w:jc w:val="both"/>
        <w:rPr>
          <w:rFonts w:ascii="Times New Roman" w:eastAsia="Calibri" w:hAnsi="Times New Roman" w:cs="Times New Roman"/>
          <w:sz w:val="24"/>
        </w:rPr>
      </w:pPr>
      <w:r w:rsidRPr="008E4EB0">
        <w:rPr>
          <w:rFonts w:ascii="Times New Roman" w:eastAsia="Calibri" w:hAnsi="Times New Roman" w:cs="Times New Roman"/>
          <w:sz w:val="24"/>
        </w:rPr>
        <w:t xml:space="preserve">Slēdzot ESKO līgumu, var tikt izmantotas divas pieejas:  </w:t>
      </w:r>
    </w:p>
    <w:p w14:paraId="3BCF2077" w14:textId="77777777" w:rsidR="007B2931" w:rsidRPr="008E4EB0" w:rsidRDefault="007B2931" w:rsidP="00D9693B">
      <w:pPr>
        <w:numPr>
          <w:ilvl w:val="0"/>
          <w:numId w:val="14"/>
        </w:numPr>
        <w:spacing w:after="0" w:line="240" w:lineRule="auto"/>
        <w:ind w:left="0" w:firstLine="851"/>
        <w:contextualSpacing/>
        <w:jc w:val="both"/>
        <w:rPr>
          <w:rFonts w:ascii="Times New Roman" w:eastAsia="Calibri" w:hAnsi="Times New Roman" w:cs="Times New Roman"/>
          <w:sz w:val="24"/>
        </w:rPr>
      </w:pPr>
      <w:r w:rsidRPr="008E4EB0">
        <w:rPr>
          <w:rFonts w:ascii="Times New Roman" w:eastAsia="Calibri" w:hAnsi="Times New Roman" w:cs="Times New Roman"/>
          <w:sz w:val="24"/>
        </w:rPr>
        <w:t>Līguma rezultātā pakalpojuma sniedzējs saņem noteiktus procentus no ietaupītajiem līdzekļiem visu līguma darbības laiku. Tas rosina pakalpojuma sniedzēju panākt pēc iespējas lielāku ietaupījumu tūdaļ pēc projekta realizācijas un uzturēt to līdz pat 1īguma vai atmaksāšanās beigām, pat palielinot to ar papildu pasākumiem. Šai pieejai var būt risinājumi:</w:t>
      </w:r>
    </w:p>
    <w:p w14:paraId="141D5092" w14:textId="77777777" w:rsidR="007B2931" w:rsidRPr="008E4EB0" w:rsidRDefault="007B2931" w:rsidP="00D9693B">
      <w:pPr>
        <w:numPr>
          <w:ilvl w:val="1"/>
          <w:numId w:val="15"/>
        </w:numPr>
        <w:spacing w:after="0" w:line="240" w:lineRule="auto"/>
        <w:contextualSpacing/>
        <w:jc w:val="both"/>
        <w:rPr>
          <w:rFonts w:ascii="Times New Roman" w:eastAsia="Calibri" w:hAnsi="Times New Roman" w:cs="Times New Roman"/>
          <w:sz w:val="24"/>
        </w:rPr>
      </w:pPr>
      <w:r w:rsidRPr="008E4EB0">
        <w:rPr>
          <w:rFonts w:ascii="Times New Roman" w:eastAsia="Calibri" w:hAnsi="Times New Roman" w:cs="Times New Roman"/>
          <w:sz w:val="24"/>
        </w:rPr>
        <w:t>līgumā tiek atrunāts garantētais ietaupījums, par kura sasniegšanu visus riskus uzņemas ESKO;</w:t>
      </w:r>
    </w:p>
    <w:p w14:paraId="43A8B4A0" w14:textId="77777777" w:rsidR="007B2931" w:rsidRPr="008E4EB0" w:rsidRDefault="007B2931" w:rsidP="00D9693B">
      <w:pPr>
        <w:numPr>
          <w:ilvl w:val="1"/>
          <w:numId w:val="15"/>
        </w:numPr>
        <w:spacing w:after="0" w:line="240" w:lineRule="auto"/>
        <w:contextualSpacing/>
        <w:jc w:val="both"/>
        <w:rPr>
          <w:rFonts w:ascii="Times New Roman" w:eastAsia="Calibri" w:hAnsi="Times New Roman" w:cs="Times New Roman"/>
          <w:sz w:val="24"/>
        </w:rPr>
      </w:pPr>
      <w:r w:rsidRPr="008E4EB0">
        <w:rPr>
          <w:rFonts w:ascii="Times New Roman" w:eastAsia="Calibri" w:hAnsi="Times New Roman" w:cs="Times New Roman"/>
          <w:sz w:val="24"/>
        </w:rPr>
        <w:t>līgumā ietver nosacījumus, kā sadalīt sasniegtos ietaupījumus starp ESKO un klientu – šajā variantā riski tiek sadalīti starp līgumslēdzējām pusēm saskaņā ar līguma nosacījumiem.</w:t>
      </w:r>
    </w:p>
    <w:p w14:paraId="3A2631D2" w14:textId="77777777" w:rsidR="007B2931" w:rsidRPr="008E4EB0" w:rsidRDefault="007B2931" w:rsidP="00D9693B">
      <w:pPr>
        <w:numPr>
          <w:ilvl w:val="0"/>
          <w:numId w:val="14"/>
        </w:numPr>
        <w:spacing w:after="0" w:line="240" w:lineRule="auto"/>
        <w:ind w:left="0" w:firstLine="851"/>
        <w:contextualSpacing/>
        <w:jc w:val="both"/>
        <w:rPr>
          <w:rFonts w:ascii="Times New Roman" w:eastAsia="Calibri" w:hAnsi="Times New Roman" w:cs="Times New Roman"/>
          <w:sz w:val="24"/>
        </w:rPr>
      </w:pPr>
      <w:r w:rsidRPr="008E4EB0">
        <w:rPr>
          <w:rFonts w:ascii="Times New Roman" w:eastAsia="Calibri" w:hAnsi="Times New Roman" w:cs="Times New Roman"/>
          <w:sz w:val="24"/>
        </w:rPr>
        <w:t>Līguma rezultātā iedzīvotāji maksā nemainīgu ikmēneša maksājumu par kvadrātmetru atbilstoši apdzīvojamajai platībai.</w:t>
      </w:r>
    </w:p>
    <w:p w14:paraId="66521B01" w14:textId="77777777" w:rsidR="007B2931" w:rsidRPr="008E4EB0" w:rsidRDefault="007B2931" w:rsidP="007B2931">
      <w:pPr>
        <w:spacing w:after="0" w:line="240" w:lineRule="auto"/>
        <w:ind w:firstLine="851"/>
        <w:jc w:val="both"/>
        <w:rPr>
          <w:rFonts w:ascii="Times New Roman" w:eastAsia="Calibri" w:hAnsi="Times New Roman" w:cs="Times New Roman"/>
          <w:sz w:val="24"/>
        </w:rPr>
      </w:pPr>
      <w:r w:rsidRPr="008E4EB0">
        <w:rPr>
          <w:rFonts w:ascii="Times New Roman" w:eastAsia="Calibri" w:hAnsi="Times New Roman" w:cs="Times New Roman"/>
          <w:sz w:val="24"/>
        </w:rPr>
        <w:t xml:space="preserve">ESKO sekmīgā darbība ir guvusi atzinību vairākās ES valstu pašvaldībās, jo, piesaistot privāto sadarbības partneri, pašvaldībām ir izdevies uzlabot savā īpašumā esošo ēku energoefektivitāti pat savu budžeta līdzekļu trūkuma gadījumā. </w:t>
      </w:r>
    </w:p>
    <w:p w14:paraId="76E2EDC5" w14:textId="4932E128" w:rsidR="007B2931" w:rsidRPr="008E4EB0" w:rsidRDefault="007B2931" w:rsidP="007B2931">
      <w:pPr>
        <w:spacing w:after="0" w:line="240" w:lineRule="auto"/>
        <w:ind w:firstLine="851"/>
        <w:jc w:val="both"/>
        <w:rPr>
          <w:rFonts w:ascii="Times New Roman" w:eastAsia="Calibri" w:hAnsi="Times New Roman" w:cs="Times New Roman"/>
          <w:sz w:val="24"/>
        </w:rPr>
      </w:pPr>
      <w:r w:rsidRPr="008E4EB0">
        <w:rPr>
          <w:rFonts w:ascii="Times New Roman" w:eastAsia="Calibri" w:hAnsi="Times New Roman" w:cs="Times New Roman"/>
          <w:sz w:val="24"/>
        </w:rPr>
        <w:t>EPL ir energopakalpojuma saņēmēja (piemēram, daudzdzīvokļu mājas) un energopakalpojuma sniedzēja (piemēram, ESKO vai PESKO) līgums par noteiktu energoefektivitātes paaugstināšanas pasākumu īstenošanu, ja samaksu par investīcijām šajos pasākumos veido panāktais energoefektivitātes paaugstinājums.</w:t>
      </w:r>
    </w:p>
    <w:p w14:paraId="7AC89ACB" w14:textId="77777777" w:rsidR="007B2931" w:rsidRPr="008E4EB0" w:rsidRDefault="007B2931" w:rsidP="007B2931">
      <w:pPr>
        <w:spacing w:after="0" w:line="240" w:lineRule="auto"/>
        <w:ind w:firstLine="851"/>
        <w:jc w:val="both"/>
        <w:rPr>
          <w:rFonts w:ascii="Times New Roman" w:eastAsia="Calibri" w:hAnsi="Times New Roman" w:cs="Times New Roman"/>
          <w:sz w:val="24"/>
        </w:rPr>
      </w:pPr>
      <w:r w:rsidRPr="008E4EB0">
        <w:rPr>
          <w:rFonts w:ascii="Times New Roman" w:eastAsia="Calibri" w:hAnsi="Times New Roman" w:cs="Times New Roman"/>
          <w:sz w:val="24"/>
        </w:rPr>
        <w:t>Energopakalpojumu sniegšanai EPL ietvaros ir jāatbilst šādiem principiem:</w:t>
      </w:r>
    </w:p>
    <w:p w14:paraId="7CE7643D" w14:textId="77777777" w:rsidR="007B2931" w:rsidRPr="008E4EB0" w:rsidRDefault="007B2931" w:rsidP="007B2931">
      <w:pPr>
        <w:spacing w:after="0" w:line="240" w:lineRule="auto"/>
        <w:ind w:firstLine="851"/>
        <w:jc w:val="both"/>
        <w:rPr>
          <w:rFonts w:ascii="Times New Roman" w:eastAsia="Calibri" w:hAnsi="Times New Roman" w:cs="Times New Roman"/>
          <w:sz w:val="24"/>
        </w:rPr>
      </w:pPr>
      <w:r w:rsidRPr="008E4EB0">
        <w:rPr>
          <w:rFonts w:ascii="Times New Roman" w:eastAsia="Calibri" w:hAnsi="Times New Roman" w:cs="Times New Roman"/>
          <w:sz w:val="24"/>
        </w:rPr>
        <w:t>a)</w:t>
      </w:r>
      <w:r w:rsidRPr="008E4EB0">
        <w:rPr>
          <w:rFonts w:ascii="Times New Roman" w:eastAsia="Calibri" w:hAnsi="Times New Roman" w:cs="Times New Roman"/>
          <w:sz w:val="24"/>
        </w:rPr>
        <w:tab/>
        <w:t>Līgumā ir jābūt precīzi noteiktam sagaidāmajam enerģijas galapatēriņam un energopakalpojuma sniedzēja garantētajiem energoefektivitātes paaugstināšanas pasākumiem.</w:t>
      </w:r>
    </w:p>
    <w:p w14:paraId="53FD7A29" w14:textId="77777777" w:rsidR="007B2931" w:rsidRPr="008E4EB0" w:rsidRDefault="007B2931" w:rsidP="007B2931">
      <w:pPr>
        <w:spacing w:after="0" w:line="240" w:lineRule="auto"/>
        <w:ind w:firstLine="851"/>
        <w:jc w:val="both"/>
        <w:rPr>
          <w:rFonts w:ascii="Times New Roman" w:eastAsia="Calibri" w:hAnsi="Times New Roman" w:cs="Times New Roman"/>
          <w:sz w:val="24"/>
        </w:rPr>
      </w:pPr>
      <w:r w:rsidRPr="008E4EB0">
        <w:rPr>
          <w:rFonts w:ascii="Times New Roman" w:eastAsia="Calibri" w:hAnsi="Times New Roman" w:cs="Times New Roman"/>
          <w:sz w:val="24"/>
        </w:rPr>
        <w:t>b)</w:t>
      </w:r>
      <w:r w:rsidRPr="008E4EB0">
        <w:rPr>
          <w:rFonts w:ascii="Times New Roman" w:eastAsia="Calibri" w:hAnsi="Times New Roman" w:cs="Times New Roman"/>
          <w:sz w:val="24"/>
        </w:rPr>
        <w:tab/>
        <w:t>Energopakalpojuma sniedzējs pilnībā finansē energoefektivitātes paaugstināšanas pasākumus no saviem un/vai trešās personas finanšu līdzekļiem (tas neizslēdz iespēju, ka finanšu avotus piesaista arī daudzdzīvokļu māju īpašnieki, bet EPL finansēšanas risku uzņemas energopakalpojuma sniedzējs).</w:t>
      </w:r>
    </w:p>
    <w:p w14:paraId="3E44566E" w14:textId="77777777" w:rsidR="007B2931" w:rsidRPr="008E4EB0" w:rsidRDefault="007B2931" w:rsidP="007B2931">
      <w:pPr>
        <w:spacing w:after="0" w:line="240" w:lineRule="auto"/>
        <w:ind w:firstLine="851"/>
        <w:jc w:val="both"/>
        <w:rPr>
          <w:rFonts w:ascii="Times New Roman" w:eastAsia="Calibri" w:hAnsi="Times New Roman" w:cs="Times New Roman"/>
          <w:sz w:val="24"/>
        </w:rPr>
      </w:pPr>
      <w:r w:rsidRPr="008E4EB0">
        <w:rPr>
          <w:rFonts w:ascii="Times New Roman" w:eastAsia="Calibri" w:hAnsi="Times New Roman" w:cs="Times New Roman"/>
          <w:sz w:val="24"/>
        </w:rPr>
        <w:t>c)</w:t>
      </w:r>
      <w:r w:rsidRPr="008E4EB0">
        <w:rPr>
          <w:rFonts w:ascii="Times New Roman" w:eastAsia="Calibri" w:hAnsi="Times New Roman" w:cs="Times New Roman"/>
          <w:sz w:val="24"/>
        </w:rPr>
        <w:tab/>
        <w:t>Ieguldītās investīcijas pilnībā atmaksājas no energopakalpojuma ieviešanas rezultātā iegūtā enerģijas ietaupījuma (par kuru ir panākta vienošanās līgumā).</w:t>
      </w:r>
    </w:p>
    <w:p w14:paraId="5EB48423" w14:textId="77777777" w:rsidR="007B2931" w:rsidRPr="008E4EB0" w:rsidRDefault="007B2931" w:rsidP="007B2931">
      <w:pPr>
        <w:spacing w:after="0" w:line="240" w:lineRule="auto"/>
        <w:ind w:firstLine="851"/>
        <w:jc w:val="both"/>
        <w:rPr>
          <w:rFonts w:ascii="Times New Roman" w:eastAsia="Calibri" w:hAnsi="Times New Roman" w:cs="Times New Roman"/>
          <w:sz w:val="24"/>
        </w:rPr>
      </w:pPr>
      <w:r w:rsidRPr="008E4EB0">
        <w:rPr>
          <w:rFonts w:ascii="Times New Roman" w:eastAsia="Calibri" w:hAnsi="Times New Roman" w:cs="Times New Roman"/>
          <w:sz w:val="24"/>
        </w:rPr>
        <w:t>d)</w:t>
      </w:r>
      <w:r w:rsidRPr="008E4EB0">
        <w:rPr>
          <w:rFonts w:ascii="Times New Roman" w:eastAsia="Calibri" w:hAnsi="Times New Roman" w:cs="Times New Roman"/>
          <w:sz w:val="24"/>
        </w:rPr>
        <w:tab/>
        <w:t>Energopakalpojuma sniedzējs pilnībā vai daļēji uzņemas projekta finansiālos, tehniskos un komerciālos riskus.</w:t>
      </w:r>
    </w:p>
    <w:p w14:paraId="4E3E2C2C" w14:textId="77777777" w:rsidR="007B2931" w:rsidRPr="008E4EB0" w:rsidRDefault="007B2931" w:rsidP="007B2931">
      <w:pPr>
        <w:spacing w:after="0" w:line="240" w:lineRule="auto"/>
        <w:ind w:firstLine="851"/>
        <w:jc w:val="both"/>
        <w:rPr>
          <w:rFonts w:ascii="Times New Roman" w:eastAsia="Calibri" w:hAnsi="Times New Roman" w:cs="Times New Roman"/>
          <w:sz w:val="24"/>
        </w:rPr>
      </w:pPr>
      <w:r w:rsidRPr="008E4EB0">
        <w:rPr>
          <w:rFonts w:ascii="Times New Roman" w:eastAsia="Calibri" w:hAnsi="Times New Roman" w:cs="Times New Roman"/>
          <w:sz w:val="24"/>
        </w:rPr>
        <w:t>e)</w:t>
      </w:r>
      <w:r w:rsidRPr="008E4EB0">
        <w:rPr>
          <w:rFonts w:ascii="Times New Roman" w:eastAsia="Calibri" w:hAnsi="Times New Roman" w:cs="Times New Roman"/>
          <w:sz w:val="24"/>
        </w:rPr>
        <w:tab/>
        <w:t>Līgumam ir jāatbilst standarta nosacījumiem, kurus ir apstiprinājusi un publiskojusi atbildīgā nozares ministrija (EM; pagaidām oficiāli apstiprināts līguma paraugs nav izstrādāts un apstiprināts).</w:t>
      </w:r>
    </w:p>
    <w:p w14:paraId="42317EAF" w14:textId="1B08A466" w:rsidR="007B2931" w:rsidRPr="008E4EB0" w:rsidRDefault="007B2931" w:rsidP="007B2931">
      <w:pPr>
        <w:spacing w:after="0" w:line="240" w:lineRule="auto"/>
        <w:ind w:firstLine="851"/>
        <w:jc w:val="both"/>
        <w:rPr>
          <w:rFonts w:ascii="Times New Roman" w:eastAsia="Calibri" w:hAnsi="Times New Roman" w:cs="Times New Roman"/>
          <w:sz w:val="24"/>
        </w:rPr>
      </w:pPr>
      <w:r w:rsidRPr="008E4EB0">
        <w:rPr>
          <w:rFonts w:ascii="Times New Roman" w:eastAsia="Calibri" w:hAnsi="Times New Roman" w:cs="Times New Roman"/>
          <w:sz w:val="24"/>
        </w:rPr>
        <w:t xml:space="preserve">ES dalībvalstīs ESKO modelis salīdzinoši reti tiek izmantots daudzdzīvokļu māju </w:t>
      </w:r>
      <w:r w:rsidR="00CE0F55" w:rsidRPr="008E4EB0">
        <w:rPr>
          <w:rFonts w:ascii="Times New Roman" w:eastAsia="Calibri" w:hAnsi="Times New Roman" w:cs="Times New Roman"/>
          <w:sz w:val="24"/>
        </w:rPr>
        <w:t>atjaunošana</w:t>
      </w:r>
      <w:r w:rsidRPr="008E4EB0">
        <w:rPr>
          <w:rFonts w:ascii="Times New Roman" w:eastAsia="Calibri" w:hAnsi="Times New Roman" w:cs="Times New Roman"/>
          <w:sz w:val="24"/>
        </w:rPr>
        <w:t xml:space="preserve">i. EPL plašāk tiek izmantots publisko ēku </w:t>
      </w:r>
      <w:r w:rsidR="00CE0F55" w:rsidRPr="008E4EB0">
        <w:rPr>
          <w:rFonts w:ascii="Times New Roman" w:eastAsia="Calibri" w:hAnsi="Times New Roman" w:cs="Times New Roman"/>
          <w:sz w:val="24"/>
        </w:rPr>
        <w:t>atjaunošana</w:t>
      </w:r>
      <w:r w:rsidRPr="008E4EB0">
        <w:rPr>
          <w:rFonts w:ascii="Times New Roman" w:eastAsia="Calibri" w:hAnsi="Times New Roman" w:cs="Times New Roman"/>
          <w:sz w:val="24"/>
        </w:rPr>
        <w:t>i Vācijā.</w:t>
      </w:r>
    </w:p>
    <w:p w14:paraId="7FD5CC39" w14:textId="77777777" w:rsidR="007B2931" w:rsidRPr="008E4EB0" w:rsidRDefault="007B2931" w:rsidP="007B2931">
      <w:pPr>
        <w:spacing w:after="0" w:line="240" w:lineRule="auto"/>
        <w:ind w:firstLine="851"/>
        <w:jc w:val="both"/>
        <w:rPr>
          <w:rFonts w:ascii="Times New Roman" w:eastAsia="Calibri" w:hAnsi="Times New Roman" w:cs="Times New Roman"/>
          <w:sz w:val="24"/>
        </w:rPr>
      </w:pPr>
      <w:r w:rsidRPr="008E4EB0">
        <w:rPr>
          <w:rFonts w:ascii="Times New Roman" w:eastAsia="Calibri" w:hAnsi="Times New Roman" w:cs="Times New Roman"/>
          <w:sz w:val="24"/>
        </w:rPr>
        <w:lastRenderedPageBreak/>
        <w:t>Saskaņā ar līdzšinējo praksi saskaņā ar EPL energopakalpojuma sniedzējam ir jāpilda šādas saistības:</w:t>
      </w:r>
    </w:p>
    <w:p w14:paraId="48089FF1" w14:textId="77777777" w:rsidR="007B2931" w:rsidRPr="008E4EB0" w:rsidRDefault="007B2931" w:rsidP="00D9693B">
      <w:pPr>
        <w:numPr>
          <w:ilvl w:val="2"/>
          <w:numId w:val="16"/>
        </w:numPr>
        <w:spacing w:after="0" w:line="240" w:lineRule="auto"/>
        <w:ind w:left="1276" w:hanging="567"/>
        <w:jc w:val="both"/>
        <w:rPr>
          <w:rFonts w:ascii="Times New Roman" w:eastAsia="Calibri" w:hAnsi="Times New Roman" w:cs="Times New Roman"/>
          <w:sz w:val="24"/>
        </w:rPr>
      </w:pPr>
      <w:r w:rsidRPr="008E4EB0">
        <w:rPr>
          <w:rFonts w:ascii="Times New Roman" w:eastAsia="Calibri" w:hAnsi="Times New Roman" w:cs="Times New Roman"/>
          <w:sz w:val="24"/>
        </w:rPr>
        <w:t>Apkures, karstā ūdens un ventilācijas (pelējuma un pārmērīga mitruma novēršana) pakalpojumi.</w:t>
      </w:r>
    </w:p>
    <w:p w14:paraId="0DECB67F" w14:textId="77777777" w:rsidR="007B2931" w:rsidRPr="008E4EB0" w:rsidRDefault="007B2931" w:rsidP="00D9693B">
      <w:pPr>
        <w:numPr>
          <w:ilvl w:val="2"/>
          <w:numId w:val="16"/>
        </w:numPr>
        <w:spacing w:after="0" w:line="240" w:lineRule="auto"/>
        <w:ind w:left="1276" w:hanging="567"/>
        <w:jc w:val="both"/>
        <w:rPr>
          <w:rFonts w:ascii="Times New Roman" w:eastAsia="Calibri" w:hAnsi="Times New Roman" w:cs="Times New Roman"/>
          <w:sz w:val="24"/>
        </w:rPr>
      </w:pPr>
      <w:r w:rsidRPr="008E4EB0">
        <w:rPr>
          <w:rFonts w:ascii="Times New Roman" w:eastAsia="Calibri" w:hAnsi="Times New Roman" w:cs="Times New Roman"/>
          <w:sz w:val="24"/>
        </w:rPr>
        <w:t>Apkures, karstā ūdens un ventilācijas inženiersistēmu funkcionēšanas nodrošināšana visā līguma darbības periodā.</w:t>
      </w:r>
    </w:p>
    <w:p w14:paraId="4D21E6B9" w14:textId="77777777" w:rsidR="007B2931" w:rsidRPr="008E4EB0" w:rsidRDefault="007B2931" w:rsidP="00D9693B">
      <w:pPr>
        <w:numPr>
          <w:ilvl w:val="2"/>
          <w:numId w:val="16"/>
        </w:numPr>
        <w:spacing w:after="0" w:line="240" w:lineRule="auto"/>
        <w:ind w:left="1276" w:hanging="567"/>
        <w:jc w:val="both"/>
        <w:rPr>
          <w:rFonts w:ascii="Times New Roman" w:eastAsia="Calibri" w:hAnsi="Times New Roman" w:cs="Times New Roman"/>
          <w:sz w:val="24"/>
        </w:rPr>
      </w:pPr>
      <w:r w:rsidRPr="008E4EB0">
        <w:rPr>
          <w:rFonts w:ascii="Times New Roman" w:eastAsia="Calibri" w:hAnsi="Times New Roman" w:cs="Times New Roman"/>
          <w:sz w:val="24"/>
        </w:rPr>
        <w:t>Iekštelpu temperatūra ēkas dzīvokļos apkures sezonas laikā atbilstoši noteiktam diennakts grafikam (18</w:t>
      </w:r>
      <w:r w:rsidRPr="008E4EB0">
        <w:rPr>
          <w:rFonts w:ascii="Times New Roman" w:eastAsia="Calibri" w:hAnsi="Times New Roman" w:cs="Times New Roman"/>
          <w:sz w:val="24"/>
          <w:vertAlign w:val="superscript"/>
        </w:rPr>
        <w:t>o</w:t>
      </w:r>
      <w:r w:rsidRPr="008E4EB0">
        <w:rPr>
          <w:rFonts w:ascii="Times New Roman" w:eastAsia="Calibri" w:hAnsi="Times New Roman" w:cs="Times New Roman"/>
          <w:sz w:val="24"/>
        </w:rPr>
        <w:t>C – 22</w:t>
      </w:r>
      <w:r w:rsidRPr="008E4EB0">
        <w:rPr>
          <w:rFonts w:ascii="Times New Roman" w:eastAsia="Calibri" w:hAnsi="Times New Roman" w:cs="Times New Roman"/>
          <w:sz w:val="24"/>
          <w:vertAlign w:val="superscript"/>
        </w:rPr>
        <w:t>o</w:t>
      </w:r>
      <w:r w:rsidRPr="008E4EB0">
        <w:rPr>
          <w:rFonts w:ascii="Times New Roman" w:eastAsia="Calibri" w:hAnsi="Times New Roman" w:cs="Times New Roman"/>
          <w:sz w:val="24"/>
        </w:rPr>
        <w:t>C), atsevišķi tiek noteiktas iekštelpu temperatūras pieļaujamās robežas koplietošanas telpās.</w:t>
      </w:r>
    </w:p>
    <w:p w14:paraId="289D3714" w14:textId="77777777" w:rsidR="007B2931" w:rsidRPr="008E4EB0" w:rsidRDefault="007B2931" w:rsidP="00D9693B">
      <w:pPr>
        <w:numPr>
          <w:ilvl w:val="2"/>
          <w:numId w:val="16"/>
        </w:numPr>
        <w:spacing w:after="0" w:line="240" w:lineRule="auto"/>
        <w:ind w:left="1276" w:hanging="567"/>
        <w:jc w:val="both"/>
        <w:rPr>
          <w:rFonts w:ascii="Times New Roman" w:eastAsia="Calibri" w:hAnsi="Times New Roman" w:cs="Times New Roman"/>
          <w:sz w:val="24"/>
        </w:rPr>
      </w:pPr>
      <w:r w:rsidRPr="008E4EB0">
        <w:rPr>
          <w:rFonts w:ascii="Times New Roman" w:eastAsia="Calibri" w:hAnsi="Times New Roman" w:cs="Times New Roman"/>
          <w:sz w:val="24"/>
        </w:rPr>
        <w:t>Karstā ūdens minimālā padeves temperatūra 50+/-2</w:t>
      </w:r>
      <w:r w:rsidRPr="008E4EB0">
        <w:rPr>
          <w:rFonts w:ascii="Times New Roman" w:eastAsia="Calibri" w:hAnsi="Times New Roman" w:cs="Times New Roman"/>
          <w:sz w:val="24"/>
          <w:vertAlign w:val="superscript"/>
        </w:rPr>
        <w:t>o</w:t>
      </w:r>
      <w:r w:rsidRPr="008E4EB0">
        <w:rPr>
          <w:rFonts w:ascii="Times New Roman" w:eastAsia="Calibri" w:hAnsi="Times New Roman" w:cs="Times New Roman"/>
          <w:sz w:val="24"/>
        </w:rPr>
        <w:t>C.</w:t>
      </w:r>
    </w:p>
    <w:p w14:paraId="3256B503" w14:textId="5E67C7CA" w:rsidR="007B2931" w:rsidRPr="008E4EB0" w:rsidRDefault="007B2931" w:rsidP="00D9693B">
      <w:pPr>
        <w:numPr>
          <w:ilvl w:val="2"/>
          <w:numId w:val="16"/>
        </w:numPr>
        <w:spacing w:after="0" w:line="240" w:lineRule="auto"/>
        <w:ind w:left="1276" w:hanging="567"/>
        <w:jc w:val="both"/>
        <w:rPr>
          <w:rFonts w:ascii="Times New Roman" w:eastAsia="Calibri" w:hAnsi="Times New Roman" w:cs="Times New Roman"/>
          <w:sz w:val="24"/>
        </w:rPr>
      </w:pPr>
      <w:r w:rsidRPr="008E4EB0">
        <w:rPr>
          <w:rFonts w:ascii="Times New Roman" w:eastAsia="Calibri" w:hAnsi="Times New Roman" w:cs="Times New Roman"/>
          <w:sz w:val="24"/>
        </w:rPr>
        <w:t xml:space="preserve">Ēkas </w:t>
      </w:r>
      <w:r w:rsidR="00CE0F55" w:rsidRPr="008E4EB0">
        <w:rPr>
          <w:rFonts w:ascii="Times New Roman" w:eastAsia="Calibri" w:hAnsi="Times New Roman" w:cs="Times New Roman"/>
          <w:sz w:val="24"/>
        </w:rPr>
        <w:t>atjaunošana</w:t>
      </w:r>
      <w:r w:rsidRPr="008E4EB0">
        <w:rPr>
          <w:rFonts w:ascii="Times New Roman" w:eastAsia="Calibri" w:hAnsi="Times New Roman" w:cs="Times New Roman"/>
          <w:sz w:val="24"/>
        </w:rPr>
        <w:t xml:space="preserve"> atbilstoši līgumslēdzēju pušu saskaņotiem pasākumiem (izmaksu pozīcijām), ievērojot normatīvos aktus.</w:t>
      </w:r>
    </w:p>
    <w:p w14:paraId="436AF727" w14:textId="77777777" w:rsidR="007B2931" w:rsidRPr="008E4EB0" w:rsidRDefault="007B2931" w:rsidP="00D9693B">
      <w:pPr>
        <w:numPr>
          <w:ilvl w:val="2"/>
          <w:numId w:val="16"/>
        </w:numPr>
        <w:spacing w:after="0" w:line="240" w:lineRule="auto"/>
        <w:ind w:left="1276" w:hanging="567"/>
        <w:jc w:val="both"/>
        <w:rPr>
          <w:rFonts w:ascii="Times New Roman" w:eastAsia="Calibri" w:hAnsi="Times New Roman" w:cs="Times New Roman"/>
          <w:sz w:val="24"/>
        </w:rPr>
      </w:pPr>
      <w:r w:rsidRPr="008E4EB0">
        <w:rPr>
          <w:rFonts w:ascii="Times New Roman" w:eastAsia="Calibri" w:hAnsi="Times New Roman" w:cs="Times New Roman"/>
          <w:sz w:val="24"/>
        </w:rPr>
        <w:t>Nemainīgi apkures un karstā ūdens bāzes tarifi visā līguma darbības laikā, ievērojot līgumā noteiktos tarifu korekcijas kritērijus (skatīt zemāk tekstā).</w:t>
      </w:r>
    </w:p>
    <w:p w14:paraId="79985C72" w14:textId="77777777" w:rsidR="007B2931" w:rsidRPr="008E4EB0" w:rsidRDefault="007B2931" w:rsidP="00D9693B">
      <w:pPr>
        <w:numPr>
          <w:ilvl w:val="0"/>
          <w:numId w:val="16"/>
        </w:numPr>
        <w:spacing w:after="0" w:line="240" w:lineRule="auto"/>
        <w:ind w:left="1276" w:hanging="567"/>
        <w:jc w:val="both"/>
        <w:rPr>
          <w:rFonts w:ascii="Times New Roman" w:eastAsia="Calibri" w:hAnsi="Times New Roman" w:cs="Times New Roman"/>
          <w:sz w:val="24"/>
        </w:rPr>
      </w:pPr>
      <w:r w:rsidRPr="008E4EB0">
        <w:rPr>
          <w:rFonts w:ascii="Times New Roman" w:eastAsia="Calibri" w:hAnsi="Times New Roman" w:cs="Times New Roman"/>
          <w:sz w:val="24"/>
        </w:rPr>
        <w:t>Dzīvokļu īpašnieki maksā energopakalpojuma sniedzējam bāzes tarifu (atsevišķi apkurei un karstajam ūdenim), ko veido šādi parametri:</w:t>
      </w:r>
    </w:p>
    <w:p w14:paraId="651F73FA" w14:textId="77777777" w:rsidR="007B2931" w:rsidRPr="008E4EB0" w:rsidRDefault="007B2931" w:rsidP="00D9693B">
      <w:pPr>
        <w:numPr>
          <w:ilvl w:val="2"/>
          <w:numId w:val="16"/>
        </w:numPr>
        <w:spacing w:after="0" w:line="240" w:lineRule="auto"/>
        <w:ind w:left="1276" w:hanging="567"/>
        <w:jc w:val="both"/>
        <w:rPr>
          <w:rFonts w:ascii="Times New Roman" w:eastAsia="Calibri" w:hAnsi="Times New Roman" w:cs="Times New Roman"/>
          <w:sz w:val="24"/>
        </w:rPr>
      </w:pPr>
      <w:r w:rsidRPr="008E4EB0">
        <w:rPr>
          <w:rFonts w:ascii="Times New Roman" w:eastAsia="Calibri" w:hAnsi="Times New Roman" w:cs="Times New Roman"/>
          <w:sz w:val="24"/>
        </w:rPr>
        <w:t>Enerģijas patēriņš ēkai pirms energoefektivitātes paaugstināšanas (MWh/gadā).</w:t>
      </w:r>
    </w:p>
    <w:p w14:paraId="02B133B0" w14:textId="77777777" w:rsidR="007B2931" w:rsidRPr="008E4EB0" w:rsidRDefault="007B2931" w:rsidP="00D9693B">
      <w:pPr>
        <w:numPr>
          <w:ilvl w:val="2"/>
          <w:numId w:val="16"/>
        </w:numPr>
        <w:spacing w:after="0" w:line="240" w:lineRule="auto"/>
        <w:ind w:left="1276" w:hanging="567"/>
        <w:jc w:val="both"/>
        <w:rPr>
          <w:rFonts w:ascii="Times New Roman" w:eastAsia="Calibri" w:hAnsi="Times New Roman" w:cs="Times New Roman"/>
          <w:sz w:val="24"/>
        </w:rPr>
      </w:pPr>
      <w:r w:rsidRPr="008E4EB0">
        <w:rPr>
          <w:rFonts w:ascii="Times New Roman" w:eastAsia="Calibri" w:hAnsi="Times New Roman" w:cs="Times New Roman"/>
          <w:sz w:val="24"/>
        </w:rPr>
        <w:t>Regulatora apstiprināts siltumenerģijas tarifs (EUR/MWh).</w:t>
      </w:r>
    </w:p>
    <w:p w14:paraId="63188FB2" w14:textId="77777777" w:rsidR="007B2931" w:rsidRPr="008E4EB0" w:rsidRDefault="007B2931" w:rsidP="00D9693B">
      <w:pPr>
        <w:numPr>
          <w:ilvl w:val="2"/>
          <w:numId w:val="16"/>
        </w:numPr>
        <w:spacing w:after="0" w:line="240" w:lineRule="auto"/>
        <w:ind w:left="1276" w:hanging="567"/>
        <w:jc w:val="both"/>
        <w:rPr>
          <w:rFonts w:ascii="Times New Roman" w:eastAsia="Calibri" w:hAnsi="Times New Roman" w:cs="Times New Roman"/>
          <w:sz w:val="24"/>
        </w:rPr>
      </w:pPr>
      <w:r w:rsidRPr="008E4EB0">
        <w:rPr>
          <w:rFonts w:ascii="Times New Roman" w:eastAsia="Calibri" w:hAnsi="Times New Roman" w:cs="Times New Roman"/>
          <w:sz w:val="24"/>
        </w:rPr>
        <w:t>Vidējā āra gaisa atsauces temperatūra.</w:t>
      </w:r>
    </w:p>
    <w:p w14:paraId="404D98AD" w14:textId="77777777" w:rsidR="007B2931" w:rsidRPr="008E4EB0" w:rsidRDefault="007B2931" w:rsidP="00D9693B">
      <w:pPr>
        <w:numPr>
          <w:ilvl w:val="2"/>
          <w:numId w:val="16"/>
        </w:numPr>
        <w:spacing w:after="0" w:line="240" w:lineRule="auto"/>
        <w:ind w:left="1276" w:hanging="567"/>
        <w:jc w:val="both"/>
        <w:rPr>
          <w:rFonts w:ascii="Times New Roman" w:eastAsia="Calibri" w:hAnsi="Times New Roman" w:cs="Times New Roman"/>
          <w:sz w:val="24"/>
        </w:rPr>
      </w:pPr>
      <w:r w:rsidRPr="008E4EB0">
        <w:rPr>
          <w:rFonts w:ascii="Times New Roman" w:eastAsia="Calibri" w:hAnsi="Times New Roman" w:cs="Times New Roman"/>
          <w:sz w:val="24"/>
        </w:rPr>
        <w:t>Vidējā iekštelpu atsauces temperatūra.</w:t>
      </w:r>
    </w:p>
    <w:p w14:paraId="7BE6FCBC" w14:textId="77777777" w:rsidR="007B2931" w:rsidRPr="008E4EB0" w:rsidRDefault="007B2931" w:rsidP="00D9693B">
      <w:pPr>
        <w:numPr>
          <w:ilvl w:val="2"/>
          <w:numId w:val="16"/>
        </w:numPr>
        <w:spacing w:after="0" w:line="240" w:lineRule="auto"/>
        <w:ind w:left="1276" w:hanging="567"/>
        <w:jc w:val="both"/>
        <w:rPr>
          <w:rFonts w:ascii="Times New Roman" w:eastAsia="Calibri" w:hAnsi="Times New Roman" w:cs="Times New Roman"/>
          <w:sz w:val="24"/>
        </w:rPr>
      </w:pPr>
      <w:r w:rsidRPr="008E4EB0">
        <w:rPr>
          <w:rFonts w:ascii="Times New Roman" w:eastAsia="Calibri" w:hAnsi="Times New Roman" w:cs="Times New Roman"/>
          <w:sz w:val="24"/>
        </w:rPr>
        <w:t>Dzīvokļu kopējā apkurināmā platība.</w:t>
      </w:r>
    </w:p>
    <w:p w14:paraId="677ABAF8" w14:textId="77777777" w:rsidR="007B2931" w:rsidRPr="008E4EB0" w:rsidRDefault="007B2931" w:rsidP="00D9693B">
      <w:pPr>
        <w:numPr>
          <w:ilvl w:val="2"/>
          <w:numId w:val="16"/>
        </w:numPr>
        <w:spacing w:after="0" w:line="240" w:lineRule="auto"/>
        <w:ind w:left="1276" w:hanging="567"/>
        <w:jc w:val="both"/>
        <w:rPr>
          <w:rFonts w:ascii="Times New Roman" w:eastAsia="Calibri" w:hAnsi="Times New Roman" w:cs="Times New Roman"/>
          <w:sz w:val="24"/>
        </w:rPr>
      </w:pPr>
      <w:r w:rsidRPr="008E4EB0">
        <w:rPr>
          <w:rFonts w:ascii="Times New Roman" w:eastAsia="Calibri" w:hAnsi="Times New Roman" w:cs="Times New Roman"/>
          <w:sz w:val="24"/>
        </w:rPr>
        <w:t>Mēnešu skaits apkures sezonā vidēji gadā.</w:t>
      </w:r>
    </w:p>
    <w:p w14:paraId="6A63B3E7" w14:textId="77777777" w:rsidR="007B2931" w:rsidRPr="008E4EB0" w:rsidRDefault="007B2931" w:rsidP="007B2931">
      <w:pPr>
        <w:spacing w:after="0" w:line="240" w:lineRule="auto"/>
        <w:ind w:firstLine="851"/>
        <w:jc w:val="both"/>
        <w:rPr>
          <w:rFonts w:ascii="Times New Roman" w:eastAsia="Calibri" w:hAnsi="Times New Roman" w:cs="Times New Roman"/>
          <w:sz w:val="24"/>
        </w:rPr>
      </w:pPr>
      <w:r w:rsidRPr="008E4EB0">
        <w:rPr>
          <w:rFonts w:ascii="Times New Roman" w:eastAsia="Calibri" w:hAnsi="Times New Roman" w:cs="Times New Roman"/>
          <w:sz w:val="24"/>
        </w:rPr>
        <w:t xml:space="preserve">Energopakalpojumu sniedzēja bāzes tarifs apkures sezonas laikā katru mēnesi tiek koriģēts atbilstoši ārgaisa temperatūras un siltumenerģijas tarifa izmaiņām. </w:t>
      </w:r>
    </w:p>
    <w:p w14:paraId="0DF98FC5" w14:textId="48EE3535" w:rsidR="007B2931" w:rsidRPr="008E4EB0" w:rsidRDefault="007B2931" w:rsidP="007B2931">
      <w:pPr>
        <w:spacing w:after="0" w:line="240" w:lineRule="auto"/>
        <w:ind w:firstLine="851"/>
        <w:jc w:val="both"/>
        <w:rPr>
          <w:rFonts w:ascii="Times New Roman" w:eastAsia="Calibri" w:hAnsi="Times New Roman" w:cs="Times New Roman"/>
          <w:sz w:val="24"/>
        </w:rPr>
      </w:pPr>
      <w:r w:rsidRPr="008E4EB0">
        <w:rPr>
          <w:rFonts w:ascii="Times New Roman" w:eastAsia="Calibri" w:hAnsi="Times New Roman" w:cs="Times New Roman"/>
          <w:sz w:val="24"/>
        </w:rPr>
        <w:t xml:space="preserve">ESKO slēgtie EPL Latvijā ir trīspusējie līgumi, kur līgumslēdzējas puses ir klients (DzĪS), ESKO un mājas apsaimniekotājs. ESKO slēdz atsevišķu aizdevuma līgumu ar finansētāju (kredītiestādi) par finansējuma piesaisti daudzdzīvokļu mājas </w:t>
      </w:r>
      <w:r w:rsidR="00CE0F55" w:rsidRPr="008E4EB0">
        <w:rPr>
          <w:rFonts w:ascii="Times New Roman" w:eastAsia="Calibri" w:hAnsi="Times New Roman" w:cs="Times New Roman"/>
          <w:sz w:val="24"/>
        </w:rPr>
        <w:t>atjaunošana</w:t>
      </w:r>
      <w:r w:rsidRPr="008E4EB0">
        <w:rPr>
          <w:rFonts w:ascii="Times New Roman" w:eastAsia="Calibri" w:hAnsi="Times New Roman" w:cs="Times New Roman"/>
          <w:sz w:val="24"/>
        </w:rPr>
        <w:t xml:space="preserve">i. </w:t>
      </w:r>
    </w:p>
    <w:p w14:paraId="3A0D2CCB" w14:textId="77777777" w:rsidR="007B2931" w:rsidRPr="008E4EB0" w:rsidRDefault="007B2931" w:rsidP="007B2931">
      <w:pPr>
        <w:spacing w:after="0" w:line="240" w:lineRule="auto"/>
        <w:ind w:firstLine="851"/>
        <w:jc w:val="both"/>
        <w:rPr>
          <w:rFonts w:ascii="Times New Roman" w:eastAsia="Calibri" w:hAnsi="Times New Roman" w:cs="Times New Roman"/>
          <w:sz w:val="24"/>
        </w:rPr>
      </w:pPr>
      <w:r w:rsidRPr="008E4EB0">
        <w:rPr>
          <w:rFonts w:ascii="Times New Roman" w:eastAsia="Calibri" w:hAnsi="Times New Roman" w:cs="Times New Roman"/>
          <w:sz w:val="24"/>
        </w:rPr>
        <w:t>Maksājumu plūsma no dzīvokļu īpašniekiem energopakalpojuma sniedzējam notiek ar namu apsaimniekotāja starpniecību.</w:t>
      </w:r>
    </w:p>
    <w:p w14:paraId="267C3260" w14:textId="77777777" w:rsidR="007B2931" w:rsidRPr="008E4EB0" w:rsidRDefault="007B2931" w:rsidP="007B2931">
      <w:pPr>
        <w:spacing w:after="0" w:line="240" w:lineRule="auto"/>
        <w:ind w:firstLine="851"/>
        <w:jc w:val="both"/>
        <w:rPr>
          <w:rFonts w:ascii="Times New Roman" w:eastAsia="Calibri" w:hAnsi="Times New Roman" w:cs="Times New Roman"/>
          <w:sz w:val="24"/>
        </w:rPr>
      </w:pPr>
      <w:r w:rsidRPr="008E4EB0">
        <w:rPr>
          <w:rFonts w:ascii="Times New Roman" w:eastAsia="Calibri" w:hAnsi="Times New Roman" w:cs="Times New Roman"/>
          <w:sz w:val="24"/>
        </w:rPr>
        <w:t xml:space="preserve">Atbilstoši līdzšinējai EPL praksei energopakalpojuma sniedzēja galvenais ieguldījums ir komercriska uzņemšanās, nodrošinot, ka tā veiktie energoefektivitātes paaugstināšanas un siltumenerģijas piegādes pakalpojumi līguma darbības laikā atbilst siltumenerģijas bāzes tarifam atbilstoši iepriekš tekstā minētajiem tarifa korekcijas nosacījumiem (t.i., ja visā EPL darbības laikā ārgaisa temperatūra un siltumenerģijas tarifs būtu nemainīgi, tad pēc energoefektivitātes paaugstināšanas pasākumu veikšanas iedzīvotājiem nebūtu jāmaksā vairāk par apkuri un karsto ūdenim nekā pirms energoefektivitātes paaugstināšanas pasākumu veikšanas). </w:t>
      </w:r>
    </w:p>
    <w:p w14:paraId="05A5636C" w14:textId="0E6695B4" w:rsidR="007B2931" w:rsidRPr="008E4EB0" w:rsidRDefault="007B2931" w:rsidP="007B2931">
      <w:pPr>
        <w:spacing w:after="0" w:line="240" w:lineRule="auto"/>
        <w:ind w:firstLine="851"/>
        <w:jc w:val="both"/>
        <w:rPr>
          <w:rFonts w:ascii="Times New Roman" w:eastAsia="Calibri" w:hAnsi="Times New Roman" w:cs="Times New Roman"/>
          <w:sz w:val="24"/>
        </w:rPr>
      </w:pPr>
      <w:r w:rsidRPr="008E4EB0">
        <w:rPr>
          <w:rFonts w:ascii="Times New Roman" w:eastAsia="Calibri" w:hAnsi="Times New Roman" w:cs="Times New Roman"/>
          <w:sz w:val="24"/>
        </w:rPr>
        <w:t xml:space="preserve">Līdz ar to, energopakalpojumi ir izdevīgi daudzdzīvokļu māju īpašniekiem, kas vēlas dzīvot inženiertehniski sakārtotā mājā ar pieņemamu komforta līmeni, saprātīgu maksu par siltumenerģiju (maksājumu apjoms pirms ēkas </w:t>
      </w:r>
      <w:r w:rsidR="00CE0F55" w:rsidRPr="008E4EB0">
        <w:rPr>
          <w:rFonts w:ascii="Times New Roman" w:eastAsia="Calibri" w:hAnsi="Times New Roman" w:cs="Times New Roman"/>
          <w:sz w:val="24"/>
        </w:rPr>
        <w:t>atjaunošanas</w:t>
      </w:r>
      <w:r w:rsidRPr="008E4EB0">
        <w:rPr>
          <w:rFonts w:ascii="Times New Roman" w:eastAsia="Calibri" w:hAnsi="Times New Roman" w:cs="Times New Roman"/>
          <w:sz w:val="24"/>
        </w:rPr>
        <w:t xml:space="preserve">, kas pieaug atbilstoši siltumenerģijas tarifa pieaugumam) un kuriem nav kapacitātes vai vēlēšanās pašiem nodarboties ar ēku </w:t>
      </w:r>
      <w:r w:rsidR="00CE0F55" w:rsidRPr="008E4EB0">
        <w:rPr>
          <w:rFonts w:ascii="Times New Roman" w:eastAsia="Calibri" w:hAnsi="Times New Roman" w:cs="Times New Roman"/>
          <w:sz w:val="24"/>
        </w:rPr>
        <w:t>atjaunošanu</w:t>
      </w:r>
      <w:r w:rsidRPr="008E4EB0">
        <w:rPr>
          <w:rFonts w:ascii="Times New Roman" w:eastAsia="Calibri" w:hAnsi="Times New Roman" w:cs="Times New Roman"/>
          <w:sz w:val="24"/>
        </w:rPr>
        <w:t xml:space="preserve"> un uzturēšanu (vai arī mājas apsaimniekotājam nav atbilstošas profesionālās pieredzes). Vienlaicīgi, daudzdzīvokļu māju īpašniekiem ir riski, ka  maksājums par sniegto pakalpojumu var būtiski pieaugt, ja pieaug siltumenerģijas tarifs, jo dzīvoklis maksā par enerģijas patēriņa apjomu ēkai, kas tai bija pirms energoefektivitātes paaugstināšanas. Šādā situācijā īpašniekiem ir ierobežotas iespējas samazināt izdevumu pieaugumu.</w:t>
      </w:r>
    </w:p>
    <w:p w14:paraId="34E3D1D8" w14:textId="23D5ABB9" w:rsidR="007B2931" w:rsidRDefault="007B2931" w:rsidP="007B2931">
      <w:pPr>
        <w:spacing w:after="0" w:line="240" w:lineRule="auto"/>
        <w:ind w:firstLine="851"/>
        <w:jc w:val="both"/>
        <w:rPr>
          <w:rFonts w:ascii="Times New Roman" w:eastAsia="Calibri" w:hAnsi="Times New Roman" w:cs="Times New Roman"/>
          <w:sz w:val="24"/>
        </w:rPr>
      </w:pPr>
      <w:r w:rsidRPr="008E4EB0">
        <w:rPr>
          <w:rFonts w:ascii="Times New Roman" w:eastAsia="Calibri" w:hAnsi="Times New Roman" w:cs="Times New Roman"/>
          <w:sz w:val="24"/>
        </w:rPr>
        <w:lastRenderedPageBreak/>
        <w:t xml:space="preserve">Energoefektivitātes paaugstināšanas projektiem ir ilgs investīciju atmaksas periods un tie nav finansiāli rentabli bez granta finansējuma. Līdz ar to arī EPL biznesa modelis ir balstīts uz pieņēmumiem, ka daudzdzīvokļu māju </w:t>
      </w:r>
      <w:r w:rsidR="00CE0F55" w:rsidRPr="008E4EB0">
        <w:rPr>
          <w:rFonts w:ascii="Times New Roman" w:eastAsia="Calibri" w:hAnsi="Times New Roman" w:cs="Times New Roman"/>
          <w:sz w:val="24"/>
        </w:rPr>
        <w:t>atjaunošana</w:t>
      </w:r>
      <w:r w:rsidRPr="008E4EB0">
        <w:rPr>
          <w:rFonts w:ascii="Times New Roman" w:eastAsia="Calibri" w:hAnsi="Times New Roman" w:cs="Times New Roman"/>
          <w:sz w:val="24"/>
        </w:rPr>
        <w:t>i ir pieejams granta finansējums, un līguma darbības laikā siltumapgādes tarifi nepārtraukti pieaugs (atsevišķos līgumos paredzētais tarifa pieauguma temps gadā ir 6%). Labumu no tarifa pieauguma gūst energopakalpojuma sniedzējs, jo pakalpojuma saņēmējam attiecīgi ir jāmaksā bāzes tarifs un tarifa pieaugums. Līdz ar to energopakalpojumu sniedzējiem ir pievilcīgākas pašvaldības ar salīdzinoši augstākiem siltumapgādes tarifiem.</w:t>
      </w:r>
    </w:p>
    <w:p w14:paraId="6ADC3A47" w14:textId="5C53AA69" w:rsidR="00B13D71" w:rsidRPr="00B13D71" w:rsidRDefault="00B13D71" w:rsidP="00B13D71">
      <w:pPr>
        <w:spacing w:after="0" w:line="240" w:lineRule="auto"/>
        <w:ind w:firstLine="851"/>
        <w:jc w:val="both"/>
        <w:rPr>
          <w:rFonts w:ascii="Times New Roman" w:eastAsia="Calibri" w:hAnsi="Times New Roman" w:cs="Times New Roman"/>
          <w:sz w:val="24"/>
        </w:rPr>
      </w:pPr>
      <w:r w:rsidRPr="00B13D71">
        <w:rPr>
          <w:rFonts w:ascii="Times New Roman" w:eastAsia="Calibri" w:hAnsi="Times New Roman" w:cs="Times New Roman"/>
          <w:sz w:val="24"/>
        </w:rPr>
        <w:t xml:space="preserve">Lai nodrošinātu ESKO tirgus attīstību, nepieciešamas 3 veida atbalsta programmas ESKO dažādās attīstības stadijās: 1) </w:t>
      </w:r>
      <w:r w:rsidR="00D94B00">
        <w:rPr>
          <w:rFonts w:ascii="Times New Roman" w:eastAsia="Calibri" w:hAnsi="Times New Roman" w:cs="Times New Roman"/>
          <w:sz w:val="24"/>
        </w:rPr>
        <w:t>a</w:t>
      </w:r>
      <w:r w:rsidRPr="00B13D71">
        <w:rPr>
          <w:rFonts w:ascii="Times New Roman" w:eastAsia="Calibri" w:hAnsi="Times New Roman" w:cs="Times New Roman"/>
          <w:sz w:val="24"/>
        </w:rPr>
        <w:t xml:space="preserve">tbalsts ESKO izveidei un sākotnējās darbības uzsākšanai; 2) </w:t>
      </w:r>
      <w:r w:rsidR="00D94B00">
        <w:rPr>
          <w:rFonts w:ascii="Times New Roman" w:eastAsia="Calibri" w:hAnsi="Times New Roman" w:cs="Times New Roman"/>
          <w:sz w:val="24"/>
        </w:rPr>
        <w:t>a</w:t>
      </w:r>
      <w:r w:rsidRPr="00B13D71">
        <w:rPr>
          <w:rFonts w:ascii="Times New Roman" w:eastAsia="Calibri" w:hAnsi="Times New Roman" w:cs="Times New Roman"/>
          <w:sz w:val="24"/>
        </w:rPr>
        <w:t xml:space="preserve">tbalsts jau esošu ESKO darbības nodrošināšanai; 3) ESKO aizdevumu refinansēšanas fonds. Ņemot vērā, ka šobrīd akūtākā problēma ar finansējuma pieejamību ir tieši ESKO kompānijām, kuras savu darbību jau ir uzsākušas, bet vairs nevar piesaistīt privātā sektora resursus, </w:t>
      </w:r>
      <w:r w:rsidR="00D94B00">
        <w:rPr>
          <w:rFonts w:ascii="Times New Roman" w:eastAsia="Calibri" w:hAnsi="Times New Roman" w:cs="Times New Roman"/>
          <w:sz w:val="24"/>
        </w:rPr>
        <w:t xml:space="preserve">Ekonomikas ministrija ir izstrādājusi izmaiņas </w:t>
      </w:r>
      <w:r w:rsidR="00D94B00" w:rsidRPr="00D94B00">
        <w:rPr>
          <w:rFonts w:ascii="Times New Roman" w:eastAsia="Calibri" w:hAnsi="Times New Roman" w:cs="Times New Roman"/>
          <w:sz w:val="24"/>
        </w:rPr>
        <w:t>Ministru kabineta 2009. gada 15. septembra noteikumos Nr. 1065 „Noteikumi par aizdevumiem sīko (mikro), mazo un vidējo saimnieciskās darbības veicēju un lauksaimniecības pakalpojumu kooperatīvo sabiedrību attīstības veicināšanai” (turpmāk – MK noteikumi Nr. 1065)</w:t>
      </w:r>
      <w:r w:rsidR="009866B6">
        <w:rPr>
          <w:rFonts w:ascii="Times New Roman" w:eastAsia="Calibri" w:hAnsi="Times New Roman" w:cs="Times New Roman"/>
          <w:sz w:val="24"/>
        </w:rPr>
        <w:t>, lai tām ESKO kompānijām</w:t>
      </w:r>
      <w:r w:rsidRPr="00B13D71">
        <w:rPr>
          <w:rFonts w:ascii="Times New Roman" w:eastAsia="Calibri" w:hAnsi="Times New Roman" w:cs="Times New Roman"/>
          <w:sz w:val="24"/>
        </w:rPr>
        <w:t>, kuras tirgū jau darbojas, būtu iespēja savu paplašināt</w:t>
      </w:r>
      <w:r w:rsidR="009866B6" w:rsidRPr="009866B6">
        <w:rPr>
          <w:rFonts w:ascii="Times New Roman" w:eastAsia="Calibri" w:hAnsi="Times New Roman" w:cs="Times New Roman"/>
          <w:sz w:val="24"/>
        </w:rPr>
        <w:t xml:space="preserve"> </w:t>
      </w:r>
      <w:r w:rsidR="009866B6" w:rsidRPr="00B13D71">
        <w:rPr>
          <w:rFonts w:ascii="Times New Roman" w:eastAsia="Calibri" w:hAnsi="Times New Roman" w:cs="Times New Roman"/>
          <w:sz w:val="24"/>
        </w:rPr>
        <w:t>darbību</w:t>
      </w:r>
      <w:r w:rsidRPr="00B13D71">
        <w:rPr>
          <w:rFonts w:ascii="Times New Roman" w:eastAsia="Calibri" w:hAnsi="Times New Roman" w:cs="Times New Roman"/>
          <w:sz w:val="24"/>
        </w:rPr>
        <w:t>.</w:t>
      </w:r>
    </w:p>
    <w:p w14:paraId="2E90E37A" w14:textId="0DB03CCD" w:rsidR="00B13D71" w:rsidRPr="00B13D71" w:rsidRDefault="00B13D71" w:rsidP="009866B6">
      <w:pPr>
        <w:spacing w:after="0" w:line="240" w:lineRule="auto"/>
        <w:ind w:firstLine="851"/>
        <w:jc w:val="both"/>
        <w:rPr>
          <w:rFonts w:ascii="Times New Roman" w:eastAsia="Calibri" w:hAnsi="Times New Roman" w:cs="Times New Roman"/>
          <w:sz w:val="24"/>
        </w:rPr>
      </w:pPr>
      <w:r w:rsidRPr="00B13D71">
        <w:rPr>
          <w:rFonts w:ascii="Times New Roman" w:eastAsia="Calibri" w:hAnsi="Times New Roman" w:cs="Times New Roman"/>
          <w:sz w:val="24"/>
        </w:rPr>
        <w:t>Sabiedrība "Altum" pieņems lēmumu par aizdevuma piešķiršanu, pamatojoties uz saimnieciskās darbības veicēja, t.sk. ESKO, iesniegto biznesa plānu, kas satur īstenojamā biznesa projekta un energoefektivitātes pasākumu aprakstu,  plānoto saimnieciskās darbības veicēja naudas plūsmu un citu sabiedrības "Altum" norādīto informāciju. Energoefektivitātes pasākumu īstenošanai sabiedrībā "Altum" papildus būs jāiesniedz aprēķini, kas pamato, ka aizdevuma atmaksa tiks veikta no energoefektivitātes pakalpojuma sniedzēju klientu maksājumiem, kas tiek veikti no ietaupītājiem līdzekļiem, īstenojot energoefektivi</w:t>
      </w:r>
      <w:r w:rsidR="009866B6">
        <w:rPr>
          <w:rFonts w:ascii="Times New Roman" w:eastAsia="Calibri" w:hAnsi="Times New Roman" w:cs="Times New Roman"/>
          <w:sz w:val="24"/>
        </w:rPr>
        <w:t xml:space="preserve">tātes paaugstināšanas projektu. </w:t>
      </w:r>
      <w:r w:rsidRPr="00B13D71">
        <w:rPr>
          <w:rFonts w:ascii="Times New Roman" w:eastAsia="Calibri" w:hAnsi="Times New Roman" w:cs="Times New Roman"/>
          <w:sz w:val="24"/>
        </w:rPr>
        <w:t>Sabiedrības "Altum" aizdevumiem tiks izvirzīti šādi nosacījumi:</w:t>
      </w:r>
    </w:p>
    <w:p w14:paraId="07738DED" w14:textId="4320BDDE" w:rsidR="00B13D71" w:rsidRPr="009866B6" w:rsidRDefault="00B13D71" w:rsidP="00464FEF">
      <w:pPr>
        <w:pStyle w:val="ListParagraph"/>
        <w:numPr>
          <w:ilvl w:val="0"/>
          <w:numId w:val="44"/>
        </w:numPr>
        <w:spacing w:after="0" w:line="240" w:lineRule="auto"/>
        <w:jc w:val="both"/>
        <w:rPr>
          <w:rFonts w:ascii="Times New Roman" w:eastAsia="Calibri" w:hAnsi="Times New Roman" w:cs="Times New Roman"/>
          <w:sz w:val="24"/>
        </w:rPr>
      </w:pPr>
      <w:r w:rsidRPr="009866B6">
        <w:rPr>
          <w:rFonts w:ascii="Times New Roman" w:eastAsia="Calibri" w:hAnsi="Times New Roman" w:cs="Times New Roman"/>
          <w:sz w:val="24"/>
        </w:rPr>
        <w:t xml:space="preserve">aizdevuma apmērs: līdz 2,85 miljoniem </w:t>
      </w:r>
      <w:r w:rsidR="009866B6" w:rsidRPr="009866B6">
        <w:rPr>
          <w:rFonts w:ascii="Times New Roman" w:eastAsia="Calibri" w:hAnsi="Times New Roman" w:cs="Times New Roman"/>
          <w:i/>
          <w:sz w:val="24"/>
        </w:rPr>
        <w:t>euro</w:t>
      </w:r>
      <w:r w:rsidRPr="009866B6">
        <w:rPr>
          <w:rFonts w:ascii="Times New Roman" w:eastAsia="Calibri" w:hAnsi="Times New Roman" w:cs="Times New Roman"/>
          <w:sz w:val="24"/>
        </w:rPr>
        <w:t xml:space="preserve"> uz komersantu. Ja energoefektivitātes pakalpojuma sniedzējam ir vairāki meitas uzņēmumi, katrs šis uzņēmums var saņemt aizdevumu līdz 2,85 miljoniem </w:t>
      </w:r>
      <w:r w:rsidR="009866B6" w:rsidRPr="009866B6">
        <w:rPr>
          <w:rFonts w:ascii="Times New Roman" w:eastAsia="Calibri" w:hAnsi="Times New Roman" w:cs="Times New Roman"/>
          <w:i/>
          <w:sz w:val="24"/>
        </w:rPr>
        <w:t>euro</w:t>
      </w:r>
      <w:r w:rsidRPr="009866B6">
        <w:rPr>
          <w:rFonts w:ascii="Times New Roman" w:eastAsia="Calibri" w:hAnsi="Times New Roman" w:cs="Times New Roman"/>
          <w:sz w:val="24"/>
        </w:rPr>
        <w:t>;</w:t>
      </w:r>
    </w:p>
    <w:p w14:paraId="77185EF6" w14:textId="326DDEBB" w:rsidR="00B13D71" w:rsidRPr="009866B6" w:rsidRDefault="00B13D71" w:rsidP="00464FEF">
      <w:pPr>
        <w:pStyle w:val="ListParagraph"/>
        <w:numPr>
          <w:ilvl w:val="0"/>
          <w:numId w:val="44"/>
        </w:numPr>
        <w:spacing w:after="0" w:line="240" w:lineRule="auto"/>
        <w:jc w:val="both"/>
        <w:rPr>
          <w:rFonts w:ascii="Times New Roman" w:eastAsia="Calibri" w:hAnsi="Times New Roman" w:cs="Times New Roman"/>
          <w:sz w:val="24"/>
        </w:rPr>
      </w:pPr>
      <w:r w:rsidRPr="009866B6">
        <w:rPr>
          <w:rFonts w:ascii="Times New Roman" w:eastAsia="Calibri" w:hAnsi="Times New Roman" w:cs="Times New Roman"/>
          <w:sz w:val="24"/>
        </w:rPr>
        <w:t>minimālais saimnieciskās darbības veicēja, t.sk. ESKO, līdzfinansējums, kas nav saistīts ar jebkādu komercdarbības atbalstu, 10% apmērā;</w:t>
      </w:r>
    </w:p>
    <w:p w14:paraId="7D000776" w14:textId="51EA98B6" w:rsidR="00B13D71" w:rsidRPr="009866B6" w:rsidRDefault="00B13D71" w:rsidP="00464FEF">
      <w:pPr>
        <w:pStyle w:val="ListParagraph"/>
        <w:numPr>
          <w:ilvl w:val="0"/>
          <w:numId w:val="44"/>
        </w:numPr>
        <w:spacing w:after="0" w:line="240" w:lineRule="auto"/>
        <w:jc w:val="both"/>
        <w:rPr>
          <w:rFonts w:ascii="Times New Roman" w:eastAsia="Calibri" w:hAnsi="Times New Roman" w:cs="Times New Roman"/>
          <w:sz w:val="24"/>
        </w:rPr>
      </w:pPr>
      <w:r w:rsidRPr="009866B6">
        <w:rPr>
          <w:rFonts w:ascii="Times New Roman" w:eastAsia="Calibri" w:hAnsi="Times New Roman" w:cs="Times New Roman"/>
          <w:sz w:val="24"/>
        </w:rPr>
        <w:t xml:space="preserve">aizdevuma procentu likme: no EURIBOR + 3% </w:t>
      </w:r>
    </w:p>
    <w:p w14:paraId="052B4311" w14:textId="2EADE608" w:rsidR="00B13D71" w:rsidRPr="009866B6" w:rsidRDefault="00B13D71" w:rsidP="00464FEF">
      <w:pPr>
        <w:pStyle w:val="ListParagraph"/>
        <w:numPr>
          <w:ilvl w:val="0"/>
          <w:numId w:val="44"/>
        </w:numPr>
        <w:spacing w:after="0" w:line="240" w:lineRule="auto"/>
        <w:jc w:val="both"/>
        <w:rPr>
          <w:rFonts w:ascii="Times New Roman" w:eastAsia="Calibri" w:hAnsi="Times New Roman" w:cs="Times New Roman"/>
          <w:sz w:val="24"/>
        </w:rPr>
      </w:pPr>
      <w:r w:rsidRPr="009866B6">
        <w:rPr>
          <w:rFonts w:ascii="Times New Roman" w:eastAsia="Calibri" w:hAnsi="Times New Roman" w:cs="Times New Roman"/>
          <w:sz w:val="24"/>
        </w:rPr>
        <w:t>aizdevuma termiņš līdz 20 gadiem;</w:t>
      </w:r>
    </w:p>
    <w:p w14:paraId="67B886C4" w14:textId="5FD78D5B" w:rsidR="00B13D71" w:rsidRPr="009866B6" w:rsidRDefault="00B13D71" w:rsidP="00464FEF">
      <w:pPr>
        <w:pStyle w:val="ListParagraph"/>
        <w:numPr>
          <w:ilvl w:val="0"/>
          <w:numId w:val="44"/>
        </w:numPr>
        <w:spacing w:after="0" w:line="240" w:lineRule="auto"/>
        <w:jc w:val="both"/>
        <w:rPr>
          <w:rFonts w:ascii="Times New Roman" w:eastAsia="Calibri" w:hAnsi="Times New Roman" w:cs="Times New Roman"/>
          <w:sz w:val="24"/>
        </w:rPr>
      </w:pPr>
      <w:r w:rsidRPr="009866B6">
        <w:rPr>
          <w:rFonts w:ascii="Times New Roman" w:eastAsia="Calibri" w:hAnsi="Times New Roman" w:cs="Times New Roman"/>
          <w:sz w:val="24"/>
        </w:rPr>
        <w:t>aizdevuma izsniegšana atbilstoši ESKO klientu piesaistei;</w:t>
      </w:r>
    </w:p>
    <w:p w14:paraId="60FF4477" w14:textId="429D5A8A" w:rsidR="00B13D71" w:rsidRDefault="00B13D71" w:rsidP="00464FEF">
      <w:pPr>
        <w:pStyle w:val="ListParagraph"/>
        <w:numPr>
          <w:ilvl w:val="0"/>
          <w:numId w:val="44"/>
        </w:numPr>
        <w:spacing w:after="0" w:line="240" w:lineRule="auto"/>
        <w:jc w:val="both"/>
        <w:rPr>
          <w:rFonts w:ascii="Times New Roman" w:eastAsia="Calibri" w:hAnsi="Times New Roman" w:cs="Times New Roman"/>
          <w:sz w:val="24"/>
        </w:rPr>
      </w:pPr>
      <w:r w:rsidRPr="009866B6">
        <w:rPr>
          <w:rFonts w:ascii="Times New Roman" w:eastAsia="Calibri" w:hAnsi="Times New Roman" w:cs="Times New Roman"/>
          <w:sz w:val="24"/>
        </w:rPr>
        <w:t>iespējams piesaistīt garantijas 80% no aizdevuma summas.</w:t>
      </w:r>
    </w:p>
    <w:p w14:paraId="29A746C9" w14:textId="7229D637" w:rsidR="00B10992" w:rsidRDefault="00B10992" w:rsidP="00B10992">
      <w:pPr>
        <w:spacing w:after="0" w:line="240" w:lineRule="auto"/>
        <w:ind w:firstLine="360"/>
        <w:jc w:val="both"/>
        <w:rPr>
          <w:rFonts w:ascii="Times New Roman" w:eastAsia="Calibri" w:hAnsi="Times New Roman" w:cs="Times New Roman"/>
          <w:sz w:val="24"/>
        </w:rPr>
      </w:pPr>
      <w:r w:rsidRPr="00B10992">
        <w:rPr>
          <w:rFonts w:ascii="Times New Roman" w:eastAsia="Calibri" w:hAnsi="Times New Roman" w:cs="Times New Roman"/>
          <w:sz w:val="24"/>
        </w:rPr>
        <w:t xml:space="preserve">Papildus tam nākotnē ir jāstrādā pie ESKO aizdevumu refinansēšanas fonda darbības paplašināšanas, kas atpirktu no ESKO jau izveidotos klientu portfeļus (prasījuma tiesības uz klientu nākotnes maksājumiem). Tādejādi ESKO, kas aktīvi īsteno energoefektivitātes paaugstināšanas pasākumus, samazinātos kredītsaistību slogs un būtu iespēja atkārtoti saņemt komercbanku un </w:t>
      </w:r>
      <w:r>
        <w:rPr>
          <w:rFonts w:ascii="Times New Roman" w:eastAsia="Calibri" w:hAnsi="Times New Roman" w:cs="Times New Roman"/>
          <w:sz w:val="24"/>
        </w:rPr>
        <w:t>sabiedrības “</w:t>
      </w:r>
      <w:r w:rsidRPr="00B10992">
        <w:rPr>
          <w:rFonts w:ascii="Times New Roman" w:eastAsia="Calibri" w:hAnsi="Times New Roman" w:cs="Times New Roman"/>
          <w:sz w:val="24"/>
        </w:rPr>
        <w:t>Altum</w:t>
      </w:r>
      <w:r>
        <w:rPr>
          <w:rFonts w:ascii="Times New Roman" w:eastAsia="Calibri" w:hAnsi="Times New Roman" w:cs="Times New Roman"/>
          <w:sz w:val="24"/>
        </w:rPr>
        <w:t>”</w:t>
      </w:r>
      <w:r w:rsidRPr="00B10992">
        <w:rPr>
          <w:rFonts w:ascii="Times New Roman" w:eastAsia="Calibri" w:hAnsi="Times New Roman" w:cs="Times New Roman"/>
          <w:sz w:val="24"/>
        </w:rPr>
        <w:t xml:space="preserve"> aizdevumus jaunu projektu īstenošanai. Kā viena no iespējām ir jāapsver refinansēšanas fondu veidot kopā valsts un privātajam sektoram kā publisko privāto partnerību. Tādejādi tiktu sekmēta Energoefektīvas direktīvas 18.pantā minētais, ka dalībvalstīm ir jāveicina energopakalpojumu tirgus, tai skaitā finanšu instrumentu izmantošana, un tiktu veicināta privāto investīciju piesaiste.</w:t>
      </w:r>
    </w:p>
    <w:p w14:paraId="1E75918C" w14:textId="2C12120C" w:rsidR="003C7C94" w:rsidRPr="003C7C94" w:rsidRDefault="003C7C94" w:rsidP="003C7C94">
      <w:pPr>
        <w:spacing w:after="0" w:line="240" w:lineRule="auto"/>
        <w:ind w:firstLine="360"/>
        <w:jc w:val="both"/>
        <w:rPr>
          <w:rFonts w:ascii="Times New Roman" w:eastAsia="Calibri" w:hAnsi="Times New Roman" w:cs="Times New Roman"/>
          <w:sz w:val="24"/>
        </w:rPr>
      </w:pPr>
      <w:r>
        <w:rPr>
          <w:rFonts w:ascii="Times New Roman" w:eastAsia="Calibri" w:hAnsi="Times New Roman" w:cs="Times New Roman"/>
          <w:sz w:val="24"/>
        </w:rPr>
        <w:lastRenderedPageBreak/>
        <w:t>Pašlaik Ekonomikas ministrijas ieskatā finanšu tirgū varētu tikt</w:t>
      </w:r>
      <w:r w:rsidRPr="003C7C94">
        <w:rPr>
          <w:rFonts w:ascii="Times New Roman" w:eastAsia="Calibri" w:hAnsi="Times New Roman" w:cs="Times New Roman"/>
          <w:sz w:val="24"/>
        </w:rPr>
        <w:t xml:space="preserve"> izveidots jauns Energoefektivitātes projektu refinansēšanas fonds (EPRF), kurā iegulda publisko finansējumu (līdz 25% no fonda apjoma).</w:t>
      </w:r>
    </w:p>
    <w:p w14:paraId="1F5D5F3C" w14:textId="77777777" w:rsidR="003C7C94" w:rsidRPr="003C7C94" w:rsidRDefault="003C7C94" w:rsidP="003C7C94">
      <w:pPr>
        <w:spacing w:after="0" w:line="240" w:lineRule="auto"/>
        <w:ind w:firstLine="360"/>
        <w:jc w:val="both"/>
        <w:rPr>
          <w:rFonts w:ascii="Times New Roman" w:eastAsia="Calibri" w:hAnsi="Times New Roman" w:cs="Times New Roman"/>
          <w:sz w:val="24"/>
        </w:rPr>
      </w:pPr>
      <w:r w:rsidRPr="003C7C94">
        <w:rPr>
          <w:rFonts w:ascii="Times New Roman" w:eastAsia="Calibri" w:hAnsi="Times New Roman" w:cs="Times New Roman"/>
          <w:sz w:val="24"/>
        </w:rPr>
        <w:t>Paredzēts atlasīt:</w:t>
      </w:r>
    </w:p>
    <w:p w14:paraId="5C1B3D30" w14:textId="77777777" w:rsidR="003C7C94" w:rsidRPr="003C7C94" w:rsidRDefault="003C7C94" w:rsidP="003C7C94">
      <w:pPr>
        <w:spacing w:after="0" w:line="240" w:lineRule="auto"/>
        <w:ind w:firstLine="360"/>
        <w:jc w:val="both"/>
        <w:rPr>
          <w:rFonts w:ascii="Times New Roman" w:eastAsia="Calibri" w:hAnsi="Times New Roman" w:cs="Times New Roman"/>
          <w:sz w:val="24"/>
        </w:rPr>
      </w:pPr>
      <w:r w:rsidRPr="003C7C94">
        <w:rPr>
          <w:rFonts w:ascii="Times New Roman" w:eastAsia="Calibri" w:hAnsi="Times New Roman" w:cs="Times New Roman"/>
          <w:sz w:val="24"/>
        </w:rPr>
        <w:t>1)</w:t>
      </w:r>
      <w:r w:rsidRPr="003C7C94">
        <w:rPr>
          <w:rFonts w:ascii="Times New Roman" w:eastAsia="Calibri" w:hAnsi="Times New Roman" w:cs="Times New Roman"/>
          <w:sz w:val="24"/>
        </w:rPr>
        <w:tab/>
        <w:t>ieguldītājus (min. 75% no EPRF apjoma);</w:t>
      </w:r>
    </w:p>
    <w:p w14:paraId="1C0743B7" w14:textId="77777777" w:rsidR="003C7C94" w:rsidRPr="003C7C94" w:rsidRDefault="003C7C94" w:rsidP="003C7C94">
      <w:pPr>
        <w:spacing w:after="0" w:line="240" w:lineRule="auto"/>
        <w:ind w:firstLine="360"/>
        <w:jc w:val="both"/>
        <w:rPr>
          <w:rFonts w:ascii="Times New Roman" w:eastAsia="Calibri" w:hAnsi="Times New Roman" w:cs="Times New Roman"/>
          <w:sz w:val="24"/>
        </w:rPr>
      </w:pPr>
      <w:r w:rsidRPr="003C7C94">
        <w:rPr>
          <w:rFonts w:ascii="Times New Roman" w:eastAsia="Calibri" w:hAnsi="Times New Roman" w:cs="Times New Roman"/>
          <w:sz w:val="24"/>
        </w:rPr>
        <w:t>2)</w:t>
      </w:r>
      <w:r w:rsidRPr="003C7C94">
        <w:rPr>
          <w:rFonts w:ascii="Times New Roman" w:eastAsia="Calibri" w:hAnsi="Times New Roman" w:cs="Times New Roman"/>
          <w:sz w:val="24"/>
        </w:rPr>
        <w:tab/>
        <w:t>EPRF pārvaldes kompāniju.</w:t>
      </w:r>
    </w:p>
    <w:p w14:paraId="4A0C0087" w14:textId="25CD9C7F" w:rsidR="003C7C94" w:rsidRDefault="003C7C94" w:rsidP="003C7C94">
      <w:pPr>
        <w:spacing w:after="0" w:line="240" w:lineRule="auto"/>
        <w:ind w:firstLine="360"/>
        <w:jc w:val="both"/>
        <w:rPr>
          <w:rFonts w:ascii="Times New Roman" w:eastAsia="Calibri" w:hAnsi="Times New Roman" w:cs="Times New Roman"/>
          <w:sz w:val="24"/>
        </w:rPr>
      </w:pPr>
      <w:r w:rsidRPr="003C7C94">
        <w:rPr>
          <w:rFonts w:ascii="Times New Roman" w:eastAsia="Calibri" w:hAnsi="Times New Roman" w:cs="Times New Roman"/>
          <w:sz w:val="24"/>
        </w:rPr>
        <w:t>EPRF refinansē ESKO projektus, iegādājoties ESKO izveidoto klientu portfeli (prasījuma tiesības). Tādējādi ESKO ir iespēja norēķināties par esošajām kredītsaistībām un uzņemties jaunas saistības kārtējā klientu portfeļu izveidei.</w:t>
      </w:r>
    </w:p>
    <w:p w14:paraId="5BF97D0A" w14:textId="7ACF4122" w:rsidR="003C7C94" w:rsidRPr="00B10992" w:rsidRDefault="003C7C94" w:rsidP="003C7C94">
      <w:pPr>
        <w:spacing w:after="0" w:line="240" w:lineRule="auto"/>
        <w:ind w:firstLine="360"/>
        <w:jc w:val="both"/>
        <w:rPr>
          <w:rFonts w:ascii="Times New Roman" w:eastAsia="Calibri" w:hAnsi="Times New Roman" w:cs="Times New Roman"/>
          <w:sz w:val="24"/>
        </w:rPr>
      </w:pPr>
      <w:r>
        <w:rPr>
          <w:rFonts w:ascii="Times New Roman" w:eastAsia="Calibri" w:hAnsi="Times New Roman" w:cs="Times New Roman"/>
          <w:sz w:val="24"/>
        </w:rPr>
        <w:t>Kā priekšrocība šādai pieejai ir, ka v</w:t>
      </w:r>
      <w:r w:rsidRPr="003C7C94">
        <w:rPr>
          <w:rFonts w:ascii="Times New Roman" w:eastAsia="Calibri" w:hAnsi="Times New Roman" w:cs="Times New Roman"/>
          <w:sz w:val="24"/>
        </w:rPr>
        <w:t>isi ESKO projektu refinansēšanas lēmumi tiek pieņemti uz privātās iniciatīvas pamata.</w:t>
      </w:r>
      <w:r>
        <w:rPr>
          <w:rFonts w:ascii="Times New Roman" w:eastAsia="Calibri" w:hAnsi="Times New Roman" w:cs="Times New Roman"/>
          <w:sz w:val="24"/>
        </w:rPr>
        <w:t xml:space="preserve"> Savukārt, kā trūkums identificēts i</w:t>
      </w:r>
      <w:r w:rsidRPr="003C7C94">
        <w:rPr>
          <w:rFonts w:ascii="Times New Roman" w:eastAsia="Calibri" w:hAnsi="Times New Roman" w:cs="Times New Roman"/>
          <w:sz w:val="24"/>
        </w:rPr>
        <w:t>lg</w:t>
      </w:r>
      <w:r>
        <w:rPr>
          <w:rFonts w:ascii="Times New Roman" w:eastAsia="Calibri" w:hAnsi="Times New Roman" w:cs="Times New Roman"/>
          <w:sz w:val="24"/>
        </w:rPr>
        <w:t>ai</w:t>
      </w:r>
      <w:r w:rsidRPr="003C7C94">
        <w:rPr>
          <w:rFonts w:ascii="Times New Roman" w:eastAsia="Calibri" w:hAnsi="Times New Roman" w:cs="Times New Roman"/>
          <w:sz w:val="24"/>
        </w:rPr>
        <w:t>s uzsākšanas periods – jāizstrādā jauni MK noteikumi, jāveic EPRF ieguldītāju atlase un EPRF pārvaldes kompānijas atlase.</w:t>
      </w:r>
      <w:r>
        <w:rPr>
          <w:rFonts w:ascii="Times New Roman" w:eastAsia="Calibri" w:hAnsi="Times New Roman" w:cs="Times New Roman"/>
          <w:sz w:val="24"/>
        </w:rPr>
        <w:t xml:space="preserve"> </w:t>
      </w:r>
      <w:r w:rsidRPr="003C7C94">
        <w:rPr>
          <w:rFonts w:ascii="Times New Roman" w:eastAsia="Calibri" w:hAnsi="Times New Roman" w:cs="Times New Roman"/>
          <w:sz w:val="24"/>
        </w:rPr>
        <w:t>Latvijā šāda tipa fonds jau ir izveidots 2016.gadā pēc privātā sektora iniciatīvas. Līdz ar to, lai nodrošinātu visu atbalsta pasākumu papildinātību, ES fondus ir lietderīgi ieguldīt cita (iztrūkstošā) atbalsta instrumenta izveidē.</w:t>
      </w:r>
    </w:p>
    <w:p w14:paraId="308C5CA7" w14:textId="15299A01" w:rsidR="007B2931" w:rsidRPr="008E4EB0" w:rsidRDefault="007B2931" w:rsidP="00B13D71">
      <w:pPr>
        <w:spacing w:after="0" w:line="240" w:lineRule="auto"/>
        <w:ind w:firstLine="851"/>
        <w:jc w:val="both"/>
      </w:pPr>
    </w:p>
    <w:p w14:paraId="4B701D25" w14:textId="36BDC647" w:rsidR="00990903" w:rsidRPr="008E4EB0" w:rsidRDefault="00990903" w:rsidP="00DE0C77">
      <w:pPr>
        <w:pStyle w:val="apakvirsraksts"/>
        <w:tabs>
          <w:tab w:val="left" w:pos="2702"/>
        </w:tabs>
      </w:pPr>
      <w:bookmarkStart w:id="132" w:name="_Toc480527991"/>
      <w:bookmarkStart w:id="133" w:name="_Toc491870937"/>
      <w:r w:rsidRPr="008E4EB0">
        <w:t xml:space="preserve">Ēku </w:t>
      </w:r>
      <w:r w:rsidR="00CE0F55" w:rsidRPr="008E4EB0">
        <w:t>atjaunošanas</w:t>
      </w:r>
      <w:r w:rsidRPr="008E4EB0">
        <w:t xml:space="preserve"> šķēršļu analīze</w:t>
      </w:r>
      <w:bookmarkEnd w:id="132"/>
      <w:bookmarkEnd w:id="133"/>
    </w:p>
    <w:p w14:paraId="4F60DE60" w14:textId="77777777" w:rsidR="00917226" w:rsidRPr="008E4EB0" w:rsidRDefault="00917226" w:rsidP="00917226">
      <w:pPr>
        <w:spacing w:after="0" w:line="240" w:lineRule="auto"/>
        <w:ind w:firstLine="851"/>
        <w:contextualSpacing/>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 xml:space="preserve">Vērtējot ēku energoefektivitātes ietekmi, var secināt, ka, galvenie šķēršļi, lai stimulētu ēku rentablu pilnīgu atjaunošanu, ir: </w:t>
      </w:r>
    </w:p>
    <w:p w14:paraId="523FDBD2" w14:textId="77777777" w:rsidR="00917226" w:rsidRPr="008E4EB0" w:rsidRDefault="00917226" w:rsidP="00D9693B">
      <w:pPr>
        <w:numPr>
          <w:ilvl w:val="0"/>
          <w:numId w:val="22"/>
        </w:numPr>
        <w:spacing w:after="0" w:line="240" w:lineRule="auto"/>
        <w:ind w:left="0" w:firstLine="0"/>
        <w:contextualSpacing/>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 xml:space="preserve">augstas finanšu resursu piesaistes izmaksas (aizdevumu procentu likmes) komercbankās; </w:t>
      </w:r>
    </w:p>
    <w:p w14:paraId="76E0E40C" w14:textId="77777777" w:rsidR="00917226" w:rsidRPr="008E4EB0" w:rsidRDefault="00917226" w:rsidP="00D9693B">
      <w:pPr>
        <w:numPr>
          <w:ilvl w:val="0"/>
          <w:numId w:val="22"/>
        </w:numPr>
        <w:spacing w:after="0" w:line="240" w:lineRule="auto"/>
        <w:ind w:left="0" w:firstLine="0"/>
        <w:contextualSpacing/>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 xml:space="preserve">ēku īpašnieku parādi par komunāliem pakalpojumiem un kredītsaistības par mājokļu iegādi, kas ierobežo iespēju uzņemties jaunas saistības vai saņemt aizdevumu bankā; </w:t>
      </w:r>
    </w:p>
    <w:p w14:paraId="2C999B9E" w14:textId="77777777" w:rsidR="00917226" w:rsidRPr="008E4EB0" w:rsidRDefault="00917226" w:rsidP="00D9693B">
      <w:pPr>
        <w:numPr>
          <w:ilvl w:val="0"/>
          <w:numId w:val="22"/>
        </w:numPr>
        <w:spacing w:after="0" w:line="240" w:lineRule="auto"/>
        <w:ind w:left="0" w:firstLine="0"/>
        <w:contextualSpacing/>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 xml:space="preserve">nepietiekams profesionāli apmācītu speciālistu (ēku apsaimniekotāji, neatkarīgi eksperti ēku energoefektivitātes jomā, projektētāji, būvniecībā nodarbinātie) skaits; </w:t>
      </w:r>
    </w:p>
    <w:p w14:paraId="1BF3CE99" w14:textId="77777777" w:rsidR="00917226" w:rsidRPr="008E4EB0" w:rsidRDefault="00917226" w:rsidP="00D9693B">
      <w:pPr>
        <w:numPr>
          <w:ilvl w:val="0"/>
          <w:numId w:val="22"/>
        </w:numPr>
        <w:spacing w:after="0" w:line="240" w:lineRule="auto"/>
        <w:ind w:left="0" w:firstLine="0"/>
        <w:contextualSpacing/>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kvalificēta darbaspēka trūkums;</w:t>
      </w:r>
    </w:p>
    <w:p w14:paraId="73498105" w14:textId="1DC1FF2D" w:rsidR="00917226" w:rsidRDefault="00917226" w:rsidP="00D9693B">
      <w:pPr>
        <w:numPr>
          <w:ilvl w:val="0"/>
          <w:numId w:val="22"/>
        </w:numPr>
        <w:spacing w:after="0" w:line="240" w:lineRule="auto"/>
        <w:ind w:left="0" w:firstLine="0"/>
        <w:contextualSpacing/>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zema būvniecības darbu kvalitāte un būvniecības kontroles trūkums. Ja darbus veic nepietiekami profesionāli izpildītāji, pastāv iespēja nesasniegt plānoto enerģijas ietaupījumu.</w:t>
      </w:r>
    </w:p>
    <w:p w14:paraId="3667113A" w14:textId="4F469560" w:rsidR="00F749EA" w:rsidRDefault="00F749EA" w:rsidP="00BF58E9">
      <w:pPr>
        <w:spacing w:after="0" w:line="240" w:lineRule="auto"/>
        <w:contextualSpacing/>
        <w:jc w:val="both"/>
        <w:rPr>
          <w:rFonts w:ascii="Times New Roman" w:eastAsia="Calibri" w:hAnsi="Times New Roman" w:cs="Times New Roman"/>
          <w:sz w:val="24"/>
          <w:szCs w:val="24"/>
        </w:rPr>
      </w:pPr>
    </w:p>
    <w:p w14:paraId="61DD5DA3" w14:textId="77777777" w:rsidR="00F749EA" w:rsidRPr="008E4EB0" w:rsidRDefault="00F749EA" w:rsidP="00BF58E9">
      <w:pPr>
        <w:spacing w:after="0" w:line="240" w:lineRule="auto"/>
        <w:contextualSpacing/>
        <w:jc w:val="both"/>
        <w:rPr>
          <w:rFonts w:ascii="Times New Roman" w:eastAsia="Calibri" w:hAnsi="Times New Roman" w:cs="Times New Roman"/>
          <w:sz w:val="24"/>
          <w:szCs w:val="24"/>
        </w:rPr>
      </w:pPr>
    </w:p>
    <w:p w14:paraId="65E79AEB" w14:textId="427E381F" w:rsidR="00917226" w:rsidRPr="008E4EB0" w:rsidRDefault="00A574D8" w:rsidP="00F75EF7">
      <w:pPr>
        <w:pStyle w:val="apakapakvirsraksts"/>
      </w:pPr>
      <w:bookmarkStart w:id="134" w:name="_Toc480527992"/>
      <w:bookmarkStart w:id="135" w:name="_Toc491870938"/>
      <w:r w:rsidRPr="008E4EB0">
        <w:t>ES fondu aktivitāšu šķēršļi</w:t>
      </w:r>
      <w:bookmarkEnd w:id="134"/>
      <w:bookmarkEnd w:id="135"/>
    </w:p>
    <w:p w14:paraId="012F1E30" w14:textId="77777777" w:rsidR="00917226" w:rsidRPr="008E4EB0" w:rsidRDefault="00917226" w:rsidP="00917226">
      <w:pPr>
        <w:shd w:val="clear" w:color="auto" w:fill="FFFFFF"/>
        <w:spacing w:after="0" w:line="240" w:lineRule="auto"/>
        <w:contextualSpacing/>
        <w:jc w:val="both"/>
        <w:rPr>
          <w:rFonts w:ascii="Times New Roman" w:eastAsia="Calibri" w:hAnsi="Times New Roman" w:cs="Times New Roman"/>
          <w:i/>
          <w:sz w:val="24"/>
          <w:szCs w:val="24"/>
        </w:rPr>
      </w:pPr>
      <w:r w:rsidRPr="008E4EB0">
        <w:rPr>
          <w:rFonts w:ascii="Times New Roman" w:eastAsia="Calibri" w:hAnsi="Times New Roman" w:cs="Times New Roman"/>
          <w:i/>
          <w:sz w:val="24"/>
          <w:szCs w:val="24"/>
        </w:rPr>
        <w:t>3.4.4.1. aktivitātes šķēršļi:</w:t>
      </w:r>
    </w:p>
    <w:p w14:paraId="07A5D1BC" w14:textId="77777777" w:rsidR="00917226" w:rsidRPr="008E4EB0" w:rsidRDefault="00917226" w:rsidP="00D9693B">
      <w:pPr>
        <w:numPr>
          <w:ilvl w:val="0"/>
          <w:numId w:val="20"/>
        </w:numPr>
        <w:shd w:val="clear" w:color="auto" w:fill="FFFFFF"/>
        <w:spacing w:after="0" w:line="240" w:lineRule="auto"/>
        <w:ind w:left="0" w:firstLine="0"/>
        <w:jc w:val="both"/>
        <w:rPr>
          <w:rFonts w:ascii="Times New Roman" w:eastAsia="Calibri" w:hAnsi="Times New Roman" w:cs="Times New Roman"/>
          <w:sz w:val="24"/>
          <w:szCs w:val="24"/>
          <w:lang w:eastAsia="x-none"/>
        </w:rPr>
      </w:pPr>
      <w:r w:rsidRPr="008E4EB0">
        <w:rPr>
          <w:rFonts w:ascii="Times New Roman" w:eastAsia="Calibri" w:hAnsi="Times New Roman" w:cs="Times New Roman"/>
          <w:sz w:val="24"/>
          <w:szCs w:val="24"/>
          <w:lang w:eastAsia="x-none"/>
        </w:rPr>
        <w:t>Neskaidrs energoefektivitātes paaugstināšanas projektu investīciju atmaksāšanās termiņš. Pēc EM aprēķiniem pie vidējiem rādītājiem energoefektivitātes paaugstināšanas projektos investīciju atmaksāšanās periods ir 22-23 gadi (neņemot vērā finansējuma piesaistes izmaksas). 2007 – 2013.gada ES fondu plānošanas perioda atbalsta programmas ietvaros LIAA apstiprināja projektu, un tikai pēc tam komercbanka izskatīja aizdevuma piešķiršanas iespējas. Līdz ar to iepriekš nebija zināms, vai projekts atmaksāsies, jo nebija zināma aizdevuma procentu likme.</w:t>
      </w:r>
    </w:p>
    <w:p w14:paraId="7F6BD8E9" w14:textId="77777777" w:rsidR="00917226" w:rsidRPr="008E4EB0" w:rsidRDefault="00917226" w:rsidP="00D9693B">
      <w:pPr>
        <w:numPr>
          <w:ilvl w:val="0"/>
          <w:numId w:val="20"/>
        </w:numPr>
        <w:shd w:val="clear" w:color="auto" w:fill="FFFFFF"/>
        <w:spacing w:after="0" w:line="240" w:lineRule="auto"/>
        <w:ind w:left="0" w:firstLine="0"/>
        <w:jc w:val="both"/>
        <w:rPr>
          <w:rFonts w:ascii="Times New Roman" w:eastAsia="Calibri" w:hAnsi="Times New Roman" w:cs="Times New Roman"/>
          <w:sz w:val="24"/>
          <w:szCs w:val="24"/>
          <w:lang w:eastAsia="x-none"/>
        </w:rPr>
      </w:pPr>
      <w:r w:rsidRPr="008E4EB0">
        <w:rPr>
          <w:rFonts w:ascii="Times New Roman" w:eastAsia="Calibri" w:hAnsi="Times New Roman" w:cs="Times New Roman"/>
          <w:sz w:val="24"/>
          <w:szCs w:val="24"/>
          <w:lang w:eastAsia="x-none"/>
        </w:rPr>
        <w:t xml:space="preserve">Augstas finanšu resursu piesaistes izmaksas (aizdevumu procentu likmes) komercbankās. </w:t>
      </w:r>
    </w:p>
    <w:p w14:paraId="676D5026" w14:textId="77777777" w:rsidR="00917226" w:rsidRPr="008E4EB0" w:rsidRDefault="00917226" w:rsidP="00D9693B">
      <w:pPr>
        <w:numPr>
          <w:ilvl w:val="0"/>
          <w:numId w:val="20"/>
        </w:numPr>
        <w:shd w:val="clear" w:color="auto" w:fill="FFFFFF"/>
        <w:spacing w:after="0" w:line="240" w:lineRule="auto"/>
        <w:ind w:left="0" w:firstLine="0"/>
        <w:jc w:val="both"/>
        <w:rPr>
          <w:rFonts w:ascii="Times New Roman" w:eastAsia="Calibri" w:hAnsi="Times New Roman" w:cs="Times New Roman"/>
          <w:sz w:val="24"/>
          <w:szCs w:val="24"/>
          <w:lang w:eastAsia="x-none"/>
        </w:rPr>
      </w:pPr>
      <w:r w:rsidRPr="008E4EB0">
        <w:rPr>
          <w:rFonts w:ascii="Times New Roman" w:eastAsia="Calibri" w:hAnsi="Times New Roman" w:cs="Times New Roman"/>
          <w:sz w:val="24"/>
          <w:szCs w:val="24"/>
          <w:lang w:eastAsia="x-none"/>
        </w:rPr>
        <w:t>Ierobežota komercbanku finansējuma pieejamība atsevišķām ēku grupām ar ekonomiski pamatotiem projektiem (reģionos, ēkām ar nelielu dzīvokļu skaitu, ēku apsaimniekotājiem ar salīdzinoši lielu kredītportfeli).</w:t>
      </w:r>
    </w:p>
    <w:p w14:paraId="67A8C0CE" w14:textId="77777777" w:rsidR="00917226" w:rsidRPr="008E4EB0" w:rsidRDefault="00917226" w:rsidP="00D9693B">
      <w:pPr>
        <w:numPr>
          <w:ilvl w:val="0"/>
          <w:numId w:val="20"/>
        </w:numPr>
        <w:shd w:val="clear" w:color="auto" w:fill="FFFFFF"/>
        <w:spacing w:after="0" w:line="240" w:lineRule="auto"/>
        <w:ind w:left="0" w:firstLine="0"/>
        <w:jc w:val="both"/>
        <w:rPr>
          <w:rFonts w:ascii="Times New Roman" w:eastAsia="Calibri" w:hAnsi="Times New Roman" w:cs="Times New Roman"/>
          <w:sz w:val="24"/>
          <w:szCs w:val="24"/>
          <w:lang w:eastAsia="x-none"/>
        </w:rPr>
      </w:pPr>
      <w:r w:rsidRPr="008E4EB0">
        <w:rPr>
          <w:rFonts w:ascii="Times New Roman" w:eastAsia="Calibri" w:hAnsi="Times New Roman" w:cs="Times New Roman"/>
          <w:sz w:val="24"/>
          <w:szCs w:val="24"/>
          <w:lang w:eastAsia="x-none"/>
        </w:rPr>
        <w:t xml:space="preserve">Latvijas garantiju aģentūras (turpmāk – LGA) sniegtās garantijas tiek pieprasītas, lai komercbankas izsniegtu aizdevumus lielā daļā daudzdzīvokļu māju </w:t>
      </w:r>
      <w:r w:rsidRPr="008E4EB0">
        <w:rPr>
          <w:rFonts w:ascii="Times New Roman" w:eastAsia="Calibri" w:hAnsi="Times New Roman" w:cs="Times New Roman"/>
          <w:sz w:val="24"/>
          <w:szCs w:val="24"/>
          <w:lang w:eastAsia="x-none"/>
        </w:rPr>
        <w:lastRenderedPageBreak/>
        <w:t>energoefektivitātes paaugstināšanas projektu. Tai pašā laikā tās tikai retos gadījumos palīdz saņemt aizdevumu iepriekšējā punktā norādītajām ēku grupām, tādējādi pilnvērtīgi neveicinot aizdevumu saņemšanu visā Latvijas teritorijā (LGA izsniegtās garantijas bija nevis valsts, bet valsts kapitālsabiedrības galvotas garantijas).</w:t>
      </w:r>
    </w:p>
    <w:p w14:paraId="4FF99A78" w14:textId="77777777" w:rsidR="00917226" w:rsidRPr="008E4EB0" w:rsidRDefault="00917226" w:rsidP="00D9693B">
      <w:pPr>
        <w:numPr>
          <w:ilvl w:val="0"/>
          <w:numId w:val="20"/>
        </w:numPr>
        <w:shd w:val="clear" w:color="auto" w:fill="FFFFFF"/>
        <w:spacing w:after="0" w:line="240" w:lineRule="auto"/>
        <w:ind w:left="0" w:firstLine="0"/>
        <w:jc w:val="both"/>
        <w:rPr>
          <w:rFonts w:ascii="Times New Roman" w:eastAsia="Calibri" w:hAnsi="Times New Roman" w:cs="Times New Roman"/>
          <w:sz w:val="24"/>
          <w:szCs w:val="24"/>
          <w:lang w:eastAsia="x-none"/>
        </w:rPr>
      </w:pPr>
      <w:r w:rsidRPr="008E4EB0">
        <w:rPr>
          <w:rFonts w:ascii="Times New Roman" w:eastAsia="Calibri" w:hAnsi="Times New Roman" w:cs="Times New Roman"/>
          <w:sz w:val="24"/>
          <w:szCs w:val="24"/>
          <w:lang w:eastAsia="x-none"/>
        </w:rPr>
        <w:t xml:space="preserve">Dzīvokļu īpašnieku parādi par komunāliem pakalpojumiem un kredītsaistības par mājokļu iegādi, kas ierobežo iespēju uzņemties jaunas saistības, saņemot aizdevumu bankā. </w:t>
      </w:r>
    </w:p>
    <w:p w14:paraId="35A7BC32" w14:textId="77777777" w:rsidR="00917226" w:rsidRPr="008E4EB0" w:rsidRDefault="00917226" w:rsidP="00D9693B">
      <w:pPr>
        <w:numPr>
          <w:ilvl w:val="0"/>
          <w:numId w:val="20"/>
        </w:numPr>
        <w:shd w:val="clear" w:color="auto" w:fill="FFFFFF"/>
        <w:spacing w:after="0" w:line="240" w:lineRule="auto"/>
        <w:ind w:left="0" w:firstLine="0"/>
        <w:jc w:val="both"/>
        <w:rPr>
          <w:rFonts w:ascii="Times New Roman" w:eastAsia="Calibri" w:hAnsi="Times New Roman" w:cs="Times New Roman"/>
          <w:sz w:val="24"/>
          <w:szCs w:val="24"/>
          <w:lang w:eastAsia="x-none"/>
        </w:rPr>
      </w:pPr>
      <w:r w:rsidRPr="008E4EB0">
        <w:rPr>
          <w:rFonts w:ascii="Times New Roman" w:eastAsia="Calibri" w:hAnsi="Times New Roman" w:cs="Times New Roman"/>
          <w:sz w:val="24"/>
          <w:szCs w:val="24"/>
          <w:lang w:eastAsia="x-none"/>
        </w:rPr>
        <w:t xml:space="preserve">Nepietiekams profesionāli apmācītu speciālistu (ēku apsaimniekotāji, energoauditori, projektētāji, būvniecībā nodarbinātie) skaits. </w:t>
      </w:r>
    </w:p>
    <w:p w14:paraId="7EEB9264" w14:textId="77777777" w:rsidR="00917226" w:rsidRPr="008E4EB0" w:rsidRDefault="00917226" w:rsidP="00D9693B">
      <w:pPr>
        <w:numPr>
          <w:ilvl w:val="0"/>
          <w:numId w:val="20"/>
        </w:numPr>
        <w:shd w:val="clear" w:color="auto" w:fill="FFFFFF"/>
        <w:spacing w:after="0" w:line="240" w:lineRule="auto"/>
        <w:ind w:left="0" w:firstLine="0"/>
        <w:jc w:val="both"/>
        <w:rPr>
          <w:rFonts w:ascii="Times New Roman" w:eastAsia="Calibri" w:hAnsi="Times New Roman" w:cs="Times New Roman"/>
          <w:sz w:val="24"/>
          <w:szCs w:val="24"/>
          <w:lang w:eastAsia="x-none"/>
        </w:rPr>
      </w:pPr>
      <w:r w:rsidRPr="008E4EB0">
        <w:rPr>
          <w:rFonts w:ascii="Times New Roman" w:eastAsia="Calibri" w:hAnsi="Times New Roman" w:cs="Times New Roman"/>
          <w:sz w:val="24"/>
          <w:szCs w:val="24"/>
          <w:lang w:eastAsia="x-none"/>
        </w:rPr>
        <w:t xml:space="preserve">Kvalificēta darbaspēka trūkums būvdarbu veikšanai. </w:t>
      </w:r>
    </w:p>
    <w:p w14:paraId="2E5C0A6E" w14:textId="77777777" w:rsidR="00917226" w:rsidRPr="008E4EB0" w:rsidRDefault="00917226" w:rsidP="00D9693B">
      <w:pPr>
        <w:numPr>
          <w:ilvl w:val="0"/>
          <w:numId w:val="20"/>
        </w:numPr>
        <w:shd w:val="clear" w:color="auto" w:fill="FFFFFF"/>
        <w:spacing w:after="0" w:line="240" w:lineRule="auto"/>
        <w:ind w:left="0" w:firstLine="0"/>
        <w:jc w:val="both"/>
        <w:rPr>
          <w:rFonts w:ascii="Times New Roman" w:eastAsia="Calibri" w:hAnsi="Times New Roman" w:cs="Times New Roman"/>
          <w:sz w:val="24"/>
          <w:szCs w:val="24"/>
          <w:lang w:eastAsia="x-none"/>
        </w:rPr>
      </w:pPr>
      <w:r w:rsidRPr="008E4EB0">
        <w:rPr>
          <w:rFonts w:ascii="Times New Roman" w:eastAsia="Calibri" w:hAnsi="Times New Roman" w:cs="Times New Roman"/>
          <w:sz w:val="24"/>
          <w:szCs w:val="24"/>
          <w:lang w:eastAsia="x-none"/>
        </w:rPr>
        <w:t>Zema būvniecības darbu kvalitāte un būvniecības kvalitātes kontroles trūkums.</w:t>
      </w:r>
    </w:p>
    <w:p w14:paraId="310E6B1F" w14:textId="246B642D" w:rsidR="00917226" w:rsidRPr="008E4EB0" w:rsidRDefault="00917226" w:rsidP="00F75EF7">
      <w:pPr>
        <w:numPr>
          <w:ilvl w:val="0"/>
          <w:numId w:val="20"/>
        </w:numPr>
        <w:shd w:val="clear" w:color="auto" w:fill="FFFFFF"/>
        <w:spacing w:after="0" w:line="240" w:lineRule="auto"/>
        <w:ind w:left="0" w:firstLine="0"/>
        <w:jc w:val="both"/>
        <w:rPr>
          <w:rFonts w:ascii="Times New Roman" w:eastAsia="Calibri" w:hAnsi="Times New Roman" w:cs="Times New Roman"/>
          <w:sz w:val="24"/>
          <w:szCs w:val="24"/>
          <w:lang w:eastAsia="x-none"/>
        </w:rPr>
      </w:pPr>
      <w:r w:rsidRPr="008E4EB0">
        <w:rPr>
          <w:rFonts w:ascii="Times New Roman" w:eastAsia="Calibri" w:hAnsi="Times New Roman" w:cs="Times New Roman"/>
          <w:sz w:val="24"/>
          <w:szCs w:val="24"/>
          <w:lang w:eastAsia="x-none"/>
        </w:rPr>
        <w:t>Energoservisa uzņēmumu (turpmāk – ESKO) piesaistes gadījumos neskaidra dzīvokļu īpašnieku naudas plūsma – nav skaidra pakalpojuma cena, un gadījumos, ja siltumenerģijas tarifu izmaiņu risku uzņemas dzīvokļu īpašnieki, pastāv izmaksu pieauguma risks iespējamo siltumenerģijas tarifu izmaiņu dēļ (šāds risks ESKO īstenotajos projektos (salīdzinot ar māju apsaimniekotāju īstenotajiem projektiem) ir lielāks, jo dzīvokļu īpašnieki pēc projekta īstenošanas maksā par siltumenerģijas patēriņu, kāds bija pirms energoefektivitātes paaugstināšanas projekta īstenošanas.</w:t>
      </w:r>
    </w:p>
    <w:p w14:paraId="11304F6B" w14:textId="77777777" w:rsidR="00917226" w:rsidRPr="008E4EB0" w:rsidRDefault="00917226" w:rsidP="00917226">
      <w:pPr>
        <w:shd w:val="clear" w:color="auto" w:fill="FFFFFF"/>
        <w:spacing w:after="0" w:line="240" w:lineRule="auto"/>
        <w:ind w:left="720" w:firstLine="360"/>
        <w:jc w:val="both"/>
        <w:rPr>
          <w:rFonts w:ascii="Times New Roman" w:eastAsia="Calibri" w:hAnsi="Times New Roman" w:cs="Times New Roman"/>
          <w:sz w:val="24"/>
          <w:szCs w:val="24"/>
        </w:rPr>
      </w:pPr>
    </w:p>
    <w:p w14:paraId="05637678" w14:textId="77777777" w:rsidR="00917226" w:rsidRPr="008E4EB0" w:rsidRDefault="00917226" w:rsidP="00917226">
      <w:pPr>
        <w:widowControl w:val="0"/>
        <w:shd w:val="clear" w:color="auto" w:fill="FFFFFF"/>
        <w:suppressAutoHyphens/>
        <w:autoSpaceDN w:val="0"/>
        <w:spacing w:after="0" w:line="240" w:lineRule="auto"/>
        <w:textAlignment w:val="baseline"/>
        <w:rPr>
          <w:rFonts w:ascii="Times New Roman" w:eastAsia="Calibri" w:hAnsi="Times New Roman" w:cs="Times New Roman"/>
          <w:i/>
          <w:sz w:val="24"/>
          <w:szCs w:val="24"/>
        </w:rPr>
      </w:pPr>
      <w:r w:rsidRPr="008E4EB0">
        <w:rPr>
          <w:rFonts w:ascii="Times New Roman" w:eastAsia="Calibri" w:hAnsi="Times New Roman" w:cs="Times New Roman"/>
          <w:i/>
          <w:sz w:val="24"/>
          <w:szCs w:val="24"/>
        </w:rPr>
        <w:t>3.4.4.2. aktivitātes šķēršļi:</w:t>
      </w:r>
    </w:p>
    <w:p w14:paraId="53C48EB8" w14:textId="5B0A2CA0" w:rsidR="00917226" w:rsidRPr="008E4EB0" w:rsidRDefault="00917226" w:rsidP="00D9693B">
      <w:pPr>
        <w:widowControl w:val="0"/>
        <w:numPr>
          <w:ilvl w:val="0"/>
          <w:numId w:val="19"/>
        </w:numPr>
        <w:shd w:val="clear" w:color="auto" w:fill="FFFFFF"/>
        <w:suppressAutoHyphens/>
        <w:autoSpaceDN w:val="0"/>
        <w:spacing w:after="0" w:line="240" w:lineRule="auto"/>
        <w:ind w:left="0" w:firstLine="0"/>
        <w:jc w:val="both"/>
        <w:textAlignment w:val="baseline"/>
        <w:rPr>
          <w:rFonts w:ascii="Times New Roman" w:eastAsia="Calibri" w:hAnsi="Times New Roman" w:cs="Times New Roman"/>
          <w:color w:val="000000"/>
          <w:sz w:val="24"/>
          <w:szCs w:val="24"/>
        </w:rPr>
      </w:pPr>
      <w:r w:rsidRPr="008E4EB0">
        <w:rPr>
          <w:rFonts w:ascii="Times New Roman" w:eastAsia="Calibri" w:hAnsi="Times New Roman" w:cs="Times New Roman"/>
          <w:color w:val="000000"/>
          <w:sz w:val="24"/>
          <w:szCs w:val="24"/>
        </w:rPr>
        <w:t xml:space="preserve">Vairākos projektos tika paredzētas augstas atjaunošanas izmaksas (pat vairāk kā 400 </w:t>
      </w:r>
      <w:r w:rsidR="008E4EB0">
        <w:rPr>
          <w:rFonts w:ascii="Times New Roman" w:eastAsia="Calibri" w:hAnsi="Times New Roman" w:cs="Times New Roman"/>
          <w:i/>
          <w:color w:val="000000"/>
          <w:sz w:val="24"/>
          <w:szCs w:val="24"/>
        </w:rPr>
        <w:t>euro</w:t>
      </w:r>
      <w:r w:rsidRPr="008E4EB0">
        <w:rPr>
          <w:rFonts w:ascii="Times New Roman" w:eastAsia="Calibri" w:hAnsi="Times New Roman" w:cs="Times New Roman"/>
          <w:color w:val="000000"/>
          <w:sz w:val="24"/>
          <w:szCs w:val="24"/>
        </w:rPr>
        <w:t xml:space="preserve"> uz vienu ēkas kvadrātmetru), jo aktivitātes pamatnosacījumi nenoteica izmaksu ierobežojumus. Šādu projektu investīcijas bija augstas un to atmaksāšanas periods nesamērīgi ilgs, kā arī, ņemot vērā aktivitātes atbalsta nosacījumu specifiku, kur attiecināmās izmaksās ir iekļautas iekštelpu pielāgošanas izmaksas personām ar kustību traucējumiem, tika panākts salīdzinoši zemi siltumenerģijas ietaupījumi pēc </w:t>
      </w:r>
      <w:r w:rsidR="00CE0F55" w:rsidRPr="008E4EB0">
        <w:rPr>
          <w:rFonts w:ascii="Times New Roman" w:eastAsia="Calibri" w:hAnsi="Times New Roman" w:cs="Times New Roman"/>
          <w:color w:val="000000"/>
          <w:sz w:val="24"/>
          <w:szCs w:val="24"/>
        </w:rPr>
        <w:t>atjaunošanas</w:t>
      </w:r>
      <w:r w:rsidRPr="008E4EB0">
        <w:rPr>
          <w:rFonts w:ascii="Times New Roman" w:eastAsia="Calibri" w:hAnsi="Times New Roman" w:cs="Times New Roman"/>
          <w:color w:val="000000"/>
          <w:sz w:val="24"/>
          <w:szCs w:val="24"/>
        </w:rPr>
        <w:t xml:space="preserve"> - uz 1 400 investētajiem </w:t>
      </w:r>
      <w:r w:rsidR="008E4EB0">
        <w:rPr>
          <w:rFonts w:ascii="Times New Roman" w:eastAsia="Calibri" w:hAnsi="Times New Roman" w:cs="Times New Roman"/>
          <w:i/>
          <w:color w:val="000000"/>
          <w:sz w:val="24"/>
          <w:szCs w:val="24"/>
        </w:rPr>
        <w:t>euro</w:t>
      </w:r>
      <w:r w:rsidRPr="008E4EB0">
        <w:rPr>
          <w:rFonts w:ascii="Times New Roman" w:eastAsia="Calibri" w:hAnsi="Times New Roman" w:cs="Times New Roman"/>
          <w:color w:val="000000"/>
          <w:sz w:val="24"/>
          <w:szCs w:val="24"/>
        </w:rPr>
        <w:t xml:space="preserve"> ERAF finansējuma tika panākts vidēji 0,57 MWh ietaupījums gadā.</w:t>
      </w:r>
    </w:p>
    <w:p w14:paraId="36A3FA5E" w14:textId="77777777" w:rsidR="00917226" w:rsidRPr="008E4EB0" w:rsidRDefault="00917226" w:rsidP="00D9693B">
      <w:pPr>
        <w:widowControl w:val="0"/>
        <w:numPr>
          <w:ilvl w:val="0"/>
          <w:numId w:val="19"/>
        </w:numPr>
        <w:shd w:val="clear" w:color="auto" w:fill="FFFFFF"/>
        <w:suppressAutoHyphens/>
        <w:autoSpaceDN w:val="0"/>
        <w:spacing w:after="0" w:line="240" w:lineRule="auto"/>
        <w:ind w:left="0" w:firstLine="0"/>
        <w:jc w:val="both"/>
        <w:textAlignment w:val="baseline"/>
        <w:rPr>
          <w:rFonts w:ascii="Times New Roman" w:eastAsia="Calibri" w:hAnsi="Times New Roman" w:cs="Times New Roman"/>
          <w:sz w:val="24"/>
          <w:szCs w:val="24"/>
        </w:rPr>
      </w:pPr>
      <w:r w:rsidRPr="008E4EB0">
        <w:rPr>
          <w:rFonts w:ascii="Times New Roman" w:eastAsia="Calibri" w:hAnsi="Times New Roman" w:cs="Times New Roman"/>
          <w:color w:val="000000"/>
          <w:sz w:val="24"/>
          <w:szCs w:val="24"/>
        </w:rPr>
        <w:t xml:space="preserve">Projektu uzraudzības periodā bija atsevišķas pašvaldības, kas vēlējās mainīt atjaunotās sociālās mājas statusu, kas radīja riskus, ka projekta  īstenošanas rezultātā netiks sasniegts </w:t>
      </w:r>
      <w:r w:rsidRPr="008E4EB0">
        <w:rPr>
          <w:rFonts w:ascii="Times New Roman" w:eastAsia="Calibri" w:hAnsi="Times New Roman" w:cs="Times New Roman"/>
          <w:sz w:val="24"/>
          <w:szCs w:val="24"/>
        </w:rPr>
        <w:t>projekta sākotnējais mērķis - sniegts atbalsts sociālās mājas iedzīvotājiem.</w:t>
      </w:r>
    </w:p>
    <w:p w14:paraId="4BC8B39A" w14:textId="77777777" w:rsidR="00917226" w:rsidRPr="008E4EB0" w:rsidRDefault="00917226" w:rsidP="00D9693B">
      <w:pPr>
        <w:widowControl w:val="0"/>
        <w:numPr>
          <w:ilvl w:val="0"/>
          <w:numId w:val="19"/>
        </w:numPr>
        <w:shd w:val="clear" w:color="auto" w:fill="FFFFFF"/>
        <w:suppressAutoHyphens/>
        <w:autoSpaceDN w:val="0"/>
        <w:spacing w:after="0" w:line="240" w:lineRule="auto"/>
        <w:ind w:left="0" w:firstLine="0"/>
        <w:jc w:val="both"/>
        <w:textAlignment w:val="baseline"/>
        <w:rPr>
          <w:rFonts w:ascii="Times New Roman" w:eastAsia="Calibri" w:hAnsi="Times New Roman" w:cs="Times New Roman"/>
          <w:sz w:val="24"/>
          <w:szCs w:val="24"/>
        </w:rPr>
      </w:pPr>
      <w:r w:rsidRPr="008E4EB0">
        <w:rPr>
          <w:rFonts w:ascii="Times New Roman" w:eastAsia="Calibri" w:hAnsi="Times New Roman" w:cs="Times New Roman"/>
          <w:sz w:val="24"/>
          <w:szCs w:val="24"/>
        </w:rPr>
        <w:t>Projektu ieviešanas stadijā bija novērojamas vairākas problēmas, kas saistītas ar nekvalitatīvi sagatavotu projekta tehnisko dokumentāciju, atbilstošu iepirkuma procedūras nodrošināšanu. Tas daļēji bija saistīts ar aizliegumu attiecināmās izmaksās iekļaut projekta administrēšanas izmaksas.</w:t>
      </w:r>
    </w:p>
    <w:p w14:paraId="6D9EF169" w14:textId="674F3E66" w:rsidR="00917226" w:rsidRPr="008E4EB0" w:rsidRDefault="00917226" w:rsidP="00917226">
      <w:pPr>
        <w:spacing w:after="0"/>
        <w:ind w:firstLine="567"/>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Aktivitātes projektu iesniegumu atlases kritērijos nebija iekļauts kritērijs par projekta īstenošanas laikā sasniegto siltumenerģijas ietaupījumu pret veiktajām investīcijām un nebija noteikts ekonomiski pamatots laika  periods, kurā jāatmaksājas veiktām investīcijām.</w:t>
      </w:r>
    </w:p>
    <w:p w14:paraId="05A03A84" w14:textId="77777777" w:rsidR="00917226" w:rsidRPr="008E4EB0" w:rsidRDefault="00917226" w:rsidP="00917226">
      <w:pPr>
        <w:spacing w:after="0" w:line="240" w:lineRule="auto"/>
        <w:ind w:firstLine="851"/>
        <w:jc w:val="both"/>
        <w:rPr>
          <w:rFonts w:ascii="Times New Roman" w:eastAsia="Calibri" w:hAnsi="Times New Roman" w:cs="Times New Roman"/>
          <w:sz w:val="28"/>
        </w:rPr>
      </w:pPr>
    </w:p>
    <w:p w14:paraId="6EF186AF" w14:textId="77777777" w:rsidR="00917226" w:rsidRPr="008E4EB0" w:rsidRDefault="00917226" w:rsidP="00917226">
      <w:pPr>
        <w:spacing w:after="0" w:line="240" w:lineRule="auto"/>
        <w:jc w:val="both"/>
        <w:rPr>
          <w:rFonts w:ascii="Times New Roman" w:eastAsia="Calibri" w:hAnsi="Times New Roman" w:cs="Times New Roman"/>
          <w:i/>
          <w:sz w:val="24"/>
          <w:szCs w:val="24"/>
        </w:rPr>
      </w:pPr>
      <w:r w:rsidRPr="008E4EB0">
        <w:rPr>
          <w:rFonts w:ascii="Times New Roman" w:eastAsia="Calibri" w:hAnsi="Times New Roman" w:cs="Times New Roman"/>
          <w:i/>
          <w:sz w:val="24"/>
          <w:szCs w:val="24"/>
        </w:rPr>
        <w:t>4.1.1.SAM šķēršļi:</w:t>
      </w:r>
    </w:p>
    <w:p w14:paraId="42C8D246" w14:textId="77777777" w:rsidR="00917226" w:rsidRPr="008E4EB0" w:rsidRDefault="00917226" w:rsidP="00D9693B">
      <w:pPr>
        <w:numPr>
          <w:ilvl w:val="0"/>
          <w:numId w:val="26"/>
        </w:numPr>
        <w:spacing w:after="0" w:line="240" w:lineRule="auto"/>
        <w:ind w:left="0" w:firstLine="0"/>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Apstrādes rūpniecības komersantu mazā pieredze un ierobežotās zināšanas par energoefektivitātes paaugstināšanas pasākumu īstenošanu.</w:t>
      </w:r>
    </w:p>
    <w:p w14:paraId="2D379415" w14:textId="77777777" w:rsidR="00917226" w:rsidRPr="008E4EB0" w:rsidRDefault="00917226" w:rsidP="00D9693B">
      <w:pPr>
        <w:numPr>
          <w:ilvl w:val="0"/>
          <w:numId w:val="26"/>
        </w:numPr>
        <w:spacing w:after="0" w:line="240" w:lineRule="auto"/>
        <w:ind w:left="0" w:firstLine="0"/>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Būvniecības sektora kapacitāte un būvniecības izmaksu pieaugums.</w:t>
      </w:r>
    </w:p>
    <w:p w14:paraId="4838BC80" w14:textId="6B5FA066" w:rsidR="00917226" w:rsidRDefault="00917226" w:rsidP="00D9693B">
      <w:pPr>
        <w:numPr>
          <w:ilvl w:val="0"/>
          <w:numId w:val="26"/>
        </w:numPr>
        <w:spacing w:after="0" w:line="240" w:lineRule="auto"/>
        <w:ind w:left="0" w:firstLine="0"/>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Attiecībā pret esošo apstrādes komersantu daudzumu, mazs atbalstāmo komersantu skaits (65).</w:t>
      </w:r>
    </w:p>
    <w:p w14:paraId="4DF0A3CE" w14:textId="2527B06D" w:rsidR="0020537B" w:rsidRPr="0020537B" w:rsidRDefault="0020537B" w:rsidP="0020537B">
      <w:pPr>
        <w:numPr>
          <w:ilvl w:val="0"/>
          <w:numId w:val="26"/>
        </w:numPr>
        <w:spacing w:after="0" w:line="24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Komersanti prioritāri vēlas mainīt iekārtas, ne veikt mērķtiecīgus energoefektivitātes pasākumus ražošanas ēkās.</w:t>
      </w:r>
    </w:p>
    <w:p w14:paraId="43A4504B" w14:textId="77777777" w:rsidR="00917226" w:rsidRPr="008E4EB0" w:rsidRDefault="00917226" w:rsidP="00917226">
      <w:pPr>
        <w:spacing w:after="0" w:line="240" w:lineRule="auto"/>
        <w:jc w:val="both"/>
        <w:rPr>
          <w:rFonts w:ascii="Times New Roman" w:eastAsia="Calibri" w:hAnsi="Times New Roman" w:cs="Times New Roman"/>
          <w:sz w:val="28"/>
        </w:rPr>
      </w:pPr>
    </w:p>
    <w:p w14:paraId="11A92644" w14:textId="77777777" w:rsidR="00917226" w:rsidRPr="008E4EB0" w:rsidRDefault="00917226" w:rsidP="00BF58E9">
      <w:pPr>
        <w:keepNext/>
        <w:spacing w:after="0" w:line="240" w:lineRule="auto"/>
        <w:jc w:val="both"/>
        <w:rPr>
          <w:rFonts w:ascii="Times New Roman" w:eastAsia="Calibri" w:hAnsi="Times New Roman" w:cs="Times New Roman"/>
          <w:i/>
          <w:sz w:val="24"/>
          <w:szCs w:val="24"/>
        </w:rPr>
      </w:pPr>
      <w:r w:rsidRPr="008E4EB0">
        <w:rPr>
          <w:rFonts w:ascii="Times New Roman" w:eastAsia="Calibri" w:hAnsi="Times New Roman" w:cs="Times New Roman"/>
          <w:i/>
          <w:sz w:val="24"/>
          <w:szCs w:val="24"/>
        </w:rPr>
        <w:t>4.2.1.1. pasākuma šķēršļi:</w:t>
      </w:r>
    </w:p>
    <w:p w14:paraId="38F53452" w14:textId="62C44C38" w:rsidR="0068628A" w:rsidRPr="008E4EB0" w:rsidRDefault="00917226" w:rsidP="00D9693B">
      <w:pPr>
        <w:numPr>
          <w:ilvl w:val="0"/>
          <w:numId w:val="24"/>
        </w:numPr>
        <w:spacing w:after="0" w:line="240" w:lineRule="auto"/>
        <w:ind w:left="0" w:firstLine="0"/>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Publiskais sektors nevar pilnībā samazināt visus aizdevumu  kredītriskus, kā arī nevar ietekmēt kredītresursu izmaksas kredītiestādēm. Līdz ar to, daudzdzīvokļu māju kreditēšanas tirgū joprojām būs liela aizdevumu procentu likmju variācijas amplitūda, tāpēc finanšu resursi nebūs vienlīdzīgi pieejami visiem Latvijas iedzīvotājiem (daudzdzīvokļu māju īpašniekiem).</w:t>
      </w:r>
    </w:p>
    <w:p w14:paraId="52EA6949" w14:textId="09B6A4AC" w:rsidR="009E12C8" w:rsidRDefault="00917226" w:rsidP="009E12C8">
      <w:pPr>
        <w:numPr>
          <w:ilvl w:val="0"/>
          <w:numId w:val="24"/>
        </w:numPr>
        <w:spacing w:after="0" w:line="240" w:lineRule="auto"/>
        <w:ind w:left="0" w:firstLine="0"/>
        <w:jc w:val="both"/>
        <w:rPr>
          <w:rFonts w:ascii="Times New Roman" w:eastAsia="Calibri" w:hAnsi="Times New Roman" w:cs="Times New Roman"/>
          <w:sz w:val="24"/>
          <w:szCs w:val="24"/>
        </w:rPr>
      </w:pPr>
      <w:r w:rsidRPr="0068628A">
        <w:rPr>
          <w:rFonts w:ascii="Times New Roman" w:eastAsia="Calibri" w:hAnsi="Times New Roman" w:cs="Times New Roman"/>
          <w:sz w:val="24"/>
          <w:szCs w:val="24"/>
        </w:rPr>
        <w:t>Sarežģīta valsts atbalsta piemērošanas kārtībā un uzraudzības nodrošināšana</w:t>
      </w:r>
      <w:r w:rsidR="000E2648" w:rsidRPr="0068628A">
        <w:rPr>
          <w:rFonts w:ascii="Times New Roman" w:eastAsia="Calibri" w:hAnsi="Times New Roman" w:cs="Times New Roman"/>
          <w:sz w:val="24"/>
          <w:szCs w:val="24"/>
        </w:rPr>
        <w:t>, jo valsts atbalsta apmērs ir jāizvērtē katras mājsaimniecības (dzīvokļa) līmenī</w:t>
      </w:r>
      <w:r w:rsidR="0068628A" w:rsidRPr="009E12C8">
        <w:rPr>
          <w:rFonts w:ascii="Times New Roman" w:eastAsia="Calibri" w:hAnsi="Times New Roman" w:cs="Times New Roman"/>
          <w:sz w:val="24"/>
          <w:szCs w:val="24"/>
        </w:rPr>
        <w:t>. Šajā gadījumā sabiedrībai “Altum” ir jānodrošina informācijas ieg</w:t>
      </w:r>
      <w:r w:rsidR="0068628A" w:rsidRPr="0020537B">
        <w:rPr>
          <w:rFonts w:ascii="Times New Roman" w:eastAsia="Calibri" w:hAnsi="Times New Roman" w:cs="Times New Roman"/>
          <w:sz w:val="24"/>
          <w:szCs w:val="24"/>
        </w:rPr>
        <w:t>ūšana par katru dzīvokli, kas ir iev</w:t>
      </w:r>
      <w:r w:rsidR="0068628A" w:rsidRPr="00FE7E8F">
        <w:rPr>
          <w:rFonts w:ascii="Times New Roman" w:eastAsia="Calibri" w:hAnsi="Times New Roman" w:cs="Times New Roman"/>
          <w:sz w:val="24"/>
          <w:szCs w:val="24"/>
        </w:rPr>
        <w:t xml:space="preserve">ērojams birokrātisks slogs, gan sabiedrībai “Altum”, gan dzīvokļu īpašnieku pilnvarotajām personām. Ekonomikas ministrija ar izmaiņām programmas nosacījumos ir noteikusi, ka Sabiedrība “Altum” granta pieteikumu izvērtējumu veic pēc informācijas saņemšanas no cita finansētāja vai energoefektivitātes pakalpojuma sniedzēja par plānotajiem finansēšanas nosacījumiem. Pēc sabiedrības “Altum” izvērtējuma cits finansētājs vai energoefektivitātes pakalpojuma sniedzējs pieņem lēmumu par energoefektivitātes uzlabošanas pasākumu finansēšanu un dzīvokļu īpašnieki par cita finansētāja finansēšanas nosacījumu apstiprināšanu. Sabiedrība “Altum” lēmumu par granta piešķiršanu pieņem pēc attiecīgās informācijas saņemšanas. Ja sabiedrība “Altum” </w:t>
      </w:r>
      <w:r w:rsidR="0068628A" w:rsidRPr="0068628A">
        <w:rPr>
          <w:rFonts w:ascii="Times New Roman" w:eastAsia="Calibri" w:hAnsi="Times New Roman" w:cs="Times New Roman"/>
          <w:i/>
          <w:sz w:val="24"/>
          <w:szCs w:val="24"/>
        </w:rPr>
        <w:t>de mimis</w:t>
      </w:r>
      <w:r w:rsidR="0068628A" w:rsidRPr="0068628A">
        <w:rPr>
          <w:rFonts w:ascii="Times New Roman" w:eastAsia="Calibri" w:hAnsi="Times New Roman" w:cs="Times New Roman"/>
          <w:sz w:val="24"/>
          <w:szCs w:val="24"/>
        </w:rPr>
        <w:t xml:space="preserve"> veidlapas no dzīvokļu īpašniekiem saņem kopā ar granta pieteikumu, tiek mazināts administratīvais slogs. Dzīvokļu īpašnieku apliecinājumi un </w:t>
      </w:r>
      <w:r w:rsidR="0068628A" w:rsidRPr="009E12C8">
        <w:rPr>
          <w:rFonts w:ascii="Times New Roman" w:eastAsia="Calibri" w:hAnsi="Times New Roman" w:cs="Times New Roman"/>
          <w:i/>
          <w:sz w:val="24"/>
          <w:szCs w:val="24"/>
        </w:rPr>
        <w:t xml:space="preserve">de minimis </w:t>
      </w:r>
      <w:r w:rsidR="0068628A" w:rsidRPr="0068628A">
        <w:rPr>
          <w:rFonts w:ascii="Times New Roman" w:eastAsia="Calibri" w:hAnsi="Times New Roman" w:cs="Times New Roman"/>
          <w:sz w:val="24"/>
          <w:szCs w:val="24"/>
        </w:rPr>
        <w:t>veidlapas jālūdz gatavot vienu</w:t>
      </w:r>
      <w:r w:rsidR="0068628A" w:rsidRPr="009E12C8">
        <w:rPr>
          <w:rFonts w:ascii="Times New Roman" w:eastAsia="Calibri" w:hAnsi="Times New Roman" w:cs="Times New Roman"/>
          <w:sz w:val="24"/>
          <w:szCs w:val="24"/>
        </w:rPr>
        <w:t xml:space="preserve"> reizi un vairākkārt nav jāseko līdzi izmaiņām dzīvokļu īpašnieku sarakstā.</w:t>
      </w:r>
    </w:p>
    <w:p w14:paraId="4EFDD0AD" w14:textId="726C2AF4" w:rsidR="00917226" w:rsidRPr="009E12C8" w:rsidRDefault="009E12C8" w:rsidP="009E12C8">
      <w:pPr>
        <w:numPr>
          <w:ilvl w:val="0"/>
          <w:numId w:val="24"/>
        </w:numPr>
        <w:spacing w:after="0" w:line="240" w:lineRule="auto"/>
        <w:ind w:left="0" w:firstLine="0"/>
        <w:jc w:val="both"/>
        <w:rPr>
          <w:rFonts w:ascii="Times New Roman" w:eastAsia="Calibri" w:hAnsi="Times New Roman" w:cs="Times New Roman"/>
          <w:sz w:val="24"/>
          <w:szCs w:val="24"/>
        </w:rPr>
      </w:pPr>
      <w:r w:rsidRPr="009E12C8">
        <w:rPr>
          <w:rFonts w:ascii="Times New Roman" w:eastAsia="Calibri" w:hAnsi="Times New Roman" w:cs="Times New Roman"/>
          <w:sz w:val="24"/>
          <w:szCs w:val="24"/>
        </w:rPr>
        <w:t>Ņemot šī brīža situāciju, kad ir sācies būvniecības izmaksu pieaugums un lielā daļā Latvijas teritorijas ir vēsturiski zems siltumenerģijas tarifs, jo</w:t>
      </w:r>
      <w:r w:rsidRPr="009E12C8">
        <w:t xml:space="preserve"> </w:t>
      </w:r>
      <w:r w:rsidRPr="009E12C8">
        <w:rPr>
          <w:rFonts w:ascii="Times New Roman" w:eastAsia="Calibri" w:hAnsi="Times New Roman" w:cs="Times New Roman"/>
          <w:sz w:val="24"/>
          <w:szCs w:val="24"/>
        </w:rPr>
        <w:t xml:space="preserve">šobrīd ir zemas naftas un dabasgāzes cenas, ir risks, ka virkne māju, kuras atrodas pilsētās, kurās ir īpaši zemi siltumenerģijas tarifi, nevarēs pretendēt uz atbalstu. Jau 01.11.2016. MK tika apstiprināts Ekonomikas ministrija ierosinājums siltumenerģijas tarifam piemērot inflācijas koeficientu 1,8% apmērā, lai nodrošinātu iespēju </w:t>
      </w:r>
      <w:r>
        <w:rPr>
          <w:rFonts w:ascii="Times New Roman" w:eastAsia="Calibri" w:hAnsi="Times New Roman" w:cs="Times New Roman"/>
          <w:sz w:val="24"/>
          <w:szCs w:val="24"/>
        </w:rPr>
        <w:t>programmas</w:t>
      </w:r>
      <w:r w:rsidRPr="009E12C8">
        <w:rPr>
          <w:rFonts w:ascii="Times New Roman" w:eastAsia="Calibri" w:hAnsi="Times New Roman" w:cs="Times New Roman"/>
          <w:sz w:val="24"/>
          <w:szCs w:val="24"/>
        </w:rPr>
        <w:t xml:space="preserve"> ietvaros atbalstu saņemt ēkām pašvaldībās, kurās šobrīd ir netipiski zemi siltumenerģijas tarifi.</w:t>
      </w:r>
    </w:p>
    <w:p w14:paraId="7A3B4C58" w14:textId="51E20CC9" w:rsidR="00917226" w:rsidRPr="008E4EB0" w:rsidRDefault="0068628A" w:rsidP="00D9693B">
      <w:pPr>
        <w:numPr>
          <w:ilvl w:val="0"/>
          <w:numId w:val="24"/>
        </w:numPr>
        <w:spacing w:after="0" w:line="24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Sabiedrībā “Altum” iesniegtās būvniecības tehniskās dokumentācijas zemā kvalitāte. Ņemot vērā, ka sabiedrības “Altum” Kompetences centrs veic detalizētu </w:t>
      </w:r>
      <w:r w:rsidR="009E12C8">
        <w:rPr>
          <w:rFonts w:ascii="Times New Roman" w:eastAsia="Calibri" w:hAnsi="Times New Roman" w:cs="Times New Roman"/>
          <w:sz w:val="24"/>
          <w:szCs w:val="24"/>
        </w:rPr>
        <w:t xml:space="preserve">visas </w:t>
      </w:r>
      <w:r>
        <w:rPr>
          <w:rFonts w:ascii="Times New Roman" w:eastAsia="Calibri" w:hAnsi="Times New Roman" w:cs="Times New Roman"/>
          <w:sz w:val="24"/>
          <w:szCs w:val="24"/>
        </w:rPr>
        <w:t xml:space="preserve">tehniskās dokumentācijas izvērtējumu, ir konstatēts, ka neatkarīgi ekspertu ēku energoefektivitātes jomā, projektētāji u.c. speciālisti dokumentus sagatavo zemā kvalitātē, tāpēc sabiedrībai “Altum” vairākkārt ir jālūdz tehnisko dokumentāciju pārstrādāt vai precizēt. </w:t>
      </w:r>
      <w:r w:rsidR="009E12C8">
        <w:rPr>
          <w:rFonts w:ascii="Times New Roman" w:eastAsia="Calibri" w:hAnsi="Times New Roman" w:cs="Times New Roman"/>
          <w:sz w:val="24"/>
          <w:szCs w:val="24"/>
        </w:rPr>
        <w:t>Tādejādi tiek kavēta būvniecības uzsākšana. Tomēr ņemot vērā, ka to speciālistu loks, kas gatavo tehnisko dokumentāciju dzīvojamo māju energoefektivitātes paaugstināšanai, ir neliels, kā arī sabiedrības “Altum” mērķtiecīgo darbu sadarbības nodrošināšanai ar šiem speciālistiem, prognozējams, ka šis šķērslis tiks būtiski mazināts.</w:t>
      </w:r>
    </w:p>
    <w:p w14:paraId="4FECC175" w14:textId="353F7F57" w:rsidR="00917226" w:rsidRPr="008E4EB0" w:rsidRDefault="00917226" w:rsidP="00D9693B">
      <w:pPr>
        <w:numPr>
          <w:ilvl w:val="0"/>
          <w:numId w:val="24"/>
        </w:numPr>
        <w:spacing w:after="0" w:line="240" w:lineRule="auto"/>
        <w:ind w:left="0" w:firstLine="0"/>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Būvniecības sektora kapacitāte un būvniecības izmaksu pieaugums.</w:t>
      </w:r>
      <w:r w:rsidR="00694E70">
        <w:rPr>
          <w:rFonts w:ascii="Times New Roman" w:eastAsia="Calibri" w:hAnsi="Times New Roman" w:cs="Times New Roman"/>
          <w:sz w:val="24"/>
          <w:szCs w:val="24"/>
        </w:rPr>
        <w:t xml:space="preserve"> </w:t>
      </w:r>
      <w:r w:rsidR="0020537B">
        <w:rPr>
          <w:rFonts w:ascii="Times New Roman" w:eastAsia="Calibri" w:hAnsi="Times New Roman" w:cs="Times New Roman"/>
          <w:sz w:val="24"/>
          <w:szCs w:val="24"/>
        </w:rPr>
        <w:t xml:space="preserve">Ņemot vērā, ka pašlaik ir atvērta lielākā daļa ES fondu atbalsta programmu, kurās paredzēti būvdarbi, ir risks, ka būvkomersanti izvēlēsies nodrošināt pakalpojumus lielākos objektos (valsts, pašvaldību iestāžu pasūtījumos). Papildus arī tas, ka vienlaikus ir atvērtas vairākas ar būvniecību saistītas atbalsta programmas, </w:t>
      </w:r>
      <w:r w:rsidR="00FE7A8A">
        <w:rPr>
          <w:rFonts w:ascii="Times New Roman" w:eastAsia="Calibri" w:hAnsi="Times New Roman" w:cs="Times New Roman"/>
          <w:sz w:val="24"/>
          <w:szCs w:val="24"/>
        </w:rPr>
        <w:t>rada ietekm</w:t>
      </w:r>
      <w:r w:rsidR="0020537B">
        <w:rPr>
          <w:rFonts w:ascii="Times New Roman" w:eastAsia="Calibri" w:hAnsi="Times New Roman" w:cs="Times New Roman"/>
          <w:sz w:val="24"/>
          <w:szCs w:val="24"/>
        </w:rPr>
        <w:t>i uz būvniecības cenu pieaugumu</w:t>
      </w:r>
      <w:r w:rsidR="00694E70">
        <w:rPr>
          <w:rFonts w:ascii="Times New Roman" w:eastAsia="Calibri" w:hAnsi="Times New Roman" w:cs="Times New Roman"/>
          <w:sz w:val="24"/>
          <w:szCs w:val="24"/>
        </w:rPr>
        <w:t xml:space="preserve">, kas </w:t>
      </w:r>
      <w:r w:rsidR="00FE7A8A">
        <w:rPr>
          <w:rFonts w:ascii="Times New Roman" w:eastAsia="Calibri" w:hAnsi="Times New Roman" w:cs="Times New Roman"/>
          <w:sz w:val="24"/>
          <w:szCs w:val="24"/>
        </w:rPr>
        <w:t>attiecīgi arī var</w:t>
      </w:r>
      <w:r w:rsidR="0020537B">
        <w:rPr>
          <w:rFonts w:ascii="Times New Roman" w:eastAsia="Calibri" w:hAnsi="Times New Roman" w:cs="Times New Roman"/>
          <w:sz w:val="24"/>
          <w:szCs w:val="24"/>
        </w:rPr>
        <w:t xml:space="preserve"> ietekmēt</w:t>
      </w:r>
      <w:r w:rsidR="00694E70">
        <w:rPr>
          <w:rFonts w:ascii="Times New Roman" w:eastAsia="Calibri" w:hAnsi="Times New Roman" w:cs="Times New Roman"/>
          <w:sz w:val="24"/>
          <w:szCs w:val="24"/>
        </w:rPr>
        <w:t xml:space="preserve"> projekta ekonomiskās atdeves rādītājus. </w:t>
      </w:r>
    </w:p>
    <w:p w14:paraId="18171492" w14:textId="77777777" w:rsidR="00BF72CD" w:rsidRDefault="00917226" w:rsidP="00917226">
      <w:pPr>
        <w:spacing w:after="0" w:line="240" w:lineRule="auto"/>
        <w:jc w:val="both"/>
        <w:rPr>
          <w:rFonts w:ascii="Times New Roman" w:eastAsia="Calibri" w:hAnsi="Times New Roman" w:cs="Times New Roman"/>
          <w:i/>
          <w:sz w:val="24"/>
          <w:szCs w:val="24"/>
        </w:rPr>
      </w:pPr>
      <w:r w:rsidRPr="008E4EB0">
        <w:rPr>
          <w:rFonts w:ascii="Times New Roman" w:eastAsia="Calibri" w:hAnsi="Times New Roman" w:cs="Times New Roman"/>
          <w:sz w:val="28"/>
        </w:rPr>
        <w:br/>
      </w:r>
    </w:p>
    <w:p w14:paraId="33CA8EE7" w14:textId="77777777" w:rsidR="00BF72CD" w:rsidRDefault="00BF72CD" w:rsidP="00917226">
      <w:pPr>
        <w:spacing w:after="0" w:line="240" w:lineRule="auto"/>
        <w:jc w:val="both"/>
        <w:rPr>
          <w:rFonts w:ascii="Times New Roman" w:eastAsia="Calibri" w:hAnsi="Times New Roman" w:cs="Times New Roman"/>
          <w:i/>
          <w:sz w:val="24"/>
          <w:szCs w:val="24"/>
        </w:rPr>
      </w:pPr>
    </w:p>
    <w:p w14:paraId="48C67826" w14:textId="4BCDDE00" w:rsidR="00917226" w:rsidRPr="008E4EB0" w:rsidRDefault="00917226" w:rsidP="00917226">
      <w:pPr>
        <w:spacing w:after="0" w:line="240" w:lineRule="auto"/>
        <w:jc w:val="both"/>
        <w:rPr>
          <w:rFonts w:ascii="Times New Roman" w:eastAsia="Calibri" w:hAnsi="Times New Roman" w:cs="Times New Roman"/>
          <w:i/>
          <w:sz w:val="24"/>
          <w:szCs w:val="24"/>
        </w:rPr>
      </w:pPr>
      <w:r w:rsidRPr="008E4EB0">
        <w:rPr>
          <w:rFonts w:ascii="Times New Roman" w:eastAsia="Calibri" w:hAnsi="Times New Roman" w:cs="Times New Roman"/>
          <w:i/>
          <w:sz w:val="24"/>
          <w:szCs w:val="24"/>
        </w:rPr>
        <w:lastRenderedPageBreak/>
        <w:t>4.2.1.2. pasākuma šķēršļi:</w:t>
      </w:r>
    </w:p>
    <w:p w14:paraId="00FC310F" w14:textId="16FFA718" w:rsidR="00917226" w:rsidRPr="008E4EB0" w:rsidRDefault="00917226" w:rsidP="00D9693B">
      <w:pPr>
        <w:numPr>
          <w:ilvl w:val="0"/>
          <w:numId w:val="25"/>
        </w:numPr>
        <w:spacing w:after="0" w:line="240" w:lineRule="auto"/>
        <w:ind w:left="0" w:firstLine="0"/>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 xml:space="preserve">Ministriju iesniegtie dati var būt kļūdaini, līdz ar to netiktu </w:t>
      </w:r>
      <w:r w:rsidR="00CE0F55" w:rsidRPr="008E4EB0">
        <w:rPr>
          <w:rFonts w:ascii="Times New Roman" w:eastAsia="Calibri" w:hAnsi="Times New Roman" w:cs="Times New Roman"/>
          <w:sz w:val="24"/>
          <w:szCs w:val="24"/>
        </w:rPr>
        <w:t>atjaunotas</w:t>
      </w:r>
      <w:r w:rsidRPr="008E4EB0">
        <w:rPr>
          <w:rFonts w:ascii="Times New Roman" w:eastAsia="Calibri" w:hAnsi="Times New Roman" w:cs="Times New Roman"/>
          <w:sz w:val="24"/>
          <w:szCs w:val="24"/>
        </w:rPr>
        <w:t xml:space="preserve"> neefektīvākās ēkas. Savukārt energosertifikācijas veikšanai visās ēkās nepieciešams papildus iepirkums, papildus finansējums (~1 milj. </w:t>
      </w:r>
      <w:r w:rsidR="008E4EB0">
        <w:rPr>
          <w:rFonts w:ascii="Times New Roman" w:eastAsia="Calibri" w:hAnsi="Times New Roman" w:cs="Times New Roman"/>
          <w:i/>
          <w:sz w:val="24"/>
          <w:szCs w:val="24"/>
        </w:rPr>
        <w:t>euro</w:t>
      </w:r>
      <w:r w:rsidRPr="008E4EB0">
        <w:rPr>
          <w:rFonts w:ascii="Times New Roman" w:eastAsia="Calibri" w:hAnsi="Times New Roman" w:cs="Times New Roman"/>
          <w:sz w:val="24"/>
          <w:szCs w:val="24"/>
        </w:rPr>
        <w:t xml:space="preserve"> – vidēji 1000 </w:t>
      </w:r>
      <w:r w:rsidR="008E4EB0">
        <w:rPr>
          <w:rFonts w:ascii="Times New Roman" w:eastAsia="Calibri" w:hAnsi="Times New Roman" w:cs="Times New Roman"/>
          <w:i/>
          <w:sz w:val="24"/>
          <w:szCs w:val="24"/>
        </w:rPr>
        <w:t>euro</w:t>
      </w:r>
      <w:r w:rsidRPr="008E4EB0">
        <w:rPr>
          <w:rFonts w:ascii="Times New Roman" w:eastAsia="Calibri" w:hAnsi="Times New Roman" w:cs="Times New Roman"/>
          <w:sz w:val="24"/>
          <w:szCs w:val="24"/>
        </w:rPr>
        <w:t xml:space="preserve"> vienas ēkas energosertifikācijas veikšanai*1000 ēkas) un laiks ~3 gadi (jo ir ierobežota kvalificētu ekspertu kapacitāte).</w:t>
      </w:r>
    </w:p>
    <w:p w14:paraId="65F2CB76" w14:textId="36E9BD56" w:rsidR="00917226" w:rsidRPr="008E4EB0" w:rsidRDefault="00917226" w:rsidP="00D9693B">
      <w:pPr>
        <w:numPr>
          <w:ilvl w:val="0"/>
          <w:numId w:val="25"/>
        </w:numPr>
        <w:spacing w:after="0" w:line="240" w:lineRule="auto"/>
        <w:ind w:left="0" w:firstLine="0"/>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 xml:space="preserve">Nav garantijas, ka tieši sarakstā esošās ēkas </w:t>
      </w:r>
      <w:r w:rsidR="00CE0F55" w:rsidRPr="008E4EB0">
        <w:rPr>
          <w:rFonts w:ascii="Times New Roman" w:eastAsia="Calibri" w:hAnsi="Times New Roman" w:cs="Times New Roman"/>
          <w:sz w:val="24"/>
          <w:szCs w:val="24"/>
        </w:rPr>
        <w:t>atjaunot</w:t>
      </w:r>
      <w:r w:rsidRPr="008E4EB0">
        <w:rPr>
          <w:rFonts w:ascii="Times New Roman" w:eastAsia="Calibri" w:hAnsi="Times New Roman" w:cs="Times New Roman"/>
          <w:sz w:val="24"/>
          <w:szCs w:val="24"/>
        </w:rPr>
        <w:t xml:space="preserve"> ir visefektīvāk (sasniegtais enerģijas ietaupījums pret investīcijām – iespējams ēka ir ļoti sliktā tehniskā stāvoklī un tai ir jāveic ļoti lielas investīcijas, kas nav saistītas ar energoefektivitāti. Tādejādi projekta ietvaros tiktu izlietoti daudz publisko līdzekļu, bet netiktu sasniegts tāds energoresursu ietaupījums pret veiktajām investīcijām, kā iespējams citos projektos).</w:t>
      </w:r>
    </w:p>
    <w:p w14:paraId="40DA5D65" w14:textId="35A3F9B1" w:rsidR="00FE7E8F" w:rsidRDefault="00FE7A8A" w:rsidP="00FE7E8F">
      <w:pPr>
        <w:numPr>
          <w:ilvl w:val="0"/>
          <w:numId w:val="25"/>
        </w:numPr>
        <w:spacing w:after="0" w:line="24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Ministriju padotībā iesniegtie projekti ir zemā kvalitātē, t.sk., būvniecības tehniskā dokumentācija, kā rezultātā tie vairākkārt jālūdz precizēt, kas kavē pasākuma īstenošanu.</w:t>
      </w:r>
    </w:p>
    <w:p w14:paraId="76C82C98" w14:textId="77777777" w:rsidR="00FE7E8F" w:rsidRDefault="00FE7E8F" w:rsidP="00FE7E8F">
      <w:pPr>
        <w:numPr>
          <w:ilvl w:val="0"/>
          <w:numId w:val="25"/>
        </w:numPr>
        <w:spacing w:after="0" w:line="240" w:lineRule="auto"/>
        <w:ind w:left="0" w:firstLine="0"/>
        <w:jc w:val="both"/>
        <w:rPr>
          <w:rFonts w:ascii="Times New Roman" w:eastAsia="Calibri" w:hAnsi="Times New Roman" w:cs="Times New Roman"/>
          <w:sz w:val="24"/>
          <w:szCs w:val="24"/>
        </w:rPr>
      </w:pPr>
      <w:r w:rsidRPr="00FE7E8F">
        <w:rPr>
          <w:rFonts w:ascii="Times New Roman" w:eastAsia="Calibri" w:hAnsi="Times New Roman" w:cs="Times New Roman"/>
          <w:sz w:val="24"/>
          <w:szCs w:val="24"/>
        </w:rPr>
        <w:t>Projektu iesniedzējiem un valsts pārvaldē kopumā trūkst zinošu ekspertu energoefektivitātes un būvniecības jomā, kas neļauj sagatavot projektus pietiekamā kvalitātē.</w:t>
      </w:r>
    </w:p>
    <w:p w14:paraId="56DA7888" w14:textId="131F0B94" w:rsidR="00FE7E8F" w:rsidRPr="00FE7E8F" w:rsidRDefault="00FE7E8F" w:rsidP="00FE7E8F">
      <w:pPr>
        <w:numPr>
          <w:ilvl w:val="0"/>
          <w:numId w:val="25"/>
        </w:numPr>
        <w:spacing w:after="0" w:line="240" w:lineRule="auto"/>
        <w:ind w:left="0" w:firstLine="0"/>
        <w:jc w:val="both"/>
        <w:rPr>
          <w:rFonts w:ascii="Times New Roman" w:eastAsia="Calibri" w:hAnsi="Times New Roman" w:cs="Times New Roman"/>
          <w:sz w:val="24"/>
          <w:szCs w:val="24"/>
        </w:rPr>
      </w:pPr>
      <w:r w:rsidRPr="00FE7E8F">
        <w:rPr>
          <w:rFonts w:ascii="Times New Roman" w:eastAsia="Calibri" w:hAnsi="Times New Roman" w:cs="Times New Roman"/>
          <w:sz w:val="24"/>
          <w:szCs w:val="24"/>
        </w:rPr>
        <w:t>Cenu pieauguma būvniecības nozarē dēl projektu iesniedzē</w:t>
      </w:r>
      <w:r>
        <w:rPr>
          <w:rFonts w:ascii="Times New Roman" w:eastAsia="Calibri" w:hAnsi="Times New Roman" w:cs="Times New Roman"/>
          <w:sz w:val="24"/>
          <w:szCs w:val="24"/>
        </w:rPr>
        <w:t>ji nevar nodrošināt atbilstību sākotnēji</w:t>
      </w:r>
      <w:r w:rsidRPr="00FE7E8F">
        <w:rPr>
          <w:rFonts w:ascii="Times New Roman" w:eastAsia="Calibri" w:hAnsi="Times New Roman" w:cs="Times New Roman"/>
          <w:sz w:val="24"/>
          <w:szCs w:val="24"/>
        </w:rPr>
        <w:t xml:space="preserve">  noteiktajam 200 </w:t>
      </w:r>
      <w:r w:rsidRPr="00FE7E8F">
        <w:rPr>
          <w:rFonts w:ascii="Times New Roman" w:eastAsia="Calibri" w:hAnsi="Times New Roman" w:cs="Times New Roman"/>
          <w:i/>
          <w:sz w:val="24"/>
          <w:szCs w:val="24"/>
        </w:rPr>
        <w:t>euro/</w:t>
      </w:r>
      <w:r w:rsidRPr="00FE7E8F">
        <w:rPr>
          <w:rFonts w:ascii="Times New Roman" w:eastAsia="Calibri" w:hAnsi="Times New Roman" w:cs="Times New Roman"/>
          <w:sz w:val="24"/>
          <w:szCs w:val="24"/>
        </w:rPr>
        <w:t>m</w:t>
      </w:r>
      <w:r w:rsidRPr="00FE7E8F">
        <w:rPr>
          <w:rFonts w:ascii="Times New Roman" w:eastAsia="Calibri" w:hAnsi="Times New Roman" w:cs="Times New Roman"/>
          <w:sz w:val="24"/>
          <w:szCs w:val="24"/>
          <w:vertAlign w:val="superscript"/>
        </w:rPr>
        <w:t>2</w:t>
      </w:r>
      <w:r w:rsidRPr="00FE7E8F">
        <w:rPr>
          <w:rFonts w:ascii="Times New Roman" w:eastAsia="Calibri" w:hAnsi="Times New Roman" w:cs="Times New Roman"/>
          <w:sz w:val="24"/>
          <w:szCs w:val="24"/>
        </w:rPr>
        <w:t xml:space="preserve"> iero</w:t>
      </w:r>
      <w:r>
        <w:rPr>
          <w:rFonts w:ascii="Times New Roman" w:eastAsia="Calibri" w:hAnsi="Times New Roman" w:cs="Times New Roman"/>
          <w:sz w:val="24"/>
          <w:szCs w:val="24"/>
        </w:rPr>
        <w:t xml:space="preserve">bežojumam uz vienu kvadrātmetru. Šī iemesla dēļ Ekonomikas ministrija izmaksu ierobežojumu ir cēlusi līdz 250 </w:t>
      </w:r>
      <w:r w:rsidRPr="00FE7E8F">
        <w:rPr>
          <w:rFonts w:ascii="Times New Roman" w:eastAsia="Calibri" w:hAnsi="Times New Roman" w:cs="Times New Roman"/>
          <w:i/>
          <w:sz w:val="24"/>
          <w:szCs w:val="24"/>
        </w:rPr>
        <w:t>euro</w:t>
      </w:r>
      <w:r>
        <w:rPr>
          <w:rFonts w:ascii="Times New Roman" w:eastAsia="Calibri" w:hAnsi="Times New Roman" w:cs="Times New Roman"/>
          <w:sz w:val="24"/>
          <w:szCs w:val="24"/>
        </w:rPr>
        <w:t>/m</w:t>
      </w:r>
      <w:r w:rsidRPr="00FE7E8F">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rPr>
        <w:t>, kā arī veikusi izmaiņas pasākuma projektu iesniegumu vērtēšanas kritērijos, samazinot izmaksu efektivitātes prasības.</w:t>
      </w:r>
    </w:p>
    <w:p w14:paraId="43D32EAB" w14:textId="77777777" w:rsidR="00917226" w:rsidRPr="008E4EB0" w:rsidRDefault="00917226" w:rsidP="00917226">
      <w:pPr>
        <w:spacing w:after="0" w:line="240" w:lineRule="auto"/>
        <w:jc w:val="both"/>
        <w:rPr>
          <w:rFonts w:ascii="Times New Roman" w:eastAsia="Calibri" w:hAnsi="Times New Roman" w:cs="Times New Roman"/>
          <w:sz w:val="28"/>
        </w:rPr>
      </w:pPr>
    </w:p>
    <w:p w14:paraId="17B23249" w14:textId="77777777" w:rsidR="00917226" w:rsidRPr="008E4EB0" w:rsidRDefault="00917226" w:rsidP="00917226">
      <w:pPr>
        <w:spacing w:after="0" w:line="240" w:lineRule="auto"/>
        <w:jc w:val="both"/>
        <w:rPr>
          <w:rFonts w:ascii="Times New Roman" w:eastAsia="Calibri" w:hAnsi="Times New Roman" w:cs="Times New Roman"/>
          <w:i/>
          <w:color w:val="000000"/>
          <w:sz w:val="24"/>
          <w:szCs w:val="24"/>
        </w:rPr>
      </w:pPr>
      <w:r w:rsidRPr="008E4EB0">
        <w:rPr>
          <w:rFonts w:ascii="Times New Roman" w:eastAsia="Calibri" w:hAnsi="Times New Roman" w:cs="Times New Roman"/>
          <w:i/>
          <w:color w:val="000000"/>
          <w:sz w:val="24"/>
          <w:szCs w:val="24"/>
        </w:rPr>
        <w:t>Šķēršļi ESKO attīstībai:</w:t>
      </w:r>
    </w:p>
    <w:p w14:paraId="2A3FDE08" w14:textId="77777777" w:rsidR="00917226" w:rsidRPr="008E4EB0" w:rsidRDefault="00917226" w:rsidP="00917226">
      <w:pPr>
        <w:spacing w:after="0" w:line="240" w:lineRule="auto"/>
        <w:ind w:firstLine="851"/>
        <w:jc w:val="both"/>
        <w:rPr>
          <w:rFonts w:ascii="Times New Roman" w:eastAsia="Calibri" w:hAnsi="Times New Roman" w:cs="Times New Roman"/>
          <w:color w:val="000000"/>
          <w:sz w:val="24"/>
          <w:szCs w:val="24"/>
        </w:rPr>
      </w:pPr>
      <w:r w:rsidRPr="008E4EB0">
        <w:rPr>
          <w:rFonts w:ascii="Times New Roman" w:eastAsia="Calibri" w:hAnsi="Times New Roman" w:cs="Times New Roman"/>
          <w:color w:val="000000"/>
          <w:sz w:val="24"/>
          <w:szCs w:val="24"/>
        </w:rPr>
        <w:t xml:space="preserve">Pie ieguldījumu šķēršļiem jāmin arī šķēršļi, kas kavē veiksmīgu energopakalpojumu līgumu ieviešanu: </w:t>
      </w:r>
    </w:p>
    <w:p w14:paraId="6F35A5A1" w14:textId="77777777" w:rsidR="00917226" w:rsidRPr="008E4EB0" w:rsidRDefault="00917226" w:rsidP="00D9693B">
      <w:pPr>
        <w:numPr>
          <w:ilvl w:val="0"/>
          <w:numId w:val="23"/>
        </w:numPr>
        <w:spacing w:after="0" w:line="240" w:lineRule="auto"/>
        <w:ind w:left="851" w:firstLine="0"/>
        <w:contextualSpacing/>
        <w:jc w:val="both"/>
        <w:rPr>
          <w:rFonts w:ascii="Times New Roman" w:eastAsia="Calibri" w:hAnsi="Times New Roman" w:cs="Times New Roman"/>
          <w:color w:val="000000"/>
          <w:sz w:val="24"/>
          <w:szCs w:val="24"/>
        </w:rPr>
      </w:pPr>
      <w:r w:rsidRPr="008E4EB0">
        <w:rPr>
          <w:rFonts w:ascii="Times New Roman" w:eastAsia="Calibri" w:hAnsi="Times New Roman" w:cs="Times New Roman"/>
          <w:color w:val="000000"/>
          <w:sz w:val="24"/>
          <w:szCs w:val="24"/>
        </w:rPr>
        <w:t>Gan energopakalpojumu sniedzēji (esošie un potenciālie), gan ERAB pārstāvji atzīst, ka EPL darbība atbilstoši pašreizējai kārtībai neveica enerģijas taupīšanu no iedzīvotāju puses. Samaksa par siltumenerģiju nav atkarīga no iedzīvotāju uzvedības, turklāt EPL ir noteiktas stingras prasības iedzīvotājiem attiecībā uz ēkas ekspluatāciju (piemēram, apkures sezonas laikā logi nedrīkst būt atvērti ilgāk par 15 minūtēm diennakts laikā). Energopakalpojuma saņēmēju un energopakalpojuma sniedzēja dažādā izpratne par ēkas ekspluatācijas prasībām rada savstarpējas domstarpības.</w:t>
      </w:r>
    </w:p>
    <w:p w14:paraId="782011B0" w14:textId="77777777" w:rsidR="00917226" w:rsidRPr="008E4EB0" w:rsidRDefault="00917226" w:rsidP="00D9693B">
      <w:pPr>
        <w:numPr>
          <w:ilvl w:val="0"/>
          <w:numId w:val="23"/>
        </w:numPr>
        <w:spacing w:after="0" w:line="240" w:lineRule="auto"/>
        <w:ind w:left="851" w:firstLine="0"/>
        <w:contextualSpacing/>
        <w:jc w:val="both"/>
        <w:rPr>
          <w:rFonts w:ascii="Times New Roman" w:eastAsia="Calibri" w:hAnsi="Times New Roman" w:cs="Times New Roman"/>
          <w:color w:val="000000"/>
          <w:sz w:val="24"/>
          <w:szCs w:val="24"/>
        </w:rPr>
      </w:pPr>
      <w:r w:rsidRPr="008E4EB0">
        <w:rPr>
          <w:rFonts w:ascii="Times New Roman" w:eastAsia="Calibri" w:hAnsi="Times New Roman" w:cs="Times New Roman"/>
          <w:color w:val="000000"/>
          <w:sz w:val="24"/>
          <w:szCs w:val="24"/>
        </w:rPr>
        <w:t>Līdz šim noslēgtie EPL ir salīdzinoši sarežģīti un dzīvokļu īpašniekiem grūti saprotami bez profesionālām priekšzināšanām. Lai arī EPL līgumā ir iekļauta informācija par energopakalpojuma sniedzēja naudas plūsmas prognozi, tas nesniedz pietiekami skaidru un detalizētu priekšstatu par iedzīvotāju faktiskajiem ieguvumiem no energoefektivitātes paaugstināšanas, energopakalpojumu sniedzēja gūto labumu un piedāvātās shēmas taisnīgumu, jeb labuma sadali starp dzīvokļu īpašniekiem un energopakalpojuma sniedzēju.</w:t>
      </w:r>
    </w:p>
    <w:p w14:paraId="0153850D" w14:textId="77777777" w:rsidR="00917226" w:rsidRPr="008E4EB0" w:rsidRDefault="00917226" w:rsidP="00D9693B">
      <w:pPr>
        <w:numPr>
          <w:ilvl w:val="0"/>
          <w:numId w:val="23"/>
        </w:numPr>
        <w:spacing w:after="0" w:line="240" w:lineRule="auto"/>
        <w:ind w:left="851" w:firstLine="0"/>
        <w:contextualSpacing/>
        <w:jc w:val="both"/>
        <w:rPr>
          <w:rFonts w:ascii="Times New Roman" w:eastAsia="Calibri" w:hAnsi="Times New Roman" w:cs="Times New Roman"/>
          <w:color w:val="000000"/>
          <w:sz w:val="24"/>
          <w:szCs w:val="24"/>
        </w:rPr>
      </w:pPr>
      <w:r w:rsidRPr="008E4EB0">
        <w:rPr>
          <w:rFonts w:ascii="Times New Roman" w:eastAsia="Calibri" w:hAnsi="Times New Roman" w:cs="Times New Roman"/>
          <w:color w:val="000000"/>
          <w:sz w:val="24"/>
          <w:szCs w:val="24"/>
        </w:rPr>
        <w:t xml:space="preserve">Lai arī energopakalpojuma sniedzējs teorētiski uzņemas energoefektivitātes paaugstināšanas un siltumenerģijas piegādes risku, šī riska sadale daļēji notiek starp energopakalpojuma sniedzēju un mājas apsaimniekotāju. Saskaņā ar Latvijā līdz šim izmantoto EPL energopakalpojuma maksājumus iekasē mājas apsaimniekotājs un tādējādi uzņemas debitoru parādu risku. Turklāt apkures, karstā ūdens un ventilācijas sistēmu uzturēšana ir daļa no namu apsaimniekošanas funkcijām, kas praksē rada konfliktus starp energopakalpojuma sniedzēju, mājas apsaimniekotāju un </w:t>
      </w:r>
      <w:r w:rsidRPr="008E4EB0">
        <w:rPr>
          <w:rFonts w:ascii="Times New Roman" w:eastAsia="Calibri" w:hAnsi="Times New Roman" w:cs="Times New Roman"/>
          <w:color w:val="000000"/>
          <w:sz w:val="24"/>
          <w:szCs w:val="24"/>
        </w:rPr>
        <w:lastRenderedPageBreak/>
        <w:t>iedzīvotājiem (iedzīvotāji daudzu gadu laikā ir pieraduši saņemt pakalpojumus no mājas apsaimniekotāja, tāpēc ESKO kompetencē esošos siltumapgādes jautājumus turpina risināt ar namu apsaimniekotāju palīdzību). Šo un citu iemeslu dēļ Renesco ir izveidojis namu apsaimniekošanas uzņēmumu SIA „Renesco pārvaldnieks”.</w:t>
      </w:r>
    </w:p>
    <w:p w14:paraId="7C23FDCA" w14:textId="0633DA85" w:rsidR="00917226" w:rsidRPr="008E4EB0" w:rsidRDefault="00917226" w:rsidP="00D9693B">
      <w:pPr>
        <w:numPr>
          <w:ilvl w:val="0"/>
          <w:numId w:val="23"/>
        </w:numPr>
        <w:spacing w:after="0" w:line="240" w:lineRule="auto"/>
        <w:ind w:left="851" w:firstLine="0"/>
        <w:contextualSpacing/>
        <w:jc w:val="both"/>
        <w:rPr>
          <w:rFonts w:ascii="Times New Roman" w:eastAsia="Calibri" w:hAnsi="Times New Roman" w:cs="Times New Roman"/>
          <w:color w:val="000000"/>
          <w:sz w:val="24"/>
          <w:szCs w:val="24"/>
        </w:rPr>
      </w:pPr>
      <w:r w:rsidRPr="008E4EB0">
        <w:rPr>
          <w:rFonts w:ascii="Times New Roman" w:eastAsia="Calibri" w:hAnsi="Times New Roman" w:cs="Times New Roman"/>
          <w:color w:val="000000"/>
          <w:sz w:val="24"/>
          <w:szCs w:val="24"/>
        </w:rPr>
        <w:t xml:space="preserve">Energopakalpojumu sniedzēji ir ieinteresēti palielināt peļņu, atslēdzoties no centralizētās siltumapgādes sistēmas un izbūvējot lokālo siltumavotu. Tādejādi ikdienas nepieciešamo siltumenerģiju nodrošina lokālais siltumavots, bet aukstā laikā ēka pērk siltumenerģiju no centralizētās siltumapgādes sistēmas. Tas rada negatīvu ietekmi uz citiem centralizētās siltumapgādes patērētājiem, jo viņi subsidē siltumavotu jaudas pīķa slodzes izmaksas, kas pārsniedz apstiprinātā siltumapgādes tarifa izmaksas. </w:t>
      </w:r>
    </w:p>
    <w:p w14:paraId="0BCC25D3" w14:textId="77777777" w:rsidR="00917226" w:rsidRPr="008E4EB0" w:rsidRDefault="00917226" w:rsidP="00D9693B">
      <w:pPr>
        <w:numPr>
          <w:ilvl w:val="0"/>
          <w:numId w:val="23"/>
        </w:numPr>
        <w:spacing w:after="0" w:line="240" w:lineRule="auto"/>
        <w:ind w:left="851" w:firstLine="0"/>
        <w:contextualSpacing/>
        <w:jc w:val="both"/>
        <w:rPr>
          <w:rFonts w:ascii="Times New Roman" w:eastAsia="Calibri" w:hAnsi="Times New Roman" w:cs="Times New Roman"/>
          <w:color w:val="000000"/>
          <w:sz w:val="24"/>
          <w:szCs w:val="24"/>
        </w:rPr>
      </w:pPr>
      <w:r w:rsidRPr="008E4EB0">
        <w:rPr>
          <w:rFonts w:ascii="Times New Roman" w:eastAsia="Calibri" w:hAnsi="Times New Roman" w:cs="Times New Roman"/>
          <w:color w:val="000000"/>
          <w:sz w:val="24"/>
          <w:szCs w:val="24"/>
        </w:rPr>
        <w:t>ESKO nav nodrošinājumu aizdevumu saņemšanai (ieguldījumi tiek veikti ESKO nepiederošos īpašumos un attiecīgajam ieguldījuma atgūšanas iespējas ir apšaubāmas – nelikvīds tirgus, ierobežotas iespējas iekļūt ieguldījumu veikšanas vietā).</w:t>
      </w:r>
    </w:p>
    <w:p w14:paraId="31D3BCD6" w14:textId="77777777" w:rsidR="00917226" w:rsidRPr="008E4EB0" w:rsidRDefault="00917226" w:rsidP="00D9693B">
      <w:pPr>
        <w:numPr>
          <w:ilvl w:val="0"/>
          <w:numId w:val="23"/>
        </w:numPr>
        <w:spacing w:after="0" w:line="240" w:lineRule="auto"/>
        <w:ind w:left="851" w:firstLine="0"/>
        <w:contextualSpacing/>
        <w:jc w:val="both"/>
        <w:rPr>
          <w:rFonts w:ascii="Times New Roman" w:eastAsia="Calibri" w:hAnsi="Times New Roman" w:cs="Times New Roman"/>
          <w:color w:val="000000"/>
          <w:sz w:val="24"/>
          <w:szCs w:val="24"/>
        </w:rPr>
      </w:pPr>
      <w:r w:rsidRPr="008E4EB0">
        <w:rPr>
          <w:rFonts w:ascii="Times New Roman" w:eastAsia="Calibri" w:hAnsi="Times New Roman" w:cs="Times New Roman"/>
          <w:color w:val="000000"/>
          <w:sz w:val="24"/>
          <w:szCs w:val="24"/>
        </w:rPr>
        <w:t>ESKO darbībai ir nepietiekami ilga vēsture, kā rezultātā bankas nav radusies pietiekama pieredze attiecīgo projektu jomā.</w:t>
      </w:r>
    </w:p>
    <w:p w14:paraId="23002587" w14:textId="77777777" w:rsidR="00917226" w:rsidRPr="008E4EB0" w:rsidRDefault="00917226" w:rsidP="00D9693B">
      <w:pPr>
        <w:numPr>
          <w:ilvl w:val="0"/>
          <w:numId w:val="23"/>
        </w:numPr>
        <w:spacing w:after="0" w:line="240" w:lineRule="auto"/>
        <w:ind w:left="851" w:firstLine="0"/>
        <w:contextualSpacing/>
        <w:jc w:val="both"/>
        <w:rPr>
          <w:rFonts w:ascii="Times New Roman" w:eastAsia="Calibri" w:hAnsi="Times New Roman" w:cs="Times New Roman"/>
          <w:color w:val="000000"/>
          <w:sz w:val="24"/>
          <w:szCs w:val="24"/>
        </w:rPr>
      </w:pPr>
      <w:r w:rsidRPr="008E4EB0">
        <w:rPr>
          <w:rFonts w:ascii="Times New Roman" w:eastAsia="Calibri" w:hAnsi="Times New Roman" w:cs="Times New Roman"/>
          <w:color w:val="000000"/>
          <w:sz w:val="24"/>
          <w:szCs w:val="24"/>
        </w:rPr>
        <w:t>ESKO darbības modelis nav pazīstams potenciālo klientu vidū.</w:t>
      </w:r>
    </w:p>
    <w:p w14:paraId="7B39656F" w14:textId="6EAEDECE" w:rsidR="00FE7E8F" w:rsidRPr="00DD1140" w:rsidRDefault="00917226" w:rsidP="00DD1140">
      <w:pPr>
        <w:widowControl w:val="0"/>
        <w:numPr>
          <w:ilvl w:val="0"/>
          <w:numId w:val="23"/>
        </w:numPr>
        <w:shd w:val="clear" w:color="auto" w:fill="FFFFFF"/>
        <w:suppressAutoHyphens/>
        <w:autoSpaceDN w:val="0"/>
        <w:spacing w:after="0" w:line="240" w:lineRule="auto"/>
        <w:ind w:left="851" w:firstLine="0"/>
        <w:contextualSpacing/>
        <w:jc w:val="both"/>
        <w:textAlignment w:val="baseline"/>
        <w:rPr>
          <w:rFonts w:ascii="Times New Roman" w:eastAsia="Calibri" w:hAnsi="Times New Roman" w:cs="Times New Roman"/>
          <w:sz w:val="24"/>
          <w:szCs w:val="24"/>
        </w:rPr>
      </w:pPr>
      <w:r w:rsidRPr="00FE7E8F">
        <w:rPr>
          <w:rFonts w:ascii="Times New Roman" w:eastAsia="Calibri" w:hAnsi="Times New Roman" w:cs="Times New Roman"/>
          <w:color w:val="000000"/>
          <w:sz w:val="24"/>
          <w:szCs w:val="24"/>
        </w:rPr>
        <w:t>ESKO uzņēmumu attīstības un kapitalizācijas līmenis ir salīdzinoši zems.</w:t>
      </w:r>
    </w:p>
    <w:p w14:paraId="0AEA8237" w14:textId="3A877FAA" w:rsidR="00917226" w:rsidRPr="00FE7E8F" w:rsidRDefault="00917226" w:rsidP="00DD1140">
      <w:pPr>
        <w:widowControl w:val="0"/>
        <w:numPr>
          <w:ilvl w:val="0"/>
          <w:numId w:val="23"/>
        </w:numPr>
        <w:shd w:val="clear" w:color="auto" w:fill="FFFFFF"/>
        <w:suppressAutoHyphens/>
        <w:autoSpaceDN w:val="0"/>
        <w:spacing w:after="0" w:line="240" w:lineRule="auto"/>
        <w:ind w:left="851" w:firstLine="0"/>
        <w:contextualSpacing/>
        <w:jc w:val="both"/>
        <w:textAlignment w:val="baseline"/>
        <w:rPr>
          <w:rFonts w:ascii="Times New Roman" w:eastAsia="Calibri" w:hAnsi="Times New Roman" w:cs="Times New Roman"/>
          <w:sz w:val="24"/>
          <w:szCs w:val="24"/>
        </w:rPr>
      </w:pPr>
      <w:r w:rsidRPr="00FE7E8F">
        <w:rPr>
          <w:rFonts w:ascii="Times New Roman" w:eastAsia="Calibri" w:hAnsi="Times New Roman" w:cs="Times New Roman"/>
          <w:color w:val="000000"/>
          <w:sz w:val="24"/>
          <w:szCs w:val="24"/>
          <w:lang w:eastAsia="x-none"/>
        </w:rPr>
        <w:t>Parasti potenciālie ESKO klienti pamatā koncentrējas uz savas pamatdarbības izaugsmi (jaunu produktu un tirgu apgūšanu) un energoefektivitātes pasākumu realizācija nav attiecīgā objekta īpašnieka primārais mērķis. Tas paver ESKO iespēju sniegt energoefektivitātes pakalpojumu attiecīgo objektu īpašniekiem, tiem samazinot energoresursu izmantošanas izmaksas. Vienlaikus attiecīgo darījumu realizācija veicina valsts energoefektivitātes uzlabošanas mērķa sasniegšanu. Būtu nepieciešams realizēt pasākumus ESKO kompāniju izveides un sākotnējās izaugsmes nodrošināšanai. Tomēr ņemot vērā ESKO pastāvīgu nepieciešamību pēc papildus resursiem pakalpojumu sniegšanai jauniem klientiem, tad nepieciešams paredzēt arī papildus instrumentus jaunu aizdevumu saņemšanai.</w:t>
      </w:r>
    </w:p>
    <w:p w14:paraId="66B0E489" w14:textId="77777777" w:rsidR="00EA65EB" w:rsidRPr="008E4EB0" w:rsidRDefault="00EA65EB" w:rsidP="00EA65EB">
      <w:pPr>
        <w:spacing w:after="0" w:line="276" w:lineRule="auto"/>
        <w:jc w:val="both"/>
        <w:rPr>
          <w:rFonts w:ascii="Times New Roman" w:hAnsi="Times New Roman" w:cs="Times New Roman"/>
          <w:sz w:val="24"/>
          <w:szCs w:val="24"/>
        </w:rPr>
      </w:pPr>
    </w:p>
    <w:p w14:paraId="28288431" w14:textId="77777777" w:rsidR="00EA65EB" w:rsidRPr="008E4EB0" w:rsidRDefault="00EA65EB" w:rsidP="00D82FCF">
      <w:pPr>
        <w:pStyle w:val="apakapakvirsraksts"/>
      </w:pPr>
      <w:bookmarkStart w:id="136" w:name="_Toc379286116"/>
      <w:bookmarkStart w:id="137" w:name="_Toc480527993"/>
      <w:bookmarkStart w:id="138" w:name="_Toc491870939"/>
      <w:r w:rsidRPr="008E4EB0">
        <w:t>Ieguldījumu šķēršļu analīze</w:t>
      </w:r>
      <w:bookmarkEnd w:id="136"/>
      <w:bookmarkEnd w:id="137"/>
      <w:bookmarkEnd w:id="138"/>
    </w:p>
    <w:p w14:paraId="35641010" w14:textId="76BF9978" w:rsidR="00EA65EB" w:rsidRPr="008E4EB0" w:rsidRDefault="00EA65EB" w:rsidP="00EA65EB">
      <w:pPr>
        <w:spacing w:after="0" w:line="240" w:lineRule="auto"/>
        <w:ind w:firstLine="851"/>
        <w:jc w:val="both"/>
        <w:rPr>
          <w:rFonts w:ascii="Times New Roman" w:eastAsia="Calibri" w:hAnsi="Times New Roman" w:cs="Times New Roman"/>
          <w:color w:val="000000"/>
          <w:sz w:val="24"/>
        </w:rPr>
      </w:pPr>
      <w:r w:rsidRPr="008E4EB0">
        <w:rPr>
          <w:rFonts w:ascii="Times New Roman" w:eastAsia="Calibri" w:hAnsi="Times New Roman" w:cs="Times New Roman"/>
          <w:color w:val="000000"/>
          <w:sz w:val="24"/>
        </w:rPr>
        <w:t xml:space="preserve">Jebkura investīciju projekta īstenošana saistīta ar iespējamiem riskiem vai objektīviem šķēršļiem. Līdzšinējā ēku </w:t>
      </w:r>
      <w:r w:rsidR="00CE0F55" w:rsidRPr="008E4EB0">
        <w:rPr>
          <w:rFonts w:ascii="Times New Roman" w:eastAsia="Calibri" w:hAnsi="Times New Roman" w:cs="Times New Roman"/>
          <w:color w:val="000000"/>
          <w:sz w:val="24"/>
        </w:rPr>
        <w:t>atjaunošanas</w:t>
      </w:r>
      <w:r w:rsidRPr="008E4EB0">
        <w:rPr>
          <w:rFonts w:ascii="Times New Roman" w:eastAsia="Calibri" w:hAnsi="Times New Roman" w:cs="Times New Roman"/>
          <w:color w:val="000000"/>
          <w:sz w:val="24"/>
        </w:rPr>
        <w:t xml:space="preserve"> praksē no projektu īstenotāju puses identificēta virkne risku, kas var ietekmēt gan projekta ieceres uzsākšanu, gan arī īstenošanu. Dzīvojamo ēku </w:t>
      </w:r>
      <w:r w:rsidR="00CE0F55" w:rsidRPr="008E4EB0">
        <w:rPr>
          <w:rFonts w:ascii="Times New Roman" w:eastAsia="Calibri" w:hAnsi="Times New Roman" w:cs="Times New Roman"/>
          <w:color w:val="000000"/>
          <w:sz w:val="24"/>
        </w:rPr>
        <w:t>atjaunošanu</w:t>
      </w:r>
      <w:r w:rsidRPr="008E4EB0">
        <w:rPr>
          <w:rFonts w:ascii="Times New Roman" w:eastAsia="Calibri" w:hAnsi="Times New Roman" w:cs="Times New Roman"/>
          <w:color w:val="000000"/>
          <w:sz w:val="24"/>
        </w:rPr>
        <w:t xml:space="preserve"> var ietekmēt šādi riski un šķēršļi:</w:t>
      </w:r>
    </w:p>
    <w:p w14:paraId="5AC8FB7F" w14:textId="77777777" w:rsidR="00EA65EB" w:rsidRPr="008E4EB0" w:rsidRDefault="00EA65EB" w:rsidP="00910141">
      <w:pPr>
        <w:spacing w:after="0" w:line="240" w:lineRule="auto"/>
        <w:ind w:left="426"/>
        <w:contextualSpacing/>
        <w:jc w:val="both"/>
        <w:rPr>
          <w:rFonts w:ascii="Times New Roman" w:eastAsia="Calibri" w:hAnsi="Times New Roman" w:cs="Times New Roman"/>
          <w:color w:val="000000"/>
          <w:sz w:val="24"/>
        </w:rPr>
      </w:pPr>
      <w:r w:rsidRPr="008E4EB0">
        <w:rPr>
          <w:rFonts w:ascii="Times New Roman" w:eastAsia="Calibri" w:hAnsi="Times New Roman" w:cs="Times New Roman"/>
          <w:color w:val="000000"/>
          <w:sz w:val="24"/>
        </w:rPr>
        <w:t>1) šķērši un riski, kas ir saistīti ar informācijas pieejamību:</w:t>
      </w:r>
    </w:p>
    <w:p w14:paraId="6B650E20" w14:textId="77777777" w:rsidR="00EA65EB" w:rsidRPr="008E4EB0" w:rsidRDefault="00EA65EB" w:rsidP="00D9693B">
      <w:pPr>
        <w:numPr>
          <w:ilvl w:val="1"/>
          <w:numId w:val="18"/>
        </w:numPr>
        <w:spacing w:after="0" w:line="240" w:lineRule="auto"/>
        <w:ind w:left="426" w:firstLine="0"/>
        <w:contextualSpacing/>
        <w:jc w:val="both"/>
        <w:rPr>
          <w:rFonts w:ascii="Times New Roman" w:eastAsia="Calibri" w:hAnsi="Times New Roman" w:cs="Times New Roman"/>
          <w:color w:val="000000"/>
          <w:sz w:val="24"/>
        </w:rPr>
      </w:pPr>
      <w:r w:rsidRPr="008E4EB0">
        <w:rPr>
          <w:rFonts w:ascii="Times New Roman" w:eastAsia="Calibri" w:hAnsi="Times New Roman" w:cs="Times New Roman"/>
          <w:color w:val="000000"/>
          <w:sz w:val="24"/>
        </w:rPr>
        <w:t>nepietiekama iedzīvotāju informētība par ēku energoefektivitātes jautājumiem un ieguvumiem no ēku energoefektivitātes uzlabošanas;</w:t>
      </w:r>
    </w:p>
    <w:p w14:paraId="1EDBDD69" w14:textId="77777777" w:rsidR="00EA65EB" w:rsidRPr="008E4EB0" w:rsidRDefault="00EA65EB" w:rsidP="00D9693B">
      <w:pPr>
        <w:numPr>
          <w:ilvl w:val="1"/>
          <w:numId w:val="18"/>
        </w:numPr>
        <w:spacing w:after="0" w:line="240" w:lineRule="auto"/>
        <w:ind w:left="426" w:firstLine="0"/>
        <w:contextualSpacing/>
        <w:jc w:val="both"/>
        <w:rPr>
          <w:rFonts w:ascii="Times New Roman" w:eastAsia="Calibri" w:hAnsi="Times New Roman" w:cs="Times New Roman"/>
          <w:color w:val="000000"/>
          <w:sz w:val="24"/>
        </w:rPr>
      </w:pPr>
      <w:r w:rsidRPr="008E4EB0">
        <w:rPr>
          <w:rFonts w:ascii="Times New Roman" w:eastAsia="Calibri" w:hAnsi="Times New Roman" w:cs="Times New Roman"/>
          <w:color w:val="000000"/>
          <w:sz w:val="24"/>
        </w:rPr>
        <w:t>nepietiekama iedzīvotāju informētība par finanšu instrumentiem ēku energoefektivitātes uzlabošanai;</w:t>
      </w:r>
    </w:p>
    <w:p w14:paraId="73C9BB51" w14:textId="104B9BBC" w:rsidR="00EA65EB" w:rsidRPr="008E4EB0" w:rsidRDefault="00EA65EB" w:rsidP="00B474A3">
      <w:pPr>
        <w:numPr>
          <w:ilvl w:val="1"/>
          <w:numId w:val="18"/>
        </w:numPr>
        <w:spacing w:after="0" w:line="240" w:lineRule="auto"/>
        <w:ind w:left="426" w:firstLine="0"/>
        <w:contextualSpacing/>
        <w:jc w:val="both"/>
        <w:rPr>
          <w:rFonts w:ascii="Times New Roman" w:eastAsia="Calibri" w:hAnsi="Times New Roman" w:cs="Times New Roman"/>
          <w:color w:val="000000"/>
          <w:sz w:val="24"/>
        </w:rPr>
      </w:pPr>
      <w:r w:rsidRPr="008E4EB0">
        <w:rPr>
          <w:rFonts w:ascii="Times New Roman" w:eastAsia="Calibri" w:hAnsi="Times New Roman" w:cs="Times New Roman"/>
          <w:color w:val="000000"/>
          <w:sz w:val="24"/>
        </w:rPr>
        <w:t>dzīvokļu īpašnieku nespēja vienoties par kopīgiem lēmumiem</w:t>
      </w:r>
      <w:r w:rsidR="004B52DB">
        <w:rPr>
          <w:rFonts w:ascii="Times New Roman" w:eastAsia="Calibri" w:hAnsi="Times New Roman" w:cs="Times New Roman"/>
          <w:color w:val="000000"/>
          <w:sz w:val="24"/>
        </w:rPr>
        <w:t xml:space="preserve">. </w:t>
      </w:r>
      <w:r w:rsidR="00B474A3" w:rsidRPr="00B474A3">
        <w:rPr>
          <w:rFonts w:ascii="Times New Roman" w:eastAsia="Calibri" w:hAnsi="Times New Roman" w:cs="Times New Roman"/>
          <w:color w:val="000000"/>
          <w:sz w:val="24"/>
        </w:rPr>
        <w:t>Būtu jāveicina pozitīvu lēmumu pieņemšanas process, veicinot sabiedrības informētību un kopīpašuma apziņu ar regulāriem semināriem, kampaņām, pozitīviem ēku atjaunošanas</w:t>
      </w:r>
      <w:r w:rsidR="00B474A3">
        <w:rPr>
          <w:rFonts w:ascii="Times New Roman" w:eastAsia="Calibri" w:hAnsi="Times New Roman" w:cs="Times New Roman"/>
          <w:color w:val="000000"/>
          <w:sz w:val="24"/>
        </w:rPr>
        <w:t xml:space="preserve"> piemēriem</w:t>
      </w:r>
      <w:r w:rsidR="004B52DB">
        <w:rPr>
          <w:rFonts w:ascii="Times New Roman" w:eastAsia="Calibri" w:hAnsi="Times New Roman" w:cs="Times New Roman"/>
          <w:color w:val="000000"/>
          <w:sz w:val="24"/>
        </w:rPr>
        <w:t>.</w:t>
      </w:r>
    </w:p>
    <w:p w14:paraId="1D23F8C8" w14:textId="77777777" w:rsidR="00EA65EB" w:rsidRPr="008E4EB0" w:rsidRDefault="00EA65EB" w:rsidP="00D9693B">
      <w:pPr>
        <w:numPr>
          <w:ilvl w:val="1"/>
          <w:numId w:val="18"/>
        </w:numPr>
        <w:spacing w:after="0" w:line="240" w:lineRule="auto"/>
        <w:ind w:left="426" w:firstLine="0"/>
        <w:contextualSpacing/>
        <w:jc w:val="both"/>
        <w:rPr>
          <w:rFonts w:ascii="Times New Roman" w:eastAsia="Calibri" w:hAnsi="Times New Roman" w:cs="Times New Roman"/>
          <w:color w:val="000000"/>
          <w:sz w:val="24"/>
        </w:rPr>
      </w:pPr>
      <w:r w:rsidRPr="008E4EB0">
        <w:rPr>
          <w:rFonts w:ascii="Times New Roman" w:eastAsia="Calibri" w:hAnsi="Times New Roman" w:cs="Times New Roman"/>
          <w:color w:val="000000"/>
          <w:sz w:val="24"/>
        </w:rPr>
        <w:t>praksē laikietilpīgā lēmumu pieņemšana daudzdzīvokļu dzīvojamās mājās;</w:t>
      </w:r>
    </w:p>
    <w:p w14:paraId="080BC8EE" w14:textId="51101AB3" w:rsidR="00EA65EB" w:rsidRPr="008E4EB0" w:rsidRDefault="00EA65EB" w:rsidP="00910141">
      <w:pPr>
        <w:spacing w:after="0" w:line="240" w:lineRule="auto"/>
        <w:ind w:left="426"/>
        <w:contextualSpacing/>
        <w:jc w:val="both"/>
        <w:rPr>
          <w:rFonts w:ascii="Times New Roman" w:eastAsia="Calibri" w:hAnsi="Times New Roman" w:cs="Times New Roman"/>
          <w:color w:val="000000"/>
          <w:sz w:val="24"/>
        </w:rPr>
      </w:pPr>
      <w:r w:rsidRPr="008E4EB0">
        <w:rPr>
          <w:rFonts w:ascii="Times New Roman" w:eastAsia="Calibri" w:hAnsi="Times New Roman" w:cs="Times New Roman"/>
          <w:color w:val="000000"/>
          <w:sz w:val="24"/>
        </w:rPr>
        <w:lastRenderedPageBreak/>
        <w:t xml:space="preserve">2) šķērši un riski, kas ir saistīti ar </w:t>
      </w:r>
      <w:r w:rsidR="00CE0F55" w:rsidRPr="008E4EB0">
        <w:rPr>
          <w:rFonts w:ascii="Times New Roman" w:eastAsia="Calibri" w:hAnsi="Times New Roman" w:cs="Times New Roman"/>
          <w:color w:val="000000"/>
          <w:sz w:val="24"/>
        </w:rPr>
        <w:t>atjaunošanas</w:t>
      </w:r>
      <w:r w:rsidRPr="008E4EB0">
        <w:rPr>
          <w:rFonts w:ascii="Times New Roman" w:eastAsia="Calibri" w:hAnsi="Times New Roman" w:cs="Times New Roman"/>
          <w:color w:val="000000"/>
          <w:sz w:val="24"/>
        </w:rPr>
        <w:t xml:space="preserve"> projekta dokumentāciju:</w:t>
      </w:r>
    </w:p>
    <w:p w14:paraId="472815BF" w14:textId="4D0124C8" w:rsidR="00EA65EB" w:rsidRPr="008E4EB0" w:rsidRDefault="00EA65EB" w:rsidP="00D9693B">
      <w:pPr>
        <w:numPr>
          <w:ilvl w:val="1"/>
          <w:numId w:val="18"/>
        </w:numPr>
        <w:spacing w:after="0" w:line="240" w:lineRule="auto"/>
        <w:ind w:left="426" w:firstLine="0"/>
        <w:contextualSpacing/>
        <w:jc w:val="both"/>
        <w:rPr>
          <w:rFonts w:ascii="Times New Roman" w:eastAsia="Calibri" w:hAnsi="Times New Roman" w:cs="Times New Roman"/>
          <w:color w:val="000000"/>
          <w:sz w:val="24"/>
        </w:rPr>
      </w:pPr>
      <w:r w:rsidRPr="008E4EB0">
        <w:rPr>
          <w:rFonts w:ascii="Times New Roman" w:eastAsia="Calibri" w:hAnsi="Times New Roman" w:cs="Times New Roman"/>
          <w:color w:val="000000"/>
          <w:sz w:val="24"/>
        </w:rPr>
        <w:t xml:space="preserve">profesionālas </w:t>
      </w:r>
      <w:r w:rsidR="00CE0F55" w:rsidRPr="008E4EB0">
        <w:rPr>
          <w:rFonts w:ascii="Times New Roman" w:eastAsia="Calibri" w:hAnsi="Times New Roman" w:cs="Times New Roman"/>
          <w:color w:val="000000"/>
          <w:sz w:val="24"/>
        </w:rPr>
        <w:t>atjaunošanas</w:t>
      </w:r>
      <w:r w:rsidRPr="008E4EB0">
        <w:rPr>
          <w:rFonts w:ascii="Times New Roman" w:eastAsia="Calibri" w:hAnsi="Times New Roman" w:cs="Times New Roman"/>
          <w:color w:val="000000"/>
          <w:sz w:val="24"/>
        </w:rPr>
        <w:t xml:space="preserve"> projekta vadības grupas trūkums; </w:t>
      </w:r>
    </w:p>
    <w:p w14:paraId="67D71E92" w14:textId="77777777" w:rsidR="00EA65EB" w:rsidRPr="008E4EB0" w:rsidRDefault="00EA65EB" w:rsidP="00D9693B">
      <w:pPr>
        <w:numPr>
          <w:ilvl w:val="1"/>
          <w:numId w:val="18"/>
        </w:numPr>
        <w:spacing w:after="0" w:line="240" w:lineRule="auto"/>
        <w:ind w:left="426" w:firstLine="0"/>
        <w:contextualSpacing/>
        <w:jc w:val="both"/>
        <w:rPr>
          <w:rFonts w:ascii="Times New Roman" w:eastAsia="Calibri" w:hAnsi="Times New Roman" w:cs="Times New Roman"/>
          <w:color w:val="000000"/>
          <w:sz w:val="24"/>
        </w:rPr>
      </w:pPr>
      <w:r w:rsidRPr="008E4EB0">
        <w:rPr>
          <w:rFonts w:ascii="Times New Roman" w:eastAsia="Calibri" w:hAnsi="Times New Roman" w:cs="Times New Roman"/>
          <w:color w:val="000000"/>
          <w:sz w:val="24"/>
        </w:rPr>
        <w:t>nepareizi veikti (arī apzināti) ēku energoefektivitātes novērtējumi (energoauditi);</w:t>
      </w:r>
    </w:p>
    <w:p w14:paraId="42BCAD3E" w14:textId="77777777" w:rsidR="00EA65EB" w:rsidRPr="008E4EB0" w:rsidRDefault="00EA65EB" w:rsidP="00D9693B">
      <w:pPr>
        <w:numPr>
          <w:ilvl w:val="1"/>
          <w:numId w:val="18"/>
        </w:numPr>
        <w:spacing w:after="0" w:line="240" w:lineRule="auto"/>
        <w:ind w:left="426" w:firstLine="0"/>
        <w:contextualSpacing/>
        <w:jc w:val="both"/>
        <w:rPr>
          <w:rFonts w:ascii="Times New Roman" w:eastAsia="Calibri" w:hAnsi="Times New Roman" w:cs="Times New Roman"/>
          <w:color w:val="000000"/>
          <w:sz w:val="24"/>
        </w:rPr>
      </w:pPr>
      <w:r w:rsidRPr="008E4EB0">
        <w:rPr>
          <w:rFonts w:ascii="Times New Roman" w:eastAsia="Calibri" w:hAnsi="Times New Roman" w:cs="Times New Roman"/>
          <w:color w:val="000000"/>
          <w:sz w:val="24"/>
        </w:rPr>
        <w:t>neprecizitātes tehniskās dokumentācijas (ēkas tehniskā apsekošana, būvniecības ieceres dokumentācija, būvniecības tāme) sagatavošanā;</w:t>
      </w:r>
    </w:p>
    <w:p w14:paraId="5B4EF412" w14:textId="77777777" w:rsidR="00EA65EB" w:rsidRPr="008E4EB0" w:rsidRDefault="00EA65EB" w:rsidP="00D9693B">
      <w:pPr>
        <w:numPr>
          <w:ilvl w:val="1"/>
          <w:numId w:val="18"/>
        </w:numPr>
        <w:spacing w:after="0" w:line="240" w:lineRule="auto"/>
        <w:ind w:left="426" w:firstLine="0"/>
        <w:contextualSpacing/>
        <w:jc w:val="both"/>
        <w:rPr>
          <w:rFonts w:ascii="Times New Roman" w:eastAsia="Calibri" w:hAnsi="Times New Roman" w:cs="Times New Roman"/>
          <w:color w:val="000000"/>
          <w:sz w:val="24"/>
        </w:rPr>
      </w:pPr>
      <w:r w:rsidRPr="008E4EB0">
        <w:rPr>
          <w:rFonts w:ascii="Times New Roman" w:eastAsia="Calibri" w:hAnsi="Times New Roman" w:cs="Times New Roman"/>
          <w:color w:val="000000"/>
          <w:sz w:val="24"/>
        </w:rPr>
        <w:t>neprofesionāliem projektu ieviesējiem grūti saprotamās projektu virzības administratīvās procedūras;</w:t>
      </w:r>
    </w:p>
    <w:p w14:paraId="7EF63A7D" w14:textId="77777777" w:rsidR="00EA65EB" w:rsidRPr="008E4EB0" w:rsidRDefault="00EA65EB" w:rsidP="00910141">
      <w:pPr>
        <w:spacing w:after="0" w:line="240" w:lineRule="auto"/>
        <w:ind w:left="426"/>
        <w:contextualSpacing/>
        <w:jc w:val="both"/>
        <w:rPr>
          <w:rFonts w:ascii="Times New Roman" w:eastAsia="Calibri" w:hAnsi="Times New Roman" w:cs="Times New Roman"/>
          <w:color w:val="000000"/>
          <w:sz w:val="24"/>
        </w:rPr>
      </w:pPr>
      <w:r w:rsidRPr="008E4EB0">
        <w:rPr>
          <w:rFonts w:ascii="Times New Roman" w:eastAsia="Calibri" w:hAnsi="Times New Roman" w:cs="Times New Roman"/>
          <w:color w:val="000000"/>
          <w:sz w:val="24"/>
        </w:rPr>
        <w:t>3) šķērši un riski, kas ir saistīti ar būvdarbu kvalitāti:</w:t>
      </w:r>
    </w:p>
    <w:p w14:paraId="472ED973" w14:textId="00D74AD8" w:rsidR="00EA65EB" w:rsidRPr="008E4EB0" w:rsidRDefault="00EA65EB" w:rsidP="00910141">
      <w:pPr>
        <w:spacing w:after="0" w:line="240" w:lineRule="auto"/>
        <w:ind w:left="426"/>
        <w:contextualSpacing/>
        <w:jc w:val="both"/>
        <w:rPr>
          <w:rFonts w:ascii="Times New Roman" w:eastAsia="Calibri" w:hAnsi="Times New Roman" w:cs="Times New Roman"/>
          <w:color w:val="000000"/>
          <w:sz w:val="24"/>
        </w:rPr>
      </w:pPr>
      <w:r w:rsidRPr="008E4EB0">
        <w:rPr>
          <w:rFonts w:ascii="Times New Roman" w:eastAsia="Calibri" w:hAnsi="Times New Roman" w:cs="Times New Roman"/>
          <w:color w:val="000000"/>
          <w:sz w:val="24"/>
        </w:rPr>
        <w:t>-</w:t>
      </w:r>
      <w:r w:rsidRPr="008E4EB0">
        <w:rPr>
          <w:rFonts w:ascii="Times New Roman" w:eastAsia="Calibri" w:hAnsi="Times New Roman" w:cs="Times New Roman"/>
          <w:color w:val="000000"/>
          <w:sz w:val="24"/>
        </w:rPr>
        <w:tab/>
        <w:t xml:space="preserve">profesionālas </w:t>
      </w:r>
      <w:r w:rsidR="00CE0F55" w:rsidRPr="008E4EB0">
        <w:rPr>
          <w:rFonts w:ascii="Times New Roman" w:eastAsia="Calibri" w:hAnsi="Times New Roman" w:cs="Times New Roman"/>
          <w:color w:val="000000"/>
          <w:sz w:val="24"/>
        </w:rPr>
        <w:t>atjaunošanas</w:t>
      </w:r>
      <w:r w:rsidRPr="008E4EB0">
        <w:rPr>
          <w:rFonts w:ascii="Times New Roman" w:eastAsia="Calibri" w:hAnsi="Times New Roman" w:cs="Times New Roman"/>
          <w:color w:val="000000"/>
          <w:sz w:val="24"/>
        </w:rPr>
        <w:t xml:space="preserve"> projekta vadības grupas trūkums;</w:t>
      </w:r>
    </w:p>
    <w:p w14:paraId="6B58FD59" w14:textId="77777777" w:rsidR="00EA65EB" w:rsidRPr="008E4EB0" w:rsidRDefault="00EA65EB" w:rsidP="00D9693B">
      <w:pPr>
        <w:numPr>
          <w:ilvl w:val="1"/>
          <w:numId w:val="18"/>
        </w:numPr>
        <w:spacing w:after="0" w:line="240" w:lineRule="auto"/>
        <w:ind w:left="426" w:firstLine="0"/>
        <w:contextualSpacing/>
        <w:jc w:val="both"/>
        <w:rPr>
          <w:rFonts w:ascii="Times New Roman" w:eastAsia="Calibri" w:hAnsi="Times New Roman" w:cs="Times New Roman"/>
          <w:color w:val="000000"/>
          <w:sz w:val="24"/>
        </w:rPr>
      </w:pPr>
      <w:r w:rsidRPr="008E4EB0">
        <w:rPr>
          <w:rFonts w:ascii="Times New Roman" w:eastAsia="Calibri" w:hAnsi="Times New Roman" w:cs="Times New Roman"/>
          <w:color w:val="000000"/>
          <w:sz w:val="24"/>
        </w:rPr>
        <w:t xml:space="preserve">būvniecības normatīvu aktu neievērošana būvdarbu izpildē; </w:t>
      </w:r>
    </w:p>
    <w:p w14:paraId="4FFC20BD" w14:textId="77777777" w:rsidR="00EA65EB" w:rsidRPr="008E4EB0" w:rsidRDefault="00EA65EB" w:rsidP="00D9693B">
      <w:pPr>
        <w:numPr>
          <w:ilvl w:val="1"/>
          <w:numId w:val="18"/>
        </w:numPr>
        <w:spacing w:after="0" w:line="240" w:lineRule="auto"/>
        <w:ind w:left="426" w:firstLine="0"/>
        <w:contextualSpacing/>
        <w:jc w:val="both"/>
        <w:rPr>
          <w:rFonts w:ascii="Times New Roman" w:eastAsia="Calibri" w:hAnsi="Times New Roman" w:cs="Times New Roman"/>
          <w:color w:val="000000"/>
          <w:sz w:val="24"/>
        </w:rPr>
      </w:pPr>
      <w:r w:rsidRPr="008E4EB0">
        <w:rPr>
          <w:rFonts w:ascii="Times New Roman" w:eastAsia="Calibri" w:hAnsi="Times New Roman" w:cs="Times New Roman"/>
          <w:color w:val="000000"/>
          <w:sz w:val="24"/>
        </w:rPr>
        <w:t>nekvalitatīva (nepietiekama) būvuzraudzība;</w:t>
      </w:r>
    </w:p>
    <w:p w14:paraId="1680D199" w14:textId="77777777" w:rsidR="00EA65EB" w:rsidRPr="008E4EB0" w:rsidRDefault="00EA65EB" w:rsidP="00D9693B">
      <w:pPr>
        <w:numPr>
          <w:ilvl w:val="1"/>
          <w:numId w:val="18"/>
        </w:numPr>
        <w:spacing w:after="0" w:line="240" w:lineRule="auto"/>
        <w:ind w:left="426" w:firstLine="0"/>
        <w:contextualSpacing/>
        <w:jc w:val="both"/>
        <w:rPr>
          <w:rFonts w:ascii="Times New Roman" w:eastAsia="Calibri" w:hAnsi="Times New Roman" w:cs="Times New Roman"/>
          <w:color w:val="000000"/>
          <w:sz w:val="24"/>
        </w:rPr>
      </w:pPr>
      <w:r w:rsidRPr="008E4EB0">
        <w:rPr>
          <w:rFonts w:ascii="Times New Roman" w:eastAsia="Calibri" w:hAnsi="Times New Roman" w:cs="Times New Roman"/>
          <w:color w:val="000000"/>
          <w:sz w:val="24"/>
        </w:rPr>
        <w:t>būvdarbu izpildītāju bieži nepietiekamā kvalifikācija;</w:t>
      </w:r>
    </w:p>
    <w:p w14:paraId="66F59360" w14:textId="77777777" w:rsidR="00EA65EB" w:rsidRPr="008E4EB0" w:rsidRDefault="00EA65EB" w:rsidP="00910141">
      <w:pPr>
        <w:spacing w:after="0" w:line="240" w:lineRule="auto"/>
        <w:ind w:left="426"/>
        <w:contextualSpacing/>
        <w:jc w:val="both"/>
        <w:rPr>
          <w:rFonts w:ascii="Times New Roman" w:eastAsia="Calibri" w:hAnsi="Times New Roman" w:cs="Times New Roman"/>
          <w:color w:val="000000"/>
          <w:sz w:val="24"/>
        </w:rPr>
      </w:pPr>
      <w:r w:rsidRPr="008E4EB0">
        <w:rPr>
          <w:rFonts w:ascii="Times New Roman" w:eastAsia="Calibri" w:hAnsi="Times New Roman" w:cs="Times New Roman"/>
          <w:color w:val="000000"/>
          <w:sz w:val="24"/>
        </w:rPr>
        <w:t>4) finanšu šķēršļi un riski:</w:t>
      </w:r>
    </w:p>
    <w:p w14:paraId="7623BDF0" w14:textId="77777777" w:rsidR="00EA65EB" w:rsidRPr="008E4EB0" w:rsidRDefault="00EA65EB" w:rsidP="00D9693B">
      <w:pPr>
        <w:numPr>
          <w:ilvl w:val="0"/>
          <w:numId w:val="18"/>
        </w:numPr>
        <w:spacing w:after="0" w:line="240" w:lineRule="auto"/>
        <w:ind w:left="426" w:firstLine="0"/>
        <w:contextualSpacing/>
        <w:jc w:val="both"/>
        <w:rPr>
          <w:rFonts w:ascii="Times New Roman" w:eastAsia="Calibri" w:hAnsi="Times New Roman" w:cs="Times New Roman"/>
          <w:color w:val="000000"/>
          <w:sz w:val="24"/>
        </w:rPr>
      </w:pPr>
      <w:r w:rsidRPr="008E4EB0">
        <w:rPr>
          <w:rFonts w:ascii="Times New Roman" w:eastAsia="Calibri" w:hAnsi="Times New Roman" w:cs="Times New Roman"/>
          <w:color w:val="000000"/>
          <w:sz w:val="24"/>
        </w:rPr>
        <w:t xml:space="preserve">iedzīvotāju maksātspējas mazināšanās; </w:t>
      </w:r>
    </w:p>
    <w:p w14:paraId="543A87E3" w14:textId="77777777" w:rsidR="00EA65EB" w:rsidRPr="008E4EB0" w:rsidRDefault="00EA65EB" w:rsidP="00D9693B">
      <w:pPr>
        <w:numPr>
          <w:ilvl w:val="0"/>
          <w:numId w:val="18"/>
        </w:numPr>
        <w:spacing w:after="0" w:line="240" w:lineRule="auto"/>
        <w:ind w:left="426" w:firstLine="0"/>
        <w:contextualSpacing/>
        <w:jc w:val="both"/>
        <w:rPr>
          <w:rFonts w:ascii="Times New Roman" w:eastAsia="Calibri" w:hAnsi="Times New Roman" w:cs="Times New Roman"/>
          <w:color w:val="000000"/>
          <w:sz w:val="24"/>
        </w:rPr>
      </w:pPr>
      <w:r w:rsidRPr="008E4EB0">
        <w:rPr>
          <w:rFonts w:ascii="Times New Roman" w:eastAsia="Calibri" w:hAnsi="Times New Roman" w:cs="Times New Roman"/>
          <w:color w:val="000000"/>
          <w:sz w:val="24"/>
        </w:rPr>
        <w:t>kļūdas projekta budžeta aprēķināšanā;</w:t>
      </w:r>
    </w:p>
    <w:p w14:paraId="647BF84A" w14:textId="77777777" w:rsidR="00EA65EB" w:rsidRPr="008E4EB0" w:rsidRDefault="00EA65EB" w:rsidP="00D9693B">
      <w:pPr>
        <w:numPr>
          <w:ilvl w:val="0"/>
          <w:numId w:val="18"/>
        </w:numPr>
        <w:spacing w:after="0" w:line="240" w:lineRule="auto"/>
        <w:ind w:left="426" w:firstLine="0"/>
        <w:contextualSpacing/>
        <w:jc w:val="both"/>
        <w:rPr>
          <w:rFonts w:ascii="Times New Roman" w:eastAsia="Calibri" w:hAnsi="Times New Roman" w:cs="Times New Roman"/>
          <w:color w:val="000000"/>
          <w:sz w:val="24"/>
        </w:rPr>
      </w:pPr>
      <w:r w:rsidRPr="008E4EB0">
        <w:rPr>
          <w:rFonts w:ascii="Times New Roman" w:eastAsia="Calibri" w:hAnsi="Times New Roman" w:cs="Times New Roman"/>
          <w:color w:val="000000"/>
          <w:sz w:val="24"/>
        </w:rPr>
        <w:t>izmaksu sadārdzināšanās  projekta īstenošanas gaitā (atkopjoties būvniecības nozarei no krīzes sekām, aktivizējies būvniecības tirgus un pieaugušas būvniecības pakalpojumu un būvmateriālu cenas);</w:t>
      </w:r>
    </w:p>
    <w:p w14:paraId="02F10D26" w14:textId="4A9D26A2" w:rsidR="00EA65EB" w:rsidRPr="008E4EB0" w:rsidRDefault="00EA65EB" w:rsidP="00D9693B">
      <w:pPr>
        <w:numPr>
          <w:ilvl w:val="0"/>
          <w:numId w:val="18"/>
        </w:numPr>
        <w:spacing w:after="0" w:line="240" w:lineRule="auto"/>
        <w:ind w:left="426" w:firstLine="0"/>
        <w:contextualSpacing/>
        <w:jc w:val="both"/>
        <w:rPr>
          <w:rFonts w:ascii="Times New Roman" w:eastAsia="Calibri" w:hAnsi="Times New Roman" w:cs="Times New Roman"/>
          <w:color w:val="000000"/>
          <w:sz w:val="24"/>
        </w:rPr>
      </w:pPr>
      <w:r w:rsidRPr="008E4EB0">
        <w:rPr>
          <w:rFonts w:ascii="Times New Roman" w:eastAsia="Calibri" w:hAnsi="Times New Roman" w:cs="Times New Roman"/>
          <w:color w:val="000000"/>
          <w:sz w:val="24"/>
        </w:rPr>
        <w:t xml:space="preserve">parādi par pakalpojumiem, kas saistīti ar dzīvokļa īpašuma lietošanu, liedzot dzīvojamās māja dzīvokļu īpašniekiem saņemt aizdevumu mājas </w:t>
      </w:r>
      <w:r w:rsidR="00CE0F55" w:rsidRPr="008E4EB0">
        <w:rPr>
          <w:rFonts w:ascii="Times New Roman" w:eastAsia="Calibri" w:hAnsi="Times New Roman" w:cs="Times New Roman"/>
          <w:color w:val="000000"/>
          <w:sz w:val="24"/>
        </w:rPr>
        <w:t>atjaunošana</w:t>
      </w:r>
      <w:r w:rsidRPr="008E4EB0">
        <w:rPr>
          <w:rFonts w:ascii="Times New Roman" w:eastAsia="Calibri" w:hAnsi="Times New Roman" w:cs="Times New Roman"/>
          <w:color w:val="000000"/>
          <w:sz w:val="24"/>
        </w:rPr>
        <w:t>i;</w:t>
      </w:r>
    </w:p>
    <w:p w14:paraId="348151C8" w14:textId="38BA71C0" w:rsidR="00EA43B5" w:rsidRDefault="00EA65EB" w:rsidP="00D9693B">
      <w:pPr>
        <w:numPr>
          <w:ilvl w:val="0"/>
          <w:numId w:val="18"/>
        </w:numPr>
        <w:spacing w:after="0" w:line="240" w:lineRule="auto"/>
        <w:ind w:left="426" w:firstLine="0"/>
        <w:contextualSpacing/>
        <w:jc w:val="both"/>
        <w:rPr>
          <w:rFonts w:ascii="Times New Roman" w:eastAsia="Calibri" w:hAnsi="Times New Roman" w:cs="Times New Roman"/>
          <w:color w:val="000000"/>
          <w:sz w:val="24"/>
        </w:rPr>
      </w:pPr>
      <w:r w:rsidRPr="008E4EB0">
        <w:rPr>
          <w:rFonts w:ascii="Times New Roman" w:eastAsia="Calibri" w:hAnsi="Times New Roman" w:cs="Times New Roman"/>
          <w:color w:val="000000"/>
          <w:sz w:val="24"/>
        </w:rPr>
        <w:t>augsts finanšu ieguldījumu riska līmenis ekonomiski mazaktīvās teritorijās, kas sadārdzina aizdevumu procentu likmes, kas pagarina ieguldījumu atmaksāšanās termiņus</w:t>
      </w:r>
      <w:r w:rsidR="00EA43B5">
        <w:rPr>
          <w:rFonts w:ascii="Times New Roman" w:eastAsia="Calibri" w:hAnsi="Times New Roman" w:cs="Times New Roman"/>
          <w:color w:val="000000"/>
          <w:sz w:val="24"/>
        </w:rPr>
        <w:t>.</w:t>
      </w:r>
    </w:p>
    <w:p w14:paraId="74920B3F" w14:textId="1346DB5F" w:rsidR="00EA65EB" w:rsidRPr="008E4EB0" w:rsidRDefault="00EA43B5" w:rsidP="00527F18">
      <w:pPr>
        <w:numPr>
          <w:ilvl w:val="0"/>
          <w:numId w:val="18"/>
        </w:numPr>
        <w:spacing w:after="0" w:line="240" w:lineRule="auto"/>
        <w:ind w:left="426" w:firstLine="0"/>
        <w:contextualSpacing/>
        <w:jc w:val="both"/>
        <w:rPr>
          <w:rFonts w:ascii="Times New Roman" w:eastAsia="Calibri" w:hAnsi="Times New Roman" w:cs="Times New Roman"/>
          <w:color w:val="000000"/>
          <w:sz w:val="24"/>
        </w:rPr>
      </w:pPr>
      <w:r w:rsidRPr="00EA43B5">
        <w:rPr>
          <w:rFonts w:ascii="Times New Roman" w:eastAsia="Calibri" w:hAnsi="Times New Roman" w:cs="Times New Roman"/>
          <w:color w:val="000000"/>
          <w:sz w:val="24"/>
        </w:rPr>
        <w:t>ilgs ieguldījumu atmaksāšanās termiņš, kas kombinācijā ar augstām aizņēmumu procentu likmēm veido negatīvu projektu rentabilitāti</w:t>
      </w:r>
      <w:r w:rsidR="00EA65EB" w:rsidRPr="008E4EB0">
        <w:rPr>
          <w:rFonts w:ascii="Times New Roman" w:eastAsia="Calibri" w:hAnsi="Times New Roman" w:cs="Times New Roman"/>
          <w:color w:val="000000"/>
          <w:sz w:val="24"/>
        </w:rPr>
        <w:t>.</w:t>
      </w:r>
    </w:p>
    <w:p w14:paraId="21C662AE" w14:textId="77777777" w:rsidR="00EA65EB" w:rsidRPr="008E4EB0" w:rsidRDefault="00EA65EB" w:rsidP="00EA65EB">
      <w:pPr>
        <w:spacing w:after="0" w:line="240" w:lineRule="auto"/>
        <w:ind w:left="780" w:firstLine="851"/>
        <w:contextualSpacing/>
        <w:jc w:val="both"/>
        <w:rPr>
          <w:rFonts w:ascii="Times New Roman" w:eastAsia="Calibri" w:hAnsi="Times New Roman" w:cs="Times New Roman"/>
          <w:color w:val="000000"/>
          <w:sz w:val="24"/>
        </w:rPr>
      </w:pPr>
    </w:p>
    <w:p w14:paraId="52C48241" w14:textId="4976F3D6" w:rsidR="00EA65EB" w:rsidRPr="008E4EB0" w:rsidRDefault="00EA65EB" w:rsidP="00EA65EB">
      <w:pPr>
        <w:spacing w:after="0" w:line="240" w:lineRule="auto"/>
        <w:ind w:firstLine="851"/>
        <w:jc w:val="both"/>
        <w:rPr>
          <w:rFonts w:ascii="Times New Roman" w:eastAsia="Calibri" w:hAnsi="Times New Roman" w:cs="Times New Roman"/>
          <w:color w:val="000000"/>
          <w:sz w:val="24"/>
        </w:rPr>
      </w:pPr>
      <w:r w:rsidRPr="008E4EB0">
        <w:rPr>
          <w:rFonts w:ascii="Times New Roman" w:eastAsia="Calibri" w:hAnsi="Times New Roman" w:cs="Times New Roman"/>
          <w:color w:val="000000"/>
          <w:sz w:val="24"/>
        </w:rPr>
        <w:t xml:space="preserve">Ņemot vērā ēku </w:t>
      </w:r>
      <w:r w:rsidR="00CE0F55" w:rsidRPr="008E4EB0">
        <w:rPr>
          <w:rFonts w:ascii="Times New Roman" w:eastAsia="Calibri" w:hAnsi="Times New Roman" w:cs="Times New Roman"/>
          <w:color w:val="000000"/>
          <w:sz w:val="24"/>
        </w:rPr>
        <w:t>atjaunošanas</w:t>
      </w:r>
      <w:r w:rsidRPr="008E4EB0">
        <w:rPr>
          <w:rFonts w:ascii="Times New Roman" w:eastAsia="Calibri" w:hAnsi="Times New Roman" w:cs="Times New Roman"/>
          <w:color w:val="000000"/>
          <w:sz w:val="24"/>
        </w:rPr>
        <w:t xml:space="preserve"> praksē identificētos riskus un šķēršļus, kā arī Latvijas komercbanku līdzšinējo pieredzi ēku </w:t>
      </w:r>
      <w:r w:rsidR="00CE0F55" w:rsidRPr="008E4EB0">
        <w:rPr>
          <w:rFonts w:ascii="Times New Roman" w:eastAsia="Calibri" w:hAnsi="Times New Roman" w:cs="Times New Roman"/>
          <w:color w:val="000000"/>
          <w:sz w:val="24"/>
        </w:rPr>
        <w:t>atjaunošanas</w:t>
      </w:r>
      <w:r w:rsidRPr="008E4EB0">
        <w:rPr>
          <w:rFonts w:ascii="Times New Roman" w:eastAsia="Calibri" w:hAnsi="Times New Roman" w:cs="Times New Roman"/>
          <w:color w:val="000000"/>
          <w:sz w:val="24"/>
        </w:rPr>
        <w:t xml:space="preserve"> finansēšanā, konstatēts, ka, ņemot vērā daudzdzīvokļu ēku īpašnieku atšķirīgo maksātspēju, kas ietekmē iespējas piesaistīt finansējumu, ēkas atkarībā no to īpašnieku maksātspējas jādala grupās:</w:t>
      </w:r>
    </w:p>
    <w:p w14:paraId="57C5D7AC" w14:textId="7053849F" w:rsidR="00EA65EB" w:rsidRPr="008E4EB0" w:rsidRDefault="00EA65EB" w:rsidP="00910141">
      <w:pPr>
        <w:tabs>
          <w:tab w:val="left" w:pos="851"/>
        </w:tabs>
        <w:spacing w:after="0" w:line="240" w:lineRule="auto"/>
        <w:ind w:left="851" w:hanging="709"/>
        <w:contextualSpacing/>
        <w:jc w:val="both"/>
        <w:rPr>
          <w:rFonts w:ascii="Times New Roman" w:eastAsia="Calibri" w:hAnsi="Times New Roman" w:cs="Times New Roman"/>
          <w:color w:val="000000"/>
          <w:sz w:val="24"/>
        </w:rPr>
      </w:pPr>
      <w:r w:rsidRPr="008E4EB0">
        <w:rPr>
          <w:rFonts w:ascii="Times New Roman" w:eastAsia="Calibri" w:hAnsi="Times New Roman" w:cs="Times New Roman"/>
          <w:color w:val="000000"/>
          <w:sz w:val="24"/>
        </w:rPr>
        <w:t xml:space="preserve">1) komercprojekti – tādas mājas, kuru īpašnieku maksātspēja ir apmierinoša un tie potenciāli varētu uzņemties finanšu saistības, t.sk. līdzfinansēt ēkas </w:t>
      </w:r>
      <w:r w:rsidR="00CE0F55" w:rsidRPr="008E4EB0">
        <w:rPr>
          <w:rFonts w:ascii="Times New Roman" w:eastAsia="Calibri" w:hAnsi="Times New Roman" w:cs="Times New Roman"/>
          <w:color w:val="000000"/>
          <w:sz w:val="24"/>
        </w:rPr>
        <w:t>atjaunošanas</w:t>
      </w:r>
      <w:r w:rsidRPr="008E4EB0">
        <w:rPr>
          <w:rFonts w:ascii="Times New Roman" w:eastAsia="Calibri" w:hAnsi="Times New Roman" w:cs="Times New Roman"/>
          <w:color w:val="000000"/>
          <w:sz w:val="24"/>
        </w:rPr>
        <w:t xml:space="preserve"> projektu;</w:t>
      </w:r>
    </w:p>
    <w:p w14:paraId="5BEFB614" w14:textId="3380419E" w:rsidR="00EA65EB" w:rsidRPr="008E4EB0" w:rsidRDefault="00EA65EB" w:rsidP="00910141">
      <w:pPr>
        <w:tabs>
          <w:tab w:val="left" w:pos="851"/>
        </w:tabs>
        <w:spacing w:after="0" w:line="240" w:lineRule="auto"/>
        <w:ind w:left="851" w:hanging="709"/>
        <w:jc w:val="both"/>
        <w:rPr>
          <w:rFonts w:ascii="Times New Roman" w:eastAsia="Calibri" w:hAnsi="Times New Roman" w:cs="Times New Roman"/>
          <w:color w:val="000000"/>
          <w:sz w:val="24"/>
          <w:highlight w:val="yellow"/>
        </w:rPr>
      </w:pPr>
      <w:r w:rsidRPr="008E4EB0">
        <w:rPr>
          <w:rFonts w:ascii="Times New Roman" w:eastAsia="Calibri" w:hAnsi="Times New Roman" w:cs="Times New Roman"/>
          <w:color w:val="000000"/>
          <w:sz w:val="24"/>
        </w:rPr>
        <w:t xml:space="preserve">2) sociālie projekti – tādas mājas, kuru </w:t>
      </w:r>
      <w:r w:rsidR="00CE0F55" w:rsidRPr="008E4EB0">
        <w:rPr>
          <w:rFonts w:ascii="Times New Roman" w:eastAsia="Calibri" w:hAnsi="Times New Roman" w:cs="Times New Roman"/>
          <w:color w:val="000000"/>
          <w:sz w:val="24"/>
        </w:rPr>
        <w:t>atjaunošanai</w:t>
      </w:r>
      <w:r w:rsidRPr="008E4EB0">
        <w:rPr>
          <w:rFonts w:ascii="Times New Roman" w:eastAsia="Calibri" w:hAnsi="Times New Roman" w:cs="Times New Roman"/>
          <w:color w:val="000000"/>
          <w:sz w:val="24"/>
        </w:rPr>
        <w:t xml:space="preserve"> būs problemātiski piesaistīt finansējumu uz komerciāliem nosacījumiem. </w:t>
      </w:r>
    </w:p>
    <w:p w14:paraId="1628F9E1" w14:textId="77777777" w:rsidR="00EA65EB" w:rsidRPr="008E4EB0" w:rsidRDefault="00EA65EB" w:rsidP="00910141">
      <w:pPr>
        <w:tabs>
          <w:tab w:val="left" w:pos="851"/>
        </w:tabs>
        <w:spacing w:after="0" w:line="240" w:lineRule="auto"/>
        <w:ind w:hanging="709"/>
        <w:jc w:val="both"/>
        <w:rPr>
          <w:rFonts w:ascii="Times New Roman" w:eastAsia="Calibri" w:hAnsi="Times New Roman" w:cs="Times New Roman"/>
          <w:color w:val="000000"/>
          <w:sz w:val="24"/>
        </w:rPr>
      </w:pPr>
    </w:p>
    <w:p w14:paraId="3D06F3B2" w14:textId="63583335" w:rsidR="00EA65EB" w:rsidRPr="008E4EB0" w:rsidRDefault="00EA65EB" w:rsidP="00EA65EB">
      <w:pPr>
        <w:spacing w:after="0" w:line="240" w:lineRule="auto"/>
        <w:ind w:firstLine="851"/>
        <w:jc w:val="both"/>
        <w:rPr>
          <w:rFonts w:ascii="Times New Roman" w:eastAsia="Calibri" w:hAnsi="Times New Roman" w:cs="Times New Roman"/>
          <w:color w:val="000000"/>
          <w:sz w:val="24"/>
        </w:rPr>
      </w:pPr>
      <w:r w:rsidRPr="008E4EB0">
        <w:rPr>
          <w:rFonts w:ascii="Times New Roman" w:eastAsia="Calibri" w:hAnsi="Times New Roman" w:cs="Times New Roman"/>
          <w:color w:val="000000"/>
          <w:sz w:val="24"/>
        </w:rPr>
        <w:t xml:space="preserve">Papildus minētajam attiecībā uz dzīvojamo māju </w:t>
      </w:r>
      <w:r w:rsidR="00CE0F55" w:rsidRPr="008E4EB0">
        <w:rPr>
          <w:rFonts w:ascii="Times New Roman" w:eastAsia="Calibri" w:hAnsi="Times New Roman" w:cs="Times New Roman"/>
          <w:color w:val="000000"/>
          <w:sz w:val="24"/>
        </w:rPr>
        <w:t>atjaunošanas</w:t>
      </w:r>
      <w:r w:rsidRPr="008E4EB0">
        <w:rPr>
          <w:rFonts w:ascii="Times New Roman" w:eastAsia="Calibri" w:hAnsi="Times New Roman" w:cs="Times New Roman"/>
          <w:color w:val="000000"/>
          <w:sz w:val="24"/>
        </w:rPr>
        <w:t xml:space="preserve"> iespējamiem finanšu modeļu risinājumiem nākotnē vidējā termiņā pastāv risks, ka cilvēki pieradīs pie ievērojamā (50%) līdzfinansējuma un tas apgrūtinās citu finanšu modeļu ieviešanu, ko netieši norāda Lietuvas pieredze. Proti, mainoties atbalsta programmu nosacījumiem (sākotnēji 50% atbalsts mainījās uz 15-30% atbalstu), būtiski samazinājās dzīvokļu īpašnieku vēlme veikt mājokļa </w:t>
      </w:r>
      <w:r w:rsidR="00CE0F55" w:rsidRPr="008E4EB0">
        <w:rPr>
          <w:rFonts w:ascii="Times New Roman" w:eastAsia="Calibri" w:hAnsi="Times New Roman" w:cs="Times New Roman"/>
          <w:color w:val="000000"/>
          <w:sz w:val="24"/>
        </w:rPr>
        <w:t>atjaunošanu</w:t>
      </w:r>
      <w:r w:rsidRPr="008E4EB0">
        <w:rPr>
          <w:rFonts w:ascii="Times New Roman" w:eastAsia="Calibri" w:hAnsi="Times New Roman" w:cs="Times New Roman"/>
          <w:color w:val="000000"/>
          <w:sz w:val="24"/>
        </w:rPr>
        <w:t>, izmantojot jaunos atbalsta instrumentu nosacījumus.</w:t>
      </w:r>
    </w:p>
    <w:p w14:paraId="4EBFCE07" w14:textId="77777777" w:rsidR="00EA65EB" w:rsidRPr="008E4EB0" w:rsidRDefault="00EA65EB" w:rsidP="00EA65EB">
      <w:pPr>
        <w:spacing w:after="0" w:line="240" w:lineRule="auto"/>
        <w:rPr>
          <w:rFonts w:ascii="Times New Roman" w:eastAsia="Calibri" w:hAnsi="Times New Roman" w:cs="Times New Roman"/>
          <w:color w:val="000000"/>
          <w:sz w:val="24"/>
          <w:szCs w:val="24"/>
        </w:rPr>
      </w:pPr>
    </w:p>
    <w:p w14:paraId="2F4FBEA2" w14:textId="77777777" w:rsidR="00EA65EB" w:rsidRPr="008E4EB0" w:rsidRDefault="00EA65EB" w:rsidP="00EA65EB">
      <w:pPr>
        <w:spacing w:after="0" w:line="240" w:lineRule="auto"/>
        <w:ind w:firstLine="851"/>
        <w:rPr>
          <w:rFonts w:ascii="Times New Roman" w:eastAsia="Calibri" w:hAnsi="Times New Roman" w:cs="Times New Roman"/>
          <w:color w:val="000000"/>
          <w:sz w:val="24"/>
          <w:szCs w:val="24"/>
        </w:rPr>
      </w:pPr>
      <w:r w:rsidRPr="008E4EB0">
        <w:rPr>
          <w:rFonts w:ascii="Times New Roman" w:eastAsia="Calibri" w:hAnsi="Times New Roman" w:cs="Times New Roman"/>
          <w:color w:val="000000"/>
          <w:sz w:val="24"/>
          <w:szCs w:val="24"/>
        </w:rPr>
        <w:t xml:space="preserve">Pie ieguldījumu šķēršļiem jāmin arī virkne šķēršļu, kas kavē veiksmīgu energopakalpojumu līgumu ieviešanu: </w:t>
      </w:r>
    </w:p>
    <w:p w14:paraId="21510965" w14:textId="77777777" w:rsidR="00EA65EB" w:rsidRPr="008E4EB0" w:rsidRDefault="00EA65EB" w:rsidP="00D9693B">
      <w:pPr>
        <w:numPr>
          <w:ilvl w:val="0"/>
          <w:numId w:val="17"/>
        </w:numPr>
        <w:spacing w:after="0" w:line="240" w:lineRule="auto"/>
        <w:ind w:left="426" w:hanging="142"/>
        <w:contextualSpacing/>
        <w:jc w:val="both"/>
        <w:rPr>
          <w:rFonts w:ascii="Times New Roman" w:eastAsia="Calibri" w:hAnsi="Times New Roman" w:cs="Times New Roman"/>
          <w:color w:val="000000"/>
          <w:sz w:val="24"/>
          <w:szCs w:val="24"/>
        </w:rPr>
      </w:pPr>
      <w:r w:rsidRPr="008E4EB0">
        <w:rPr>
          <w:rFonts w:ascii="Times New Roman" w:eastAsia="Calibri" w:hAnsi="Times New Roman" w:cs="Times New Roman"/>
          <w:color w:val="000000"/>
          <w:sz w:val="24"/>
          <w:szCs w:val="24"/>
        </w:rPr>
        <w:t>nepietiekama informācijas pieejamība par ESKO un vāja izpratne par ESKO līgumiem;</w:t>
      </w:r>
    </w:p>
    <w:p w14:paraId="3CE2388A" w14:textId="1BCCD61D" w:rsidR="00EA65EB" w:rsidRPr="008E4EB0" w:rsidRDefault="00EA65EB" w:rsidP="00D9693B">
      <w:pPr>
        <w:numPr>
          <w:ilvl w:val="0"/>
          <w:numId w:val="17"/>
        </w:numPr>
        <w:spacing w:after="0" w:line="240" w:lineRule="auto"/>
        <w:ind w:left="426" w:hanging="142"/>
        <w:contextualSpacing/>
        <w:jc w:val="both"/>
        <w:rPr>
          <w:rFonts w:ascii="Times New Roman" w:eastAsia="Calibri" w:hAnsi="Times New Roman" w:cs="Times New Roman"/>
          <w:color w:val="000000"/>
          <w:sz w:val="24"/>
          <w:szCs w:val="24"/>
        </w:rPr>
      </w:pPr>
    </w:p>
    <w:p w14:paraId="4D9FDF99" w14:textId="77777777" w:rsidR="00EA65EB" w:rsidRPr="008E4EB0" w:rsidRDefault="00EA65EB" w:rsidP="00D9693B">
      <w:pPr>
        <w:numPr>
          <w:ilvl w:val="0"/>
          <w:numId w:val="17"/>
        </w:numPr>
        <w:spacing w:after="0" w:line="240" w:lineRule="auto"/>
        <w:ind w:left="426" w:hanging="142"/>
        <w:contextualSpacing/>
        <w:jc w:val="both"/>
        <w:rPr>
          <w:rFonts w:ascii="Times New Roman" w:eastAsia="Calibri" w:hAnsi="Times New Roman" w:cs="Times New Roman"/>
          <w:color w:val="000000"/>
          <w:sz w:val="24"/>
          <w:szCs w:val="24"/>
        </w:rPr>
      </w:pPr>
      <w:r w:rsidRPr="008E4EB0">
        <w:rPr>
          <w:rFonts w:ascii="Times New Roman" w:eastAsia="Calibri" w:hAnsi="Times New Roman" w:cs="Times New Roman"/>
          <w:color w:val="000000"/>
          <w:sz w:val="24"/>
          <w:szCs w:val="24"/>
        </w:rPr>
        <w:lastRenderedPageBreak/>
        <w:t>klientu neuzticēšanās komplicētajiem ESKO līgumiem, kas ietver gan būvprojektēšanas, gan būvdarbu, gan apsaimniekošanas, gan arī finanšu nosacījumus;</w:t>
      </w:r>
    </w:p>
    <w:p w14:paraId="4FAC6C6C" w14:textId="77777777" w:rsidR="004B52DB" w:rsidRDefault="00EA65EB" w:rsidP="004B52DB">
      <w:pPr>
        <w:numPr>
          <w:ilvl w:val="0"/>
          <w:numId w:val="17"/>
        </w:numPr>
        <w:spacing w:after="0" w:line="240" w:lineRule="auto"/>
        <w:ind w:left="426" w:hanging="142"/>
        <w:contextualSpacing/>
        <w:jc w:val="both"/>
        <w:rPr>
          <w:rFonts w:ascii="Times New Roman" w:eastAsia="Calibri" w:hAnsi="Times New Roman" w:cs="Times New Roman"/>
          <w:color w:val="000000"/>
          <w:sz w:val="24"/>
          <w:szCs w:val="24"/>
        </w:rPr>
      </w:pPr>
      <w:r w:rsidRPr="008E4EB0">
        <w:rPr>
          <w:rFonts w:ascii="Times New Roman" w:eastAsia="Calibri" w:hAnsi="Times New Roman" w:cs="Times New Roman"/>
          <w:color w:val="000000"/>
          <w:sz w:val="24"/>
          <w:szCs w:val="24"/>
        </w:rPr>
        <w:t>ESKO mazā interese par riskantiem projektiem, priekšroku dodot objektiem, kuros ir skaidri saskatāms ieguvums.</w:t>
      </w:r>
    </w:p>
    <w:p w14:paraId="72BF4195" w14:textId="66D33530" w:rsidR="00211521" w:rsidRDefault="002578EB" w:rsidP="004B52DB">
      <w:pPr>
        <w:numPr>
          <w:ilvl w:val="0"/>
          <w:numId w:val="17"/>
        </w:numPr>
        <w:spacing w:after="0" w:line="240" w:lineRule="auto"/>
        <w:ind w:left="426" w:hanging="142"/>
        <w:contextualSpacing/>
        <w:jc w:val="both"/>
        <w:rPr>
          <w:rFonts w:ascii="Times New Roman" w:eastAsia="Calibri" w:hAnsi="Times New Roman" w:cs="Times New Roman"/>
          <w:color w:val="000000"/>
          <w:sz w:val="24"/>
          <w:szCs w:val="24"/>
        </w:rPr>
      </w:pPr>
      <w:r w:rsidRPr="002578EB">
        <w:rPr>
          <w:rFonts w:ascii="Times New Roman" w:eastAsia="Calibri" w:hAnsi="Times New Roman" w:cs="Times New Roman"/>
          <w:color w:val="000000"/>
          <w:sz w:val="24"/>
          <w:szCs w:val="24"/>
        </w:rPr>
        <w:t xml:space="preserve">Izvērtējot ESKO atbalsta iespējas, Altum ir veicis intervijas ar komercbanku, riska kapitāla fondu un ESKO kompānijām. Interviju rezultātā Altum ir sagatavojis </w:t>
      </w:r>
      <w:r>
        <w:rPr>
          <w:rFonts w:ascii="Times New Roman" w:eastAsia="Calibri" w:hAnsi="Times New Roman" w:cs="Times New Roman"/>
          <w:color w:val="000000"/>
          <w:sz w:val="24"/>
          <w:szCs w:val="24"/>
        </w:rPr>
        <w:t>vairākus</w:t>
      </w:r>
      <w:r w:rsidRPr="002578EB">
        <w:rPr>
          <w:rFonts w:ascii="Times New Roman" w:eastAsia="Calibri" w:hAnsi="Times New Roman" w:cs="Times New Roman"/>
          <w:color w:val="000000"/>
          <w:sz w:val="24"/>
          <w:szCs w:val="24"/>
        </w:rPr>
        <w:t xml:space="preserve"> priekšlikumus valsts atbalsta programmu realizācijai. </w:t>
      </w:r>
      <w:r w:rsidRPr="004B52DB">
        <w:rPr>
          <w:rFonts w:ascii="Times New Roman" w:eastAsia="Calibri" w:hAnsi="Times New Roman" w:cs="Times New Roman"/>
          <w:color w:val="000000"/>
          <w:sz w:val="24"/>
          <w:szCs w:val="24"/>
        </w:rPr>
        <w:t>Tādēļ būtu nepieciešams realizēt pasākumus ESKO kompāniju izveides un sākotnējās izaugsmes nodrošināšanai. Tomēr ņemot vērā ESKO pastāvīgu nepieciešamību pēc papildus resursiem pakalpojumu sniegšanai jauniem klientiem, tad nepieciešams paredzēt arī papildus instrumentus jaunu aizdevumu saņemšanai.</w:t>
      </w:r>
      <w:r w:rsidRPr="00A87335">
        <w:rPr>
          <w:rFonts w:ascii="Times New Roman" w:hAnsi="Times New Roman" w:cs="Times New Roman"/>
          <w:sz w:val="24"/>
          <w:szCs w:val="24"/>
        </w:rPr>
        <w:t xml:space="preserve"> </w:t>
      </w:r>
      <w:r w:rsidR="00211521">
        <w:rPr>
          <w:rFonts w:ascii="Times New Roman" w:eastAsia="Calibri" w:hAnsi="Times New Roman" w:cs="Times New Roman"/>
          <w:color w:val="000000"/>
          <w:sz w:val="24"/>
          <w:szCs w:val="24"/>
        </w:rPr>
        <w:br w:type="page"/>
      </w:r>
    </w:p>
    <w:p w14:paraId="271AE6CA" w14:textId="1010A89C" w:rsidR="00990903" w:rsidRPr="008E4EB0" w:rsidRDefault="00A574D8" w:rsidP="00D64CF6">
      <w:pPr>
        <w:pStyle w:val="virsraksts"/>
      </w:pPr>
      <w:bookmarkStart w:id="139" w:name="_Toc482092386"/>
      <w:bookmarkStart w:id="140" w:name="_Toc482106224"/>
      <w:bookmarkStart w:id="141" w:name="_Toc480527994"/>
      <w:bookmarkStart w:id="142" w:name="_Toc491870940"/>
      <w:bookmarkEnd w:id="139"/>
      <w:bookmarkEnd w:id="140"/>
      <w:r w:rsidRPr="008E4EB0">
        <w:lastRenderedPageBreak/>
        <w:t>Latvijas ēku energoefektivitātes ilgtermiņa mērķi</w:t>
      </w:r>
      <w:bookmarkEnd w:id="141"/>
      <w:r w:rsidR="002C142E" w:rsidRPr="008E4EB0">
        <w:t xml:space="preserve"> un paredzētie enerģijas ietaupījumi</w:t>
      </w:r>
      <w:bookmarkEnd w:id="142"/>
    </w:p>
    <w:p w14:paraId="2DE0C97E" w14:textId="77777777" w:rsidR="00AC4629" w:rsidRPr="008E4EB0" w:rsidRDefault="00AC4629" w:rsidP="00AC4629">
      <w:pPr>
        <w:spacing w:after="0" w:line="240" w:lineRule="auto"/>
        <w:ind w:firstLine="851"/>
        <w:jc w:val="both"/>
        <w:rPr>
          <w:rFonts w:ascii="Times New Roman" w:eastAsia="Calibri" w:hAnsi="Times New Roman" w:cs="Times New Roman"/>
          <w:sz w:val="24"/>
          <w:szCs w:val="24"/>
        </w:rPr>
      </w:pPr>
    </w:p>
    <w:p w14:paraId="76FC2FBF" w14:textId="09151913" w:rsidR="00A574D8" w:rsidRPr="008E4EB0" w:rsidRDefault="00A574D8" w:rsidP="00A574D8">
      <w:pPr>
        <w:pStyle w:val="apakvirsraksts"/>
      </w:pPr>
      <w:bookmarkStart w:id="143" w:name="_Toc480527995"/>
      <w:bookmarkStart w:id="144" w:name="_Toc491870941"/>
      <w:r w:rsidRPr="008E4EB0">
        <w:t>Latvijas ēku energoefektivitātes plānotās saistības</w:t>
      </w:r>
      <w:bookmarkEnd w:id="143"/>
      <w:bookmarkEnd w:id="144"/>
    </w:p>
    <w:p w14:paraId="43C0B92F" w14:textId="77777777" w:rsidR="00A574D8" w:rsidRPr="008E4EB0" w:rsidRDefault="00A574D8" w:rsidP="00A574D8">
      <w:pPr>
        <w:pStyle w:val="ListParagraph"/>
        <w:spacing w:after="0" w:line="276" w:lineRule="auto"/>
        <w:ind w:left="1701"/>
        <w:jc w:val="both"/>
        <w:rPr>
          <w:rFonts w:ascii="Times New Roman" w:hAnsi="Times New Roman" w:cs="Times New Roman"/>
          <w:sz w:val="24"/>
          <w:szCs w:val="24"/>
        </w:rPr>
      </w:pPr>
    </w:p>
    <w:p w14:paraId="538D1138" w14:textId="14A86152" w:rsidR="00A574D8" w:rsidRPr="008E4EB0" w:rsidRDefault="00A574D8" w:rsidP="00A574D8">
      <w:pPr>
        <w:pStyle w:val="ListParagraph"/>
        <w:spacing w:after="0" w:line="276" w:lineRule="auto"/>
        <w:ind w:left="0" w:firstLine="567"/>
        <w:jc w:val="both"/>
        <w:rPr>
          <w:rFonts w:ascii="Times New Roman" w:hAnsi="Times New Roman" w:cs="Times New Roman"/>
          <w:sz w:val="24"/>
          <w:szCs w:val="24"/>
        </w:rPr>
      </w:pPr>
      <w:r w:rsidRPr="008E4EB0">
        <w:rPr>
          <w:rFonts w:ascii="Times New Roman" w:hAnsi="Times New Roman" w:cs="Times New Roman"/>
          <w:sz w:val="24"/>
          <w:szCs w:val="24"/>
        </w:rPr>
        <w:t xml:space="preserve">2016.gada 30.novembrī Eiropas Komisija publicēja preses relīzi “Clean Energy for All </w:t>
      </w:r>
      <w:r w:rsidR="008E4EB0" w:rsidRPr="008E4EB0">
        <w:rPr>
          <w:rFonts w:ascii="Times New Roman" w:hAnsi="Times New Roman" w:cs="Times New Roman"/>
          <w:i/>
          <w:sz w:val="24"/>
          <w:szCs w:val="24"/>
        </w:rPr>
        <w:t>Euro</w:t>
      </w:r>
      <w:r w:rsidRPr="008E4EB0">
        <w:rPr>
          <w:rFonts w:ascii="Times New Roman" w:hAnsi="Times New Roman" w:cs="Times New Roman"/>
          <w:sz w:val="24"/>
          <w:szCs w:val="24"/>
        </w:rPr>
        <w:t>peans”. Šīs ziemas dokumentu pakotnes sastāvā iekļauti gr</w:t>
      </w:r>
      <w:r w:rsidR="002525EB">
        <w:rPr>
          <w:rFonts w:ascii="Times New Roman" w:hAnsi="Times New Roman" w:cs="Times New Roman"/>
          <w:sz w:val="24"/>
          <w:szCs w:val="24"/>
        </w:rPr>
        <w:t>ozījumi šādiem uz ēku energoefe</w:t>
      </w:r>
      <w:r w:rsidRPr="008E4EB0">
        <w:rPr>
          <w:rFonts w:ascii="Times New Roman" w:hAnsi="Times New Roman" w:cs="Times New Roman"/>
          <w:sz w:val="24"/>
          <w:szCs w:val="24"/>
        </w:rPr>
        <w:t>ktivitāti attiecināmiem dokumentiem:</w:t>
      </w:r>
    </w:p>
    <w:p w14:paraId="65DA86AE" w14:textId="5B57DDBC" w:rsidR="00A574D8" w:rsidRPr="008E4EB0" w:rsidRDefault="00A574D8" w:rsidP="00A574D8">
      <w:pPr>
        <w:pStyle w:val="ListParagraph"/>
        <w:spacing w:after="0" w:line="276" w:lineRule="auto"/>
        <w:ind w:left="0" w:firstLine="567"/>
        <w:jc w:val="both"/>
        <w:rPr>
          <w:rFonts w:ascii="Times New Roman" w:hAnsi="Times New Roman" w:cs="Times New Roman"/>
          <w:sz w:val="24"/>
          <w:szCs w:val="24"/>
        </w:rPr>
      </w:pPr>
      <w:r w:rsidRPr="008E4EB0">
        <w:rPr>
          <w:rFonts w:ascii="Times New Roman" w:hAnsi="Times New Roman" w:cs="Times New Roman"/>
          <w:sz w:val="24"/>
          <w:szCs w:val="24"/>
        </w:rPr>
        <w:t>Sadaļā 6.1.1. apkopoti galvenie mērķi un izmaiņas grozījumiem 2010. gada 19. maija Eiropas Parlamenta un Padomes Direktīvai 2010/31/ES par ēku energoefektivitāti;</w:t>
      </w:r>
    </w:p>
    <w:p w14:paraId="0B6DAC49" w14:textId="0D47123F" w:rsidR="00A574D8" w:rsidRPr="008E4EB0" w:rsidRDefault="00A574D8" w:rsidP="00A574D8">
      <w:pPr>
        <w:pStyle w:val="ListParagraph"/>
        <w:spacing w:after="0" w:line="276" w:lineRule="auto"/>
        <w:ind w:left="0" w:firstLine="567"/>
        <w:jc w:val="both"/>
        <w:rPr>
          <w:rFonts w:ascii="Times New Roman" w:hAnsi="Times New Roman" w:cs="Times New Roman"/>
          <w:sz w:val="24"/>
          <w:szCs w:val="24"/>
        </w:rPr>
      </w:pPr>
      <w:r w:rsidRPr="008E4EB0">
        <w:rPr>
          <w:rFonts w:ascii="Times New Roman" w:hAnsi="Times New Roman" w:cs="Times New Roman"/>
          <w:sz w:val="24"/>
          <w:szCs w:val="24"/>
        </w:rPr>
        <w:t>Sadaļā 6.1.2. apkopoti galvenie mērķi un izmaiņas grozījumiem 2012. gada 25. oktobra Eiropas Parlamenta un Padomes Direktīvai 2012/27/ES par energoefektivitāti, ar ko groza Direktīvas 2009/125/EK un 2010/30/ES un atceļ Direktīvas 2004/8/EK un 2006/32/EK;</w:t>
      </w:r>
    </w:p>
    <w:p w14:paraId="097735A7" w14:textId="77777777" w:rsidR="00A574D8" w:rsidRPr="008E4EB0" w:rsidRDefault="00A574D8" w:rsidP="00A574D8">
      <w:pPr>
        <w:pStyle w:val="ListParagraph"/>
        <w:spacing w:after="0" w:line="276" w:lineRule="auto"/>
        <w:ind w:left="0" w:firstLine="567"/>
        <w:jc w:val="both"/>
        <w:rPr>
          <w:rFonts w:ascii="Times New Roman" w:hAnsi="Times New Roman" w:cs="Times New Roman"/>
          <w:sz w:val="24"/>
          <w:szCs w:val="24"/>
        </w:rPr>
      </w:pPr>
    </w:p>
    <w:p w14:paraId="3D5205EF" w14:textId="6FE1EE38" w:rsidR="00A574D8" w:rsidRPr="008E4EB0" w:rsidRDefault="00A574D8" w:rsidP="00D82FCF">
      <w:pPr>
        <w:pStyle w:val="apakapakvirsraksts"/>
      </w:pPr>
      <w:bookmarkStart w:id="145" w:name="_Toc480527996"/>
      <w:bookmarkStart w:id="146" w:name="_Toc491870942"/>
      <w:r w:rsidRPr="008E4EB0">
        <w:t>Direktīva 2010/31/ES par ēku energoefektivitāti</w:t>
      </w:r>
      <w:bookmarkEnd w:id="145"/>
      <w:bookmarkEnd w:id="146"/>
    </w:p>
    <w:p w14:paraId="0EBA797E" w14:textId="77777777" w:rsidR="00A574D8" w:rsidRPr="008E4EB0" w:rsidRDefault="00A574D8" w:rsidP="00A574D8">
      <w:pPr>
        <w:pStyle w:val="ListParagraph"/>
        <w:spacing w:after="0" w:line="276" w:lineRule="auto"/>
        <w:jc w:val="both"/>
        <w:rPr>
          <w:rFonts w:ascii="Times New Roman" w:hAnsi="Times New Roman" w:cs="Times New Roman"/>
          <w:sz w:val="24"/>
          <w:szCs w:val="24"/>
        </w:rPr>
      </w:pPr>
    </w:p>
    <w:p w14:paraId="22D39E2F" w14:textId="7189DB1A" w:rsidR="00A574D8" w:rsidRPr="008E4EB0" w:rsidRDefault="00A574D8" w:rsidP="00A574D8">
      <w:pPr>
        <w:pBdr>
          <w:top w:val="nil"/>
          <w:left w:val="nil"/>
          <w:bottom w:val="nil"/>
          <w:right w:val="nil"/>
          <w:between w:val="nil"/>
          <w:bar w:val="nil"/>
        </w:pBdr>
        <w:spacing w:after="0" w:line="240" w:lineRule="auto"/>
        <w:ind w:firstLine="567"/>
        <w:jc w:val="both"/>
        <w:rPr>
          <w:rFonts w:ascii="Times New Roman" w:hAnsi="Times New Roman"/>
          <w:sz w:val="24"/>
          <w:szCs w:val="24"/>
        </w:rPr>
      </w:pPr>
      <w:r w:rsidRPr="008E4EB0">
        <w:rPr>
          <w:rFonts w:ascii="Times New Roman" w:hAnsi="Times New Roman" w:cs="Times New Roman"/>
          <w:sz w:val="24"/>
          <w:szCs w:val="24"/>
        </w:rPr>
        <w:t xml:space="preserve">Priekšlikuma mērķis ir ēku fonda dekarbonizācija līdz 2050.gadam, katrai dalībvalstij ierosinot pašai noteikt fonda dekarbonizācijas starpmērķi 2030.gadam un gala mērķi 2050.gadam, tos iekļaujot ēku </w:t>
      </w:r>
      <w:r w:rsidR="00CE0F55" w:rsidRPr="008E4EB0">
        <w:rPr>
          <w:rFonts w:ascii="Times New Roman" w:hAnsi="Times New Roman" w:cs="Times New Roman"/>
          <w:sz w:val="24"/>
          <w:szCs w:val="24"/>
        </w:rPr>
        <w:t>atjaunošanas</w:t>
      </w:r>
      <w:r w:rsidRPr="008E4EB0">
        <w:rPr>
          <w:rFonts w:ascii="Times New Roman" w:hAnsi="Times New Roman" w:cs="Times New Roman"/>
          <w:sz w:val="24"/>
          <w:szCs w:val="24"/>
        </w:rPr>
        <w:t xml:space="preserve"> ilgtermiņa stratēģijās. </w:t>
      </w:r>
      <w:r w:rsidRPr="008E4EB0">
        <w:rPr>
          <w:rFonts w:ascii="Times New Roman" w:hAnsi="Times New Roman"/>
          <w:sz w:val="24"/>
          <w:szCs w:val="24"/>
        </w:rPr>
        <w:t xml:space="preserve">Līdz ar Direktīvu 2010/31/ES) tiek paredzēti šādi grozījumi: </w:t>
      </w:r>
    </w:p>
    <w:p w14:paraId="5322CF37" w14:textId="77777777" w:rsidR="00D64CF6" w:rsidRPr="008E4EB0" w:rsidRDefault="00D64CF6" w:rsidP="00A574D8">
      <w:pPr>
        <w:pBdr>
          <w:top w:val="nil"/>
          <w:left w:val="nil"/>
          <w:bottom w:val="nil"/>
          <w:right w:val="nil"/>
          <w:between w:val="nil"/>
          <w:bar w:val="nil"/>
        </w:pBdr>
        <w:spacing w:after="0" w:line="240" w:lineRule="auto"/>
        <w:ind w:firstLine="567"/>
        <w:jc w:val="both"/>
        <w:rPr>
          <w:rFonts w:ascii="Times New Roman" w:eastAsia="Arial Unicode MS" w:hAnsi="Times New Roman"/>
          <w:sz w:val="24"/>
          <w:szCs w:val="24"/>
        </w:rPr>
      </w:pPr>
    </w:p>
    <w:p w14:paraId="2B682886" w14:textId="77777777" w:rsidR="00A574D8" w:rsidRPr="008E4EB0" w:rsidRDefault="00A574D8" w:rsidP="00D9693B">
      <w:pPr>
        <w:pStyle w:val="Tiret0"/>
        <w:numPr>
          <w:ilvl w:val="0"/>
          <w:numId w:val="36"/>
        </w:numPr>
        <w:ind w:left="709"/>
      </w:pPr>
      <w:r w:rsidRPr="008E4EB0">
        <w:t>ēkas inženiertehnisko sistēmu definīcija ir paplašināta un attiecināta arī uz elektroenerģijas ražošanu objektā;</w:t>
      </w:r>
    </w:p>
    <w:p w14:paraId="55E7600A" w14:textId="33914F9A" w:rsidR="00A574D8" w:rsidRPr="008E4EB0" w:rsidRDefault="00A574D8" w:rsidP="00D9693B">
      <w:pPr>
        <w:pStyle w:val="Tiret0"/>
        <w:numPr>
          <w:ilvl w:val="0"/>
          <w:numId w:val="36"/>
        </w:numPr>
        <w:ind w:left="709"/>
      </w:pPr>
      <w:r w:rsidRPr="008E4EB0">
        <w:t xml:space="preserve">Direktīvas 2012/27/ES par energoefektivitāti 4. pants par ēku </w:t>
      </w:r>
      <w:r w:rsidR="00CE0F55" w:rsidRPr="008E4EB0">
        <w:t>atjaunošanu</w:t>
      </w:r>
      <w:r w:rsidRPr="008E4EB0">
        <w:t xml:space="preserve"> ir pārcelts uz Direktīvu 2010/31/ES lielākas konsekvences nodrošināšanai, un tajā tiks ņemti vērā enerģētiskās nabadzības jautājumi, kā arī reglamentēts atbalsts ēku </w:t>
      </w:r>
      <w:r w:rsidR="00CE0F55" w:rsidRPr="008E4EB0">
        <w:t>atjaunošanas</w:t>
      </w:r>
      <w:r w:rsidRPr="008E4EB0">
        <w:t xml:space="preserve"> viedajam finansējumam un izklāstīts redzējums par ēku dekarbonizāciju laikposmā līdz 2050. gadam, nosakot konkrētus atskaites mērķus 2030. gadam. Ilgtermiņa </w:t>
      </w:r>
      <w:r w:rsidR="00CE0F55" w:rsidRPr="008E4EB0">
        <w:t>atjaunošanas</w:t>
      </w:r>
      <w:r w:rsidRPr="008E4EB0">
        <w:t xml:space="preserve"> stratēģijas tiks iestrādātas (un pievienotas) nacionālajos enerģētikas un klimata plānos, un dalībvalstīm par stratēģiju attiecībā uz periodu pēc 2020. gada būs līdz 2019. gada 1. janvārim jāpaziņo Komisijai. Stratēģija aptver valsts dzīvojamo un nedzīvojamo ēku fonda </w:t>
      </w:r>
      <w:r w:rsidR="00CE0F55" w:rsidRPr="008E4EB0">
        <w:t>atjaunošanu</w:t>
      </w:r>
      <w:r w:rsidRPr="008E4EB0">
        <w:t>;</w:t>
      </w:r>
    </w:p>
    <w:p w14:paraId="285C44CA" w14:textId="77777777" w:rsidR="00A574D8" w:rsidRPr="008E4EB0" w:rsidRDefault="00A574D8" w:rsidP="00D9693B">
      <w:pPr>
        <w:pStyle w:val="Tiret0"/>
        <w:numPr>
          <w:ilvl w:val="0"/>
          <w:numId w:val="36"/>
        </w:numPr>
        <w:ind w:left="709"/>
      </w:pPr>
      <w:r w:rsidRPr="008E4EB0">
        <w:t>vienkāršots ir pants par jaunbūvēm, proti, tajā paredzēts tikai tas noteikums, kas ietekmes novērtējumā atzīts par vislietderīgāko: vispārējais pienākums, ka jaunām ēkām ir jāatbilst minimālajām energoefektivitātes prasībām. Citi, apgrūtinošāki, noteikumi ir svītroti;</w:t>
      </w:r>
    </w:p>
    <w:p w14:paraId="76C7B519" w14:textId="77777777" w:rsidR="00A574D8" w:rsidRPr="008E4EB0" w:rsidRDefault="00A574D8" w:rsidP="00D9693B">
      <w:pPr>
        <w:pStyle w:val="Tiret0"/>
        <w:numPr>
          <w:ilvl w:val="0"/>
          <w:numId w:val="36"/>
        </w:numPr>
        <w:ind w:left="709"/>
      </w:pPr>
      <w:r w:rsidRPr="008E4EB0">
        <w:t xml:space="preserve">atjaunināts ir 8. pants, lai tiktu ņemta vērā ēku inženiertehnisko sistēmu pārskatītā definīcija. Ar jaunu punktu ir paredzētas šādas prasības: </w:t>
      </w:r>
    </w:p>
    <w:p w14:paraId="667B775E" w14:textId="061B44F7" w:rsidR="00A574D8" w:rsidRPr="008E4EB0" w:rsidRDefault="00A574D8" w:rsidP="00D9693B">
      <w:pPr>
        <w:pStyle w:val="Tiret0"/>
        <w:numPr>
          <w:ilvl w:val="1"/>
          <w:numId w:val="36"/>
        </w:numPr>
        <w:ind w:left="1560" w:hanging="709"/>
      </w:pPr>
      <w:r w:rsidRPr="008E4EB0">
        <w:t xml:space="preserve">nodrošināt elektromobilitātes infrastruktūru; jaunām nedzīvojamām ēkām ar vairāk nekā 10 stāvvietām, un nozīmīgi atjaunotām </w:t>
      </w:r>
      <w:r w:rsidRPr="008E4EB0">
        <w:lastRenderedPageBreak/>
        <w:t>(</w:t>
      </w:r>
      <w:r w:rsidR="00CE0F55" w:rsidRPr="008E4EB0">
        <w:t>atjaunot</w:t>
      </w:r>
      <w:r w:rsidRPr="008E4EB0">
        <w:t>ām) ēkām ar vairāk nekā 10 stāvvietām (stāvvieta attiecināta uz tām, kas atrodas ēkā un uz tām, kas atrodas fiziski blakus tai) viena no 10 stāvvietām jāaprīko elektromobilitātes vajadzībām. Jaunām dzīvojamām ēkām ar vairāk nekā 10 stāvvietām un nozīmīgi atjaunotām dzīvojamām ēkām būs jāierīko elektrouzlādei nepieciešamā kabeļu cauruļu infrastruktūra, lai katrai stāvvietai nākotnē būtu iespējams uzstādīt uzlādes punktus. Prasības nebūs jāievēro tām ēkām, kas būs saņēmušas būvatļauju pirms Direktīvas grozījumu stāšanās spēkā. ES Dalībvalstis varēs izvēlēties no šīs prasības atbrīvot mazo un vidējo uzņēmumu īpašumā un lietošanā esošas ēkas, kā arī publiskās ēkas, uz ko attiecas Alternatīvo degvielu infrastruktūras direktīva .</w:t>
      </w:r>
    </w:p>
    <w:p w14:paraId="299F3195" w14:textId="77777777" w:rsidR="00A574D8" w:rsidRPr="008E4EB0" w:rsidRDefault="00A574D8" w:rsidP="00D9693B">
      <w:pPr>
        <w:pStyle w:val="Tiret0"/>
        <w:numPr>
          <w:ilvl w:val="1"/>
          <w:numId w:val="36"/>
        </w:numPr>
        <w:ind w:left="1560" w:hanging="709"/>
      </w:pPr>
      <w:r w:rsidRPr="008E4EB0">
        <w:t>nostiprināt ēkas elektronisko monitoringu, automatizāciju un vadību nolūkā optimizēt inspekcijas;</w:t>
      </w:r>
    </w:p>
    <w:p w14:paraId="5B3DF233" w14:textId="77777777" w:rsidR="00A574D8" w:rsidRPr="008E4EB0" w:rsidRDefault="00A574D8" w:rsidP="00D9693B">
      <w:pPr>
        <w:pStyle w:val="Tiret0"/>
        <w:numPr>
          <w:ilvl w:val="1"/>
          <w:numId w:val="36"/>
        </w:numPr>
        <w:ind w:left="1560" w:hanging="709"/>
      </w:pPr>
      <w:r w:rsidRPr="008E4EB0">
        <w:t>ieviest "vieduma indikatoru", ar ko mēra, cik lielā mērā ēka ir gatava pielāgoties iedzīvotāju/lietotāju un tīkla vajadzībām un uzlabot savu sniegumu;</w:t>
      </w:r>
    </w:p>
    <w:p w14:paraId="72817CE5" w14:textId="77777777" w:rsidR="00A574D8" w:rsidRPr="008E4EB0" w:rsidRDefault="00A574D8" w:rsidP="00D9693B">
      <w:pPr>
        <w:pStyle w:val="Tiret0"/>
        <w:numPr>
          <w:ilvl w:val="0"/>
          <w:numId w:val="36"/>
        </w:numPr>
        <w:ind w:left="709"/>
      </w:pPr>
      <w:r w:rsidRPr="008E4EB0">
        <w:t>atjaunināts 10. pants, kurā ietverts jauns noteikums: par energoefektivitātes sertifikātu izmantošanu, lai novērtētu enerģijas ietaupījumus, kas gūti, pateicoties ēkas atjaunošanai, kuras finansēšanā saņemts publiskais atbalsts; tos novērtē, salīdzinot energoefektivitātes sertifikātus pirms atjaunošanas un pēc tās, papildus ļaujot izmantot arī citus līdzvērtīgus mehānismus, lai sasniegtu noteiktos mērķus.</w:t>
      </w:r>
    </w:p>
    <w:p w14:paraId="6CA14C62" w14:textId="77777777" w:rsidR="00A574D8" w:rsidRPr="008E4EB0" w:rsidRDefault="00A574D8" w:rsidP="00D9693B">
      <w:pPr>
        <w:pStyle w:val="Tiret0"/>
        <w:numPr>
          <w:ilvl w:val="0"/>
          <w:numId w:val="36"/>
        </w:numPr>
        <w:ind w:left="709"/>
      </w:pPr>
      <w:r w:rsidRPr="008E4EB0">
        <w:t>vienkāršots 14. un 15. pants par inspekcijām, ieviešot efektīvāku pieeju regulārajām inspekcijām, un to var izmantot, lai nodrošinātu, ka tiek uzturēta un/vai uzlabota ēkas energoefektivitāte;</w:t>
      </w:r>
    </w:p>
    <w:p w14:paraId="02FC3AB9" w14:textId="77777777" w:rsidR="00A574D8" w:rsidRPr="008E4EB0" w:rsidRDefault="00A574D8" w:rsidP="00D9693B">
      <w:pPr>
        <w:pStyle w:val="Tiret0"/>
        <w:numPr>
          <w:ilvl w:val="0"/>
          <w:numId w:val="36"/>
        </w:numPr>
        <w:ind w:left="709"/>
      </w:pPr>
      <w:r w:rsidRPr="008E4EB0">
        <w:t>atjaunināts I pielikums , lai uzlabotu energoefektivitātes noteikšanas (valsts vai reģionālā līmenī) caurskatāmību un konsekvenci, un lai ņemtu vērā iekštelpu vides nozīmi.</w:t>
      </w:r>
    </w:p>
    <w:p w14:paraId="21658D12" w14:textId="77777777" w:rsidR="00A574D8" w:rsidRPr="008E4EB0" w:rsidRDefault="00A574D8" w:rsidP="00150827">
      <w:pPr>
        <w:pStyle w:val="Tiret0"/>
        <w:numPr>
          <w:ilvl w:val="0"/>
          <w:numId w:val="0"/>
        </w:numPr>
      </w:pPr>
      <w:r w:rsidRPr="008E4EB0">
        <w:t xml:space="preserve">Šie grozījumi pamatā ir ar tehnisku ievirzi, taču tie uzliks Latvijai par pienākumu attīstīt elektrotransportlīdzekļu elektrouzlādes infrastruktūru ēku sektorā, kā arī pilnveidot ēku energoefektivitātes aprēķina metodiku, pielāgojot to jaunajiem standartiem. </w:t>
      </w:r>
    </w:p>
    <w:p w14:paraId="4FE1B86B" w14:textId="77777777" w:rsidR="00A574D8" w:rsidRPr="008E4EB0" w:rsidRDefault="00A574D8" w:rsidP="00D64CF6">
      <w:pPr>
        <w:pStyle w:val="Tiret0"/>
        <w:numPr>
          <w:ilvl w:val="0"/>
          <w:numId w:val="0"/>
        </w:numPr>
      </w:pPr>
    </w:p>
    <w:p w14:paraId="6D07FB45" w14:textId="77777777" w:rsidR="00A574D8" w:rsidRPr="008E4EB0" w:rsidRDefault="00A574D8" w:rsidP="00A574D8">
      <w:pPr>
        <w:pStyle w:val="ListParagraph"/>
        <w:spacing w:after="0" w:line="276" w:lineRule="auto"/>
        <w:jc w:val="both"/>
        <w:rPr>
          <w:rFonts w:ascii="Times New Roman" w:hAnsi="Times New Roman" w:cs="Times New Roman"/>
          <w:sz w:val="24"/>
          <w:szCs w:val="24"/>
        </w:rPr>
      </w:pPr>
    </w:p>
    <w:p w14:paraId="663F8046" w14:textId="31C9CFD4" w:rsidR="00A574D8" w:rsidRPr="008E4EB0" w:rsidRDefault="00A574D8" w:rsidP="00DD1140">
      <w:pPr>
        <w:pStyle w:val="apakapakvirsraksts"/>
      </w:pPr>
      <w:bookmarkStart w:id="147" w:name="_Toc480527998"/>
      <w:bookmarkStart w:id="148" w:name="_Toc491870943"/>
      <w:r w:rsidRPr="008E4EB0">
        <w:t>Stratēģijā iekļaujamie un izvirzāmie mērķi 2030.gadam un 2050.gadam</w:t>
      </w:r>
      <w:bookmarkEnd w:id="147"/>
      <w:bookmarkEnd w:id="148"/>
    </w:p>
    <w:p w14:paraId="2D28E129" w14:textId="77777777" w:rsidR="00A574D8" w:rsidRPr="008E4EB0" w:rsidRDefault="00A574D8" w:rsidP="00BF58E9">
      <w:pPr>
        <w:pStyle w:val="ListParagraph"/>
        <w:keepNext/>
        <w:spacing w:after="0" w:line="276" w:lineRule="auto"/>
        <w:ind w:left="1701"/>
        <w:jc w:val="both"/>
        <w:rPr>
          <w:rFonts w:ascii="Times New Roman" w:hAnsi="Times New Roman" w:cs="Times New Roman"/>
          <w:sz w:val="24"/>
          <w:szCs w:val="24"/>
        </w:rPr>
      </w:pPr>
    </w:p>
    <w:p w14:paraId="40BDA01B" w14:textId="1452B2AC" w:rsidR="00AC4629" w:rsidRPr="008E4EB0" w:rsidRDefault="00A574D8" w:rsidP="00BF58E9">
      <w:pPr>
        <w:keepNext/>
        <w:spacing w:after="0" w:line="240" w:lineRule="auto"/>
        <w:ind w:firstLine="851"/>
        <w:jc w:val="both"/>
        <w:rPr>
          <w:rFonts w:ascii="Times New Roman" w:eastAsia="Calibri" w:hAnsi="Times New Roman" w:cs="Times New Roman"/>
          <w:sz w:val="24"/>
          <w:szCs w:val="24"/>
        </w:rPr>
      </w:pPr>
      <w:r w:rsidRPr="008E4EB0">
        <w:rPr>
          <w:rFonts w:ascii="Times New Roman" w:hAnsi="Times New Roman" w:cs="Times New Roman"/>
          <w:sz w:val="24"/>
          <w:szCs w:val="24"/>
        </w:rPr>
        <w:t>Lai izpildītu Direktīvas 2010/31/ES grozījumu prasības, Latvijai nākotnē jāizvirza starpmērķis ēku fonda dekarbonizācijai līdz 2030.gadam un kopējais ēku  mērķis 2050.gadam. Latvijas kopējais visu sektoru dekarbonizācijas mērķis definēts “Ceļvedis virzībai uz konkurētspējīgu ekonomiku ar zemu oglekļa dioksīda emisiju līmeni 2050. gadā”. Minētais dokuments nosaka, ka ES kopš 2013. gada ievieš visaptverošu klimata politiku, kas virzīta uz vismaz 80% SEG emisiju samazināšanu līdz 2050.gadam salīdzinājumā ar 1990.gadu. Rezultātā Latvijai būtu jānosaka kvantitatīvi, sasniedzami mērķi, kuri būtu iekļaujami nākamās ēku ilgtermiņa atjaunošanas stratēģijas atjauninājumā.</w:t>
      </w:r>
    </w:p>
    <w:p w14:paraId="50D53C42" w14:textId="77777777" w:rsidR="0081787F" w:rsidRPr="008E4EB0" w:rsidRDefault="0081787F" w:rsidP="0081787F">
      <w:pPr>
        <w:shd w:val="clear" w:color="auto" w:fill="FFFFFF"/>
        <w:suppressAutoHyphens/>
        <w:autoSpaceDN w:val="0"/>
        <w:spacing w:after="0" w:line="240" w:lineRule="auto"/>
        <w:ind w:firstLine="851"/>
        <w:jc w:val="both"/>
        <w:textAlignment w:val="baseline"/>
        <w:rPr>
          <w:rFonts w:ascii="Times New Roman" w:eastAsia="Calibri" w:hAnsi="Times New Roman" w:cs="Times New Roman"/>
          <w:sz w:val="24"/>
          <w:szCs w:val="24"/>
        </w:rPr>
      </w:pPr>
    </w:p>
    <w:p w14:paraId="025ADA3F" w14:textId="29B58BCB" w:rsidR="0081787F" w:rsidRPr="008E4EB0" w:rsidRDefault="009D16BC" w:rsidP="00D64CF6">
      <w:pPr>
        <w:pStyle w:val="apakvirsraksts"/>
      </w:pPr>
      <w:bookmarkStart w:id="149" w:name="_Toc480527999"/>
      <w:bookmarkStart w:id="150" w:name="_Toc491870944"/>
      <w:r w:rsidRPr="008E4EB0">
        <w:lastRenderedPageBreak/>
        <w:t>Latvijas ēku energoefektivitātes aktuālie mērķi un saistības</w:t>
      </w:r>
      <w:bookmarkEnd w:id="149"/>
      <w:bookmarkEnd w:id="150"/>
    </w:p>
    <w:p w14:paraId="04A93B5F" w14:textId="4D7F5D9E" w:rsidR="00A574D8" w:rsidRPr="008E4EB0" w:rsidRDefault="00A574D8" w:rsidP="00D64CF6">
      <w:pPr>
        <w:spacing w:after="0" w:line="240" w:lineRule="auto"/>
        <w:jc w:val="both"/>
        <w:rPr>
          <w:rFonts w:ascii="Times New Roman" w:hAnsi="Times New Roman" w:cs="Times New Roman"/>
          <w:sz w:val="24"/>
          <w:szCs w:val="24"/>
        </w:rPr>
      </w:pPr>
      <w:r w:rsidRPr="008E4EB0">
        <w:rPr>
          <w:rFonts w:ascii="Times New Roman" w:hAnsi="Times New Roman" w:cs="Times New Roman"/>
          <w:sz w:val="24"/>
          <w:szCs w:val="24"/>
        </w:rPr>
        <w:t>Aktuālie mērķi ēku energoefektivitātes jomā ir:</w:t>
      </w:r>
    </w:p>
    <w:p w14:paraId="72735DA1" w14:textId="77777777" w:rsidR="0081787F" w:rsidRPr="008E4EB0" w:rsidRDefault="0081787F" w:rsidP="00D9693B">
      <w:pPr>
        <w:numPr>
          <w:ilvl w:val="0"/>
          <w:numId w:val="33"/>
        </w:numPr>
        <w:shd w:val="clear" w:color="auto" w:fill="FFFFFF"/>
        <w:suppressAutoHyphens/>
        <w:autoSpaceDN w:val="0"/>
        <w:spacing w:after="0" w:line="240" w:lineRule="auto"/>
        <w:ind w:left="567" w:firstLine="0"/>
        <w:jc w:val="both"/>
        <w:textAlignment w:val="baseline"/>
        <w:rPr>
          <w:rFonts w:ascii="Times New Roman" w:eastAsia="Calibri" w:hAnsi="Times New Roman" w:cs="Times New Roman"/>
          <w:sz w:val="24"/>
          <w:szCs w:val="28"/>
        </w:rPr>
      </w:pPr>
      <w:r w:rsidRPr="008E4EB0">
        <w:rPr>
          <w:rFonts w:ascii="Times New Roman" w:eastAsia="Calibri" w:hAnsi="Times New Roman" w:cs="Times New Roman"/>
          <w:sz w:val="24"/>
          <w:szCs w:val="28"/>
        </w:rPr>
        <w:t>finansējuma pieejamība ekonomiski pamatotiem projektiem visā Latvijas teritorijā, t.sk. reģionos;</w:t>
      </w:r>
    </w:p>
    <w:p w14:paraId="4EDBD2EA" w14:textId="77777777" w:rsidR="0081787F" w:rsidRPr="008E4EB0" w:rsidRDefault="0081787F" w:rsidP="00D9693B">
      <w:pPr>
        <w:numPr>
          <w:ilvl w:val="0"/>
          <w:numId w:val="33"/>
        </w:numPr>
        <w:shd w:val="clear" w:color="auto" w:fill="FFFFFF"/>
        <w:suppressAutoHyphens/>
        <w:autoSpaceDN w:val="0"/>
        <w:spacing w:after="0" w:line="240" w:lineRule="auto"/>
        <w:ind w:left="567" w:firstLine="0"/>
        <w:jc w:val="both"/>
        <w:textAlignment w:val="baseline"/>
        <w:rPr>
          <w:rFonts w:ascii="Times New Roman" w:eastAsia="Calibri" w:hAnsi="Times New Roman" w:cs="Times New Roman"/>
          <w:sz w:val="24"/>
          <w:szCs w:val="28"/>
        </w:rPr>
      </w:pPr>
      <w:r w:rsidRPr="008E4EB0">
        <w:rPr>
          <w:rFonts w:ascii="Times New Roman" w:eastAsia="Calibri" w:hAnsi="Times New Roman" w:cs="Times New Roman"/>
          <w:sz w:val="24"/>
          <w:szCs w:val="28"/>
        </w:rPr>
        <w:t>kvalitatīva projektu vadība un uzraudzība;</w:t>
      </w:r>
    </w:p>
    <w:p w14:paraId="62373B4A" w14:textId="77777777" w:rsidR="0081787F" w:rsidRPr="008E4EB0" w:rsidRDefault="0081787F" w:rsidP="00D9693B">
      <w:pPr>
        <w:numPr>
          <w:ilvl w:val="0"/>
          <w:numId w:val="33"/>
        </w:numPr>
        <w:shd w:val="clear" w:color="auto" w:fill="FFFFFF"/>
        <w:suppressAutoHyphens/>
        <w:autoSpaceDN w:val="0"/>
        <w:spacing w:after="0" w:line="240" w:lineRule="auto"/>
        <w:ind w:left="567" w:firstLine="0"/>
        <w:jc w:val="both"/>
        <w:textAlignment w:val="baseline"/>
        <w:rPr>
          <w:rFonts w:ascii="Times New Roman" w:eastAsia="Calibri" w:hAnsi="Times New Roman" w:cs="Times New Roman"/>
          <w:sz w:val="24"/>
          <w:szCs w:val="28"/>
        </w:rPr>
      </w:pPr>
      <w:r w:rsidRPr="008E4EB0">
        <w:rPr>
          <w:rFonts w:ascii="Times New Roman" w:eastAsia="Calibri" w:hAnsi="Times New Roman" w:cs="Times New Roman"/>
          <w:sz w:val="24"/>
          <w:szCs w:val="28"/>
        </w:rPr>
        <w:t>aktivitāšu uzraudzības fokusēšana uz rezultātu, tai skaitā enerģijas ietaupījumu, sasniegšanu;</w:t>
      </w:r>
    </w:p>
    <w:p w14:paraId="7BEA6F61" w14:textId="77777777" w:rsidR="0081787F" w:rsidRPr="008E4EB0" w:rsidRDefault="0081787F" w:rsidP="00D9693B">
      <w:pPr>
        <w:numPr>
          <w:ilvl w:val="0"/>
          <w:numId w:val="33"/>
        </w:numPr>
        <w:shd w:val="clear" w:color="auto" w:fill="FFFFFF"/>
        <w:suppressAutoHyphens/>
        <w:autoSpaceDN w:val="0"/>
        <w:spacing w:after="0" w:line="240" w:lineRule="auto"/>
        <w:ind w:left="567" w:firstLine="0"/>
        <w:jc w:val="both"/>
        <w:textAlignment w:val="baseline"/>
        <w:rPr>
          <w:rFonts w:ascii="Times New Roman" w:eastAsia="Calibri" w:hAnsi="Times New Roman" w:cs="Times New Roman"/>
          <w:sz w:val="24"/>
          <w:szCs w:val="28"/>
        </w:rPr>
      </w:pPr>
      <w:r w:rsidRPr="008E4EB0">
        <w:rPr>
          <w:rFonts w:ascii="Times New Roman" w:eastAsia="Calibri" w:hAnsi="Times New Roman" w:cs="Times New Roman"/>
          <w:sz w:val="24"/>
          <w:szCs w:val="28"/>
        </w:rPr>
        <w:t>augstas energoefektivitātes un kvalitatīvas būvniecības sasniegšana;</w:t>
      </w:r>
    </w:p>
    <w:p w14:paraId="6BBFD2D9" w14:textId="77777777" w:rsidR="0081787F" w:rsidRPr="008E4EB0" w:rsidRDefault="0081787F" w:rsidP="00D9693B">
      <w:pPr>
        <w:numPr>
          <w:ilvl w:val="0"/>
          <w:numId w:val="33"/>
        </w:numPr>
        <w:shd w:val="clear" w:color="auto" w:fill="FFFFFF"/>
        <w:suppressAutoHyphens/>
        <w:autoSpaceDN w:val="0"/>
        <w:spacing w:after="0" w:line="240" w:lineRule="auto"/>
        <w:ind w:left="567" w:firstLine="0"/>
        <w:jc w:val="both"/>
        <w:textAlignment w:val="baseline"/>
        <w:rPr>
          <w:rFonts w:ascii="Times New Roman" w:eastAsia="Calibri" w:hAnsi="Times New Roman" w:cs="Times New Roman"/>
          <w:sz w:val="24"/>
          <w:szCs w:val="28"/>
        </w:rPr>
      </w:pPr>
      <w:r w:rsidRPr="008E4EB0">
        <w:rPr>
          <w:rFonts w:ascii="Times New Roman" w:eastAsia="Calibri" w:hAnsi="Times New Roman" w:cs="Times New Roman"/>
          <w:sz w:val="24"/>
          <w:szCs w:val="28"/>
        </w:rPr>
        <w:t>būvkomersanta atlases procedūras uzlabošana;</w:t>
      </w:r>
    </w:p>
    <w:p w14:paraId="3908BD5A" w14:textId="77777777" w:rsidR="0081787F" w:rsidRPr="008E4EB0" w:rsidRDefault="0081787F" w:rsidP="00D9693B">
      <w:pPr>
        <w:numPr>
          <w:ilvl w:val="0"/>
          <w:numId w:val="33"/>
        </w:numPr>
        <w:shd w:val="clear" w:color="auto" w:fill="FFFFFF"/>
        <w:suppressAutoHyphens/>
        <w:autoSpaceDN w:val="0"/>
        <w:spacing w:after="0" w:line="240" w:lineRule="auto"/>
        <w:ind w:left="567" w:firstLine="0"/>
        <w:jc w:val="both"/>
        <w:textAlignment w:val="baseline"/>
        <w:rPr>
          <w:rFonts w:ascii="Times New Roman" w:eastAsia="Calibri" w:hAnsi="Times New Roman" w:cs="Times New Roman"/>
          <w:sz w:val="24"/>
          <w:szCs w:val="28"/>
        </w:rPr>
      </w:pPr>
      <w:r w:rsidRPr="008E4EB0">
        <w:rPr>
          <w:rFonts w:ascii="Times New Roman" w:eastAsia="Calibri" w:hAnsi="Times New Roman" w:cs="Times New Roman"/>
          <w:sz w:val="24"/>
          <w:szCs w:val="28"/>
        </w:rPr>
        <w:t>resursu izmaksu samazināšana.</w:t>
      </w:r>
    </w:p>
    <w:p w14:paraId="1F54FC8A" w14:textId="7B5DCB13" w:rsidR="0081787F" w:rsidRPr="008E4EB0" w:rsidRDefault="0081787F" w:rsidP="0081787F">
      <w:pPr>
        <w:shd w:val="clear" w:color="auto" w:fill="FFFFFF"/>
        <w:suppressAutoHyphens/>
        <w:autoSpaceDN w:val="0"/>
        <w:spacing w:after="0" w:line="240" w:lineRule="auto"/>
        <w:ind w:left="720"/>
        <w:jc w:val="both"/>
        <w:textAlignment w:val="baseline"/>
        <w:rPr>
          <w:rFonts w:ascii="Times New Roman" w:eastAsia="Calibri" w:hAnsi="Times New Roman" w:cs="Times New Roman"/>
          <w:sz w:val="24"/>
          <w:szCs w:val="28"/>
        </w:rPr>
      </w:pPr>
    </w:p>
    <w:p w14:paraId="1A69019E" w14:textId="06FBE36E" w:rsidR="0081787F" w:rsidRPr="008E4EB0" w:rsidRDefault="0081787F" w:rsidP="0081787F">
      <w:pPr>
        <w:shd w:val="clear" w:color="auto" w:fill="FFFFFF"/>
        <w:suppressAutoHyphens/>
        <w:autoSpaceDN w:val="0"/>
        <w:spacing w:after="0" w:line="240" w:lineRule="auto"/>
        <w:ind w:firstLine="851"/>
        <w:jc w:val="both"/>
        <w:textAlignment w:val="baseline"/>
        <w:rPr>
          <w:rFonts w:ascii="Times New Roman" w:eastAsia="Times New Roman" w:hAnsi="Times New Roman" w:cs="Times New Roman"/>
          <w:color w:val="000000"/>
          <w:sz w:val="24"/>
          <w:szCs w:val="24"/>
          <w:lang w:eastAsia="lv-LV"/>
        </w:rPr>
      </w:pPr>
      <w:r w:rsidRPr="008E4EB0">
        <w:rPr>
          <w:rFonts w:ascii="Times New Roman" w:eastAsia="Times New Roman" w:hAnsi="Times New Roman" w:cs="Times New Roman"/>
          <w:color w:val="000000"/>
          <w:sz w:val="24"/>
          <w:szCs w:val="24"/>
          <w:lang w:eastAsia="lv-LV"/>
        </w:rPr>
        <w:t>Lai nodrošināto energoefektivitātes mērķu sasniegšanu ES fondu 2014. – 2020. gada plānošanas periodā ir jāīsteno sekojošas aktivitātes:</w:t>
      </w:r>
    </w:p>
    <w:p w14:paraId="0850B9D9" w14:textId="77777777" w:rsidR="00D64CF6" w:rsidRPr="008E4EB0" w:rsidRDefault="00D64CF6" w:rsidP="00BF58E9">
      <w:pPr>
        <w:shd w:val="clear" w:color="auto" w:fill="FFFFFF"/>
        <w:suppressAutoHyphens/>
        <w:autoSpaceDN w:val="0"/>
        <w:spacing w:after="0" w:line="240" w:lineRule="auto"/>
        <w:ind w:left="567"/>
        <w:jc w:val="both"/>
        <w:textAlignment w:val="baseline"/>
        <w:rPr>
          <w:rFonts w:ascii="Times New Roman" w:eastAsia="Times New Roman" w:hAnsi="Times New Roman" w:cs="Times New Roman"/>
          <w:color w:val="000000"/>
          <w:sz w:val="24"/>
          <w:szCs w:val="24"/>
          <w:lang w:eastAsia="lv-LV"/>
        </w:rPr>
      </w:pPr>
    </w:p>
    <w:p w14:paraId="496FC8D0" w14:textId="48309F53" w:rsidR="0081787F" w:rsidRPr="008E4EB0" w:rsidRDefault="00293C0B" w:rsidP="00D9693B">
      <w:pPr>
        <w:numPr>
          <w:ilvl w:val="0"/>
          <w:numId w:val="34"/>
        </w:numPr>
        <w:shd w:val="clear" w:color="auto" w:fill="FFFFFF"/>
        <w:suppressAutoHyphens/>
        <w:autoSpaceDN w:val="0"/>
        <w:spacing w:after="0" w:line="240" w:lineRule="auto"/>
        <w:ind w:left="567" w:hanging="425"/>
        <w:jc w:val="both"/>
        <w:textAlignment w:val="baseline"/>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Nepieciešams izveidot</w:t>
      </w:r>
      <w:r w:rsidRPr="008E4EB0">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 xml:space="preserve">finanšu instrumentu, kas būtu piemērots </w:t>
      </w:r>
      <w:r w:rsidRPr="00293C0B">
        <w:rPr>
          <w:rFonts w:ascii="Times New Roman" w:eastAsia="Times New Roman" w:hAnsi="Times New Roman" w:cs="Times New Roman"/>
          <w:color w:val="000000"/>
          <w:sz w:val="24"/>
          <w:szCs w:val="24"/>
          <w:lang w:eastAsia="lv-LV"/>
        </w:rPr>
        <w:t>gadījum</w:t>
      </w:r>
      <w:r>
        <w:rPr>
          <w:rFonts w:ascii="Times New Roman" w:eastAsia="Times New Roman" w:hAnsi="Times New Roman" w:cs="Times New Roman"/>
          <w:color w:val="000000"/>
          <w:sz w:val="24"/>
          <w:szCs w:val="24"/>
          <w:lang w:eastAsia="lv-LV"/>
        </w:rPr>
        <w:t>iem</w:t>
      </w:r>
      <w:r w:rsidRPr="00293C0B">
        <w:rPr>
          <w:rFonts w:ascii="Times New Roman" w:eastAsia="Times New Roman" w:hAnsi="Times New Roman" w:cs="Times New Roman"/>
          <w:color w:val="000000"/>
          <w:sz w:val="24"/>
          <w:szCs w:val="24"/>
          <w:lang w:eastAsia="lv-LV"/>
        </w:rPr>
        <w:t>, ja daudzdzīvokļu dzīvojamai mājai ir nepieciešams veikt ieguldījumus dzīvojamās mājas uzturēšanai</w:t>
      </w:r>
      <w:r>
        <w:rPr>
          <w:rFonts w:ascii="Times New Roman" w:eastAsia="Times New Roman" w:hAnsi="Times New Roman" w:cs="Times New Roman"/>
          <w:color w:val="000000"/>
          <w:sz w:val="24"/>
          <w:szCs w:val="24"/>
          <w:lang w:eastAsia="lv-LV"/>
        </w:rPr>
        <w:t xml:space="preserve"> vai energoefektivitātes pasākumu veikšanai</w:t>
      </w:r>
      <w:r w:rsidRPr="00293C0B">
        <w:rPr>
          <w:rFonts w:ascii="Times New Roman" w:eastAsia="Times New Roman" w:hAnsi="Times New Roman" w:cs="Times New Roman"/>
          <w:color w:val="000000"/>
          <w:sz w:val="24"/>
          <w:szCs w:val="24"/>
          <w:lang w:eastAsia="lv-LV"/>
        </w:rPr>
        <w:t>, taču nav veikts pietiekamā apjomā (vai nav vispār veikts) maksājums uzkrājuma fondā.</w:t>
      </w:r>
      <w:r>
        <w:rPr>
          <w:rFonts w:ascii="Times New Roman" w:eastAsia="Times New Roman" w:hAnsi="Times New Roman" w:cs="Times New Roman"/>
          <w:color w:val="000000"/>
          <w:sz w:val="24"/>
          <w:szCs w:val="24"/>
          <w:lang w:eastAsia="lv-LV"/>
        </w:rPr>
        <w:t xml:space="preserve"> Šāda fonda uzturēšana varētu tikt nodota Altum.</w:t>
      </w:r>
    </w:p>
    <w:p w14:paraId="4BF78BC9" w14:textId="77777777" w:rsidR="002C142E" w:rsidRPr="008E4EB0" w:rsidRDefault="002C142E" w:rsidP="00D64CF6">
      <w:pPr>
        <w:shd w:val="clear" w:color="auto" w:fill="FFFFFF"/>
        <w:suppressAutoHyphens/>
        <w:autoSpaceDN w:val="0"/>
        <w:spacing w:after="0" w:line="240" w:lineRule="auto"/>
        <w:ind w:left="567"/>
        <w:jc w:val="both"/>
        <w:textAlignment w:val="baseline"/>
        <w:rPr>
          <w:rFonts w:ascii="Times New Roman" w:eastAsia="Times New Roman" w:hAnsi="Times New Roman" w:cs="Times New Roman"/>
          <w:color w:val="000000"/>
          <w:sz w:val="24"/>
          <w:szCs w:val="24"/>
          <w:lang w:eastAsia="lv-LV"/>
        </w:rPr>
      </w:pPr>
    </w:p>
    <w:p w14:paraId="6077B92A" w14:textId="3B09BE78" w:rsidR="0081787F" w:rsidRPr="008E4EB0" w:rsidRDefault="0081787F" w:rsidP="00D9693B">
      <w:pPr>
        <w:numPr>
          <w:ilvl w:val="0"/>
          <w:numId w:val="34"/>
        </w:numPr>
        <w:shd w:val="clear" w:color="auto" w:fill="FFFFFF"/>
        <w:suppressAutoHyphens/>
        <w:autoSpaceDN w:val="0"/>
        <w:spacing w:after="0" w:line="240" w:lineRule="auto"/>
        <w:ind w:left="567" w:hanging="425"/>
        <w:jc w:val="both"/>
        <w:textAlignment w:val="baseline"/>
        <w:rPr>
          <w:rFonts w:ascii="Times New Roman" w:eastAsia="Times New Roman" w:hAnsi="Times New Roman" w:cs="Times New Roman"/>
          <w:color w:val="000000"/>
          <w:sz w:val="24"/>
          <w:szCs w:val="24"/>
          <w:lang w:eastAsia="lv-LV"/>
        </w:rPr>
      </w:pPr>
      <w:r w:rsidRPr="008E4EB0">
        <w:rPr>
          <w:rFonts w:ascii="Times New Roman" w:eastAsia="Times New Roman" w:hAnsi="Times New Roman" w:cs="Times New Roman"/>
          <w:color w:val="000000"/>
          <w:sz w:val="24"/>
          <w:szCs w:val="24"/>
          <w:lang w:eastAsia="lv-LV"/>
        </w:rPr>
        <w:t xml:space="preserve">Jāveicina </w:t>
      </w:r>
      <w:r w:rsidR="00527F18">
        <w:rPr>
          <w:rFonts w:ascii="Times New Roman" w:eastAsia="Times New Roman" w:hAnsi="Times New Roman" w:cs="Times New Roman"/>
          <w:color w:val="000000"/>
          <w:sz w:val="24"/>
          <w:szCs w:val="24"/>
          <w:lang w:eastAsia="lv-LV"/>
        </w:rPr>
        <w:t xml:space="preserve">ESKO </w:t>
      </w:r>
      <w:r w:rsidR="00527F18" w:rsidRPr="008E4EB0">
        <w:rPr>
          <w:rFonts w:ascii="Times New Roman" w:eastAsia="Times New Roman" w:hAnsi="Times New Roman" w:cs="Times New Roman"/>
          <w:color w:val="000000"/>
          <w:sz w:val="24"/>
          <w:szCs w:val="24"/>
          <w:lang w:eastAsia="lv-LV"/>
        </w:rPr>
        <w:t xml:space="preserve"> </w:t>
      </w:r>
      <w:r w:rsidRPr="008E4EB0">
        <w:rPr>
          <w:rFonts w:ascii="Times New Roman" w:eastAsia="Times New Roman" w:hAnsi="Times New Roman" w:cs="Times New Roman"/>
          <w:color w:val="000000"/>
          <w:sz w:val="24"/>
          <w:szCs w:val="24"/>
          <w:lang w:eastAsia="lv-LV"/>
        </w:rPr>
        <w:t xml:space="preserve">(projektu vadības grupa, kura nodrošina daudzdzīvokļu māju energoefektivitātes projekta vadību, nodrošinot šādus ekspertus: neatkarīgu ekspertu ēku energoefektivitātes jomā (energoauditoru), projektētāju, būvuzraugu, kuri atbilstoši savai kompetencei nodrošina, lai energoefektivitātes projekts tiktu sagatavots un ieviests atbilstoši iedzīvotāju vēlmēm un normatīvo aktu prasībām būvniecības un ēku energoefektivitātes jomā, kā arī tiktu sasniegts plānotais enerģijas ietaupījuma līmenis pēc </w:t>
      </w:r>
      <w:r w:rsidR="00CE0F55" w:rsidRPr="008E4EB0">
        <w:rPr>
          <w:rFonts w:ascii="Times New Roman" w:eastAsia="Times New Roman" w:hAnsi="Times New Roman" w:cs="Times New Roman"/>
          <w:color w:val="000000"/>
          <w:sz w:val="24"/>
          <w:szCs w:val="24"/>
          <w:lang w:eastAsia="lv-LV"/>
        </w:rPr>
        <w:t>atjaunošanas</w:t>
      </w:r>
      <w:r w:rsidRPr="008E4EB0">
        <w:rPr>
          <w:rFonts w:ascii="Times New Roman" w:eastAsia="Times New Roman" w:hAnsi="Times New Roman" w:cs="Times New Roman"/>
          <w:color w:val="000000"/>
          <w:sz w:val="24"/>
          <w:szCs w:val="24"/>
          <w:lang w:eastAsia="lv-LV"/>
        </w:rPr>
        <w:t xml:space="preserve"> projekta pabeigšanas) pakalpojuma veidošan</w:t>
      </w:r>
      <w:r w:rsidR="00293C0B">
        <w:rPr>
          <w:rFonts w:ascii="Times New Roman" w:eastAsia="Times New Roman" w:hAnsi="Times New Roman" w:cs="Times New Roman"/>
          <w:color w:val="000000"/>
          <w:sz w:val="24"/>
          <w:szCs w:val="24"/>
          <w:lang w:eastAsia="lv-LV"/>
        </w:rPr>
        <w:t>ā</w:t>
      </w:r>
      <w:r w:rsidRPr="008E4EB0">
        <w:rPr>
          <w:rFonts w:ascii="Times New Roman" w:eastAsia="Times New Roman" w:hAnsi="Times New Roman" w:cs="Times New Roman"/>
          <w:color w:val="000000"/>
          <w:sz w:val="24"/>
          <w:szCs w:val="24"/>
          <w:lang w:eastAsia="lv-LV"/>
        </w:rPr>
        <w:t xml:space="preserve">s. </w:t>
      </w:r>
      <w:r w:rsidR="00EC7718">
        <w:rPr>
          <w:rFonts w:ascii="Times New Roman" w:eastAsia="Times New Roman" w:hAnsi="Times New Roman" w:cs="Times New Roman"/>
          <w:color w:val="000000"/>
          <w:sz w:val="24"/>
          <w:szCs w:val="24"/>
          <w:lang w:eastAsia="lv-LV"/>
        </w:rPr>
        <w:t>ESKO</w:t>
      </w:r>
      <w:r w:rsidR="00EC7718" w:rsidRPr="008E4EB0">
        <w:rPr>
          <w:rFonts w:ascii="Times New Roman" w:eastAsia="Times New Roman" w:hAnsi="Times New Roman" w:cs="Times New Roman"/>
          <w:color w:val="000000"/>
          <w:sz w:val="24"/>
          <w:szCs w:val="24"/>
          <w:lang w:eastAsia="lv-LV"/>
        </w:rPr>
        <w:t xml:space="preserve"> </w:t>
      </w:r>
      <w:r w:rsidRPr="008E4EB0">
        <w:rPr>
          <w:rFonts w:ascii="Times New Roman" w:eastAsia="Times New Roman" w:hAnsi="Times New Roman" w:cs="Times New Roman"/>
          <w:color w:val="000000"/>
          <w:sz w:val="24"/>
          <w:szCs w:val="24"/>
          <w:lang w:eastAsia="lv-LV"/>
        </w:rPr>
        <w:t>ar bankas garantiju vai apdrošināšanas polisi atbild par projekta ietvaros sasniedzamo energoefektivitātes līmeni.</w:t>
      </w:r>
      <w:r w:rsidRPr="008E4EB0">
        <w:rPr>
          <w:rFonts w:ascii="Times New Roman" w:eastAsia="Times New Roman" w:hAnsi="Times New Roman" w:cs="Times New Roman"/>
          <w:b/>
          <w:bCs/>
          <w:color w:val="000000"/>
          <w:sz w:val="24"/>
          <w:szCs w:val="24"/>
          <w:lang w:eastAsia="lv-LV"/>
        </w:rPr>
        <w:t xml:space="preserve"> </w:t>
      </w:r>
      <w:r w:rsidR="00EC7718">
        <w:rPr>
          <w:rFonts w:ascii="Times New Roman" w:eastAsia="Times New Roman" w:hAnsi="Times New Roman" w:cs="Times New Roman"/>
          <w:bCs/>
          <w:color w:val="000000"/>
          <w:sz w:val="24"/>
          <w:szCs w:val="24"/>
          <w:lang w:eastAsia="lv-LV"/>
        </w:rPr>
        <w:t>ESKO</w:t>
      </w:r>
      <w:r w:rsidR="00EC7718" w:rsidRPr="008E4EB0">
        <w:rPr>
          <w:rFonts w:ascii="Times New Roman" w:eastAsia="Times New Roman" w:hAnsi="Times New Roman" w:cs="Times New Roman"/>
          <w:bCs/>
          <w:color w:val="000000"/>
          <w:sz w:val="24"/>
          <w:szCs w:val="24"/>
          <w:lang w:eastAsia="lv-LV"/>
        </w:rPr>
        <w:t xml:space="preserve"> </w:t>
      </w:r>
      <w:r w:rsidRPr="008E4EB0">
        <w:rPr>
          <w:rFonts w:ascii="Times New Roman" w:eastAsia="Times New Roman" w:hAnsi="Times New Roman" w:cs="Times New Roman"/>
          <w:bCs/>
          <w:color w:val="000000"/>
          <w:sz w:val="24"/>
          <w:szCs w:val="24"/>
          <w:lang w:eastAsia="lv-LV"/>
        </w:rPr>
        <w:t xml:space="preserve">atmaksā daudzdzīvokļu māju iedzīvotājiem radītos zaudējumus, ja pēc </w:t>
      </w:r>
      <w:r w:rsidR="00CE0F55" w:rsidRPr="008E4EB0">
        <w:rPr>
          <w:rFonts w:ascii="Times New Roman" w:eastAsia="Times New Roman" w:hAnsi="Times New Roman" w:cs="Times New Roman"/>
          <w:bCs/>
          <w:color w:val="000000"/>
          <w:sz w:val="24"/>
          <w:szCs w:val="24"/>
          <w:lang w:eastAsia="lv-LV"/>
        </w:rPr>
        <w:t>atjaunošanas</w:t>
      </w:r>
      <w:r w:rsidRPr="008E4EB0">
        <w:rPr>
          <w:rFonts w:ascii="Times New Roman" w:eastAsia="Times New Roman" w:hAnsi="Times New Roman" w:cs="Times New Roman"/>
          <w:bCs/>
          <w:color w:val="000000"/>
          <w:sz w:val="24"/>
          <w:szCs w:val="24"/>
          <w:lang w:eastAsia="lv-LV"/>
        </w:rPr>
        <w:t xml:space="preserve"> projekta pabeigšanas netiek sasniegts noteiktais energotaupības līmenis. </w:t>
      </w:r>
    </w:p>
    <w:p w14:paraId="7B092088" w14:textId="6B787B15" w:rsidR="002C142E" w:rsidRPr="008E4EB0" w:rsidRDefault="002C142E" w:rsidP="00D64CF6">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lv-LV"/>
        </w:rPr>
      </w:pPr>
    </w:p>
    <w:p w14:paraId="6C0765C9" w14:textId="569CEB09" w:rsidR="0081787F" w:rsidRPr="008E4EB0" w:rsidRDefault="00293C0B" w:rsidP="00D9693B">
      <w:pPr>
        <w:numPr>
          <w:ilvl w:val="0"/>
          <w:numId w:val="34"/>
        </w:numPr>
        <w:shd w:val="clear" w:color="auto" w:fill="FFFFFF"/>
        <w:suppressAutoHyphens/>
        <w:autoSpaceDN w:val="0"/>
        <w:spacing w:after="0" w:line="240" w:lineRule="auto"/>
        <w:ind w:left="567" w:hanging="425"/>
        <w:jc w:val="both"/>
        <w:textAlignment w:val="baseline"/>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Nepieciešams turpināt</w:t>
      </w:r>
      <w:r w:rsidRPr="008E4EB0">
        <w:rPr>
          <w:rFonts w:ascii="Times New Roman" w:eastAsia="Times New Roman" w:hAnsi="Times New Roman" w:cs="Times New Roman"/>
          <w:color w:val="000000"/>
          <w:sz w:val="24"/>
          <w:szCs w:val="24"/>
          <w:lang w:eastAsia="lv-LV"/>
        </w:rPr>
        <w:t xml:space="preserve"> </w:t>
      </w:r>
      <w:r w:rsidR="0081787F" w:rsidRPr="008E4EB0">
        <w:rPr>
          <w:rFonts w:ascii="Times New Roman" w:eastAsia="Times New Roman" w:hAnsi="Times New Roman" w:cs="Times New Roman"/>
          <w:color w:val="000000"/>
          <w:sz w:val="24"/>
          <w:szCs w:val="24"/>
          <w:lang w:eastAsia="lv-LV"/>
        </w:rPr>
        <w:t>izglītot potenciālos projektu iesniedzējus un projektu īstenotājus informatīvās kampaņas „Dzīvo siltāk” ietvaros, tai skaitā organizējot izglītojošus seminārus un konferences energoefektivitātes jomā ne tikai daudzdzīvokļu māju sektorā, bet arī publiskajā sektorā. Jānodrošina metodiskie materiāli  par projekta sagatavošanas un ieviešanas jautājumiem, kā arī par ēkas ekspluatāciju pēc energoefektivitātes projekta pabeigšanas.</w:t>
      </w:r>
    </w:p>
    <w:p w14:paraId="72D8AE94" w14:textId="77777777" w:rsidR="0081787F" w:rsidRPr="008E4EB0" w:rsidRDefault="0081787F" w:rsidP="0081787F">
      <w:pPr>
        <w:shd w:val="clear" w:color="auto" w:fill="FFFFFF"/>
        <w:suppressAutoHyphens/>
        <w:autoSpaceDN w:val="0"/>
        <w:spacing w:after="0" w:line="240" w:lineRule="auto"/>
        <w:ind w:firstLine="300"/>
        <w:jc w:val="both"/>
        <w:textAlignment w:val="baseline"/>
        <w:rPr>
          <w:rFonts w:ascii="Times New Roman" w:eastAsia="Times New Roman" w:hAnsi="Times New Roman" w:cs="Times New Roman"/>
          <w:sz w:val="24"/>
          <w:szCs w:val="24"/>
          <w:lang w:eastAsia="lv-LV"/>
        </w:rPr>
      </w:pPr>
    </w:p>
    <w:p w14:paraId="7DAE4698" w14:textId="5EFFBB84" w:rsidR="0081787F" w:rsidRPr="008E4EB0" w:rsidRDefault="0081787F" w:rsidP="0081787F">
      <w:pPr>
        <w:shd w:val="clear" w:color="auto" w:fill="FFFFFF"/>
        <w:suppressAutoHyphens/>
        <w:autoSpaceDN w:val="0"/>
        <w:spacing w:after="0" w:line="240" w:lineRule="auto"/>
        <w:ind w:left="300" w:firstLine="551"/>
        <w:jc w:val="both"/>
        <w:textAlignment w:val="baseline"/>
        <w:rPr>
          <w:rFonts w:ascii="Times New Roman" w:eastAsia="Times New Roman" w:hAnsi="Times New Roman" w:cs="Times New Roman"/>
          <w:sz w:val="24"/>
          <w:szCs w:val="24"/>
          <w:lang w:eastAsia="lv-LV"/>
        </w:rPr>
      </w:pPr>
      <w:r w:rsidRPr="008E4EB0">
        <w:rPr>
          <w:rFonts w:ascii="Times New Roman" w:eastAsia="Times New Roman" w:hAnsi="Times New Roman" w:cs="Times New Roman"/>
          <w:sz w:val="24"/>
          <w:szCs w:val="24"/>
          <w:lang w:eastAsia="lv-LV"/>
        </w:rPr>
        <w:t>Papildus, lai veicinātu ēku energoefektivitāti, būs jāīsteno arī šādi politikas pasākumi:</w:t>
      </w:r>
    </w:p>
    <w:p w14:paraId="21D7258A" w14:textId="1B1EB44D" w:rsidR="0081787F" w:rsidRPr="008E4EB0" w:rsidRDefault="0081787F" w:rsidP="00D9693B">
      <w:pPr>
        <w:numPr>
          <w:ilvl w:val="0"/>
          <w:numId w:val="35"/>
        </w:numPr>
        <w:shd w:val="clear" w:color="auto" w:fill="FFFFFF"/>
        <w:suppressAutoHyphens/>
        <w:autoSpaceDN w:val="0"/>
        <w:spacing w:after="0" w:line="240" w:lineRule="auto"/>
        <w:ind w:left="567" w:hanging="425"/>
        <w:jc w:val="both"/>
        <w:textAlignment w:val="baseline"/>
        <w:rPr>
          <w:rFonts w:ascii="Times New Roman" w:eastAsia="Times New Roman" w:hAnsi="Times New Roman" w:cs="Times New Roman"/>
          <w:color w:val="000000"/>
          <w:sz w:val="24"/>
          <w:szCs w:val="24"/>
          <w:lang w:eastAsia="lv-LV"/>
        </w:rPr>
      </w:pPr>
      <w:r w:rsidRPr="008E4EB0">
        <w:rPr>
          <w:rFonts w:ascii="Times New Roman" w:eastAsia="Times New Roman" w:hAnsi="Times New Roman" w:cs="Times New Roman"/>
          <w:color w:val="000000"/>
          <w:sz w:val="24"/>
          <w:szCs w:val="24"/>
          <w:lang w:eastAsia="lv-LV"/>
        </w:rPr>
        <w:t>Regulāri jāpārskata  minimālās ēku energoefektivitātes prasības (ēkas ārējo norobežojošo konstrukciju būvelementiem un ēku inženiertehniskajām sistēmām). Minimālās ēku energoefektivitātes prasības jānosaka, lai panāktu izmaksu ziņā optimālu līdzsvaru starp finanšu ieguldījumiem un ēkas dzīves cikla laikā ietaupītajām enerģijas izmaksām.</w:t>
      </w:r>
      <w:r w:rsidR="00EC7718">
        <w:rPr>
          <w:rFonts w:ascii="Times New Roman" w:eastAsia="Times New Roman" w:hAnsi="Times New Roman" w:cs="Times New Roman"/>
          <w:color w:val="000000"/>
          <w:sz w:val="24"/>
          <w:szCs w:val="24"/>
          <w:lang w:eastAsia="lv-LV"/>
        </w:rPr>
        <w:t xml:space="preserve"> Šajos aprēķinos jāizvērtē ne tikai tipisku ēku </w:t>
      </w:r>
      <w:r w:rsidR="00A577FB">
        <w:rPr>
          <w:rFonts w:ascii="Times New Roman" w:eastAsia="Times New Roman" w:hAnsi="Times New Roman" w:cs="Times New Roman"/>
          <w:color w:val="000000"/>
          <w:sz w:val="24"/>
          <w:szCs w:val="24"/>
          <w:lang w:eastAsia="lv-LV"/>
        </w:rPr>
        <w:t xml:space="preserve">izmaksu ziņā optimālos līmeņus, bet arī energoneefektīvo ēku gadījumus, </w:t>
      </w:r>
      <w:r w:rsidR="00A577FB">
        <w:rPr>
          <w:rFonts w:ascii="Times New Roman" w:eastAsia="Times New Roman" w:hAnsi="Times New Roman" w:cs="Times New Roman"/>
          <w:color w:val="000000"/>
          <w:sz w:val="24"/>
          <w:szCs w:val="24"/>
          <w:lang w:eastAsia="lv-LV"/>
        </w:rPr>
        <w:lastRenderedPageBreak/>
        <w:t>kam ir ļoti ilgs atmaksāšanās termiņš, lai veicinātu samērīgu energoefektivitātes minimālo prasību izstrādi.</w:t>
      </w:r>
    </w:p>
    <w:p w14:paraId="548A3359" w14:textId="77777777" w:rsidR="002C142E" w:rsidRPr="008E4EB0" w:rsidRDefault="002C142E" w:rsidP="00D64CF6">
      <w:pPr>
        <w:shd w:val="clear" w:color="auto" w:fill="FFFFFF"/>
        <w:suppressAutoHyphens/>
        <w:autoSpaceDN w:val="0"/>
        <w:spacing w:after="0" w:line="240" w:lineRule="auto"/>
        <w:ind w:left="567"/>
        <w:jc w:val="both"/>
        <w:textAlignment w:val="baseline"/>
        <w:rPr>
          <w:rFonts w:ascii="Times New Roman" w:eastAsia="Times New Roman" w:hAnsi="Times New Roman" w:cs="Times New Roman"/>
          <w:color w:val="000000"/>
          <w:sz w:val="24"/>
          <w:szCs w:val="24"/>
          <w:lang w:eastAsia="lv-LV"/>
        </w:rPr>
      </w:pPr>
    </w:p>
    <w:p w14:paraId="55C7DD66" w14:textId="6B62423E" w:rsidR="0081787F" w:rsidRDefault="0081787F" w:rsidP="00D9693B">
      <w:pPr>
        <w:numPr>
          <w:ilvl w:val="0"/>
          <w:numId w:val="35"/>
        </w:numPr>
        <w:shd w:val="clear" w:color="auto" w:fill="FFFFFF"/>
        <w:suppressAutoHyphens/>
        <w:autoSpaceDN w:val="0"/>
        <w:spacing w:after="0" w:line="240" w:lineRule="auto"/>
        <w:ind w:left="567" w:hanging="425"/>
        <w:jc w:val="both"/>
        <w:textAlignment w:val="baseline"/>
        <w:rPr>
          <w:rFonts w:ascii="Times New Roman" w:eastAsia="Times New Roman" w:hAnsi="Times New Roman" w:cs="Times New Roman"/>
          <w:color w:val="000000"/>
          <w:sz w:val="24"/>
          <w:szCs w:val="24"/>
          <w:lang w:eastAsia="lv-LV"/>
        </w:rPr>
      </w:pPr>
      <w:r w:rsidRPr="008E4EB0">
        <w:rPr>
          <w:rFonts w:ascii="Times New Roman" w:eastAsia="Times New Roman" w:hAnsi="Times New Roman" w:cs="Times New Roman"/>
          <w:color w:val="000000"/>
          <w:sz w:val="24"/>
          <w:szCs w:val="24"/>
          <w:lang w:eastAsia="lv-LV"/>
        </w:rPr>
        <w:t>Jāizstrādā atbalsta instrumenti gandrīz nulles enerģijas patēriņa ēku būvniecībai saskaņā ar Direktīvas 2010/31/ES 10.panta 1.punktu, kas nosaka, ka dalībvalstis, veic atbilstīgus pasākumus, lai izskatītu, kādi būtu attiecīgās valsts apstākļiem vispiemērotākie instrumenti</w:t>
      </w:r>
      <w:r w:rsidR="00BB6BD5">
        <w:rPr>
          <w:rFonts w:ascii="Times New Roman" w:eastAsia="Times New Roman" w:hAnsi="Times New Roman" w:cs="Times New Roman"/>
          <w:color w:val="000000"/>
          <w:sz w:val="24"/>
          <w:szCs w:val="24"/>
          <w:lang w:eastAsia="lv-LV"/>
        </w:rPr>
        <w:t xml:space="preserve">, lai </w:t>
      </w:r>
      <w:r w:rsidRPr="008E4EB0">
        <w:rPr>
          <w:rFonts w:ascii="Times New Roman" w:eastAsia="Times New Roman" w:hAnsi="Times New Roman" w:cs="Times New Roman"/>
          <w:color w:val="000000"/>
          <w:sz w:val="24"/>
          <w:szCs w:val="24"/>
          <w:lang w:eastAsia="lv-LV"/>
        </w:rPr>
        <w:t>nodrošinātu Direktīvas 2010/31/ES 9.panta izpildi</w:t>
      </w:r>
      <w:r w:rsidR="00BB6BD5">
        <w:rPr>
          <w:rFonts w:ascii="Times New Roman" w:eastAsia="Times New Roman" w:hAnsi="Times New Roman" w:cs="Times New Roman"/>
          <w:color w:val="000000"/>
          <w:sz w:val="24"/>
          <w:szCs w:val="24"/>
          <w:lang w:eastAsia="lv-LV"/>
        </w:rPr>
        <w:t xml:space="preserve">. Šis pants nosaka, ka </w:t>
      </w:r>
      <w:r w:rsidRPr="008E4EB0">
        <w:rPr>
          <w:rFonts w:ascii="Times New Roman" w:eastAsia="Times New Roman" w:hAnsi="Times New Roman" w:cs="Times New Roman"/>
          <w:color w:val="000000"/>
          <w:sz w:val="24"/>
          <w:szCs w:val="24"/>
          <w:lang w:eastAsia="lv-LV"/>
        </w:rPr>
        <w:t xml:space="preserve">pēc 2018.gada 31.decembra jaunās ēkas, kurās atrodas valsts iestādes un kuru īpašnieces ir valsts iestādes ir gandrīz nulles enerģijas ēkas un līdz 2020.gada 31.decembrim visas jaunās ēkas ir gandrīz nulles enerģijas ēkas, ja izmaksu un ieguvumu analīze attiecībā uz ēkas kalpošanas laiku norāda, ka tas </w:t>
      </w:r>
      <w:r w:rsidR="00BB6BD5">
        <w:rPr>
          <w:rFonts w:ascii="Times New Roman" w:eastAsia="Times New Roman" w:hAnsi="Times New Roman" w:cs="Times New Roman"/>
          <w:color w:val="000000"/>
          <w:sz w:val="24"/>
          <w:szCs w:val="24"/>
          <w:lang w:eastAsia="lv-LV"/>
        </w:rPr>
        <w:t xml:space="preserve">ir </w:t>
      </w:r>
      <w:r w:rsidRPr="008E4EB0">
        <w:rPr>
          <w:rFonts w:ascii="Times New Roman" w:eastAsia="Times New Roman" w:hAnsi="Times New Roman" w:cs="Times New Roman"/>
          <w:color w:val="000000"/>
          <w:sz w:val="24"/>
          <w:szCs w:val="24"/>
          <w:lang w:eastAsia="lv-LV"/>
        </w:rPr>
        <w:t>ekonomiski pamatoti.</w:t>
      </w:r>
    </w:p>
    <w:p w14:paraId="21A82034" w14:textId="4E7F59F5" w:rsidR="0081787F" w:rsidRPr="008E4EB0" w:rsidRDefault="0081787F" w:rsidP="0081787F">
      <w:pPr>
        <w:spacing w:after="0" w:line="240" w:lineRule="auto"/>
        <w:ind w:firstLine="851"/>
        <w:jc w:val="both"/>
        <w:rPr>
          <w:rFonts w:ascii="Times New Roman" w:eastAsia="Calibri" w:hAnsi="Times New Roman" w:cs="Times New Roman"/>
          <w:sz w:val="24"/>
          <w:szCs w:val="24"/>
        </w:rPr>
      </w:pPr>
    </w:p>
    <w:p w14:paraId="16A1A157" w14:textId="5873F875" w:rsidR="00A574D8" w:rsidRPr="008E4EB0" w:rsidRDefault="00A574D8" w:rsidP="00A574D8">
      <w:pPr>
        <w:spacing w:after="0" w:line="240" w:lineRule="auto"/>
        <w:ind w:firstLine="851"/>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 xml:space="preserve">Latvijas energoefektivitātes mērķa struktūra atbilstoši direktīvas izvirzītajām prasībām parādīta </w:t>
      </w:r>
      <w:r w:rsidR="00F749EA" w:rsidRPr="008E4EB0">
        <w:rPr>
          <w:rFonts w:ascii="Times New Roman" w:eastAsia="Calibri" w:hAnsi="Times New Roman" w:cs="Times New Roman"/>
          <w:sz w:val="24"/>
          <w:szCs w:val="24"/>
        </w:rPr>
        <w:t>2</w:t>
      </w:r>
      <w:r w:rsidR="00F749EA">
        <w:rPr>
          <w:rFonts w:ascii="Times New Roman" w:eastAsia="Calibri" w:hAnsi="Times New Roman" w:cs="Times New Roman"/>
          <w:sz w:val="24"/>
          <w:szCs w:val="24"/>
        </w:rPr>
        <w:t>3</w:t>
      </w:r>
      <w:r w:rsidRPr="008E4EB0">
        <w:rPr>
          <w:rFonts w:ascii="Times New Roman" w:eastAsia="Calibri" w:hAnsi="Times New Roman" w:cs="Times New Roman"/>
          <w:sz w:val="24"/>
          <w:szCs w:val="24"/>
        </w:rPr>
        <w:t>.tabulā.</w:t>
      </w:r>
    </w:p>
    <w:p w14:paraId="51B7318A" w14:textId="77777777" w:rsidR="00A574D8" w:rsidRPr="008E4EB0" w:rsidRDefault="00A574D8" w:rsidP="00A574D8">
      <w:pPr>
        <w:tabs>
          <w:tab w:val="left" w:pos="2269"/>
        </w:tabs>
        <w:spacing w:after="0" w:line="240" w:lineRule="auto"/>
        <w:rPr>
          <w:rFonts w:ascii="Times New Roman" w:eastAsia="Calibri" w:hAnsi="Times New Roman" w:cs="Times New Roman"/>
          <w:sz w:val="24"/>
          <w:szCs w:val="24"/>
        </w:rPr>
      </w:pPr>
    </w:p>
    <w:p w14:paraId="7BF4580A" w14:textId="740F7CF6" w:rsidR="00A574D8" w:rsidRPr="008E4EB0" w:rsidRDefault="00F749EA" w:rsidP="00A574D8">
      <w:pPr>
        <w:tabs>
          <w:tab w:val="left" w:pos="2269"/>
        </w:tabs>
        <w:spacing w:after="0" w:line="240" w:lineRule="auto"/>
        <w:jc w:val="center"/>
        <w:rPr>
          <w:rFonts w:ascii="Times New Roman" w:eastAsia="Calibri" w:hAnsi="Times New Roman" w:cs="Times New Roman"/>
          <w:sz w:val="24"/>
          <w:szCs w:val="24"/>
        </w:rPr>
      </w:pPr>
      <w:r w:rsidRPr="008E4EB0">
        <w:rPr>
          <w:rFonts w:ascii="Times New Roman" w:eastAsia="Calibri" w:hAnsi="Times New Roman" w:cs="Times New Roman"/>
          <w:sz w:val="24"/>
          <w:szCs w:val="24"/>
        </w:rPr>
        <w:t>2</w:t>
      </w:r>
      <w:r>
        <w:rPr>
          <w:rFonts w:ascii="Times New Roman" w:eastAsia="Calibri" w:hAnsi="Times New Roman" w:cs="Times New Roman"/>
          <w:sz w:val="24"/>
          <w:szCs w:val="24"/>
        </w:rPr>
        <w:t>3</w:t>
      </w:r>
      <w:r w:rsidR="00A574D8" w:rsidRPr="008E4EB0">
        <w:rPr>
          <w:rFonts w:ascii="Times New Roman" w:eastAsia="Calibri" w:hAnsi="Times New Roman" w:cs="Times New Roman"/>
          <w:sz w:val="24"/>
          <w:szCs w:val="24"/>
        </w:rPr>
        <w:t>.tabula. Latvijas ēku energoefektivitātes ilgtermiņa mērķi</w:t>
      </w:r>
    </w:p>
    <w:p w14:paraId="67E280D3" w14:textId="77777777" w:rsidR="00A574D8" w:rsidRPr="008E4EB0" w:rsidRDefault="00A574D8" w:rsidP="00A574D8">
      <w:pPr>
        <w:spacing w:after="0" w:line="240" w:lineRule="auto"/>
        <w:contextualSpacing/>
        <w:rPr>
          <w:rFonts w:ascii="Times New Roman" w:eastAsia="Calibri" w:hAnsi="Times New Roman" w:cs="Times New Roman"/>
          <w:sz w:val="24"/>
          <w:szCs w:val="24"/>
          <w:highlight w:val="yellow"/>
        </w:r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3544"/>
        <w:gridCol w:w="2126"/>
        <w:gridCol w:w="992"/>
      </w:tblGrid>
      <w:tr w:rsidR="00A574D8" w:rsidRPr="008E4EB0" w14:paraId="7697160B" w14:textId="77777777" w:rsidTr="00B00F90">
        <w:tc>
          <w:tcPr>
            <w:tcW w:w="3403" w:type="dxa"/>
            <w:shd w:val="clear" w:color="auto" w:fill="auto"/>
            <w:vAlign w:val="center"/>
          </w:tcPr>
          <w:p w14:paraId="77750EF7" w14:textId="77777777" w:rsidR="00A574D8" w:rsidRPr="008E4EB0" w:rsidRDefault="00A574D8" w:rsidP="00B00F90">
            <w:pPr>
              <w:spacing w:after="0" w:line="240" w:lineRule="auto"/>
              <w:contextualSpacing/>
              <w:jc w:val="center"/>
              <w:rPr>
                <w:rFonts w:ascii="Times New Roman" w:eastAsia="Calibri" w:hAnsi="Times New Roman" w:cs="Times New Roman"/>
                <w:sz w:val="20"/>
              </w:rPr>
            </w:pPr>
            <w:r w:rsidRPr="008E4EB0">
              <w:rPr>
                <w:rFonts w:ascii="Times New Roman" w:eastAsia="Calibri" w:hAnsi="Times New Roman" w:cs="Times New Roman"/>
                <w:sz w:val="20"/>
              </w:rPr>
              <w:t>Mērķis</w:t>
            </w:r>
          </w:p>
        </w:tc>
        <w:tc>
          <w:tcPr>
            <w:tcW w:w="3544" w:type="dxa"/>
            <w:shd w:val="clear" w:color="auto" w:fill="auto"/>
            <w:vAlign w:val="center"/>
          </w:tcPr>
          <w:p w14:paraId="60CC24A5" w14:textId="77777777" w:rsidR="00A574D8" w:rsidRPr="008E4EB0" w:rsidRDefault="00A574D8" w:rsidP="00B00F90">
            <w:pPr>
              <w:spacing w:after="0" w:line="240" w:lineRule="auto"/>
              <w:contextualSpacing/>
              <w:jc w:val="center"/>
              <w:rPr>
                <w:rFonts w:ascii="Times New Roman" w:eastAsia="Calibri" w:hAnsi="Times New Roman" w:cs="Times New Roman"/>
                <w:sz w:val="20"/>
              </w:rPr>
            </w:pPr>
            <w:r w:rsidRPr="008E4EB0">
              <w:rPr>
                <w:rFonts w:ascii="Times New Roman" w:eastAsia="Calibri" w:hAnsi="Times New Roman" w:cs="Times New Roman"/>
                <w:sz w:val="20"/>
              </w:rPr>
              <w:t>Sasniedzami rādītāji</w:t>
            </w:r>
          </w:p>
        </w:tc>
        <w:tc>
          <w:tcPr>
            <w:tcW w:w="2126" w:type="dxa"/>
            <w:shd w:val="clear" w:color="auto" w:fill="auto"/>
            <w:vAlign w:val="center"/>
          </w:tcPr>
          <w:p w14:paraId="12A6C528" w14:textId="6CC877B4" w:rsidR="00A574D8" w:rsidRPr="008E4EB0" w:rsidRDefault="00A574D8" w:rsidP="00B00F90">
            <w:pPr>
              <w:spacing w:after="0" w:line="240" w:lineRule="auto"/>
              <w:contextualSpacing/>
              <w:jc w:val="center"/>
              <w:rPr>
                <w:rFonts w:ascii="Times New Roman" w:eastAsia="Calibri" w:hAnsi="Times New Roman" w:cs="Times New Roman"/>
                <w:sz w:val="20"/>
              </w:rPr>
            </w:pPr>
            <w:r w:rsidRPr="008E4EB0">
              <w:rPr>
                <w:rFonts w:ascii="Times New Roman" w:eastAsia="Calibri" w:hAnsi="Times New Roman" w:cs="Times New Roman"/>
                <w:sz w:val="20"/>
              </w:rPr>
              <w:t xml:space="preserve">Indikatīvais finansējums, </w:t>
            </w:r>
            <w:r w:rsidR="008E4EB0" w:rsidRPr="008E4EB0">
              <w:rPr>
                <w:rFonts w:ascii="Times New Roman" w:eastAsia="Calibri" w:hAnsi="Times New Roman" w:cs="Times New Roman"/>
                <w:i/>
                <w:sz w:val="20"/>
                <w:szCs w:val="24"/>
                <w:lang w:eastAsia="lv-LV"/>
              </w:rPr>
              <w:t>euro</w:t>
            </w:r>
          </w:p>
        </w:tc>
        <w:tc>
          <w:tcPr>
            <w:tcW w:w="992" w:type="dxa"/>
            <w:shd w:val="clear" w:color="auto" w:fill="auto"/>
            <w:vAlign w:val="center"/>
          </w:tcPr>
          <w:p w14:paraId="22E642A2" w14:textId="77777777" w:rsidR="00A574D8" w:rsidRPr="008E4EB0" w:rsidRDefault="00A574D8" w:rsidP="00B00F90">
            <w:pPr>
              <w:spacing w:after="0" w:line="240" w:lineRule="auto"/>
              <w:contextualSpacing/>
              <w:jc w:val="center"/>
              <w:rPr>
                <w:rFonts w:ascii="Times New Roman" w:eastAsia="Calibri" w:hAnsi="Times New Roman" w:cs="Times New Roman"/>
                <w:sz w:val="20"/>
              </w:rPr>
            </w:pPr>
            <w:r w:rsidRPr="008E4EB0">
              <w:rPr>
                <w:rFonts w:ascii="Times New Roman" w:eastAsia="Calibri" w:hAnsi="Times New Roman" w:cs="Times New Roman"/>
                <w:sz w:val="20"/>
              </w:rPr>
              <w:t>Izpildes termiņš</w:t>
            </w:r>
          </w:p>
        </w:tc>
      </w:tr>
      <w:tr w:rsidR="00A574D8" w:rsidRPr="008E4EB0" w14:paraId="509BB20D" w14:textId="77777777" w:rsidTr="00B00F90">
        <w:tc>
          <w:tcPr>
            <w:tcW w:w="3403" w:type="dxa"/>
            <w:shd w:val="clear" w:color="auto" w:fill="auto"/>
          </w:tcPr>
          <w:p w14:paraId="1D3591FE" w14:textId="43B53886" w:rsidR="00A574D8" w:rsidRPr="008E4EB0" w:rsidRDefault="00A574D8" w:rsidP="00B00F90">
            <w:pPr>
              <w:spacing w:after="0" w:line="240" w:lineRule="auto"/>
              <w:contextualSpacing/>
              <w:rPr>
                <w:rFonts w:ascii="Times New Roman" w:eastAsia="Calibri" w:hAnsi="Times New Roman" w:cs="Times New Roman"/>
                <w:sz w:val="20"/>
              </w:rPr>
            </w:pPr>
            <w:r w:rsidRPr="008E4EB0">
              <w:rPr>
                <w:rFonts w:ascii="Times New Roman" w:eastAsia="Calibri" w:hAnsi="Times New Roman" w:cs="Times New Roman"/>
                <w:sz w:val="20"/>
              </w:rPr>
              <w:t xml:space="preserve">Obligātā centrālās valdības ēku 3% platības </w:t>
            </w:r>
            <w:r w:rsidR="00CE0F55" w:rsidRPr="008E4EB0">
              <w:rPr>
                <w:rFonts w:ascii="Times New Roman" w:eastAsia="Calibri" w:hAnsi="Times New Roman" w:cs="Times New Roman"/>
                <w:sz w:val="20"/>
              </w:rPr>
              <w:t>atjaunošana</w:t>
            </w:r>
            <w:r w:rsidRPr="008E4EB0">
              <w:rPr>
                <w:rFonts w:ascii="Times New Roman" w:eastAsia="Calibri" w:hAnsi="Times New Roman" w:cs="Times New Roman"/>
                <w:sz w:val="20"/>
              </w:rPr>
              <w:t xml:space="preserve">,  pašvaldību, industriālo ēku un daudzdzīvokļu dzīvojamo ēku </w:t>
            </w:r>
            <w:r w:rsidR="00CE0F55" w:rsidRPr="008E4EB0">
              <w:rPr>
                <w:rFonts w:ascii="Times New Roman" w:eastAsia="Calibri" w:hAnsi="Times New Roman" w:cs="Times New Roman"/>
                <w:sz w:val="20"/>
              </w:rPr>
              <w:t>atjaunošana</w:t>
            </w:r>
            <w:r w:rsidRPr="008E4EB0">
              <w:rPr>
                <w:rFonts w:ascii="Times New Roman" w:eastAsia="Calibri" w:hAnsi="Times New Roman" w:cs="Times New Roman"/>
                <w:sz w:val="20"/>
              </w:rPr>
              <w:t xml:space="preserve"> (2014-2020.gada ES fondu plānošanas periods)</w:t>
            </w:r>
          </w:p>
          <w:p w14:paraId="2B2E89A1" w14:textId="77777777" w:rsidR="00A574D8" w:rsidRPr="008E4EB0" w:rsidRDefault="00A574D8" w:rsidP="00B00F90">
            <w:pPr>
              <w:spacing w:after="0" w:line="240" w:lineRule="auto"/>
              <w:contextualSpacing/>
              <w:rPr>
                <w:rFonts w:ascii="Times New Roman" w:eastAsia="Calibri" w:hAnsi="Times New Roman" w:cs="Times New Roman"/>
                <w:sz w:val="20"/>
              </w:rPr>
            </w:pPr>
          </w:p>
        </w:tc>
        <w:tc>
          <w:tcPr>
            <w:tcW w:w="3544" w:type="dxa"/>
            <w:shd w:val="clear" w:color="auto" w:fill="auto"/>
          </w:tcPr>
          <w:p w14:paraId="33629C7D" w14:textId="77777777" w:rsidR="00A574D8" w:rsidRPr="008E4EB0" w:rsidRDefault="00A574D8" w:rsidP="00B00F90">
            <w:pPr>
              <w:spacing w:after="0" w:line="240" w:lineRule="auto"/>
              <w:contextualSpacing/>
              <w:jc w:val="center"/>
              <w:rPr>
                <w:rFonts w:ascii="Times New Roman" w:eastAsia="Calibri" w:hAnsi="Times New Roman" w:cs="Times New Roman"/>
                <w:sz w:val="20"/>
              </w:rPr>
            </w:pPr>
            <w:r w:rsidRPr="008E4EB0">
              <w:rPr>
                <w:rFonts w:ascii="Times New Roman" w:eastAsia="Calibri" w:hAnsi="Times New Roman" w:cs="Times New Roman"/>
                <w:sz w:val="20"/>
              </w:rPr>
              <w:t>Ietaupījums 1 690 GWh gadā, vidējais siltumenerģijas patēriņš apkurei 120 kWh/m</w:t>
            </w:r>
            <w:r w:rsidRPr="008E4EB0">
              <w:rPr>
                <w:rFonts w:ascii="Times New Roman" w:eastAsia="Calibri" w:hAnsi="Times New Roman" w:cs="Times New Roman"/>
                <w:sz w:val="20"/>
                <w:vertAlign w:val="superscript"/>
              </w:rPr>
              <w:t>2</w:t>
            </w:r>
            <w:r w:rsidRPr="008E4EB0">
              <w:rPr>
                <w:rFonts w:ascii="Times New Roman" w:eastAsia="Calibri" w:hAnsi="Times New Roman" w:cs="Times New Roman"/>
                <w:sz w:val="20"/>
              </w:rPr>
              <w:t xml:space="preserve">  </w:t>
            </w:r>
          </w:p>
          <w:p w14:paraId="2B6372AC" w14:textId="77777777" w:rsidR="00A574D8" w:rsidRPr="008E4EB0" w:rsidRDefault="00A574D8" w:rsidP="00B00F90">
            <w:pPr>
              <w:spacing w:after="0" w:line="240" w:lineRule="auto"/>
              <w:contextualSpacing/>
              <w:jc w:val="center"/>
              <w:rPr>
                <w:rFonts w:ascii="Times New Roman" w:eastAsia="Calibri" w:hAnsi="Times New Roman" w:cs="Times New Roman"/>
                <w:sz w:val="20"/>
              </w:rPr>
            </w:pPr>
            <w:r w:rsidRPr="008E4EB0">
              <w:rPr>
                <w:rFonts w:ascii="Times New Roman" w:eastAsia="Calibri" w:hAnsi="Times New Roman" w:cs="Times New Roman"/>
                <w:sz w:val="20"/>
              </w:rPr>
              <w:t>Mājsaimniecību skaits ar uzlabotu energopatēriņu  14 286 (2023.g.)</w:t>
            </w:r>
          </w:p>
          <w:p w14:paraId="2132E9F5" w14:textId="77777777" w:rsidR="00A574D8" w:rsidRPr="008E4EB0" w:rsidRDefault="00A574D8" w:rsidP="00B00F90">
            <w:pPr>
              <w:spacing w:after="0" w:line="240" w:lineRule="auto"/>
              <w:contextualSpacing/>
              <w:jc w:val="center"/>
              <w:rPr>
                <w:rFonts w:ascii="Times New Roman" w:eastAsia="Calibri" w:hAnsi="Times New Roman" w:cs="Times New Roman"/>
                <w:sz w:val="20"/>
              </w:rPr>
            </w:pPr>
            <w:r w:rsidRPr="008E4EB0">
              <w:rPr>
                <w:rFonts w:ascii="Times New Roman" w:eastAsia="Calibri" w:hAnsi="Times New Roman" w:cs="Times New Roman"/>
                <w:sz w:val="20"/>
              </w:rPr>
              <w:t>Primārais energopatēriņa samazinājums gadā – 52 000 000 kWh. Enerģijas patēriņš iekšzemes kopprodukta radīšanai 263,9 kg naftas ekvivalenta uz 1 000 EUR no IKP (ražošanas ēkām uz 2023.gadu)</w:t>
            </w:r>
          </w:p>
        </w:tc>
        <w:tc>
          <w:tcPr>
            <w:tcW w:w="2126" w:type="dxa"/>
            <w:shd w:val="clear" w:color="auto" w:fill="auto"/>
          </w:tcPr>
          <w:p w14:paraId="39461BB2" w14:textId="69FEE852" w:rsidR="00A574D8" w:rsidRPr="008E4EB0" w:rsidRDefault="00A574D8" w:rsidP="00B00F90">
            <w:pPr>
              <w:spacing w:after="0" w:line="240" w:lineRule="auto"/>
              <w:ind w:firstLine="34"/>
              <w:contextualSpacing/>
              <w:rPr>
                <w:rFonts w:ascii="Times New Roman" w:eastAsia="Calibri" w:hAnsi="Times New Roman" w:cs="Times New Roman"/>
                <w:sz w:val="20"/>
              </w:rPr>
            </w:pPr>
            <w:r w:rsidRPr="008E4EB0">
              <w:rPr>
                <w:rFonts w:ascii="Times New Roman" w:eastAsia="Calibri" w:hAnsi="Times New Roman" w:cs="Times New Roman"/>
                <w:sz w:val="20"/>
              </w:rPr>
              <w:t xml:space="preserve">384 milj. </w:t>
            </w:r>
            <w:r w:rsidR="008E4EB0">
              <w:rPr>
                <w:rFonts w:ascii="Times New Roman" w:eastAsia="Calibri" w:hAnsi="Times New Roman" w:cs="Times New Roman"/>
                <w:i/>
                <w:sz w:val="20"/>
              </w:rPr>
              <w:t>euro</w:t>
            </w:r>
            <w:r w:rsidRPr="008E4EB0">
              <w:rPr>
                <w:rFonts w:ascii="Times New Roman" w:eastAsia="Calibri" w:hAnsi="Times New Roman" w:cs="Times New Roman"/>
                <w:i/>
                <w:sz w:val="20"/>
              </w:rPr>
              <w:t xml:space="preserve"> </w:t>
            </w:r>
            <w:r w:rsidRPr="008E4EB0">
              <w:rPr>
                <w:rFonts w:ascii="Times New Roman" w:eastAsia="Calibri" w:hAnsi="Times New Roman" w:cs="Times New Roman"/>
                <w:sz w:val="20"/>
              </w:rPr>
              <w:t xml:space="preserve">kopējais finansējums, tajā skaitā 323 milj </w:t>
            </w:r>
            <w:r w:rsidR="008E4EB0">
              <w:rPr>
                <w:rFonts w:ascii="Times New Roman" w:eastAsia="Calibri" w:hAnsi="Times New Roman" w:cs="Times New Roman"/>
                <w:i/>
                <w:sz w:val="20"/>
              </w:rPr>
              <w:t>euro</w:t>
            </w:r>
            <w:r w:rsidRPr="008E4EB0">
              <w:rPr>
                <w:rFonts w:ascii="Times New Roman" w:eastAsia="Calibri" w:hAnsi="Times New Roman" w:cs="Times New Roman"/>
                <w:sz w:val="20"/>
              </w:rPr>
              <w:t xml:space="preserve"> ES fondu finansējums un 57 milj. </w:t>
            </w:r>
            <w:r w:rsidR="008E4EB0">
              <w:rPr>
                <w:rFonts w:ascii="Times New Roman" w:eastAsia="Calibri" w:hAnsi="Times New Roman" w:cs="Times New Roman"/>
                <w:i/>
                <w:sz w:val="20"/>
              </w:rPr>
              <w:t>euro</w:t>
            </w:r>
            <w:r w:rsidRPr="008E4EB0">
              <w:rPr>
                <w:rFonts w:ascii="Times New Roman" w:eastAsia="Calibri" w:hAnsi="Times New Roman" w:cs="Times New Roman"/>
                <w:sz w:val="20"/>
              </w:rPr>
              <w:t xml:space="preserve"> Latvijas publiskais finansējums</w:t>
            </w:r>
          </w:p>
          <w:p w14:paraId="51A13E46" w14:textId="77777777" w:rsidR="00A574D8" w:rsidRPr="008E4EB0" w:rsidRDefault="00A574D8" w:rsidP="00B00F90">
            <w:pPr>
              <w:spacing w:after="0" w:line="240" w:lineRule="auto"/>
              <w:ind w:firstLine="34"/>
              <w:contextualSpacing/>
              <w:rPr>
                <w:rFonts w:ascii="Times New Roman" w:eastAsia="Calibri" w:hAnsi="Times New Roman" w:cs="Times New Roman"/>
                <w:sz w:val="20"/>
              </w:rPr>
            </w:pPr>
          </w:p>
        </w:tc>
        <w:tc>
          <w:tcPr>
            <w:tcW w:w="992" w:type="dxa"/>
            <w:shd w:val="clear" w:color="auto" w:fill="auto"/>
            <w:vAlign w:val="center"/>
          </w:tcPr>
          <w:p w14:paraId="31DEEFA1" w14:textId="77777777" w:rsidR="00A574D8" w:rsidRPr="008E4EB0" w:rsidRDefault="00A574D8" w:rsidP="00B00F90">
            <w:pPr>
              <w:spacing w:after="0" w:line="240" w:lineRule="auto"/>
              <w:contextualSpacing/>
              <w:jc w:val="center"/>
              <w:rPr>
                <w:rFonts w:ascii="Times New Roman" w:eastAsia="Calibri" w:hAnsi="Times New Roman" w:cs="Times New Roman"/>
                <w:sz w:val="20"/>
              </w:rPr>
            </w:pPr>
            <w:r w:rsidRPr="008E4EB0">
              <w:rPr>
                <w:rFonts w:ascii="Times New Roman" w:eastAsia="Calibri" w:hAnsi="Times New Roman" w:cs="Times New Roman"/>
                <w:sz w:val="20"/>
              </w:rPr>
              <w:t>2014.-2023.</w:t>
            </w:r>
          </w:p>
        </w:tc>
      </w:tr>
      <w:tr w:rsidR="00A574D8" w:rsidRPr="008E4EB0" w14:paraId="5C1EC24A" w14:textId="77777777" w:rsidTr="00B00F90">
        <w:tc>
          <w:tcPr>
            <w:tcW w:w="3403" w:type="dxa"/>
            <w:shd w:val="clear" w:color="auto" w:fill="auto"/>
          </w:tcPr>
          <w:p w14:paraId="000A9044" w14:textId="77777777" w:rsidR="00A574D8" w:rsidRPr="008E4EB0" w:rsidRDefault="00A574D8" w:rsidP="00B00F90">
            <w:pPr>
              <w:spacing w:after="0" w:line="240" w:lineRule="auto"/>
              <w:contextualSpacing/>
              <w:rPr>
                <w:rFonts w:ascii="Times New Roman" w:eastAsia="Calibri" w:hAnsi="Times New Roman" w:cs="Times New Roman"/>
                <w:sz w:val="20"/>
              </w:rPr>
            </w:pPr>
            <w:r w:rsidRPr="008E4EB0">
              <w:rPr>
                <w:rFonts w:ascii="Times New Roman" w:eastAsia="Calibri" w:hAnsi="Times New Roman" w:cs="Times New Roman"/>
                <w:sz w:val="20"/>
              </w:rPr>
              <w:t>Energoefektivitātes un vietējo AER izmantošanas centrālajā siltumapgādē veicināšana. Atjaunojamās enerģijas īpatsvars bruto enerģijas galapatēriņā – 60% (2014-2020.gada ES fondu plānošanas periods)</w:t>
            </w:r>
          </w:p>
        </w:tc>
        <w:tc>
          <w:tcPr>
            <w:tcW w:w="3544" w:type="dxa"/>
            <w:shd w:val="clear" w:color="auto" w:fill="auto"/>
          </w:tcPr>
          <w:p w14:paraId="304D37A0" w14:textId="77777777" w:rsidR="00A574D8" w:rsidRPr="008E4EB0" w:rsidRDefault="00A574D8" w:rsidP="00B00F90">
            <w:pPr>
              <w:spacing w:after="0" w:line="240" w:lineRule="auto"/>
              <w:contextualSpacing/>
              <w:jc w:val="center"/>
              <w:rPr>
                <w:rFonts w:ascii="Times New Roman" w:eastAsia="Calibri" w:hAnsi="Times New Roman" w:cs="Times New Roman"/>
                <w:sz w:val="20"/>
              </w:rPr>
            </w:pPr>
            <w:r w:rsidRPr="008E4EB0">
              <w:rPr>
                <w:rFonts w:ascii="Times New Roman" w:eastAsia="Calibri" w:hAnsi="Times New Roman" w:cs="Times New Roman"/>
                <w:sz w:val="20"/>
              </w:rPr>
              <w:t>No atjaunojamajiem energoresursiem saražotās jaudas pieaugums – 70 MW. Rekonstruētie siltumtīkli – 70 km (2023.gadā)</w:t>
            </w:r>
          </w:p>
        </w:tc>
        <w:tc>
          <w:tcPr>
            <w:tcW w:w="2126" w:type="dxa"/>
            <w:shd w:val="clear" w:color="auto" w:fill="auto"/>
          </w:tcPr>
          <w:p w14:paraId="1D5BD470" w14:textId="36E98BD8" w:rsidR="00A574D8" w:rsidRPr="008E4EB0" w:rsidRDefault="00A574D8" w:rsidP="00B00F90">
            <w:pPr>
              <w:spacing w:after="0" w:line="240" w:lineRule="auto"/>
              <w:contextualSpacing/>
              <w:rPr>
                <w:rFonts w:ascii="Times New Roman" w:eastAsia="Calibri" w:hAnsi="Times New Roman" w:cs="Times New Roman"/>
                <w:sz w:val="20"/>
              </w:rPr>
            </w:pPr>
            <w:r w:rsidRPr="008E4EB0">
              <w:rPr>
                <w:rFonts w:ascii="Times New Roman" w:eastAsia="Calibri" w:hAnsi="Times New Roman" w:cs="Times New Roman"/>
                <w:sz w:val="20"/>
              </w:rPr>
              <w:t xml:space="preserve">53 milj. </w:t>
            </w:r>
            <w:r w:rsidR="008E4EB0">
              <w:rPr>
                <w:rFonts w:ascii="Times New Roman" w:eastAsia="Calibri" w:hAnsi="Times New Roman" w:cs="Times New Roman"/>
                <w:i/>
                <w:sz w:val="20"/>
              </w:rPr>
              <w:t>euro</w:t>
            </w:r>
            <w:r w:rsidRPr="008E4EB0">
              <w:rPr>
                <w:rFonts w:ascii="Times New Roman" w:eastAsia="Calibri" w:hAnsi="Times New Roman" w:cs="Times New Roman"/>
                <w:sz w:val="20"/>
              </w:rPr>
              <w:t xml:space="preserve"> ES fondu finansējums </w:t>
            </w:r>
          </w:p>
        </w:tc>
        <w:tc>
          <w:tcPr>
            <w:tcW w:w="992" w:type="dxa"/>
            <w:shd w:val="clear" w:color="auto" w:fill="auto"/>
            <w:vAlign w:val="center"/>
          </w:tcPr>
          <w:p w14:paraId="66F18F99" w14:textId="77777777" w:rsidR="00A574D8" w:rsidRPr="008E4EB0" w:rsidRDefault="00A574D8" w:rsidP="00B00F90">
            <w:pPr>
              <w:spacing w:after="0" w:line="240" w:lineRule="auto"/>
              <w:contextualSpacing/>
              <w:jc w:val="center"/>
              <w:rPr>
                <w:rFonts w:ascii="Times New Roman" w:eastAsia="Calibri" w:hAnsi="Times New Roman" w:cs="Times New Roman"/>
                <w:sz w:val="20"/>
              </w:rPr>
            </w:pPr>
            <w:r w:rsidRPr="008E4EB0">
              <w:rPr>
                <w:rFonts w:ascii="Times New Roman" w:eastAsia="Calibri" w:hAnsi="Times New Roman" w:cs="Times New Roman"/>
                <w:sz w:val="20"/>
              </w:rPr>
              <w:t>2014.-2023.</w:t>
            </w:r>
          </w:p>
        </w:tc>
      </w:tr>
      <w:tr w:rsidR="00A574D8" w:rsidRPr="008E4EB0" w14:paraId="0A0F4C2B" w14:textId="77777777" w:rsidTr="00B00F90">
        <w:tc>
          <w:tcPr>
            <w:tcW w:w="3403" w:type="dxa"/>
            <w:shd w:val="clear" w:color="auto" w:fill="auto"/>
          </w:tcPr>
          <w:p w14:paraId="23106554" w14:textId="77777777" w:rsidR="00A574D8" w:rsidRPr="008E4EB0" w:rsidRDefault="00A574D8" w:rsidP="00B00F90">
            <w:pPr>
              <w:spacing w:after="0" w:line="240" w:lineRule="auto"/>
              <w:contextualSpacing/>
              <w:rPr>
                <w:rFonts w:ascii="Times New Roman" w:eastAsia="Calibri" w:hAnsi="Times New Roman" w:cs="Times New Roman"/>
                <w:sz w:val="20"/>
              </w:rPr>
            </w:pPr>
            <w:r w:rsidRPr="008E4EB0">
              <w:rPr>
                <w:rFonts w:ascii="Times New Roman" w:eastAsia="Calibri" w:hAnsi="Times New Roman" w:cs="Times New Roman"/>
                <w:sz w:val="20"/>
              </w:rPr>
              <w:t xml:space="preserve">Sabiedrības informēšana par dažādām energoefektivitātes palielināšanas iespējām un praksi (2014.-2020.gada ES fondu plānošanas periods). </w:t>
            </w:r>
          </w:p>
        </w:tc>
        <w:tc>
          <w:tcPr>
            <w:tcW w:w="3544" w:type="dxa"/>
            <w:shd w:val="clear" w:color="auto" w:fill="auto"/>
          </w:tcPr>
          <w:p w14:paraId="470C1631" w14:textId="77777777" w:rsidR="00A574D8" w:rsidRPr="008E4EB0" w:rsidRDefault="00A574D8" w:rsidP="00B00F90">
            <w:pPr>
              <w:spacing w:after="0" w:line="240" w:lineRule="auto"/>
              <w:contextualSpacing/>
              <w:jc w:val="center"/>
              <w:rPr>
                <w:rFonts w:ascii="Times New Roman" w:eastAsia="Calibri" w:hAnsi="Times New Roman" w:cs="Times New Roman"/>
                <w:sz w:val="20"/>
              </w:rPr>
            </w:pPr>
            <w:r w:rsidRPr="008E4EB0">
              <w:rPr>
                <w:rFonts w:ascii="Times New Roman" w:eastAsia="Calibri" w:hAnsi="Times New Roman" w:cs="Times New Roman"/>
                <w:sz w:val="20"/>
              </w:rPr>
              <w:t>50 informācijas pasākumi gadā (Publicitātes pasākumi paredzēti kampaņas „Dzīvo siltāk” ietvaros)</w:t>
            </w:r>
          </w:p>
        </w:tc>
        <w:tc>
          <w:tcPr>
            <w:tcW w:w="2126" w:type="dxa"/>
            <w:shd w:val="clear" w:color="auto" w:fill="auto"/>
          </w:tcPr>
          <w:p w14:paraId="35BC2500" w14:textId="6B74CA2B" w:rsidR="00A574D8" w:rsidRPr="008E4EB0" w:rsidRDefault="00A574D8" w:rsidP="00B00F90">
            <w:pPr>
              <w:spacing w:after="0" w:line="240" w:lineRule="auto"/>
              <w:contextualSpacing/>
              <w:rPr>
                <w:rFonts w:ascii="Times New Roman" w:eastAsia="Calibri" w:hAnsi="Times New Roman" w:cs="Times New Roman"/>
                <w:sz w:val="20"/>
              </w:rPr>
            </w:pPr>
            <w:r w:rsidRPr="008E4EB0">
              <w:rPr>
                <w:rFonts w:ascii="Times New Roman" w:eastAsia="Calibri" w:hAnsi="Times New Roman" w:cs="Times New Roman"/>
                <w:sz w:val="20"/>
              </w:rPr>
              <w:t xml:space="preserve">260 tūkst. </w:t>
            </w:r>
            <w:r w:rsidR="008E4EB0">
              <w:rPr>
                <w:rFonts w:ascii="Times New Roman" w:eastAsia="Calibri" w:hAnsi="Times New Roman" w:cs="Times New Roman"/>
                <w:i/>
                <w:sz w:val="20"/>
              </w:rPr>
              <w:t>euro</w:t>
            </w:r>
            <w:r w:rsidRPr="008E4EB0">
              <w:rPr>
                <w:rFonts w:ascii="Times New Roman" w:eastAsia="Calibri" w:hAnsi="Times New Roman" w:cs="Times New Roman"/>
                <w:sz w:val="20"/>
              </w:rPr>
              <w:t xml:space="preserve"> ES fondu Tehniskās palīdzības finansējums</w:t>
            </w:r>
          </w:p>
        </w:tc>
        <w:tc>
          <w:tcPr>
            <w:tcW w:w="992" w:type="dxa"/>
            <w:shd w:val="clear" w:color="auto" w:fill="auto"/>
            <w:vAlign w:val="center"/>
          </w:tcPr>
          <w:p w14:paraId="0DE44A9E" w14:textId="77777777" w:rsidR="00A574D8" w:rsidRPr="008E4EB0" w:rsidRDefault="00A574D8" w:rsidP="00B00F90">
            <w:pPr>
              <w:spacing w:after="0" w:line="240" w:lineRule="auto"/>
              <w:contextualSpacing/>
              <w:jc w:val="center"/>
              <w:rPr>
                <w:rFonts w:ascii="Times New Roman" w:eastAsia="Calibri" w:hAnsi="Times New Roman" w:cs="Times New Roman"/>
                <w:sz w:val="20"/>
              </w:rPr>
            </w:pPr>
            <w:r w:rsidRPr="008E4EB0">
              <w:rPr>
                <w:rFonts w:ascii="Times New Roman" w:eastAsia="Calibri" w:hAnsi="Times New Roman" w:cs="Times New Roman"/>
                <w:sz w:val="20"/>
              </w:rPr>
              <w:t>2014.-2023.</w:t>
            </w:r>
          </w:p>
        </w:tc>
      </w:tr>
    </w:tbl>
    <w:p w14:paraId="45B40F03" w14:textId="53D859EC" w:rsidR="00AC4629" w:rsidRPr="008E4EB0" w:rsidRDefault="00AC4629" w:rsidP="0081787F">
      <w:pPr>
        <w:spacing w:after="0" w:line="240" w:lineRule="auto"/>
        <w:ind w:firstLine="851"/>
        <w:jc w:val="both"/>
        <w:rPr>
          <w:rFonts w:ascii="Times New Roman" w:eastAsia="Calibri" w:hAnsi="Times New Roman" w:cs="Times New Roman"/>
          <w:sz w:val="24"/>
          <w:szCs w:val="24"/>
        </w:rPr>
      </w:pPr>
      <w:r w:rsidRPr="008E4EB0">
        <w:rPr>
          <w:rFonts w:ascii="Times New Roman" w:eastAsia="Calibri" w:hAnsi="Times New Roman" w:cs="Times New Roman"/>
          <w:sz w:val="24"/>
          <w:szCs w:val="24"/>
        </w:rPr>
        <w:t xml:space="preserve">Latvijai saistībā ar Direktīvas 2012/27/ES ieviešanu jāsasniedz indikatīvais valsts energoefektivitātes mērķis, kura ietvaros jānodrošina divi saistoši mērķi: katru gadu jāsasniedz 1,5 % valsts galalietotājiem piegādātās enerģijas ietaupījums un katru gadu </w:t>
      </w:r>
      <w:r w:rsidR="00CE0F55" w:rsidRPr="008E4EB0">
        <w:rPr>
          <w:rFonts w:ascii="Times New Roman" w:eastAsia="Calibri" w:hAnsi="Times New Roman" w:cs="Times New Roman"/>
          <w:sz w:val="24"/>
          <w:szCs w:val="24"/>
        </w:rPr>
        <w:t>jāatjauno</w:t>
      </w:r>
      <w:r w:rsidRPr="008E4EB0">
        <w:rPr>
          <w:rFonts w:ascii="Times New Roman" w:eastAsia="Calibri" w:hAnsi="Times New Roman" w:cs="Times New Roman"/>
          <w:sz w:val="24"/>
          <w:szCs w:val="24"/>
        </w:rPr>
        <w:t xml:space="preserve"> 3 % valstij piederošo ēku platības. Tā kā valsts ēkas veido daļu no valsts enerģijas galapatēriņa, tad centrālās valdības ēku galapatēriņa 1,5 % ietaupījuma mērķa sasniegšanā. 3% valdības ēku platības </w:t>
      </w:r>
      <w:r w:rsidR="00CE0F55" w:rsidRPr="008E4EB0">
        <w:rPr>
          <w:rFonts w:ascii="Times New Roman" w:eastAsia="Calibri" w:hAnsi="Times New Roman" w:cs="Times New Roman"/>
          <w:sz w:val="24"/>
          <w:szCs w:val="24"/>
        </w:rPr>
        <w:t>atjaunošana</w:t>
      </w:r>
      <w:r w:rsidRPr="008E4EB0">
        <w:rPr>
          <w:rFonts w:ascii="Times New Roman" w:eastAsia="Calibri" w:hAnsi="Times New Roman" w:cs="Times New Roman"/>
          <w:sz w:val="24"/>
          <w:szCs w:val="24"/>
        </w:rPr>
        <w:t xml:space="preserve">, izmantojot ES fondu finansējumu, kopumā dos </w:t>
      </w:r>
      <w:r w:rsidR="00CF2996">
        <w:rPr>
          <w:rFonts w:ascii="Times New Roman" w:eastAsia="Calibri" w:hAnsi="Times New Roman" w:cs="Times New Roman"/>
          <w:sz w:val="24"/>
          <w:szCs w:val="24"/>
        </w:rPr>
        <w:t>ieguldījumu mērķa izpildē.</w:t>
      </w:r>
    </w:p>
    <w:p w14:paraId="3128D80C" w14:textId="1139EF1E" w:rsidR="00AC4629" w:rsidRPr="008E4EB0" w:rsidRDefault="00AC4629" w:rsidP="00AC4629">
      <w:pPr>
        <w:ind w:firstLine="851"/>
        <w:jc w:val="both"/>
        <w:rPr>
          <w:rFonts w:ascii="Times New Roman" w:hAnsi="Times New Roman" w:cs="Times New Roman"/>
          <w:sz w:val="24"/>
          <w:szCs w:val="24"/>
        </w:rPr>
      </w:pPr>
      <w:r w:rsidRPr="008E4EB0">
        <w:rPr>
          <w:rFonts w:ascii="Times New Roman" w:hAnsi="Times New Roman" w:cs="Times New Roman"/>
          <w:sz w:val="24"/>
          <w:szCs w:val="24"/>
        </w:rPr>
        <w:t xml:space="preserve">Pašreizējā saistību izpilde attēlota </w:t>
      </w:r>
      <w:r w:rsidR="00F749EA">
        <w:rPr>
          <w:rFonts w:ascii="Times New Roman" w:hAnsi="Times New Roman" w:cs="Times New Roman"/>
          <w:sz w:val="24"/>
          <w:szCs w:val="24"/>
        </w:rPr>
        <w:t>24</w:t>
      </w:r>
      <w:r w:rsidRPr="008E4EB0">
        <w:rPr>
          <w:rFonts w:ascii="Times New Roman" w:hAnsi="Times New Roman" w:cs="Times New Roman"/>
          <w:sz w:val="24"/>
          <w:szCs w:val="24"/>
        </w:rPr>
        <w:t xml:space="preserve">.tabulā. No tabulas redzams, ka no direktīvas izrietošie mērķi tiek izpildīti, novērojama atlikuma veidošanās, kas ieskaitāma nākamo gadu </w:t>
      </w:r>
      <w:r w:rsidR="00CE0F55" w:rsidRPr="008E4EB0">
        <w:rPr>
          <w:rFonts w:ascii="Times New Roman" w:hAnsi="Times New Roman" w:cs="Times New Roman"/>
          <w:sz w:val="24"/>
          <w:szCs w:val="24"/>
        </w:rPr>
        <w:t>atjaunošanas</w:t>
      </w:r>
      <w:r w:rsidRPr="008E4EB0">
        <w:rPr>
          <w:rFonts w:ascii="Times New Roman" w:hAnsi="Times New Roman" w:cs="Times New Roman"/>
          <w:sz w:val="24"/>
          <w:szCs w:val="24"/>
        </w:rPr>
        <w:t xml:space="preserve"> mērķu normās. Uz 2017.gada 1.janvāri ēkas, kam izpildītas minimālās energoefektivitātes prasības (jaunbūves un atjaunotās ēkas) sastāda 656456,34 m</w:t>
      </w:r>
      <w:r w:rsidRPr="008E4EB0">
        <w:rPr>
          <w:rFonts w:ascii="Times New Roman" w:hAnsi="Times New Roman" w:cs="Times New Roman"/>
          <w:sz w:val="24"/>
          <w:szCs w:val="24"/>
          <w:vertAlign w:val="superscript"/>
        </w:rPr>
        <w:t>2</w:t>
      </w:r>
      <w:r w:rsidRPr="008E4EB0">
        <w:rPr>
          <w:rFonts w:ascii="Times New Roman" w:hAnsi="Times New Roman" w:cs="Times New Roman"/>
          <w:sz w:val="24"/>
          <w:szCs w:val="24"/>
        </w:rPr>
        <w:t xml:space="preserve"> jeb 21.3 %, ēkas, kuras nesasniedz minimālās energoefektivitātes </w:t>
      </w:r>
      <w:r w:rsidRPr="008E4EB0">
        <w:rPr>
          <w:rFonts w:ascii="Times New Roman" w:hAnsi="Times New Roman" w:cs="Times New Roman"/>
          <w:sz w:val="24"/>
          <w:szCs w:val="24"/>
        </w:rPr>
        <w:lastRenderedPageBreak/>
        <w:t>prasības (neatjaunotās ēkas) - 1999336,83 m</w:t>
      </w:r>
      <w:r w:rsidRPr="008E4EB0">
        <w:rPr>
          <w:rFonts w:ascii="Times New Roman" w:hAnsi="Times New Roman" w:cs="Times New Roman"/>
          <w:sz w:val="24"/>
          <w:szCs w:val="24"/>
          <w:vertAlign w:val="superscript"/>
        </w:rPr>
        <w:t>2</w:t>
      </w:r>
      <w:r w:rsidRPr="008E4EB0">
        <w:rPr>
          <w:rFonts w:ascii="Times New Roman" w:hAnsi="Times New Roman" w:cs="Times New Roman"/>
          <w:sz w:val="24"/>
          <w:szCs w:val="24"/>
        </w:rPr>
        <w:t>, jeb 65.0 % un valsts institūciju īpašumā, valdījumā un lietošanā esošās ēkas - kultūrvēsturiskie pieminekļi - 421851,56 m</w:t>
      </w:r>
      <w:r w:rsidRPr="008E4EB0">
        <w:rPr>
          <w:rFonts w:ascii="Times New Roman" w:hAnsi="Times New Roman" w:cs="Times New Roman"/>
          <w:sz w:val="24"/>
          <w:szCs w:val="24"/>
          <w:vertAlign w:val="superscript"/>
        </w:rPr>
        <w:t>2</w:t>
      </w:r>
      <w:r w:rsidRPr="008E4EB0">
        <w:rPr>
          <w:rFonts w:ascii="Times New Roman" w:hAnsi="Times New Roman" w:cs="Times New Roman"/>
          <w:sz w:val="24"/>
          <w:szCs w:val="24"/>
        </w:rPr>
        <w:t>, jeb 13.7 %.</w:t>
      </w:r>
    </w:p>
    <w:p w14:paraId="06F523D2" w14:textId="7F3BD3BA" w:rsidR="00AC4629" w:rsidRPr="008E4EB0" w:rsidRDefault="00AC4629" w:rsidP="00AC4629">
      <w:pPr>
        <w:rPr>
          <w:rFonts w:ascii="Times New Roman" w:hAnsi="Times New Roman" w:cs="Times New Roman"/>
          <w:sz w:val="24"/>
          <w:szCs w:val="24"/>
        </w:rPr>
      </w:pPr>
    </w:p>
    <w:p w14:paraId="056BF281" w14:textId="76970E36" w:rsidR="00AC4629" w:rsidRPr="008E4EB0" w:rsidRDefault="00F749EA" w:rsidP="00AC4629">
      <w:pPr>
        <w:ind w:firstLine="851"/>
        <w:jc w:val="both"/>
        <w:rPr>
          <w:rFonts w:ascii="Times New Roman" w:hAnsi="Times New Roman" w:cs="Times New Roman"/>
          <w:sz w:val="24"/>
          <w:szCs w:val="24"/>
        </w:rPr>
      </w:pPr>
      <w:r>
        <w:rPr>
          <w:rFonts w:ascii="Times New Roman" w:hAnsi="Times New Roman" w:cs="Times New Roman"/>
          <w:sz w:val="24"/>
          <w:szCs w:val="24"/>
        </w:rPr>
        <w:t>24</w:t>
      </w:r>
      <w:r w:rsidR="00AC4629" w:rsidRPr="008E4EB0">
        <w:rPr>
          <w:rFonts w:ascii="Times New Roman" w:hAnsi="Times New Roman" w:cs="Times New Roman"/>
          <w:sz w:val="24"/>
          <w:szCs w:val="24"/>
        </w:rPr>
        <w:t>.tabula. Direktīvas 2012/27/ES 5.panta 1.punkta pirmajā daļā minēto prasību izpildes apkopojums.</w:t>
      </w:r>
    </w:p>
    <w:tbl>
      <w:tblPr>
        <w:tblW w:w="10138" w:type="dxa"/>
        <w:tblInd w:w="-1000" w:type="dxa"/>
        <w:tblLook w:val="04A0" w:firstRow="1" w:lastRow="0" w:firstColumn="1" w:lastColumn="0" w:noHBand="0" w:noVBand="1"/>
      </w:tblPr>
      <w:tblGrid>
        <w:gridCol w:w="1033"/>
        <w:gridCol w:w="1296"/>
        <w:gridCol w:w="1943"/>
        <w:gridCol w:w="1738"/>
        <w:gridCol w:w="1393"/>
        <w:gridCol w:w="1207"/>
        <w:gridCol w:w="1528"/>
      </w:tblGrid>
      <w:tr w:rsidR="00AC4629" w:rsidRPr="008E4EB0" w14:paraId="6E9D6BB2" w14:textId="77777777" w:rsidTr="00B00F90">
        <w:trPr>
          <w:trHeight w:val="1275"/>
        </w:trPr>
        <w:tc>
          <w:tcPr>
            <w:tcW w:w="10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42EFB8" w14:textId="77777777" w:rsidR="00AC4629" w:rsidRPr="008E4EB0" w:rsidRDefault="00AC4629" w:rsidP="00B00F90">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Mērķa periods</w:t>
            </w:r>
          </w:p>
        </w:tc>
        <w:tc>
          <w:tcPr>
            <w:tcW w:w="1238" w:type="dxa"/>
            <w:tcBorders>
              <w:top w:val="single" w:sz="8" w:space="0" w:color="auto"/>
              <w:left w:val="nil"/>
              <w:bottom w:val="single" w:sz="8" w:space="0" w:color="auto"/>
              <w:right w:val="single" w:sz="8" w:space="0" w:color="auto"/>
            </w:tcBorders>
            <w:shd w:val="clear" w:color="auto" w:fill="auto"/>
            <w:vAlign w:val="center"/>
            <w:hideMark/>
          </w:tcPr>
          <w:p w14:paraId="37F329CE" w14:textId="77777777" w:rsidR="00AC4629" w:rsidRPr="008E4EB0" w:rsidRDefault="00AC4629" w:rsidP="00B00F90">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Saraksta publicēšanas datums</w:t>
            </w:r>
          </w:p>
        </w:tc>
        <w:tc>
          <w:tcPr>
            <w:tcW w:w="1979" w:type="dxa"/>
            <w:tcBorders>
              <w:top w:val="single" w:sz="8" w:space="0" w:color="auto"/>
              <w:left w:val="nil"/>
              <w:bottom w:val="single" w:sz="8" w:space="0" w:color="auto"/>
              <w:right w:val="single" w:sz="8" w:space="0" w:color="auto"/>
            </w:tcBorders>
            <w:shd w:val="clear" w:color="auto" w:fill="auto"/>
            <w:vAlign w:val="center"/>
            <w:hideMark/>
          </w:tcPr>
          <w:p w14:paraId="06979403" w14:textId="77777777" w:rsidR="00AC4629" w:rsidRPr="008E4EB0" w:rsidRDefault="00AC4629" w:rsidP="00B00F90">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 xml:space="preserve">Par pamatu izmantotie dati </w:t>
            </w:r>
          </w:p>
        </w:tc>
        <w:tc>
          <w:tcPr>
            <w:tcW w:w="1738" w:type="dxa"/>
            <w:tcBorders>
              <w:top w:val="single" w:sz="8" w:space="0" w:color="auto"/>
              <w:left w:val="nil"/>
              <w:bottom w:val="single" w:sz="8" w:space="0" w:color="auto"/>
              <w:right w:val="single" w:sz="8" w:space="0" w:color="auto"/>
            </w:tcBorders>
            <w:shd w:val="clear" w:color="auto" w:fill="auto"/>
            <w:vAlign w:val="center"/>
            <w:hideMark/>
          </w:tcPr>
          <w:p w14:paraId="0015F835" w14:textId="77777777" w:rsidR="00AC4629" w:rsidRPr="008E4EB0" w:rsidRDefault="00AC4629" w:rsidP="00B00F90">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Kopējā platība atbilstoši ikgadējā valsts ēku saraksta datiem (ēkas, kuras nesasniedz minimālās energoefektivitātes prasības)</w:t>
            </w:r>
            <w:r w:rsidRPr="008E4EB0">
              <w:rPr>
                <w:rStyle w:val="FootnoteReference"/>
                <w:rFonts w:ascii="Times New Roman" w:eastAsia="Times New Roman" w:hAnsi="Times New Roman" w:cs="Times New Roman"/>
                <w:color w:val="000000"/>
                <w:sz w:val="20"/>
                <w:szCs w:val="20"/>
                <w:lang w:eastAsia="lv-LV"/>
              </w:rPr>
              <w:footnoteReference w:id="31"/>
            </w:r>
          </w:p>
        </w:tc>
        <w:tc>
          <w:tcPr>
            <w:tcW w:w="1397" w:type="dxa"/>
            <w:tcBorders>
              <w:top w:val="single" w:sz="8" w:space="0" w:color="auto"/>
              <w:left w:val="nil"/>
              <w:bottom w:val="single" w:sz="8" w:space="0" w:color="auto"/>
              <w:right w:val="single" w:sz="8" w:space="0" w:color="auto"/>
            </w:tcBorders>
            <w:shd w:val="clear" w:color="auto" w:fill="auto"/>
            <w:vAlign w:val="center"/>
            <w:hideMark/>
          </w:tcPr>
          <w:p w14:paraId="65DFB6CF" w14:textId="2BBAB4D8" w:rsidR="00AC4629" w:rsidRPr="008E4EB0" w:rsidRDefault="00CE0F55" w:rsidP="00B00F90">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Atjaunošanas</w:t>
            </w:r>
            <w:r w:rsidR="00AC4629" w:rsidRPr="008E4EB0">
              <w:rPr>
                <w:rFonts w:ascii="Times New Roman" w:eastAsia="Times New Roman" w:hAnsi="Times New Roman" w:cs="Times New Roman"/>
                <w:color w:val="000000"/>
                <w:sz w:val="20"/>
                <w:szCs w:val="20"/>
                <w:lang w:eastAsia="lv-LV"/>
              </w:rPr>
              <w:t xml:space="preserve"> mērķis, kopējā platība, m</w:t>
            </w:r>
            <w:r w:rsidR="00AC4629" w:rsidRPr="008E4EB0">
              <w:rPr>
                <w:rFonts w:ascii="Times New Roman" w:eastAsia="Times New Roman" w:hAnsi="Times New Roman" w:cs="Times New Roman"/>
                <w:color w:val="000000"/>
                <w:sz w:val="20"/>
                <w:szCs w:val="20"/>
                <w:vertAlign w:val="superscript"/>
                <w:lang w:eastAsia="lv-LV"/>
              </w:rPr>
              <w:t>2</w:t>
            </w:r>
          </w:p>
        </w:tc>
        <w:tc>
          <w:tcPr>
            <w:tcW w:w="1207" w:type="dxa"/>
            <w:tcBorders>
              <w:top w:val="single" w:sz="8" w:space="0" w:color="auto"/>
              <w:left w:val="nil"/>
              <w:bottom w:val="single" w:sz="8" w:space="0" w:color="auto"/>
              <w:right w:val="single" w:sz="8" w:space="0" w:color="auto"/>
            </w:tcBorders>
            <w:shd w:val="clear" w:color="auto" w:fill="auto"/>
            <w:vAlign w:val="center"/>
            <w:hideMark/>
          </w:tcPr>
          <w:p w14:paraId="52750DD3" w14:textId="20711A7A" w:rsidR="00AC4629" w:rsidRPr="008E4EB0" w:rsidRDefault="00CE0F55" w:rsidP="00B00F90">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Atjaunot</w:t>
            </w:r>
            <w:r w:rsidR="00AC4629" w:rsidRPr="008E4EB0">
              <w:rPr>
                <w:rFonts w:ascii="Times New Roman" w:eastAsia="Times New Roman" w:hAnsi="Times New Roman" w:cs="Times New Roman"/>
                <w:color w:val="000000"/>
                <w:sz w:val="20"/>
                <w:szCs w:val="20"/>
                <w:lang w:eastAsia="lv-LV"/>
              </w:rPr>
              <w:t>ā platība, m</w:t>
            </w:r>
            <w:r w:rsidR="00AC4629" w:rsidRPr="008E4EB0">
              <w:rPr>
                <w:rFonts w:ascii="Times New Roman" w:eastAsia="Times New Roman" w:hAnsi="Times New Roman" w:cs="Times New Roman"/>
                <w:color w:val="000000"/>
                <w:sz w:val="20"/>
                <w:szCs w:val="20"/>
                <w:vertAlign w:val="superscript"/>
                <w:lang w:eastAsia="lv-LV"/>
              </w:rPr>
              <w:t>2</w:t>
            </w:r>
          </w:p>
        </w:tc>
        <w:tc>
          <w:tcPr>
            <w:tcW w:w="1545" w:type="dxa"/>
            <w:tcBorders>
              <w:top w:val="single" w:sz="8" w:space="0" w:color="auto"/>
              <w:left w:val="nil"/>
              <w:bottom w:val="single" w:sz="8" w:space="0" w:color="auto"/>
              <w:right w:val="single" w:sz="8" w:space="0" w:color="auto"/>
            </w:tcBorders>
            <w:shd w:val="clear" w:color="auto" w:fill="auto"/>
            <w:vAlign w:val="center"/>
            <w:hideMark/>
          </w:tcPr>
          <w:p w14:paraId="6FA02AF8" w14:textId="77777777" w:rsidR="00AC4629" w:rsidRPr="008E4EB0" w:rsidRDefault="00AC4629" w:rsidP="00B00F90">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Atlikums, kas ieskaitāms jebkurā no trim iepriekšējo vai nākamo gadu mērķiem</w:t>
            </w:r>
            <w:r w:rsidRPr="008E4EB0">
              <w:rPr>
                <w:rStyle w:val="FootnoteReference"/>
                <w:rFonts w:ascii="Times New Roman" w:eastAsia="Times New Roman" w:hAnsi="Times New Roman" w:cs="Times New Roman"/>
                <w:color w:val="000000"/>
                <w:sz w:val="20"/>
                <w:szCs w:val="20"/>
                <w:lang w:eastAsia="lv-LV"/>
              </w:rPr>
              <w:footnoteReference w:id="32"/>
            </w:r>
            <w:r w:rsidRPr="008E4EB0">
              <w:rPr>
                <w:rFonts w:ascii="Times New Roman" w:eastAsia="Times New Roman" w:hAnsi="Times New Roman" w:cs="Times New Roman"/>
                <w:color w:val="000000"/>
                <w:sz w:val="20"/>
                <w:szCs w:val="20"/>
                <w:lang w:eastAsia="lv-LV"/>
              </w:rPr>
              <w:t>, m</w:t>
            </w:r>
            <w:r w:rsidRPr="008E4EB0">
              <w:rPr>
                <w:rFonts w:ascii="Times New Roman" w:eastAsia="Times New Roman" w:hAnsi="Times New Roman" w:cs="Times New Roman"/>
                <w:color w:val="000000"/>
                <w:sz w:val="20"/>
                <w:szCs w:val="20"/>
                <w:vertAlign w:val="superscript"/>
                <w:lang w:eastAsia="lv-LV"/>
              </w:rPr>
              <w:t>2</w:t>
            </w:r>
          </w:p>
        </w:tc>
      </w:tr>
      <w:tr w:rsidR="00AC4629" w:rsidRPr="008E4EB0" w14:paraId="30153EEB" w14:textId="77777777" w:rsidTr="00B00F90">
        <w:trPr>
          <w:trHeight w:val="645"/>
        </w:trPr>
        <w:tc>
          <w:tcPr>
            <w:tcW w:w="1034" w:type="dxa"/>
            <w:tcBorders>
              <w:top w:val="nil"/>
              <w:left w:val="single" w:sz="8" w:space="0" w:color="auto"/>
              <w:bottom w:val="single" w:sz="8" w:space="0" w:color="auto"/>
              <w:right w:val="single" w:sz="8" w:space="0" w:color="auto"/>
            </w:tcBorders>
            <w:shd w:val="clear" w:color="auto" w:fill="auto"/>
            <w:vAlign w:val="center"/>
            <w:hideMark/>
          </w:tcPr>
          <w:p w14:paraId="28397264" w14:textId="77777777" w:rsidR="00AC4629" w:rsidRPr="008E4EB0" w:rsidRDefault="00AC4629" w:rsidP="00B00F90">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2014.gads</w:t>
            </w:r>
          </w:p>
        </w:tc>
        <w:tc>
          <w:tcPr>
            <w:tcW w:w="1238" w:type="dxa"/>
            <w:tcBorders>
              <w:top w:val="nil"/>
              <w:left w:val="nil"/>
              <w:bottom w:val="single" w:sz="8" w:space="0" w:color="auto"/>
              <w:right w:val="single" w:sz="8" w:space="0" w:color="auto"/>
            </w:tcBorders>
            <w:shd w:val="clear" w:color="auto" w:fill="auto"/>
            <w:vAlign w:val="center"/>
            <w:hideMark/>
          </w:tcPr>
          <w:p w14:paraId="3EE6415E" w14:textId="77777777" w:rsidR="00AC4629" w:rsidRPr="008E4EB0" w:rsidRDefault="00AC4629" w:rsidP="00B00F90">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01.01.2014.</w:t>
            </w:r>
          </w:p>
        </w:tc>
        <w:tc>
          <w:tcPr>
            <w:tcW w:w="1979" w:type="dxa"/>
            <w:tcBorders>
              <w:top w:val="nil"/>
              <w:left w:val="nil"/>
              <w:bottom w:val="single" w:sz="8" w:space="0" w:color="auto"/>
              <w:right w:val="single" w:sz="8" w:space="0" w:color="auto"/>
            </w:tcBorders>
            <w:shd w:val="clear" w:color="auto" w:fill="auto"/>
            <w:vAlign w:val="center"/>
            <w:hideMark/>
          </w:tcPr>
          <w:p w14:paraId="2266813A" w14:textId="77777777" w:rsidR="00AC4629" w:rsidRPr="008E4EB0" w:rsidRDefault="00AC4629" w:rsidP="00B00F90">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2008.-2012.gada dati</w:t>
            </w:r>
            <w:r w:rsidRPr="008E4EB0">
              <w:rPr>
                <w:rFonts w:ascii="Times New Roman" w:eastAsia="Times New Roman" w:hAnsi="Times New Roman" w:cs="Times New Roman"/>
                <w:color w:val="000000"/>
                <w:sz w:val="20"/>
                <w:szCs w:val="20"/>
                <w:lang w:eastAsia="lv-LV"/>
              </w:rPr>
              <w:br/>
              <w:t>(ēkas virs 500 m</w:t>
            </w:r>
            <w:r w:rsidRPr="008E4EB0">
              <w:rPr>
                <w:rFonts w:ascii="Times New Roman" w:eastAsia="Times New Roman" w:hAnsi="Times New Roman" w:cs="Times New Roman"/>
                <w:color w:val="000000"/>
                <w:sz w:val="20"/>
                <w:szCs w:val="20"/>
                <w:vertAlign w:val="superscript"/>
                <w:lang w:eastAsia="lv-LV"/>
              </w:rPr>
              <w:t>2</w:t>
            </w:r>
            <w:r w:rsidRPr="008E4EB0">
              <w:rPr>
                <w:rFonts w:ascii="Times New Roman" w:eastAsia="Times New Roman" w:hAnsi="Times New Roman" w:cs="Times New Roman"/>
                <w:color w:val="000000"/>
                <w:sz w:val="20"/>
                <w:szCs w:val="20"/>
                <w:lang w:eastAsia="lv-LV"/>
              </w:rPr>
              <w:t>)</w:t>
            </w:r>
          </w:p>
        </w:tc>
        <w:tc>
          <w:tcPr>
            <w:tcW w:w="1738" w:type="dxa"/>
            <w:tcBorders>
              <w:top w:val="nil"/>
              <w:left w:val="nil"/>
              <w:bottom w:val="single" w:sz="8" w:space="0" w:color="auto"/>
              <w:right w:val="single" w:sz="8" w:space="0" w:color="auto"/>
            </w:tcBorders>
            <w:shd w:val="clear" w:color="auto" w:fill="auto"/>
            <w:vAlign w:val="center"/>
            <w:hideMark/>
          </w:tcPr>
          <w:p w14:paraId="51784BE3" w14:textId="77777777" w:rsidR="00AC4629" w:rsidRPr="008E4EB0" w:rsidRDefault="00AC4629" w:rsidP="00B00F90">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2589322,00</w:t>
            </w:r>
          </w:p>
        </w:tc>
        <w:tc>
          <w:tcPr>
            <w:tcW w:w="1397" w:type="dxa"/>
            <w:tcBorders>
              <w:top w:val="nil"/>
              <w:left w:val="nil"/>
              <w:bottom w:val="single" w:sz="8" w:space="0" w:color="auto"/>
              <w:right w:val="single" w:sz="8" w:space="0" w:color="auto"/>
            </w:tcBorders>
            <w:shd w:val="clear" w:color="auto" w:fill="auto"/>
            <w:vAlign w:val="center"/>
            <w:hideMark/>
          </w:tcPr>
          <w:p w14:paraId="0F0417B0" w14:textId="77777777" w:rsidR="00AC4629" w:rsidRPr="008E4EB0" w:rsidRDefault="00AC4629" w:rsidP="00B00F90">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77679,66</w:t>
            </w:r>
          </w:p>
        </w:tc>
        <w:tc>
          <w:tcPr>
            <w:tcW w:w="1207" w:type="dxa"/>
            <w:tcBorders>
              <w:top w:val="nil"/>
              <w:left w:val="nil"/>
              <w:bottom w:val="single" w:sz="8" w:space="0" w:color="auto"/>
              <w:right w:val="single" w:sz="8" w:space="0" w:color="auto"/>
              <w:tl2br w:val="single" w:sz="8" w:space="0" w:color="auto"/>
              <w:tr2bl w:val="single" w:sz="8" w:space="0" w:color="auto"/>
            </w:tcBorders>
            <w:shd w:val="clear" w:color="auto" w:fill="auto"/>
            <w:vAlign w:val="center"/>
          </w:tcPr>
          <w:p w14:paraId="2B0D74B5" w14:textId="77777777" w:rsidR="00AC4629" w:rsidRPr="008E4EB0" w:rsidRDefault="00AC4629" w:rsidP="00B00F90">
            <w:pPr>
              <w:spacing w:after="0" w:line="240" w:lineRule="auto"/>
              <w:jc w:val="center"/>
              <w:rPr>
                <w:rFonts w:ascii="Times New Roman" w:eastAsia="Times New Roman" w:hAnsi="Times New Roman" w:cs="Times New Roman"/>
                <w:color w:val="000000"/>
                <w:sz w:val="20"/>
                <w:szCs w:val="20"/>
                <w:lang w:eastAsia="lv-LV"/>
              </w:rPr>
            </w:pPr>
          </w:p>
        </w:tc>
        <w:tc>
          <w:tcPr>
            <w:tcW w:w="1545" w:type="dxa"/>
            <w:tcBorders>
              <w:top w:val="nil"/>
              <w:left w:val="nil"/>
              <w:bottom w:val="single" w:sz="8" w:space="0" w:color="auto"/>
              <w:right w:val="single" w:sz="8" w:space="0" w:color="auto"/>
              <w:tl2br w:val="single" w:sz="8" w:space="0" w:color="auto"/>
              <w:tr2bl w:val="single" w:sz="8" w:space="0" w:color="auto"/>
            </w:tcBorders>
            <w:shd w:val="clear" w:color="auto" w:fill="auto"/>
            <w:vAlign w:val="center"/>
          </w:tcPr>
          <w:p w14:paraId="3E431F51" w14:textId="77777777" w:rsidR="00AC4629" w:rsidRPr="008E4EB0" w:rsidRDefault="00AC4629" w:rsidP="00B00F90">
            <w:pPr>
              <w:spacing w:after="0" w:line="240" w:lineRule="auto"/>
              <w:jc w:val="center"/>
              <w:rPr>
                <w:rFonts w:ascii="Times New Roman" w:eastAsia="Times New Roman" w:hAnsi="Times New Roman" w:cs="Times New Roman"/>
                <w:color w:val="000000"/>
                <w:sz w:val="20"/>
                <w:szCs w:val="20"/>
                <w:lang w:eastAsia="lv-LV"/>
              </w:rPr>
            </w:pPr>
          </w:p>
        </w:tc>
      </w:tr>
      <w:tr w:rsidR="00AC4629" w:rsidRPr="008E4EB0" w14:paraId="7A2FDF1F" w14:textId="77777777" w:rsidTr="00B00F90">
        <w:trPr>
          <w:trHeight w:val="645"/>
        </w:trPr>
        <w:tc>
          <w:tcPr>
            <w:tcW w:w="1034" w:type="dxa"/>
            <w:tcBorders>
              <w:top w:val="nil"/>
              <w:left w:val="single" w:sz="8" w:space="0" w:color="auto"/>
              <w:bottom w:val="single" w:sz="8" w:space="0" w:color="auto"/>
              <w:right w:val="single" w:sz="8" w:space="0" w:color="auto"/>
            </w:tcBorders>
            <w:shd w:val="clear" w:color="auto" w:fill="auto"/>
            <w:vAlign w:val="center"/>
            <w:hideMark/>
          </w:tcPr>
          <w:p w14:paraId="3A1B84B4" w14:textId="77777777" w:rsidR="00AC4629" w:rsidRPr="008E4EB0" w:rsidRDefault="00AC4629" w:rsidP="00B00F90">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2015.gads</w:t>
            </w:r>
          </w:p>
        </w:tc>
        <w:tc>
          <w:tcPr>
            <w:tcW w:w="1238" w:type="dxa"/>
            <w:tcBorders>
              <w:top w:val="nil"/>
              <w:left w:val="nil"/>
              <w:bottom w:val="single" w:sz="8" w:space="0" w:color="auto"/>
              <w:right w:val="single" w:sz="8" w:space="0" w:color="auto"/>
            </w:tcBorders>
            <w:shd w:val="clear" w:color="auto" w:fill="auto"/>
            <w:vAlign w:val="center"/>
            <w:hideMark/>
          </w:tcPr>
          <w:p w14:paraId="4CBEC43B" w14:textId="77777777" w:rsidR="00AC4629" w:rsidRPr="008E4EB0" w:rsidRDefault="00AC4629" w:rsidP="00B00F90">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01.01.2015.</w:t>
            </w:r>
          </w:p>
        </w:tc>
        <w:tc>
          <w:tcPr>
            <w:tcW w:w="1979" w:type="dxa"/>
            <w:tcBorders>
              <w:top w:val="nil"/>
              <w:left w:val="nil"/>
              <w:bottom w:val="single" w:sz="8" w:space="0" w:color="auto"/>
              <w:right w:val="single" w:sz="8" w:space="0" w:color="auto"/>
            </w:tcBorders>
            <w:shd w:val="clear" w:color="auto" w:fill="auto"/>
            <w:vAlign w:val="center"/>
            <w:hideMark/>
          </w:tcPr>
          <w:p w14:paraId="4D7AF947" w14:textId="77777777" w:rsidR="00AC4629" w:rsidRPr="008E4EB0" w:rsidRDefault="00AC4629" w:rsidP="00B00F90">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2009.-2013.gada dati</w:t>
            </w:r>
            <w:r w:rsidRPr="008E4EB0">
              <w:rPr>
                <w:rFonts w:ascii="Times New Roman" w:eastAsia="Times New Roman" w:hAnsi="Times New Roman" w:cs="Times New Roman"/>
                <w:color w:val="000000"/>
                <w:sz w:val="20"/>
                <w:szCs w:val="20"/>
                <w:lang w:eastAsia="lv-LV"/>
              </w:rPr>
              <w:br/>
              <w:t>(ēkas virs 500 m</w:t>
            </w:r>
            <w:r w:rsidRPr="008E4EB0">
              <w:rPr>
                <w:rFonts w:ascii="Times New Roman" w:eastAsia="Times New Roman" w:hAnsi="Times New Roman" w:cs="Times New Roman"/>
                <w:color w:val="000000"/>
                <w:sz w:val="20"/>
                <w:szCs w:val="20"/>
                <w:vertAlign w:val="superscript"/>
                <w:lang w:eastAsia="lv-LV"/>
              </w:rPr>
              <w:t>2</w:t>
            </w:r>
            <w:r w:rsidRPr="008E4EB0">
              <w:rPr>
                <w:rFonts w:ascii="Times New Roman" w:eastAsia="Times New Roman" w:hAnsi="Times New Roman" w:cs="Times New Roman"/>
                <w:color w:val="000000"/>
                <w:sz w:val="20"/>
                <w:szCs w:val="20"/>
                <w:lang w:eastAsia="lv-LV"/>
              </w:rPr>
              <w:t>)</w:t>
            </w:r>
          </w:p>
        </w:tc>
        <w:tc>
          <w:tcPr>
            <w:tcW w:w="1738" w:type="dxa"/>
            <w:tcBorders>
              <w:top w:val="nil"/>
              <w:left w:val="nil"/>
              <w:bottom w:val="single" w:sz="8" w:space="0" w:color="auto"/>
              <w:right w:val="single" w:sz="8" w:space="0" w:color="auto"/>
            </w:tcBorders>
            <w:shd w:val="clear" w:color="auto" w:fill="auto"/>
            <w:vAlign w:val="center"/>
            <w:hideMark/>
          </w:tcPr>
          <w:p w14:paraId="01B9FD93" w14:textId="77777777" w:rsidR="00AC4629" w:rsidRPr="008E4EB0" w:rsidRDefault="00AC4629" w:rsidP="00B00F90">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2496955,81</w:t>
            </w:r>
          </w:p>
        </w:tc>
        <w:tc>
          <w:tcPr>
            <w:tcW w:w="1397" w:type="dxa"/>
            <w:tcBorders>
              <w:top w:val="nil"/>
              <w:left w:val="nil"/>
              <w:bottom w:val="single" w:sz="8" w:space="0" w:color="auto"/>
              <w:right w:val="single" w:sz="8" w:space="0" w:color="auto"/>
            </w:tcBorders>
            <w:shd w:val="clear" w:color="auto" w:fill="auto"/>
            <w:vAlign w:val="center"/>
            <w:hideMark/>
          </w:tcPr>
          <w:p w14:paraId="5741AFA4" w14:textId="77777777" w:rsidR="00AC4629" w:rsidRPr="008E4EB0" w:rsidRDefault="00AC4629" w:rsidP="00B00F90">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74908,67</w:t>
            </w:r>
          </w:p>
        </w:tc>
        <w:tc>
          <w:tcPr>
            <w:tcW w:w="1207" w:type="dxa"/>
            <w:tcBorders>
              <w:top w:val="nil"/>
              <w:left w:val="nil"/>
              <w:bottom w:val="single" w:sz="8" w:space="0" w:color="auto"/>
              <w:right w:val="single" w:sz="8" w:space="0" w:color="auto"/>
            </w:tcBorders>
            <w:shd w:val="clear" w:color="auto" w:fill="auto"/>
            <w:vAlign w:val="center"/>
            <w:hideMark/>
          </w:tcPr>
          <w:p w14:paraId="0DFC0C1D" w14:textId="77777777" w:rsidR="00AC4629" w:rsidRPr="008E4EB0" w:rsidRDefault="00AC4629" w:rsidP="00B00F90">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232635,36</w:t>
            </w:r>
            <w:r w:rsidRPr="008E4EB0">
              <w:rPr>
                <w:rStyle w:val="FootnoteReference"/>
                <w:rFonts w:ascii="Times New Roman" w:eastAsia="Times New Roman" w:hAnsi="Times New Roman" w:cs="Times New Roman"/>
                <w:color w:val="000000"/>
                <w:sz w:val="20"/>
                <w:szCs w:val="20"/>
                <w:lang w:eastAsia="lv-LV"/>
              </w:rPr>
              <w:footnoteReference w:id="33"/>
            </w:r>
          </w:p>
        </w:tc>
        <w:tc>
          <w:tcPr>
            <w:tcW w:w="1545" w:type="dxa"/>
            <w:tcBorders>
              <w:top w:val="nil"/>
              <w:left w:val="nil"/>
              <w:bottom w:val="single" w:sz="8" w:space="0" w:color="auto"/>
              <w:right w:val="single" w:sz="8" w:space="0" w:color="auto"/>
            </w:tcBorders>
            <w:shd w:val="clear" w:color="auto" w:fill="auto"/>
            <w:vAlign w:val="center"/>
            <w:hideMark/>
          </w:tcPr>
          <w:p w14:paraId="19695D60" w14:textId="77777777" w:rsidR="00AC4629" w:rsidRPr="008E4EB0" w:rsidRDefault="00AC4629" w:rsidP="00B00F90">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80047,03</w:t>
            </w:r>
          </w:p>
        </w:tc>
      </w:tr>
      <w:tr w:rsidR="00AC4629" w:rsidRPr="008E4EB0" w14:paraId="68E51AA8" w14:textId="77777777" w:rsidTr="00B00F90">
        <w:trPr>
          <w:trHeight w:val="645"/>
        </w:trPr>
        <w:tc>
          <w:tcPr>
            <w:tcW w:w="1034" w:type="dxa"/>
            <w:tcBorders>
              <w:top w:val="nil"/>
              <w:left w:val="single" w:sz="8" w:space="0" w:color="auto"/>
              <w:bottom w:val="single" w:sz="8" w:space="0" w:color="auto"/>
              <w:right w:val="single" w:sz="8" w:space="0" w:color="auto"/>
            </w:tcBorders>
            <w:shd w:val="clear" w:color="auto" w:fill="auto"/>
            <w:vAlign w:val="center"/>
            <w:hideMark/>
          </w:tcPr>
          <w:p w14:paraId="198FB1C2" w14:textId="77777777" w:rsidR="00AC4629" w:rsidRPr="008E4EB0" w:rsidRDefault="00AC4629" w:rsidP="00B00F90">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2016.gads</w:t>
            </w:r>
          </w:p>
        </w:tc>
        <w:tc>
          <w:tcPr>
            <w:tcW w:w="1238" w:type="dxa"/>
            <w:tcBorders>
              <w:top w:val="nil"/>
              <w:left w:val="nil"/>
              <w:bottom w:val="single" w:sz="8" w:space="0" w:color="auto"/>
              <w:right w:val="single" w:sz="8" w:space="0" w:color="auto"/>
            </w:tcBorders>
            <w:shd w:val="clear" w:color="auto" w:fill="auto"/>
            <w:vAlign w:val="center"/>
            <w:hideMark/>
          </w:tcPr>
          <w:p w14:paraId="38A31EF1" w14:textId="77777777" w:rsidR="00AC4629" w:rsidRPr="008E4EB0" w:rsidRDefault="00AC4629" w:rsidP="00B00F90">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09.07.2015.</w:t>
            </w:r>
          </w:p>
        </w:tc>
        <w:tc>
          <w:tcPr>
            <w:tcW w:w="1979" w:type="dxa"/>
            <w:tcBorders>
              <w:top w:val="nil"/>
              <w:left w:val="nil"/>
              <w:bottom w:val="single" w:sz="8" w:space="0" w:color="auto"/>
              <w:right w:val="single" w:sz="8" w:space="0" w:color="auto"/>
            </w:tcBorders>
            <w:shd w:val="clear" w:color="auto" w:fill="auto"/>
            <w:vAlign w:val="center"/>
            <w:hideMark/>
          </w:tcPr>
          <w:p w14:paraId="64E6D79E" w14:textId="77777777" w:rsidR="00AC4629" w:rsidRPr="008E4EB0" w:rsidRDefault="00AC4629" w:rsidP="00B00F90">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2010.-2014.gada dati</w:t>
            </w:r>
            <w:r w:rsidRPr="008E4EB0">
              <w:rPr>
                <w:rFonts w:ascii="Times New Roman" w:eastAsia="Times New Roman" w:hAnsi="Times New Roman" w:cs="Times New Roman"/>
                <w:color w:val="000000"/>
                <w:sz w:val="20"/>
                <w:szCs w:val="20"/>
                <w:lang w:eastAsia="lv-LV"/>
              </w:rPr>
              <w:br/>
              <w:t>(ēkas virs 250 m</w:t>
            </w:r>
            <w:r w:rsidRPr="008E4EB0">
              <w:rPr>
                <w:rFonts w:ascii="Times New Roman" w:eastAsia="Times New Roman" w:hAnsi="Times New Roman" w:cs="Times New Roman"/>
                <w:color w:val="000000"/>
                <w:sz w:val="20"/>
                <w:szCs w:val="20"/>
                <w:vertAlign w:val="superscript"/>
                <w:lang w:eastAsia="lv-LV"/>
              </w:rPr>
              <w:t>2</w:t>
            </w:r>
            <w:r w:rsidRPr="008E4EB0">
              <w:rPr>
                <w:rFonts w:ascii="Times New Roman" w:eastAsia="Times New Roman" w:hAnsi="Times New Roman" w:cs="Times New Roman"/>
                <w:color w:val="000000"/>
                <w:sz w:val="20"/>
                <w:szCs w:val="20"/>
                <w:lang w:eastAsia="lv-LV"/>
              </w:rPr>
              <w:t>)</w:t>
            </w:r>
          </w:p>
        </w:tc>
        <w:tc>
          <w:tcPr>
            <w:tcW w:w="1738" w:type="dxa"/>
            <w:tcBorders>
              <w:top w:val="nil"/>
              <w:left w:val="nil"/>
              <w:bottom w:val="single" w:sz="8" w:space="0" w:color="auto"/>
              <w:right w:val="single" w:sz="8" w:space="0" w:color="auto"/>
            </w:tcBorders>
            <w:shd w:val="clear" w:color="auto" w:fill="auto"/>
            <w:vAlign w:val="center"/>
            <w:hideMark/>
          </w:tcPr>
          <w:p w14:paraId="06EAC0F6" w14:textId="77777777" w:rsidR="00AC4629" w:rsidRPr="008E4EB0" w:rsidRDefault="00AC4629" w:rsidP="00B00F90">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2205846,99</w:t>
            </w:r>
          </w:p>
        </w:tc>
        <w:tc>
          <w:tcPr>
            <w:tcW w:w="1397" w:type="dxa"/>
            <w:tcBorders>
              <w:top w:val="nil"/>
              <w:left w:val="nil"/>
              <w:bottom w:val="single" w:sz="8" w:space="0" w:color="auto"/>
              <w:right w:val="single" w:sz="8" w:space="0" w:color="auto"/>
            </w:tcBorders>
            <w:shd w:val="clear" w:color="auto" w:fill="auto"/>
            <w:vAlign w:val="center"/>
            <w:hideMark/>
          </w:tcPr>
          <w:p w14:paraId="76F95ACE" w14:textId="77777777" w:rsidR="00AC4629" w:rsidRPr="008E4EB0" w:rsidRDefault="00AC4629" w:rsidP="00B00F90">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66175,41</w:t>
            </w:r>
          </w:p>
        </w:tc>
        <w:tc>
          <w:tcPr>
            <w:tcW w:w="1207" w:type="dxa"/>
            <w:tcBorders>
              <w:top w:val="nil"/>
              <w:left w:val="nil"/>
              <w:bottom w:val="single" w:sz="8" w:space="0" w:color="auto"/>
              <w:right w:val="single" w:sz="8" w:space="0" w:color="auto"/>
            </w:tcBorders>
            <w:shd w:val="clear" w:color="auto" w:fill="auto"/>
            <w:vAlign w:val="center"/>
            <w:hideMark/>
          </w:tcPr>
          <w:p w14:paraId="571D8EF0" w14:textId="77777777" w:rsidR="00AC4629" w:rsidRPr="008E4EB0" w:rsidRDefault="00AC4629" w:rsidP="00B00F90">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 </w:t>
            </w:r>
          </w:p>
        </w:tc>
        <w:tc>
          <w:tcPr>
            <w:tcW w:w="1545" w:type="dxa"/>
            <w:tcBorders>
              <w:top w:val="nil"/>
              <w:left w:val="nil"/>
              <w:bottom w:val="single" w:sz="8" w:space="0" w:color="auto"/>
              <w:right w:val="single" w:sz="8" w:space="0" w:color="auto"/>
            </w:tcBorders>
            <w:shd w:val="clear" w:color="auto" w:fill="auto"/>
            <w:vAlign w:val="center"/>
            <w:hideMark/>
          </w:tcPr>
          <w:p w14:paraId="24018201" w14:textId="77777777" w:rsidR="00AC4629" w:rsidRPr="008E4EB0" w:rsidRDefault="00AC4629" w:rsidP="00B00F90">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13871,62</w:t>
            </w:r>
          </w:p>
        </w:tc>
      </w:tr>
      <w:tr w:rsidR="00AC4629" w:rsidRPr="008E4EB0" w14:paraId="4D36F6B9" w14:textId="77777777" w:rsidTr="00B00F90">
        <w:trPr>
          <w:trHeight w:val="645"/>
        </w:trPr>
        <w:tc>
          <w:tcPr>
            <w:tcW w:w="1034" w:type="dxa"/>
            <w:tcBorders>
              <w:top w:val="nil"/>
              <w:left w:val="single" w:sz="8" w:space="0" w:color="auto"/>
              <w:bottom w:val="single" w:sz="8" w:space="0" w:color="auto"/>
              <w:right w:val="single" w:sz="8" w:space="0" w:color="auto"/>
            </w:tcBorders>
            <w:shd w:val="clear" w:color="auto" w:fill="auto"/>
            <w:vAlign w:val="center"/>
            <w:hideMark/>
          </w:tcPr>
          <w:p w14:paraId="383C8502" w14:textId="77777777" w:rsidR="00AC4629" w:rsidRPr="008E4EB0" w:rsidRDefault="00AC4629" w:rsidP="00B00F90">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2017.gads</w:t>
            </w:r>
          </w:p>
        </w:tc>
        <w:tc>
          <w:tcPr>
            <w:tcW w:w="1238" w:type="dxa"/>
            <w:tcBorders>
              <w:top w:val="nil"/>
              <w:left w:val="nil"/>
              <w:bottom w:val="single" w:sz="8" w:space="0" w:color="auto"/>
              <w:right w:val="single" w:sz="8" w:space="0" w:color="auto"/>
            </w:tcBorders>
            <w:shd w:val="clear" w:color="auto" w:fill="auto"/>
            <w:vAlign w:val="center"/>
            <w:hideMark/>
          </w:tcPr>
          <w:p w14:paraId="04C77FBD" w14:textId="77777777" w:rsidR="00AC4629" w:rsidRPr="008E4EB0" w:rsidRDefault="00AC4629" w:rsidP="00B00F90">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09.07.2016.</w:t>
            </w:r>
          </w:p>
        </w:tc>
        <w:tc>
          <w:tcPr>
            <w:tcW w:w="1979" w:type="dxa"/>
            <w:tcBorders>
              <w:top w:val="nil"/>
              <w:left w:val="nil"/>
              <w:bottom w:val="single" w:sz="8" w:space="0" w:color="auto"/>
              <w:right w:val="single" w:sz="8" w:space="0" w:color="auto"/>
            </w:tcBorders>
            <w:shd w:val="clear" w:color="auto" w:fill="auto"/>
            <w:vAlign w:val="center"/>
            <w:hideMark/>
          </w:tcPr>
          <w:p w14:paraId="747C1940" w14:textId="77777777" w:rsidR="00AC4629" w:rsidRPr="008E4EB0" w:rsidRDefault="00AC4629" w:rsidP="00B00F90">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2011.-2015.gada dati</w:t>
            </w:r>
            <w:r w:rsidRPr="008E4EB0">
              <w:rPr>
                <w:rFonts w:ascii="Times New Roman" w:eastAsia="Times New Roman" w:hAnsi="Times New Roman" w:cs="Times New Roman"/>
                <w:color w:val="000000"/>
                <w:sz w:val="20"/>
                <w:szCs w:val="20"/>
                <w:lang w:eastAsia="lv-LV"/>
              </w:rPr>
              <w:br/>
              <w:t>(ēkas virs 250 m</w:t>
            </w:r>
            <w:r w:rsidRPr="008E4EB0">
              <w:rPr>
                <w:rFonts w:ascii="Times New Roman" w:eastAsia="Times New Roman" w:hAnsi="Times New Roman" w:cs="Times New Roman"/>
                <w:color w:val="000000"/>
                <w:sz w:val="20"/>
                <w:szCs w:val="20"/>
                <w:vertAlign w:val="superscript"/>
                <w:lang w:eastAsia="lv-LV"/>
              </w:rPr>
              <w:t>2</w:t>
            </w:r>
            <w:r w:rsidRPr="008E4EB0">
              <w:rPr>
                <w:rFonts w:ascii="Times New Roman" w:eastAsia="Times New Roman" w:hAnsi="Times New Roman" w:cs="Times New Roman"/>
                <w:color w:val="000000"/>
                <w:sz w:val="20"/>
                <w:szCs w:val="20"/>
                <w:lang w:eastAsia="lv-LV"/>
              </w:rPr>
              <w:t>)</w:t>
            </w:r>
          </w:p>
        </w:tc>
        <w:tc>
          <w:tcPr>
            <w:tcW w:w="1738" w:type="dxa"/>
            <w:tcBorders>
              <w:top w:val="nil"/>
              <w:left w:val="nil"/>
              <w:bottom w:val="single" w:sz="8" w:space="0" w:color="auto"/>
              <w:right w:val="single" w:sz="8" w:space="0" w:color="auto"/>
            </w:tcBorders>
            <w:shd w:val="clear" w:color="auto" w:fill="auto"/>
            <w:vAlign w:val="center"/>
            <w:hideMark/>
          </w:tcPr>
          <w:p w14:paraId="57E190CD" w14:textId="77777777" w:rsidR="00AC4629" w:rsidRPr="008E4EB0" w:rsidRDefault="00AC4629" w:rsidP="00B00F90">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1999336,83</w:t>
            </w:r>
          </w:p>
        </w:tc>
        <w:tc>
          <w:tcPr>
            <w:tcW w:w="1397" w:type="dxa"/>
            <w:tcBorders>
              <w:top w:val="nil"/>
              <w:left w:val="nil"/>
              <w:bottom w:val="single" w:sz="8" w:space="0" w:color="auto"/>
              <w:right w:val="single" w:sz="8" w:space="0" w:color="auto"/>
            </w:tcBorders>
            <w:shd w:val="clear" w:color="auto" w:fill="auto"/>
            <w:vAlign w:val="center"/>
            <w:hideMark/>
          </w:tcPr>
          <w:p w14:paraId="037CFFB0" w14:textId="77777777" w:rsidR="00AC4629" w:rsidRPr="008E4EB0" w:rsidRDefault="00AC4629" w:rsidP="00B00F90">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59980,10</w:t>
            </w:r>
          </w:p>
        </w:tc>
        <w:tc>
          <w:tcPr>
            <w:tcW w:w="1207" w:type="dxa"/>
            <w:tcBorders>
              <w:top w:val="nil"/>
              <w:left w:val="nil"/>
              <w:bottom w:val="single" w:sz="8" w:space="0" w:color="auto"/>
              <w:right w:val="single" w:sz="8" w:space="0" w:color="auto"/>
            </w:tcBorders>
            <w:shd w:val="clear" w:color="auto" w:fill="auto"/>
            <w:vAlign w:val="center"/>
            <w:hideMark/>
          </w:tcPr>
          <w:p w14:paraId="6D69B609" w14:textId="77777777" w:rsidR="00AC4629" w:rsidRPr="008E4EB0" w:rsidRDefault="00AC4629" w:rsidP="00B00F90">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136155,30</w:t>
            </w:r>
            <w:r w:rsidRPr="008E4EB0">
              <w:rPr>
                <w:rStyle w:val="FootnoteReference"/>
                <w:rFonts w:ascii="Times New Roman" w:eastAsia="Times New Roman" w:hAnsi="Times New Roman" w:cs="Times New Roman"/>
                <w:color w:val="000000"/>
                <w:sz w:val="20"/>
                <w:szCs w:val="20"/>
                <w:lang w:eastAsia="lv-LV"/>
              </w:rPr>
              <w:footnoteReference w:id="34"/>
            </w:r>
          </w:p>
        </w:tc>
        <w:tc>
          <w:tcPr>
            <w:tcW w:w="1545" w:type="dxa"/>
            <w:tcBorders>
              <w:top w:val="nil"/>
              <w:left w:val="nil"/>
              <w:bottom w:val="single" w:sz="8" w:space="0" w:color="auto"/>
              <w:right w:val="single" w:sz="8" w:space="0" w:color="auto"/>
            </w:tcBorders>
            <w:shd w:val="clear" w:color="auto" w:fill="auto"/>
            <w:vAlign w:val="center"/>
            <w:hideMark/>
          </w:tcPr>
          <w:p w14:paraId="0B7972D4" w14:textId="77777777" w:rsidR="00AC4629" w:rsidRPr="008E4EB0" w:rsidRDefault="00AC4629" w:rsidP="00B00F90">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90046,82</w:t>
            </w:r>
          </w:p>
        </w:tc>
      </w:tr>
      <w:tr w:rsidR="00AC4629" w:rsidRPr="008E4EB0" w14:paraId="7E74C2F3" w14:textId="77777777" w:rsidTr="00B00F90">
        <w:trPr>
          <w:trHeight w:val="645"/>
        </w:trPr>
        <w:tc>
          <w:tcPr>
            <w:tcW w:w="1034" w:type="dxa"/>
            <w:tcBorders>
              <w:top w:val="nil"/>
              <w:left w:val="single" w:sz="8" w:space="0" w:color="auto"/>
              <w:bottom w:val="single" w:sz="8" w:space="0" w:color="auto"/>
              <w:right w:val="single" w:sz="8" w:space="0" w:color="auto"/>
            </w:tcBorders>
            <w:shd w:val="clear" w:color="auto" w:fill="auto"/>
            <w:vAlign w:val="center"/>
            <w:hideMark/>
          </w:tcPr>
          <w:p w14:paraId="50A3EA87" w14:textId="77777777" w:rsidR="00AC4629" w:rsidRPr="008E4EB0" w:rsidRDefault="00AC4629" w:rsidP="00B00F90">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2018.gads</w:t>
            </w:r>
          </w:p>
        </w:tc>
        <w:tc>
          <w:tcPr>
            <w:tcW w:w="1238" w:type="dxa"/>
            <w:tcBorders>
              <w:top w:val="nil"/>
              <w:left w:val="nil"/>
              <w:bottom w:val="single" w:sz="8" w:space="0" w:color="auto"/>
              <w:right w:val="single" w:sz="8" w:space="0" w:color="auto"/>
            </w:tcBorders>
            <w:shd w:val="clear" w:color="auto" w:fill="auto"/>
            <w:vAlign w:val="center"/>
            <w:hideMark/>
          </w:tcPr>
          <w:p w14:paraId="3B691648" w14:textId="77777777" w:rsidR="00AC4629" w:rsidRPr="008E4EB0" w:rsidRDefault="00AC4629" w:rsidP="00B00F90">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09.07.2017.</w:t>
            </w:r>
            <w:r w:rsidRPr="008E4EB0">
              <w:rPr>
                <w:rStyle w:val="FootnoteReference"/>
                <w:rFonts w:ascii="Times New Roman" w:eastAsia="Times New Roman" w:hAnsi="Times New Roman" w:cs="Times New Roman"/>
                <w:color w:val="000000"/>
                <w:sz w:val="20"/>
                <w:szCs w:val="20"/>
                <w:lang w:eastAsia="lv-LV"/>
              </w:rPr>
              <w:footnoteReference w:id="35"/>
            </w:r>
          </w:p>
        </w:tc>
        <w:tc>
          <w:tcPr>
            <w:tcW w:w="1979" w:type="dxa"/>
            <w:tcBorders>
              <w:top w:val="nil"/>
              <w:left w:val="nil"/>
              <w:bottom w:val="single" w:sz="8" w:space="0" w:color="auto"/>
              <w:right w:val="single" w:sz="8" w:space="0" w:color="auto"/>
            </w:tcBorders>
            <w:shd w:val="clear" w:color="auto" w:fill="auto"/>
            <w:vAlign w:val="center"/>
            <w:hideMark/>
          </w:tcPr>
          <w:p w14:paraId="4988AECF" w14:textId="77777777" w:rsidR="00AC4629" w:rsidRPr="008E4EB0" w:rsidRDefault="00AC4629" w:rsidP="00B00F90">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2012.-2016.gada dati</w:t>
            </w:r>
            <w:r w:rsidRPr="008E4EB0">
              <w:rPr>
                <w:rFonts w:ascii="Times New Roman" w:eastAsia="Times New Roman" w:hAnsi="Times New Roman" w:cs="Times New Roman"/>
                <w:color w:val="000000"/>
                <w:sz w:val="20"/>
                <w:szCs w:val="20"/>
                <w:lang w:eastAsia="lv-LV"/>
              </w:rPr>
              <w:br/>
              <w:t>(ēkas virs 250 m</w:t>
            </w:r>
            <w:r w:rsidRPr="008E4EB0">
              <w:rPr>
                <w:rFonts w:ascii="Times New Roman" w:eastAsia="Times New Roman" w:hAnsi="Times New Roman" w:cs="Times New Roman"/>
                <w:color w:val="000000"/>
                <w:sz w:val="20"/>
                <w:szCs w:val="20"/>
                <w:vertAlign w:val="superscript"/>
                <w:lang w:eastAsia="lv-LV"/>
              </w:rPr>
              <w:t>2</w:t>
            </w:r>
            <w:r w:rsidRPr="008E4EB0">
              <w:rPr>
                <w:rFonts w:ascii="Times New Roman" w:eastAsia="Times New Roman" w:hAnsi="Times New Roman" w:cs="Times New Roman"/>
                <w:color w:val="000000"/>
                <w:sz w:val="20"/>
                <w:szCs w:val="20"/>
                <w:lang w:eastAsia="lv-LV"/>
              </w:rPr>
              <w:t>)</w:t>
            </w:r>
          </w:p>
        </w:tc>
        <w:tc>
          <w:tcPr>
            <w:tcW w:w="1738" w:type="dxa"/>
            <w:tcBorders>
              <w:top w:val="nil"/>
              <w:left w:val="nil"/>
              <w:bottom w:val="single" w:sz="8" w:space="0" w:color="auto"/>
              <w:right w:val="single" w:sz="8" w:space="0" w:color="auto"/>
            </w:tcBorders>
            <w:shd w:val="clear" w:color="auto" w:fill="auto"/>
            <w:vAlign w:val="center"/>
            <w:hideMark/>
          </w:tcPr>
          <w:p w14:paraId="1BA70F32" w14:textId="77777777" w:rsidR="00AC4629" w:rsidRPr="008E4EB0" w:rsidRDefault="00AC4629" w:rsidP="00B00F90">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 </w:t>
            </w:r>
          </w:p>
        </w:tc>
        <w:tc>
          <w:tcPr>
            <w:tcW w:w="1397" w:type="dxa"/>
            <w:tcBorders>
              <w:top w:val="nil"/>
              <w:left w:val="nil"/>
              <w:bottom w:val="single" w:sz="8" w:space="0" w:color="auto"/>
              <w:right w:val="single" w:sz="8" w:space="0" w:color="auto"/>
            </w:tcBorders>
            <w:shd w:val="clear" w:color="auto" w:fill="auto"/>
            <w:vAlign w:val="center"/>
            <w:hideMark/>
          </w:tcPr>
          <w:p w14:paraId="72FEBC64" w14:textId="77777777" w:rsidR="00AC4629" w:rsidRPr="008E4EB0" w:rsidRDefault="00AC4629" w:rsidP="00B00F90">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 </w:t>
            </w:r>
          </w:p>
        </w:tc>
        <w:tc>
          <w:tcPr>
            <w:tcW w:w="1207" w:type="dxa"/>
            <w:tcBorders>
              <w:top w:val="nil"/>
              <w:left w:val="nil"/>
              <w:bottom w:val="single" w:sz="8" w:space="0" w:color="auto"/>
              <w:right w:val="single" w:sz="8" w:space="0" w:color="auto"/>
            </w:tcBorders>
            <w:shd w:val="clear" w:color="auto" w:fill="auto"/>
            <w:vAlign w:val="center"/>
            <w:hideMark/>
          </w:tcPr>
          <w:p w14:paraId="318E3041" w14:textId="77777777" w:rsidR="00AC4629" w:rsidRPr="008E4EB0" w:rsidRDefault="00AC4629" w:rsidP="00B00F90">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 </w:t>
            </w:r>
          </w:p>
        </w:tc>
        <w:tc>
          <w:tcPr>
            <w:tcW w:w="1545" w:type="dxa"/>
            <w:tcBorders>
              <w:top w:val="nil"/>
              <w:left w:val="nil"/>
              <w:bottom w:val="single" w:sz="8" w:space="0" w:color="auto"/>
              <w:right w:val="single" w:sz="8" w:space="0" w:color="auto"/>
            </w:tcBorders>
            <w:shd w:val="clear" w:color="auto" w:fill="auto"/>
            <w:vAlign w:val="center"/>
            <w:hideMark/>
          </w:tcPr>
          <w:p w14:paraId="36DE050E" w14:textId="77777777" w:rsidR="00AC4629" w:rsidRPr="008E4EB0" w:rsidRDefault="00AC4629" w:rsidP="00B00F90">
            <w:pPr>
              <w:spacing w:after="0" w:line="240" w:lineRule="auto"/>
              <w:jc w:val="center"/>
              <w:rPr>
                <w:rFonts w:ascii="Times New Roman" w:eastAsia="Times New Roman" w:hAnsi="Times New Roman" w:cs="Times New Roman"/>
                <w:color w:val="000000"/>
                <w:sz w:val="20"/>
                <w:szCs w:val="20"/>
                <w:lang w:eastAsia="lv-LV"/>
              </w:rPr>
            </w:pPr>
            <w:r w:rsidRPr="008E4EB0">
              <w:rPr>
                <w:rFonts w:ascii="Times New Roman" w:eastAsia="Times New Roman" w:hAnsi="Times New Roman" w:cs="Times New Roman"/>
                <w:color w:val="000000"/>
                <w:sz w:val="20"/>
                <w:szCs w:val="20"/>
                <w:lang w:eastAsia="lv-LV"/>
              </w:rPr>
              <w:t>90046,82</w:t>
            </w:r>
          </w:p>
        </w:tc>
      </w:tr>
    </w:tbl>
    <w:p w14:paraId="0FD957E2" w14:textId="18560F65" w:rsidR="00AC4629" w:rsidRPr="008E4EB0" w:rsidRDefault="00AC4629" w:rsidP="00AC4629">
      <w:pPr>
        <w:spacing w:after="0" w:line="240" w:lineRule="auto"/>
        <w:ind w:firstLine="851"/>
        <w:jc w:val="both"/>
        <w:rPr>
          <w:rFonts w:ascii="Times New Roman" w:eastAsia="Calibri" w:hAnsi="Times New Roman" w:cs="Times New Roman"/>
          <w:sz w:val="24"/>
          <w:szCs w:val="24"/>
        </w:rPr>
      </w:pPr>
    </w:p>
    <w:p w14:paraId="389963FE" w14:textId="0E6E5533" w:rsidR="00EC6B06" w:rsidRPr="008E4EB0" w:rsidRDefault="004B7621" w:rsidP="00AC4629">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Lai gan līdz šim esošās Latvijas saistības tiek pildītas</w:t>
      </w:r>
      <w:r w:rsidR="003D2B8D">
        <w:rPr>
          <w:rFonts w:ascii="Times New Roman" w:eastAsia="Calibri" w:hAnsi="Times New Roman" w:cs="Times New Roman"/>
          <w:sz w:val="24"/>
          <w:szCs w:val="24"/>
        </w:rPr>
        <w:t xml:space="preserve"> (2012/27/ES 5.panta prasību izpildes 3% atjaunošanas mērķis), izmantojot gan ES fondu līdzfinansējuma piesaisti, gan valsts budžeta līdzekļus, tomēr valsts ēku fonda atjaunošanas tempi nav pietiekoši. Ilgtermiņā ik gadu renovējot tikai 3% fonda ēku</w:t>
      </w:r>
      <w:r w:rsidR="007F16AB">
        <w:rPr>
          <w:rFonts w:ascii="Times New Roman" w:eastAsia="Calibri" w:hAnsi="Times New Roman" w:cs="Times New Roman"/>
          <w:sz w:val="24"/>
          <w:szCs w:val="24"/>
        </w:rPr>
        <w:t>,</w:t>
      </w:r>
      <w:r w:rsidR="003D2B8D">
        <w:rPr>
          <w:rFonts w:ascii="Times New Roman" w:eastAsia="Calibri" w:hAnsi="Times New Roman" w:cs="Times New Roman"/>
          <w:sz w:val="24"/>
          <w:szCs w:val="24"/>
        </w:rPr>
        <w:t xml:space="preserve"> to pilnīga atjaunošana būtu iespējama tikai pēc 40-50 gadiem (ņemot vērā, ka ik gadu 3% mērķa platība absolūtajās vērtībās proporcionāli samazinās), un visticamāk pēc minētā termiņa beigām lielā daļā atjaunoto ēku būs jāiegulda finanšu līdzekļi atkārtotai atjauno</w:t>
      </w:r>
      <w:r w:rsidR="00185ED9">
        <w:rPr>
          <w:rFonts w:ascii="Times New Roman" w:eastAsia="Calibri" w:hAnsi="Times New Roman" w:cs="Times New Roman"/>
          <w:sz w:val="24"/>
          <w:szCs w:val="24"/>
        </w:rPr>
        <w:t xml:space="preserve">šanai. Ņemot vērā iepriekš minēto un to, ka </w:t>
      </w:r>
      <w:r w:rsidR="00185ED9" w:rsidRPr="00185ED9">
        <w:rPr>
          <w:rFonts w:ascii="Times New Roman" w:eastAsia="Calibri" w:hAnsi="Times New Roman" w:cs="Times New Roman"/>
          <w:sz w:val="24"/>
          <w:szCs w:val="24"/>
        </w:rPr>
        <w:t>4.2.1.2.pasākuma</w:t>
      </w:r>
      <w:r w:rsidR="00185ED9">
        <w:rPr>
          <w:rFonts w:ascii="Times New Roman" w:eastAsia="Calibri" w:hAnsi="Times New Roman" w:cs="Times New Roman"/>
          <w:sz w:val="24"/>
          <w:szCs w:val="24"/>
        </w:rPr>
        <w:t xml:space="preserve"> ieviešanas maksimālais termiņš ir līdz 2025.gadam, nepieciešams </w:t>
      </w:r>
      <w:r w:rsidR="00784F98">
        <w:rPr>
          <w:rFonts w:ascii="Times New Roman" w:eastAsia="Calibri" w:hAnsi="Times New Roman" w:cs="Times New Roman"/>
          <w:sz w:val="24"/>
          <w:szCs w:val="24"/>
        </w:rPr>
        <w:t xml:space="preserve">izstrādāt un </w:t>
      </w:r>
      <w:r w:rsidR="00185ED9">
        <w:rPr>
          <w:rFonts w:ascii="Times New Roman" w:eastAsia="Calibri" w:hAnsi="Times New Roman" w:cs="Times New Roman"/>
          <w:sz w:val="24"/>
          <w:szCs w:val="24"/>
        </w:rPr>
        <w:t>plānot</w:t>
      </w:r>
      <w:r w:rsidR="00784F98">
        <w:rPr>
          <w:rFonts w:ascii="Times New Roman" w:eastAsia="Calibri" w:hAnsi="Times New Roman" w:cs="Times New Roman"/>
          <w:sz w:val="24"/>
          <w:szCs w:val="24"/>
        </w:rPr>
        <w:t xml:space="preserve"> atsevišķu ilgtermiņa risinājumu valsts ēku fonda atjaunošanai.</w:t>
      </w:r>
      <w:r w:rsidR="00185ED9">
        <w:rPr>
          <w:rFonts w:ascii="Times New Roman" w:eastAsia="Calibri" w:hAnsi="Times New Roman" w:cs="Times New Roman"/>
          <w:sz w:val="24"/>
          <w:szCs w:val="24"/>
        </w:rPr>
        <w:t xml:space="preserve">   </w:t>
      </w:r>
    </w:p>
    <w:p w14:paraId="41DFF9D7" w14:textId="28747459" w:rsidR="008B6881" w:rsidRPr="008E4EB0" w:rsidRDefault="008B6881" w:rsidP="008B6881">
      <w:pPr>
        <w:pStyle w:val="teksts"/>
      </w:pPr>
      <w:r w:rsidRPr="008E4EB0">
        <w:t xml:space="preserve">Līdzās ekonomiskajiem ieguvumiem, gan sabiedrībai kopumā, gan ēku īpašniekiem ēku energoefektivitātes paaugstināšanas pasākumu īstenošanas rezultātā ir arī sociālie, vides un enerģijas sistēmu mērķi, kas apkopoti </w:t>
      </w:r>
      <w:r w:rsidR="00F749EA" w:rsidRPr="008E4EB0">
        <w:t>2</w:t>
      </w:r>
      <w:r w:rsidR="00F749EA">
        <w:t>5</w:t>
      </w:r>
      <w:r w:rsidRPr="008E4EB0">
        <w:t xml:space="preserve">. un </w:t>
      </w:r>
      <w:r w:rsidR="00F749EA">
        <w:t>26</w:t>
      </w:r>
      <w:r w:rsidRPr="008E4EB0">
        <w:t>.tabulā.</w:t>
      </w:r>
    </w:p>
    <w:p w14:paraId="48807FC0" w14:textId="77777777" w:rsidR="008B6881" w:rsidRPr="008E4EB0" w:rsidRDefault="008B6881" w:rsidP="008B6881">
      <w:pPr>
        <w:pStyle w:val="teksts"/>
      </w:pPr>
    </w:p>
    <w:p w14:paraId="04B1D001" w14:textId="1EEC979E" w:rsidR="008B6881" w:rsidRPr="008E4EB0" w:rsidRDefault="00F749EA" w:rsidP="008B6881">
      <w:pPr>
        <w:ind w:firstLine="851"/>
        <w:jc w:val="center"/>
        <w:rPr>
          <w:rFonts w:ascii="Times New Roman" w:hAnsi="Times New Roman" w:cs="Times New Roman"/>
          <w:sz w:val="24"/>
          <w:szCs w:val="24"/>
        </w:rPr>
      </w:pPr>
      <w:r>
        <w:rPr>
          <w:rFonts w:ascii="Times New Roman" w:hAnsi="Times New Roman" w:cs="Times New Roman"/>
          <w:sz w:val="24"/>
          <w:szCs w:val="24"/>
        </w:rPr>
        <w:lastRenderedPageBreak/>
        <w:t>25</w:t>
      </w:r>
      <w:r w:rsidR="008B6881" w:rsidRPr="008E4EB0">
        <w:rPr>
          <w:rFonts w:ascii="Times New Roman" w:hAnsi="Times New Roman" w:cs="Times New Roman"/>
          <w:sz w:val="24"/>
          <w:szCs w:val="24"/>
        </w:rPr>
        <w:t>.tabula. Ēkas īpašnieku tiešie ieguvumi, veicot ēkas energoefektivitātes paaugstināšanas pasākumus.</w:t>
      </w:r>
      <w:r w:rsidR="008B6881" w:rsidRPr="008E4EB0">
        <w:rPr>
          <w:rStyle w:val="FootnoteReference"/>
          <w:rFonts w:ascii="Times New Roman" w:hAnsi="Times New Roman" w:cs="Times New Roman"/>
          <w:sz w:val="24"/>
          <w:szCs w:val="24"/>
        </w:rPr>
        <w:footnoteReference w:id="36"/>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0"/>
        <w:gridCol w:w="5876"/>
      </w:tblGrid>
      <w:tr w:rsidR="008B6881" w:rsidRPr="008E4EB0" w14:paraId="127D14D9" w14:textId="77777777" w:rsidTr="00B00F90">
        <w:trPr>
          <w:jc w:val="center"/>
        </w:trPr>
        <w:tc>
          <w:tcPr>
            <w:tcW w:w="2432" w:type="dxa"/>
            <w:shd w:val="clear" w:color="auto" w:fill="auto"/>
          </w:tcPr>
          <w:p w14:paraId="34857561" w14:textId="77777777" w:rsidR="008B6881" w:rsidRPr="008E4EB0" w:rsidRDefault="008B6881" w:rsidP="00B00F90">
            <w:pPr>
              <w:spacing w:after="0"/>
              <w:jc w:val="center"/>
              <w:rPr>
                <w:rFonts w:ascii="Times New Roman" w:hAnsi="Times New Roman" w:cs="Times New Roman"/>
                <w:b/>
                <w:sz w:val="20"/>
                <w:szCs w:val="20"/>
              </w:rPr>
            </w:pPr>
            <w:r w:rsidRPr="008E4EB0">
              <w:rPr>
                <w:rFonts w:ascii="Times New Roman" w:hAnsi="Times New Roman" w:cs="Times New Roman"/>
                <w:b/>
                <w:sz w:val="20"/>
                <w:szCs w:val="20"/>
              </w:rPr>
              <w:t>Ieguvumu veids</w:t>
            </w:r>
          </w:p>
        </w:tc>
        <w:tc>
          <w:tcPr>
            <w:tcW w:w="5920" w:type="dxa"/>
            <w:shd w:val="clear" w:color="auto" w:fill="auto"/>
          </w:tcPr>
          <w:p w14:paraId="7EF4DADC" w14:textId="77777777" w:rsidR="008B6881" w:rsidRPr="008E4EB0" w:rsidRDefault="008B6881" w:rsidP="00B00F90">
            <w:pPr>
              <w:spacing w:after="0"/>
              <w:jc w:val="center"/>
              <w:rPr>
                <w:rFonts w:ascii="Times New Roman" w:hAnsi="Times New Roman" w:cs="Times New Roman"/>
                <w:b/>
                <w:sz w:val="20"/>
                <w:szCs w:val="20"/>
              </w:rPr>
            </w:pPr>
            <w:r w:rsidRPr="008E4EB0">
              <w:rPr>
                <w:rFonts w:ascii="Times New Roman" w:hAnsi="Times New Roman" w:cs="Times New Roman"/>
                <w:b/>
                <w:sz w:val="20"/>
                <w:szCs w:val="20"/>
              </w:rPr>
              <w:t>Ieguvumi</w:t>
            </w:r>
          </w:p>
        </w:tc>
      </w:tr>
      <w:tr w:rsidR="008B6881" w:rsidRPr="008E4EB0" w14:paraId="79857E87" w14:textId="77777777" w:rsidTr="00B00F90">
        <w:trPr>
          <w:jc w:val="center"/>
        </w:trPr>
        <w:tc>
          <w:tcPr>
            <w:tcW w:w="2432" w:type="dxa"/>
            <w:vMerge w:val="restart"/>
            <w:shd w:val="clear" w:color="auto" w:fill="auto"/>
            <w:vAlign w:val="center"/>
          </w:tcPr>
          <w:p w14:paraId="63958419" w14:textId="77777777" w:rsidR="008B6881" w:rsidRPr="008E4EB0" w:rsidRDefault="008B6881" w:rsidP="00B00F90">
            <w:pPr>
              <w:spacing w:after="0"/>
              <w:jc w:val="center"/>
              <w:rPr>
                <w:rFonts w:ascii="Times New Roman" w:hAnsi="Times New Roman" w:cs="Times New Roman"/>
                <w:sz w:val="20"/>
                <w:szCs w:val="20"/>
              </w:rPr>
            </w:pPr>
            <w:r w:rsidRPr="008E4EB0">
              <w:rPr>
                <w:rFonts w:ascii="Times New Roman" w:hAnsi="Times New Roman" w:cs="Times New Roman"/>
                <w:sz w:val="20"/>
                <w:szCs w:val="20"/>
              </w:rPr>
              <w:t>Ekonomiskie</w:t>
            </w:r>
          </w:p>
        </w:tc>
        <w:tc>
          <w:tcPr>
            <w:tcW w:w="5920" w:type="dxa"/>
            <w:shd w:val="clear" w:color="auto" w:fill="auto"/>
          </w:tcPr>
          <w:p w14:paraId="79F9A6EB" w14:textId="77777777" w:rsidR="008B6881" w:rsidRPr="008E4EB0" w:rsidRDefault="008B6881" w:rsidP="00B00F90">
            <w:pPr>
              <w:spacing w:after="0"/>
              <w:jc w:val="center"/>
              <w:rPr>
                <w:rFonts w:ascii="Times New Roman" w:hAnsi="Times New Roman" w:cs="Times New Roman"/>
                <w:sz w:val="20"/>
                <w:szCs w:val="20"/>
              </w:rPr>
            </w:pPr>
            <w:r w:rsidRPr="008E4EB0">
              <w:rPr>
                <w:rFonts w:ascii="Times New Roman" w:hAnsi="Times New Roman" w:cs="Times New Roman"/>
                <w:sz w:val="20"/>
                <w:szCs w:val="20"/>
              </w:rPr>
              <w:t>Enerģijas iegādes izmaksu samazinājums</w:t>
            </w:r>
          </w:p>
        </w:tc>
      </w:tr>
      <w:tr w:rsidR="008B6881" w:rsidRPr="008E4EB0" w14:paraId="3A90862C" w14:textId="77777777" w:rsidTr="00B00F90">
        <w:trPr>
          <w:jc w:val="center"/>
        </w:trPr>
        <w:tc>
          <w:tcPr>
            <w:tcW w:w="2432" w:type="dxa"/>
            <w:vMerge/>
            <w:shd w:val="clear" w:color="auto" w:fill="auto"/>
            <w:vAlign w:val="center"/>
          </w:tcPr>
          <w:p w14:paraId="1153F64F" w14:textId="77777777" w:rsidR="008B6881" w:rsidRPr="008E4EB0" w:rsidRDefault="008B6881" w:rsidP="00B00F90">
            <w:pPr>
              <w:spacing w:after="0"/>
              <w:jc w:val="center"/>
              <w:rPr>
                <w:rFonts w:ascii="Times New Roman" w:hAnsi="Times New Roman" w:cs="Times New Roman"/>
                <w:sz w:val="20"/>
                <w:szCs w:val="20"/>
              </w:rPr>
            </w:pPr>
          </w:p>
        </w:tc>
        <w:tc>
          <w:tcPr>
            <w:tcW w:w="5920" w:type="dxa"/>
            <w:shd w:val="clear" w:color="auto" w:fill="auto"/>
          </w:tcPr>
          <w:p w14:paraId="5D1CF283" w14:textId="4AD5FCB4" w:rsidR="008B6881" w:rsidRPr="008E4EB0" w:rsidRDefault="008B6881" w:rsidP="00B00F90">
            <w:pPr>
              <w:spacing w:after="0"/>
              <w:jc w:val="center"/>
              <w:rPr>
                <w:rFonts w:ascii="Times New Roman" w:hAnsi="Times New Roman" w:cs="Times New Roman"/>
                <w:sz w:val="20"/>
                <w:szCs w:val="20"/>
              </w:rPr>
            </w:pPr>
            <w:r w:rsidRPr="008E4EB0">
              <w:rPr>
                <w:rFonts w:ascii="Times New Roman" w:hAnsi="Times New Roman" w:cs="Times New Roman"/>
                <w:sz w:val="20"/>
                <w:szCs w:val="20"/>
              </w:rPr>
              <w:t xml:space="preserve">Īpašuma vērtības </w:t>
            </w:r>
            <w:r w:rsidR="002525EB" w:rsidRPr="008E4EB0">
              <w:rPr>
                <w:rFonts w:ascii="Times New Roman" w:hAnsi="Times New Roman" w:cs="Times New Roman"/>
                <w:sz w:val="20"/>
                <w:szCs w:val="20"/>
              </w:rPr>
              <w:t>paaugstināšanās</w:t>
            </w:r>
          </w:p>
        </w:tc>
      </w:tr>
      <w:tr w:rsidR="008B6881" w:rsidRPr="008E4EB0" w14:paraId="2D2C0F5C" w14:textId="77777777" w:rsidTr="00B00F90">
        <w:trPr>
          <w:jc w:val="center"/>
        </w:trPr>
        <w:tc>
          <w:tcPr>
            <w:tcW w:w="2432" w:type="dxa"/>
            <w:vMerge w:val="restart"/>
            <w:shd w:val="clear" w:color="auto" w:fill="auto"/>
            <w:vAlign w:val="center"/>
          </w:tcPr>
          <w:p w14:paraId="5578261E" w14:textId="77777777" w:rsidR="008B6881" w:rsidRPr="008E4EB0" w:rsidRDefault="008B6881" w:rsidP="00B00F90">
            <w:pPr>
              <w:spacing w:after="0"/>
              <w:jc w:val="center"/>
              <w:rPr>
                <w:rFonts w:ascii="Times New Roman" w:hAnsi="Times New Roman" w:cs="Times New Roman"/>
                <w:sz w:val="20"/>
                <w:szCs w:val="20"/>
              </w:rPr>
            </w:pPr>
            <w:r w:rsidRPr="008E4EB0">
              <w:rPr>
                <w:rFonts w:ascii="Times New Roman" w:hAnsi="Times New Roman" w:cs="Times New Roman"/>
                <w:sz w:val="20"/>
                <w:szCs w:val="20"/>
              </w:rPr>
              <w:t>Sociālie</w:t>
            </w:r>
          </w:p>
        </w:tc>
        <w:tc>
          <w:tcPr>
            <w:tcW w:w="5920" w:type="dxa"/>
            <w:shd w:val="clear" w:color="auto" w:fill="auto"/>
          </w:tcPr>
          <w:p w14:paraId="7D5B2875" w14:textId="77777777" w:rsidR="008B6881" w:rsidRPr="008E4EB0" w:rsidRDefault="008B6881" w:rsidP="00B00F90">
            <w:pPr>
              <w:spacing w:after="0"/>
              <w:jc w:val="center"/>
              <w:rPr>
                <w:rFonts w:ascii="Times New Roman" w:hAnsi="Times New Roman" w:cs="Times New Roman"/>
                <w:sz w:val="20"/>
                <w:szCs w:val="20"/>
              </w:rPr>
            </w:pPr>
            <w:r w:rsidRPr="008E4EB0">
              <w:rPr>
                <w:rFonts w:ascii="Times New Roman" w:hAnsi="Times New Roman" w:cs="Times New Roman"/>
                <w:sz w:val="20"/>
                <w:szCs w:val="20"/>
              </w:rPr>
              <w:t>Veselības stāvokļa uzlabošanās</w:t>
            </w:r>
          </w:p>
        </w:tc>
      </w:tr>
      <w:tr w:rsidR="008B6881" w:rsidRPr="008E4EB0" w14:paraId="192EBD61" w14:textId="77777777" w:rsidTr="00B00F90">
        <w:trPr>
          <w:jc w:val="center"/>
        </w:trPr>
        <w:tc>
          <w:tcPr>
            <w:tcW w:w="2432" w:type="dxa"/>
            <w:vMerge/>
            <w:shd w:val="clear" w:color="auto" w:fill="auto"/>
          </w:tcPr>
          <w:p w14:paraId="0E5603D5" w14:textId="77777777" w:rsidR="008B6881" w:rsidRPr="008E4EB0" w:rsidRDefault="008B6881" w:rsidP="00B00F90">
            <w:pPr>
              <w:spacing w:after="0"/>
              <w:jc w:val="center"/>
              <w:rPr>
                <w:rFonts w:ascii="Times New Roman" w:hAnsi="Times New Roman" w:cs="Times New Roman"/>
                <w:sz w:val="20"/>
                <w:szCs w:val="20"/>
              </w:rPr>
            </w:pPr>
          </w:p>
        </w:tc>
        <w:tc>
          <w:tcPr>
            <w:tcW w:w="5920" w:type="dxa"/>
            <w:shd w:val="clear" w:color="auto" w:fill="auto"/>
          </w:tcPr>
          <w:p w14:paraId="14DDB9D4" w14:textId="77777777" w:rsidR="008B6881" w:rsidRPr="008E4EB0" w:rsidRDefault="008B6881" w:rsidP="00B00F90">
            <w:pPr>
              <w:spacing w:after="0"/>
              <w:jc w:val="center"/>
              <w:rPr>
                <w:rFonts w:ascii="Times New Roman" w:hAnsi="Times New Roman" w:cs="Times New Roman"/>
                <w:sz w:val="20"/>
                <w:szCs w:val="20"/>
              </w:rPr>
            </w:pPr>
            <w:r w:rsidRPr="008E4EB0">
              <w:rPr>
                <w:rFonts w:ascii="Times New Roman" w:hAnsi="Times New Roman" w:cs="Times New Roman"/>
                <w:sz w:val="20"/>
                <w:szCs w:val="20"/>
              </w:rPr>
              <w:t>Komforta līmeņa paaugstināšanās</w:t>
            </w:r>
          </w:p>
        </w:tc>
      </w:tr>
      <w:tr w:rsidR="008B6881" w:rsidRPr="008E4EB0" w14:paraId="6DAD7A0C" w14:textId="77777777" w:rsidTr="00B00F90">
        <w:trPr>
          <w:jc w:val="center"/>
        </w:trPr>
        <w:tc>
          <w:tcPr>
            <w:tcW w:w="2432" w:type="dxa"/>
            <w:vMerge/>
            <w:shd w:val="clear" w:color="auto" w:fill="auto"/>
          </w:tcPr>
          <w:p w14:paraId="3123F108" w14:textId="77777777" w:rsidR="008B6881" w:rsidRPr="008E4EB0" w:rsidRDefault="008B6881" w:rsidP="00B00F90">
            <w:pPr>
              <w:spacing w:after="0"/>
              <w:jc w:val="center"/>
              <w:rPr>
                <w:rFonts w:ascii="Times New Roman" w:hAnsi="Times New Roman" w:cs="Times New Roman"/>
                <w:sz w:val="20"/>
                <w:szCs w:val="20"/>
              </w:rPr>
            </w:pPr>
          </w:p>
        </w:tc>
        <w:tc>
          <w:tcPr>
            <w:tcW w:w="5920" w:type="dxa"/>
            <w:shd w:val="clear" w:color="auto" w:fill="auto"/>
          </w:tcPr>
          <w:p w14:paraId="4AE27BA0" w14:textId="77777777" w:rsidR="008B6881" w:rsidRPr="008E4EB0" w:rsidRDefault="008B6881" w:rsidP="00B00F90">
            <w:pPr>
              <w:spacing w:after="0"/>
              <w:jc w:val="center"/>
              <w:rPr>
                <w:rFonts w:ascii="Times New Roman" w:hAnsi="Times New Roman" w:cs="Times New Roman"/>
                <w:sz w:val="20"/>
                <w:szCs w:val="20"/>
              </w:rPr>
            </w:pPr>
            <w:r w:rsidRPr="008E4EB0">
              <w:rPr>
                <w:rFonts w:ascii="Times New Roman" w:hAnsi="Times New Roman" w:cs="Times New Roman"/>
                <w:sz w:val="20"/>
                <w:szCs w:val="20"/>
              </w:rPr>
              <w:t>Darba ražīguma pieaugums</w:t>
            </w:r>
          </w:p>
        </w:tc>
      </w:tr>
      <w:tr w:rsidR="008B6881" w:rsidRPr="008E4EB0" w14:paraId="06005A2B" w14:textId="77777777" w:rsidTr="00B00F90">
        <w:trPr>
          <w:jc w:val="center"/>
        </w:trPr>
        <w:tc>
          <w:tcPr>
            <w:tcW w:w="2432" w:type="dxa"/>
            <w:vMerge/>
            <w:shd w:val="clear" w:color="auto" w:fill="auto"/>
          </w:tcPr>
          <w:p w14:paraId="332FFECB" w14:textId="77777777" w:rsidR="008B6881" w:rsidRPr="008E4EB0" w:rsidRDefault="008B6881" w:rsidP="00B00F90">
            <w:pPr>
              <w:spacing w:after="0"/>
              <w:jc w:val="center"/>
              <w:rPr>
                <w:rFonts w:ascii="Times New Roman" w:hAnsi="Times New Roman" w:cs="Times New Roman"/>
                <w:sz w:val="20"/>
                <w:szCs w:val="20"/>
              </w:rPr>
            </w:pPr>
          </w:p>
        </w:tc>
        <w:tc>
          <w:tcPr>
            <w:tcW w:w="5920" w:type="dxa"/>
            <w:shd w:val="clear" w:color="auto" w:fill="auto"/>
          </w:tcPr>
          <w:p w14:paraId="534E82E5" w14:textId="77777777" w:rsidR="008B6881" w:rsidRPr="008E4EB0" w:rsidRDefault="008B6881" w:rsidP="00B00F90">
            <w:pPr>
              <w:spacing w:after="0"/>
              <w:jc w:val="center"/>
              <w:rPr>
                <w:rFonts w:ascii="Times New Roman" w:hAnsi="Times New Roman" w:cs="Times New Roman"/>
                <w:sz w:val="20"/>
                <w:szCs w:val="20"/>
              </w:rPr>
            </w:pPr>
            <w:r w:rsidRPr="008E4EB0">
              <w:rPr>
                <w:rFonts w:ascii="Times New Roman" w:hAnsi="Times New Roman" w:cs="Times New Roman"/>
                <w:sz w:val="20"/>
                <w:szCs w:val="20"/>
              </w:rPr>
              <w:t>Gaisa kvalitātes uzlabošanās</w:t>
            </w:r>
          </w:p>
        </w:tc>
      </w:tr>
    </w:tbl>
    <w:p w14:paraId="568FE854" w14:textId="77777777" w:rsidR="008B6881" w:rsidRPr="008E4EB0" w:rsidRDefault="008B6881" w:rsidP="008B6881">
      <w:pPr>
        <w:ind w:left="785"/>
        <w:jc w:val="center"/>
        <w:rPr>
          <w:rFonts w:ascii="Times New Roman" w:hAnsi="Times New Roman" w:cs="Times New Roman"/>
          <w:sz w:val="24"/>
          <w:szCs w:val="24"/>
        </w:rPr>
      </w:pPr>
    </w:p>
    <w:p w14:paraId="69D0CE02" w14:textId="7B6120D8" w:rsidR="008B6881" w:rsidRPr="008E4EB0" w:rsidRDefault="00F749EA" w:rsidP="008B6881">
      <w:pPr>
        <w:ind w:left="785"/>
        <w:jc w:val="center"/>
        <w:rPr>
          <w:rFonts w:ascii="Times New Roman" w:hAnsi="Times New Roman" w:cs="Times New Roman"/>
          <w:sz w:val="20"/>
          <w:szCs w:val="20"/>
          <w:vertAlign w:val="superscript"/>
        </w:rPr>
      </w:pPr>
      <w:r>
        <w:rPr>
          <w:rFonts w:ascii="Times New Roman" w:hAnsi="Times New Roman" w:cs="Times New Roman"/>
          <w:sz w:val="24"/>
          <w:szCs w:val="24"/>
        </w:rPr>
        <w:t>26</w:t>
      </w:r>
      <w:r w:rsidR="008B6881" w:rsidRPr="008E4EB0">
        <w:rPr>
          <w:rFonts w:ascii="Times New Roman" w:hAnsi="Times New Roman" w:cs="Times New Roman"/>
          <w:sz w:val="24"/>
          <w:szCs w:val="24"/>
        </w:rPr>
        <w:t xml:space="preserve">.tabula. Sabiedrības ieguvumi, veicot ēkas energoefektivitātes paaugstināšanas </w:t>
      </w:r>
      <w:r w:rsidR="008B6881" w:rsidRPr="008E4EB0">
        <w:rPr>
          <w:rFonts w:ascii="Times New Roman" w:hAnsi="Times New Roman" w:cs="Times New Roman"/>
          <w:sz w:val="20"/>
          <w:szCs w:val="20"/>
        </w:rPr>
        <w:t>pasākumus.</w:t>
      </w:r>
      <w:r w:rsidR="008B6881" w:rsidRPr="008E4EB0">
        <w:rPr>
          <w:rFonts w:ascii="Times New Roman" w:hAnsi="Times New Roman" w:cs="Times New Roman"/>
          <w:sz w:val="20"/>
          <w:szCs w:val="20"/>
          <w:vertAlign w:val="superscript"/>
        </w:rPr>
        <w:t>46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6085"/>
      </w:tblGrid>
      <w:tr w:rsidR="008B6881" w:rsidRPr="008E4EB0" w14:paraId="676F77FA" w14:textId="77777777" w:rsidTr="00B00F90">
        <w:trPr>
          <w:jc w:val="center"/>
        </w:trPr>
        <w:tc>
          <w:tcPr>
            <w:tcW w:w="2268" w:type="dxa"/>
            <w:shd w:val="clear" w:color="auto" w:fill="auto"/>
          </w:tcPr>
          <w:p w14:paraId="0A7C075C" w14:textId="77777777" w:rsidR="008B6881" w:rsidRPr="008E4EB0" w:rsidRDefault="008B6881" w:rsidP="00B00F90">
            <w:pPr>
              <w:spacing w:after="0"/>
              <w:jc w:val="center"/>
              <w:rPr>
                <w:rFonts w:ascii="Times New Roman" w:hAnsi="Times New Roman" w:cs="Times New Roman"/>
                <w:b/>
                <w:sz w:val="20"/>
                <w:szCs w:val="20"/>
              </w:rPr>
            </w:pPr>
            <w:r w:rsidRPr="008E4EB0">
              <w:rPr>
                <w:rFonts w:ascii="Times New Roman" w:hAnsi="Times New Roman" w:cs="Times New Roman"/>
                <w:b/>
                <w:sz w:val="20"/>
                <w:szCs w:val="20"/>
              </w:rPr>
              <w:t>Ieguvumu veids</w:t>
            </w:r>
          </w:p>
        </w:tc>
        <w:tc>
          <w:tcPr>
            <w:tcW w:w="6359" w:type="dxa"/>
            <w:shd w:val="clear" w:color="auto" w:fill="auto"/>
          </w:tcPr>
          <w:p w14:paraId="533305B9" w14:textId="77777777" w:rsidR="008B6881" w:rsidRPr="008E4EB0" w:rsidRDefault="008B6881" w:rsidP="00B00F90">
            <w:pPr>
              <w:spacing w:after="0"/>
              <w:jc w:val="center"/>
              <w:rPr>
                <w:rFonts w:ascii="Times New Roman" w:hAnsi="Times New Roman" w:cs="Times New Roman"/>
                <w:b/>
                <w:sz w:val="20"/>
                <w:szCs w:val="20"/>
              </w:rPr>
            </w:pPr>
            <w:r w:rsidRPr="008E4EB0">
              <w:rPr>
                <w:rFonts w:ascii="Times New Roman" w:hAnsi="Times New Roman" w:cs="Times New Roman"/>
                <w:b/>
                <w:sz w:val="20"/>
                <w:szCs w:val="20"/>
              </w:rPr>
              <w:t>Ieguvumi</w:t>
            </w:r>
          </w:p>
        </w:tc>
      </w:tr>
      <w:tr w:rsidR="008B6881" w:rsidRPr="008E4EB0" w14:paraId="54B2E5C5" w14:textId="77777777" w:rsidTr="00B00F90">
        <w:trPr>
          <w:jc w:val="center"/>
        </w:trPr>
        <w:tc>
          <w:tcPr>
            <w:tcW w:w="2268" w:type="dxa"/>
            <w:vMerge w:val="restart"/>
            <w:shd w:val="clear" w:color="auto" w:fill="auto"/>
            <w:vAlign w:val="center"/>
          </w:tcPr>
          <w:p w14:paraId="3A5A8FA2" w14:textId="77777777" w:rsidR="008B6881" w:rsidRPr="008E4EB0" w:rsidRDefault="008B6881" w:rsidP="00B00F90">
            <w:pPr>
              <w:spacing w:after="0"/>
              <w:jc w:val="center"/>
              <w:rPr>
                <w:rFonts w:ascii="Times New Roman" w:hAnsi="Times New Roman" w:cs="Times New Roman"/>
                <w:sz w:val="20"/>
                <w:szCs w:val="20"/>
              </w:rPr>
            </w:pPr>
            <w:r w:rsidRPr="008E4EB0">
              <w:rPr>
                <w:rFonts w:ascii="Times New Roman" w:hAnsi="Times New Roman" w:cs="Times New Roman"/>
                <w:sz w:val="20"/>
                <w:szCs w:val="20"/>
              </w:rPr>
              <w:t>Ekonomiskie</w:t>
            </w:r>
          </w:p>
        </w:tc>
        <w:tc>
          <w:tcPr>
            <w:tcW w:w="6359" w:type="dxa"/>
            <w:shd w:val="clear" w:color="auto" w:fill="auto"/>
          </w:tcPr>
          <w:p w14:paraId="3F44FD36" w14:textId="77777777" w:rsidR="008B6881" w:rsidRPr="008E4EB0" w:rsidRDefault="008B6881" w:rsidP="00B00F90">
            <w:pPr>
              <w:spacing w:after="0"/>
              <w:jc w:val="center"/>
              <w:rPr>
                <w:rFonts w:ascii="Times New Roman" w:hAnsi="Times New Roman" w:cs="Times New Roman"/>
                <w:sz w:val="20"/>
                <w:szCs w:val="20"/>
              </w:rPr>
            </w:pPr>
            <w:r w:rsidRPr="008E4EB0">
              <w:rPr>
                <w:rFonts w:ascii="Times New Roman" w:hAnsi="Times New Roman" w:cs="Times New Roman"/>
                <w:sz w:val="20"/>
                <w:szCs w:val="20"/>
              </w:rPr>
              <w:t>Ekonomikas stimulēšana, ietaupot līdzekļus, izmantojot investīcijām citās nozarēs, jomās</w:t>
            </w:r>
          </w:p>
        </w:tc>
      </w:tr>
      <w:tr w:rsidR="008B6881" w:rsidRPr="008E4EB0" w14:paraId="34C93681" w14:textId="77777777" w:rsidTr="00B00F90">
        <w:trPr>
          <w:jc w:val="center"/>
        </w:trPr>
        <w:tc>
          <w:tcPr>
            <w:tcW w:w="2268" w:type="dxa"/>
            <w:vMerge/>
            <w:shd w:val="clear" w:color="auto" w:fill="auto"/>
            <w:vAlign w:val="center"/>
          </w:tcPr>
          <w:p w14:paraId="6E2598A5" w14:textId="77777777" w:rsidR="008B6881" w:rsidRPr="008E4EB0" w:rsidRDefault="008B6881" w:rsidP="00B00F90">
            <w:pPr>
              <w:spacing w:after="0"/>
              <w:jc w:val="center"/>
              <w:rPr>
                <w:rFonts w:ascii="Times New Roman" w:hAnsi="Times New Roman" w:cs="Times New Roman"/>
                <w:sz w:val="20"/>
                <w:szCs w:val="20"/>
              </w:rPr>
            </w:pPr>
          </w:p>
        </w:tc>
        <w:tc>
          <w:tcPr>
            <w:tcW w:w="6359" w:type="dxa"/>
            <w:shd w:val="clear" w:color="auto" w:fill="auto"/>
          </w:tcPr>
          <w:p w14:paraId="335DE93A" w14:textId="77777777" w:rsidR="008B6881" w:rsidRPr="008E4EB0" w:rsidRDefault="008B6881" w:rsidP="00B00F90">
            <w:pPr>
              <w:spacing w:after="0"/>
              <w:jc w:val="center"/>
              <w:rPr>
                <w:rFonts w:ascii="Times New Roman" w:hAnsi="Times New Roman" w:cs="Times New Roman"/>
                <w:sz w:val="20"/>
                <w:szCs w:val="20"/>
              </w:rPr>
            </w:pPr>
            <w:r w:rsidRPr="008E4EB0">
              <w:rPr>
                <w:rFonts w:ascii="Times New Roman" w:hAnsi="Times New Roman" w:cs="Times New Roman"/>
                <w:sz w:val="20"/>
                <w:szCs w:val="20"/>
              </w:rPr>
              <w:t>Bezdarba samazinājums projektu vadības, būvniecības u.c. jomās</w:t>
            </w:r>
          </w:p>
        </w:tc>
      </w:tr>
      <w:tr w:rsidR="008B6881" w:rsidRPr="008E4EB0" w14:paraId="16CFC4FF" w14:textId="77777777" w:rsidTr="00B00F90">
        <w:trPr>
          <w:jc w:val="center"/>
        </w:trPr>
        <w:tc>
          <w:tcPr>
            <w:tcW w:w="2268" w:type="dxa"/>
            <w:vMerge/>
            <w:shd w:val="clear" w:color="auto" w:fill="auto"/>
            <w:vAlign w:val="center"/>
          </w:tcPr>
          <w:p w14:paraId="263CC3F0" w14:textId="77777777" w:rsidR="008B6881" w:rsidRPr="008E4EB0" w:rsidRDefault="008B6881" w:rsidP="00B00F90">
            <w:pPr>
              <w:spacing w:after="0"/>
              <w:jc w:val="center"/>
              <w:rPr>
                <w:rFonts w:ascii="Times New Roman" w:hAnsi="Times New Roman" w:cs="Times New Roman"/>
                <w:sz w:val="20"/>
                <w:szCs w:val="20"/>
              </w:rPr>
            </w:pPr>
          </w:p>
        </w:tc>
        <w:tc>
          <w:tcPr>
            <w:tcW w:w="6359" w:type="dxa"/>
            <w:shd w:val="clear" w:color="auto" w:fill="auto"/>
          </w:tcPr>
          <w:p w14:paraId="04359633" w14:textId="77777777" w:rsidR="008B6881" w:rsidRPr="008E4EB0" w:rsidRDefault="008B6881" w:rsidP="00B00F90">
            <w:pPr>
              <w:spacing w:after="0"/>
              <w:jc w:val="center"/>
              <w:rPr>
                <w:rFonts w:ascii="Times New Roman" w:hAnsi="Times New Roman" w:cs="Times New Roman"/>
                <w:sz w:val="20"/>
                <w:szCs w:val="20"/>
              </w:rPr>
            </w:pPr>
            <w:r w:rsidRPr="008E4EB0">
              <w:rPr>
                <w:rFonts w:ascii="Times New Roman" w:hAnsi="Times New Roman" w:cs="Times New Roman"/>
                <w:sz w:val="20"/>
                <w:szCs w:val="20"/>
              </w:rPr>
              <w:t>Iekšzemes kopprodukta pieaugums</w:t>
            </w:r>
          </w:p>
        </w:tc>
      </w:tr>
      <w:tr w:rsidR="008B6881" w:rsidRPr="008E4EB0" w14:paraId="29951398" w14:textId="77777777" w:rsidTr="00B00F90">
        <w:trPr>
          <w:jc w:val="center"/>
        </w:trPr>
        <w:tc>
          <w:tcPr>
            <w:tcW w:w="2268" w:type="dxa"/>
            <w:vMerge/>
            <w:shd w:val="clear" w:color="auto" w:fill="auto"/>
            <w:vAlign w:val="center"/>
          </w:tcPr>
          <w:p w14:paraId="3BC53365" w14:textId="77777777" w:rsidR="008B6881" w:rsidRPr="008E4EB0" w:rsidRDefault="008B6881" w:rsidP="00B00F90">
            <w:pPr>
              <w:spacing w:after="0"/>
              <w:jc w:val="center"/>
              <w:rPr>
                <w:rFonts w:ascii="Times New Roman" w:hAnsi="Times New Roman" w:cs="Times New Roman"/>
                <w:sz w:val="20"/>
                <w:szCs w:val="20"/>
              </w:rPr>
            </w:pPr>
          </w:p>
        </w:tc>
        <w:tc>
          <w:tcPr>
            <w:tcW w:w="6359" w:type="dxa"/>
            <w:shd w:val="clear" w:color="auto" w:fill="auto"/>
          </w:tcPr>
          <w:p w14:paraId="17516B7B" w14:textId="77777777" w:rsidR="008B6881" w:rsidRPr="008E4EB0" w:rsidRDefault="008B6881" w:rsidP="00B00F90">
            <w:pPr>
              <w:spacing w:after="0"/>
              <w:jc w:val="center"/>
              <w:rPr>
                <w:rFonts w:ascii="Times New Roman" w:hAnsi="Times New Roman" w:cs="Times New Roman"/>
                <w:sz w:val="20"/>
                <w:szCs w:val="20"/>
              </w:rPr>
            </w:pPr>
            <w:r w:rsidRPr="008E4EB0">
              <w:rPr>
                <w:rFonts w:ascii="Times New Roman" w:hAnsi="Times New Roman" w:cs="Times New Roman"/>
                <w:sz w:val="20"/>
                <w:szCs w:val="20"/>
              </w:rPr>
              <w:t xml:space="preserve">Eksporta pieaugums </w:t>
            </w:r>
          </w:p>
        </w:tc>
      </w:tr>
      <w:tr w:rsidR="008B6881" w:rsidRPr="008E4EB0" w14:paraId="1B1E5B49" w14:textId="77777777" w:rsidTr="00B00F90">
        <w:trPr>
          <w:trHeight w:val="628"/>
          <w:jc w:val="center"/>
        </w:trPr>
        <w:tc>
          <w:tcPr>
            <w:tcW w:w="2268" w:type="dxa"/>
            <w:vMerge/>
            <w:shd w:val="clear" w:color="auto" w:fill="auto"/>
            <w:vAlign w:val="center"/>
          </w:tcPr>
          <w:p w14:paraId="571D73C0" w14:textId="77777777" w:rsidR="008B6881" w:rsidRPr="008E4EB0" w:rsidRDefault="008B6881" w:rsidP="00B00F90">
            <w:pPr>
              <w:spacing w:after="0"/>
              <w:jc w:val="center"/>
              <w:rPr>
                <w:rFonts w:ascii="Times New Roman" w:hAnsi="Times New Roman" w:cs="Times New Roman"/>
                <w:sz w:val="20"/>
                <w:szCs w:val="20"/>
              </w:rPr>
            </w:pPr>
          </w:p>
        </w:tc>
        <w:tc>
          <w:tcPr>
            <w:tcW w:w="6359" w:type="dxa"/>
            <w:shd w:val="clear" w:color="auto" w:fill="auto"/>
          </w:tcPr>
          <w:p w14:paraId="1FEE7C2C" w14:textId="77777777" w:rsidR="008B6881" w:rsidRPr="008E4EB0" w:rsidRDefault="008B6881" w:rsidP="00B00F90">
            <w:pPr>
              <w:spacing w:after="0"/>
              <w:jc w:val="center"/>
              <w:rPr>
                <w:rFonts w:ascii="Times New Roman" w:hAnsi="Times New Roman" w:cs="Times New Roman"/>
                <w:sz w:val="20"/>
                <w:szCs w:val="20"/>
              </w:rPr>
            </w:pPr>
            <w:r w:rsidRPr="008E4EB0">
              <w:rPr>
                <w:rFonts w:ascii="Times New Roman" w:hAnsi="Times New Roman" w:cs="Times New Roman"/>
                <w:sz w:val="20"/>
                <w:szCs w:val="20"/>
              </w:rPr>
              <w:t>Rūpniecības konkurētspējas paaugstināšanās, izstrādājot aizvien efektīvākus veidus enerģijas patēriņa samazinājumam ēkās</w:t>
            </w:r>
          </w:p>
        </w:tc>
      </w:tr>
      <w:tr w:rsidR="008B6881" w:rsidRPr="008E4EB0" w14:paraId="588F1B3F" w14:textId="77777777" w:rsidTr="00B00F90">
        <w:trPr>
          <w:trHeight w:val="337"/>
          <w:jc w:val="center"/>
        </w:trPr>
        <w:tc>
          <w:tcPr>
            <w:tcW w:w="2268" w:type="dxa"/>
            <w:vMerge w:val="restart"/>
            <w:shd w:val="clear" w:color="auto" w:fill="auto"/>
            <w:vAlign w:val="center"/>
          </w:tcPr>
          <w:p w14:paraId="76A0B4F1" w14:textId="77777777" w:rsidR="008B6881" w:rsidRPr="008E4EB0" w:rsidRDefault="008B6881" w:rsidP="00B00F90">
            <w:pPr>
              <w:spacing w:after="0"/>
              <w:jc w:val="center"/>
              <w:rPr>
                <w:rFonts w:ascii="Times New Roman" w:hAnsi="Times New Roman" w:cs="Times New Roman"/>
                <w:sz w:val="20"/>
                <w:szCs w:val="20"/>
              </w:rPr>
            </w:pPr>
            <w:r w:rsidRPr="008E4EB0">
              <w:rPr>
                <w:rFonts w:ascii="Times New Roman" w:hAnsi="Times New Roman" w:cs="Times New Roman"/>
                <w:sz w:val="20"/>
                <w:szCs w:val="20"/>
              </w:rPr>
              <w:t>Sociālie</w:t>
            </w:r>
          </w:p>
        </w:tc>
        <w:tc>
          <w:tcPr>
            <w:tcW w:w="6359" w:type="dxa"/>
            <w:shd w:val="clear" w:color="auto" w:fill="auto"/>
          </w:tcPr>
          <w:p w14:paraId="0E4A6EF3" w14:textId="77777777" w:rsidR="008B6881" w:rsidRPr="008E4EB0" w:rsidRDefault="008B6881" w:rsidP="00B00F90">
            <w:pPr>
              <w:spacing w:after="0"/>
              <w:jc w:val="center"/>
              <w:rPr>
                <w:rFonts w:ascii="Times New Roman" w:hAnsi="Times New Roman" w:cs="Times New Roman"/>
                <w:sz w:val="20"/>
                <w:szCs w:val="20"/>
              </w:rPr>
            </w:pPr>
            <w:r w:rsidRPr="008E4EB0">
              <w:rPr>
                <w:rFonts w:ascii="Times New Roman" w:hAnsi="Times New Roman" w:cs="Times New Roman"/>
                <w:sz w:val="20"/>
                <w:szCs w:val="20"/>
              </w:rPr>
              <w:t>Sociālo apstākļu uzlabošanās</w:t>
            </w:r>
          </w:p>
        </w:tc>
      </w:tr>
      <w:tr w:rsidR="008B6881" w:rsidRPr="008E4EB0" w14:paraId="7649BAA5" w14:textId="77777777" w:rsidTr="00B00F90">
        <w:trPr>
          <w:trHeight w:val="271"/>
          <w:jc w:val="center"/>
        </w:trPr>
        <w:tc>
          <w:tcPr>
            <w:tcW w:w="2268" w:type="dxa"/>
            <w:vMerge/>
            <w:shd w:val="clear" w:color="auto" w:fill="auto"/>
          </w:tcPr>
          <w:p w14:paraId="051517DB" w14:textId="77777777" w:rsidR="008B6881" w:rsidRPr="008E4EB0" w:rsidRDefault="008B6881" w:rsidP="00B00F90">
            <w:pPr>
              <w:spacing w:after="0"/>
              <w:jc w:val="center"/>
              <w:rPr>
                <w:rFonts w:ascii="Times New Roman" w:hAnsi="Times New Roman" w:cs="Times New Roman"/>
                <w:sz w:val="20"/>
                <w:szCs w:val="20"/>
              </w:rPr>
            </w:pPr>
          </w:p>
        </w:tc>
        <w:tc>
          <w:tcPr>
            <w:tcW w:w="6359" w:type="dxa"/>
            <w:shd w:val="clear" w:color="auto" w:fill="auto"/>
          </w:tcPr>
          <w:p w14:paraId="1540E97A" w14:textId="77777777" w:rsidR="008B6881" w:rsidRPr="008E4EB0" w:rsidRDefault="008B6881" w:rsidP="00B00F90">
            <w:pPr>
              <w:spacing w:after="0"/>
              <w:jc w:val="center"/>
              <w:rPr>
                <w:rFonts w:ascii="Times New Roman" w:hAnsi="Times New Roman" w:cs="Times New Roman"/>
                <w:sz w:val="20"/>
                <w:szCs w:val="20"/>
              </w:rPr>
            </w:pPr>
            <w:r w:rsidRPr="008E4EB0">
              <w:rPr>
                <w:rFonts w:ascii="Times New Roman" w:hAnsi="Times New Roman" w:cs="Times New Roman"/>
                <w:sz w:val="20"/>
                <w:szCs w:val="20"/>
              </w:rPr>
              <w:t>Veselības stāvokļa uzlabošanās</w:t>
            </w:r>
          </w:p>
        </w:tc>
      </w:tr>
      <w:tr w:rsidR="008B6881" w:rsidRPr="008E4EB0" w14:paraId="353BB569" w14:textId="77777777" w:rsidTr="00B00F90">
        <w:trPr>
          <w:trHeight w:val="261"/>
          <w:jc w:val="center"/>
        </w:trPr>
        <w:tc>
          <w:tcPr>
            <w:tcW w:w="2268" w:type="dxa"/>
            <w:vMerge w:val="restart"/>
            <w:shd w:val="clear" w:color="auto" w:fill="auto"/>
            <w:vAlign w:val="center"/>
          </w:tcPr>
          <w:p w14:paraId="058A372B" w14:textId="77777777" w:rsidR="008B6881" w:rsidRPr="008E4EB0" w:rsidRDefault="008B6881" w:rsidP="00B00F90">
            <w:pPr>
              <w:spacing w:after="0"/>
              <w:jc w:val="center"/>
              <w:rPr>
                <w:rFonts w:ascii="Times New Roman" w:hAnsi="Times New Roman" w:cs="Times New Roman"/>
                <w:sz w:val="20"/>
                <w:szCs w:val="20"/>
              </w:rPr>
            </w:pPr>
            <w:r w:rsidRPr="008E4EB0">
              <w:rPr>
                <w:rFonts w:ascii="Times New Roman" w:hAnsi="Times New Roman" w:cs="Times New Roman"/>
                <w:sz w:val="20"/>
                <w:szCs w:val="20"/>
              </w:rPr>
              <w:t>Vides</w:t>
            </w:r>
          </w:p>
        </w:tc>
        <w:tc>
          <w:tcPr>
            <w:tcW w:w="6359" w:type="dxa"/>
            <w:shd w:val="clear" w:color="auto" w:fill="auto"/>
          </w:tcPr>
          <w:p w14:paraId="22731D67" w14:textId="77777777" w:rsidR="008B6881" w:rsidRPr="008E4EB0" w:rsidRDefault="008B6881" w:rsidP="00B00F90">
            <w:pPr>
              <w:spacing w:after="0"/>
              <w:jc w:val="center"/>
              <w:rPr>
                <w:rFonts w:ascii="Times New Roman" w:hAnsi="Times New Roman" w:cs="Times New Roman"/>
                <w:sz w:val="20"/>
                <w:szCs w:val="20"/>
              </w:rPr>
            </w:pPr>
            <w:r w:rsidRPr="008E4EB0">
              <w:rPr>
                <w:rFonts w:ascii="Times New Roman" w:hAnsi="Times New Roman" w:cs="Times New Roman"/>
                <w:sz w:val="20"/>
                <w:szCs w:val="20"/>
              </w:rPr>
              <w:t>CO</w:t>
            </w:r>
            <w:r w:rsidRPr="008E4EB0">
              <w:rPr>
                <w:rFonts w:ascii="Times New Roman" w:hAnsi="Times New Roman" w:cs="Times New Roman"/>
                <w:sz w:val="20"/>
                <w:szCs w:val="20"/>
                <w:vertAlign w:val="subscript"/>
              </w:rPr>
              <w:t>2</w:t>
            </w:r>
            <w:r w:rsidRPr="008E4EB0">
              <w:rPr>
                <w:rFonts w:ascii="Times New Roman" w:hAnsi="Times New Roman" w:cs="Times New Roman"/>
                <w:sz w:val="20"/>
                <w:szCs w:val="20"/>
              </w:rPr>
              <w:t xml:space="preserve"> emisijas samazināšanās</w:t>
            </w:r>
          </w:p>
        </w:tc>
      </w:tr>
      <w:tr w:rsidR="008B6881" w:rsidRPr="008E4EB0" w14:paraId="0B3D48D4" w14:textId="77777777" w:rsidTr="00B00F90">
        <w:trPr>
          <w:trHeight w:val="279"/>
          <w:jc w:val="center"/>
        </w:trPr>
        <w:tc>
          <w:tcPr>
            <w:tcW w:w="2268" w:type="dxa"/>
            <w:vMerge/>
            <w:shd w:val="clear" w:color="auto" w:fill="auto"/>
            <w:vAlign w:val="center"/>
          </w:tcPr>
          <w:p w14:paraId="4EAB5170" w14:textId="77777777" w:rsidR="008B6881" w:rsidRPr="008E4EB0" w:rsidRDefault="008B6881" w:rsidP="00B00F90">
            <w:pPr>
              <w:spacing w:after="0"/>
              <w:jc w:val="center"/>
              <w:rPr>
                <w:rFonts w:ascii="Times New Roman" w:hAnsi="Times New Roman" w:cs="Times New Roman"/>
                <w:sz w:val="20"/>
                <w:szCs w:val="20"/>
              </w:rPr>
            </w:pPr>
          </w:p>
        </w:tc>
        <w:tc>
          <w:tcPr>
            <w:tcW w:w="6359" w:type="dxa"/>
            <w:shd w:val="clear" w:color="auto" w:fill="auto"/>
          </w:tcPr>
          <w:p w14:paraId="1D601CCB" w14:textId="77777777" w:rsidR="008B6881" w:rsidRPr="008E4EB0" w:rsidRDefault="008B6881" w:rsidP="00B00F90">
            <w:pPr>
              <w:spacing w:after="0"/>
              <w:jc w:val="center"/>
              <w:rPr>
                <w:rFonts w:ascii="Times New Roman" w:hAnsi="Times New Roman" w:cs="Times New Roman"/>
                <w:sz w:val="20"/>
                <w:szCs w:val="20"/>
              </w:rPr>
            </w:pPr>
            <w:r w:rsidRPr="008E4EB0">
              <w:rPr>
                <w:rFonts w:ascii="Times New Roman" w:hAnsi="Times New Roman" w:cs="Times New Roman"/>
                <w:sz w:val="20"/>
                <w:szCs w:val="20"/>
              </w:rPr>
              <w:t>Gaisa piesārņojuma samazināšanās</w:t>
            </w:r>
          </w:p>
        </w:tc>
      </w:tr>
      <w:tr w:rsidR="008B6881" w:rsidRPr="008E4EB0" w14:paraId="3395353A" w14:textId="77777777" w:rsidTr="00B00F90">
        <w:trPr>
          <w:trHeight w:val="283"/>
          <w:jc w:val="center"/>
        </w:trPr>
        <w:tc>
          <w:tcPr>
            <w:tcW w:w="2268" w:type="dxa"/>
            <w:vMerge w:val="restart"/>
            <w:shd w:val="clear" w:color="auto" w:fill="auto"/>
            <w:vAlign w:val="center"/>
          </w:tcPr>
          <w:p w14:paraId="491F9F84" w14:textId="77777777" w:rsidR="008B6881" w:rsidRPr="008E4EB0" w:rsidRDefault="008B6881" w:rsidP="00B00F90">
            <w:pPr>
              <w:spacing w:after="0"/>
              <w:jc w:val="center"/>
              <w:rPr>
                <w:rFonts w:ascii="Times New Roman" w:hAnsi="Times New Roman" w:cs="Times New Roman"/>
                <w:sz w:val="20"/>
                <w:szCs w:val="20"/>
              </w:rPr>
            </w:pPr>
            <w:r w:rsidRPr="008E4EB0">
              <w:rPr>
                <w:rFonts w:ascii="Times New Roman" w:hAnsi="Times New Roman" w:cs="Times New Roman"/>
                <w:sz w:val="20"/>
                <w:szCs w:val="20"/>
              </w:rPr>
              <w:t>Enerģijas sistēmu</w:t>
            </w:r>
          </w:p>
        </w:tc>
        <w:tc>
          <w:tcPr>
            <w:tcW w:w="6359" w:type="dxa"/>
            <w:shd w:val="clear" w:color="auto" w:fill="auto"/>
          </w:tcPr>
          <w:p w14:paraId="5D377520" w14:textId="77777777" w:rsidR="008B6881" w:rsidRPr="008E4EB0" w:rsidRDefault="008B6881" w:rsidP="00B00F90">
            <w:pPr>
              <w:spacing w:after="0"/>
              <w:jc w:val="center"/>
              <w:rPr>
                <w:rFonts w:ascii="Times New Roman" w:hAnsi="Times New Roman" w:cs="Times New Roman"/>
                <w:sz w:val="20"/>
                <w:szCs w:val="20"/>
              </w:rPr>
            </w:pPr>
            <w:r w:rsidRPr="008E4EB0">
              <w:rPr>
                <w:rFonts w:ascii="Times New Roman" w:hAnsi="Times New Roman" w:cs="Times New Roman"/>
                <w:sz w:val="20"/>
                <w:szCs w:val="20"/>
              </w:rPr>
              <w:t>Energoapgādes drošums</w:t>
            </w:r>
          </w:p>
        </w:tc>
      </w:tr>
      <w:tr w:rsidR="008B6881" w:rsidRPr="008E4EB0" w14:paraId="2FF2AC05" w14:textId="77777777" w:rsidTr="00B00F90">
        <w:trPr>
          <w:trHeight w:val="259"/>
          <w:jc w:val="center"/>
        </w:trPr>
        <w:tc>
          <w:tcPr>
            <w:tcW w:w="2268" w:type="dxa"/>
            <w:vMerge/>
            <w:shd w:val="clear" w:color="auto" w:fill="auto"/>
            <w:vAlign w:val="center"/>
          </w:tcPr>
          <w:p w14:paraId="7E27BB6C" w14:textId="77777777" w:rsidR="008B6881" w:rsidRPr="008E4EB0" w:rsidRDefault="008B6881" w:rsidP="00B00F90">
            <w:pPr>
              <w:spacing w:after="0"/>
              <w:jc w:val="center"/>
              <w:rPr>
                <w:rFonts w:ascii="Times New Roman" w:hAnsi="Times New Roman" w:cs="Times New Roman"/>
                <w:sz w:val="20"/>
                <w:szCs w:val="20"/>
              </w:rPr>
            </w:pPr>
          </w:p>
        </w:tc>
        <w:tc>
          <w:tcPr>
            <w:tcW w:w="6359" w:type="dxa"/>
            <w:shd w:val="clear" w:color="auto" w:fill="auto"/>
          </w:tcPr>
          <w:p w14:paraId="554E17C4" w14:textId="77777777" w:rsidR="008B6881" w:rsidRPr="008E4EB0" w:rsidRDefault="008B6881" w:rsidP="00B00F90">
            <w:pPr>
              <w:spacing w:after="0"/>
              <w:jc w:val="center"/>
              <w:rPr>
                <w:rFonts w:ascii="Times New Roman" w:hAnsi="Times New Roman" w:cs="Times New Roman"/>
                <w:sz w:val="20"/>
                <w:szCs w:val="20"/>
              </w:rPr>
            </w:pPr>
            <w:r w:rsidRPr="008E4EB0">
              <w:rPr>
                <w:rFonts w:ascii="Times New Roman" w:hAnsi="Times New Roman" w:cs="Times New Roman"/>
                <w:sz w:val="20"/>
                <w:szCs w:val="20"/>
              </w:rPr>
              <w:t>Enerģijas atkarības mazināšanās</w:t>
            </w:r>
          </w:p>
        </w:tc>
      </w:tr>
      <w:tr w:rsidR="008B6881" w:rsidRPr="008E4EB0" w14:paraId="7207F8B3" w14:textId="77777777" w:rsidTr="00B00F90">
        <w:trPr>
          <w:trHeight w:val="277"/>
          <w:jc w:val="center"/>
        </w:trPr>
        <w:tc>
          <w:tcPr>
            <w:tcW w:w="2268" w:type="dxa"/>
            <w:vMerge/>
            <w:shd w:val="clear" w:color="auto" w:fill="auto"/>
            <w:vAlign w:val="center"/>
          </w:tcPr>
          <w:p w14:paraId="0BBE124A" w14:textId="77777777" w:rsidR="008B6881" w:rsidRPr="008E4EB0" w:rsidRDefault="008B6881" w:rsidP="00B00F90">
            <w:pPr>
              <w:spacing w:after="0"/>
              <w:jc w:val="center"/>
              <w:rPr>
                <w:rFonts w:ascii="Times New Roman" w:hAnsi="Times New Roman" w:cs="Times New Roman"/>
                <w:sz w:val="20"/>
                <w:szCs w:val="20"/>
              </w:rPr>
            </w:pPr>
          </w:p>
        </w:tc>
        <w:tc>
          <w:tcPr>
            <w:tcW w:w="6359" w:type="dxa"/>
            <w:shd w:val="clear" w:color="auto" w:fill="auto"/>
          </w:tcPr>
          <w:p w14:paraId="15D04587" w14:textId="77777777" w:rsidR="008B6881" w:rsidRPr="008E4EB0" w:rsidRDefault="008B6881" w:rsidP="00B00F90">
            <w:pPr>
              <w:spacing w:after="0"/>
              <w:jc w:val="center"/>
              <w:rPr>
                <w:rFonts w:ascii="Times New Roman" w:hAnsi="Times New Roman" w:cs="Times New Roman"/>
                <w:sz w:val="20"/>
                <w:szCs w:val="20"/>
              </w:rPr>
            </w:pPr>
            <w:r w:rsidRPr="008E4EB0">
              <w:rPr>
                <w:rFonts w:ascii="Times New Roman" w:hAnsi="Times New Roman" w:cs="Times New Roman"/>
                <w:sz w:val="20"/>
                <w:szCs w:val="20"/>
              </w:rPr>
              <w:t>Samazināta energoapgādes slodze</w:t>
            </w:r>
          </w:p>
        </w:tc>
      </w:tr>
    </w:tbl>
    <w:p w14:paraId="2C7D3C34" w14:textId="463799B4" w:rsidR="00DF502A" w:rsidRDefault="00DF502A" w:rsidP="00D64CF6">
      <w:pPr>
        <w:spacing w:after="0" w:line="276" w:lineRule="auto"/>
        <w:jc w:val="both"/>
        <w:rPr>
          <w:rFonts w:ascii="Times New Roman" w:hAnsi="Times New Roman" w:cs="Times New Roman"/>
          <w:sz w:val="24"/>
          <w:szCs w:val="24"/>
        </w:rPr>
      </w:pPr>
    </w:p>
    <w:p w14:paraId="0FF5BD2F" w14:textId="77777777" w:rsidR="00CF2996" w:rsidRDefault="00CF2996">
      <w:pPr>
        <w:rPr>
          <w:rFonts w:ascii="Times New Roman" w:hAnsi="Times New Roman" w:cs="Times New Roman"/>
          <w:sz w:val="24"/>
          <w:szCs w:val="24"/>
        </w:rPr>
      </w:pPr>
    </w:p>
    <w:p w14:paraId="28843E47" w14:textId="27C6DD21" w:rsidR="00CF2996" w:rsidRDefault="00CF2996">
      <w:pPr>
        <w:rPr>
          <w:rFonts w:ascii="Times New Roman" w:hAnsi="Times New Roman" w:cs="Times New Roman"/>
          <w:sz w:val="24"/>
          <w:szCs w:val="24"/>
        </w:rPr>
      </w:pPr>
    </w:p>
    <w:p w14:paraId="1796CA2E" w14:textId="6643BA59" w:rsidR="00386751" w:rsidRDefault="00386751" w:rsidP="00386751">
      <w:pPr>
        <w:spacing w:after="0"/>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TIME \@ "dd.MM.yyyy" </w:instrText>
      </w:r>
      <w:r>
        <w:rPr>
          <w:rFonts w:ascii="Times New Roman" w:hAnsi="Times New Roman" w:cs="Times New Roman"/>
          <w:sz w:val="20"/>
          <w:szCs w:val="20"/>
        </w:rPr>
        <w:fldChar w:fldCharType="separate"/>
      </w:r>
      <w:r w:rsidR="00131B14">
        <w:rPr>
          <w:rFonts w:ascii="Times New Roman" w:hAnsi="Times New Roman" w:cs="Times New Roman"/>
          <w:noProof/>
          <w:sz w:val="20"/>
          <w:szCs w:val="20"/>
        </w:rPr>
        <w:t>21.12.2017</w:t>
      </w:r>
      <w:r>
        <w:rPr>
          <w:rFonts w:ascii="Times New Roman" w:hAnsi="Times New Roman" w:cs="Times New Roman"/>
          <w:sz w:val="20"/>
          <w:szCs w:val="20"/>
        </w:rPr>
        <w:fldChar w:fldCharType="end"/>
      </w:r>
    </w:p>
    <w:p w14:paraId="131DFE34" w14:textId="5FFAD9AA" w:rsidR="00386751" w:rsidRDefault="00386751" w:rsidP="00386751">
      <w:pPr>
        <w:spacing w:after="0"/>
        <w:rPr>
          <w:rFonts w:ascii="Times New Roman" w:hAnsi="Times New Roman" w:cs="Times New Roman"/>
          <w:sz w:val="20"/>
          <w:szCs w:val="20"/>
        </w:rPr>
      </w:pPr>
      <w:r>
        <w:rPr>
          <w:rFonts w:ascii="Times New Roman" w:hAnsi="Times New Roman" w:cs="Times New Roman"/>
          <w:sz w:val="20"/>
          <w:szCs w:val="20"/>
        </w:rPr>
        <w:t>17</w:t>
      </w:r>
      <w:r w:rsidR="00AD42D0">
        <w:rPr>
          <w:rFonts w:ascii="Times New Roman" w:hAnsi="Times New Roman" w:cs="Times New Roman"/>
          <w:sz w:val="20"/>
          <w:szCs w:val="20"/>
        </w:rPr>
        <w:t>699</w:t>
      </w:r>
    </w:p>
    <w:p w14:paraId="1750C959" w14:textId="77777777" w:rsidR="00386751" w:rsidRPr="00386751" w:rsidRDefault="00386751" w:rsidP="00386751">
      <w:pPr>
        <w:spacing w:after="0"/>
        <w:rPr>
          <w:rFonts w:ascii="Times New Roman" w:hAnsi="Times New Roman" w:cs="Times New Roman"/>
          <w:sz w:val="20"/>
          <w:szCs w:val="20"/>
        </w:rPr>
      </w:pPr>
    </w:p>
    <w:p w14:paraId="2FFD2AE9" w14:textId="672FE4BD" w:rsidR="00386751" w:rsidRDefault="00386751" w:rsidP="00386751">
      <w:pPr>
        <w:spacing w:after="0"/>
        <w:rPr>
          <w:rFonts w:ascii="Times New Roman" w:hAnsi="Times New Roman" w:cs="Times New Roman"/>
          <w:sz w:val="20"/>
          <w:szCs w:val="20"/>
        </w:rPr>
      </w:pPr>
      <w:r>
        <w:rPr>
          <w:rFonts w:ascii="Times New Roman" w:hAnsi="Times New Roman" w:cs="Times New Roman"/>
          <w:sz w:val="20"/>
          <w:szCs w:val="20"/>
        </w:rPr>
        <w:t xml:space="preserve">Garkājis, </w:t>
      </w:r>
      <w:r w:rsidRPr="00CF2996">
        <w:rPr>
          <w:rFonts w:ascii="Times New Roman" w:hAnsi="Times New Roman" w:cs="Times New Roman"/>
          <w:sz w:val="20"/>
          <w:szCs w:val="20"/>
        </w:rPr>
        <w:t>67013084</w:t>
      </w:r>
    </w:p>
    <w:p w14:paraId="48124B6E" w14:textId="16BA82C7" w:rsidR="00386751" w:rsidRDefault="00E427BD" w:rsidP="00386751">
      <w:pPr>
        <w:spacing w:after="0"/>
        <w:rPr>
          <w:rStyle w:val="Hyperlink"/>
          <w:rFonts w:ascii="Times New Roman" w:hAnsi="Times New Roman" w:cs="Times New Roman"/>
          <w:sz w:val="20"/>
          <w:szCs w:val="20"/>
        </w:rPr>
      </w:pPr>
      <w:hyperlink r:id="rId24" w:history="1">
        <w:r w:rsidR="00386751" w:rsidRPr="00DB61AB">
          <w:rPr>
            <w:rStyle w:val="Hyperlink"/>
            <w:rFonts w:ascii="Times New Roman" w:hAnsi="Times New Roman" w:cs="Times New Roman"/>
            <w:sz w:val="20"/>
            <w:szCs w:val="20"/>
          </w:rPr>
          <w:t>Edgars.Garkajis@em.gov.lv</w:t>
        </w:r>
      </w:hyperlink>
    </w:p>
    <w:p w14:paraId="7C30CF9B" w14:textId="77777777" w:rsidR="00386751" w:rsidRDefault="00386751" w:rsidP="00386751">
      <w:pPr>
        <w:spacing w:after="0"/>
        <w:rPr>
          <w:rFonts w:ascii="Times New Roman" w:hAnsi="Times New Roman" w:cs="Times New Roman"/>
          <w:sz w:val="20"/>
          <w:szCs w:val="20"/>
        </w:rPr>
      </w:pPr>
    </w:p>
    <w:p w14:paraId="1B21F266" w14:textId="64253330" w:rsidR="00386751" w:rsidRDefault="00386751" w:rsidP="00386751">
      <w:pPr>
        <w:spacing w:after="0"/>
        <w:rPr>
          <w:rFonts w:ascii="Times New Roman" w:hAnsi="Times New Roman" w:cs="Times New Roman"/>
          <w:sz w:val="20"/>
          <w:szCs w:val="20"/>
        </w:rPr>
      </w:pPr>
      <w:r>
        <w:rPr>
          <w:rFonts w:ascii="Times New Roman" w:hAnsi="Times New Roman" w:cs="Times New Roman"/>
          <w:sz w:val="20"/>
          <w:szCs w:val="20"/>
        </w:rPr>
        <w:t>Mājeniece</w:t>
      </w:r>
      <w:r w:rsidR="00CF2996" w:rsidRPr="00CF2996">
        <w:rPr>
          <w:rFonts w:ascii="Times New Roman" w:hAnsi="Times New Roman" w:cs="Times New Roman"/>
          <w:sz w:val="20"/>
          <w:szCs w:val="20"/>
        </w:rPr>
        <w:t>,</w:t>
      </w:r>
      <w:r>
        <w:rPr>
          <w:rFonts w:ascii="Times New Roman" w:hAnsi="Times New Roman" w:cs="Times New Roman"/>
          <w:sz w:val="20"/>
          <w:szCs w:val="20"/>
        </w:rPr>
        <w:t xml:space="preserve"> </w:t>
      </w:r>
      <w:r w:rsidRPr="00CF2996">
        <w:rPr>
          <w:rFonts w:ascii="Times New Roman" w:hAnsi="Times New Roman" w:cs="Times New Roman"/>
          <w:sz w:val="20"/>
          <w:szCs w:val="20"/>
        </w:rPr>
        <w:t>670130</w:t>
      </w:r>
      <w:r>
        <w:rPr>
          <w:rFonts w:ascii="Times New Roman" w:hAnsi="Times New Roman" w:cs="Times New Roman"/>
          <w:sz w:val="20"/>
          <w:szCs w:val="20"/>
        </w:rPr>
        <w:t>45</w:t>
      </w:r>
      <w:r w:rsidR="00CF2996" w:rsidRPr="00CF2996">
        <w:rPr>
          <w:rFonts w:ascii="Times New Roman" w:hAnsi="Times New Roman" w:cs="Times New Roman"/>
          <w:sz w:val="20"/>
          <w:szCs w:val="20"/>
        </w:rPr>
        <w:t xml:space="preserve"> </w:t>
      </w:r>
    </w:p>
    <w:p w14:paraId="765A3672" w14:textId="5C24DABD" w:rsidR="00CF2996" w:rsidRPr="00CF2996" w:rsidRDefault="00E427BD" w:rsidP="00386751">
      <w:pPr>
        <w:spacing w:after="0"/>
        <w:rPr>
          <w:rFonts w:ascii="Times New Roman" w:hAnsi="Times New Roman" w:cs="Times New Roman"/>
          <w:sz w:val="20"/>
          <w:szCs w:val="20"/>
        </w:rPr>
      </w:pPr>
      <w:hyperlink r:id="rId25" w:history="1">
        <w:r w:rsidR="00386751" w:rsidRPr="00DB61AB">
          <w:rPr>
            <w:rStyle w:val="Hyperlink"/>
            <w:rFonts w:ascii="Times New Roman" w:hAnsi="Times New Roman" w:cs="Times New Roman"/>
            <w:sz w:val="20"/>
            <w:szCs w:val="20"/>
          </w:rPr>
          <w:t>Ruta.Majeniece@em.gov.lv</w:t>
        </w:r>
      </w:hyperlink>
    </w:p>
    <w:p w14:paraId="5E106A07" w14:textId="3E33EB48" w:rsidR="00DF502A" w:rsidRPr="00CF2996" w:rsidRDefault="00DF502A" w:rsidP="00386751">
      <w:pPr>
        <w:spacing w:after="0"/>
        <w:rPr>
          <w:rFonts w:ascii="Times New Roman" w:hAnsi="Times New Roman" w:cs="Times New Roman"/>
          <w:sz w:val="20"/>
          <w:szCs w:val="20"/>
        </w:rPr>
      </w:pPr>
      <w:r w:rsidRPr="00CF2996">
        <w:rPr>
          <w:rFonts w:ascii="Times New Roman" w:hAnsi="Times New Roman" w:cs="Times New Roman"/>
          <w:sz w:val="20"/>
          <w:szCs w:val="20"/>
        </w:rPr>
        <w:br w:type="page"/>
      </w:r>
    </w:p>
    <w:p w14:paraId="65AA96A7" w14:textId="77777777" w:rsidR="00DF502A" w:rsidRDefault="00DF502A" w:rsidP="00D64CF6">
      <w:pPr>
        <w:spacing w:after="0" w:line="276" w:lineRule="auto"/>
        <w:jc w:val="both"/>
        <w:rPr>
          <w:rFonts w:ascii="Times New Roman" w:hAnsi="Times New Roman" w:cs="Times New Roman"/>
          <w:sz w:val="24"/>
          <w:szCs w:val="24"/>
        </w:rPr>
        <w:sectPr w:rsidR="00DF502A" w:rsidSect="00071F56">
          <w:headerReference w:type="even" r:id="rId26"/>
          <w:headerReference w:type="default" r:id="rId27"/>
          <w:footerReference w:type="even" r:id="rId28"/>
          <w:footerReference w:type="default" r:id="rId29"/>
          <w:headerReference w:type="first" r:id="rId30"/>
          <w:footerReference w:type="first" r:id="rId31"/>
          <w:pgSz w:w="11906" w:h="16838"/>
          <w:pgMar w:top="1440" w:right="1800" w:bottom="1440" w:left="1800" w:header="708" w:footer="708" w:gutter="0"/>
          <w:pgNumType w:start="1"/>
          <w:cols w:space="708"/>
          <w:titlePg/>
          <w:docGrid w:linePitch="360"/>
        </w:sectPr>
      </w:pPr>
    </w:p>
    <w:p w14:paraId="3C34107F" w14:textId="3150A05C" w:rsidR="00DF502A" w:rsidRDefault="00DF502A" w:rsidP="00150827">
      <w:pPr>
        <w:pStyle w:val="virsraksts"/>
      </w:pPr>
      <w:bookmarkStart w:id="151" w:name="_Toc491870945"/>
      <w:r>
        <w:lastRenderedPageBreak/>
        <w:t>Pielikumi</w:t>
      </w:r>
      <w:bookmarkEnd w:id="151"/>
    </w:p>
    <w:p w14:paraId="08636B7F" w14:textId="490D463C" w:rsidR="00DF502A" w:rsidRPr="00150827" w:rsidRDefault="00DF502A" w:rsidP="00D9693B">
      <w:pPr>
        <w:pStyle w:val="teksts"/>
        <w:numPr>
          <w:ilvl w:val="3"/>
          <w:numId w:val="35"/>
        </w:numPr>
        <w:ind w:left="426"/>
        <w:jc w:val="center"/>
      </w:pPr>
      <w:r w:rsidRPr="00150827">
        <w:t>pielikums</w:t>
      </w:r>
    </w:p>
    <w:p w14:paraId="501F39C5" w14:textId="2B2A148F" w:rsidR="00DF502A" w:rsidRPr="00150827" w:rsidRDefault="00DF502A" w:rsidP="00150827">
      <w:pPr>
        <w:pStyle w:val="teksts"/>
        <w:ind w:firstLine="142"/>
        <w:jc w:val="center"/>
      </w:pPr>
      <w:r w:rsidRPr="00150827">
        <w:t>Mājokļu skaits, kas izmanto kurināmo koksni patērējošās iekārtas, un iekārtu vidējais vecums (% no koksni patērējošo mājokļu skaita; gadi)</w:t>
      </w:r>
      <w:r w:rsidRPr="00150827">
        <w:rPr>
          <w:rStyle w:val="FootnoteReference"/>
          <w:b/>
        </w:rPr>
        <w:footnoteReference w:id="37"/>
      </w:r>
    </w:p>
    <w:tbl>
      <w:tblPr>
        <w:tblW w:w="15725"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455"/>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tblGrid>
      <w:tr w:rsidR="00916787" w:rsidRPr="0079274A" w14:paraId="66A8D344" w14:textId="77777777" w:rsidTr="00916787">
        <w:tc>
          <w:tcPr>
            <w:tcW w:w="1320" w:type="dxa"/>
            <w:vMerge w:val="restart"/>
          </w:tcPr>
          <w:p w14:paraId="58F81A06" w14:textId="77777777" w:rsidR="00DF502A" w:rsidRPr="0079274A" w:rsidRDefault="00DF502A" w:rsidP="00E85C94">
            <w:pPr>
              <w:pStyle w:val="ListParagraph"/>
              <w:tabs>
                <w:tab w:val="left" w:pos="2269"/>
              </w:tabs>
              <w:ind w:left="0"/>
              <w:rPr>
                <w:b/>
                <w:color w:val="000000"/>
                <w:sz w:val="18"/>
                <w:szCs w:val="18"/>
              </w:rPr>
            </w:pPr>
            <w:r w:rsidRPr="0079274A">
              <w:rPr>
                <w:b/>
                <w:color w:val="000000"/>
                <w:sz w:val="18"/>
                <w:szCs w:val="18"/>
              </w:rPr>
              <w:t>Kurināmo koksni patērējošās iekārtas</w:t>
            </w:r>
          </w:p>
        </w:tc>
        <w:tc>
          <w:tcPr>
            <w:tcW w:w="3605" w:type="dxa"/>
            <w:gridSpan w:val="8"/>
          </w:tcPr>
          <w:p w14:paraId="410B41C1" w14:textId="77777777" w:rsidR="00DF502A" w:rsidRPr="0079274A" w:rsidRDefault="00DF502A" w:rsidP="00E85C94">
            <w:pPr>
              <w:pStyle w:val="ListParagraph"/>
              <w:tabs>
                <w:tab w:val="left" w:pos="2269"/>
              </w:tabs>
              <w:ind w:left="0"/>
              <w:jc w:val="center"/>
              <w:rPr>
                <w:b/>
                <w:color w:val="000000"/>
                <w:sz w:val="18"/>
                <w:szCs w:val="18"/>
              </w:rPr>
            </w:pPr>
            <w:r w:rsidRPr="0079274A">
              <w:rPr>
                <w:b/>
                <w:color w:val="000000"/>
                <w:sz w:val="18"/>
                <w:szCs w:val="18"/>
              </w:rPr>
              <w:t>Malka</w:t>
            </w:r>
          </w:p>
        </w:tc>
        <w:tc>
          <w:tcPr>
            <w:tcW w:w="3600" w:type="dxa"/>
            <w:gridSpan w:val="8"/>
          </w:tcPr>
          <w:p w14:paraId="67E66054" w14:textId="77777777" w:rsidR="00DF502A" w:rsidRPr="0079274A" w:rsidRDefault="00DF502A" w:rsidP="00E85C94">
            <w:pPr>
              <w:pStyle w:val="ListParagraph"/>
              <w:tabs>
                <w:tab w:val="left" w:pos="2269"/>
              </w:tabs>
              <w:ind w:left="0"/>
              <w:jc w:val="center"/>
              <w:rPr>
                <w:b/>
                <w:color w:val="000000"/>
                <w:sz w:val="18"/>
                <w:szCs w:val="18"/>
              </w:rPr>
            </w:pPr>
            <w:r w:rsidRPr="0079274A">
              <w:rPr>
                <w:b/>
                <w:color w:val="000000"/>
                <w:sz w:val="18"/>
                <w:szCs w:val="18"/>
              </w:rPr>
              <w:t>Koksnes atlikumi</w:t>
            </w:r>
          </w:p>
        </w:tc>
        <w:tc>
          <w:tcPr>
            <w:tcW w:w="3600" w:type="dxa"/>
            <w:gridSpan w:val="8"/>
          </w:tcPr>
          <w:p w14:paraId="0C0A60D8" w14:textId="77777777" w:rsidR="00DF502A" w:rsidRPr="0079274A" w:rsidRDefault="00DF502A" w:rsidP="00E85C94">
            <w:pPr>
              <w:pStyle w:val="ListParagraph"/>
              <w:tabs>
                <w:tab w:val="left" w:pos="2269"/>
              </w:tabs>
              <w:ind w:left="0"/>
              <w:jc w:val="center"/>
              <w:rPr>
                <w:b/>
                <w:color w:val="000000"/>
                <w:sz w:val="18"/>
                <w:szCs w:val="18"/>
              </w:rPr>
            </w:pPr>
            <w:r w:rsidRPr="0079274A">
              <w:rPr>
                <w:b/>
                <w:color w:val="000000"/>
                <w:sz w:val="18"/>
                <w:szCs w:val="18"/>
              </w:rPr>
              <w:t>Koksnes briketes</w:t>
            </w:r>
          </w:p>
        </w:tc>
        <w:tc>
          <w:tcPr>
            <w:tcW w:w="3600" w:type="dxa"/>
            <w:gridSpan w:val="8"/>
          </w:tcPr>
          <w:p w14:paraId="0531E848" w14:textId="77777777" w:rsidR="00DF502A" w:rsidRPr="0079274A" w:rsidRDefault="00DF502A" w:rsidP="00E85C94">
            <w:pPr>
              <w:pStyle w:val="ListParagraph"/>
              <w:tabs>
                <w:tab w:val="left" w:pos="2269"/>
              </w:tabs>
              <w:ind w:left="0"/>
              <w:jc w:val="center"/>
              <w:rPr>
                <w:b/>
                <w:color w:val="000000"/>
                <w:sz w:val="18"/>
                <w:szCs w:val="18"/>
              </w:rPr>
            </w:pPr>
            <w:r w:rsidRPr="0079274A">
              <w:rPr>
                <w:b/>
                <w:color w:val="000000"/>
                <w:sz w:val="18"/>
                <w:szCs w:val="18"/>
              </w:rPr>
              <w:t>Koksnes granulas</w:t>
            </w:r>
          </w:p>
        </w:tc>
      </w:tr>
      <w:tr w:rsidR="00916787" w:rsidRPr="0079274A" w14:paraId="4CB9C146" w14:textId="77777777" w:rsidTr="00916787">
        <w:tc>
          <w:tcPr>
            <w:tcW w:w="1320" w:type="dxa"/>
            <w:vMerge/>
          </w:tcPr>
          <w:p w14:paraId="75BDD1FC" w14:textId="77777777" w:rsidR="00DF502A" w:rsidRPr="0079274A" w:rsidRDefault="00DF502A" w:rsidP="00E85C94">
            <w:pPr>
              <w:pStyle w:val="ListParagraph"/>
              <w:tabs>
                <w:tab w:val="left" w:pos="2269"/>
              </w:tabs>
              <w:ind w:left="0"/>
              <w:rPr>
                <w:b/>
                <w:color w:val="000000"/>
                <w:sz w:val="18"/>
                <w:szCs w:val="18"/>
              </w:rPr>
            </w:pPr>
          </w:p>
        </w:tc>
        <w:tc>
          <w:tcPr>
            <w:tcW w:w="1805" w:type="dxa"/>
            <w:gridSpan w:val="4"/>
            <w:vAlign w:val="center"/>
          </w:tcPr>
          <w:p w14:paraId="0E2D9B2C" w14:textId="77777777" w:rsidR="00DF502A" w:rsidRPr="0079274A" w:rsidRDefault="00DF502A" w:rsidP="00E85C94">
            <w:pPr>
              <w:pStyle w:val="ListParagraph"/>
              <w:tabs>
                <w:tab w:val="left" w:pos="2269"/>
              </w:tabs>
              <w:ind w:left="0"/>
              <w:jc w:val="center"/>
              <w:rPr>
                <w:b/>
                <w:color w:val="000000"/>
                <w:sz w:val="18"/>
                <w:szCs w:val="18"/>
              </w:rPr>
            </w:pPr>
            <w:r w:rsidRPr="0079274A">
              <w:rPr>
                <w:b/>
                <w:color w:val="000000"/>
                <w:sz w:val="18"/>
                <w:szCs w:val="18"/>
              </w:rPr>
              <w:t>% no koksni patērējošo mājokļu skaita</w:t>
            </w:r>
          </w:p>
        </w:tc>
        <w:tc>
          <w:tcPr>
            <w:tcW w:w="1800" w:type="dxa"/>
            <w:gridSpan w:val="4"/>
            <w:vAlign w:val="center"/>
          </w:tcPr>
          <w:p w14:paraId="06A6ACBF" w14:textId="77777777" w:rsidR="00DF502A" w:rsidRPr="0079274A" w:rsidRDefault="00DF502A" w:rsidP="00E85C94">
            <w:pPr>
              <w:pStyle w:val="ListParagraph"/>
              <w:tabs>
                <w:tab w:val="left" w:pos="2269"/>
              </w:tabs>
              <w:ind w:left="0"/>
              <w:jc w:val="center"/>
              <w:rPr>
                <w:b/>
                <w:color w:val="000000"/>
                <w:sz w:val="18"/>
                <w:szCs w:val="18"/>
              </w:rPr>
            </w:pPr>
            <w:r w:rsidRPr="0079274A">
              <w:rPr>
                <w:b/>
                <w:color w:val="000000"/>
                <w:sz w:val="18"/>
                <w:szCs w:val="18"/>
              </w:rPr>
              <w:t>Vidējais vecums,</w:t>
            </w:r>
          </w:p>
          <w:p w14:paraId="433DD2FC" w14:textId="77777777" w:rsidR="00DF502A" w:rsidRPr="0079274A" w:rsidRDefault="00DF502A" w:rsidP="00E85C94">
            <w:pPr>
              <w:pStyle w:val="ListParagraph"/>
              <w:tabs>
                <w:tab w:val="left" w:pos="2269"/>
              </w:tabs>
              <w:ind w:left="0"/>
              <w:jc w:val="center"/>
              <w:rPr>
                <w:b/>
                <w:color w:val="000000"/>
                <w:sz w:val="18"/>
                <w:szCs w:val="18"/>
              </w:rPr>
            </w:pPr>
            <w:r w:rsidRPr="0079274A">
              <w:rPr>
                <w:b/>
                <w:color w:val="000000"/>
                <w:sz w:val="18"/>
                <w:szCs w:val="18"/>
              </w:rPr>
              <w:t>gadi</w:t>
            </w:r>
          </w:p>
        </w:tc>
        <w:tc>
          <w:tcPr>
            <w:tcW w:w="1800" w:type="dxa"/>
            <w:gridSpan w:val="4"/>
            <w:vAlign w:val="center"/>
          </w:tcPr>
          <w:p w14:paraId="35D3DED8" w14:textId="77777777" w:rsidR="00DF502A" w:rsidRPr="0079274A" w:rsidRDefault="00DF502A" w:rsidP="00E85C94">
            <w:pPr>
              <w:pStyle w:val="ListParagraph"/>
              <w:tabs>
                <w:tab w:val="left" w:pos="2269"/>
              </w:tabs>
              <w:ind w:left="0"/>
              <w:jc w:val="center"/>
              <w:rPr>
                <w:b/>
                <w:color w:val="000000"/>
                <w:sz w:val="18"/>
                <w:szCs w:val="18"/>
              </w:rPr>
            </w:pPr>
            <w:r w:rsidRPr="0079274A">
              <w:rPr>
                <w:b/>
                <w:color w:val="000000"/>
                <w:sz w:val="18"/>
                <w:szCs w:val="18"/>
              </w:rPr>
              <w:t>% no koksni patērējošo mājokļu skaita</w:t>
            </w:r>
          </w:p>
        </w:tc>
        <w:tc>
          <w:tcPr>
            <w:tcW w:w="1800" w:type="dxa"/>
            <w:gridSpan w:val="4"/>
            <w:vAlign w:val="center"/>
          </w:tcPr>
          <w:p w14:paraId="1C18E162" w14:textId="77777777" w:rsidR="00DF502A" w:rsidRPr="0079274A" w:rsidRDefault="00DF502A" w:rsidP="00E85C94">
            <w:pPr>
              <w:pStyle w:val="ListParagraph"/>
              <w:tabs>
                <w:tab w:val="left" w:pos="2269"/>
              </w:tabs>
              <w:ind w:left="0"/>
              <w:jc w:val="center"/>
              <w:rPr>
                <w:b/>
                <w:color w:val="000000"/>
                <w:sz w:val="18"/>
                <w:szCs w:val="18"/>
              </w:rPr>
            </w:pPr>
            <w:r w:rsidRPr="0079274A">
              <w:rPr>
                <w:b/>
                <w:color w:val="000000"/>
                <w:sz w:val="18"/>
                <w:szCs w:val="18"/>
              </w:rPr>
              <w:t>Vidējais vecums,</w:t>
            </w:r>
          </w:p>
          <w:p w14:paraId="018B2913" w14:textId="77777777" w:rsidR="00DF502A" w:rsidRPr="0079274A" w:rsidRDefault="00DF502A" w:rsidP="00E85C94">
            <w:pPr>
              <w:pStyle w:val="ListParagraph"/>
              <w:tabs>
                <w:tab w:val="left" w:pos="2269"/>
              </w:tabs>
              <w:ind w:left="0"/>
              <w:jc w:val="center"/>
              <w:rPr>
                <w:b/>
                <w:color w:val="000000"/>
                <w:sz w:val="18"/>
                <w:szCs w:val="18"/>
              </w:rPr>
            </w:pPr>
            <w:r w:rsidRPr="0079274A">
              <w:rPr>
                <w:b/>
                <w:color w:val="000000"/>
                <w:sz w:val="18"/>
                <w:szCs w:val="18"/>
              </w:rPr>
              <w:t>gadi</w:t>
            </w:r>
          </w:p>
        </w:tc>
        <w:tc>
          <w:tcPr>
            <w:tcW w:w="1800" w:type="dxa"/>
            <w:gridSpan w:val="4"/>
            <w:vAlign w:val="center"/>
          </w:tcPr>
          <w:p w14:paraId="52B3616B" w14:textId="77777777" w:rsidR="00DF502A" w:rsidRPr="0079274A" w:rsidRDefault="00DF502A" w:rsidP="00E85C94">
            <w:pPr>
              <w:pStyle w:val="ListParagraph"/>
              <w:tabs>
                <w:tab w:val="left" w:pos="2269"/>
              </w:tabs>
              <w:ind w:left="0"/>
              <w:jc w:val="center"/>
              <w:rPr>
                <w:b/>
                <w:color w:val="000000"/>
                <w:sz w:val="18"/>
                <w:szCs w:val="18"/>
              </w:rPr>
            </w:pPr>
            <w:r w:rsidRPr="0079274A">
              <w:rPr>
                <w:b/>
                <w:color w:val="000000"/>
                <w:sz w:val="18"/>
                <w:szCs w:val="18"/>
              </w:rPr>
              <w:t>% no koksni patērējošo mājokļu skaita</w:t>
            </w:r>
          </w:p>
        </w:tc>
        <w:tc>
          <w:tcPr>
            <w:tcW w:w="1800" w:type="dxa"/>
            <w:gridSpan w:val="4"/>
            <w:vAlign w:val="center"/>
          </w:tcPr>
          <w:p w14:paraId="46AD2375" w14:textId="77777777" w:rsidR="00DF502A" w:rsidRPr="0079274A" w:rsidRDefault="00DF502A" w:rsidP="00E85C94">
            <w:pPr>
              <w:pStyle w:val="ListParagraph"/>
              <w:tabs>
                <w:tab w:val="left" w:pos="2269"/>
              </w:tabs>
              <w:ind w:left="0"/>
              <w:jc w:val="center"/>
              <w:rPr>
                <w:b/>
                <w:color w:val="000000"/>
                <w:sz w:val="18"/>
                <w:szCs w:val="18"/>
              </w:rPr>
            </w:pPr>
            <w:r w:rsidRPr="0079274A">
              <w:rPr>
                <w:b/>
                <w:color w:val="000000"/>
                <w:sz w:val="18"/>
                <w:szCs w:val="18"/>
              </w:rPr>
              <w:t>Vidējais vecums,</w:t>
            </w:r>
          </w:p>
          <w:p w14:paraId="7B361FC9" w14:textId="77777777" w:rsidR="00DF502A" w:rsidRPr="0079274A" w:rsidRDefault="00DF502A" w:rsidP="00E85C94">
            <w:pPr>
              <w:pStyle w:val="ListParagraph"/>
              <w:tabs>
                <w:tab w:val="left" w:pos="2269"/>
              </w:tabs>
              <w:ind w:left="0"/>
              <w:jc w:val="center"/>
              <w:rPr>
                <w:b/>
                <w:color w:val="000000"/>
                <w:sz w:val="18"/>
                <w:szCs w:val="18"/>
              </w:rPr>
            </w:pPr>
            <w:r w:rsidRPr="0079274A">
              <w:rPr>
                <w:b/>
                <w:color w:val="000000"/>
                <w:sz w:val="18"/>
                <w:szCs w:val="18"/>
              </w:rPr>
              <w:t>gadi</w:t>
            </w:r>
          </w:p>
        </w:tc>
        <w:tc>
          <w:tcPr>
            <w:tcW w:w="1800" w:type="dxa"/>
            <w:gridSpan w:val="4"/>
            <w:vAlign w:val="center"/>
          </w:tcPr>
          <w:p w14:paraId="666E4B84" w14:textId="77777777" w:rsidR="00DF502A" w:rsidRPr="0079274A" w:rsidRDefault="00DF502A" w:rsidP="00E85C94">
            <w:pPr>
              <w:pStyle w:val="ListParagraph"/>
              <w:tabs>
                <w:tab w:val="left" w:pos="2269"/>
              </w:tabs>
              <w:ind w:left="0"/>
              <w:jc w:val="center"/>
              <w:rPr>
                <w:b/>
                <w:color w:val="000000"/>
                <w:sz w:val="18"/>
                <w:szCs w:val="18"/>
              </w:rPr>
            </w:pPr>
            <w:r w:rsidRPr="0079274A">
              <w:rPr>
                <w:b/>
                <w:color w:val="000000"/>
                <w:sz w:val="18"/>
                <w:szCs w:val="18"/>
              </w:rPr>
              <w:t>% no koksni patērējošo mājokļu skaita</w:t>
            </w:r>
          </w:p>
        </w:tc>
        <w:tc>
          <w:tcPr>
            <w:tcW w:w="1800" w:type="dxa"/>
            <w:gridSpan w:val="4"/>
            <w:vAlign w:val="center"/>
          </w:tcPr>
          <w:p w14:paraId="3053FD91" w14:textId="77777777" w:rsidR="00DF502A" w:rsidRPr="0079274A" w:rsidRDefault="00DF502A" w:rsidP="00E85C94">
            <w:pPr>
              <w:pStyle w:val="ListParagraph"/>
              <w:tabs>
                <w:tab w:val="left" w:pos="2269"/>
              </w:tabs>
              <w:ind w:left="0"/>
              <w:jc w:val="center"/>
              <w:rPr>
                <w:b/>
                <w:color w:val="000000"/>
                <w:sz w:val="18"/>
                <w:szCs w:val="18"/>
              </w:rPr>
            </w:pPr>
            <w:r w:rsidRPr="0079274A">
              <w:rPr>
                <w:b/>
                <w:color w:val="000000"/>
                <w:sz w:val="18"/>
                <w:szCs w:val="18"/>
              </w:rPr>
              <w:t>Vidējais vecums,</w:t>
            </w:r>
          </w:p>
          <w:p w14:paraId="21336BC2" w14:textId="77777777" w:rsidR="00DF502A" w:rsidRPr="0079274A" w:rsidRDefault="00DF502A" w:rsidP="00E85C94">
            <w:pPr>
              <w:pStyle w:val="ListParagraph"/>
              <w:tabs>
                <w:tab w:val="left" w:pos="2269"/>
              </w:tabs>
              <w:ind w:left="0"/>
              <w:jc w:val="center"/>
              <w:rPr>
                <w:b/>
                <w:color w:val="000000"/>
                <w:sz w:val="18"/>
                <w:szCs w:val="18"/>
              </w:rPr>
            </w:pPr>
            <w:r w:rsidRPr="0079274A">
              <w:rPr>
                <w:b/>
                <w:color w:val="000000"/>
                <w:sz w:val="18"/>
                <w:szCs w:val="18"/>
              </w:rPr>
              <w:t>gadi</w:t>
            </w:r>
          </w:p>
        </w:tc>
      </w:tr>
      <w:tr w:rsidR="00916787" w:rsidRPr="0079274A" w14:paraId="190835D2" w14:textId="77777777" w:rsidTr="00916787">
        <w:tc>
          <w:tcPr>
            <w:tcW w:w="1320" w:type="dxa"/>
            <w:vMerge/>
          </w:tcPr>
          <w:p w14:paraId="0D38856E" w14:textId="77777777" w:rsidR="00DF502A" w:rsidRPr="0079274A" w:rsidRDefault="00DF502A" w:rsidP="00E85C94">
            <w:pPr>
              <w:pStyle w:val="ListParagraph"/>
              <w:tabs>
                <w:tab w:val="left" w:pos="2269"/>
              </w:tabs>
              <w:ind w:left="0"/>
              <w:rPr>
                <w:b/>
                <w:color w:val="000000"/>
                <w:sz w:val="18"/>
                <w:szCs w:val="18"/>
              </w:rPr>
            </w:pPr>
          </w:p>
        </w:tc>
        <w:tc>
          <w:tcPr>
            <w:tcW w:w="455" w:type="dxa"/>
            <w:vAlign w:val="center"/>
          </w:tcPr>
          <w:p w14:paraId="4C638F1F" w14:textId="77777777" w:rsidR="00DF502A" w:rsidRPr="0079274A" w:rsidRDefault="00DF502A" w:rsidP="00E85C94">
            <w:pPr>
              <w:pStyle w:val="ListParagraph"/>
              <w:tabs>
                <w:tab w:val="left" w:pos="2269"/>
              </w:tabs>
              <w:ind w:left="-103" w:right="-108"/>
              <w:jc w:val="center"/>
              <w:rPr>
                <w:b/>
                <w:color w:val="000000"/>
                <w:sz w:val="18"/>
                <w:szCs w:val="18"/>
              </w:rPr>
            </w:pPr>
            <w:r w:rsidRPr="0079274A">
              <w:rPr>
                <w:b/>
                <w:color w:val="000000"/>
                <w:sz w:val="18"/>
                <w:szCs w:val="18"/>
              </w:rPr>
              <w:t>2001</w:t>
            </w:r>
          </w:p>
        </w:tc>
        <w:tc>
          <w:tcPr>
            <w:tcW w:w="450" w:type="dxa"/>
            <w:vAlign w:val="center"/>
          </w:tcPr>
          <w:p w14:paraId="22768103" w14:textId="77777777" w:rsidR="00DF502A" w:rsidRPr="0079274A" w:rsidRDefault="00DF502A" w:rsidP="00E85C94">
            <w:pPr>
              <w:pStyle w:val="ListParagraph"/>
              <w:tabs>
                <w:tab w:val="left" w:pos="2269"/>
              </w:tabs>
              <w:ind w:left="-103" w:right="-108"/>
              <w:jc w:val="center"/>
              <w:rPr>
                <w:b/>
                <w:color w:val="000000"/>
                <w:sz w:val="18"/>
                <w:szCs w:val="18"/>
              </w:rPr>
            </w:pPr>
            <w:r w:rsidRPr="0079274A">
              <w:rPr>
                <w:b/>
                <w:color w:val="000000"/>
                <w:sz w:val="18"/>
                <w:szCs w:val="18"/>
              </w:rPr>
              <w:t>2006</w:t>
            </w:r>
          </w:p>
        </w:tc>
        <w:tc>
          <w:tcPr>
            <w:tcW w:w="450" w:type="dxa"/>
            <w:vAlign w:val="center"/>
          </w:tcPr>
          <w:p w14:paraId="37402762" w14:textId="77777777" w:rsidR="00DF502A" w:rsidRPr="0079274A" w:rsidRDefault="00DF502A" w:rsidP="00E85C94">
            <w:pPr>
              <w:pStyle w:val="ListParagraph"/>
              <w:tabs>
                <w:tab w:val="left" w:pos="2269"/>
              </w:tabs>
              <w:ind w:left="-103" w:right="-108"/>
              <w:jc w:val="center"/>
              <w:rPr>
                <w:b/>
                <w:color w:val="000000"/>
                <w:sz w:val="18"/>
                <w:szCs w:val="18"/>
              </w:rPr>
            </w:pPr>
            <w:r w:rsidRPr="0079274A">
              <w:rPr>
                <w:b/>
                <w:color w:val="000000"/>
                <w:sz w:val="18"/>
                <w:szCs w:val="18"/>
              </w:rPr>
              <w:t>2010</w:t>
            </w:r>
          </w:p>
        </w:tc>
        <w:tc>
          <w:tcPr>
            <w:tcW w:w="450" w:type="dxa"/>
            <w:vAlign w:val="center"/>
          </w:tcPr>
          <w:p w14:paraId="3333A588" w14:textId="77777777" w:rsidR="00DF502A" w:rsidRPr="0079274A" w:rsidRDefault="00DF502A" w:rsidP="00E85C94">
            <w:pPr>
              <w:pStyle w:val="ListParagraph"/>
              <w:tabs>
                <w:tab w:val="left" w:pos="2269"/>
              </w:tabs>
              <w:ind w:left="-103" w:right="-108"/>
              <w:jc w:val="center"/>
              <w:rPr>
                <w:b/>
                <w:color w:val="000000"/>
                <w:sz w:val="18"/>
                <w:szCs w:val="18"/>
              </w:rPr>
            </w:pPr>
            <w:r>
              <w:rPr>
                <w:b/>
                <w:color w:val="000000"/>
                <w:sz w:val="18"/>
                <w:szCs w:val="18"/>
              </w:rPr>
              <w:t>2015</w:t>
            </w:r>
          </w:p>
        </w:tc>
        <w:tc>
          <w:tcPr>
            <w:tcW w:w="450" w:type="dxa"/>
            <w:vAlign w:val="center"/>
          </w:tcPr>
          <w:p w14:paraId="5F621E75" w14:textId="77777777" w:rsidR="00DF502A" w:rsidRPr="0079274A" w:rsidRDefault="00DF502A" w:rsidP="00E85C94">
            <w:pPr>
              <w:pStyle w:val="ListParagraph"/>
              <w:tabs>
                <w:tab w:val="left" w:pos="2269"/>
              </w:tabs>
              <w:ind w:left="-103" w:right="-108"/>
              <w:jc w:val="center"/>
              <w:rPr>
                <w:b/>
                <w:color w:val="000000"/>
                <w:sz w:val="18"/>
                <w:szCs w:val="18"/>
              </w:rPr>
            </w:pPr>
            <w:r w:rsidRPr="0079274A">
              <w:rPr>
                <w:b/>
                <w:color w:val="000000"/>
                <w:sz w:val="18"/>
                <w:szCs w:val="18"/>
              </w:rPr>
              <w:t>2001</w:t>
            </w:r>
          </w:p>
        </w:tc>
        <w:tc>
          <w:tcPr>
            <w:tcW w:w="450" w:type="dxa"/>
            <w:vAlign w:val="center"/>
          </w:tcPr>
          <w:p w14:paraId="5237565B" w14:textId="77777777" w:rsidR="00DF502A" w:rsidRPr="0079274A" w:rsidRDefault="00DF502A" w:rsidP="00E85C94">
            <w:pPr>
              <w:pStyle w:val="ListParagraph"/>
              <w:tabs>
                <w:tab w:val="left" w:pos="2269"/>
              </w:tabs>
              <w:ind w:left="-103" w:right="-108"/>
              <w:jc w:val="center"/>
              <w:rPr>
                <w:b/>
                <w:color w:val="000000"/>
                <w:sz w:val="18"/>
                <w:szCs w:val="18"/>
              </w:rPr>
            </w:pPr>
            <w:r w:rsidRPr="0079274A">
              <w:rPr>
                <w:b/>
                <w:color w:val="000000"/>
                <w:sz w:val="18"/>
                <w:szCs w:val="18"/>
              </w:rPr>
              <w:t>2006</w:t>
            </w:r>
          </w:p>
        </w:tc>
        <w:tc>
          <w:tcPr>
            <w:tcW w:w="450" w:type="dxa"/>
            <w:vAlign w:val="center"/>
          </w:tcPr>
          <w:p w14:paraId="2FF8B175" w14:textId="77777777" w:rsidR="00DF502A" w:rsidRPr="0079274A" w:rsidRDefault="00DF502A" w:rsidP="00E85C94">
            <w:pPr>
              <w:pStyle w:val="ListParagraph"/>
              <w:tabs>
                <w:tab w:val="left" w:pos="2269"/>
              </w:tabs>
              <w:ind w:left="-103" w:right="-108"/>
              <w:jc w:val="center"/>
              <w:rPr>
                <w:b/>
                <w:color w:val="000000"/>
                <w:sz w:val="18"/>
                <w:szCs w:val="18"/>
              </w:rPr>
            </w:pPr>
            <w:r w:rsidRPr="0079274A">
              <w:rPr>
                <w:b/>
                <w:color w:val="000000"/>
                <w:sz w:val="18"/>
                <w:szCs w:val="18"/>
              </w:rPr>
              <w:t>2010</w:t>
            </w:r>
          </w:p>
        </w:tc>
        <w:tc>
          <w:tcPr>
            <w:tcW w:w="450" w:type="dxa"/>
          </w:tcPr>
          <w:p w14:paraId="72BCAB85" w14:textId="77777777" w:rsidR="00DF502A" w:rsidRPr="0079274A" w:rsidRDefault="00DF502A" w:rsidP="00E85C94">
            <w:pPr>
              <w:pStyle w:val="ListParagraph"/>
              <w:tabs>
                <w:tab w:val="left" w:pos="2269"/>
              </w:tabs>
              <w:ind w:left="-103" w:right="-108"/>
              <w:jc w:val="center"/>
              <w:rPr>
                <w:b/>
                <w:color w:val="000000"/>
                <w:sz w:val="18"/>
                <w:szCs w:val="18"/>
              </w:rPr>
            </w:pPr>
            <w:r>
              <w:rPr>
                <w:b/>
                <w:color w:val="000000"/>
                <w:sz w:val="18"/>
                <w:szCs w:val="18"/>
              </w:rPr>
              <w:t>2015</w:t>
            </w:r>
          </w:p>
        </w:tc>
        <w:tc>
          <w:tcPr>
            <w:tcW w:w="450" w:type="dxa"/>
            <w:vAlign w:val="center"/>
          </w:tcPr>
          <w:p w14:paraId="4B0CFB3C" w14:textId="77777777" w:rsidR="00DF502A" w:rsidRPr="0079274A" w:rsidRDefault="00DF502A" w:rsidP="00E85C94">
            <w:pPr>
              <w:pStyle w:val="ListParagraph"/>
              <w:tabs>
                <w:tab w:val="left" w:pos="2269"/>
              </w:tabs>
              <w:ind w:left="-103" w:right="-108"/>
              <w:jc w:val="center"/>
              <w:rPr>
                <w:b/>
                <w:color w:val="000000"/>
                <w:sz w:val="18"/>
                <w:szCs w:val="18"/>
              </w:rPr>
            </w:pPr>
            <w:r w:rsidRPr="0079274A">
              <w:rPr>
                <w:b/>
                <w:color w:val="000000"/>
                <w:sz w:val="18"/>
                <w:szCs w:val="18"/>
              </w:rPr>
              <w:t>2001</w:t>
            </w:r>
          </w:p>
        </w:tc>
        <w:tc>
          <w:tcPr>
            <w:tcW w:w="450" w:type="dxa"/>
            <w:vAlign w:val="center"/>
          </w:tcPr>
          <w:p w14:paraId="4C0F189E" w14:textId="77777777" w:rsidR="00DF502A" w:rsidRPr="0079274A" w:rsidRDefault="00DF502A" w:rsidP="00E85C94">
            <w:pPr>
              <w:pStyle w:val="ListParagraph"/>
              <w:tabs>
                <w:tab w:val="left" w:pos="2269"/>
              </w:tabs>
              <w:ind w:left="-103" w:right="-108"/>
              <w:jc w:val="center"/>
              <w:rPr>
                <w:b/>
                <w:color w:val="000000"/>
                <w:sz w:val="18"/>
                <w:szCs w:val="18"/>
              </w:rPr>
            </w:pPr>
            <w:r w:rsidRPr="0079274A">
              <w:rPr>
                <w:b/>
                <w:color w:val="000000"/>
                <w:sz w:val="18"/>
                <w:szCs w:val="18"/>
              </w:rPr>
              <w:t>2006</w:t>
            </w:r>
          </w:p>
        </w:tc>
        <w:tc>
          <w:tcPr>
            <w:tcW w:w="450" w:type="dxa"/>
            <w:vAlign w:val="center"/>
          </w:tcPr>
          <w:p w14:paraId="7A304DD8" w14:textId="77777777" w:rsidR="00DF502A" w:rsidRPr="0079274A" w:rsidRDefault="00DF502A" w:rsidP="00E85C94">
            <w:pPr>
              <w:pStyle w:val="ListParagraph"/>
              <w:tabs>
                <w:tab w:val="left" w:pos="2269"/>
              </w:tabs>
              <w:ind w:left="-103" w:right="-108"/>
              <w:jc w:val="center"/>
              <w:rPr>
                <w:b/>
                <w:color w:val="000000"/>
                <w:sz w:val="18"/>
                <w:szCs w:val="18"/>
              </w:rPr>
            </w:pPr>
            <w:r w:rsidRPr="0079274A">
              <w:rPr>
                <w:b/>
                <w:color w:val="000000"/>
                <w:sz w:val="18"/>
                <w:szCs w:val="18"/>
              </w:rPr>
              <w:t>2010</w:t>
            </w:r>
          </w:p>
        </w:tc>
        <w:tc>
          <w:tcPr>
            <w:tcW w:w="450" w:type="dxa"/>
          </w:tcPr>
          <w:p w14:paraId="2A275F9D" w14:textId="77777777" w:rsidR="00DF502A" w:rsidRPr="0079274A" w:rsidRDefault="00DF502A" w:rsidP="00E85C94">
            <w:pPr>
              <w:pStyle w:val="ListParagraph"/>
              <w:tabs>
                <w:tab w:val="left" w:pos="2269"/>
              </w:tabs>
              <w:ind w:left="-103" w:right="-108"/>
              <w:jc w:val="center"/>
              <w:rPr>
                <w:b/>
                <w:color w:val="000000"/>
                <w:sz w:val="18"/>
                <w:szCs w:val="18"/>
              </w:rPr>
            </w:pPr>
            <w:r>
              <w:rPr>
                <w:b/>
                <w:color w:val="000000"/>
                <w:sz w:val="18"/>
                <w:szCs w:val="18"/>
              </w:rPr>
              <w:t>2015</w:t>
            </w:r>
          </w:p>
        </w:tc>
        <w:tc>
          <w:tcPr>
            <w:tcW w:w="450" w:type="dxa"/>
            <w:vAlign w:val="center"/>
          </w:tcPr>
          <w:p w14:paraId="438BE586" w14:textId="77777777" w:rsidR="00DF502A" w:rsidRPr="0079274A" w:rsidRDefault="00DF502A" w:rsidP="00E85C94">
            <w:pPr>
              <w:pStyle w:val="ListParagraph"/>
              <w:tabs>
                <w:tab w:val="left" w:pos="2269"/>
              </w:tabs>
              <w:ind w:left="-103" w:right="-108"/>
              <w:jc w:val="center"/>
              <w:rPr>
                <w:b/>
                <w:color w:val="000000"/>
                <w:sz w:val="18"/>
                <w:szCs w:val="18"/>
              </w:rPr>
            </w:pPr>
            <w:r w:rsidRPr="0079274A">
              <w:rPr>
                <w:b/>
                <w:color w:val="000000"/>
                <w:sz w:val="18"/>
                <w:szCs w:val="18"/>
              </w:rPr>
              <w:t>2001</w:t>
            </w:r>
          </w:p>
        </w:tc>
        <w:tc>
          <w:tcPr>
            <w:tcW w:w="450" w:type="dxa"/>
            <w:vAlign w:val="center"/>
          </w:tcPr>
          <w:p w14:paraId="68F11733" w14:textId="77777777" w:rsidR="00DF502A" w:rsidRPr="0079274A" w:rsidRDefault="00DF502A" w:rsidP="00E85C94">
            <w:pPr>
              <w:pStyle w:val="ListParagraph"/>
              <w:tabs>
                <w:tab w:val="left" w:pos="2269"/>
              </w:tabs>
              <w:ind w:left="-103" w:right="-108"/>
              <w:jc w:val="center"/>
              <w:rPr>
                <w:b/>
                <w:color w:val="000000"/>
                <w:sz w:val="18"/>
                <w:szCs w:val="18"/>
              </w:rPr>
            </w:pPr>
            <w:r w:rsidRPr="0079274A">
              <w:rPr>
                <w:b/>
                <w:color w:val="000000"/>
                <w:sz w:val="18"/>
                <w:szCs w:val="18"/>
              </w:rPr>
              <w:t>2006</w:t>
            </w:r>
          </w:p>
        </w:tc>
        <w:tc>
          <w:tcPr>
            <w:tcW w:w="450" w:type="dxa"/>
            <w:vAlign w:val="center"/>
          </w:tcPr>
          <w:p w14:paraId="0413F159" w14:textId="77777777" w:rsidR="00DF502A" w:rsidRPr="0079274A" w:rsidRDefault="00DF502A" w:rsidP="00E85C94">
            <w:pPr>
              <w:pStyle w:val="ListParagraph"/>
              <w:tabs>
                <w:tab w:val="left" w:pos="2269"/>
              </w:tabs>
              <w:ind w:left="-103" w:right="-108"/>
              <w:jc w:val="center"/>
              <w:rPr>
                <w:b/>
                <w:color w:val="000000"/>
                <w:sz w:val="18"/>
                <w:szCs w:val="18"/>
              </w:rPr>
            </w:pPr>
            <w:r w:rsidRPr="0079274A">
              <w:rPr>
                <w:b/>
                <w:color w:val="000000"/>
                <w:sz w:val="18"/>
                <w:szCs w:val="18"/>
              </w:rPr>
              <w:t>2010</w:t>
            </w:r>
          </w:p>
        </w:tc>
        <w:tc>
          <w:tcPr>
            <w:tcW w:w="450" w:type="dxa"/>
          </w:tcPr>
          <w:p w14:paraId="0C1E9371" w14:textId="77777777" w:rsidR="00DF502A" w:rsidRPr="0079274A" w:rsidRDefault="00DF502A" w:rsidP="00E85C94">
            <w:pPr>
              <w:pStyle w:val="ListParagraph"/>
              <w:tabs>
                <w:tab w:val="left" w:pos="2269"/>
              </w:tabs>
              <w:ind w:left="-103" w:right="-108"/>
              <w:jc w:val="center"/>
              <w:rPr>
                <w:b/>
                <w:color w:val="000000"/>
                <w:sz w:val="18"/>
                <w:szCs w:val="18"/>
              </w:rPr>
            </w:pPr>
            <w:r>
              <w:rPr>
                <w:b/>
                <w:color w:val="000000"/>
                <w:sz w:val="18"/>
                <w:szCs w:val="18"/>
              </w:rPr>
              <w:t>2015</w:t>
            </w:r>
          </w:p>
        </w:tc>
        <w:tc>
          <w:tcPr>
            <w:tcW w:w="450" w:type="dxa"/>
            <w:vAlign w:val="center"/>
          </w:tcPr>
          <w:p w14:paraId="0C0AFAB2" w14:textId="77777777" w:rsidR="00DF502A" w:rsidRPr="0079274A" w:rsidRDefault="00DF502A" w:rsidP="00E85C94">
            <w:pPr>
              <w:pStyle w:val="ListParagraph"/>
              <w:tabs>
                <w:tab w:val="left" w:pos="2269"/>
              </w:tabs>
              <w:ind w:left="-103" w:right="-108"/>
              <w:jc w:val="center"/>
              <w:rPr>
                <w:b/>
                <w:color w:val="000000"/>
                <w:sz w:val="18"/>
                <w:szCs w:val="18"/>
              </w:rPr>
            </w:pPr>
            <w:r w:rsidRPr="0079274A">
              <w:rPr>
                <w:b/>
                <w:color w:val="000000"/>
                <w:sz w:val="18"/>
                <w:szCs w:val="18"/>
              </w:rPr>
              <w:t>2001</w:t>
            </w:r>
          </w:p>
        </w:tc>
        <w:tc>
          <w:tcPr>
            <w:tcW w:w="450" w:type="dxa"/>
            <w:vAlign w:val="center"/>
          </w:tcPr>
          <w:p w14:paraId="1C402B53" w14:textId="77777777" w:rsidR="00DF502A" w:rsidRPr="0079274A" w:rsidRDefault="00DF502A" w:rsidP="00E85C94">
            <w:pPr>
              <w:pStyle w:val="ListParagraph"/>
              <w:tabs>
                <w:tab w:val="left" w:pos="2269"/>
              </w:tabs>
              <w:ind w:left="-103" w:right="-108"/>
              <w:jc w:val="center"/>
              <w:rPr>
                <w:b/>
                <w:color w:val="000000"/>
                <w:sz w:val="18"/>
                <w:szCs w:val="18"/>
              </w:rPr>
            </w:pPr>
            <w:r w:rsidRPr="0079274A">
              <w:rPr>
                <w:b/>
                <w:color w:val="000000"/>
                <w:sz w:val="18"/>
                <w:szCs w:val="18"/>
              </w:rPr>
              <w:t>2006</w:t>
            </w:r>
          </w:p>
        </w:tc>
        <w:tc>
          <w:tcPr>
            <w:tcW w:w="450" w:type="dxa"/>
            <w:vAlign w:val="center"/>
          </w:tcPr>
          <w:p w14:paraId="64CACC84" w14:textId="77777777" w:rsidR="00DF502A" w:rsidRPr="0079274A" w:rsidRDefault="00DF502A" w:rsidP="00E85C94">
            <w:pPr>
              <w:pStyle w:val="ListParagraph"/>
              <w:tabs>
                <w:tab w:val="left" w:pos="2269"/>
              </w:tabs>
              <w:ind w:left="-103" w:right="-108"/>
              <w:jc w:val="center"/>
              <w:rPr>
                <w:b/>
                <w:color w:val="000000"/>
                <w:sz w:val="18"/>
                <w:szCs w:val="18"/>
              </w:rPr>
            </w:pPr>
            <w:r w:rsidRPr="0079274A">
              <w:rPr>
                <w:b/>
                <w:color w:val="000000"/>
                <w:sz w:val="18"/>
                <w:szCs w:val="18"/>
              </w:rPr>
              <w:t>2010</w:t>
            </w:r>
          </w:p>
        </w:tc>
        <w:tc>
          <w:tcPr>
            <w:tcW w:w="450" w:type="dxa"/>
          </w:tcPr>
          <w:p w14:paraId="5314DB17" w14:textId="77777777" w:rsidR="00DF502A" w:rsidRPr="0079274A" w:rsidRDefault="00DF502A" w:rsidP="00E85C94">
            <w:pPr>
              <w:pStyle w:val="ListParagraph"/>
              <w:tabs>
                <w:tab w:val="left" w:pos="2269"/>
              </w:tabs>
              <w:ind w:left="-103" w:right="-108"/>
              <w:jc w:val="center"/>
              <w:rPr>
                <w:b/>
                <w:color w:val="000000"/>
                <w:sz w:val="18"/>
                <w:szCs w:val="18"/>
              </w:rPr>
            </w:pPr>
            <w:r>
              <w:rPr>
                <w:b/>
                <w:color w:val="000000"/>
                <w:sz w:val="18"/>
                <w:szCs w:val="18"/>
              </w:rPr>
              <w:t>2015</w:t>
            </w:r>
          </w:p>
        </w:tc>
        <w:tc>
          <w:tcPr>
            <w:tcW w:w="450" w:type="dxa"/>
            <w:vAlign w:val="center"/>
          </w:tcPr>
          <w:p w14:paraId="6225D3DA" w14:textId="77777777" w:rsidR="00DF502A" w:rsidRPr="0079274A" w:rsidRDefault="00DF502A" w:rsidP="00E85C94">
            <w:pPr>
              <w:pStyle w:val="ListParagraph"/>
              <w:tabs>
                <w:tab w:val="left" w:pos="2269"/>
              </w:tabs>
              <w:ind w:left="-103" w:right="-108"/>
              <w:jc w:val="center"/>
              <w:rPr>
                <w:b/>
                <w:color w:val="000000"/>
                <w:sz w:val="18"/>
                <w:szCs w:val="18"/>
              </w:rPr>
            </w:pPr>
            <w:r w:rsidRPr="0079274A">
              <w:rPr>
                <w:b/>
                <w:color w:val="000000"/>
                <w:sz w:val="18"/>
                <w:szCs w:val="18"/>
              </w:rPr>
              <w:t>2001</w:t>
            </w:r>
          </w:p>
        </w:tc>
        <w:tc>
          <w:tcPr>
            <w:tcW w:w="450" w:type="dxa"/>
            <w:vAlign w:val="center"/>
          </w:tcPr>
          <w:p w14:paraId="603D2B82" w14:textId="77777777" w:rsidR="00DF502A" w:rsidRPr="0079274A" w:rsidRDefault="00DF502A" w:rsidP="00E85C94">
            <w:pPr>
              <w:pStyle w:val="ListParagraph"/>
              <w:tabs>
                <w:tab w:val="left" w:pos="2269"/>
              </w:tabs>
              <w:ind w:left="-103" w:right="-108"/>
              <w:jc w:val="center"/>
              <w:rPr>
                <w:b/>
                <w:color w:val="000000"/>
                <w:sz w:val="18"/>
                <w:szCs w:val="18"/>
              </w:rPr>
            </w:pPr>
            <w:r w:rsidRPr="0079274A">
              <w:rPr>
                <w:b/>
                <w:color w:val="000000"/>
                <w:sz w:val="18"/>
                <w:szCs w:val="18"/>
              </w:rPr>
              <w:t>2006</w:t>
            </w:r>
          </w:p>
        </w:tc>
        <w:tc>
          <w:tcPr>
            <w:tcW w:w="450" w:type="dxa"/>
            <w:vAlign w:val="center"/>
          </w:tcPr>
          <w:p w14:paraId="25BB07D9" w14:textId="77777777" w:rsidR="00DF502A" w:rsidRPr="0079274A" w:rsidRDefault="00DF502A" w:rsidP="00E85C94">
            <w:pPr>
              <w:pStyle w:val="ListParagraph"/>
              <w:tabs>
                <w:tab w:val="left" w:pos="2269"/>
              </w:tabs>
              <w:ind w:left="-103" w:right="-108"/>
              <w:jc w:val="center"/>
              <w:rPr>
                <w:b/>
                <w:color w:val="000000"/>
                <w:sz w:val="18"/>
                <w:szCs w:val="18"/>
              </w:rPr>
            </w:pPr>
            <w:r w:rsidRPr="0079274A">
              <w:rPr>
                <w:b/>
                <w:color w:val="000000"/>
                <w:sz w:val="18"/>
                <w:szCs w:val="18"/>
              </w:rPr>
              <w:t>2010</w:t>
            </w:r>
          </w:p>
        </w:tc>
        <w:tc>
          <w:tcPr>
            <w:tcW w:w="450" w:type="dxa"/>
          </w:tcPr>
          <w:p w14:paraId="1328DFB5" w14:textId="77777777" w:rsidR="00DF502A" w:rsidRPr="0079274A" w:rsidRDefault="00DF502A" w:rsidP="00E85C94">
            <w:pPr>
              <w:pStyle w:val="ListParagraph"/>
              <w:tabs>
                <w:tab w:val="left" w:pos="2269"/>
              </w:tabs>
              <w:ind w:left="-103" w:right="-108"/>
              <w:jc w:val="center"/>
              <w:rPr>
                <w:b/>
                <w:color w:val="000000"/>
                <w:sz w:val="18"/>
                <w:szCs w:val="18"/>
              </w:rPr>
            </w:pPr>
            <w:r>
              <w:rPr>
                <w:b/>
                <w:color w:val="000000"/>
                <w:sz w:val="18"/>
                <w:szCs w:val="18"/>
              </w:rPr>
              <w:t>2015</w:t>
            </w:r>
          </w:p>
        </w:tc>
        <w:tc>
          <w:tcPr>
            <w:tcW w:w="450" w:type="dxa"/>
            <w:vAlign w:val="center"/>
          </w:tcPr>
          <w:p w14:paraId="221AEE5C" w14:textId="77777777" w:rsidR="00DF502A" w:rsidRPr="0079274A" w:rsidRDefault="00DF502A" w:rsidP="00E85C94">
            <w:pPr>
              <w:pStyle w:val="ListParagraph"/>
              <w:tabs>
                <w:tab w:val="left" w:pos="2269"/>
              </w:tabs>
              <w:ind w:left="-103" w:right="-108"/>
              <w:jc w:val="center"/>
              <w:rPr>
                <w:b/>
                <w:color w:val="000000"/>
                <w:sz w:val="18"/>
                <w:szCs w:val="18"/>
              </w:rPr>
            </w:pPr>
            <w:r w:rsidRPr="0079274A">
              <w:rPr>
                <w:b/>
                <w:color w:val="000000"/>
                <w:sz w:val="18"/>
                <w:szCs w:val="18"/>
              </w:rPr>
              <w:t>2001</w:t>
            </w:r>
          </w:p>
        </w:tc>
        <w:tc>
          <w:tcPr>
            <w:tcW w:w="450" w:type="dxa"/>
            <w:vAlign w:val="center"/>
          </w:tcPr>
          <w:p w14:paraId="7E36FD76" w14:textId="77777777" w:rsidR="00DF502A" w:rsidRPr="0079274A" w:rsidRDefault="00DF502A" w:rsidP="00E85C94">
            <w:pPr>
              <w:pStyle w:val="ListParagraph"/>
              <w:tabs>
                <w:tab w:val="left" w:pos="2269"/>
              </w:tabs>
              <w:ind w:left="-103" w:right="-108"/>
              <w:jc w:val="center"/>
              <w:rPr>
                <w:b/>
                <w:color w:val="000000"/>
                <w:sz w:val="18"/>
                <w:szCs w:val="18"/>
              </w:rPr>
            </w:pPr>
            <w:r w:rsidRPr="0079274A">
              <w:rPr>
                <w:b/>
                <w:color w:val="000000"/>
                <w:sz w:val="18"/>
                <w:szCs w:val="18"/>
              </w:rPr>
              <w:t>2006</w:t>
            </w:r>
          </w:p>
        </w:tc>
        <w:tc>
          <w:tcPr>
            <w:tcW w:w="450" w:type="dxa"/>
            <w:vAlign w:val="center"/>
          </w:tcPr>
          <w:p w14:paraId="1EA680FE" w14:textId="77777777" w:rsidR="00DF502A" w:rsidRPr="0079274A" w:rsidRDefault="00DF502A" w:rsidP="00E85C94">
            <w:pPr>
              <w:pStyle w:val="ListParagraph"/>
              <w:tabs>
                <w:tab w:val="left" w:pos="2269"/>
              </w:tabs>
              <w:ind w:left="-103" w:right="-108"/>
              <w:jc w:val="center"/>
              <w:rPr>
                <w:b/>
                <w:color w:val="000000"/>
                <w:sz w:val="18"/>
                <w:szCs w:val="18"/>
              </w:rPr>
            </w:pPr>
            <w:r w:rsidRPr="0079274A">
              <w:rPr>
                <w:b/>
                <w:color w:val="000000"/>
                <w:sz w:val="18"/>
                <w:szCs w:val="18"/>
              </w:rPr>
              <w:t>2010</w:t>
            </w:r>
          </w:p>
        </w:tc>
        <w:tc>
          <w:tcPr>
            <w:tcW w:w="450" w:type="dxa"/>
          </w:tcPr>
          <w:p w14:paraId="74AF641E" w14:textId="77777777" w:rsidR="00DF502A" w:rsidRPr="0079274A" w:rsidRDefault="00DF502A" w:rsidP="00E85C94">
            <w:pPr>
              <w:pStyle w:val="ListParagraph"/>
              <w:tabs>
                <w:tab w:val="left" w:pos="2269"/>
              </w:tabs>
              <w:ind w:left="-103" w:right="-108"/>
              <w:jc w:val="center"/>
              <w:rPr>
                <w:b/>
                <w:color w:val="000000"/>
                <w:sz w:val="18"/>
                <w:szCs w:val="18"/>
              </w:rPr>
            </w:pPr>
            <w:r>
              <w:rPr>
                <w:b/>
                <w:color w:val="000000"/>
                <w:sz w:val="18"/>
                <w:szCs w:val="18"/>
              </w:rPr>
              <w:t>2015</w:t>
            </w:r>
          </w:p>
        </w:tc>
        <w:tc>
          <w:tcPr>
            <w:tcW w:w="450" w:type="dxa"/>
            <w:vAlign w:val="center"/>
          </w:tcPr>
          <w:p w14:paraId="07A0B68F" w14:textId="77777777" w:rsidR="00DF502A" w:rsidRPr="0079274A" w:rsidRDefault="00DF502A" w:rsidP="00E85C94">
            <w:pPr>
              <w:pStyle w:val="ListParagraph"/>
              <w:tabs>
                <w:tab w:val="left" w:pos="2269"/>
              </w:tabs>
              <w:ind w:left="-103" w:right="-108"/>
              <w:jc w:val="center"/>
              <w:rPr>
                <w:b/>
                <w:color w:val="000000"/>
                <w:sz w:val="18"/>
                <w:szCs w:val="18"/>
              </w:rPr>
            </w:pPr>
            <w:r w:rsidRPr="0079274A">
              <w:rPr>
                <w:b/>
                <w:color w:val="000000"/>
                <w:sz w:val="18"/>
                <w:szCs w:val="18"/>
              </w:rPr>
              <w:t>2001</w:t>
            </w:r>
          </w:p>
        </w:tc>
        <w:tc>
          <w:tcPr>
            <w:tcW w:w="450" w:type="dxa"/>
            <w:vAlign w:val="center"/>
          </w:tcPr>
          <w:p w14:paraId="3B882F8A" w14:textId="77777777" w:rsidR="00DF502A" w:rsidRPr="0079274A" w:rsidRDefault="00DF502A" w:rsidP="00E85C94">
            <w:pPr>
              <w:pStyle w:val="ListParagraph"/>
              <w:tabs>
                <w:tab w:val="left" w:pos="2269"/>
              </w:tabs>
              <w:ind w:left="-103" w:right="-108"/>
              <w:jc w:val="center"/>
              <w:rPr>
                <w:b/>
                <w:color w:val="000000"/>
                <w:sz w:val="18"/>
                <w:szCs w:val="18"/>
              </w:rPr>
            </w:pPr>
            <w:r w:rsidRPr="0079274A">
              <w:rPr>
                <w:b/>
                <w:color w:val="000000"/>
                <w:sz w:val="18"/>
                <w:szCs w:val="18"/>
              </w:rPr>
              <w:t>2006</w:t>
            </w:r>
          </w:p>
        </w:tc>
        <w:tc>
          <w:tcPr>
            <w:tcW w:w="450" w:type="dxa"/>
            <w:vAlign w:val="center"/>
          </w:tcPr>
          <w:p w14:paraId="7294A5AF" w14:textId="77777777" w:rsidR="00DF502A" w:rsidRPr="0079274A" w:rsidRDefault="00DF502A" w:rsidP="00E85C94">
            <w:pPr>
              <w:pStyle w:val="ListParagraph"/>
              <w:tabs>
                <w:tab w:val="left" w:pos="2269"/>
              </w:tabs>
              <w:ind w:left="-103" w:right="-108"/>
              <w:jc w:val="center"/>
              <w:rPr>
                <w:b/>
                <w:color w:val="000000"/>
                <w:sz w:val="18"/>
                <w:szCs w:val="18"/>
              </w:rPr>
            </w:pPr>
            <w:r w:rsidRPr="0079274A">
              <w:rPr>
                <w:b/>
                <w:color w:val="000000"/>
                <w:sz w:val="18"/>
                <w:szCs w:val="18"/>
              </w:rPr>
              <w:t>2010</w:t>
            </w:r>
          </w:p>
        </w:tc>
        <w:tc>
          <w:tcPr>
            <w:tcW w:w="450" w:type="dxa"/>
          </w:tcPr>
          <w:p w14:paraId="4BA521A3" w14:textId="77777777" w:rsidR="00DF502A" w:rsidRPr="0079274A" w:rsidRDefault="00DF502A" w:rsidP="00E85C94">
            <w:pPr>
              <w:pStyle w:val="ListParagraph"/>
              <w:tabs>
                <w:tab w:val="left" w:pos="2269"/>
              </w:tabs>
              <w:ind w:left="-103" w:right="-108"/>
              <w:jc w:val="center"/>
              <w:rPr>
                <w:b/>
                <w:color w:val="000000"/>
                <w:sz w:val="18"/>
                <w:szCs w:val="18"/>
              </w:rPr>
            </w:pPr>
            <w:r>
              <w:rPr>
                <w:b/>
                <w:color w:val="000000"/>
                <w:sz w:val="18"/>
                <w:szCs w:val="18"/>
              </w:rPr>
              <w:t>2015</w:t>
            </w:r>
          </w:p>
        </w:tc>
      </w:tr>
      <w:tr w:rsidR="00916787" w:rsidRPr="0079274A" w14:paraId="5B226E05" w14:textId="77777777" w:rsidTr="00916787">
        <w:tc>
          <w:tcPr>
            <w:tcW w:w="1320" w:type="dxa"/>
          </w:tcPr>
          <w:p w14:paraId="6B057754" w14:textId="77777777" w:rsidR="00DF502A" w:rsidRPr="0079274A" w:rsidRDefault="00DF502A" w:rsidP="00E85C94">
            <w:pPr>
              <w:pStyle w:val="ListParagraph"/>
              <w:tabs>
                <w:tab w:val="left" w:pos="2269"/>
              </w:tabs>
              <w:ind w:left="0"/>
              <w:rPr>
                <w:b/>
                <w:color w:val="000000"/>
                <w:sz w:val="18"/>
                <w:szCs w:val="18"/>
              </w:rPr>
            </w:pPr>
            <w:r w:rsidRPr="0079274A">
              <w:rPr>
                <w:b/>
                <w:color w:val="000000"/>
                <w:sz w:val="18"/>
                <w:szCs w:val="18"/>
              </w:rPr>
              <w:t>Centrālās apkures katli</w:t>
            </w:r>
          </w:p>
        </w:tc>
        <w:tc>
          <w:tcPr>
            <w:tcW w:w="455" w:type="dxa"/>
            <w:vAlign w:val="center"/>
          </w:tcPr>
          <w:p w14:paraId="4BBFBAA4"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5,1</w:t>
            </w:r>
          </w:p>
        </w:tc>
        <w:tc>
          <w:tcPr>
            <w:tcW w:w="450" w:type="dxa"/>
            <w:vAlign w:val="center"/>
          </w:tcPr>
          <w:p w14:paraId="1567F96D"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5,3</w:t>
            </w:r>
          </w:p>
        </w:tc>
        <w:tc>
          <w:tcPr>
            <w:tcW w:w="450" w:type="dxa"/>
            <w:vAlign w:val="center"/>
          </w:tcPr>
          <w:p w14:paraId="50D887E3"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8,6</w:t>
            </w:r>
          </w:p>
        </w:tc>
        <w:tc>
          <w:tcPr>
            <w:tcW w:w="450" w:type="dxa"/>
            <w:vAlign w:val="center"/>
          </w:tcPr>
          <w:p w14:paraId="1DE1FFA3"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8,8</w:t>
            </w:r>
          </w:p>
        </w:tc>
        <w:tc>
          <w:tcPr>
            <w:tcW w:w="450" w:type="dxa"/>
            <w:vAlign w:val="center"/>
          </w:tcPr>
          <w:p w14:paraId="0218C079"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15,5</w:t>
            </w:r>
          </w:p>
        </w:tc>
        <w:tc>
          <w:tcPr>
            <w:tcW w:w="450" w:type="dxa"/>
            <w:vAlign w:val="center"/>
          </w:tcPr>
          <w:p w14:paraId="0A9C948A"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11,3</w:t>
            </w:r>
          </w:p>
        </w:tc>
        <w:tc>
          <w:tcPr>
            <w:tcW w:w="450" w:type="dxa"/>
            <w:vAlign w:val="center"/>
          </w:tcPr>
          <w:p w14:paraId="33FB168D"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14,2</w:t>
            </w:r>
          </w:p>
        </w:tc>
        <w:tc>
          <w:tcPr>
            <w:tcW w:w="450" w:type="dxa"/>
            <w:vAlign w:val="center"/>
          </w:tcPr>
          <w:p w14:paraId="429CF455"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14,5</w:t>
            </w:r>
          </w:p>
        </w:tc>
        <w:tc>
          <w:tcPr>
            <w:tcW w:w="450" w:type="dxa"/>
            <w:vAlign w:val="center"/>
          </w:tcPr>
          <w:p w14:paraId="1A5638A9"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1,2</w:t>
            </w:r>
          </w:p>
        </w:tc>
        <w:tc>
          <w:tcPr>
            <w:tcW w:w="450" w:type="dxa"/>
            <w:vAlign w:val="center"/>
          </w:tcPr>
          <w:p w14:paraId="78C86A08"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0,9</w:t>
            </w:r>
          </w:p>
        </w:tc>
        <w:tc>
          <w:tcPr>
            <w:tcW w:w="450" w:type="dxa"/>
            <w:vAlign w:val="center"/>
          </w:tcPr>
          <w:p w14:paraId="3B98AF6A"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0,4</w:t>
            </w:r>
          </w:p>
        </w:tc>
        <w:tc>
          <w:tcPr>
            <w:tcW w:w="450" w:type="dxa"/>
            <w:vAlign w:val="center"/>
          </w:tcPr>
          <w:p w14:paraId="6B8E4EBF"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0,6</w:t>
            </w:r>
          </w:p>
        </w:tc>
        <w:tc>
          <w:tcPr>
            <w:tcW w:w="450" w:type="dxa"/>
            <w:vAlign w:val="center"/>
          </w:tcPr>
          <w:p w14:paraId="4D6FDC0A"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17,5</w:t>
            </w:r>
          </w:p>
        </w:tc>
        <w:tc>
          <w:tcPr>
            <w:tcW w:w="450" w:type="dxa"/>
            <w:vAlign w:val="center"/>
          </w:tcPr>
          <w:p w14:paraId="57593FC7"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14,5</w:t>
            </w:r>
          </w:p>
        </w:tc>
        <w:tc>
          <w:tcPr>
            <w:tcW w:w="450" w:type="dxa"/>
            <w:vAlign w:val="center"/>
          </w:tcPr>
          <w:p w14:paraId="15F08E76"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0,4</w:t>
            </w:r>
          </w:p>
        </w:tc>
        <w:tc>
          <w:tcPr>
            <w:tcW w:w="450" w:type="dxa"/>
            <w:vAlign w:val="center"/>
          </w:tcPr>
          <w:p w14:paraId="4895FE30"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0,6</w:t>
            </w:r>
          </w:p>
        </w:tc>
        <w:tc>
          <w:tcPr>
            <w:tcW w:w="450" w:type="dxa"/>
            <w:vAlign w:val="center"/>
          </w:tcPr>
          <w:p w14:paraId="3D454F8E"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0,1</w:t>
            </w:r>
          </w:p>
        </w:tc>
        <w:tc>
          <w:tcPr>
            <w:tcW w:w="450" w:type="dxa"/>
            <w:vAlign w:val="center"/>
          </w:tcPr>
          <w:p w14:paraId="2709C571"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0,1</w:t>
            </w:r>
          </w:p>
        </w:tc>
        <w:tc>
          <w:tcPr>
            <w:tcW w:w="450" w:type="dxa"/>
            <w:vAlign w:val="center"/>
          </w:tcPr>
          <w:p w14:paraId="3CE84523"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0,6</w:t>
            </w:r>
          </w:p>
        </w:tc>
        <w:tc>
          <w:tcPr>
            <w:tcW w:w="450" w:type="dxa"/>
            <w:vAlign w:val="center"/>
          </w:tcPr>
          <w:p w14:paraId="35B11553"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1,1</w:t>
            </w:r>
          </w:p>
        </w:tc>
        <w:tc>
          <w:tcPr>
            <w:tcW w:w="450" w:type="dxa"/>
            <w:vAlign w:val="center"/>
          </w:tcPr>
          <w:p w14:paraId="658BE12C"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13,6</w:t>
            </w:r>
          </w:p>
        </w:tc>
        <w:tc>
          <w:tcPr>
            <w:tcW w:w="450" w:type="dxa"/>
            <w:vAlign w:val="center"/>
          </w:tcPr>
          <w:p w14:paraId="424A54E3"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7,7</w:t>
            </w:r>
          </w:p>
        </w:tc>
        <w:tc>
          <w:tcPr>
            <w:tcW w:w="450" w:type="dxa"/>
            <w:vAlign w:val="center"/>
          </w:tcPr>
          <w:p w14:paraId="38A764A1"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0,6</w:t>
            </w:r>
          </w:p>
        </w:tc>
        <w:tc>
          <w:tcPr>
            <w:tcW w:w="450" w:type="dxa"/>
            <w:vAlign w:val="center"/>
          </w:tcPr>
          <w:p w14:paraId="08CC3801"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1,1</w:t>
            </w:r>
          </w:p>
        </w:tc>
        <w:tc>
          <w:tcPr>
            <w:tcW w:w="450" w:type="dxa"/>
            <w:vAlign w:val="center"/>
          </w:tcPr>
          <w:p w14:paraId="1D8D24BB"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w:t>
            </w:r>
          </w:p>
        </w:tc>
        <w:tc>
          <w:tcPr>
            <w:tcW w:w="450" w:type="dxa"/>
            <w:vAlign w:val="center"/>
          </w:tcPr>
          <w:p w14:paraId="4AC6CD69"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0,1</w:t>
            </w:r>
          </w:p>
        </w:tc>
        <w:tc>
          <w:tcPr>
            <w:tcW w:w="450" w:type="dxa"/>
            <w:vAlign w:val="center"/>
          </w:tcPr>
          <w:p w14:paraId="47C306D1"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0,2</w:t>
            </w:r>
          </w:p>
        </w:tc>
        <w:tc>
          <w:tcPr>
            <w:tcW w:w="450" w:type="dxa"/>
            <w:vAlign w:val="center"/>
          </w:tcPr>
          <w:p w14:paraId="1FE95951"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2,0</w:t>
            </w:r>
          </w:p>
        </w:tc>
        <w:tc>
          <w:tcPr>
            <w:tcW w:w="450" w:type="dxa"/>
            <w:vAlign w:val="center"/>
          </w:tcPr>
          <w:p w14:paraId="561446A6"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w:t>
            </w:r>
          </w:p>
        </w:tc>
        <w:tc>
          <w:tcPr>
            <w:tcW w:w="450" w:type="dxa"/>
            <w:vAlign w:val="center"/>
          </w:tcPr>
          <w:p w14:paraId="62E7406B"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3,9</w:t>
            </w:r>
          </w:p>
        </w:tc>
        <w:tc>
          <w:tcPr>
            <w:tcW w:w="450" w:type="dxa"/>
            <w:vAlign w:val="center"/>
          </w:tcPr>
          <w:p w14:paraId="5C9F3B36"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0,2</w:t>
            </w:r>
          </w:p>
        </w:tc>
        <w:tc>
          <w:tcPr>
            <w:tcW w:w="450" w:type="dxa"/>
            <w:vAlign w:val="center"/>
          </w:tcPr>
          <w:p w14:paraId="63AF677F"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2,0</w:t>
            </w:r>
          </w:p>
        </w:tc>
      </w:tr>
      <w:tr w:rsidR="00916787" w:rsidRPr="0079274A" w14:paraId="41EBFFD9" w14:textId="77777777" w:rsidTr="00916787">
        <w:tc>
          <w:tcPr>
            <w:tcW w:w="1320" w:type="dxa"/>
          </w:tcPr>
          <w:p w14:paraId="52E38B75" w14:textId="77777777" w:rsidR="00DF502A" w:rsidRPr="0079274A" w:rsidRDefault="00DF502A" w:rsidP="00E85C94">
            <w:pPr>
              <w:pStyle w:val="ListParagraph"/>
              <w:tabs>
                <w:tab w:val="left" w:pos="2269"/>
              </w:tabs>
              <w:ind w:left="0"/>
              <w:rPr>
                <w:b/>
                <w:color w:val="000000"/>
                <w:sz w:val="18"/>
                <w:szCs w:val="18"/>
              </w:rPr>
            </w:pPr>
            <w:r w:rsidRPr="0079274A">
              <w:rPr>
                <w:b/>
                <w:color w:val="000000"/>
                <w:sz w:val="18"/>
                <w:szCs w:val="18"/>
              </w:rPr>
              <w:t>Karstā ūdens katli</w:t>
            </w:r>
          </w:p>
        </w:tc>
        <w:tc>
          <w:tcPr>
            <w:tcW w:w="455" w:type="dxa"/>
            <w:vAlign w:val="center"/>
          </w:tcPr>
          <w:p w14:paraId="7E69F8F1"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2,9</w:t>
            </w:r>
          </w:p>
        </w:tc>
        <w:tc>
          <w:tcPr>
            <w:tcW w:w="450" w:type="dxa"/>
            <w:vAlign w:val="center"/>
          </w:tcPr>
          <w:p w14:paraId="428035E7"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3,3</w:t>
            </w:r>
          </w:p>
        </w:tc>
        <w:tc>
          <w:tcPr>
            <w:tcW w:w="450" w:type="dxa"/>
            <w:vAlign w:val="center"/>
          </w:tcPr>
          <w:p w14:paraId="4BA0BE9A"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3,9</w:t>
            </w:r>
          </w:p>
        </w:tc>
        <w:tc>
          <w:tcPr>
            <w:tcW w:w="450" w:type="dxa"/>
            <w:vAlign w:val="center"/>
          </w:tcPr>
          <w:p w14:paraId="70BCF20F"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2,5</w:t>
            </w:r>
          </w:p>
        </w:tc>
        <w:tc>
          <w:tcPr>
            <w:tcW w:w="450" w:type="dxa"/>
            <w:vAlign w:val="center"/>
          </w:tcPr>
          <w:p w14:paraId="1B9F1AAB"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15,2</w:t>
            </w:r>
          </w:p>
        </w:tc>
        <w:tc>
          <w:tcPr>
            <w:tcW w:w="450" w:type="dxa"/>
            <w:vAlign w:val="center"/>
          </w:tcPr>
          <w:p w14:paraId="41CED748" w14:textId="77777777" w:rsidR="00DF502A" w:rsidRPr="0079274A" w:rsidRDefault="00DF502A" w:rsidP="00E85C94">
            <w:pPr>
              <w:pStyle w:val="ListParagraph"/>
              <w:ind w:left="-103" w:right="-108"/>
              <w:jc w:val="center"/>
              <w:rPr>
                <w:color w:val="000000"/>
                <w:sz w:val="18"/>
                <w:szCs w:val="18"/>
              </w:rPr>
            </w:pPr>
            <w:r w:rsidRPr="0079274A">
              <w:rPr>
                <w:color w:val="000000"/>
                <w:sz w:val="18"/>
                <w:szCs w:val="18"/>
              </w:rPr>
              <w:t>13,5</w:t>
            </w:r>
          </w:p>
        </w:tc>
        <w:tc>
          <w:tcPr>
            <w:tcW w:w="450" w:type="dxa"/>
            <w:vAlign w:val="center"/>
          </w:tcPr>
          <w:p w14:paraId="3725B1BC"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15,4</w:t>
            </w:r>
          </w:p>
        </w:tc>
        <w:tc>
          <w:tcPr>
            <w:tcW w:w="450" w:type="dxa"/>
            <w:vAlign w:val="center"/>
          </w:tcPr>
          <w:p w14:paraId="3C204533"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14,2</w:t>
            </w:r>
          </w:p>
        </w:tc>
        <w:tc>
          <w:tcPr>
            <w:tcW w:w="450" w:type="dxa"/>
            <w:vAlign w:val="center"/>
          </w:tcPr>
          <w:p w14:paraId="3D0B8F71"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0,8</w:t>
            </w:r>
          </w:p>
        </w:tc>
        <w:tc>
          <w:tcPr>
            <w:tcW w:w="450" w:type="dxa"/>
            <w:vAlign w:val="center"/>
          </w:tcPr>
          <w:p w14:paraId="7F8ABAB0"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0,7</w:t>
            </w:r>
          </w:p>
        </w:tc>
        <w:tc>
          <w:tcPr>
            <w:tcW w:w="450" w:type="dxa"/>
            <w:vAlign w:val="center"/>
          </w:tcPr>
          <w:p w14:paraId="0828ED93"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0,2</w:t>
            </w:r>
          </w:p>
        </w:tc>
        <w:tc>
          <w:tcPr>
            <w:tcW w:w="450" w:type="dxa"/>
            <w:vAlign w:val="center"/>
          </w:tcPr>
          <w:p w14:paraId="252EC8CA"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0,2</w:t>
            </w:r>
          </w:p>
        </w:tc>
        <w:tc>
          <w:tcPr>
            <w:tcW w:w="450" w:type="dxa"/>
            <w:vAlign w:val="center"/>
          </w:tcPr>
          <w:p w14:paraId="0ED9C38E"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18,2</w:t>
            </w:r>
          </w:p>
        </w:tc>
        <w:tc>
          <w:tcPr>
            <w:tcW w:w="450" w:type="dxa"/>
            <w:vAlign w:val="center"/>
          </w:tcPr>
          <w:p w14:paraId="532FCDB7"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16,3</w:t>
            </w:r>
          </w:p>
        </w:tc>
        <w:tc>
          <w:tcPr>
            <w:tcW w:w="450" w:type="dxa"/>
            <w:vAlign w:val="center"/>
          </w:tcPr>
          <w:p w14:paraId="6BF3C8FC"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0,2</w:t>
            </w:r>
          </w:p>
        </w:tc>
        <w:tc>
          <w:tcPr>
            <w:tcW w:w="450" w:type="dxa"/>
            <w:vAlign w:val="center"/>
          </w:tcPr>
          <w:p w14:paraId="02724DC8"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0,2</w:t>
            </w:r>
          </w:p>
        </w:tc>
        <w:tc>
          <w:tcPr>
            <w:tcW w:w="450" w:type="dxa"/>
            <w:vAlign w:val="center"/>
          </w:tcPr>
          <w:p w14:paraId="761EAA39"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0,1</w:t>
            </w:r>
          </w:p>
        </w:tc>
        <w:tc>
          <w:tcPr>
            <w:tcW w:w="450" w:type="dxa"/>
            <w:vAlign w:val="center"/>
          </w:tcPr>
          <w:p w14:paraId="1175523C"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0</w:t>
            </w:r>
          </w:p>
        </w:tc>
        <w:tc>
          <w:tcPr>
            <w:tcW w:w="450" w:type="dxa"/>
            <w:vAlign w:val="center"/>
          </w:tcPr>
          <w:p w14:paraId="5CE08636"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0,1</w:t>
            </w:r>
          </w:p>
        </w:tc>
        <w:tc>
          <w:tcPr>
            <w:tcW w:w="450" w:type="dxa"/>
            <w:vAlign w:val="center"/>
          </w:tcPr>
          <w:p w14:paraId="2C89AB39"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0,1</w:t>
            </w:r>
          </w:p>
        </w:tc>
        <w:tc>
          <w:tcPr>
            <w:tcW w:w="450" w:type="dxa"/>
            <w:vAlign w:val="center"/>
          </w:tcPr>
          <w:p w14:paraId="387A68DF"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9,8</w:t>
            </w:r>
          </w:p>
        </w:tc>
        <w:tc>
          <w:tcPr>
            <w:tcW w:w="450" w:type="dxa"/>
            <w:vAlign w:val="center"/>
          </w:tcPr>
          <w:p w14:paraId="4B161192"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18,7</w:t>
            </w:r>
          </w:p>
        </w:tc>
        <w:tc>
          <w:tcPr>
            <w:tcW w:w="450" w:type="dxa"/>
            <w:vAlign w:val="center"/>
          </w:tcPr>
          <w:p w14:paraId="28ACF0B9"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0,1</w:t>
            </w:r>
          </w:p>
        </w:tc>
        <w:tc>
          <w:tcPr>
            <w:tcW w:w="450" w:type="dxa"/>
            <w:vAlign w:val="center"/>
          </w:tcPr>
          <w:p w14:paraId="0D9BA527"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0,1</w:t>
            </w:r>
          </w:p>
        </w:tc>
        <w:tc>
          <w:tcPr>
            <w:tcW w:w="450" w:type="dxa"/>
            <w:vAlign w:val="center"/>
          </w:tcPr>
          <w:p w14:paraId="271B88A2"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w:t>
            </w:r>
          </w:p>
        </w:tc>
        <w:tc>
          <w:tcPr>
            <w:tcW w:w="450" w:type="dxa"/>
            <w:vAlign w:val="center"/>
          </w:tcPr>
          <w:p w14:paraId="665582EB"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0</w:t>
            </w:r>
          </w:p>
        </w:tc>
        <w:tc>
          <w:tcPr>
            <w:tcW w:w="450" w:type="dxa"/>
            <w:vAlign w:val="center"/>
          </w:tcPr>
          <w:p w14:paraId="798C69ED"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0,0</w:t>
            </w:r>
          </w:p>
        </w:tc>
        <w:tc>
          <w:tcPr>
            <w:tcW w:w="450" w:type="dxa"/>
            <w:vAlign w:val="center"/>
          </w:tcPr>
          <w:p w14:paraId="1AC8B345"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0,3</w:t>
            </w:r>
          </w:p>
        </w:tc>
        <w:tc>
          <w:tcPr>
            <w:tcW w:w="450" w:type="dxa"/>
            <w:vAlign w:val="center"/>
          </w:tcPr>
          <w:p w14:paraId="20920F72"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w:t>
            </w:r>
          </w:p>
        </w:tc>
        <w:tc>
          <w:tcPr>
            <w:tcW w:w="450" w:type="dxa"/>
            <w:vAlign w:val="center"/>
          </w:tcPr>
          <w:p w14:paraId="1E6756CB"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1</w:t>
            </w:r>
          </w:p>
        </w:tc>
        <w:tc>
          <w:tcPr>
            <w:tcW w:w="450" w:type="dxa"/>
            <w:vAlign w:val="center"/>
          </w:tcPr>
          <w:p w14:paraId="7D795D12"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0,0</w:t>
            </w:r>
          </w:p>
        </w:tc>
        <w:tc>
          <w:tcPr>
            <w:tcW w:w="450" w:type="dxa"/>
            <w:vAlign w:val="center"/>
          </w:tcPr>
          <w:p w14:paraId="33F465A3"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0,3</w:t>
            </w:r>
          </w:p>
        </w:tc>
      </w:tr>
      <w:tr w:rsidR="00916787" w:rsidRPr="0079274A" w14:paraId="1EB4FD2F" w14:textId="77777777" w:rsidTr="00916787">
        <w:tc>
          <w:tcPr>
            <w:tcW w:w="1320" w:type="dxa"/>
          </w:tcPr>
          <w:p w14:paraId="15C2F550" w14:textId="77777777" w:rsidR="00DF502A" w:rsidRPr="0079274A" w:rsidRDefault="00DF502A" w:rsidP="00E85C94">
            <w:pPr>
              <w:pStyle w:val="ListParagraph"/>
              <w:tabs>
                <w:tab w:val="left" w:pos="2269"/>
              </w:tabs>
              <w:ind w:left="0"/>
              <w:rPr>
                <w:b/>
                <w:color w:val="000000"/>
                <w:sz w:val="18"/>
                <w:szCs w:val="18"/>
              </w:rPr>
            </w:pPr>
            <w:r w:rsidRPr="0079274A">
              <w:rPr>
                <w:b/>
                <w:color w:val="000000"/>
                <w:sz w:val="18"/>
                <w:szCs w:val="18"/>
              </w:rPr>
              <w:t>Kombinētie centrālās apkures un karstā ūdens katli</w:t>
            </w:r>
          </w:p>
        </w:tc>
        <w:tc>
          <w:tcPr>
            <w:tcW w:w="455" w:type="dxa"/>
            <w:vAlign w:val="center"/>
          </w:tcPr>
          <w:p w14:paraId="7349AA7E"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1,6</w:t>
            </w:r>
          </w:p>
        </w:tc>
        <w:tc>
          <w:tcPr>
            <w:tcW w:w="450" w:type="dxa"/>
            <w:vAlign w:val="center"/>
          </w:tcPr>
          <w:p w14:paraId="6C1E98F5"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3,7</w:t>
            </w:r>
          </w:p>
        </w:tc>
        <w:tc>
          <w:tcPr>
            <w:tcW w:w="450" w:type="dxa"/>
            <w:vAlign w:val="center"/>
          </w:tcPr>
          <w:p w14:paraId="6CDEF280"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7,2</w:t>
            </w:r>
          </w:p>
        </w:tc>
        <w:tc>
          <w:tcPr>
            <w:tcW w:w="450" w:type="dxa"/>
            <w:vAlign w:val="center"/>
          </w:tcPr>
          <w:p w14:paraId="400A1050" w14:textId="77777777" w:rsidR="00DF502A" w:rsidRPr="0079274A" w:rsidRDefault="00DF502A" w:rsidP="00E85C94">
            <w:pPr>
              <w:pStyle w:val="ListParagraph"/>
              <w:ind w:left="-103" w:right="-108"/>
              <w:jc w:val="center"/>
              <w:rPr>
                <w:color w:val="000000"/>
                <w:sz w:val="18"/>
                <w:szCs w:val="18"/>
              </w:rPr>
            </w:pPr>
            <w:r w:rsidRPr="001F6DB5">
              <w:rPr>
                <w:color w:val="000000"/>
                <w:sz w:val="18"/>
                <w:szCs w:val="18"/>
              </w:rPr>
              <w:t>8,4</w:t>
            </w:r>
          </w:p>
        </w:tc>
        <w:tc>
          <w:tcPr>
            <w:tcW w:w="450" w:type="dxa"/>
            <w:vAlign w:val="center"/>
          </w:tcPr>
          <w:p w14:paraId="5D20919F"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11,8</w:t>
            </w:r>
          </w:p>
        </w:tc>
        <w:tc>
          <w:tcPr>
            <w:tcW w:w="450" w:type="dxa"/>
            <w:vAlign w:val="center"/>
          </w:tcPr>
          <w:p w14:paraId="457F6251"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9,6</w:t>
            </w:r>
          </w:p>
        </w:tc>
        <w:tc>
          <w:tcPr>
            <w:tcW w:w="450" w:type="dxa"/>
            <w:vAlign w:val="center"/>
          </w:tcPr>
          <w:p w14:paraId="42EBAA4C"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11,4</w:t>
            </w:r>
          </w:p>
        </w:tc>
        <w:tc>
          <w:tcPr>
            <w:tcW w:w="450" w:type="dxa"/>
            <w:vAlign w:val="center"/>
          </w:tcPr>
          <w:p w14:paraId="65F0FC86"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10,6</w:t>
            </w:r>
          </w:p>
        </w:tc>
        <w:tc>
          <w:tcPr>
            <w:tcW w:w="450" w:type="dxa"/>
            <w:vAlign w:val="center"/>
          </w:tcPr>
          <w:p w14:paraId="6914957E"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0,4</w:t>
            </w:r>
          </w:p>
        </w:tc>
        <w:tc>
          <w:tcPr>
            <w:tcW w:w="450" w:type="dxa"/>
            <w:vAlign w:val="center"/>
          </w:tcPr>
          <w:p w14:paraId="55B7E36E"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0,3</w:t>
            </w:r>
          </w:p>
        </w:tc>
        <w:tc>
          <w:tcPr>
            <w:tcW w:w="450" w:type="dxa"/>
            <w:vAlign w:val="center"/>
          </w:tcPr>
          <w:p w14:paraId="0A9CD8F1"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0,2</w:t>
            </w:r>
          </w:p>
        </w:tc>
        <w:tc>
          <w:tcPr>
            <w:tcW w:w="450" w:type="dxa"/>
            <w:vAlign w:val="center"/>
          </w:tcPr>
          <w:p w14:paraId="3E3B5132" w14:textId="77777777" w:rsidR="00DF502A" w:rsidRPr="0079274A" w:rsidRDefault="00DF502A" w:rsidP="00E85C94">
            <w:pPr>
              <w:pStyle w:val="ListParagraph"/>
              <w:ind w:left="-103" w:right="-108"/>
              <w:jc w:val="center"/>
              <w:rPr>
                <w:color w:val="000000"/>
                <w:sz w:val="18"/>
                <w:szCs w:val="18"/>
              </w:rPr>
            </w:pPr>
            <w:r w:rsidRPr="001F6DB5">
              <w:rPr>
                <w:color w:val="000000"/>
                <w:sz w:val="18"/>
                <w:szCs w:val="18"/>
              </w:rPr>
              <w:t>0,5</w:t>
            </w:r>
          </w:p>
        </w:tc>
        <w:tc>
          <w:tcPr>
            <w:tcW w:w="450" w:type="dxa"/>
            <w:vAlign w:val="center"/>
          </w:tcPr>
          <w:p w14:paraId="04A6B51F"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14,8</w:t>
            </w:r>
          </w:p>
        </w:tc>
        <w:tc>
          <w:tcPr>
            <w:tcW w:w="450" w:type="dxa"/>
            <w:vAlign w:val="center"/>
          </w:tcPr>
          <w:p w14:paraId="0A7F2475"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10,7</w:t>
            </w:r>
          </w:p>
        </w:tc>
        <w:tc>
          <w:tcPr>
            <w:tcW w:w="450" w:type="dxa"/>
            <w:vAlign w:val="center"/>
          </w:tcPr>
          <w:p w14:paraId="4AA646D7"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0,2</w:t>
            </w:r>
          </w:p>
        </w:tc>
        <w:tc>
          <w:tcPr>
            <w:tcW w:w="450" w:type="dxa"/>
            <w:vAlign w:val="center"/>
          </w:tcPr>
          <w:p w14:paraId="67F871A2"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0,5</w:t>
            </w:r>
          </w:p>
        </w:tc>
        <w:tc>
          <w:tcPr>
            <w:tcW w:w="450" w:type="dxa"/>
            <w:vAlign w:val="center"/>
          </w:tcPr>
          <w:p w14:paraId="412C314A"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0,1</w:t>
            </w:r>
          </w:p>
        </w:tc>
        <w:tc>
          <w:tcPr>
            <w:tcW w:w="450" w:type="dxa"/>
            <w:vAlign w:val="center"/>
          </w:tcPr>
          <w:p w14:paraId="576BAAC4"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0,6</w:t>
            </w:r>
          </w:p>
        </w:tc>
        <w:tc>
          <w:tcPr>
            <w:tcW w:w="450" w:type="dxa"/>
            <w:vAlign w:val="center"/>
          </w:tcPr>
          <w:p w14:paraId="5882F499"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0,5</w:t>
            </w:r>
          </w:p>
        </w:tc>
        <w:tc>
          <w:tcPr>
            <w:tcW w:w="450" w:type="dxa"/>
            <w:vAlign w:val="center"/>
          </w:tcPr>
          <w:p w14:paraId="32EE71CB"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2,6</w:t>
            </w:r>
          </w:p>
        </w:tc>
        <w:tc>
          <w:tcPr>
            <w:tcW w:w="450" w:type="dxa"/>
            <w:vAlign w:val="center"/>
          </w:tcPr>
          <w:p w14:paraId="009034EB" w14:textId="77777777" w:rsidR="00DF502A" w:rsidRPr="0079274A" w:rsidRDefault="00DF502A" w:rsidP="00E85C94">
            <w:pPr>
              <w:pStyle w:val="ListParagraph"/>
              <w:ind w:left="-103" w:right="-108"/>
              <w:jc w:val="center"/>
              <w:rPr>
                <w:color w:val="000000"/>
                <w:sz w:val="18"/>
                <w:szCs w:val="18"/>
              </w:rPr>
            </w:pPr>
            <w:r w:rsidRPr="0079274A">
              <w:rPr>
                <w:color w:val="000000"/>
                <w:sz w:val="18"/>
                <w:szCs w:val="18"/>
              </w:rPr>
              <w:t>19</w:t>
            </w:r>
          </w:p>
        </w:tc>
        <w:tc>
          <w:tcPr>
            <w:tcW w:w="450" w:type="dxa"/>
            <w:vAlign w:val="center"/>
          </w:tcPr>
          <w:p w14:paraId="374AC961"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5</w:t>
            </w:r>
          </w:p>
        </w:tc>
        <w:tc>
          <w:tcPr>
            <w:tcW w:w="450" w:type="dxa"/>
            <w:vAlign w:val="center"/>
          </w:tcPr>
          <w:p w14:paraId="4B1C55F2"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0,5</w:t>
            </w:r>
          </w:p>
        </w:tc>
        <w:tc>
          <w:tcPr>
            <w:tcW w:w="450" w:type="dxa"/>
            <w:vAlign w:val="center"/>
          </w:tcPr>
          <w:p w14:paraId="191A03B3"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2,6</w:t>
            </w:r>
          </w:p>
        </w:tc>
        <w:tc>
          <w:tcPr>
            <w:tcW w:w="450" w:type="dxa"/>
            <w:vAlign w:val="center"/>
          </w:tcPr>
          <w:p w14:paraId="160CBB41"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w:t>
            </w:r>
          </w:p>
        </w:tc>
        <w:tc>
          <w:tcPr>
            <w:tcW w:w="450" w:type="dxa"/>
            <w:vAlign w:val="center"/>
          </w:tcPr>
          <w:p w14:paraId="01785C32"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0,1</w:t>
            </w:r>
          </w:p>
        </w:tc>
        <w:tc>
          <w:tcPr>
            <w:tcW w:w="450" w:type="dxa"/>
            <w:vAlign w:val="center"/>
          </w:tcPr>
          <w:p w14:paraId="0175AAC2"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0,3</w:t>
            </w:r>
          </w:p>
        </w:tc>
        <w:tc>
          <w:tcPr>
            <w:tcW w:w="450" w:type="dxa"/>
            <w:vAlign w:val="center"/>
          </w:tcPr>
          <w:p w14:paraId="1A24779F"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3,8</w:t>
            </w:r>
          </w:p>
        </w:tc>
        <w:tc>
          <w:tcPr>
            <w:tcW w:w="450" w:type="dxa"/>
            <w:vAlign w:val="center"/>
          </w:tcPr>
          <w:p w14:paraId="040DD502"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w:t>
            </w:r>
          </w:p>
        </w:tc>
        <w:tc>
          <w:tcPr>
            <w:tcW w:w="450" w:type="dxa"/>
            <w:vAlign w:val="center"/>
          </w:tcPr>
          <w:p w14:paraId="21B1686F"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2</w:t>
            </w:r>
          </w:p>
        </w:tc>
        <w:tc>
          <w:tcPr>
            <w:tcW w:w="450" w:type="dxa"/>
            <w:vAlign w:val="center"/>
          </w:tcPr>
          <w:p w14:paraId="2E003D15"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0,3</w:t>
            </w:r>
          </w:p>
        </w:tc>
        <w:tc>
          <w:tcPr>
            <w:tcW w:w="450" w:type="dxa"/>
            <w:vAlign w:val="center"/>
          </w:tcPr>
          <w:p w14:paraId="5A342D26"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3,8</w:t>
            </w:r>
          </w:p>
        </w:tc>
      </w:tr>
      <w:tr w:rsidR="00916787" w:rsidRPr="0079274A" w14:paraId="4915895F" w14:textId="77777777" w:rsidTr="00916787">
        <w:tc>
          <w:tcPr>
            <w:tcW w:w="1320" w:type="dxa"/>
          </w:tcPr>
          <w:p w14:paraId="2061C54C" w14:textId="77777777" w:rsidR="00DF502A" w:rsidRPr="0079274A" w:rsidRDefault="00DF502A" w:rsidP="00E85C94">
            <w:pPr>
              <w:pStyle w:val="ListParagraph"/>
              <w:tabs>
                <w:tab w:val="left" w:pos="2269"/>
              </w:tabs>
              <w:ind w:left="0"/>
              <w:rPr>
                <w:b/>
                <w:color w:val="000000"/>
                <w:sz w:val="18"/>
                <w:szCs w:val="18"/>
              </w:rPr>
            </w:pPr>
            <w:r w:rsidRPr="0079274A">
              <w:rPr>
                <w:b/>
                <w:color w:val="000000"/>
                <w:sz w:val="18"/>
                <w:szCs w:val="18"/>
              </w:rPr>
              <w:t>Istabas krāsnis</w:t>
            </w:r>
          </w:p>
        </w:tc>
        <w:tc>
          <w:tcPr>
            <w:tcW w:w="455" w:type="dxa"/>
            <w:vAlign w:val="center"/>
          </w:tcPr>
          <w:p w14:paraId="61DACA8D"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33,4</w:t>
            </w:r>
          </w:p>
        </w:tc>
        <w:tc>
          <w:tcPr>
            <w:tcW w:w="450" w:type="dxa"/>
            <w:vAlign w:val="center"/>
          </w:tcPr>
          <w:p w14:paraId="21996A2D"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34,7</w:t>
            </w:r>
          </w:p>
        </w:tc>
        <w:tc>
          <w:tcPr>
            <w:tcW w:w="450" w:type="dxa"/>
            <w:vAlign w:val="center"/>
          </w:tcPr>
          <w:p w14:paraId="158B09DB"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35,6</w:t>
            </w:r>
          </w:p>
        </w:tc>
        <w:tc>
          <w:tcPr>
            <w:tcW w:w="450" w:type="dxa"/>
            <w:vAlign w:val="center"/>
          </w:tcPr>
          <w:p w14:paraId="1205D14E"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30,4</w:t>
            </w:r>
          </w:p>
        </w:tc>
        <w:tc>
          <w:tcPr>
            <w:tcW w:w="450" w:type="dxa"/>
            <w:vAlign w:val="center"/>
          </w:tcPr>
          <w:p w14:paraId="043B6067"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w:t>
            </w:r>
          </w:p>
        </w:tc>
        <w:tc>
          <w:tcPr>
            <w:tcW w:w="450" w:type="dxa"/>
            <w:vAlign w:val="center"/>
          </w:tcPr>
          <w:p w14:paraId="74EDF255"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w:t>
            </w:r>
          </w:p>
        </w:tc>
        <w:tc>
          <w:tcPr>
            <w:tcW w:w="450" w:type="dxa"/>
            <w:vAlign w:val="center"/>
          </w:tcPr>
          <w:p w14:paraId="67769971"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29,4</w:t>
            </w:r>
          </w:p>
        </w:tc>
        <w:tc>
          <w:tcPr>
            <w:tcW w:w="450" w:type="dxa"/>
            <w:vAlign w:val="center"/>
          </w:tcPr>
          <w:p w14:paraId="4BE979EA"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26,9</w:t>
            </w:r>
          </w:p>
        </w:tc>
        <w:tc>
          <w:tcPr>
            <w:tcW w:w="450" w:type="dxa"/>
            <w:vAlign w:val="center"/>
          </w:tcPr>
          <w:p w14:paraId="56F6D522"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10,1</w:t>
            </w:r>
          </w:p>
        </w:tc>
        <w:tc>
          <w:tcPr>
            <w:tcW w:w="450" w:type="dxa"/>
            <w:vAlign w:val="center"/>
          </w:tcPr>
          <w:p w14:paraId="565B4BFF"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6</w:t>
            </w:r>
          </w:p>
        </w:tc>
        <w:tc>
          <w:tcPr>
            <w:tcW w:w="450" w:type="dxa"/>
            <w:vAlign w:val="center"/>
          </w:tcPr>
          <w:p w14:paraId="077F5CE4"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2,6</w:t>
            </w:r>
          </w:p>
        </w:tc>
        <w:tc>
          <w:tcPr>
            <w:tcW w:w="450" w:type="dxa"/>
            <w:vAlign w:val="center"/>
          </w:tcPr>
          <w:p w14:paraId="3C1B55D8"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2,4</w:t>
            </w:r>
          </w:p>
        </w:tc>
        <w:tc>
          <w:tcPr>
            <w:tcW w:w="450" w:type="dxa"/>
            <w:vAlign w:val="center"/>
          </w:tcPr>
          <w:p w14:paraId="7FB91017"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w:t>
            </w:r>
          </w:p>
        </w:tc>
        <w:tc>
          <w:tcPr>
            <w:tcW w:w="450" w:type="dxa"/>
            <w:vAlign w:val="center"/>
          </w:tcPr>
          <w:p w14:paraId="79AB2D46"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w:t>
            </w:r>
          </w:p>
        </w:tc>
        <w:tc>
          <w:tcPr>
            <w:tcW w:w="450" w:type="dxa"/>
            <w:vAlign w:val="center"/>
          </w:tcPr>
          <w:p w14:paraId="36F4DE6D"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2,6</w:t>
            </w:r>
          </w:p>
        </w:tc>
        <w:tc>
          <w:tcPr>
            <w:tcW w:w="450" w:type="dxa"/>
            <w:vAlign w:val="center"/>
          </w:tcPr>
          <w:p w14:paraId="6B05C925"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2,4</w:t>
            </w:r>
          </w:p>
        </w:tc>
        <w:tc>
          <w:tcPr>
            <w:tcW w:w="450" w:type="dxa"/>
            <w:vAlign w:val="center"/>
          </w:tcPr>
          <w:p w14:paraId="58029091"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1,1</w:t>
            </w:r>
          </w:p>
        </w:tc>
        <w:tc>
          <w:tcPr>
            <w:tcW w:w="450" w:type="dxa"/>
            <w:vAlign w:val="center"/>
          </w:tcPr>
          <w:p w14:paraId="7570FBE4"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0,9</w:t>
            </w:r>
          </w:p>
        </w:tc>
        <w:tc>
          <w:tcPr>
            <w:tcW w:w="450" w:type="dxa"/>
            <w:vAlign w:val="center"/>
          </w:tcPr>
          <w:p w14:paraId="0A7C4547"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1,1</w:t>
            </w:r>
          </w:p>
        </w:tc>
        <w:tc>
          <w:tcPr>
            <w:tcW w:w="450" w:type="dxa"/>
            <w:vAlign w:val="center"/>
          </w:tcPr>
          <w:p w14:paraId="5C7A7A8D"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2,8</w:t>
            </w:r>
          </w:p>
        </w:tc>
        <w:tc>
          <w:tcPr>
            <w:tcW w:w="450" w:type="dxa"/>
            <w:vAlign w:val="center"/>
          </w:tcPr>
          <w:p w14:paraId="61BC512E"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w:t>
            </w:r>
          </w:p>
        </w:tc>
        <w:tc>
          <w:tcPr>
            <w:tcW w:w="450" w:type="dxa"/>
            <w:vAlign w:val="center"/>
          </w:tcPr>
          <w:p w14:paraId="10834960"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w:t>
            </w:r>
          </w:p>
        </w:tc>
        <w:tc>
          <w:tcPr>
            <w:tcW w:w="450" w:type="dxa"/>
            <w:vAlign w:val="center"/>
          </w:tcPr>
          <w:p w14:paraId="17A29E6D"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1,1</w:t>
            </w:r>
          </w:p>
        </w:tc>
        <w:tc>
          <w:tcPr>
            <w:tcW w:w="450" w:type="dxa"/>
            <w:vAlign w:val="center"/>
          </w:tcPr>
          <w:p w14:paraId="54A47810"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2,8</w:t>
            </w:r>
          </w:p>
        </w:tc>
        <w:tc>
          <w:tcPr>
            <w:tcW w:w="450" w:type="dxa"/>
            <w:vAlign w:val="center"/>
          </w:tcPr>
          <w:p w14:paraId="449EEE0E"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w:t>
            </w:r>
          </w:p>
        </w:tc>
        <w:tc>
          <w:tcPr>
            <w:tcW w:w="450" w:type="dxa"/>
            <w:vAlign w:val="center"/>
          </w:tcPr>
          <w:p w14:paraId="201F6CAC"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0</w:t>
            </w:r>
          </w:p>
        </w:tc>
        <w:tc>
          <w:tcPr>
            <w:tcW w:w="450" w:type="dxa"/>
            <w:vAlign w:val="center"/>
          </w:tcPr>
          <w:p w14:paraId="7098D74D"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0,0</w:t>
            </w:r>
          </w:p>
        </w:tc>
        <w:tc>
          <w:tcPr>
            <w:tcW w:w="450" w:type="dxa"/>
            <w:vAlign w:val="center"/>
          </w:tcPr>
          <w:p w14:paraId="3288967D"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0,1</w:t>
            </w:r>
          </w:p>
        </w:tc>
        <w:tc>
          <w:tcPr>
            <w:tcW w:w="450" w:type="dxa"/>
            <w:vAlign w:val="center"/>
          </w:tcPr>
          <w:p w14:paraId="3D021A71"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w:t>
            </w:r>
          </w:p>
        </w:tc>
        <w:tc>
          <w:tcPr>
            <w:tcW w:w="450" w:type="dxa"/>
            <w:vAlign w:val="center"/>
          </w:tcPr>
          <w:p w14:paraId="14BD4382"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w:t>
            </w:r>
          </w:p>
        </w:tc>
        <w:tc>
          <w:tcPr>
            <w:tcW w:w="450" w:type="dxa"/>
            <w:vAlign w:val="center"/>
          </w:tcPr>
          <w:p w14:paraId="3BD39FA1"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0,0</w:t>
            </w:r>
          </w:p>
        </w:tc>
        <w:tc>
          <w:tcPr>
            <w:tcW w:w="450" w:type="dxa"/>
            <w:vAlign w:val="center"/>
          </w:tcPr>
          <w:p w14:paraId="409FAF51"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0,1</w:t>
            </w:r>
          </w:p>
        </w:tc>
      </w:tr>
      <w:tr w:rsidR="00916787" w:rsidRPr="0079274A" w14:paraId="0128A7D8" w14:textId="77777777" w:rsidTr="00916787">
        <w:tc>
          <w:tcPr>
            <w:tcW w:w="1320" w:type="dxa"/>
          </w:tcPr>
          <w:p w14:paraId="5A43DE46" w14:textId="77777777" w:rsidR="00DF502A" w:rsidRPr="0079274A" w:rsidRDefault="00DF502A" w:rsidP="00E85C94">
            <w:pPr>
              <w:pStyle w:val="ListParagraph"/>
              <w:tabs>
                <w:tab w:val="left" w:pos="2269"/>
              </w:tabs>
              <w:ind w:left="0"/>
              <w:rPr>
                <w:b/>
                <w:color w:val="000000"/>
                <w:sz w:val="18"/>
                <w:szCs w:val="18"/>
              </w:rPr>
            </w:pPr>
            <w:r w:rsidRPr="0079274A">
              <w:rPr>
                <w:b/>
                <w:color w:val="000000"/>
                <w:sz w:val="18"/>
                <w:szCs w:val="18"/>
              </w:rPr>
              <w:t>Ekonomiskās krāsnis</w:t>
            </w:r>
          </w:p>
        </w:tc>
        <w:tc>
          <w:tcPr>
            <w:tcW w:w="455" w:type="dxa"/>
            <w:vAlign w:val="center"/>
          </w:tcPr>
          <w:p w14:paraId="78B2F852"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0,6</w:t>
            </w:r>
          </w:p>
        </w:tc>
        <w:tc>
          <w:tcPr>
            <w:tcW w:w="450" w:type="dxa"/>
            <w:vAlign w:val="center"/>
          </w:tcPr>
          <w:p w14:paraId="04ED5A47"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2,2</w:t>
            </w:r>
          </w:p>
        </w:tc>
        <w:tc>
          <w:tcPr>
            <w:tcW w:w="450" w:type="dxa"/>
            <w:vAlign w:val="center"/>
          </w:tcPr>
          <w:p w14:paraId="20AD0C45"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5,0</w:t>
            </w:r>
          </w:p>
        </w:tc>
        <w:tc>
          <w:tcPr>
            <w:tcW w:w="450" w:type="dxa"/>
            <w:vAlign w:val="center"/>
          </w:tcPr>
          <w:p w14:paraId="29BC6891"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4,3</w:t>
            </w:r>
          </w:p>
        </w:tc>
        <w:tc>
          <w:tcPr>
            <w:tcW w:w="450" w:type="dxa"/>
            <w:vAlign w:val="center"/>
          </w:tcPr>
          <w:p w14:paraId="3C0450AD"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3,5</w:t>
            </w:r>
          </w:p>
        </w:tc>
        <w:tc>
          <w:tcPr>
            <w:tcW w:w="450" w:type="dxa"/>
            <w:vAlign w:val="center"/>
          </w:tcPr>
          <w:p w14:paraId="0C97DA10"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5</w:t>
            </w:r>
          </w:p>
        </w:tc>
        <w:tc>
          <w:tcPr>
            <w:tcW w:w="450" w:type="dxa"/>
            <w:vAlign w:val="center"/>
          </w:tcPr>
          <w:p w14:paraId="389549CA"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7,7</w:t>
            </w:r>
          </w:p>
        </w:tc>
        <w:tc>
          <w:tcPr>
            <w:tcW w:w="450" w:type="dxa"/>
            <w:vAlign w:val="center"/>
          </w:tcPr>
          <w:p w14:paraId="523CAA24"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8,8</w:t>
            </w:r>
          </w:p>
        </w:tc>
        <w:tc>
          <w:tcPr>
            <w:tcW w:w="450" w:type="dxa"/>
            <w:vAlign w:val="center"/>
          </w:tcPr>
          <w:p w14:paraId="7C580629"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0,1</w:t>
            </w:r>
          </w:p>
        </w:tc>
        <w:tc>
          <w:tcPr>
            <w:tcW w:w="450" w:type="dxa"/>
            <w:vAlign w:val="center"/>
          </w:tcPr>
          <w:p w14:paraId="57F13FFD"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0,3</w:t>
            </w:r>
          </w:p>
        </w:tc>
        <w:tc>
          <w:tcPr>
            <w:tcW w:w="450" w:type="dxa"/>
            <w:vAlign w:val="center"/>
          </w:tcPr>
          <w:p w14:paraId="5D30B8BB"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0,3</w:t>
            </w:r>
          </w:p>
        </w:tc>
        <w:tc>
          <w:tcPr>
            <w:tcW w:w="450" w:type="dxa"/>
            <w:vAlign w:val="center"/>
          </w:tcPr>
          <w:p w14:paraId="312BC663"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0,3</w:t>
            </w:r>
          </w:p>
        </w:tc>
        <w:tc>
          <w:tcPr>
            <w:tcW w:w="450" w:type="dxa"/>
            <w:vAlign w:val="center"/>
          </w:tcPr>
          <w:p w14:paraId="77667F61"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3,4</w:t>
            </w:r>
          </w:p>
        </w:tc>
        <w:tc>
          <w:tcPr>
            <w:tcW w:w="450" w:type="dxa"/>
            <w:vAlign w:val="center"/>
          </w:tcPr>
          <w:p w14:paraId="3231AE04"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7,7</w:t>
            </w:r>
          </w:p>
        </w:tc>
        <w:tc>
          <w:tcPr>
            <w:tcW w:w="450" w:type="dxa"/>
            <w:vAlign w:val="center"/>
          </w:tcPr>
          <w:p w14:paraId="36ED9A02"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0,3</w:t>
            </w:r>
          </w:p>
        </w:tc>
        <w:tc>
          <w:tcPr>
            <w:tcW w:w="450" w:type="dxa"/>
            <w:vAlign w:val="center"/>
          </w:tcPr>
          <w:p w14:paraId="543A0E4D"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0,3</w:t>
            </w:r>
          </w:p>
        </w:tc>
        <w:tc>
          <w:tcPr>
            <w:tcW w:w="450" w:type="dxa"/>
            <w:vAlign w:val="center"/>
          </w:tcPr>
          <w:p w14:paraId="52437611"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0,1</w:t>
            </w:r>
          </w:p>
        </w:tc>
        <w:tc>
          <w:tcPr>
            <w:tcW w:w="450" w:type="dxa"/>
            <w:vAlign w:val="center"/>
          </w:tcPr>
          <w:p w14:paraId="011538B4"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0,2</w:t>
            </w:r>
          </w:p>
        </w:tc>
        <w:tc>
          <w:tcPr>
            <w:tcW w:w="450" w:type="dxa"/>
            <w:vAlign w:val="center"/>
          </w:tcPr>
          <w:p w14:paraId="262D12A8"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0,6</w:t>
            </w:r>
          </w:p>
        </w:tc>
        <w:tc>
          <w:tcPr>
            <w:tcW w:w="450" w:type="dxa"/>
            <w:vAlign w:val="center"/>
          </w:tcPr>
          <w:p w14:paraId="2A317287"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0,7</w:t>
            </w:r>
          </w:p>
        </w:tc>
        <w:tc>
          <w:tcPr>
            <w:tcW w:w="450" w:type="dxa"/>
            <w:vAlign w:val="center"/>
          </w:tcPr>
          <w:p w14:paraId="46036C90"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4,4</w:t>
            </w:r>
          </w:p>
        </w:tc>
        <w:tc>
          <w:tcPr>
            <w:tcW w:w="450" w:type="dxa"/>
            <w:vAlign w:val="center"/>
          </w:tcPr>
          <w:p w14:paraId="0C68A566"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3,6</w:t>
            </w:r>
          </w:p>
        </w:tc>
        <w:tc>
          <w:tcPr>
            <w:tcW w:w="450" w:type="dxa"/>
            <w:vAlign w:val="center"/>
          </w:tcPr>
          <w:p w14:paraId="259DE404"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0,6</w:t>
            </w:r>
          </w:p>
        </w:tc>
        <w:tc>
          <w:tcPr>
            <w:tcW w:w="450" w:type="dxa"/>
            <w:vAlign w:val="center"/>
          </w:tcPr>
          <w:p w14:paraId="35413C81"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0,7</w:t>
            </w:r>
          </w:p>
        </w:tc>
        <w:tc>
          <w:tcPr>
            <w:tcW w:w="450" w:type="dxa"/>
            <w:vAlign w:val="center"/>
          </w:tcPr>
          <w:p w14:paraId="22BAEC8B"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w:t>
            </w:r>
          </w:p>
        </w:tc>
        <w:tc>
          <w:tcPr>
            <w:tcW w:w="450" w:type="dxa"/>
            <w:vAlign w:val="center"/>
          </w:tcPr>
          <w:p w14:paraId="78115581"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0</w:t>
            </w:r>
          </w:p>
        </w:tc>
        <w:tc>
          <w:tcPr>
            <w:tcW w:w="450" w:type="dxa"/>
            <w:vAlign w:val="center"/>
          </w:tcPr>
          <w:p w14:paraId="4C0A1ADE"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0,0</w:t>
            </w:r>
          </w:p>
        </w:tc>
        <w:tc>
          <w:tcPr>
            <w:tcW w:w="450" w:type="dxa"/>
            <w:vAlign w:val="center"/>
          </w:tcPr>
          <w:p w14:paraId="3AB58ACB"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0,1</w:t>
            </w:r>
          </w:p>
        </w:tc>
        <w:tc>
          <w:tcPr>
            <w:tcW w:w="450" w:type="dxa"/>
            <w:vAlign w:val="center"/>
          </w:tcPr>
          <w:p w14:paraId="619A66E9"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w:t>
            </w:r>
          </w:p>
        </w:tc>
        <w:tc>
          <w:tcPr>
            <w:tcW w:w="450" w:type="dxa"/>
            <w:vAlign w:val="center"/>
          </w:tcPr>
          <w:p w14:paraId="7B6AD853"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0</w:t>
            </w:r>
          </w:p>
        </w:tc>
        <w:tc>
          <w:tcPr>
            <w:tcW w:w="450" w:type="dxa"/>
            <w:vAlign w:val="center"/>
          </w:tcPr>
          <w:p w14:paraId="4CF9E6A1"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0,0</w:t>
            </w:r>
          </w:p>
        </w:tc>
        <w:tc>
          <w:tcPr>
            <w:tcW w:w="450" w:type="dxa"/>
            <w:vAlign w:val="center"/>
          </w:tcPr>
          <w:p w14:paraId="2A119FB5"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0,1</w:t>
            </w:r>
          </w:p>
        </w:tc>
      </w:tr>
      <w:tr w:rsidR="00916787" w:rsidRPr="0079274A" w14:paraId="1EB4D7CA" w14:textId="77777777" w:rsidTr="00916787">
        <w:tc>
          <w:tcPr>
            <w:tcW w:w="1320" w:type="dxa"/>
          </w:tcPr>
          <w:p w14:paraId="0FBBA8B8" w14:textId="77777777" w:rsidR="00DF502A" w:rsidRPr="0079274A" w:rsidRDefault="00DF502A" w:rsidP="00E85C94">
            <w:pPr>
              <w:pStyle w:val="ListParagraph"/>
              <w:tabs>
                <w:tab w:val="left" w:pos="2269"/>
              </w:tabs>
              <w:ind w:left="0"/>
              <w:rPr>
                <w:b/>
                <w:color w:val="000000"/>
                <w:sz w:val="18"/>
                <w:szCs w:val="18"/>
              </w:rPr>
            </w:pPr>
            <w:r w:rsidRPr="0079274A">
              <w:rPr>
                <w:b/>
                <w:color w:val="000000"/>
                <w:sz w:val="18"/>
                <w:szCs w:val="18"/>
              </w:rPr>
              <w:t>Plītis ēdiena gatavošanai</w:t>
            </w:r>
          </w:p>
        </w:tc>
        <w:tc>
          <w:tcPr>
            <w:tcW w:w="455" w:type="dxa"/>
            <w:vAlign w:val="center"/>
          </w:tcPr>
          <w:p w14:paraId="2D444482"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30,5</w:t>
            </w:r>
          </w:p>
        </w:tc>
        <w:tc>
          <w:tcPr>
            <w:tcW w:w="450" w:type="dxa"/>
            <w:vAlign w:val="center"/>
          </w:tcPr>
          <w:p w14:paraId="2F04EDE8"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33,5</w:t>
            </w:r>
          </w:p>
        </w:tc>
        <w:tc>
          <w:tcPr>
            <w:tcW w:w="450" w:type="dxa"/>
            <w:vAlign w:val="center"/>
          </w:tcPr>
          <w:p w14:paraId="6B27A1BA"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29,8</w:t>
            </w:r>
          </w:p>
        </w:tc>
        <w:tc>
          <w:tcPr>
            <w:tcW w:w="450" w:type="dxa"/>
            <w:vAlign w:val="center"/>
          </w:tcPr>
          <w:p w14:paraId="6A7446DB"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24,8</w:t>
            </w:r>
          </w:p>
        </w:tc>
        <w:tc>
          <w:tcPr>
            <w:tcW w:w="450" w:type="dxa"/>
            <w:vAlign w:val="center"/>
          </w:tcPr>
          <w:p w14:paraId="09CF1F8C"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w:t>
            </w:r>
          </w:p>
        </w:tc>
        <w:tc>
          <w:tcPr>
            <w:tcW w:w="450" w:type="dxa"/>
            <w:vAlign w:val="center"/>
          </w:tcPr>
          <w:p w14:paraId="69F9E51F"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w:t>
            </w:r>
          </w:p>
        </w:tc>
        <w:tc>
          <w:tcPr>
            <w:tcW w:w="450" w:type="dxa"/>
            <w:vAlign w:val="center"/>
          </w:tcPr>
          <w:p w14:paraId="32D7B6FF"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25,4</w:t>
            </w:r>
          </w:p>
        </w:tc>
        <w:tc>
          <w:tcPr>
            <w:tcW w:w="450" w:type="dxa"/>
            <w:vAlign w:val="center"/>
          </w:tcPr>
          <w:p w14:paraId="18941B39"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24,5</w:t>
            </w:r>
          </w:p>
        </w:tc>
        <w:tc>
          <w:tcPr>
            <w:tcW w:w="450" w:type="dxa"/>
            <w:vAlign w:val="center"/>
          </w:tcPr>
          <w:p w14:paraId="04E5113C"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11,4</w:t>
            </w:r>
          </w:p>
        </w:tc>
        <w:tc>
          <w:tcPr>
            <w:tcW w:w="450" w:type="dxa"/>
            <w:vAlign w:val="center"/>
          </w:tcPr>
          <w:p w14:paraId="62D2CEC3"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7</w:t>
            </w:r>
          </w:p>
        </w:tc>
        <w:tc>
          <w:tcPr>
            <w:tcW w:w="450" w:type="dxa"/>
            <w:vAlign w:val="center"/>
          </w:tcPr>
          <w:p w14:paraId="4C52EFDF"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2,3</w:t>
            </w:r>
          </w:p>
        </w:tc>
        <w:tc>
          <w:tcPr>
            <w:tcW w:w="450" w:type="dxa"/>
            <w:vAlign w:val="center"/>
          </w:tcPr>
          <w:p w14:paraId="24C92078"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1,8</w:t>
            </w:r>
          </w:p>
        </w:tc>
        <w:tc>
          <w:tcPr>
            <w:tcW w:w="450" w:type="dxa"/>
            <w:vAlign w:val="center"/>
          </w:tcPr>
          <w:p w14:paraId="52EF68FE"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w:t>
            </w:r>
          </w:p>
        </w:tc>
        <w:tc>
          <w:tcPr>
            <w:tcW w:w="450" w:type="dxa"/>
            <w:vAlign w:val="center"/>
          </w:tcPr>
          <w:p w14:paraId="459BCA77"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w:t>
            </w:r>
          </w:p>
        </w:tc>
        <w:tc>
          <w:tcPr>
            <w:tcW w:w="450" w:type="dxa"/>
            <w:vAlign w:val="center"/>
          </w:tcPr>
          <w:p w14:paraId="04B30A2E"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2,3</w:t>
            </w:r>
          </w:p>
        </w:tc>
        <w:tc>
          <w:tcPr>
            <w:tcW w:w="450" w:type="dxa"/>
            <w:vAlign w:val="center"/>
          </w:tcPr>
          <w:p w14:paraId="639A3D1B"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1,8</w:t>
            </w:r>
          </w:p>
        </w:tc>
        <w:tc>
          <w:tcPr>
            <w:tcW w:w="450" w:type="dxa"/>
            <w:vAlign w:val="center"/>
          </w:tcPr>
          <w:p w14:paraId="2F273011"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0,4</w:t>
            </w:r>
          </w:p>
        </w:tc>
        <w:tc>
          <w:tcPr>
            <w:tcW w:w="450" w:type="dxa"/>
            <w:vAlign w:val="center"/>
          </w:tcPr>
          <w:p w14:paraId="0D6BCE4D"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0,3</w:t>
            </w:r>
          </w:p>
        </w:tc>
        <w:tc>
          <w:tcPr>
            <w:tcW w:w="450" w:type="dxa"/>
            <w:vAlign w:val="center"/>
          </w:tcPr>
          <w:p w14:paraId="7BD61671"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0,5</w:t>
            </w:r>
          </w:p>
        </w:tc>
        <w:tc>
          <w:tcPr>
            <w:tcW w:w="450" w:type="dxa"/>
            <w:vAlign w:val="center"/>
          </w:tcPr>
          <w:p w14:paraId="5F27EF46"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1,2</w:t>
            </w:r>
          </w:p>
        </w:tc>
        <w:tc>
          <w:tcPr>
            <w:tcW w:w="450" w:type="dxa"/>
            <w:vAlign w:val="center"/>
          </w:tcPr>
          <w:p w14:paraId="1A1344F2"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w:t>
            </w:r>
          </w:p>
        </w:tc>
        <w:tc>
          <w:tcPr>
            <w:tcW w:w="450" w:type="dxa"/>
            <w:vAlign w:val="center"/>
          </w:tcPr>
          <w:p w14:paraId="7048BCB2"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w:t>
            </w:r>
          </w:p>
        </w:tc>
        <w:tc>
          <w:tcPr>
            <w:tcW w:w="450" w:type="dxa"/>
            <w:vAlign w:val="center"/>
          </w:tcPr>
          <w:p w14:paraId="317BEF20"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0,5</w:t>
            </w:r>
          </w:p>
        </w:tc>
        <w:tc>
          <w:tcPr>
            <w:tcW w:w="450" w:type="dxa"/>
            <w:vAlign w:val="center"/>
          </w:tcPr>
          <w:p w14:paraId="7A917F34"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1,2</w:t>
            </w:r>
          </w:p>
        </w:tc>
        <w:tc>
          <w:tcPr>
            <w:tcW w:w="450" w:type="dxa"/>
            <w:vAlign w:val="center"/>
          </w:tcPr>
          <w:p w14:paraId="3AC9F343"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w:t>
            </w:r>
          </w:p>
        </w:tc>
        <w:tc>
          <w:tcPr>
            <w:tcW w:w="450" w:type="dxa"/>
            <w:vAlign w:val="center"/>
          </w:tcPr>
          <w:p w14:paraId="70863777"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0</w:t>
            </w:r>
          </w:p>
        </w:tc>
        <w:tc>
          <w:tcPr>
            <w:tcW w:w="450" w:type="dxa"/>
            <w:vAlign w:val="center"/>
          </w:tcPr>
          <w:p w14:paraId="680AC02C"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0,0</w:t>
            </w:r>
          </w:p>
        </w:tc>
        <w:tc>
          <w:tcPr>
            <w:tcW w:w="450" w:type="dxa"/>
            <w:vAlign w:val="center"/>
          </w:tcPr>
          <w:p w14:paraId="7F7B4035"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0,2</w:t>
            </w:r>
          </w:p>
        </w:tc>
        <w:tc>
          <w:tcPr>
            <w:tcW w:w="450" w:type="dxa"/>
            <w:vAlign w:val="center"/>
          </w:tcPr>
          <w:p w14:paraId="365B247F"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w:t>
            </w:r>
          </w:p>
        </w:tc>
        <w:tc>
          <w:tcPr>
            <w:tcW w:w="450" w:type="dxa"/>
            <w:vAlign w:val="center"/>
          </w:tcPr>
          <w:p w14:paraId="6193DDB2" w14:textId="77777777" w:rsidR="00DF502A" w:rsidRPr="0079274A" w:rsidRDefault="00DF502A" w:rsidP="00E85C94">
            <w:pPr>
              <w:pStyle w:val="ListParagraph"/>
              <w:tabs>
                <w:tab w:val="left" w:pos="2269"/>
              </w:tabs>
              <w:ind w:left="-103" w:right="-108"/>
              <w:jc w:val="center"/>
              <w:rPr>
                <w:color w:val="000000"/>
                <w:sz w:val="18"/>
                <w:szCs w:val="18"/>
              </w:rPr>
            </w:pPr>
            <w:r w:rsidRPr="0079274A">
              <w:rPr>
                <w:color w:val="000000"/>
                <w:sz w:val="18"/>
                <w:szCs w:val="18"/>
              </w:rPr>
              <w:t>-</w:t>
            </w:r>
          </w:p>
        </w:tc>
        <w:tc>
          <w:tcPr>
            <w:tcW w:w="450" w:type="dxa"/>
            <w:vAlign w:val="center"/>
          </w:tcPr>
          <w:p w14:paraId="00ACF366"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0,0</w:t>
            </w:r>
          </w:p>
        </w:tc>
        <w:tc>
          <w:tcPr>
            <w:tcW w:w="450" w:type="dxa"/>
            <w:vAlign w:val="center"/>
          </w:tcPr>
          <w:p w14:paraId="06023B98" w14:textId="77777777" w:rsidR="00DF502A" w:rsidRPr="0079274A" w:rsidRDefault="00DF502A" w:rsidP="00E85C94">
            <w:pPr>
              <w:pStyle w:val="ListParagraph"/>
              <w:tabs>
                <w:tab w:val="left" w:pos="2269"/>
              </w:tabs>
              <w:ind w:left="-103" w:right="-108"/>
              <w:jc w:val="center"/>
              <w:rPr>
                <w:color w:val="000000"/>
                <w:sz w:val="18"/>
                <w:szCs w:val="18"/>
              </w:rPr>
            </w:pPr>
            <w:r w:rsidRPr="001F6DB5">
              <w:rPr>
                <w:color w:val="000000"/>
                <w:sz w:val="18"/>
                <w:szCs w:val="18"/>
              </w:rPr>
              <w:t>0,2</w:t>
            </w:r>
          </w:p>
        </w:tc>
      </w:tr>
    </w:tbl>
    <w:p w14:paraId="7E3EB1CA" w14:textId="49087CDA" w:rsidR="00A613D4" w:rsidRPr="008E4EB0" w:rsidRDefault="00A613D4" w:rsidP="00D64CF6">
      <w:pPr>
        <w:spacing w:after="0" w:line="276" w:lineRule="auto"/>
        <w:jc w:val="both"/>
        <w:rPr>
          <w:rFonts w:ascii="Times New Roman" w:hAnsi="Times New Roman" w:cs="Times New Roman"/>
          <w:sz w:val="24"/>
          <w:szCs w:val="24"/>
        </w:rPr>
      </w:pPr>
    </w:p>
    <w:sectPr w:rsidR="00A613D4" w:rsidRPr="008E4EB0" w:rsidSect="00150827">
      <w:pgSz w:w="16838" w:h="11906" w:orient="landscape"/>
      <w:pgMar w:top="1797" w:right="1440" w:bottom="179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F5274" w14:textId="77777777" w:rsidR="00E427BD" w:rsidRDefault="00E427BD" w:rsidP="00990903">
      <w:pPr>
        <w:spacing w:after="0" w:line="240" w:lineRule="auto"/>
      </w:pPr>
      <w:r>
        <w:separator/>
      </w:r>
    </w:p>
  </w:endnote>
  <w:endnote w:type="continuationSeparator" w:id="0">
    <w:p w14:paraId="1B0621CC" w14:textId="77777777" w:rsidR="00E427BD" w:rsidRDefault="00E427BD" w:rsidP="00990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Verdana">
    <w:panose1 w:val="020B0604030504040204"/>
    <w:charset w:val="BA"/>
    <w:family w:val="swiss"/>
    <w:pitch w:val="variable"/>
    <w:sig w:usb0="A10006FF" w:usb1="4000205B" w:usb2="0000001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HiddenHorzOCR">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73294" w14:textId="77777777" w:rsidR="005256DA" w:rsidRDefault="005256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230222"/>
      <w:docPartObj>
        <w:docPartGallery w:val="Page Numbers (Bottom of Page)"/>
        <w:docPartUnique/>
      </w:docPartObj>
    </w:sdtPr>
    <w:sdtEndPr>
      <w:rPr>
        <w:noProof/>
      </w:rPr>
    </w:sdtEndPr>
    <w:sdtContent>
      <w:p w14:paraId="45189285" w14:textId="6B176E89" w:rsidR="002027DA" w:rsidRDefault="002027DA" w:rsidP="00FA7B15">
        <w:pPr>
          <w:pStyle w:val="Footer"/>
          <w:jc w:val="center"/>
          <w:rPr>
            <w:noProof/>
          </w:rPr>
        </w:pPr>
        <w:r>
          <w:fldChar w:fldCharType="begin"/>
        </w:r>
        <w:r>
          <w:instrText xml:space="preserve"> PAGE   \* MERGEFORMAT </w:instrText>
        </w:r>
        <w:r>
          <w:fldChar w:fldCharType="separate"/>
        </w:r>
        <w:r w:rsidR="00131B14">
          <w:rPr>
            <w:noProof/>
          </w:rPr>
          <w:t>21</w:t>
        </w:r>
        <w:r>
          <w:rPr>
            <w:noProof/>
          </w:rPr>
          <w:fldChar w:fldCharType="end"/>
        </w:r>
      </w:p>
    </w:sdtContent>
  </w:sdt>
  <w:p w14:paraId="08665706" w14:textId="6DA9DA89" w:rsidR="002027DA" w:rsidRDefault="005256DA">
    <w:pPr>
      <w:pStyle w:val="Footer"/>
    </w:pPr>
    <w:r>
      <w:rPr>
        <w:rFonts w:ascii="Times New Roman" w:hAnsi="Times New Roman"/>
        <w:sz w:val="20"/>
        <w:szCs w:val="20"/>
      </w:rPr>
      <w:t>EMZin_30</w:t>
    </w:r>
    <w:r w:rsidR="002027DA">
      <w:rPr>
        <w:rFonts w:ascii="Times New Roman" w:hAnsi="Times New Roman"/>
        <w:sz w:val="20"/>
        <w:szCs w:val="20"/>
      </w:rPr>
      <w:t>0817_Eku_atjaun; Informatīvais ziņojums “Ēku atjaunošanas ilgtermiņa stratēģija”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3986852"/>
      <w:docPartObj>
        <w:docPartGallery w:val="Page Numbers (Bottom of Page)"/>
        <w:docPartUnique/>
      </w:docPartObj>
    </w:sdtPr>
    <w:sdtEndPr>
      <w:rPr>
        <w:noProof/>
      </w:rPr>
    </w:sdtEndPr>
    <w:sdtContent>
      <w:p w14:paraId="3D3096E4" w14:textId="4C372E02" w:rsidR="002027DA" w:rsidRDefault="002027DA">
        <w:pPr>
          <w:pStyle w:val="Footer"/>
          <w:jc w:val="center"/>
        </w:pPr>
        <w:r>
          <w:fldChar w:fldCharType="begin"/>
        </w:r>
        <w:r>
          <w:instrText xml:space="preserve"> PAGE   \* MERGEFORMAT </w:instrText>
        </w:r>
        <w:r>
          <w:fldChar w:fldCharType="separate"/>
        </w:r>
        <w:r w:rsidR="00131B14">
          <w:rPr>
            <w:noProof/>
          </w:rPr>
          <w:t>1</w:t>
        </w:r>
        <w:r>
          <w:rPr>
            <w:noProof/>
          </w:rPr>
          <w:fldChar w:fldCharType="end"/>
        </w:r>
      </w:p>
    </w:sdtContent>
  </w:sdt>
  <w:p w14:paraId="05A1E851" w14:textId="77777777" w:rsidR="002027DA" w:rsidRDefault="00202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4E2E6" w14:textId="77777777" w:rsidR="00E427BD" w:rsidRDefault="00E427BD" w:rsidP="00990903">
      <w:pPr>
        <w:spacing w:after="0" w:line="240" w:lineRule="auto"/>
      </w:pPr>
      <w:r>
        <w:separator/>
      </w:r>
    </w:p>
  </w:footnote>
  <w:footnote w:type="continuationSeparator" w:id="0">
    <w:p w14:paraId="58152F9D" w14:textId="77777777" w:rsidR="00E427BD" w:rsidRDefault="00E427BD" w:rsidP="00990903">
      <w:pPr>
        <w:spacing w:after="0" w:line="240" w:lineRule="auto"/>
      </w:pPr>
      <w:r>
        <w:continuationSeparator/>
      </w:r>
    </w:p>
  </w:footnote>
  <w:footnote w:id="1">
    <w:p w14:paraId="2DF24691" w14:textId="77777777" w:rsidR="002027DA" w:rsidRPr="003207BB" w:rsidRDefault="002027DA" w:rsidP="003207BB">
      <w:pPr>
        <w:pStyle w:val="Zemsvtra"/>
      </w:pPr>
      <w:r w:rsidRPr="003207BB">
        <w:rPr>
          <w:rStyle w:val="FootnoteReference"/>
          <w:sz w:val="16"/>
          <w:szCs w:val="16"/>
        </w:rPr>
        <w:footnoteRef/>
      </w:r>
      <w:r w:rsidRPr="003207BB">
        <w:t xml:space="preserve"> Valsts zemes dienesta sniegtie Nekustamā īpašuma valsts kadastra informācijas sistēmas dati uz 2017.gada 1.janvāri.</w:t>
      </w:r>
    </w:p>
    <w:p w14:paraId="4289E6F1" w14:textId="77777777" w:rsidR="002027DA" w:rsidRPr="003207BB" w:rsidRDefault="002027DA" w:rsidP="003207BB">
      <w:pPr>
        <w:pStyle w:val="Zemsvtra"/>
      </w:pPr>
    </w:p>
  </w:footnote>
  <w:footnote w:id="2">
    <w:p w14:paraId="3F6D8338" w14:textId="77777777" w:rsidR="002027DA" w:rsidRPr="003207BB" w:rsidRDefault="002027DA" w:rsidP="003207BB">
      <w:pPr>
        <w:pStyle w:val="Zemsvtra"/>
      </w:pPr>
      <w:r w:rsidRPr="003207BB">
        <w:rPr>
          <w:rStyle w:val="FootnoteReference"/>
          <w:sz w:val="16"/>
          <w:szCs w:val="16"/>
        </w:rPr>
        <w:footnoteRef/>
      </w:r>
      <w:r w:rsidRPr="003207BB">
        <w:t xml:space="preserve"> t.sk. arhīvu ēkas</w:t>
      </w:r>
      <w:r w:rsidRPr="003207BB">
        <w:tab/>
      </w:r>
    </w:p>
  </w:footnote>
  <w:footnote w:id="3">
    <w:p w14:paraId="4B76601A" w14:textId="77777777" w:rsidR="002027DA" w:rsidRPr="003207BB" w:rsidRDefault="002027DA" w:rsidP="003207BB">
      <w:pPr>
        <w:pStyle w:val="Zemsvtra"/>
      </w:pPr>
      <w:r w:rsidRPr="003207BB">
        <w:rPr>
          <w:rStyle w:val="FootnoteReference"/>
          <w:sz w:val="16"/>
          <w:szCs w:val="16"/>
        </w:rPr>
        <w:footnoteRef/>
      </w:r>
      <w:r w:rsidRPr="003207BB">
        <w:t xml:space="preserve"> „СНиП II-3-79 Строительная теплотехника” (celtniecības siltumtehnika), СНиП II-3-79 2. Теплоустойчивость ограждающих конструкций (2. daļa – Norobežojošo konstrukciju siltumtehnika).</w:t>
      </w:r>
    </w:p>
  </w:footnote>
  <w:footnote w:id="4">
    <w:p w14:paraId="1751A9ED" w14:textId="77777777" w:rsidR="002027DA" w:rsidRPr="002705B8" w:rsidRDefault="002027DA" w:rsidP="003207BB">
      <w:pPr>
        <w:pStyle w:val="Zemsvtra"/>
      </w:pPr>
      <w:r w:rsidRPr="003207BB">
        <w:rPr>
          <w:rStyle w:val="FootnoteReference"/>
          <w:sz w:val="16"/>
          <w:szCs w:val="16"/>
        </w:rPr>
        <w:footnoteRef/>
      </w:r>
      <w:r w:rsidRPr="002705B8">
        <w:t xml:space="preserve"> LBN 002-01</w:t>
      </w:r>
    </w:p>
  </w:footnote>
  <w:footnote w:id="5">
    <w:p w14:paraId="2F5DCF56" w14:textId="77777777" w:rsidR="002027DA" w:rsidRPr="00BF58E9" w:rsidRDefault="002027DA" w:rsidP="003207BB">
      <w:pPr>
        <w:pStyle w:val="Zemsvtra"/>
      </w:pPr>
      <w:r w:rsidRPr="003207BB">
        <w:rPr>
          <w:rStyle w:val="FootnoteReference"/>
          <w:sz w:val="16"/>
          <w:szCs w:val="16"/>
        </w:rPr>
        <w:footnoteRef/>
      </w:r>
      <w:r w:rsidRPr="00BF58E9">
        <w:t xml:space="preserve"> Latvijas būvnormatīvs LBN 003-15 „Būvklimatoloģija” </w:t>
      </w:r>
    </w:p>
  </w:footnote>
  <w:footnote w:id="6">
    <w:p w14:paraId="59F934C6" w14:textId="77777777" w:rsidR="002027DA" w:rsidRPr="003207BB" w:rsidRDefault="002027DA" w:rsidP="003207BB">
      <w:pPr>
        <w:pStyle w:val="Zemsvtra"/>
      </w:pPr>
      <w:r w:rsidRPr="003207BB">
        <w:rPr>
          <w:rStyle w:val="FootnoteReference"/>
          <w:sz w:val="16"/>
          <w:szCs w:val="16"/>
        </w:rPr>
        <w:footnoteRef/>
      </w:r>
      <w:r w:rsidRPr="00DA2BC4">
        <w:rPr>
          <w:lang w:val="de-DE"/>
        </w:rPr>
        <w:t xml:space="preserve"> A. Jakovičs, S. Gendelis, H. Truemmann. </w:t>
      </w:r>
      <w:r w:rsidRPr="003207BB">
        <w:t>Analysis of heat losses from typical buildings in Riga. International scientific colloquium ‘Modeling for saving resources’ – Riga, 2001, pp 190-197</w:t>
      </w:r>
    </w:p>
  </w:footnote>
  <w:footnote w:id="7">
    <w:p w14:paraId="486A6AD1" w14:textId="7342A2BE" w:rsidR="002027DA" w:rsidRPr="003207BB" w:rsidRDefault="002027DA" w:rsidP="003207BB">
      <w:pPr>
        <w:pStyle w:val="Zemsvtra"/>
      </w:pPr>
      <w:r w:rsidRPr="003207BB">
        <w:rPr>
          <w:rStyle w:val="FootnoteReference"/>
          <w:sz w:val="16"/>
          <w:szCs w:val="16"/>
        </w:rPr>
        <w:footnoteRef/>
      </w:r>
      <w:r w:rsidRPr="003207BB">
        <w:t xml:space="preserve"> http://appsso.</w:t>
      </w:r>
      <w:r w:rsidRPr="008E4EB0">
        <w:rPr>
          <w:i/>
        </w:rPr>
        <w:t>euro</w:t>
      </w:r>
      <w:r w:rsidRPr="003207BB">
        <w:t>stat.ec.</w:t>
      </w:r>
      <w:r w:rsidRPr="008E4EB0">
        <w:rPr>
          <w:i/>
        </w:rPr>
        <w:t>euro</w:t>
      </w:r>
      <w:r w:rsidRPr="003207BB">
        <w:t>pa.eu/nui/show.do?dataset=nrg_esdgr_a&amp;lang=en</w:t>
      </w:r>
    </w:p>
  </w:footnote>
  <w:footnote w:id="8">
    <w:p w14:paraId="261E672C" w14:textId="77777777" w:rsidR="002027DA" w:rsidRPr="003207BB" w:rsidRDefault="002027DA" w:rsidP="003207BB">
      <w:pPr>
        <w:pStyle w:val="Zemsvtra"/>
      </w:pPr>
      <w:r w:rsidRPr="003207BB">
        <w:rPr>
          <w:rStyle w:val="FootnoteReference"/>
          <w:sz w:val="16"/>
          <w:szCs w:val="16"/>
        </w:rPr>
        <w:footnoteRef/>
      </w:r>
      <w:r w:rsidRPr="003207BB">
        <w:t xml:space="preserve"> </w:t>
      </w:r>
      <w:hyperlink r:id="rId1" w:history="1">
        <w:r w:rsidRPr="003207BB">
          <w:rPr>
            <w:rStyle w:val="Hyperlink"/>
            <w:sz w:val="16"/>
            <w:szCs w:val="16"/>
          </w:rPr>
          <w:t>CSP dati uz 02.03.2017.</w:t>
        </w:r>
      </w:hyperlink>
    </w:p>
  </w:footnote>
  <w:footnote w:id="9">
    <w:p w14:paraId="7768C059" w14:textId="51368B74" w:rsidR="002027DA" w:rsidRPr="003207BB" w:rsidRDefault="002027DA" w:rsidP="003207BB">
      <w:pPr>
        <w:pStyle w:val="Zemsvtra"/>
      </w:pPr>
      <w:r w:rsidRPr="003207BB">
        <w:rPr>
          <w:rStyle w:val="FootnoteReference"/>
          <w:sz w:val="16"/>
          <w:szCs w:val="16"/>
        </w:rPr>
        <w:footnoteRef/>
      </w:r>
      <w:r w:rsidRPr="003207BB">
        <w:t xml:space="preserve"> </w:t>
      </w:r>
      <w:r>
        <w:t xml:space="preserve">Būvniecības informācijas sistēma - </w:t>
      </w:r>
      <w:r w:rsidRPr="003207BB">
        <w:t>www.bis.gov.lv</w:t>
      </w:r>
    </w:p>
  </w:footnote>
  <w:footnote w:id="10">
    <w:p w14:paraId="2B6F9E2A" w14:textId="1B706388" w:rsidR="002027DA" w:rsidRPr="003207BB" w:rsidRDefault="002027DA" w:rsidP="003207BB">
      <w:pPr>
        <w:pStyle w:val="Zemsvtra"/>
      </w:pPr>
      <w:r w:rsidRPr="003207BB">
        <w:rPr>
          <w:rStyle w:val="FootnoteReference"/>
          <w:sz w:val="16"/>
          <w:szCs w:val="16"/>
        </w:rPr>
        <w:footnoteRef/>
      </w:r>
      <w:r w:rsidRPr="003207BB">
        <w:t xml:space="preserve"> Centrālās statistikas pārvaldes datu bāzes dati, epm3.4 </w:t>
      </w:r>
      <w:r w:rsidRPr="003207BB">
        <w:rPr>
          <w:color w:val="000000"/>
        </w:rPr>
        <w:t>Energoresursu patēriņš mājsaimniecībās, ieskaitot patēriņu lauku saimniecībās un citās ekonomiskās aktivitātēs (TJ) (11.01.2017)</w:t>
      </w:r>
      <w:r w:rsidRPr="003207BB">
        <w:t xml:space="preserve"> </w:t>
      </w:r>
    </w:p>
  </w:footnote>
  <w:footnote w:id="11">
    <w:p w14:paraId="2BE33A3B" w14:textId="3D2CDD3C" w:rsidR="002027DA" w:rsidRPr="003207BB" w:rsidRDefault="002027DA" w:rsidP="003207BB">
      <w:pPr>
        <w:pStyle w:val="Zemsvtra"/>
      </w:pPr>
      <w:r w:rsidRPr="003207BB">
        <w:rPr>
          <w:rStyle w:val="FootnoteReference"/>
          <w:sz w:val="16"/>
          <w:szCs w:val="16"/>
        </w:rPr>
        <w:footnoteRef/>
      </w:r>
      <w:r w:rsidRPr="003207BB">
        <w:t xml:space="preserve"> Centrālās statistikas pārvaldes datu bāzes dati, epm3.3 </w:t>
      </w:r>
      <w:r w:rsidRPr="003207BB">
        <w:rPr>
          <w:color w:val="000000"/>
        </w:rPr>
        <w:t>Energoresursu patēriņš mājsaimniecībās, ieskaitot patēriņu lauku saimniecībās un citās ekonomiskās aktivitātēs (naturālās mērvienībās) (11.01.2017)</w:t>
      </w:r>
      <w:r w:rsidRPr="003207BB" w:rsidDel="001B0B24">
        <w:rPr>
          <w:color w:val="000000"/>
        </w:rPr>
        <w:t xml:space="preserve"> </w:t>
      </w:r>
    </w:p>
  </w:footnote>
  <w:footnote w:id="12">
    <w:p w14:paraId="25B2FA89" w14:textId="1EFB2C78" w:rsidR="002027DA" w:rsidRPr="003207BB" w:rsidRDefault="002027DA" w:rsidP="003207BB">
      <w:pPr>
        <w:pStyle w:val="Zemsvtra"/>
      </w:pPr>
      <w:r w:rsidRPr="003207BB">
        <w:rPr>
          <w:vertAlign w:val="superscript"/>
        </w:rPr>
        <w:footnoteRef/>
      </w:r>
      <w:r w:rsidRPr="003207BB">
        <w:t xml:space="preserve"> Centrālās statistikas pārvaldes datu bāzes dati, epm2.2 </w:t>
      </w:r>
      <w:r w:rsidRPr="003207BB">
        <w:rPr>
          <w:color w:val="000000"/>
        </w:rPr>
        <w:t>Mājokļu skaits, kas izmanto kurināmo koksni patērējošās iekārtas, un iekārtu vidējais vecums (% no koksni patērējošo mājokļu skaita; gadi) (11.11.2017)</w:t>
      </w:r>
      <w:r w:rsidRPr="003207BB">
        <w:t xml:space="preserve"> </w:t>
      </w:r>
    </w:p>
  </w:footnote>
  <w:footnote w:id="13">
    <w:p w14:paraId="5E42321C" w14:textId="77777777" w:rsidR="002027DA" w:rsidRPr="003207BB" w:rsidRDefault="002027DA" w:rsidP="003207BB">
      <w:pPr>
        <w:pStyle w:val="Zemsvtra"/>
      </w:pPr>
      <w:r w:rsidRPr="003207BB">
        <w:rPr>
          <w:rStyle w:val="FootnoteReference"/>
          <w:sz w:val="16"/>
          <w:szCs w:val="16"/>
        </w:rPr>
        <w:footnoteRef/>
      </w:r>
      <w:r w:rsidRPr="003207BB">
        <w:t xml:space="preserve"> Valsts institūciju īpašumā, valdījumā un lietojumā esošo ēku ar kopējo platību virs 250 m</w:t>
      </w:r>
      <w:r w:rsidRPr="003207BB">
        <w:rPr>
          <w:vertAlign w:val="superscript"/>
        </w:rPr>
        <w:t>2</w:t>
      </w:r>
      <w:r w:rsidRPr="003207BB">
        <w:t xml:space="preserve"> sarakts</w:t>
      </w:r>
    </w:p>
    <w:p w14:paraId="2C893BEF" w14:textId="77777777" w:rsidR="002027DA" w:rsidRPr="003207BB" w:rsidRDefault="002027DA" w:rsidP="003207BB">
      <w:pPr>
        <w:pStyle w:val="Zemsvtra"/>
      </w:pPr>
      <w:r w:rsidRPr="003207BB">
        <w:t>https://www.em.gov.lv/lv/nozares_politika/majokli/eku_energoefektivitate/no_direktivas_2012_27_es_par_energoefektivitati_izrietosas_prasibas/</w:t>
      </w:r>
    </w:p>
  </w:footnote>
  <w:footnote w:id="14">
    <w:p w14:paraId="27CCF88C" w14:textId="77777777" w:rsidR="002027DA" w:rsidRPr="003207BB" w:rsidRDefault="002027DA" w:rsidP="003207BB">
      <w:pPr>
        <w:pStyle w:val="Zemsvtra"/>
        <w:rPr>
          <w:color w:val="000000"/>
        </w:rPr>
      </w:pPr>
      <w:r w:rsidRPr="003207BB">
        <w:rPr>
          <w:rStyle w:val="FootnoteReference"/>
          <w:color w:val="000000"/>
          <w:sz w:val="16"/>
          <w:szCs w:val="16"/>
        </w:rPr>
        <w:footnoteRef/>
      </w:r>
      <w:r w:rsidRPr="003207BB">
        <w:rPr>
          <w:color w:val="000000"/>
        </w:rPr>
        <w:t xml:space="preserve"> Valsts institūciju īpašumā, valdījumā un lietojumā esošo ēku ar kopējo platību virs 500 m</w:t>
      </w:r>
      <w:r w:rsidRPr="003207BB">
        <w:rPr>
          <w:color w:val="000000"/>
          <w:vertAlign w:val="superscript"/>
        </w:rPr>
        <w:t>2</w:t>
      </w:r>
      <w:r w:rsidRPr="003207BB">
        <w:rPr>
          <w:color w:val="000000"/>
        </w:rPr>
        <w:t xml:space="preserve"> sarakts, http://em.gov.lv/em/2nd/?cat=30273</w:t>
      </w:r>
    </w:p>
  </w:footnote>
  <w:footnote w:id="15">
    <w:p w14:paraId="4C5EE47B" w14:textId="047FEF6B" w:rsidR="002027DA" w:rsidRDefault="002027DA">
      <w:pPr>
        <w:pStyle w:val="FootnoteText"/>
      </w:pPr>
      <w:r>
        <w:rPr>
          <w:rStyle w:val="FootnoteReference"/>
        </w:rPr>
        <w:footnoteRef/>
      </w:r>
      <w:r>
        <w:t xml:space="preserve"> </w:t>
      </w:r>
      <w:hyperlink r:id="rId2" w:history="1">
        <w:r w:rsidRPr="00544C42">
          <w:rPr>
            <w:rStyle w:val="Hyperlink"/>
          </w:rPr>
          <w:t>https://em.gov.lv/files/es_fondi/2017-06-27_11_04_51_4212_Sakotnejais_izvertejums_18052016.docx</w:t>
        </w:r>
      </w:hyperlink>
      <w:r>
        <w:t xml:space="preserve">  </w:t>
      </w:r>
    </w:p>
    <w:p w14:paraId="0BE82A50" w14:textId="1B9B9B16" w:rsidR="002027DA" w:rsidRDefault="002027DA">
      <w:pPr>
        <w:pStyle w:val="FootnoteText"/>
      </w:pPr>
      <w:r>
        <w:t>1.nodaļas 1.2.apakšnodaļa.</w:t>
      </w:r>
    </w:p>
  </w:footnote>
  <w:footnote w:id="16">
    <w:p w14:paraId="5D16C54B" w14:textId="77777777" w:rsidR="002027DA" w:rsidRPr="00DD1140" w:rsidRDefault="002027DA" w:rsidP="003207BB">
      <w:pPr>
        <w:pStyle w:val="Zemsvtra"/>
        <w:rPr>
          <w:lang w:val="lv-LV"/>
        </w:rPr>
      </w:pPr>
      <w:r w:rsidRPr="003207BB">
        <w:rPr>
          <w:rStyle w:val="FootnoteReference"/>
          <w:sz w:val="16"/>
          <w:szCs w:val="16"/>
        </w:rPr>
        <w:footnoteRef/>
      </w:r>
      <w:r w:rsidRPr="00DD1140">
        <w:rPr>
          <w:lang w:val="lv-LV"/>
        </w:rPr>
        <w:t xml:space="preserve"> Ziņojums par energoefektivitātes prasībām Latvijā jaunām un rekonstruējamām ēkām atbilstoši optimālo izmaksu līmenim (Cost optimal) saskaņā ar Direktīvas 2010/31/ES par ēku energoefektivitāti 5.pantu</w:t>
      </w:r>
    </w:p>
    <w:p w14:paraId="4D9BB413" w14:textId="77777777" w:rsidR="002027DA" w:rsidRPr="00DD1140" w:rsidRDefault="00E427BD" w:rsidP="003207BB">
      <w:pPr>
        <w:pStyle w:val="Zemsvtra"/>
        <w:rPr>
          <w:lang w:val="lv-LV"/>
        </w:rPr>
      </w:pPr>
      <w:hyperlink r:id="rId3" w:history="1">
        <w:r w:rsidR="002027DA" w:rsidRPr="00DD1140">
          <w:rPr>
            <w:rStyle w:val="Hyperlink"/>
            <w:sz w:val="16"/>
            <w:szCs w:val="16"/>
            <w:lang w:val="lv-LV"/>
          </w:rPr>
          <w:t>https://em.gov.lv/files/majokli/PS_1.pdf</w:t>
        </w:r>
      </w:hyperlink>
    </w:p>
  </w:footnote>
  <w:footnote w:id="17">
    <w:p w14:paraId="695810F8" w14:textId="77777777" w:rsidR="002027DA" w:rsidRPr="00DD1140" w:rsidRDefault="002027DA" w:rsidP="003207BB">
      <w:pPr>
        <w:pStyle w:val="Zemsvtra"/>
        <w:rPr>
          <w:lang w:val="lv-LV"/>
        </w:rPr>
      </w:pPr>
      <w:r w:rsidRPr="003207BB">
        <w:rPr>
          <w:rStyle w:val="FootnoteReference"/>
          <w:sz w:val="16"/>
          <w:szCs w:val="16"/>
        </w:rPr>
        <w:footnoteRef/>
      </w:r>
      <w:r w:rsidRPr="00DD1140">
        <w:rPr>
          <w:lang w:val="lv-LV"/>
        </w:rPr>
        <w:t xml:space="preserve"> 2015.gada 30.junija Ministru kabineta noteikumi Nr.339 “Noteikumi par Latvijas būvnormatīvu LBN 002-15 "Ēku norobežojošo konstrukciju siltumtehnika"".</w:t>
      </w:r>
    </w:p>
  </w:footnote>
  <w:footnote w:id="18">
    <w:p w14:paraId="43132BA7" w14:textId="2C5D2415" w:rsidR="002027DA" w:rsidRPr="00DD1140" w:rsidRDefault="002027DA" w:rsidP="003207BB">
      <w:pPr>
        <w:pStyle w:val="Zemsvtra"/>
        <w:rPr>
          <w:lang w:val="lv-LV"/>
        </w:rPr>
      </w:pPr>
      <w:r w:rsidRPr="003207BB">
        <w:rPr>
          <w:rStyle w:val="FootnoteReference"/>
          <w:sz w:val="16"/>
          <w:szCs w:val="16"/>
        </w:rPr>
        <w:footnoteRef/>
      </w:r>
      <w:r w:rsidRPr="00DD1140">
        <w:rPr>
          <w:lang w:val="lv-LV"/>
        </w:rPr>
        <w:t xml:space="preserve"> http://</w:t>
      </w:r>
      <w:r w:rsidRPr="00DD1140">
        <w:rPr>
          <w:i/>
          <w:lang w:val="lv-LV"/>
        </w:rPr>
        <w:t>euro</w:t>
      </w:r>
      <w:r w:rsidRPr="00DD1140">
        <w:rPr>
          <w:lang w:val="lv-LV"/>
        </w:rPr>
        <w:t>pa.eu/rapid/press-release_IP-16-4009_en.htm</w:t>
      </w:r>
    </w:p>
  </w:footnote>
  <w:footnote w:id="19">
    <w:p w14:paraId="5828E1BC" w14:textId="40A9805E" w:rsidR="002027DA" w:rsidRPr="00DD1140" w:rsidRDefault="002027DA" w:rsidP="003207BB">
      <w:pPr>
        <w:pStyle w:val="Zemsvtra"/>
        <w:rPr>
          <w:lang w:val="lv-LV"/>
        </w:rPr>
      </w:pPr>
      <w:r w:rsidRPr="003207BB">
        <w:rPr>
          <w:rStyle w:val="FootnoteReference"/>
          <w:sz w:val="16"/>
          <w:szCs w:val="16"/>
        </w:rPr>
        <w:footnoteRef/>
      </w:r>
      <w:r w:rsidRPr="00DD1140">
        <w:rPr>
          <w:lang w:val="lv-LV"/>
        </w:rPr>
        <w:t xml:space="preserve"> http://eur-lex.</w:t>
      </w:r>
      <w:r w:rsidRPr="00DD1140">
        <w:rPr>
          <w:i/>
          <w:lang w:val="lv-LV"/>
        </w:rPr>
        <w:t>euro</w:t>
      </w:r>
      <w:r w:rsidRPr="00DD1140">
        <w:rPr>
          <w:lang w:val="lv-LV"/>
        </w:rPr>
        <w:t>pa.eu/legal-content/LV/TXT/?uri=CELEX:52016PC0765</w:t>
      </w:r>
    </w:p>
  </w:footnote>
  <w:footnote w:id="20">
    <w:p w14:paraId="7A94658E" w14:textId="77777777" w:rsidR="002027DA" w:rsidRPr="003207BB" w:rsidRDefault="002027DA" w:rsidP="003207BB">
      <w:pPr>
        <w:pStyle w:val="Zemsvtra"/>
        <w:rPr>
          <w:lang w:val="lv-LV"/>
        </w:rPr>
      </w:pPr>
      <w:r w:rsidRPr="003207BB">
        <w:rPr>
          <w:rStyle w:val="FootnoteReference"/>
          <w:sz w:val="16"/>
          <w:szCs w:val="16"/>
        </w:rPr>
        <w:footnoteRef/>
      </w:r>
      <w:r w:rsidRPr="003207BB">
        <w:rPr>
          <w:lang w:val="lv-LV"/>
        </w:rPr>
        <w:t xml:space="preserve"> ERAF finansējums un privātais finansējums. </w:t>
      </w:r>
    </w:p>
  </w:footnote>
  <w:footnote w:id="21">
    <w:p w14:paraId="3C5A1542" w14:textId="77777777" w:rsidR="002027DA" w:rsidRPr="003207BB" w:rsidRDefault="002027DA" w:rsidP="003207BB">
      <w:pPr>
        <w:pStyle w:val="Zemsvtra"/>
      </w:pPr>
      <w:r w:rsidRPr="003207BB">
        <w:rPr>
          <w:rStyle w:val="FootnoteReference"/>
          <w:sz w:val="16"/>
          <w:szCs w:val="16"/>
        </w:rPr>
        <w:footnoteRef/>
      </w:r>
      <w:r w:rsidRPr="003207BB">
        <w:t xml:space="preserve"> EM tīmekļa vietne http://www.em.gov.lv</w:t>
      </w:r>
    </w:p>
  </w:footnote>
  <w:footnote w:id="22">
    <w:p w14:paraId="70D2EBBD" w14:textId="77777777" w:rsidR="002027DA" w:rsidRPr="003207BB" w:rsidRDefault="002027DA" w:rsidP="003207BB">
      <w:pPr>
        <w:pStyle w:val="Zemsvtra"/>
      </w:pPr>
      <w:r w:rsidRPr="003207BB">
        <w:rPr>
          <w:rStyle w:val="FootnoteReference"/>
          <w:sz w:val="16"/>
          <w:szCs w:val="16"/>
        </w:rPr>
        <w:footnoteRef/>
      </w:r>
      <w:r w:rsidRPr="003207BB">
        <w:t xml:space="preserve"> https://www.em.gov.lv/lv/nozares_politika/majokli/petijumi__statistika/</w:t>
      </w:r>
    </w:p>
  </w:footnote>
  <w:footnote w:id="23">
    <w:p w14:paraId="39A13C90" w14:textId="77777777" w:rsidR="002027DA" w:rsidRPr="003207BB" w:rsidRDefault="002027DA" w:rsidP="003207BB">
      <w:pPr>
        <w:pStyle w:val="Zemsvtra"/>
      </w:pPr>
      <w:r w:rsidRPr="003207BB">
        <w:rPr>
          <w:rStyle w:val="FootnoteReference"/>
          <w:sz w:val="16"/>
          <w:szCs w:val="16"/>
        </w:rPr>
        <w:footnoteRef/>
      </w:r>
      <w:r w:rsidRPr="003207BB">
        <w:t xml:space="preserve"> EM interneta vietne http://www.em.gov.lv/em/2nd/?id=33352&amp;cat=621</w:t>
      </w:r>
    </w:p>
  </w:footnote>
  <w:footnote w:id="24">
    <w:p w14:paraId="0B12B8FC" w14:textId="2DE357D5" w:rsidR="002027DA" w:rsidRPr="003207BB" w:rsidRDefault="002027DA" w:rsidP="003207BB">
      <w:pPr>
        <w:pStyle w:val="Zemsvtra"/>
      </w:pPr>
      <w:r w:rsidRPr="003207BB">
        <w:rPr>
          <w:rStyle w:val="FootnoteReference"/>
          <w:sz w:val="16"/>
          <w:szCs w:val="16"/>
        </w:rPr>
        <w:footnoteRef/>
      </w:r>
      <w:r w:rsidRPr="003207BB">
        <w:t xml:space="preserve"> http://www.varam.gov.lv/lat/darbibas_veidi/KPFI/projekti/?doc=10875</w:t>
      </w:r>
    </w:p>
  </w:footnote>
  <w:footnote w:id="25">
    <w:p w14:paraId="652C0EB7" w14:textId="0FB13AD5" w:rsidR="002027DA" w:rsidRPr="003207BB" w:rsidRDefault="002027DA" w:rsidP="003207BB">
      <w:pPr>
        <w:pStyle w:val="Zemsvtra"/>
      </w:pPr>
      <w:r w:rsidRPr="003207BB">
        <w:rPr>
          <w:rStyle w:val="FootnoteReference"/>
          <w:sz w:val="16"/>
          <w:szCs w:val="16"/>
        </w:rPr>
        <w:footnoteRef/>
      </w:r>
      <w:r w:rsidRPr="003207BB">
        <w:t xml:space="preserve"> http://www.lvif.gov.lv/?object_id=33067</w:t>
      </w:r>
    </w:p>
  </w:footnote>
  <w:footnote w:id="26">
    <w:p w14:paraId="16872958" w14:textId="77777777" w:rsidR="002027DA" w:rsidRPr="003207BB" w:rsidRDefault="002027DA" w:rsidP="003207BB">
      <w:pPr>
        <w:pStyle w:val="Zemsvtra"/>
      </w:pPr>
      <w:r w:rsidRPr="003207BB">
        <w:rPr>
          <w:rStyle w:val="FootnoteReference"/>
          <w:sz w:val="16"/>
          <w:szCs w:val="16"/>
        </w:rPr>
        <w:footnoteRef/>
      </w:r>
      <w:r w:rsidRPr="003207BB">
        <w:t xml:space="preserve"> http://ibp.lv/files/download/393</w:t>
      </w:r>
    </w:p>
  </w:footnote>
  <w:footnote w:id="27">
    <w:p w14:paraId="7F58E0C5" w14:textId="77777777" w:rsidR="002027DA" w:rsidRPr="003207BB" w:rsidRDefault="002027DA" w:rsidP="003207BB">
      <w:pPr>
        <w:pStyle w:val="Zemsvtra"/>
        <w:rPr>
          <w:color w:val="000000"/>
        </w:rPr>
      </w:pPr>
      <w:r w:rsidRPr="003207BB">
        <w:rPr>
          <w:rStyle w:val="FootnoteReference"/>
          <w:color w:val="000000"/>
          <w:sz w:val="16"/>
          <w:szCs w:val="16"/>
        </w:rPr>
        <w:footnoteRef/>
      </w:r>
      <w:r w:rsidRPr="003207BB">
        <w:rPr>
          <w:color w:val="000000"/>
        </w:rPr>
        <w:t xml:space="preserve"> EM interneta vietne </w:t>
      </w:r>
      <w:hyperlink r:id="rId4" w:history="1">
        <w:r w:rsidRPr="003207BB">
          <w:rPr>
            <w:rStyle w:val="Hyperlink"/>
            <w:color w:val="000000"/>
            <w:sz w:val="16"/>
            <w:szCs w:val="16"/>
            <w:lang w:val="en-US"/>
          </w:rPr>
          <w:t>http://www.em.gov.lv/em/2nd/?cat=30641</w:t>
        </w:r>
      </w:hyperlink>
    </w:p>
  </w:footnote>
  <w:footnote w:id="28">
    <w:p w14:paraId="0FB3E4B9" w14:textId="77777777" w:rsidR="002027DA" w:rsidRPr="003207BB" w:rsidRDefault="002027DA" w:rsidP="003207BB">
      <w:pPr>
        <w:pStyle w:val="Zemsvtra"/>
        <w:rPr>
          <w:color w:val="000000"/>
        </w:rPr>
      </w:pPr>
      <w:r w:rsidRPr="003207BB">
        <w:rPr>
          <w:rStyle w:val="FootnoteReference"/>
          <w:color w:val="000000"/>
          <w:sz w:val="16"/>
          <w:szCs w:val="16"/>
        </w:rPr>
        <w:footnoteRef/>
      </w:r>
      <w:r w:rsidRPr="003207BB">
        <w:rPr>
          <w:color w:val="000000"/>
        </w:rPr>
        <w:t xml:space="preserve"> </w:t>
      </w:r>
      <w:hyperlink r:id="rId5" w:history="1">
        <w:r w:rsidRPr="003207BB">
          <w:rPr>
            <w:rStyle w:val="Hyperlink"/>
            <w:color w:val="000000"/>
            <w:sz w:val="16"/>
            <w:szCs w:val="16"/>
          </w:rPr>
          <w:t>MK</w:t>
        </w:r>
      </w:hyperlink>
      <w:r w:rsidRPr="003207BB">
        <w:rPr>
          <w:color w:val="000000"/>
        </w:rPr>
        <w:t xml:space="preserve"> 2011. gada 21. jūnija noteikumi Nr. 480 ”Noteikumi par kārtību, kādā tiek marķētas preces, kas saistītas ar enerģijas un citu resursu patēriņu, kā arī to reklāmu un uzraudzību”</w:t>
      </w:r>
    </w:p>
    <w:p w14:paraId="035A4A21" w14:textId="77777777" w:rsidR="002027DA" w:rsidRPr="003207BB" w:rsidRDefault="002027DA" w:rsidP="003207BB">
      <w:pPr>
        <w:pStyle w:val="Zemsvtra"/>
      </w:pPr>
    </w:p>
  </w:footnote>
  <w:footnote w:id="29">
    <w:p w14:paraId="7BD28A70" w14:textId="27B8B377" w:rsidR="002027DA" w:rsidRPr="003207BB" w:rsidRDefault="002027DA" w:rsidP="003207BB">
      <w:pPr>
        <w:pStyle w:val="Zemsvtra"/>
      </w:pPr>
      <w:r w:rsidRPr="003207BB">
        <w:rPr>
          <w:rStyle w:val="FootnoteReference"/>
          <w:sz w:val="16"/>
          <w:szCs w:val="16"/>
        </w:rPr>
        <w:footnoteRef/>
      </w:r>
      <w:r w:rsidRPr="003207BB">
        <w:t xml:space="preserve"> Projekts „Energoefektīva un sabalansēta pilsētas plānošana (UrbEnergy)”, Finanšu koncepcija Juglas ēku energoefektīvai atjaunošanai, SIA „Rīgas pilsētbūvnieks”, 2010.</w:t>
      </w:r>
    </w:p>
  </w:footnote>
  <w:footnote w:id="30">
    <w:p w14:paraId="1DF0AA84" w14:textId="672BFAD6" w:rsidR="002027DA" w:rsidRPr="003207BB" w:rsidRDefault="002027DA" w:rsidP="003207BB">
      <w:pPr>
        <w:pStyle w:val="Zemsvtra"/>
      </w:pPr>
      <w:r w:rsidRPr="003207BB">
        <w:rPr>
          <w:rStyle w:val="FootnoteReference"/>
          <w:sz w:val="16"/>
          <w:szCs w:val="16"/>
        </w:rPr>
        <w:footnoteRef/>
      </w:r>
      <w:r w:rsidRPr="003207BB">
        <w:t xml:space="preserve"> </w:t>
      </w:r>
      <w:hyperlink r:id="rId6" w:history="1">
        <w:r w:rsidRPr="003207BB">
          <w:rPr>
            <w:rStyle w:val="Hyperlink"/>
            <w:sz w:val="16"/>
            <w:szCs w:val="16"/>
          </w:rPr>
          <w:t>https://em.gov.lv/files/es_fondi/Ex%20ante%20izvertejums.pdf</w:t>
        </w:r>
      </w:hyperlink>
      <w:r w:rsidRPr="003207BB">
        <w:t xml:space="preserve"> </w:t>
      </w:r>
    </w:p>
  </w:footnote>
  <w:footnote w:id="31">
    <w:p w14:paraId="75000476" w14:textId="77777777" w:rsidR="002027DA" w:rsidRPr="00BF58E9" w:rsidRDefault="002027DA" w:rsidP="003207BB">
      <w:pPr>
        <w:pStyle w:val="Zemsvtra"/>
      </w:pPr>
      <w:r w:rsidRPr="003207BB">
        <w:rPr>
          <w:rStyle w:val="FootnoteReference"/>
          <w:sz w:val="16"/>
          <w:szCs w:val="16"/>
        </w:rPr>
        <w:footnoteRef/>
      </w:r>
      <w:r w:rsidRPr="00BF58E9">
        <w:t xml:space="preserve"> Valsts institūciju īpašumā, valdījumā un lietošanā esošās ēkas ar kopējo platību virs 250 m</w:t>
      </w:r>
      <w:r w:rsidRPr="00BF58E9">
        <w:rPr>
          <w:vertAlign w:val="superscript"/>
        </w:rPr>
        <w:t>2</w:t>
      </w:r>
      <w:r w:rsidRPr="00BF58E9">
        <w:t xml:space="preserve"> saskaņā ar Eiropas Parlamenta un Padomes Direktīvas 2010/27/ES par energoefektivitāti 5. panta 5.punktu (sagatavota pēc valsts institūciju sniegtās informācijas)</w:t>
      </w:r>
    </w:p>
  </w:footnote>
  <w:footnote w:id="32">
    <w:p w14:paraId="1CB81848" w14:textId="77777777" w:rsidR="002027DA" w:rsidRPr="002705B8" w:rsidRDefault="002027DA" w:rsidP="003207BB">
      <w:pPr>
        <w:pStyle w:val="Zemsvtra"/>
        <w:rPr>
          <w:lang w:val="de-DE"/>
        </w:rPr>
      </w:pPr>
      <w:r w:rsidRPr="003207BB">
        <w:rPr>
          <w:rStyle w:val="FootnoteReference"/>
          <w:sz w:val="16"/>
          <w:szCs w:val="16"/>
        </w:rPr>
        <w:footnoteRef/>
      </w:r>
      <w:r w:rsidRPr="002705B8">
        <w:rPr>
          <w:lang w:val="de-DE"/>
        </w:rPr>
        <w:t xml:space="preserve"> Atbilstoši Direktīvas 2012/27/ES 5.panta 3.punkta prasībām</w:t>
      </w:r>
    </w:p>
  </w:footnote>
  <w:footnote w:id="33">
    <w:p w14:paraId="5D884DE8" w14:textId="771B7E93" w:rsidR="002027DA" w:rsidRPr="002705B8" w:rsidRDefault="002027DA" w:rsidP="003207BB">
      <w:pPr>
        <w:pStyle w:val="Zemsvtra"/>
        <w:rPr>
          <w:lang w:val="de-DE"/>
        </w:rPr>
      </w:pPr>
      <w:r w:rsidRPr="003207BB">
        <w:rPr>
          <w:rStyle w:val="FootnoteReference"/>
          <w:sz w:val="16"/>
          <w:szCs w:val="16"/>
        </w:rPr>
        <w:footnoteRef/>
      </w:r>
      <w:r w:rsidRPr="002705B8">
        <w:rPr>
          <w:lang w:val="de-DE"/>
        </w:rPr>
        <w:t xml:space="preserve"> Atjaunotā platība 2014.gadā.</w:t>
      </w:r>
    </w:p>
  </w:footnote>
  <w:footnote w:id="34">
    <w:p w14:paraId="5121AF9F" w14:textId="7913ECA0" w:rsidR="002027DA" w:rsidRPr="002705B8" w:rsidRDefault="002027DA" w:rsidP="003207BB">
      <w:pPr>
        <w:pStyle w:val="Zemsvtra"/>
        <w:rPr>
          <w:lang w:val="de-DE"/>
        </w:rPr>
      </w:pPr>
      <w:r w:rsidRPr="003207BB">
        <w:rPr>
          <w:rStyle w:val="FootnoteReference"/>
          <w:sz w:val="16"/>
          <w:szCs w:val="16"/>
        </w:rPr>
        <w:footnoteRef/>
      </w:r>
      <w:r w:rsidRPr="002705B8">
        <w:rPr>
          <w:lang w:val="de-DE"/>
        </w:rPr>
        <w:t xml:space="preserve"> Atjaunotā platība 2015.gadā.</w:t>
      </w:r>
    </w:p>
  </w:footnote>
  <w:footnote w:id="35">
    <w:p w14:paraId="145B47A6" w14:textId="77777777" w:rsidR="002027DA" w:rsidRPr="003207BB" w:rsidRDefault="002027DA" w:rsidP="003207BB">
      <w:pPr>
        <w:pStyle w:val="Zemsvtra"/>
      </w:pPr>
      <w:r w:rsidRPr="003207BB">
        <w:rPr>
          <w:rStyle w:val="FootnoteReference"/>
          <w:sz w:val="16"/>
          <w:szCs w:val="16"/>
        </w:rPr>
        <w:footnoteRef/>
      </w:r>
      <w:r w:rsidRPr="003207BB">
        <w:t xml:space="preserve"> Tiks publicēts 09.07.2017.</w:t>
      </w:r>
    </w:p>
  </w:footnote>
  <w:footnote w:id="36">
    <w:p w14:paraId="4FF4B953" w14:textId="59DA87CD" w:rsidR="002027DA" w:rsidRPr="003207BB" w:rsidRDefault="002027DA" w:rsidP="003207BB">
      <w:pPr>
        <w:pStyle w:val="Zemsvtra"/>
      </w:pPr>
      <w:r w:rsidRPr="003207BB">
        <w:rPr>
          <w:rStyle w:val="FootnoteReference"/>
          <w:sz w:val="16"/>
          <w:szCs w:val="16"/>
        </w:rPr>
        <w:footnoteRef/>
      </w:r>
      <w:r w:rsidRPr="003207BB">
        <w:t xml:space="preserve"> A guide to developing strategies for building energy renovation, Building Performance Institute </w:t>
      </w:r>
      <w:r w:rsidRPr="008E4EB0">
        <w:rPr>
          <w:i/>
        </w:rPr>
        <w:t>Euro</w:t>
      </w:r>
      <w:r w:rsidRPr="003207BB">
        <w:t>pe, February 2013</w:t>
      </w:r>
    </w:p>
  </w:footnote>
  <w:footnote w:id="37">
    <w:p w14:paraId="6632A5E7" w14:textId="77777777" w:rsidR="002027DA" w:rsidRPr="00F22055" w:rsidRDefault="002027DA" w:rsidP="00DF502A">
      <w:pPr>
        <w:tabs>
          <w:tab w:val="left" w:pos="2269"/>
        </w:tabs>
        <w:rPr>
          <w:rFonts w:cs="EUAlbertina"/>
          <w:color w:val="000000"/>
          <w:sz w:val="19"/>
          <w:szCs w:val="19"/>
        </w:rPr>
      </w:pPr>
      <w:r>
        <w:rPr>
          <w:rStyle w:val="FootnoteReference"/>
        </w:rPr>
        <w:footnoteRef/>
      </w:r>
      <w:r>
        <w:t xml:space="preserve"> </w:t>
      </w:r>
      <w:r w:rsidRPr="00F22055">
        <w:rPr>
          <w:sz w:val="20"/>
          <w:szCs w:val="20"/>
        </w:rPr>
        <w:t xml:space="preserve">Centrālās statistikas pārvaldes datu bāzes dati, epm2.2 </w:t>
      </w:r>
      <w:r w:rsidRPr="00F22055">
        <w:rPr>
          <w:rFonts w:cs="EUAlbertina"/>
          <w:color w:val="000000"/>
          <w:sz w:val="19"/>
          <w:szCs w:val="19"/>
        </w:rPr>
        <w:t>Mājokļu skaits, kas izmanto kurināmo koksni patērējošās iekārtas, un iekārtu vidējais vecums (% no koksni patērējošo mājokļu skaita; gadi) (</w:t>
      </w:r>
      <w:r>
        <w:rPr>
          <w:rFonts w:cs="EUAlbertina"/>
          <w:color w:val="000000"/>
          <w:sz w:val="19"/>
          <w:szCs w:val="19"/>
        </w:rPr>
        <w:t>11.01.</w:t>
      </w:r>
      <w:r w:rsidRPr="00F22055">
        <w:rPr>
          <w:rFonts w:cs="EUAlbertina"/>
          <w:color w:val="000000"/>
          <w:sz w:val="19"/>
          <w:szCs w:val="19"/>
        </w:rPr>
        <w:t>201</w:t>
      </w:r>
      <w:r>
        <w:rPr>
          <w:rFonts w:cs="EUAlbertina"/>
          <w:color w:val="000000"/>
          <w:sz w:val="19"/>
          <w:szCs w:val="19"/>
        </w:rPr>
        <w:t>7</w:t>
      </w:r>
      <w:r w:rsidRPr="00F22055">
        <w:rPr>
          <w:rFonts w:cs="EUAlbertina"/>
          <w:color w:val="000000"/>
          <w:sz w:val="19"/>
          <w:szCs w:val="19"/>
        </w:rPr>
        <w:t>)</w:t>
      </w:r>
    </w:p>
    <w:p w14:paraId="4013893D" w14:textId="77777777" w:rsidR="002027DA" w:rsidRDefault="002027DA" w:rsidP="00DF502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67B44" w14:textId="77777777" w:rsidR="005256DA" w:rsidRDefault="005256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2B2D1" w14:textId="77777777" w:rsidR="005256DA" w:rsidRDefault="005256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FAE10" w14:textId="03171E6C" w:rsidR="002027DA" w:rsidRDefault="002027DA" w:rsidP="0038675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1BB2"/>
    <w:multiLevelType w:val="hybridMultilevel"/>
    <w:tmpl w:val="780CE7C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2F6FDA"/>
    <w:multiLevelType w:val="multilevel"/>
    <w:tmpl w:val="74349290"/>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CA84379"/>
    <w:multiLevelType w:val="hybridMultilevel"/>
    <w:tmpl w:val="A4362B4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4C21D7E"/>
    <w:multiLevelType w:val="hybridMultilevel"/>
    <w:tmpl w:val="589E2C5C"/>
    <w:lvl w:ilvl="0" w:tplc="474448BE">
      <w:start w:val="352"/>
      <w:numFmt w:val="bullet"/>
      <w:lvlText w:val="-"/>
      <w:lvlJc w:val="left"/>
      <w:pPr>
        <w:ind w:left="420" w:hanging="360"/>
      </w:pPr>
      <w:rPr>
        <w:rFonts w:ascii="Times New Roman" w:eastAsia="Calibri" w:hAnsi="Times New Roman" w:cs="Times New Roman" w:hint="default"/>
        <w:i/>
      </w:rPr>
    </w:lvl>
    <w:lvl w:ilvl="1" w:tplc="474448BE">
      <w:start w:val="352"/>
      <w:numFmt w:val="bullet"/>
      <w:lvlText w:val="-"/>
      <w:lvlJc w:val="left"/>
      <w:pPr>
        <w:ind w:left="1140" w:hanging="360"/>
      </w:pPr>
      <w:rPr>
        <w:rFonts w:ascii="Times New Roman" w:eastAsia="Calibri" w:hAnsi="Times New Roman" w:cs="Times New Roman" w:hint="default"/>
        <w:i/>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4" w15:restartNumberingAfterBreak="0">
    <w:nsid w:val="19A75DE3"/>
    <w:multiLevelType w:val="hybridMultilevel"/>
    <w:tmpl w:val="1DCEDDAA"/>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5" w15:restartNumberingAfterBreak="0">
    <w:nsid w:val="1C78574E"/>
    <w:multiLevelType w:val="hybridMultilevel"/>
    <w:tmpl w:val="A4362B4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ECC3410"/>
    <w:multiLevelType w:val="hybridMultilevel"/>
    <w:tmpl w:val="298071DC"/>
    <w:lvl w:ilvl="0" w:tplc="04260005">
      <w:start w:val="1"/>
      <w:numFmt w:val="bullet"/>
      <w:lvlText w:val=""/>
      <w:lvlJc w:val="left"/>
      <w:pPr>
        <w:ind w:left="1571" w:hanging="360"/>
      </w:pPr>
      <w:rPr>
        <w:rFonts w:ascii="Wingdings" w:hAnsi="Wingdings" w:hint="default"/>
      </w:rPr>
    </w:lvl>
    <w:lvl w:ilvl="1" w:tplc="04260003">
      <w:start w:val="1"/>
      <w:numFmt w:val="bullet"/>
      <w:lvlText w:val="o"/>
      <w:lvlJc w:val="left"/>
      <w:pPr>
        <w:ind w:left="2291" w:hanging="360"/>
      </w:pPr>
      <w:rPr>
        <w:rFonts w:ascii="Courier New" w:hAnsi="Courier New" w:cs="Courier New" w:hint="default"/>
      </w:rPr>
    </w:lvl>
    <w:lvl w:ilvl="2" w:tplc="04260005">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7" w15:restartNumberingAfterBreak="0">
    <w:nsid w:val="1F757BFA"/>
    <w:multiLevelType w:val="multilevel"/>
    <w:tmpl w:val="5F42BF38"/>
    <w:lvl w:ilvl="0">
      <w:start w:val="1"/>
      <w:numFmt w:val="decimal"/>
      <w:lvlText w:val="%1)"/>
      <w:lvlJc w:val="left"/>
      <w:pPr>
        <w:ind w:left="1800" w:hanging="450"/>
      </w:pPr>
      <w:rPr>
        <w:i w:val="0"/>
      </w:r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8" w15:restartNumberingAfterBreak="0">
    <w:nsid w:val="26D86330"/>
    <w:multiLevelType w:val="hybridMultilevel"/>
    <w:tmpl w:val="F25A211A"/>
    <w:lvl w:ilvl="0" w:tplc="04260001">
      <w:start w:val="1"/>
      <w:numFmt w:val="bullet"/>
      <w:lvlText w:val=""/>
      <w:lvlJc w:val="left"/>
      <w:pPr>
        <w:ind w:left="1080" w:hanging="360"/>
      </w:pPr>
      <w:rPr>
        <w:rFonts w:ascii="Symbol" w:hAnsi="Symbol" w:hint="default"/>
      </w:rPr>
    </w:lvl>
    <w:lvl w:ilvl="1" w:tplc="609A5ADA">
      <w:start w:val="1"/>
      <w:numFmt w:val="decimal"/>
      <w:lvlText w:val="%2)"/>
      <w:lvlJc w:val="left"/>
      <w:pPr>
        <w:ind w:left="1800" w:hanging="360"/>
      </w:pPr>
      <w:rPr>
        <w:rFonts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A5A674C"/>
    <w:multiLevelType w:val="hybridMultilevel"/>
    <w:tmpl w:val="40C426E8"/>
    <w:lvl w:ilvl="0" w:tplc="04260001">
      <w:start w:val="1"/>
      <w:numFmt w:val="bullet"/>
      <w:lvlText w:val=""/>
      <w:lvlJc w:val="left"/>
      <w:pPr>
        <w:ind w:left="1146" w:hanging="360"/>
      </w:pPr>
      <w:rPr>
        <w:rFonts w:ascii="Symbol" w:hAnsi="Symbol" w:hint="default"/>
      </w:rPr>
    </w:lvl>
    <w:lvl w:ilvl="1" w:tplc="04260003">
      <w:start w:val="1"/>
      <w:numFmt w:val="bullet"/>
      <w:lvlText w:val="o"/>
      <w:lvlJc w:val="left"/>
      <w:pPr>
        <w:ind w:left="1866" w:hanging="360"/>
      </w:pPr>
      <w:rPr>
        <w:rFonts w:ascii="Courier New" w:hAnsi="Courier New" w:cs="Courier New" w:hint="default"/>
      </w:rPr>
    </w:lvl>
    <w:lvl w:ilvl="2" w:tplc="04260005">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0" w15:restartNumberingAfterBreak="0">
    <w:nsid w:val="2A746C79"/>
    <w:multiLevelType w:val="hybridMultilevel"/>
    <w:tmpl w:val="B44068E4"/>
    <w:lvl w:ilvl="0" w:tplc="04260011">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543C1AB4">
      <w:numFmt w:val="bullet"/>
      <w:lvlText w:val="-"/>
      <w:lvlJc w:val="left"/>
      <w:pPr>
        <w:ind w:left="2565" w:hanging="585"/>
      </w:pPr>
      <w:rPr>
        <w:rFonts w:ascii="Times New Roman" w:eastAsia="Calibri" w:hAnsi="Times New Roman" w:cs="Times New Roman"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DB07EA4"/>
    <w:multiLevelType w:val="hybridMultilevel"/>
    <w:tmpl w:val="7C94BEF2"/>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2" w15:restartNumberingAfterBreak="0">
    <w:nsid w:val="2F503F05"/>
    <w:multiLevelType w:val="hybridMultilevel"/>
    <w:tmpl w:val="A3C668D0"/>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3" w15:restartNumberingAfterBreak="0">
    <w:nsid w:val="3288586E"/>
    <w:multiLevelType w:val="hybridMultilevel"/>
    <w:tmpl w:val="6D42F31C"/>
    <w:lvl w:ilvl="0" w:tplc="04260001">
      <w:start w:val="1"/>
      <w:numFmt w:val="bullet"/>
      <w:lvlText w:val=""/>
      <w:lvlJc w:val="left"/>
      <w:pPr>
        <w:ind w:left="2487" w:hanging="360"/>
      </w:pPr>
      <w:rPr>
        <w:rFonts w:ascii="Symbol" w:hAnsi="Symbol" w:hint="default"/>
      </w:rPr>
    </w:lvl>
    <w:lvl w:ilvl="1" w:tplc="04260003" w:tentative="1">
      <w:start w:val="1"/>
      <w:numFmt w:val="bullet"/>
      <w:lvlText w:val="o"/>
      <w:lvlJc w:val="left"/>
      <w:pPr>
        <w:ind w:left="3207" w:hanging="360"/>
      </w:pPr>
      <w:rPr>
        <w:rFonts w:ascii="Courier New" w:hAnsi="Courier New" w:cs="Courier New" w:hint="default"/>
      </w:rPr>
    </w:lvl>
    <w:lvl w:ilvl="2" w:tplc="04260005" w:tentative="1">
      <w:start w:val="1"/>
      <w:numFmt w:val="bullet"/>
      <w:lvlText w:val=""/>
      <w:lvlJc w:val="left"/>
      <w:pPr>
        <w:ind w:left="3927" w:hanging="360"/>
      </w:pPr>
      <w:rPr>
        <w:rFonts w:ascii="Wingdings" w:hAnsi="Wingdings" w:hint="default"/>
      </w:rPr>
    </w:lvl>
    <w:lvl w:ilvl="3" w:tplc="04260001" w:tentative="1">
      <w:start w:val="1"/>
      <w:numFmt w:val="bullet"/>
      <w:lvlText w:val=""/>
      <w:lvlJc w:val="left"/>
      <w:pPr>
        <w:ind w:left="4647" w:hanging="360"/>
      </w:pPr>
      <w:rPr>
        <w:rFonts w:ascii="Symbol" w:hAnsi="Symbol" w:hint="default"/>
      </w:rPr>
    </w:lvl>
    <w:lvl w:ilvl="4" w:tplc="04260003" w:tentative="1">
      <w:start w:val="1"/>
      <w:numFmt w:val="bullet"/>
      <w:lvlText w:val="o"/>
      <w:lvlJc w:val="left"/>
      <w:pPr>
        <w:ind w:left="5367" w:hanging="360"/>
      </w:pPr>
      <w:rPr>
        <w:rFonts w:ascii="Courier New" w:hAnsi="Courier New" w:cs="Courier New" w:hint="default"/>
      </w:rPr>
    </w:lvl>
    <w:lvl w:ilvl="5" w:tplc="04260005" w:tentative="1">
      <w:start w:val="1"/>
      <w:numFmt w:val="bullet"/>
      <w:lvlText w:val=""/>
      <w:lvlJc w:val="left"/>
      <w:pPr>
        <w:ind w:left="6087" w:hanging="360"/>
      </w:pPr>
      <w:rPr>
        <w:rFonts w:ascii="Wingdings" w:hAnsi="Wingdings" w:hint="default"/>
      </w:rPr>
    </w:lvl>
    <w:lvl w:ilvl="6" w:tplc="04260001" w:tentative="1">
      <w:start w:val="1"/>
      <w:numFmt w:val="bullet"/>
      <w:lvlText w:val=""/>
      <w:lvlJc w:val="left"/>
      <w:pPr>
        <w:ind w:left="6807" w:hanging="360"/>
      </w:pPr>
      <w:rPr>
        <w:rFonts w:ascii="Symbol" w:hAnsi="Symbol" w:hint="default"/>
      </w:rPr>
    </w:lvl>
    <w:lvl w:ilvl="7" w:tplc="04260003" w:tentative="1">
      <w:start w:val="1"/>
      <w:numFmt w:val="bullet"/>
      <w:lvlText w:val="o"/>
      <w:lvlJc w:val="left"/>
      <w:pPr>
        <w:ind w:left="7527" w:hanging="360"/>
      </w:pPr>
      <w:rPr>
        <w:rFonts w:ascii="Courier New" w:hAnsi="Courier New" w:cs="Courier New" w:hint="default"/>
      </w:rPr>
    </w:lvl>
    <w:lvl w:ilvl="8" w:tplc="04260005" w:tentative="1">
      <w:start w:val="1"/>
      <w:numFmt w:val="bullet"/>
      <w:lvlText w:val=""/>
      <w:lvlJc w:val="left"/>
      <w:pPr>
        <w:ind w:left="8247" w:hanging="360"/>
      </w:pPr>
      <w:rPr>
        <w:rFonts w:ascii="Wingdings" w:hAnsi="Wingdings" w:hint="default"/>
      </w:rPr>
    </w:lvl>
  </w:abstractNum>
  <w:abstractNum w:abstractNumId="14" w15:restartNumberingAfterBreak="0">
    <w:nsid w:val="3885113F"/>
    <w:multiLevelType w:val="hybridMultilevel"/>
    <w:tmpl w:val="9BD831C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A6F4A7F"/>
    <w:multiLevelType w:val="hybridMultilevel"/>
    <w:tmpl w:val="5B3438D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4C603D1E"/>
    <w:multiLevelType w:val="hybridMultilevel"/>
    <w:tmpl w:val="ABF087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C8C5808"/>
    <w:multiLevelType w:val="multilevel"/>
    <w:tmpl w:val="5F42BF38"/>
    <w:lvl w:ilvl="0">
      <w:start w:val="1"/>
      <w:numFmt w:val="decimal"/>
      <w:lvlText w:val="%1)"/>
      <w:lvlJc w:val="left"/>
      <w:pPr>
        <w:ind w:left="1800" w:hanging="450"/>
      </w:pPr>
      <w:rPr>
        <w:i w:val="0"/>
      </w:r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18" w15:restartNumberingAfterBreak="0">
    <w:nsid w:val="4ED20123"/>
    <w:multiLevelType w:val="hybridMultilevel"/>
    <w:tmpl w:val="98DA5C6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0FE5975"/>
    <w:multiLevelType w:val="hybridMultilevel"/>
    <w:tmpl w:val="3F7E2C7C"/>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0" w15:restartNumberingAfterBreak="0">
    <w:nsid w:val="51183C53"/>
    <w:multiLevelType w:val="hybridMultilevel"/>
    <w:tmpl w:val="DAB4CE34"/>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3540716"/>
    <w:multiLevelType w:val="multilevel"/>
    <w:tmpl w:val="5F42BF38"/>
    <w:lvl w:ilvl="0">
      <w:start w:val="1"/>
      <w:numFmt w:val="decimal"/>
      <w:lvlText w:val="%1)"/>
      <w:lvlJc w:val="left"/>
      <w:pPr>
        <w:ind w:left="1800" w:hanging="450"/>
      </w:pPr>
      <w:rPr>
        <w:i w:val="0"/>
      </w:rPr>
    </w:lvl>
    <w:lvl w:ilvl="1">
      <w:start w:val="1"/>
      <w:numFmt w:val="lowerLetter"/>
      <w:lvlText w:val="%2."/>
      <w:lvlJc w:val="left"/>
      <w:pPr>
        <w:ind w:left="2345" w:hanging="360"/>
      </w:pPr>
    </w:lvl>
    <w:lvl w:ilvl="2">
      <w:start w:val="1"/>
      <w:numFmt w:val="lowerRoman"/>
      <w:lvlText w:val="%3."/>
      <w:lvlJc w:val="righ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22" w15:restartNumberingAfterBreak="0">
    <w:nsid w:val="53A704DF"/>
    <w:multiLevelType w:val="hybridMultilevel"/>
    <w:tmpl w:val="0D0601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58F149B"/>
    <w:multiLevelType w:val="hybridMultilevel"/>
    <w:tmpl w:val="41D8555E"/>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24" w15:restartNumberingAfterBreak="0">
    <w:nsid w:val="58643B5C"/>
    <w:multiLevelType w:val="hybridMultilevel"/>
    <w:tmpl w:val="14BE12B4"/>
    <w:lvl w:ilvl="0" w:tplc="04260001">
      <w:start w:val="1"/>
      <w:numFmt w:val="bullet"/>
      <w:lvlText w:val=""/>
      <w:lvlJc w:val="left"/>
      <w:pPr>
        <w:ind w:left="1713" w:hanging="360"/>
      </w:pPr>
      <w:rPr>
        <w:rFonts w:ascii="Symbol" w:hAnsi="Symbol" w:hint="default"/>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25" w15:restartNumberingAfterBreak="0">
    <w:nsid w:val="5B6158FE"/>
    <w:multiLevelType w:val="hybridMultilevel"/>
    <w:tmpl w:val="87347D7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6" w15:restartNumberingAfterBreak="0">
    <w:nsid w:val="5BB57699"/>
    <w:multiLevelType w:val="hybridMultilevel"/>
    <w:tmpl w:val="49D628B0"/>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27" w15:restartNumberingAfterBreak="0">
    <w:nsid w:val="5C7072B3"/>
    <w:multiLevelType w:val="hybridMultilevel"/>
    <w:tmpl w:val="231AE542"/>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2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15:restartNumberingAfterBreak="0">
    <w:nsid w:val="5D137B10"/>
    <w:multiLevelType w:val="hybridMultilevel"/>
    <w:tmpl w:val="AC583D44"/>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30" w15:restartNumberingAfterBreak="0">
    <w:nsid w:val="5FD005C6"/>
    <w:multiLevelType w:val="hybridMultilevel"/>
    <w:tmpl w:val="49D26196"/>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1" w15:restartNumberingAfterBreak="0">
    <w:nsid w:val="60154764"/>
    <w:multiLevelType w:val="hybridMultilevel"/>
    <w:tmpl w:val="37FC271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615D7CB7"/>
    <w:multiLevelType w:val="hybridMultilevel"/>
    <w:tmpl w:val="CFD813D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1983D9B"/>
    <w:multiLevelType w:val="hybridMultilevel"/>
    <w:tmpl w:val="099E61D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6B4B783C"/>
    <w:multiLevelType w:val="hybridMultilevel"/>
    <w:tmpl w:val="DFDC96F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5" w15:restartNumberingAfterBreak="0">
    <w:nsid w:val="6F10156B"/>
    <w:multiLevelType w:val="multilevel"/>
    <w:tmpl w:val="51F226B8"/>
    <w:lvl w:ilvl="0">
      <w:start w:val="1"/>
      <w:numFmt w:val="decimal"/>
      <w:pStyle w:val="virsraksts"/>
      <w:lvlText w:val="%1."/>
      <w:lvlJc w:val="left"/>
      <w:pPr>
        <w:ind w:left="360" w:hanging="360"/>
      </w:pPr>
      <w:rPr>
        <w:rFonts w:hint="default"/>
      </w:rPr>
    </w:lvl>
    <w:lvl w:ilvl="1">
      <w:start w:val="1"/>
      <w:numFmt w:val="decimal"/>
      <w:pStyle w:val="apakvirsraksts"/>
      <w:lvlText w:val="%1.%2."/>
      <w:lvlJc w:val="left"/>
      <w:pPr>
        <w:ind w:left="792" w:hanging="432"/>
      </w:pPr>
      <w:rPr>
        <w:rFonts w:hint="default"/>
      </w:rPr>
    </w:lvl>
    <w:lvl w:ilvl="2">
      <w:start w:val="1"/>
      <w:numFmt w:val="decimal"/>
      <w:pStyle w:val="apakapakvirsraksts"/>
      <w:lvlText w:val="%1.%2.%3."/>
      <w:lvlJc w:val="left"/>
      <w:pPr>
        <w:ind w:left="5183"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3apakvirsraksts"/>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0AB1645"/>
    <w:multiLevelType w:val="hybridMultilevel"/>
    <w:tmpl w:val="39D61520"/>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749830CB"/>
    <w:multiLevelType w:val="hybridMultilevel"/>
    <w:tmpl w:val="32A6838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8" w15:restartNumberingAfterBreak="0">
    <w:nsid w:val="75882797"/>
    <w:multiLevelType w:val="hybridMultilevel"/>
    <w:tmpl w:val="2C341C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60A4092"/>
    <w:multiLevelType w:val="hybridMultilevel"/>
    <w:tmpl w:val="B25874C8"/>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40" w15:restartNumberingAfterBreak="0">
    <w:nsid w:val="76253BD9"/>
    <w:multiLevelType w:val="hybridMultilevel"/>
    <w:tmpl w:val="7700C5F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BA6631F"/>
    <w:multiLevelType w:val="hybridMultilevel"/>
    <w:tmpl w:val="ADB4877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C437CCD"/>
    <w:multiLevelType w:val="hybridMultilevel"/>
    <w:tmpl w:val="3566D104"/>
    <w:lvl w:ilvl="0" w:tplc="474448BE">
      <w:start w:val="352"/>
      <w:numFmt w:val="bullet"/>
      <w:lvlText w:val="-"/>
      <w:lvlJc w:val="left"/>
      <w:pPr>
        <w:ind w:left="420" w:hanging="360"/>
      </w:pPr>
      <w:rPr>
        <w:rFonts w:ascii="Times New Roman" w:eastAsia="Calibri" w:hAnsi="Times New Roman" w:cs="Times New Roman" w:hint="default"/>
        <w:i/>
      </w:rPr>
    </w:lvl>
    <w:lvl w:ilvl="1" w:tplc="04260003">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43" w15:restartNumberingAfterBreak="0">
    <w:nsid w:val="7E777A20"/>
    <w:multiLevelType w:val="hybridMultilevel"/>
    <w:tmpl w:val="C63A2AE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15"/>
  </w:num>
  <w:num w:numId="2">
    <w:abstractNumId w:val="38"/>
  </w:num>
  <w:num w:numId="3">
    <w:abstractNumId w:val="37"/>
  </w:num>
  <w:num w:numId="4">
    <w:abstractNumId w:val="14"/>
  </w:num>
  <w:num w:numId="5">
    <w:abstractNumId w:val="39"/>
  </w:num>
  <w:num w:numId="6">
    <w:abstractNumId w:val="26"/>
  </w:num>
  <w:num w:numId="7">
    <w:abstractNumId w:val="11"/>
  </w:num>
  <w:num w:numId="8">
    <w:abstractNumId w:val="24"/>
  </w:num>
  <w:num w:numId="9">
    <w:abstractNumId w:val="9"/>
  </w:num>
  <w:num w:numId="10">
    <w:abstractNumId w:val="19"/>
  </w:num>
  <w:num w:numId="11">
    <w:abstractNumId w:val="41"/>
  </w:num>
  <w:num w:numId="12">
    <w:abstractNumId w:val="12"/>
  </w:num>
  <w:num w:numId="13">
    <w:abstractNumId w:val="13"/>
  </w:num>
  <w:num w:numId="14">
    <w:abstractNumId w:val="20"/>
  </w:num>
  <w:num w:numId="15">
    <w:abstractNumId w:val="10"/>
  </w:num>
  <w:num w:numId="16">
    <w:abstractNumId w:val="34"/>
  </w:num>
  <w:num w:numId="17">
    <w:abstractNumId w:val="42"/>
  </w:num>
  <w:num w:numId="18">
    <w:abstractNumId w:val="3"/>
  </w:num>
  <w:num w:numId="19">
    <w:abstractNumId w:val="18"/>
  </w:num>
  <w:num w:numId="20">
    <w:abstractNumId w:val="36"/>
  </w:num>
  <w:num w:numId="21">
    <w:abstractNumId w:val="8"/>
  </w:num>
  <w:num w:numId="22">
    <w:abstractNumId w:val="27"/>
  </w:num>
  <w:num w:numId="23">
    <w:abstractNumId w:val="23"/>
  </w:num>
  <w:num w:numId="24">
    <w:abstractNumId w:val="32"/>
  </w:num>
  <w:num w:numId="25">
    <w:abstractNumId w:val="0"/>
  </w:num>
  <w:num w:numId="26">
    <w:abstractNumId w:val="40"/>
  </w:num>
  <w:num w:numId="27">
    <w:abstractNumId w:val="31"/>
  </w:num>
  <w:num w:numId="28">
    <w:abstractNumId w:val="43"/>
  </w:num>
  <w:num w:numId="29">
    <w:abstractNumId w:val="4"/>
  </w:num>
  <w:num w:numId="30">
    <w:abstractNumId w:val="28"/>
  </w:num>
  <w:num w:numId="31">
    <w:abstractNumId w:val="29"/>
  </w:num>
  <w:num w:numId="32">
    <w:abstractNumId w:val="35"/>
  </w:num>
  <w:num w:numId="33">
    <w:abstractNumId w:val="1"/>
  </w:num>
  <w:num w:numId="34">
    <w:abstractNumId w:val="7"/>
  </w:num>
  <w:num w:numId="35">
    <w:abstractNumId w:val="17"/>
  </w:num>
  <w:num w:numId="36">
    <w:abstractNumId w:val="21"/>
  </w:num>
  <w:num w:numId="37">
    <w:abstractNumId w:val="30"/>
  </w:num>
  <w:num w:numId="38">
    <w:abstractNumId w:val="22"/>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6"/>
  </w:num>
  <w:num w:numId="42">
    <w:abstractNumId w:val="5"/>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3D4"/>
    <w:rsid w:val="00006528"/>
    <w:rsid w:val="00044FF7"/>
    <w:rsid w:val="00066AF8"/>
    <w:rsid w:val="00071C7E"/>
    <w:rsid w:val="00071F56"/>
    <w:rsid w:val="00072AE2"/>
    <w:rsid w:val="000948A5"/>
    <w:rsid w:val="000E2648"/>
    <w:rsid w:val="000E56FF"/>
    <w:rsid w:val="000F5D22"/>
    <w:rsid w:val="001015F6"/>
    <w:rsid w:val="00102BD7"/>
    <w:rsid w:val="0010559E"/>
    <w:rsid w:val="00125E09"/>
    <w:rsid w:val="00131B14"/>
    <w:rsid w:val="00137273"/>
    <w:rsid w:val="00141E9F"/>
    <w:rsid w:val="001445EA"/>
    <w:rsid w:val="00150827"/>
    <w:rsid w:val="00150E9A"/>
    <w:rsid w:val="00160AB4"/>
    <w:rsid w:val="001655CF"/>
    <w:rsid w:val="00166DF5"/>
    <w:rsid w:val="00171B71"/>
    <w:rsid w:val="001740B7"/>
    <w:rsid w:val="00185ED9"/>
    <w:rsid w:val="00196A89"/>
    <w:rsid w:val="001A4779"/>
    <w:rsid w:val="001B0B24"/>
    <w:rsid w:val="001B447B"/>
    <w:rsid w:val="001D3C03"/>
    <w:rsid w:val="001E0950"/>
    <w:rsid w:val="001E3358"/>
    <w:rsid w:val="001E7842"/>
    <w:rsid w:val="002027DA"/>
    <w:rsid w:val="0020537B"/>
    <w:rsid w:val="00206F8F"/>
    <w:rsid w:val="00211521"/>
    <w:rsid w:val="00226D5A"/>
    <w:rsid w:val="00230159"/>
    <w:rsid w:val="00250204"/>
    <w:rsid w:val="002525EB"/>
    <w:rsid w:val="002578EB"/>
    <w:rsid w:val="002705B8"/>
    <w:rsid w:val="00281A85"/>
    <w:rsid w:val="00284C86"/>
    <w:rsid w:val="00285A1B"/>
    <w:rsid w:val="00293C0B"/>
    <w:rsid w:val="002A2423"/>
    <w:rsid w:val="002A55A7"/>
    <w:rsid w:val="002B032F"/>
    <w:rsid w:val="002B344A"/>
    <w:rsid w:val="002B3767"/>
    <w:rsid w:val="002C142E"/>
    <w:rsid w:val="003068B6"/>
    <w:rsid w:val="003207BB"/>
    <w:rsid w:val="0033281F"/>
    <w:rsid w:val="00334ED1"/>
    <w:rsid w:val="00337847"/>
    <w:rsid w:val="00355D27"/>
    <w:rsid w:val="00386751"/>
    <w:rsid w:val="00387744"/>
    <w:rsid w:val="0039104A"/>
    <w:rsid w:val="003A079D"/>
    <w:rsid w:val="003A540B"/>
    <w:rsid w:val="003C7C94"/>
    <w:rsid w:val="003D2B8D"/>
    <w:rsid w:val="003D5AAA"/>
    <w:rsid w:val="00415F75"/>
    <w:rsid w:val="004459F3"/>
    <w:rsid w:val="00446813"/>
    <w:rsid w:val="0045084B"/>
    <w:rsid w:val="0045193E"/>
    <w:rsid w:val="00453D3F"/>
    <w:rsid w:val="00462777"/>
    <w:rsid w:val="00464FEF"/>
    <w:rsid w:val="00465274"/>
    <w:rsid w:val="004805C7"/>
    <w:rsid w:val="00484B78"/>
    <w:rsid w:val="004B1242"/>
    <w:rsid w:val="004B52DB"/>
    <w:rsid w:val="004B7621"/>
    <w:rsid w:val="004D6131"/>
    <w:rsid w:val="004E1D5E"/>
    <w:rsid w:val="004F1879"/>
    <w:rsid w:val="004F1BD3"/>
    <w:rsid w:val="004F4209"/>
    <w:rsid w:val="004F73AC"/>
    <w:rsid w:val="0050207A"/>
    <w:rsid w:val="005256DA"/>
    <w:rsid w:val="00527F18"/>
    <w:rsid w:val="005430C8"/>
    <w:rsid w:val="00545FEF"/>
    <w:rsid w:val="00560590"/>
    <w:rsid w:val="00595E1A"/>
    <w:rsid w:val="005A1C5E"/>
    <w:rsid w:val="005B10DE"/>
    <w:rsid w:val="005B216F"/>
    <w:rsid w:val="005D5795"/>
    <w:rsid w:val="005F4CB1"/>
    <w:rsid w:val="006100E3"/>
    <w:rsid w:val="0061203A"/>
    <w:rsid w:val="006156F1"/>
    <w:rsid w:val="00621140"/>
    <w:rsid w:val="006376A2"/>
    <w:rsid w:val="006431E1"/>
    <w:rsid w:val="00661923"/>
    <w:rsid w:val="0067305F"/>
    <w:rsid w:val="00674537"/>
    <w:rsid w:val="0067522E"/>
    <w:rsid w:val="00681193"/>
    <w:rsid w:val="00681CED"/>
    <w:rsid w:val="0068628A"/>
    <w:rsid w:val="00694E70"/>
    <w:rsid w:val="006B4F00"/>
    <w:rsid w:val="006C5165"/>
    <w:rsid w:val="006E776D"/>
    <w:rsid w:val="006F0090"/>
    <w:rsid w:val="006F16AD"/>
    <w:rsid w:val="006F68BB"/>
    <w:rsid w:val="00701B5A"/>
    <w:rsid w:val="00707EA0"/>
    <w:rsid w:val="00712BD4"/>
    <w:rsid w:val="007267EE"/>
    <w:rsid w:val="007321A7"/>
    <w:rsid w:val="00733665"/>
    <w:rsid w:val="00734D87"/>
    <w:rsid w:val="007422C4"/>
    <w:rsid w:val="00752A17"/>
    <w:rsid w:val="007579EA"/>
    <w:rsid w:val="00763E78"/>
    <w:rsid w:val="00784E1D"/>
    <w:rsid w:val="00784F98"/>
    <w:rsid w:val="007B2931"/>
    <w:rsid w:val="007B530F"/>
    <w:rsid w:val="007B5C47"/>
    <w:rsid w:val="007C4B90"/>
    <w:rsid w:val="007E23D6"/>
    <w:rsid w:val="007E6B61"/>
    <w:rsid w:val="007F16AB"/>
    <w:rsid w:val="007F5887"/>
    <w:rsid w:val="007F75E7"/>
    <w:rsid w:val="007F7661"/>
    <w:rsid w:val="008007A8"/>
    <w:rsid w:val="0080569D"/>
    <w:rsid w:val="00815049"/>
    <w:rsid w:val="00815C03"/>
    <w:rsid w:val="0081787F"/>
    <w:rsid w:val="0082361D"/>
    <w:rsid w:val="0084293F"/>
    <w:rsid w:val="00860DF8"/>
    <w:rsid w:val="00871507"/>
    <w:rsid w:val="00880864"/>
    <w:rsid w:val="00882547"/>
    <w:rsid w:val="00891ADF"/>
    <w:rsid w:val="00894854"/>
    <w:rsid w:val="008A0231"/>
    <w:rsid w:val="008A605E"/>
    <w:rsid w:val="008B37E8"/>
    <w:rsid w:val="008B5B9E"/>
    <w:rsid w:val="008B6881"/>
    <w:rsid w:val="008C59A7"/>
    <w:rsid w:val="008D0BBC"/>
    <w:rsid w:val="008D71D4"/>
    <w:rsid w:val="008D72EA"/>
    <w:rsid w:val="008E391D"/>
    <w:rsid w:val="008E4EB0"/>
    <w:rsid w:val="00910141"/>
    <w:rsid w:val="00913795"/>
    <w:rsid w:val="00916787"/>
    <w:rsid w:val="009169A7"/>
    <w:rsid w:val="00917226"/>
    <w:rsid w:val="00920634"/>
    <w:rsid w:val="009518D3"/>
    <w:rsid w:val="009638CA"/>
    <w:rsid w:val="00983687"/>
    <w:rsid w:val="009866B6"/>
    <w:rsid w:val="00990903"/>
    <w:rsid w:val="009B2459"/>
    <w:rsid w:val="009B62E0"/>
    <w:rsid w:val="009D16BC"/>
    <w:rsid w:val="009D225A"/>
    <w:rsid w:val="009D395D"/>
    <w:rsid w:val="009D4042"/>
    <w:rsid w:val="009E05D8"/>
    <w:rsid w:val="009E12C8"/>
    <w:rsid w:val="009E1DA3"/>
    <w:rsid w:val="00A04F9B"/>
    <w:rsid w:val="00A068D2"/>
    <w:rsid w:val="00A12960"/>
    <w:rsid w:val="00A170FB"/>
    <w:rsid w:val="00A4761D"/>
    <w:rsid w:val="00A574D8"/>
    <w:rsid w:val="00A577FB"/>
    <w:rsid w:val="00A613D4"/>
    <w:rsid w:val="00A80798"/>
    <w:rsid w:val="00A92515"/>
    <w:rsid w:val="00AB7DBB"/>
    <w:rsid w:val="00AC3D79"/>
    <w:rsid w:val="00AC4629"/>
    <w:rsid w:val="00AC5492"/>
    <w:rsid w:val="00AD42D0"/>
    <w:rsid w:val="00AE2A84"/>
    <w:rsid w:val="00AF5DAB"/>
    <w:rsid w:val="00B00F90"/>
    <w:rsid w:val="00B06E94"/>
    <w:rsid w:val="00B07322"/>
    <w:rsid w:val="00B10992"/>
    <w:rsid w:val="00B13D71"/>
    <w:rsid w:val="00B214DE"/>
    <w:rsid w:val="00B23A57"/>
    <w:rsid w:val="00B33505"/>
    <w:rsid w:val="00B474A3"/>
    <w:rsid w:val="00B53E03"/>
    <w:rsid w:val="00B66215"/>
    <w:rsid w:val="00B72F6E"/>
    <w:rsid w:val="00B744FC"/>
    <w:rsid w:val="00B74CB2"/>
    <w:rsid w:val="00B77B33"/>
    <w:rsid w:val="00B920CC"/>
    <w:rsid w:val="00B958CC"/>
    <w:rsid w:val="00BB4945"/>
    <w:rsid w:val="00BB6BD5"/>
    <w:rsid w:val="00BF58E9"/>
    <w:rsid w:val="00BF64AE"/>
    <w:rsid w:val="00BF72CD"/>
    <w:rsid w:val="00BF7812"/>
    <w:rsid w:val="00C01BBB"/>
    <w:rsid w:val="00C1024E"/>
    <w:rsid w:val="00C135C8"/>
    <w:rsid w:val="00C26F48"/>
    <w:rsid w:val="00C51027"/>
    <w:rsid w:val="00C53D57"/>
    <w:rsid w:val="00C671AE"/>
    <w:rsid w:val="00C7654F"/>
    <w:rsid w:val="00C96883"/>
    <w:rsid w:val="00CA194C"/>
    <w:rsid w:val="00CA3DA7"/>
    <w:rsid w:val="00CA6ADC"/>
    <w:rsid w:val="00CE0F55"/>
    <w:rsid w:val="00CF2996"/>
    <w:rsid w:val="00CF353E"/>
    <w:rsid w:val="00CF38B3"/>
    <w:rsid w:val="00D11870"/>
    <w:rsid w:val="00D15144"/>
    <w:rsid w:val="00D151A9"/>
    <w:rsid w:val="00D2408E"/>
    <w:rsid w:val="00D2754E"/>
    <w:rsid w:val="00D377E8"/>
    <w:rsid w:val="00D62AB2"/>
    <w:rsid w:val="00D64CF6"/>
    <w:rsid w:val="00D73217"/>
    <w:rsid w:val="00D733EC"/>
    <w:rsid w:val="00D7637A"/>
    <w:rsid w:val="00D82FCF"/>
    <w:rsid w:val="00D94B00"/>
    <w:rsid w:val="00D9693B"/>
    <w:rsid w:val="00DA2BC4"/>
    <w:rsid w:val="00DB0C99"/>
    <w:rsid w:val="00DB52D2"/>
    <w:rsid w:val="00DD1140"/>
    <w:rsid w:val="00DD2B16"/>
    <w:rsid w:val="00DD44A0"/>
    <w:rsid w:val="00DD73F0"/>
    <w:rsid w:val="00DE0C77"/>
    <w:rsid w:val="00DE3704"/>
    <w:rsid w:val="00DE4214"/>
    <w:rsid w:val="00DF3C74"/>
    <w:rsid w:val="00DF4116"/>
    <w:rsid w:val="00DF502A"/>
    <w:rsid w:val="00E10561"/>
    <w:rsid w:val="00E15929"/>
    <w:rsid w:val="00E3647E"/>
    <w:rsid w:val="00E422F5"/>
    <w:rsid w:val="00E427BD"/>
    <w:rsid w:val="00E56609"/>
    <w:rsid w:val="00E57691"/>
    <w:rsid w:val="00E62731"/>
    <w:rsid w:val="00E71044"/>
    <w:rsid w:val="00E71143"/>
    <w:rsid w:val="00E7144B"/>
    <w:rsid w:val="00E85C94"/>
    <w:rsid w:val="00EA43B5"/>
    <w:rsid w:val="00EA5CB9"/>
    <w:rsid w:val="00EA65EB"/>
    <w:rsid w:val="00EA67C0"/>
    <w:rsid w:val="00EC28F6"/>
    <w:rsid w:val="00EC6B06"/>
    <w:rsid w:val="00EC7718"/>
    <w:rsid w:val="00F02D8C"/>
    <w:rsid w:val="00F06E86"/>
    <w:rsid w:val="00F13873"/>
    <w:rsid w:val="00F159C1"/>
    <w:rsid w:val="00F27358"/>
    <w:rsid w:val="00F4589A"/>
    <w:rsid w:val="00F54EAD"/>
    <w:rsid w:val="00F61659"/>
    <w:rsid w:val="00F6238A"/>
    <w:rsid w:val="00F749EA"/>
    <w:rsid w:val="00F75EF7"/>
    <w:rsid w:val="00F92822"/>
    <w:rsid w:val="00FA7B15"/>
    <w:rsid w:val="00FC1321"/>
    <w:rsid w:val="00FC1505"/>
    <w:rsid w:val="00FD2770"/>
    <w:rsid w:val="00FE7A8A"/>
    <w:rsid w:val="00FE7E8F"/>
    <w:rsid w:val="00FF3B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8C246"/>
  <w15:chartTrackingRefBased/>
  <w15:docId w15:val="{64075194-F11B-4A79-9CFD-72FB3DE0D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687"/>
    <w:pPr>
      <w:keepNext/>
      <w:keepLines/>
      <w:spacing w:before="480" w:after="0" w:line="240" w:lineRule="auto"/>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9"/>
    <w:unhideWhenUsed/>
    <w:qFormat/>
    <w:rsid w:val="00983687"/>
    <w:pPr>
      <w:keepNext/>
      <w:keepLines/>
      <w:spacing w:before="200" w:after="0" w:line="240" w:lineRule="auto"/>
      <w:outlineLvl w:val="1"/>
    </w:pPr>
    <w:rPr>
      <w:rFonts w:ascii="Times New Roman" w:eastAsia="Times New Roman" w:hAnsi="Times New Roman" w:cs="Times New Roman"/>
      <w:b/>
      <w:bCs/>
      <w:sz w:val="24"/>
      <w:szCs w:val="26"/>
    </w:rPr>
  </w:style>
  <w:style w:type="paragraph" w:styleId="Heading3">
    <w:name w:val="heading 3"/>
    <w:basedOn w:val="Normal"/>
    <w:next w:val="Normal"/>
    <w:link w:val="Heading3Char"/>
    <w:uiPriority w:val="9"/>
    <w:semiHidden/>
    <w:unhideWhenUsed/>
    <w:qFormat/>
    <w:rsid w:val="00707E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amp;P List Paragraph,Strip"/>
    <w:basedOn w:val="Normal"/>
    <w:link w:val="ListParagraphChar"/>
    <w:uiPriority w:val="34"/>
    <w:qFormat/>
    <w:rsid w:val="00A613D4"/>
    <w:pPr>
      <w:ind w:left="720"/>
      <w:contextualSpacing/>
    </w:pPr>
  </w:style>
  <w:style w:type="character" w:styleId="CommentReference">
    <w:name w:val="annotation reference"/>
    <w:basedOn w:val="DefaultParagraphFont"/>
    <w:unhideWhenUsed/>
    <w:rsid w:val="00BF7812"/>
    <w:rPr>
      <w:sz w:val="16"/>
      <w:szCs w:val="16"/>
    </w:rPr>
  </w:style>
  <w:style w:type="paragraph" w:styleId="CommentText">
    <w:name w:val="annotation text"/>
    <w:basedOn w:val="Normal"/>
    <w:link w:val="CommentTextChar"/>
    <w:uiPriority w:val="99"/>
    <w:semiHidden/>
    <w:unhideWhenUsed/>
    <w:rsid w:val="00BF7812"/>
    <w:pPr>
      <w:spacing w:line="240" w:lineRule="auto"/>
    </w:pPr>
    <w:rPr>
      <w:sz w:val="20"/>
      <w:szCs w:val="20"/>
    </w:rPr>
  </w:style>
  <w:style w:type="character" w:customStyle="1" w:styleId="CommentTextChar">
    <w:name w:val="Comment Text Char"/>
    <w:basedOn w:val="DefaultParagraphFont"/>
    <w:link w:val="CommentText"/>
    <w:uiPriority w:val="99"/>
    <w:semiHidden/>
    <w:rsid w:val="00BF7812"/>
    <w:rPr>
      <w:sz w:val="20"/>
      <w:szCs w:val="20"/>
    </w:rPr>
  </w:style>
  <w:style w:type="paragraph" w:styleId="CommentSubject">
    <w:name w:val="annotation subject"/>
    <w:basedOn w:val="CommentText"/>
    <w:next w:val="CommentText"/>
    <w:link w:val="CommentSubjectChar"/>
    <w:uiPriority w:val="99"/>
    <w:semiHidden/>
    <w:unhideWhenUsed/>
    <w:rsid w:val="00BF7812"/>
    <w:rPr>
      <w:b/>
      <w:bCs/>
    </w:rPr>
  </w:style>
  <w:style w:type="character" w:customStyle="1" w:styleId="CommentSubjectChar">
    <w:name w:val="Comment Subject Char"/>
    <w:basedOn w:val="CommentTextChar"/>
    <w:link w:val="CommentSubject"/>
    <w:uiPriority w:val="99"/>
    <w:semiHidden/>
    <w:rsid w:val="00BF7812"/>
    <w:rPr>
      <w:b/>
      <w:bCs/>
      <w:sz w:val="20"/>
      <w:szCs w:val="20"/>
    </w:rPr>
  </w:style>
  <w:style w:type="paragraph" w:styleId="BalloonText">
    <w:name w:val="Balloon Text"/>
    <w:basedOn w:val="Normal"/>
    <w:link w:val="BalloonTextChar"/>
    <w:uiPriority w:val="99"/>
    <w:semiHidden/>
    <w:unhideWhenUsed/>
    <w:rsid w:val="00BF78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812"/>
    <w:rPr>
      <w:rFonts w:ascii="Segoe UI" w:hAnsi="Segoe UI" w:cs="Segoe UI"/>
      <w:sz w:val="18"/>
      <w:szCs w:val="18"/>
    </w:rPr>
  </w:style>
  <w:style w:type="character" w:styleId="FootnoteReference">
    <w:name w:val="footnote reference"/>
    <w:aliases w:val="Footnote Reference Number,SUPERS,Char1,Ref,de nota al pie"/>
    <w:uiPriority w:val="99"/>
    <w:unhideWhenUsed/>
    <w:rsid w:val="00990903"/>
    <w:rPr>
      <w:vertAlign w:val="superscript"/>
    </w:rPr>
  </w:style>
  <w:style w:type="paragraph" w:customStyle="1" w:styleId="Zemsvtra">
    <w:name w:val="Zemsvītra"/>
    <w:basedOn w:val="FootnoteText"/>
    <w:link w:val="ZemsvtraChar"/>
    <w:qFormat/>
    <w:rsid w:val="00990903"/>
    <w:pPr>
      <w:jc w:val="both"/>
    </w:pPr>
    <w:rPr>
      <w:rFonts w:ascii="Times New Roman" w:eastAsia="Times New Roman" w:hAnsi="Times New Roman" w:cs="Times New Roman"/>
      <w:sz w:val="18"/>
      <w:szCs w:val="18"/>
      <w:lang w:val="en-GB" w:eastAsia="da-DK"/>
    </w:rPr>
  </w:style>
  <w:style w:type="character" w:customStyle="1" w:styleId="ZemsvtraChar">
    <w:name w:val="Zemsvītra Char"/>
    <w:link w:val="Zemsvtra"/>
    <w:rsid w:val="00990903"/>
    <w:rPr>
      <w:rFonts w:ascii="Times New Roman" w:eastAsia="Times New Roman" w:hAnsi="Times New Roman" w:cs="Times New Roman"/>
      <w:sz w:val="18"/>
      <w:szCs w:val="18"/>
      <w:lang w:val="en-GB" w:eastAsia="da-DK"/>
    </w:rPr>
  </w:style>
  <w:style w:type="paragraph" w:styleId="FootnoteText">
    <w:name w:val="footnote text"/>
    <w:aliases w:val="Footnote,Fußnote,-E Fußnotentext,Fußnotentext Ursprung,Fußnotentext Char,Fußnotentext Char1 Char1,Fußnotentext Char Char Char Char,Fußnotentext Char1 Char Char Char,Fußnotentext Char Char,Fußnotentext Char1 Char Char Char Char,Fußn"/>
    <w:basedOn w:val="Normal"/>
    <w:link w:val="FootnoteTextChar"/>
    <w:uiPriority w:val="99"/>
    <w:unhideWhenUsed/>
    <w:rsid w:val="00990903"/>
    <w:pPr>
      <w:spacing w:after="0" w:line="240" w:lineRule="auto"/>
    </w:pPr>
    <w:rPr>
      <w:sz w:val="20"/>
      <w:szCs w:val="20"/>
    </w:rPr>
  </w:style>
  <w:style w:type="character" w:customStyle="1" w:styleId="FootnoteTextChar">
    <w:name w:val="Footnote Text Char"/>
    <w:aliases w:val="Footnote Char,Fußnote Char,-E Fußnotentext Char,Fußnotentext Ursprung Char,Fußnotentext Char Char1,Fußnotentext Char1 Char1 Char,Fußnotentext Char Char Char Char Char,Fußnotentext Char1 Char Char Char Char1,Fußnotentext Char Char Char"/>
    <w:basedOn w:val="DefaultParagraphFont"/>
    <w:link w:val="FootnoteText"/>
    <w:uiPriority w:val="99"/>
    <w:rsid w:val="00990903"/>
    <w:rPr>
      <w:sz w:val="20"/>
      <w:szCs w:val="20"/>
    </w:rPr>
  </w:style>
  <w:style w:type="table" w:styleId="TableGrid">
    <w:name w:val="Table Grid"/>
    <w:basedOn w:val="TableNormal"/>
    <w:uiPriority w:val="59"/>
    <w:rsid w:val="00281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C5165"/>
    <w:rPr>
      <w:color w:val="0000FF"/>
      <w:u w:val="single"/>
    </w:rPr>
  </w:style>
  <w:style w:type="paragraph" w:styleId="NormalWeb">
    <w:name w:val="Normal (Web)"/>
    <w:basedOn w:val="Normal"/>
    <w:uiPriority w:val="99"/>
    <w:unhideWhenUsed/>
    <w:rsid w:val="006F16A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6F16AD"/>
  </w:style>
  <w:style w:type="character" w:styleId="Strong">
    <w:name w:val="Strong"/>
    <w:basedOn w:val="DefaultParagraphFont"/>
    <w:qFormat/>
    <w:rsid w:val="006F16AD"/>
    <w:rPr>
      <w:b/>
      <w:bCs/>
    </w:rPr>
  </w:style>
  <w:style w:type="character" w:styleId="FollowedHyperlink">
    <w:name w:val="FollowedHyperlink"/>
    <w:basedOn w:val="DefaultParagraphFont"/>
    <w:uiPriority w:val="99"/>
    <w:semiHidden/>
    <w:unhideWhenUsed/>
    <w:rsid w:val="007B2931"/>
    <w:rPr>
      <w:color w:val="954F72" w:themeColor="followedHyperlink"/>
      <w:u w:val="single"/>
    </w:rPr>
  </w:style>
  <w:style w:type="character" w:customStyle="1" w:styleId="ListParagraphChar">
    <w:name w:val="List Paragraph Char"/>
    <w:aliases w:val="2 Char,H&amp;P List Paragraph Char,Strip Char"/>
    <w:link w:val="ListParagraph"/>
    <w:uiPriority w:val="34"/>
    <w:locked/>
    <w:rsid w:val="007B2931"/>
  </w:style>
  <w:style w:type="character" w:customStyle="1" w:styleId="Heading1Char">
    <w:name w:val="Heading 1 Char"/>
    <w:basedOn w:val="DefaultParagraphFont"/>
    <w:link w:val="Heading1"/>
    <w:uiPriority w:val="99"/>
    <w:rsid w:val="00983687"/>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983687"/>
    <w:rPr>
      <w:rFonts w:ascii="Times New Roman" w:eastAsia="Times New Roman" w:hAnsi="Times New Roman" w:cs="Times New Roman"/>
      <w:b/>
      <w:bCs/>
      <w:sz w:val="24"/>
      <w:szCs w:val="26"/>
    </w:rPr>
  </w:style>
  <w:style w:type="paragraph" w:styleId="Title">
    <w:name w:val="Title"/>
    <w:basedOn w:val="Normal"/>
    <w:next w:val="Normal"/>
    <w:link w:val="TitleChar"/>
    <w:uiPriority w:val="10"/>
    <w:qFormat/>
    <w:rsid w:val="00B744F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4FC"/>
    <w:rPr>
      <w:rFonts w:asciiTheme="majorHAnsi" w:eastAsiaTheme="majorEastAsia" w:hAnsiTheme="majorHAnsi" w:cstheme="majorBidi"/>
      <w:spacing w:val="-10"/>
      <w:kern w:val="28"/>
      <w:sz w:val="56"/>
      <w:szCs w:val="56"/>
    </w:rPr>
  </w:style>
  <w:style w:type="table" w:customStyle="1" w:styleId="TableGrid1">
    <w:name w:val="Table Grid1"/>
    <w:basedOn w:val="TableNormal"/>
    <w:next w:val="TableGrid"/>
    <w:uiPriority w:val="59"/>
    <w:rsid w:val="00B744FC"/>
    <w:pPr>
      <w:spacing w:after="0" w:line="240"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0">
    <w:name w:val="Tiret 0"/>
    <w:basedOn w:val="Normal"/>
    <w:rsid w:val="006376A2"/>
    <w:pPr>
      <w:numPr>
        <w:numId w:val="30"/>
      </w:numPr>
      <w:spacing w:before="120" w:after="120" w:line="240" w:lineRule="auto"/>
      <w:jc w:val="both"/>
    </w:pPr>
    <w:rPr>
      <w:rFonts w:ascii="Times New Roman" w:hAnsi="Times New Roman" w:cs="Times New Roman"/>
      <w:sz w:val="24"/>
    </w:rPr>
  </w:style>
  <w:style w:type="paragraph" w:customStyle="1" w:styleId="tv20787921">
    <w:name w:val="tv207_87_921"/>
    <w:basedOn w:val="Normal"/>
    <w:rsid w:val="001740B7"/>
    <w:pPr>
      <w:spacing w:after="567" w:line="360" w:lineRule="auto"/>
      <w:jc w:val="center"/>
    </w:pPr>
    <w:rPr>
      <w:rFonts w:ascii="Verdana" w:eastAsia="Times New Roman" w:hAnsi="Verdana" w:cs="Times New Roman"/>
      <w:b/>
      <w:bCs/>
      <w:sz w:val="28"/>
      <w:szCs w:val="28"/>
      <w:lang w:eastAsia="lv-LV"/>
    </w:rPr>
  </w:style>
  <w:style w:type="character" w:customStyle="1" w:styleId="c1">
    <w:name w:val="c1"/>
    <w:rsid w:val="001740B7"/>
    <w:rPr>
      <w:color w:val="FF0000"/>
    </w:rPr>
  </w:style>
  <w:style w:type="paragraph" w:styleId="Header">
    <w:name w:val="header"/>
    <w:basedOn w:val="Normal"/>
    <w:link w:val="HeaderChar"/>
    <w:uiPriority w:val="99"/>
    <w:unhideWhenUsed/>
    <w:rsid w:val="005B10DE"/>
    <w:pPr>
      <w:tabs>
        <w:tab w:val="center" w:pos="4153"/>
        <w:tab w:val="right" w:pos="8306"/>
      </w:tabs>
      <w:spacing w:after="0" w:line="240" w:lineRule="auto"/>
    </w:pPr>
  </w:style>
  <w:style w:type="character" w:customStyle="1" w:styleId="HeaderChar">
    <w:name w:val="Header Char"/>
    <w:basedOn w:val="DefaultParagraphFont"/>
    <w:link w:val="Header"/>
    <w:uiPriority w:val="99"/>
    <w:rsid w:val="005B10DE"/>
  </w:style>
  <w:style w:type="paragraph" w:styleId="Footer">
    <w:name w:val="footer"/>
    <w:basedOn w:val="Normal"/>
    <w:link w:val="FooterChar"/>
    <w:uiPriority w:val="99"/>
    <w:unhideWhenUsed/>
    <w:rsid w:val="005B10DE"/>
    <w:pPr>
      <w:tabs>
        <w:tab w:val="center" w:pos="4153"/>
        <w:tab w:val="right" w:pos="8306"/>
      </w:tabs>
      <w:spacing w:after="0" w:line="240" w:lineRule="auto"/>
    </w:pPr>
  </w:style>
  <w:style w:type="character" w:customStyle="1" w:styleId="FooterChar">
    <w:name w:val="Footer Char"/>
    <w:basedOn w:val="DefaultParagraphFont"/>
    <w:link w:val="Footer"/>
    <w:uiPriority w:val="99"/>
    <w:rsid w:val="005B10DE"/>
  </w:style>
  <w:style w:type="paragraph" w:customStyle="1" w:styleId="teksts">
    <w:name w:val="teksts"/>
    <w:basedOn w:val="Normal"/>
    <w:link w:val="tekstsChar"/>
    <w:qFormat/>
    <w:rsid w:val="008D0BBC"/>
    <w:pPr>
      <w:shd w:val="clear" w:color="auto" w:fill="FFFFFF"/>
      <w:ind w:firstLine="851"/>
    </w:pPr>
    <w:rPr>
      <w:rFonts w:ascii="Times New Roman" w:hAnsi="Times New Roman" w:cs="Times New Roman"/>
      <w:color w:val="000000"/>
      <w:sz w:val="24"/>
      <w:szCs w:val="24"/>
    </w:rPr>
  </w:style>
  <w:style w:type="paragraph" w:customStyle="1" w:styleId="apakapakvirsraksts">
    <w:name w:val="apakš apakš virsraksts"/>
    <w:basedOn w:val="teksts"/>
    <w:next w:val="3apakvirsraksts"/>
    <w:link w:val="apakapakvirsrakstsChar"/>
    <w:qFormat/>
    <w:rsid w:val="00D82FCF"/>
    <w:pPr>
      <w:numPr>
        <w:ilvl w:val="2"/>
        <w:numId w:val="32"/>
      </w:numPr>
      <w:ind w:left="284" w:hanging="284"/>
      <w:jc w:val="center"/>
    </w:pPr>
    <w:rPr>
      <w:u w:val="single"/>
    </w:rPr>
  </w:style>
  <w:style w:type="paragraph" w:customStyle="1" w:styleId="apakvirsraksts">
    <w:name w:val="apakšvirsraksts"/>
    <w:basedOn w:val="teksts"/>
    <w:next w:val="apakapakvirsraksts"/>
    <w:link w:val="apakvirsrakstsChar"/>
    <w:qFormat/>
    <w:rsid w:val="00894854"/>
    <w:pPr>
      <w:numPr>
        <w:ilvl w:val="1"/>
        <w:numId w:val="32"/>
      </w:numPr>
      <w:jc w:val="center"/>
    </w:pPr>
    <w:rPr>
      <w:sz w:val="28"/>
    </w:rPr>
  </w:style>
  <w:style w:type="character" w:customStyle="1" w:styleId="tekstsChar">
    <w:name w:val="teksts Char"/>
    <w:basedOn w:val="DefaultParagraphFont"/>
    <w:link w:val="teksts"/>
    <w:rsid w:val="008D0BBC"/>
    <w:rPr>
      <w:rFonts w:ascii="Times New Roman" w:hAnsi="Times New Roman" w:cs="Times New Roman"/>
      <w:color w:val="000000"/>
      <w:sz w:val="24"/>
      <w:szCs w:val="24"/>
      <w:shd w:val="clear" w:color="auto" w:fill="FFFFFF"/>
    </w:rPr>
  </w:style>
  <w:style w:type="character" w:customStyle="1" w:styleId="apakapakvirsrakstsChar">
    <w:name w:val="apakš apakš virsraksts Char"/>
    <w:basedOn w:val="tekstsChar"/>
    <w:link w:val="apakapakvirsraksts"/>
    <w:rsid w:val="00D82FCF"/>
    <w:rPr>
      <w:rFonts w:ascii="Times New Roman" w:hAnsi="Times New Roman" w:cs="Times New Roman"/>
      <w:color w:val="000000"/>
      <w:sz w:val="24"/>
      <w:szCs w:val="24"/>
      <w:u w:val="single"/>
      <w:shd w:val="clear" w:color="auto" w:fill="FFFFFF"/>
    </w:rPr>
  </w:style>
  <w:style w:type="paragraph" w:customStyle="1" w:styleId="virsraksts">
    <w:name w:val="virsraksts"/>
    <w:basedOn w:val="teksts"/>
    <w:next w:val="apakvirsraksts"/>
    <w:link w:val="virsrakstsChar"/>
    <w:qFormat/>
    <w:rsid w:val="004F73AC"/>
    <w:pPr>
      <w:numPr>
        <w:numId w:val="32"/>
      </w:numPr>
      <w:jc w:val="center"/>
    </w:pPr>
    <w:rPr>
      <w:b/>
      <w:sz w:val="32"/>
    </w:rPr>
  </w:style>
  <w:style w:type="character" w:customStyle="1" w:styleId="apakvirsrakstsChar">
    <w:name w:val="apakšvirsraksts Char"/>
    <w:basedOn w:val="apakapakvirsrakstsChar"/>
    <w:link w:val="apakvirsraksts"/>
    <w:rsid w:val="00894854"/>
    <w:rPr>
      <w:rFonts w:ascii="Times New Roman" w:hAnsi="Times New Roman" w:cs="Times New Roman"/>
      <w:color w:val="000000"/>
      <w:sz w:val="28"/>
      <w:szCs w:val="24"/>
      <w:u w:val="single"/>
      <w:shd w:val="clear" w:color="auto" w:fill="FFFFFF"/>
    </w:rPr>
  </w:style>
  <w:style w:type="paragraph" w:customStyle="1" w:styleId="3apakvirsraksts">
    <w:name w:val="3apakš virsraksts"/>
    <w:basedOn w:val="teksts"/>
    <w:link w:val="3apakvirsrakstsChar"/>
    <w:qFormat/>
    <w:rsid w:val="001E0950"/>
    <w:pPr>
      <w:numPr>
        <w:ilvl w:val="3"/>
        <w:numId w:val="32"/>
      </w:numPr>
      <w:spacing w:after="0" w:line="276" w:lineRule="auto"/>
      <w:ind w:left="993" w:hanging="1019"/>
      <w:jc w:val="both"/>
    </w:pPr>
  </w:style>
  <w:style w:type="character" w:customStyle="1" w:styleId="virsrakstsChar">
    <w:name w:val="virsraksts Char"/>
    <w:basedOn w:val="DefaultParagraphFont"/>
    <w:link w:val="virsraksts"/>
    <w:rsid w:val="004F73AC"/>
    <w:rPr>
      <w:rFonts w:ascii="Times New Roman" w:hAnsi="Times New Roman" w:cs="Times New Roman"/>
      <w:b/>
      <w:color w:val="000000"/>
      <w:sz w:val="32"/>
      <w:szCs w:val="24"/>
      <w:shd w:val="clear" w:color="auto" w:fill="FFFFFF"/>
    </w:rPr>
  </w:style>
  <w:style w:type="character" w:customStyle="1" w:styleId="3apakvirsrakstsChar">
    <w:name w:val="3apakš virsraksts Char"/>
    <w:basedOn w:val="tekstsChar"/>
    <w:link w:val="3apakvirsraksts"/>
    <w:rsid w:val="001E0950"/>
    <w:rPr>
      <w:rFonts w:ascii="Times New Roman" w:hAnsi="Times New Roman" w:cs="Times New Roman"/>
      <w:color w:val="000000"/>
      <w:sz w:val="24"/>
      <w:szCs w:val="24"/>
      <w:shd w:val="clear" w:color="auto" w:fill="FFFFFF"/>
    </w:rPr>
  </w:style>
  <w:style w:type="character" w:customStyle="1" w:styleId="Heading3Char">
    <w:name w:val="Heading 3 Char"/>
    <w:basedOn w:val="DefaultParagraphFont"/>
    <w:link w:val="Heading3"/>
    <w:uiPriority w:val="9"/>
    <w:semiHidden/>
    <w:rsid w:val="00707EA0"/>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EC6B06"/>
    <w:pPr>
      <w:tabs>
        <w:tab w:val="left" w:pos="440"/>
        <w:tab w:val="right" w:pos="8296"/>
      </w:tabs>
      <w:spacing w:before="360" w:after="0"/>
      <w:jc w:val="center"/>
    </w:pPr>
    <w:rPr>
      <w:rFonts w:asciiTheme="majorHAnsi" w:hAnsiTheme="majorHAnsi"/>
      <w:b/>
      <w:bCs/>
      <w:caps/>
      <w:sz w:val="24"/>
      <w:szCs w:val="24"/>
    </w:rPr>
  </w:style>
  <w:style w:type="paragraph" w:styleId="TOC2">
    <w:name w:val="toc 2"/>
    <w:basedOn w:val="Normal"/>
    <w:next w:val="Normal"/>
    <w:autoRedefine/>
    <w:uiPriority w:val="39"/>
    <w:unhideWhenUsed/>
    <w:rsid w:val="00707EA0"/>
    <w:pPr>
      <w:spacing w:before="240" w:after="0"/>
    </w:pPr>
    <w:rPr>
      <w:rFonts w:cstheme="minorHAnsi"/>
      <w:b/>
      <w:bCs/>
      <w:sz w:val="20"/>
      <w:szCs w:val="20"/>
    </w:rPr>
  </w:style>
  <w:style w:type="paragraph" w:styleId="TOC3">
    <w:name w:val="toc 3"/>
    <w:basedOn w:val="Normal"/>
    <w:next w:val="Normal"/>
    <w:autoRedefine/>
    <w:uiPriority w:val="39"/>
    <w:unhideWhenUsed/>
    <w:rsid w:val="00707EA0"/>
    <w:pPr>
      <w:spacing w:after="0"/>
      <w:ind w:left="220"/>
    </w:pPr>
    <w:rPr>
      <w:rFonts w:cstheme="minorHAnsi"/>
      <w:sz w:val="20"/>
      <w:szCs w:val="20"/>
    </w:rPr>
  </w:style>
  <w:style w:type="paragraph" w:styleId="TOC4">
    <w:name w:val="toc 4"/>
    <w:basedOn w:val="Normal"/>
    <w:next w:val="Normal"/>
    <w:autoRedefine/>
    <w:uiPriority w:val="39"/>
    <w:unhideWhenUsed/>
    <w:rsid w:val="00707EA0"/>
    <w:pPr>
      <w:spacing w:after="0"/>
      <w:ind w:left="440"/>
    </w:pPr>
    <w:rPr>
      <w:rFonts w:cstheme="minorHAnsi"/>
      <w:sz w:val="20"/>
      <w:szCs w:val="20"/>
    </w:rPr>
  </w:style>
  <w:style w:type="paragraph" w:styleId="TOCHeading">
    <w:name w:val="TOC Heading"/>
    <w:basedOn w:val="Heading1"/>
    <w:next w:val="Normal"/>
    <w:uiPriority w:val="39"/>
    <w:unhideWhenUsed/>
    <w:qFormat/>
    <w:rsid w:val="008B5B9E"/>
    <w:pPr>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lv-LV"/>
    </w:rPr>
  </w:style>
  <w:style w:type="paragraph" w:styleId="TOC5">
    <w:name w:val="toc 5"/>
    <w:basedOn w:val="Normal"/>
    <w:next w:val="Normal"/>
    <w:autoRedefine/>
    <w:uiPriority w:val="39"/>
    <w:unhideWhenUsed/>
    <w:rsid w:val="008B5B9E"/>
    <w:pPr>
      <w:spacing w:after="0"/>
      <w:ind w:left="660"/>
    </w:pPr>
    <w:rPr>
      <w:rFonts w:cstheme="minorHAnsi"/>
      <w:sz w:val="20"/>
      <w:szCs w:val="20"/>
    </w:rPr>
  </w:style>
  <w:style w:type="paragraph" w:styleId="TOC6">
    <w:name w:val="toc 6"/>
    <w:basedOn w:val="Normal"/>
    <w:next w:val="Normal"/>
    <w:autoRedefine/>
    <w:uiPriority w:val="39"/>
    <w:unhideWhenUsed/>
    <w:rsid w:val="008B5B9E"/>
    <w:pPr>
      <w:spacing w:after="0"/>
      <w:ind w:left="880"/>
    </w:pPr>
    <w:rPr>
      <w:rFonts w:cstheme="minorHAnsi"/>
      <w:sz w:val="20"/>
      <w:szCs w:val="20"/>
    </w:rPr>
  </w:style>
  <w:style w:type="paragraph" w:styleId="TOC7">
    <w:name w:val="toc 7"/>
    <w:basedOn w:val="Normal"/>
    <w:next w:val="Normal"/>
    <w:autoRedefine/>
    <w:uiPriority w:val="39"/>
    <w:unhideWhenUsed/>
    <w:rsid w:val="008B5B9E"/>
    <w:pPr>
      <w:spacing w:after="0"/>
      <w:ind w:left="1100"/>
    </w:pPr>
    <w:rPr>
      <w:rFonts w:cstheme="minorHAnsi"/>
      <w:sz w:val="20"/>
      <w:szCs w:val="20"/>
    </w:rPr>
  </w:style>
  <w:style w:type="paragraph" w:styleId="TOC8">
    <w:name w:val="toc 8"/>
    <w:basedOn w:val="Normal"/>
    <w:next w:val="Normal"/>
    <w:autoRedefine/>
    <w:uiPriority w:val="39"/>
    <w:unhideWhenUsed/>
    <w:rsid w:val="008B5B9E"/>
    <w:pPr>
      <w:spacing w:after="0"/>
      <w:ind w:left="1320"/>
    </w:pPr>
    <w:rPr>
      <w:rFonts w:cstheme="minorHAnsi"/>
      <w:sz w:val="20"/>
      <w:szCs w:val="20"/>
    </w:rPr>
  </w:style>
  <w:style w:type="paragraph" w:styleId="TOC9">
    <w:name w:val="toc 9"/>
    <w:basedOn w:val="Normal"/>
    <w:next w:val="Normal"/>
    <w:autoRedefine/>
    <w:uiPriority w:val="39"/>
    <w:unhideWhenUsed/>
    <w:rsid w:val="008B5B9E"/>
    <w:pPr>
      <w:spacing w:after="0"/>
      <w:ind w:left="1540"/>
    </w:pPr>
    <w:rPr>
      <w:rFonts w:cstheme="minorHAnsi"/>
      <w:sz w:val="20"/>
      <w:szCs w:val="20"/>
    </w:rPr>
  </w:style>
  <w:style w:type="paragraph" w:styleId="Revision">
    <w:name w:val="Revision"/>
    <w:hidden/>
    <w:uiPriority w:val="99"/>
    <w:semiHidden/>
    <w:rsid w:val="00FE7E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83552">
      <w:bodyDiv w:val="1"/>
      <w:marLeft w:val="0"/>
      <w:marRight w:val="0"/>
      <w:marTop w:val="0"/>
      <w:marBottom w:val="0"/>
      <w:divBdr>
        <w:top w:val="none" w:sz="0" w:space="0" w:color="auto"/>
        <w:left w:val="none" w:sz="0" w:space="0" w:color="auto"/>
        <w:bottom w:val="none" w:sz="0" w:space="0" w:color="auto"/>
        <w:right w:val="none" w:sz="0" w:space="0" w:color="auto"/>
      </w:divBdr>
    </w:div>
    <w:div w:id="416176424">
      <w:bodyDiv w:val="1"/>
      <w:marLeft w:val="0"/>
      <w:marRight w:val="0"/>
      <w:marTop w:val="0"/>
      <w:marBottom w:val="0"/>
      <w:divBdr>
        <w:top w:val="none" w:sz="0" w:space="0" w:color="auto"/>
        <w:left w:val="none" w:sz="0" w:space="0" w:color="auto"/>
        <w:bottom w:val="none" w:sz="0" w:space="0" w:color="auto"/>
        <w:right w:val="none" w:sz="0" w:space="0" w:color="auto"/>
      </w:divBdr>
    </w:div>
    <w:div w:id="699431197">
      <w:bodyDiv w:val="1"/>
      <w:marLeft w:val="0"/>
      <w:marRight w:val="0"/>
      <w:marTop w:val="0"/>
      <w:marBottom w:val="0"/>
      <w:divBdr>
        <w:top w:val="none" w:sz="0" w:space="0" w:color="auto"/>
        <w:left w:val="none" w:sz="0" w:space="0" w:color="auto"/>
        <w:bottom w:val="none" w:sz="0" w:space="0" w:color="auto"/>
        <w:right w:val="none" w:sz="0" w:space="0" w:color="auto"/>
      </w:divBdr>
    </w:div>
    <w:div w:id="700933372">
      <w:bodyDiv w:val="1"/>
      <w:marLeft w:val="0"/>
      <w:marRight w:val="0"/>
      <w:marTop w:val="0"/>
      <w:marBottom w:val="0"/>
      <w:divBdr>
        <w:top w:val="none" w:sz="0" w:space="0" w:color="auto"/>
        <w:left w:val="none" w:sz="0" w:space="0" w:color="auto"/>
        <w:bottom w:val="none" w:sz="0" w:space="0" w:color="auto"/>
        <w:right w:val="none" w:sz="0" w:space="0" w:color="auto"/>
      </w:divBdr>
    </w:div>
    <w:div w:id="725690349">
      <w:bodyDiv w:val="1"/>
      <w:marLeft w:val="0"/>
      <w:marRight w:val="0"/>
      <w:marTop w:val="0"/>
      <w:marBottom w:val="0"/>
      <w:divBdr>
        <w:top w:val="none" w:sz="0" w:space="0" w:color="auto"/>
        <w:left w:val="none" w:sz="0" w:space="0" w:color="auto"/>
        <w:bottom w:val="none" w:sz="0" w:space="0" w:color="auto"/>
        <w:right w:val="none" w:sz="0" w:space="0" w:color="auto"/>
      </w:divBdr>
    </w:div>
    <w:div w:id="983391559">
      <w:bodyDiv w:val="1"/>
      <w:marLeft w:val="0"/>
      <w:marRight w:val="0"/>
      <w:marTop w:val="0"/>
      <w:marBottom w:val="0"/>
      <w:divBdr>
        <w:top w:val="none" w:sz="0" w:space="0" w:color="auto"/>
        <w:left w:val="none" w:sz="0" w:space="0" w:color="auto"/>
        <w:bottom w:val="none" w:sz="0" w:space="0" w:color="auto"/>
        <w:right w:val="none" w:sz="0" w:space="0" w:color="auto"/>
      </w:divBdr>
    </w:div>
    <w:div w:id="1042906246">
      <w:bodyDiv w:val="1"/>
      <w:marLeft w:val="0"/>
      <w:marRight w:val="0"/>
      <w:marTop w:val="0"/>
      <w:marBottom w:val="0"/>
      <w:divBdr>
        <w:top w:val="none" w:sz="0" w:space="0" w:color="auto"/>
        <w:left w:val="none" w:sz="0" w:space="0" w:color="auto"/>
        <w:bottom w:val="none" w:sz="0" w:space="0" w:color="auto"/>
        <w:right w:val="none" w:sz="0" w:space="0" w:color="auto"/>
      </w:divBdr>
    </w:div>
    <w:div w:id="1066100652">
      <w:bodyDiv w:val="1"/>
      <w:marLeft w:val="0"/>
      <w:marRight w:val="0"/>
      <w:marTop w:val="0"/>
      <w:marBottom w:val="0"/>
      <w:divBdr>
        <w:top w:val="none" w:sz="0" w:space="0" w:color="auto"/>
        <w:left w:val="none" w:sz="0" w:space="0" w:color="auto"/>
        <w:bottom w:val="none" w:sz="0" w:space="0" w:color="auto"/>
        <w:right w:val="none" w:sz="0" w:space="0" w:color="auto"/>
      </w:divBdr>
    </w:div>
    <w:div w:id="1264996123">
      <w:bodyDiv w:val="1"/>
      <w:marLeft w:val="0"/>
      <w:marRight w:val="0"/>
      <w:marTop w:val="0"/>
      <w:marBottom w:val="0"/>
      <w:divBdr>
        <w:top w:val="none" w:sz="0" w:space="0" w:color="auto"/>
        <w:left w:val="none" w:sz="0" w:space="0" w:color="auto"/>
        <w:bottom w:val="none" w:sz="0" w:space="0" w:color="auto"/>
        <w:right w:val="none" w:sz="0" w:space="0" w:color="auto"/>
      </w:divBdr>
    </w:div>
    <w:div w:id="1416242801">
      <w:bodyDiv w:val="1"/>
      <w:marLeft w:val="0"/>
      <w:marRight w:val="0"/>
      <w:marTop w:val="0"/>
      <w:marBottom w:val="0"/>
      <w:divBdr>
        <w:top w:val="none" w:sz="0" w:space="0" w:color="auto"/>
        <w:left w:val="none" w:sz="0" w:space="0" w:color="auto"/>
        <w:bottom w:val="none" w:sz="0" w:space="0" w:color="auto"/>
        <w:right w:val="none" w:sz="0" w:space="0" w:color="auto"/>
      </w:divBdr>
    </w:div>
    <w:div w:id="167892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image" Target="media/image2.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lvif.gov.lv/?object_id=33067"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em.gov.lv/lv/nozares_politika/majokli/eku_energoefektivitate/no_direktivas_2012_27_es_par_energoefektivitati_izrietosas_prasibas/" TargetMode="External"/><Relationship Id="rId25" Type="http://schemas.openxmlformats.org/officeDocument/2006/relationships/hyperlink" Target="mailto:Ruta.Majeniece@em.gov.l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yperlink" Target="http://www.varam.gov.lv/lat/darbibas_veidi/KPFI/projekti/?doc=10875"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mailto:Edgars.Garkajis@em.gov.lv"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http://ibp.lv/files/download/393" TargetMode="External"/><Relationship Id="rId28"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hyperlink" Target="https://www.em.gov.lv/lv/nozares_politika/majokli/petijumi__statistika/"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em.gov.lv/images/modules/items/Gaisa_kond_sist_parbaudes_akts.doc" TargetMode="External"/><Relationship Id="rId22" Type="http://schemas.openxmlformats.org/officeDocument/2006/relationships/hyperlink" Target="http://www.buildupon.eu/" TargetMode="External"/><Relationship Id="rId27" Type="http://schemas.openxmlformats.org/officeDocument/2006/relationships/header" Target="header2.xml"/><Relationship Id="rId30"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m.gov.lv/files/majokli/PS_1.pdf" TargetMode="External"/><Relationship Id="rId2" Type="http://schemas.openxmlformats.org/officeDocument/2006/relationships/hyperlink" Target="https://em.gov.lv/files/es_fondi/2017-06-27_11_04_51_4212_Sakotnejais_izvertejums_18052016.docx" TargetMode="External"/><Relationship Id="rId1" Type="http://schemas.openxmlformats.org/officeDocument/2006/relationships/hyperlink" Target="http://data.csb.gov.lv/pxweb/lv/vide/vide__ikgad__energetika/EN0020.px/table/tableViewLayout2/?rxid=9777f82b-9f68-475c-9a33-a05b0175b0b5" TargetMode="External"/><Relationship Id="rId6" Type="http://schemas.openxmlformats.org/officeDocument/2006/relationships/hyperlink" Target="https://em.gov.lv/files/es_fondi/Ex%20ante%20izvertejums.pdf" TargetMode="External"/><Relationship Id="rId5" Type="http://schemas.openxmlformats.org/officeDocument/2006/relationships/hyperlink" Target="http://www.em.gov.lv/em/2nd/?cat=30641" TargetMode="External"/><Relationship Id="rId4" Type="http://schemas.openxmlformats.org/officeDocument/2006/relationships/hyperlink" Target="http://www.em.gov.lv/em/2nd/?cat=30641"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MajenieceR\Desktop\Copy%20of%20MA0010%20(003).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MajenieceR\Desktop\Copy%20of%20MA0010%20(003).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MajenieceR\AppData\Local\Microsoft\Windows\Temporary%20Internet%20Files\Content.Outlook\29I0CAP5\MA0010.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MajenieceR\AppData\Local\Microsoft\Windows\Temporary%20Internet%20Files\Content.Outlook\29I0CAP5\MA0010.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MajenieceR\Downloads\epm0101.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file:///\\fls5\Buvniecibas%20un%20majoklu%20politikas%20departaments\Majoklu%20politikas%20nodala\Eku_ilgtermina_strategija\Eeku%20ilgterminja%20renovacijas%20strateegija%20(2017)\sanjemtie%20dati\Energijas%20paterins%20majsaimniecibas.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89120421769405"/>
          <c:y val="7.1544715447154475E-2"/>
          <c:w val="0.87375521660660094"/>
          <c:h val="0.73038550668971258"/>
        </c:manualLayout>
      </c:layout>
      <c:barChart>
        <c:barDir val="col"/>
        <c:grouping val="clustered"/>
        <c:varyColors val="0"/>
        <c:ser>
          <c:idx val="0"/>
          <c:order val="0"/>
          <c:spPr>
            <a:solidFill>
              <a:schemeClr val="accent1"/>
            </a:solidFill>
            <a:ln>
              <a:noFill/>
            </a:ln>
            <a:effectLst/>
          </c:spPr>
          <c:invertIfNegative val="0"/>
          <c:cat>
            <c:strRef>
              <c:f>'MA0010'!$A$6:$A$32</c:f>
              <c:strCache>
                <c:ptCount val="27"/>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strCache>
            </c:strRef>
          </c:cat>
          <c:val>
            <c:numRef>
              <c:f>'MA0010'!$B$6:$B$32</c:f>
            </c:numRef>
          </c:val>
          <c:extLst>
            <c:ext xmlns:c16="http://schemas.microsoft.com/office/drawing/2014/chart" uri="{C3380CC4-5D6E-409C-BE32-E72D297353CC}">
              <c16:uniqueId val="{00000000-1C05-4169-B7D5-D7151A654D98}"/>
            </c:ext>
          </c:extLst>
        </c:ser>
        <c:ser>
          <c:idx val="1"/>
          <c:order val="1"/>
          <c:spPr>
            <a:solidFill>
              <a:schemeClr val="accent2"/>
            </a:solidFill>
            <a:ln>
              <a:noFill/>
            </a:ln>
            <a:effectLst/>
          </c:spPr>
          <c:invertIfNegative val="0"/>
          <c:cat>
            <c:strRef>
              <c:f>'MA0010'!$A$6:$A$32</c:f>
              <c:strCache>
                <c:ptCount val="27"/>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strCache>
            </c:strRef>
          </c:cat>
          <c:val>
            <c:numRef>
              <c:f>'MA0010'!$C$6:$C$32</c:f>
            </c:numRef>
          </c:val>
          <c:extLst>
            <c:ext xmlns:c16="http://schemas.microsoft.com/office/drawing/2014/chart" uri="{C3380CC4-5D6E-409C-BE32-E72D297353CC}">
              <c16:uniqueId val="{00000001-1C05-4169-B7D5-D7151A654D98}"/>
            </c:ext>
          </c:extLst>
        </c:ser>
        <c:ser>
          <c:idx val="2"/>
          <c:order val="2"/>
          <c:spPr>
            <a:solidFill>
              <a:schemeClr val="accent3"/>
            </a:solidFill>
            <a:ln>
              <a:noFill/>
            </a:ln>
            <a:effectLst/>
          </c:spPr>
          <c:invertIfNegative val="0"/>
          <c:cat>
            <c:strRef>
              <c:f>'MA0010'!$A$6:$A$32</c:f>
              <c:strCache>
                <c:ptCount val="27"/>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strCache>
            </c:strRef>
          </c:cat>
          <c:val>
            <c:numRef>
              <c:f>'MA0010'!$D$6:$D$32</c:f>
              <c:numCache>
                <c:formatCode>General</c:formatCode>
                <c:ptCount val="27"/>
                <c:pt idx="0">
                  <c:v>12125</c:v>
                </c:pt>
                <c:pt idx="1">
                  <c:v>6354</c:v>
                </c:pt>
                <c:pt idx="2">
                  <c:v>3986</c:v>
                </c:pt>
                <c:pt idx="3">
                  <c:v>2825</c:v>
                </c:pt>
                <c:pt idx="4">
                  <c:v>2571</c:v>
                </c:pt>
                <c:pt idx="5">
                  <c:v>708</c:v>
                </c:pt>
                <c:pt idx="6">
                  <c:v>152</c:v>
                </c:pt>
                <c:pt idx="7">
                  <c:v>148</c:v>
                </c:pt>
                <c:pt idx="8">
                  <c:v>100</c:v>
                </c:pt>
                <c:pt idx="9">
                  <c:v>15</c:v>
                </c:pt>
                <c:pt idx="10">
                  <c:v>63</c:v>
                </c:pt>
                <c:pt idx="11">
                  <c:v>16</c:v>
                </c:pt>
                <c:pt idx="12">
                  <c:v>68</c:v>
                </c:pt>
                <c:pt idx="13">
                  <c:v>2</c:v>
                </c:pt>
                <c:pt idx="14">
                  <c:v>1684</c:v>
                </c:pt>
                <c:pt idx="15">
                  <c:v>2436</c:v>
                </c:pt>
                <c:pt idx="16">
                  <c:v>4103</c:v>
                </c:pt>
                <c:pt idx="17">
                  <c:v>7287</c:v>
                </c:pt>
                <c:pt idx="18">
                  <c:v>6096</c:v>
                </c:pt>
                <c:pt idx="19">
                  <c:v>2433</c:v>
                </c:pt>
                <c:pt idx="20">
                  <c:v>442</c:v>
                </c:pt>
                <c:pt idx="21">
                  <c:v>1640</c:v>
                </c:pt>
                <c:pt idx="22">
                  <c:v>716</c:v>
                </c:pt>
                <c:pt idx="23">
                  <c:v>825</c:v>
                </c:pt>
                <c:pt idx="24">
                  <c:v>1239</c:v>
                </c:pt>
                <c:pt idx="25">
                  <c:v>1106</c:v>
                </c:pt>
                <c:pt idx="26">
                  <c:v>1066</c:v>
                </c:pt>
              </c:numCache>
            </c:numRef>
          </c:val>
          <c:extLst>
            <c:ext xmlns:c16="http://schemas.microsoft.com/office/drawing/2014/chart" uri="{C3380CC4-5D6E-409C-BE32-E72D297353CC}">
              <c16:uniqueId val="{00000002-1C05-4169-B7D5-D7151A654D98}"/>
            </c:ext>
          </c:extLst>
        </c:ser>
        <c:dLbls>
          <c:showLegendKey val="0"/>
          <c:showVal val="0"/>
          <c:showCatName val="0"/>
          <c:showSerName val="0"/>
          <c:showPercent val="0"/>
          <c:showBubbleSize val="0"/>
        </c:dLbls>
        <c:gapWidth val="150"/>
        <c:axId val="226119272"/>
        <c:axId val="226118880"/>
      </c:barChart>
      <c:catAx>
        <c:axId val="226119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26118880"/>
        <c:crosses val="autoZero"/>
        <c:auto val="1"/>
        <c:lblAlgn val="ctr"/>
        <c:lblOffset val="100"/>
        <c:noMultiLvlLbl val="0"/>
      </c:catAx>
      <c:valAx>
        <c:axId val="226118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26119272"/>
        <c:crossesAt val="1"/>
        <c:crossBetween val="midCat"/>
      </c:valAx>
      <c:spPr>
        <a:noFill/>
        <a:ln>
          <a:noFill/>
        </a:ln>
        <a:effectLst/>
      </c:spPr>
    </c:plotArea>
    <c:plotVisOnly val="1"/>
    <c:dispBlanksAs val="gap"/>
    <c:showDLblsOverMax val="0"/>
  </c:chart>
  <c:spPr>
    <a:noFill/>
    <a:ln w="9525" cap="flat" cmpd="sng" algn="ctr">
      <a:noFill/>
      <a:round/>
    </a:ln>
    <a:effectLst/>
  </c:spPr>
  <c:txPr>
    <a:bodyPr/>
    <a:lstStyle/>
    <a:p>
      <a:pPr>
        <a:defRPr/>
      </a:pPr>
      <a:endParaRPr lang="lv-LV"/>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349307329961235"/>
          <c:y val="3.1346922756150808E-2"/>
          <c:w val="0.74365403000121677"/>
          <c:h val="0.95975861991610023"/>
        </c:manualLayout>
      </c:layout>
      <c:pieChart>
        <c:varyColors val="1"/>
        <c:ser>
          <c:idx val="0"/>
          <c:order val="0"/>
          <c:dPt>
            <c:idx val="0"/>
            <c:bubble3D val="0"/>
            <c:spPr>
              <a:solidFill>
                <a:schemeClr val="accent3">
                  <a:shade val="53000"/>
                </a:schemeClr>
              </a:solidFill>
              <a:ln w="19050">
                <a:solidFill>
                  <a:schemeClr val="lt1"/>
                </a:solidFill>
              </a:ln>
              <a:effectLst/>
            </c:spPr>
            <c:extLst>
              <c:ext xmlns:c16="http://schemas.microsoft.com/office/drawing/2014/chart" uri="{C3380CC4-5D6E-409C-BE32-E72D297353CC}">
                <c16:uniqueId val="{00000001-BAC8-4223-8480-5C84959E4101}"/>
              </c:ext>
            </c:extLst>
          </c:dPt>
          <c:dPt>
            <c:idx val="1"/>
            <c:bubble3D val="0"/>
            <c:spPr>
              <a:solidFill>
                <a:schemeClr val="accent3">
                  <a:shade val="76000"/>
                </a:schemeClr>
              </a:solidFill>
              <a:ln w="19050">
                <a:solidFill>
                  <a:schemeClr val="lt1"/>
                </a:solidFill>
              </a:ln>
              <a:effectLst/>
            </c:spPr>
            <c:extLst>
              <c:ext xmlns:c16="http://schemas.microsoft.com/office/drawing/2014/chart" uri="{C3380CC4-5D6E-409C-BE32-E72D297353CC}">
                <c16:uniqueId val="{00000003-BAC8-4223-8480-5C84959E410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AC8-4223-8480-5C84959E4101}"/>
              </c:ext>
            </c:extLst>
          </c:dPt>
          <c:dPt>
            <c:idx val="3"/>
            <c:bubble3D val="0"/>
            <c:spPr>
              <a:solidFill>
                <a:schemeClr val="accent3">
                  <a:tint val="77000"/>
                </a:schemeClr>
              </a:solidFill>
              <a:ln w="19050">
                <a:solidFill>
                  <a:schemeClr val="lt1"/>
                </a:solidFill>
              </a:ln>
              <a:effectLst/>
            </c:spPr>
            <c:extLst>
              <c:ext xmlns:c16="http://schemas.microsoft.com/office/drawing/2014/chart" uri="{C3380CC4-5D6E-409C-BE32-E72D297353CC}">
                <c16:uniqueId val="{00000007-BAC8-4223-8480-5C84959E4101}"/>
              </c:ext>
            </c:extLst>
          </c:dPt>
          <c:dPt>
            <c:idx val="4"/>
            <c:bubble3D val="0"/>
            <c:spPr>
              <a:solidFill>
                <a:schemeClr val="accent3">
                  <a:tint val="54000"/>
                </a:schemeClr>
              </a:solidFill>
              <a:ln w="19050">
                <a:solidFill>
                  <a:schemeClr val="lt1"/>
                </a:solidFill>
              </a:ln>
              <a:effectLst/>
            </c:spPr>
            <c:extLst>
              <c:ext xmlns:c16="http://schemas.microsoft.com/office/drawing/2014/chart" uri="{C3380CC4-5D6E-409C-BE32-E72D297353CC}">
                <c16:uniqueId val="{00000009-BAC8-4223-8480-5C84959E4101}"/>
              </c:ext>
            </c:extLst>
          </c:dPt>
          <c:dPt>
            <c:idx val="5"/>
            <c:bubble3D val="0"/>
            <c:spPr>
              <a:solidFill>
                <a:schemeClr val="accent3">
                  <a:tint val="2000"/>
                </a:schemeClr>
              </a:solidFill>
              <a:ln w="19050">
                <a:solidFill>
                  <a:schemeClr val="lt1"/>
                </a:solidFill>
              </a:ln>
              <a:effectLst/>
            </c:spPr>
            <c:extLst>
              <c:ext xmlns:c16="http://schemas.microsoft.com/office/drawing/2014/chart" uri="{C3380CC4-5D6E-409C-BE32-E72D297353CC}">
                <c16:uniqueId val="{0000000B-BAC8-4223-8480-5C84959E4101}"/>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lv-LV"/>
              </a:p>
            </c:txPr>
            <c:dLblPos val="bestFit"/>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'MA0010'!$F$5:$F$8</c:f>
              <c:strCache>
                <c:ptCount val="4"/>
                <c:pt idx="0">
                  <c:v>1990. - 1995.</c:v>
                </c:pt>
                <c:pt idx="1">
                  <c:v>1996. - 2003.</c:v>
                </c:pt>
                <c:pt idx="2">
                  <c:v>2004. - 2009.</c:v>
                </c:pt>
                <c:pt idx="3">
                  <c:v>2010. - 2016.</c:v>
                </c:pt>
              </c:strCache>
            </c:strRef>
          </c:cat>
          <c:val>
            <c:numRef>
              <c:f>'MA0010'!$G$5:$G$8</c:f>
              <c:numCache>
                <c:formatCode>General</c:formatCode>
                <c:ptCount val="4"/>
                <c:pt idx="0">
                  <c:v>28569</c:v>
                </c:pt>
                <c:pt idx="1">
                  <c:v>564</c:v>
                </c:pt>
                <c:pt idx="2">
                  <c:v>24039</c:v>
                </c:pt>
                <c:pt idx="3">
                  <c:v>7034</c:v>
                </c:pt>
              </c:numCache>
            </c:numRef>
          </c:val>
          <c:extLst>
            <c:ext xmlns:c16="http://schemas.microsoft.com/office/drawing/2014/chart" uri="{C3380CC4-5D6E-409C-BE32-E72D297353CC}">
              <c16:uniqueId val="{0000000C-BAC8-4223-8480-5C84959E4101}"/>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noFill/>
    <a:ln w="9525" cap="flat" cmpd="sng" algn="ctr">
      <a:noFill/>
      <a:round/>
    </a:ln>
    <a:effectLst/>
  </c:spPr>
  <c:txPr>
    <a:bodyPr/>
    <a:lstStyle/>
    <a:p>
      <a:pPr>
        <a:defRPr/>
      </a:pPr>
      <a:endParaRPr lang="lv-LV"/>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660972463187863"/>
          <c:y val="4.8415215703670841E-2"/>
          <c:w val="0.74293838693892078"/>
          <c:h val="0.77171416953162542"/>
        </c:manualLayout>
      </c:layout>
      <c:pieChart>
        <c:varyColors val="1"/>
        <c:ser>
          <c:idx val="0"/>
          <c:order val="0"/>
          <c:dPt>
            <c:idx val="0"/>
            <c:bubble3D val="0"/>
            <c:spPr>
              <a:solidFill>
                <a:schemeClr val="accent3">
                  <a:shade val="53000"/>
                </a:schemeClr>
              </a:solidFill>
              <a:ln w="19050">
                <a:solidFill>
                  <a:schemeClr val="lt1"/>
                </a:solidFill>
              </a:ln>
              <a:effectLst/>
            </c:spPr>
            <c:extLst>
              <c:ext xmlns:c16="http://schemas.microsoft.com/office/drawing/2014/chart" uri="{C3380CC4-5D6E-409C-BE32-E72D297353CC}">
                <c16:uniqueId val="{00000001-86B9-4D7B-8D03-D298D6739E96}"/>
              </c:ext>
            </c:extLst>
          </c:dPt>
          <c:dPt>
            <c:idx val="1"/>
            <c:bubble3D val="0"/>
            <c:spPr>
              <a:solidFill>
                <a:schemeClr val="accent3">
                  <a:shade val="76000"/>
                </a:schemeClr>
              </a:solidFill>
              <a:ln w="19050">
                <a:solidFill>
                  <a:schemeClr val="lt1"/>
                </a:solidFill>
              </a:ln>
              <a:effectLst/>
            </c:spPr>
            <c:extLst>
              <c:ext xmlns:c16="http://schemas.microsoft.com/office/drawing/2014/chart" uri="{C3380CC4-5D6E-409C-BE32-E72D297353CC}">
                <c16:uniqueId val="{00000003-86B9-4D7B-8D03-D298D6739E9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6B9-4D7B-8D03-D298D6739E96}"/>
              </c:ext>
            </c:extLst>
          </c:dPt>
          <c:dPt>
            <c:idx val="3"/>
            <c:bubble3D val="0"/>
            <c:spPr>
              <a:solidFill>
                <a:schemeClr val="accent3">
                  <a:tint val="77000"/>
                </a:schemeClr>
              </a:solidFill>
              <a:ln w="19050">
                <a:solidFill>
                  <a:schemeClr val="lt1"/>
                </a:solidFill>
              </a:ln>
              <a:effectLst/>
            </c:spPr>
            <c:extLst>
              <c:ext xmlns:c16="http://schemas.microsoft.com/office/drawing/2014/chart" uri="{C3380CC4-5D6E-409C-BE32-E72D297353CC}">
                <c16:uniqueId val="{00000007-86B9-4D7B-8D03-D298D6739E96}"/>
              </c:ext>
            </c:extLst>
          </c:dPt>
          <c:dPt>
            <c:idx val="4"/>
            <c:bubble3D val="0"/>
            <c:spPr>
              <a:solidFill>
                <a:schemeClr val="accent3">
                  <a:tint val="54000"/>
                </a:schemeClr>
              </a:solidFill>
              <a:ln w="19050">
                <a:solidFill>
                  <a:schemeClr val="lt1"/>
                </a:solidFill>
              </a:ln>
              <a:effectLst/>
            </c:spPr>
            <c:extLst>
              <c:ext xmlns:c16="http://schemas.microsoft.com/office/drawing/2014/chart" uri="{C3380CC4-5D6E-409C-BE32-E72D297353CC}">
                <c16:uniqueId val="{00000009-86B9-4D7B-8D03-D298D6739E96}"/>
              </c:ext>
            </c:extLst>
          </c:dPt>
          <c:dPt>
            <c:idx val="5"/>
            <c:bubble3D val="0"/>
            <c:spPr>
              <a:solidFill>
                <a:schemeClr val="accent3">
                  <a:tint val="50000"/>
                </a:schemeClr>
              </a:solidFill>
              <a:ln w="19050">
                <a:solidFill>
                  <a:schemeClr val="lt1"/>
                </a:solidFill>
              </a:ln>
              <a:effectLst/>
            </c:spPr>
            <c:extLst>
              <c:ext xmlns:c16="http://schemas.microsoft.com/office/drawing/2014/chart" uri="{C3380CC4-5D6E-409C-BE32-E72D297353CC}">
                <c16:uniqueId val="{0000000B-86B9-4D7B-8D03-D298D6739E96}"/>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lv-LV"/>
              </a:p>
            </c:txPr>
            <c:dLblPos val="bestFit"/>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'MA0010'!$F$3:$F$8</c:f>
              <c:strCache>
                <c:ptCount val="6"/>
                <c:pt idx="0">
                  <c:v>1980.</c:v>
                </c:pt>
                <c:pt idx="1">
                  <c:v>1985.</c:v>
                </c:pt>
                <c:pt idx="2">
                  <c:v>1990. - 1995.</c:v>
                </c:pt>
                <c:pt idx="3">
                  <c:v>1996. - 2003.</c:v>
                </c:pt>
                <c:pt idx="4">
                  <c:v>2004. - 2009.</c:v>
                </c:pt>
                <c:pt idx="5">
                  <c:v>2010. - 2016.</c:v>
                </c:pt>
              </c:strCache>
            </c:strRef>
          </c:cat>
          <c:val>
            <c:numRef>
              <c:f>'MA0010'!$G$3:$G$8</c:f>
              <c:numCache>
                <c:formatCode>General</c:formatCode>
                <c:ptCount val="6"/>
                <c:pt idx="0">
                  <c:v>959</c:v>
                </c:pt>
                <c:pt idx="1">
                  <c:v>1009</c:v>
                </c:pt>
                <c:pt idx="2">
                  <c:v>1640</c:v>
                </c:pt>
                <c:pt idx="3">
                  <c:v>54.099999999999994</c:v>
                </c:pt>
                <c:pt idx="4">
                  <c:v>2480</c:v>
                </c:pt>
                <c:pt idx="5">
                  <c:v>841.3</c:v>
                </c:pt>
              </c:numCache>
            </c:numRef>
          </c:val>
          <c:extLst>
            <c:ext xmlns:c16="http://schemas.microsoft.com/office/drawing/2014/chart" uri="{C3380CC4-5D6E-409C-BE32-E72D297353CC}">
              <c16:uniqueId val="{0000000C-86B9-4D7B-8D03-D298D6739E96}"/>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cat>
            <c:strRef>
              <c:f>'MA0010'!$A$4:$A$32</c:f>
              <c:strCache>
                <c:ptCount val="29"/>
                <c:pt idx="0">
                  <c:v>1980</c:v>
                </c:pt>
                <c:pt idx="1">
                  <c:v>1985</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pt idx="22">
                  <c:v>2010</c:v>
                </c:pt>
                <c:pt idx="23">
                  <c:v>2011</c:v>
                </c:pt>
                <c:pt idx="24">
                  <c:v>2012</c:v>
                </c:pt>
                <c:pt idx="25">
                  <c:v>2013</c:v>
                </c:pt>
                <c:pt idx="26">
                  <c:v>2014</c:v>
                </c:pt>
                <c:pt idx="27">
                  <c:v>2015</c:v>
                </c:pt>
                <c:pt idx="28">
                  <c:v>2016</c:v>
                </c:pt>
              </c:strCache>
            </c:strRef>
          </c:cat>
          <c:val>
            <c:numRef>
              <c:f>'MA0010'!$B$4:$B$32</c:f>
            </c:numRef>
          </c:val>
          <c:extLst>
            <c:ext xmlns:c16="http://schemas.microsoft.com/office/drawing/2014/chart" uri="{C3380CC4-5D6E-409C-BE32-E72D297353CC}">
              <c16:uniqueId val="{00000000-99F6-402D-AD3F-ED3A2D055A29}"/>
            </c:ext>
          </c:extLst>
        </c:ser>
        <c:ser>
          <c:idx val="1"/>
          <c:order val="1"/>
          <c:spPr>
            <a:solidFill>
              <a:schemeClr val="accent2"/>
            </a:solidFill>
            <a:ln>
              <a:noFill/>
            </a:ln>
            <a:effectLst/>
          </c:spPr>
          <c:invertIfNegative val="0"/>
          <c:cat>
            <c:strRef>
              <c:f>'MA0010'!$A$4:$A$32</c:f>
              <c:strCache>
                <c:ptCount val="29"/>
                <c:pt idx="0">
                  <c:v>1980</c:v>
                </c:pt>
                <c:pt idx="1">
                  <c:v>1985</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pt idx="22">
                  <c:v>2010</c:v>
                </c:pt>
                <c:pt idx="23">
                  <c:v>2011</c:v>
                </c:pt>
                <c:pt idx="24">
                  <c:v>2012</c:v>
                </c:pt>
                <c:pt idx="25">
                  <c:v>2013</c:v>
                </c:pt>
                <c:pt idx="26">
                  <c:v>2014</c:v>
                </c:pt>
                <c:pt idx="27">
                  <c:v>2015</c:v>
                </c:pt>
                <c:pt idx="28">
                  <c:v>2016</c:v>
                </c:pt>
              </c:strCache>
            </c:strRef>
          </c:cat>
          <c:val>
            <c:numRef>
              <c:f>'MA0010'!$C$4:$C$32</c:f>
            </c:numRef>
          </c:val>
          <c:extLst>
            <c:ext xmlns:c16="http://schemas.microsoft.com/office/drawing/2014/chart" uri="{C3380CC4-5D6E-409C-BE32-E72D297353CC}">
              <c16:uniqueId val="{00000001-99F6-402D-AD3F-ED3A2D055A29}"/>
            </c:ext>
          </c:extLst>
        </c:ser>
        <c:ser>
          <c:idx val="2"/>
          <c:order val="2"/>
          <c:spPr>
            <a:solidFill>
              <a:schemeClr val="accent3"/>
            </a:solidFill>
            <a:ln>
              <a:noFill/>
            </a:ln>
            <a:effectLst/>
          </c:spPr>
          <c:invertIfNegative val="0"/>
          <c:cat>
            <c:strRef>
              <c:f>'MA0010'!$A$4:$A$32</c:f>
              <c:strCache>
                <c:ptCount val="29"/>
                <c:pt idx="0">
                  <c:v>1980</c:v>
                </c:pt>
                <c:pt idx="1">
                  <c:v>1985</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pt idx="22">
                  <c:v>2010</c:v>
                </c:pt>
                <c:pt idx="23">
                  <c:v>2011</c:v>
                </c:pt>
                <c:pt idx="24">
                  <c:v>2012</c:v>
                </c:pt>
                <c:pt idx="25">
                  <c:v>2013</c:v>
                </c:pt>
                <c:pt idx="26">
                  <c:v>2014</c:v>
                </c:pt>
                <c:pt idx="27">
                  <c:v>2015</c:v>
                </c:pt>
                <c:pt idx="28">
                  <c:v>2016</c:v>
                </c:pt>
              </c:strCache>
            </c:strRef>
          </c:cat>
          <c:val>
            <c:numRef>
              <c:f>'MA0010'!$D$4:$D$32</c:f>
              <c:numCache>
                <c:formatCode>General</c:formatCode>
                <c:ptCount val="29"/>
                <c:pt idx="0">
                  <c:v>959</c:v>
                </c:pt>
                <c:pt idx="1">
                  <c:v>1009</c:v>
                </c:pt>
                <c:pt idx="2">
                  <c:v>684</c:v>
                </c:pt>
                <c:pt idx="3">
                  <c:v>360.1</c:v>
                </c:pt>
                <c:pt idx="4">
                  <c:v>242.9</c:v>
                </c:pt>
                <c:pt idx="5">
                  <c:v>160.1</c:v>
                </c:pt>
                <c:pt idx="6">
                  <c:v>146.5</c:v>
                </c:pt>
                <c:pt idx="7">
                  <c:v>46.4</c:v>
                </c:pt>
                <c:pt idx="8">
                  <c:v>13</c:v>
                </c:pt>
                <c:pt idx="9">
                  <c:v>11.5</c:v>
                </c:pt>
                <c:pt idx="10">
                  <c:v>6.3</c:v>
                </c:pt>
                <c:pt idx="11">
                  <c:v>0.9</c:v>
                </c:pt>
                <c:pt idx="12">
                  <c:v>10.1</c:v>
                </c:pt>
                <c:pt idx="13">
                  <c:v>1.4</c:v>
                </c:pt>
                <c:pt idx="14">
                  <c:v>10.6</c:v>
                </c:pt>
                <c:pt idx="15">
                  <c:v>0.3</c:v>
                </c:pt>
                <c:pt idx="16">
                  <c:v>195.3</c:v>
                </c:pt>
                <c:pt idx="17">
                  <c:v>227.5</c:v>
                </c:pt>
                <c:pt idx="18">
                  <c:v>423.7</c:v>
                </c:pt>
                <c:pt idx="19">
                  <c:v>714.3</c:v>
                </c:pt>
                <c:pt idx="20">
                  <c:v>674.2</c:v>
                </c:pt>
                <c:pt idx="21">
                  <c:v>245</c:v>
                </c:pt>
                <c:pt idx="22">
                  <c:v>60.9</c:v>
                </c:pt>
                <c:pt idx="23">
                  <c:v>140</c:v>
                </c:pt>
                <c:pt idx="24">
                  <c:v>106.8</c:v>
                </c:pt>
                <c:pt idx="25">
                  <c:v>125.7</c:v>
                </c:pt>
                <c:pt idx="26">
                  <c:v>143.69999999999999</c:v>
                </c:pt>
                <c:pt idx="27">
                  <c:v>138.6</c:v>
                </c:pt>
                <c:pt idx="28">
                  <c:v>125.6</c:v>
                </c:pt>
              </c:numCache>
            </c:numRef>
          </c:val>
          <c:extLst>
            <c:ext xmlns:c16="http://schemas.microsoft.com/office/drawing/2014/chart" uri="{C3380CC4-5D6E-409C-BE32-E72D297353CC}">
              <c16:uniqueId val="{00000002-99F6-402D-AD3F-ED3A2D055A29}"/>
            </c:ext>
          </c:extLst>
        </c:ser>
        <c:dLbls>
          <c:showLegendKey val="0"/>
          <c:showVal val="0"/>
          <c:showCatName val="0"/>
          <c:showSerName val="0"/>
          <c:showPercent val="0"/>
          <c:showBubbleSize val="0"/>
        </c:dLbls>
        <c:gapWidth val="150"/>
        <c:axId val="143963448"/>
        <c:axId val="143963840"/>
      </c:barChart>
      <c:catAx>
        <c:axId val="143963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3963840"/>
        <c:crosses val="autoZero"/>
        <c:auto val="1"/>
        <c:lblAlgn val="ctr"/>
        <c:lblOffset val="100"/>
        <c:tickLblSkip val="1"/>
        <c:noMultiLvlLbl val="0"/>
      </c:catAx>
      <c:valAx>
        <c:axId val="143963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3963448"/>
        <c:crosses val="autoZero"/>
        <c:crossBetween val="midCat"/>
      </c:valAx>
      <c:spPr>
        <a:noFill/>
        <a:ln>
          <a:noFill/>
        </a:ln>
        <a:effectLst/>
      </c:spPr>
    </c:plotArea>
    <c:plotVisOnly val="1"/>
    <c:dispBlanksAs val="gap"/>
    <c:showDLblsOverMax val="0"/>
  </c:chart>
  <c:spPr>
    <a:noFill/>
    <a:ln w="9525" cap="flat" cmpd="sng" algn="ctr">
      <a:noFill/>
      <a:round/>
    </a:ln>
    <a:effectLst/>
  </c:spPr>
  <c:txPr>
    <a:bodyPr/>
    <a:lstStyle/>
    <a:p>
      <a:pPr>
        <a:defRPr/>
      </a:pPr>
      <a:endParaRPr lang="lv-LV"/>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Sheet1!$A$18</c:f>
              <c:strCache>
                <c:ptCount val="1"/>
                <c:pt idx="0">
                  <c:v>Sienas (vieglas)</c:v>
                </c:pt>
              </c:strCache>
            </c:strRef>
          </c:tx>
          <c:spPr>
            <a:solidFill>
              <a:schemeClr val="accent6">
                <a:tint val="54000"/>
              </a:schemeClr>
            </a:solidFill>
            <a:ln>
              <a:noFill/>
            </a:ln>
            <a:effectLst/>
          </c:spPr>
          <c:invertIfNegative val="0"/>
          <c:cat>
            <c:numRef>
              <c:f>Sheet1!$B$17:$E$17</c:f>
              <c:numCache>
                <c:formatCode>General</c:formatCode>
                <c:ptCount val="4"/>
                <c:pt idx="0">
                  <c:v>1980</c:v>
                </c:pt>
                <c:pt idx="1">
                  <c:v>1992</c:v>
                </c:pt>
                <c:pt idx="2">
                  <c:v>2003</c:v>
                </c:pt>
                <c:pt idx="3">
                  <c:v>2015</c:v>
                </c:pt>
              </c:numCache>
            </c:numRef>
          </c:cat>
          <c:val>
            <c:numRef>
              <c:f>Sheet1!$B$18:$E$18</c:f>
              <c:numCache>
                <c:formatCode>General</c:formatCode>
                <c:ptCount val="4"/>
                <c:pt idx="0">
                  <c:v>1.1000000000000001</c:v>
                </c:pt>
                <c:pt idx="1">
                  <c:v>0.42</c:v>
                </c:pt>
                <c:pt idx="2">
                  <c:v>0.25</c:v>
                </c:pt>
                <c:pt idx="3">
                  <c:v>0.18</c:v>
                </c:pt>
              </c:numCache>
            </c:numRef>
          </c:val>
          <c:extLst>
            <c:ext xmlns:c16="http://schemas.microsoft.com/office/drawing/2014/chart" uri="{C3380CC4-5D6E-409C-BE32-E72D297353CC}">
              <c16:uniqueId val="{00000000-1653-40FD-8BC1-AD0471BDE66A}"/>
            </c:ext>
          </c:extLst>
        </c:ser>
        <c:ser>
          <c:idx val="1"/>
          <c:order val="1"/>
          <c:tx>
            <c:strRef>
              <c:f>Sheet1!$A$19</c:f>
              <c:strCache>
                <c:ptCount val="1"/>
                <c:pt idx="0">
                  <c:v>Sienas (masīvas)</c:v>
                </c:pt>
              </c:strCache>
            </c:strRef>
          </c:tx>
          <c:spPr>
            <a:solidFill>
              <a:schemeClr val="accent6">
                <a:tint val="77000"/>
              </a:schemeClr>
            </a:solidFill>
            <a:ln>
              <a:noFill/>
            </a:ln>
            <a:effectLst/>
          </c:spPr>
          <c:invertIfNegative val="0"/>
          <c:cat>
            <c:numRef>
              <c:f>Sheet1!$B$17:$E$17</c:f>
              <c:numCache>
                <c:formatCode>General</c:formatCode>
                <c:ptCount val="4"/>
                <c:pt idx="0">
                  <c:v>1980</c:v>
                </c:pt>
                <c:pt idx="1">
                  <c:v>1992</c:v>
                </c:pt>
                <c:pt idx="2">
                  <c:v>2003</c:v>
                </c:pt>
                <c:pt idx="3">
                  <c:v>2015</c:v>
                </c:pt>
              </c:numCache>
            </c:numRef>
          </c:cat>
          <c:val>
            <c:numRef>
              <c:f>Sheet1!$B$19:$E$19</c:f>
              <c:numCache>
                <c:formatCode>General</c:formatCode>
                <c:ptCount val="4"/>
                <c:pt idx="0">
                  <c:v>1.1000000000000001</c:v>
                </c:pt>
                <c:pt idx="1">
                  <c:v>0.42</c:v>
                </c:pt>
                <c:pt idx="2">
                  <c:v>0.3</c:v>
                </c:pt>
                <c:pt idx="3">
                  <c:v>0.18</c:v>
                </c:pt>
              </c:numCache>
            </c:numRef>
          </c:val>
          <c:extLst>
            <c:ext xmlns:c16="http://schemas.microsoft.com/office/drawing/2014/chart" uri="{C3380CC4-5D6E-409C-BE32-E72D297353CC}">
              <c16:uniqueId val="{00000001-1653-40FD-8BC1-AD0471BDE66A}"/>
            </c:ext>
          </c:extLst>
        </c:ser>
        <c:ser>
          <c:idx val="2"/>
          <c:order val="2"/>
          <c:tx>
            <c:strRef>
              <c:f>Sheet1!$A$20</c:f>
              <c:strCache>
                <c:ptCount val="1"/>
                <c:pt idx="0">
                  <c:v>Jumti/pārsegumi</c:v>
                </c:pt>
              </c:strCache>
            </c:strRef>
          </c:tx>
          <c:spPr>
            <a:solidFill>
              <a:schemeClr val="accent6"/>
            </a:solidFill>
            <a:ln>
              <a:noFill/>
            </a:ln>
            <a:effectLst/>
          </c:spPr>
          <c:invertIfNegative val="0"/>
          <c:cat>
            <c:numRef>
              <c:f>Sheet1!$B$17:$E$17</c:f>
              <c:numCache>
                <c:formatCode>General</c:formatCode>
                <c:ptCount val="4"/>
                <c:pt idx="0">
                  <c:v>1980</c:v>
                </c:pt>
                <c:pt idx="1">
                  <c:v>1992</c:v>
                </c:pt>
                <c:pt idx="2">
                  <c:v>2003</c:v>
                </c:pt>
                <c:pt idx="3">
                  <c:v>2015</c:v>
                </c:pt>
              </c:numCache>
            </c:numRef>
          </c:cat>
          <c:val>
            <c:numRef>
              <c:f>Sheet1!$B$20:$E$20</c:f>
              <c:numCache>
                <c:formatCode>General</c:formatCode>
                <c:ptCount val="4"/>
                <c:pt idx="0">
                  <c:v>0.9</c:v>
                </c:pt>
                <c:pt idx="1">
                  <c:v>0.33</c:v>
                </c:pt>
                <c:pt idx="2">
                  <c:v>0.2</c:v>
                </c:pt>
                <c:pt idx="3">
                  <c:v>0.15</c:v>
                </c:pt>
              </c:numCache>
            </c:numRef>
          </c:val>
          <c:extLst>
            <c:ext xmlns:c16="http://schemas.microsoft.com/office/drawing/2014/chart" uri="{C3380CC4-5D6E-409C-BE32-E72D297353CC}">
              <c16:uniqueId val="{00000002-1653-40FD-8BC1-AD0471BDE66A}"/>
            </c:ext>
          </c:extLst>
        </c:ser>
        <c:ser>
          <c:idx val="3"/>
          <c:order val="3"/>
          <c:tx>
            <c:strRef>
              <c:f>Sheet1!$A$21</c:f>
              <c:strCache>
                <c:ptCount val="1"/>
                <c:pt idx="0">
                  <c:v>Logi</c:v>
                </c:pt>
              </c:strCache>
            </c:strRef>
          </c:tx>
          <c:spPr>
            <a:solidFill>
              <a:schemeClr val="accent6">
                <a:shade val="76000"/>
              </a:schemeClr>
            </a:solidFill>
            <a:ln>
              <a:noFill/>
            </a:ln>
            <a:effectLst/>
          </c:spPr>
          <c:invertIfNegative val="0"/>
          <c:cat>
            <c:numRef>
              <c:f>Sheet1!$B$17:$E$17</c:f>
              <c:numCache>
                <c:formatCode>General</c:formatCode>
                <c:ptCount val="4"/>
                <c:pt idx="0">
                  <c:v>1980</c:v>
                </c:pt>
                <c:pt idx="1">
                  <c:v>1992</c:v>
                </c:pt>
                <c:pt idx="2">
                  <c:v>2003</c:v>
                </c:pt>
                <c:pt idx="3">
                  <c:v>2015</c:v>
                </c:pt>
              </c:numCache>
            </c:numRef>
          </c:cat>
          <c:val>
            <c:numRef>
              <c:f>Sheet1!$B$21:$E$21</c:f>
              <c:numCache>
                <c:formatCode>General</c:formatCode>
                <c:ptCount val="4"/>
                <c:pt idx="0">
                  <c:v>2.4</c:v>
                </c:pt>
                <c:pt idx="1">
                  <c:v>2.2000000000000002</c:v>
                </c:pt>
                <c:pt idx="2">
                  <c:v>1.8</c:v>
                </c:pt>
                <c:pt idx="3">
                  <c:v>1.3</c:v>
                </c:pt>
              </c:numCache>
            </c:numRef>
          </c:val>
          <c:extLst>
            <c:ext xmlns:c16="http://schemas.microsoft.com/office/drawing/2014/chart" uri="{C3380CC4-5D6E-409C-BE32-E72D297353CC}">
              <c16:uniqueId val="{00000003-1653-40FD-8BC1-AD0471BDE66A}"/>
            </c:ext>
          </c:extLst>
        </c:ser>
        <c:ser>
          <c:idx val="4"/>
          <c:order val="4"/>
          <c:tx>
            <c:strRef>
              <c:f>Sheet1!$A$22</c:f>
              <c:strCache>
                <c:ptCount val="1"/>
                <c:pt idx="0">
                  <c:v>Durvis</c:v>
                </c:pt>
              </c:strCache>
            </c:strRef>
          </c:tx>
          <c:spPr>
            <a:solidFill>
              <a:schemeClr val="accent6">
                <a:shade val="53000"/>
              </a:schemeClr>
            </a:solidFill>
            <a:ln>
              <a:noFill/>
            </a:ln>
            <a:effectLst/>
          </c:spPr>
          <c:invertIfNegative val="0"/>
          <c:cat>
            <c:numRef>
              <c:f>Sheet1!$B$17:$E$17</c:f>
              <c:numCache>
                <c:formatCode>General</c:formatCode>
                <c:ptCount val="4"/>
                <c:pt idx="0">
                  <c:v>1980</c:v>
                </c:pt>
                <c:pt idx="1">
                  <c:v>1992</c:v>
                </c:pt>
                <c:pt idx="2">
                  <c:v>2003</c:v>
                </c:pt>
                <c:pt idx="3">
                  <c:v>2015</c:v>
                </c:pt>
              </c:numCache>
            </c:numRef>
          </c:cat>
          <c:val>
            <c:numRef>
              <c:f>Sheet1!$B$22:$E$22</c:f>
              <c:numCache>
                <c:formatCode>General</c:formatCode>
                <c:ptCount val="4"/>
                <c:pt idx="0">
                  <c:v>2.4</c:v>
                </c:pt>
                <c:pt idx="1">
                  <c:v>2.2000000000000002</c:v>
                </c:pt>
                <c:pt idx="2">
                  <c:v>1.8</c:v>
                </c:pt>
                <c:pt idx="3">
                  <c:v>1.8</c:v>
                </c:pt>
              </c:numCache>
            </c:numRef>
          </c:val>
          <c:extLst>
            <c:ext xmlns:c16="http://schemas.microsoft.com/office/drawing/2014/chart" uri="{C3380CC4-5D6E-409C-BE32-E72D297353CC}">
              <c16:uniqueId val="{00000004-1653-40FD-8BC1-AD0471BDE66A}"/>
            </c:ext>
          </c:extLst>
        </c:ser>
        <c:dLbls>
          <c:showLegendKey val="0"/>
          <c:showVal val="0"/>
          <c:showCatName val="0"/>
          <c:showSerName val="0"/>
          <c:showPercent val="0"/>
          <c:showBubbleSize val="0"/>
        </c:dLbls>
        <c:gapWidth val="150"/>
        <c:axId val="98056000"/>
        <c:axId val="144960448"/>
      </c:barChart>
      <c:catAx>
        <c:axId val="98056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4960448"/>
        <c:crosses val="autoZero"/>
        <c:auto val="1"/>
        <c:lblAlgn val="ctr"/>
        <c:lblOffset val="100"/>
        <c:noMultiLvlLbl val="0"/>
      </c:catAx>
      <c:valAx>
        <c:axId val="144960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U vērtība </a:t>
                </a:r>
                <a:endParaRPr lang="lv-LV"/>
              </a:p>
              <a:p>
                <a:pPr>
                  <a:defRPr/>
                </a:pPr>
                <a:r>
                  <a:rPr lang="en-US"/>
                  <a:t>W/(m2∙K)</a:t>
                </a:r>
              </a:p>
            </c:rich>
          </c:tx>
          <c:layout>
            <c:manualLayout>
              <c:xMode val="edge"/>
              <c:yMode val="edge"/>
              <c:x val="3.0555555555555555E-2"/>
              <c:y val="0.23175597841936424"/>
            </c:manualLayout>
          </c:layout>
          <c:overlay val="0"/>
          <c:spPr>
            <a:noFill/>
            <a:ln>
              <a:noFill/>
            </a:ln>
            <a:effectLst/>
          </c:spPr>
          <c:txPr>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980560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v-LV"/>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'[epm0101.xlsx]epm0101'!$A$4</c:f>
              <c:strCache>
                <c:ptCount val="1"/>
                <c:pt idx="0">
                  <c:v>Ķieģeļi, akmens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'[epm0101.xlsx]epm0101'!$B$3:$F$3</c:f>
              <c:strCache>
                <c:ptCount val="5"/>
                <c:pt idx="0">
                  <c:v>1996</c:v>
                </c:pt>
                <c:pt idx="1">
                  <c:v>2001</c:v>
                </c:pt>
                <c:pt idx="2">
                  <c:v>2006</c:v>
                </c:pt>
                <c:pt idx="3">
                  <c:v>2010</c:v>
                </c:pt>
                <c:pt idx="4">
                  <c:v>2015</c:v>
                </c:pt>
              </c:strCache>
            </c:strRef>
          </c:cat>
          <c:val>
            <c:numRef>
              <c:f>'[epm0101.xlsx]epm0101'!$B$4:$F$4</c:f>
              <c:numCache>
                <c:formatCode>General</c:formatCode>
                <c:ptCount val="5"/>
                <c:pt idx="0">
                  <c:v>42.6</c:v>
                </c:pt>
                <c:pt idx="1">
                  <c:v>39.799999999999997</c:v>
                </c:pt>
                <c:pt idx="2">
                  <c:v>37</c:v>
                </c:pt>
                <c:pt idx="3">
                  <c:v>32.1</c:v>
                </c:pt>
                <c:pt idx="4">
                  <c:v>33</c:v>
                </c:pt>
              </c:numCache>
            </c:numRef>
          </c:val>
          <c:extLst>
            <c:ext xmlns:c16="http://schemas.microsoft.com/office/drawing/2014/chart" uri="{C3380CC4-5D6E-409C-BE32-E72D297353CC}">
              <c16:uniqueId val="{00000000-AF05-4728-B3C0-A5766B957FC8}"/>
            </c:ext>
          </c:extLst>
        </c:ser>
        <c:ser>
          <c:idx val="1"/>
          <c:order val="1"/>
          <c:tx>
            <c:strRef>
              <c:f>'[epm0101.xlsx]epm0101'!$A$5</c:f>
              <c:strCache>
                <c:ptCount val="1"/>
                <c:pt idx="0">
                  <c:v>Betons, dzelzsbetons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'[epm0101.xlsx]epm0101'!$B$3:$F$3</c:f>
              <c:strCache>
                <c:ptCount val="5"/>
                <c:pt idx="0">
                  <c:v>1996</c:v>
                </c:pt>
                <c:pt idx="1">
                  <c:v>2001</c:v>
                </c:pt>
                <c:pt idx="2">
                  <c:v>2006</c:v>
                </c:pt>
                <c:pt idx="3">
                  <c:v>2010</c:v>
                </c:pt>
                <c:pt idx="4">
                  <c:v>2015</c:v>
                </c:pt>
              </c:strCache>
            </c:strRef>
          </c:cat>
          <c:val>
            <c:numRef>
              <c:f>'[epm0101.xlsx]epm0101'!$B$5:$F$5</c:f>
              <c:numCache>
                <c:formatCode>General</c:formatCode>
                <c:ptCount val="5"/>
                <c:pt idx="0">
                  <c:v>32.4</c:v>
                </c:pt>
                <c:pt idx="1">
                  <c:v>31.3</c:v>
                </c:pt>
                <c:pt idx="2">
                  <c:v>33.1</c:v>
                </c:pt>
                <c:pt idx="3">
                  <c:v>31</c:v>
                </c:pt>
                <c:pt idx="4">
                  <c:v>33.6</c:v>
                </c:pt>
              </c:numCache>
            </c:numRef>
          </c:val>
          <c:extLst>
            <c:ext xmlns:c16="http://schemas.microsoft.com/office/drawing/2014/chart" uri="{C3380CC4-5D6E-409C-BE32-E72D297353CC}">
              <c16:uniqueId val="{00000001-AF05-4728-B3C0-A5766B957FC8}"/>
            </c:ext>
          </c:extLst>
        </c:ser>
        <c:ser>
          <c:idx val="2"/>
          <c:order val="2"/>
          <c:tx>
            <c:strRef>
              <c:f>'[epm0101.xlsx]epm0101'!$A$6</c:f>
              <c:strCache>
                <c:ptCount val="1"/>
                <c:pt idx="0">
                  <c:v>Koks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'[epm0101.xlsx]epm0101'!$B$3:$F$3</c:f>
              <c:strCache>
                <c:ptCount val="5"/>
                <c:pt idx="0">
                  <c:v>1996</c:v>
                </c:pt>
                <c:pt idx="1">
                  <c:v>2001</c:v>
                </c:pt>
                <c:pt idx="2">
                  <c:v>2006</c:v>
                </c:pt>
                <c:pt idx="3">
                  <c:v>2010</c:v>
                </c:pt>
                <c:pt idx="4">
                  <c:v>2015</c:v>
                </c:pt>
              </c:strCache>
            </c:strRef>
          </c:cat>
          <c:val>
            <c:numRef>
              <c:f>'[epm0101.xlsx]epm0101'!$B$6:$F$6</c:f>
              <c:numCache>
                <c:formatCode>General</c:formatCode>
                <c:ptCount val="5"/>
                <c:pt idx="0">
                  <c:v>17.2</c:v>
                </c:pt>
                <c:pt idx="1">
                  <c:v>14.9</c:v>
                </c:pt>
                <c:pt idx="2">
                  <c:v>17.100000000000001</c:v>
                </c:pt>
                <c:pt idx="3">
                  <c:v>15.5</c:v>
                </c:pt>
                <c:pt idx="4">
                  <c:v>15.5</c:v>
                </c:pt>
              </c:numCache>
            </c:numRef>
          </c:val>
          <c:extLst>
            <c:ext xmlns:c16="http://schemas.microsoft.com/office/drawing/2014/chart" uri="{C3380CC4-5D6E-409C-BE32-E72D297353CC}">
              <c16:uniqueId val="{00000002-AF05-4728-B3C0-A5766B957FC8}"/>
            </c:ext>
          </c:extLst>
        </c:ser>
        <c:ser>
          <c:idx val="3"/>
          <c:order val="3"/>
          <c:tx>
            <c:strRef>
              <c:f>'[epm0101.xlsx]epm0101'!$A$7</c:f>
              <c:strCache>
                <c:ptCount val="1"/>
                <c:pt idx="0">
                  <c:v>Jaukts materiāls, cits</c:v>
                </c:pt>
              </c:strCache>
            </c:strRef>
          </c:tx>
          <c:spPr>
            <a:solidFill>
              <a:srgbClr val="5D743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'[epm0101.xlsx]epm0101'!$B$3:$F$3</c:f>
              <c:strCache>
                <c:ptCount val="5"/>
                <c:pt idx="0">
                  <c:v>1996</c:v>
                </c:pt>
                <c:pt idx="1">
                  <c:v>2001</c:v>
                </c:pt>
                <c:pt idx="2">
                  <c:v>2006</c:v>
                </c:pt>
                <c:pt idx="3">
                  <c:v>2010</c:v>
                </c:pt>
                <c:pt idx="4">
                  <c:v>2015</c:v>
                </c:pt>
              </c:strCache>
            </c:strRef>
          </c:cat>
          <c:val>
            <c:numRef>
              <c:f>'[epm0101.xlsx]epm0101'!$B$7:$F$7</c:f>
              <c:numCache>
                <c:formatCode>General</c:formatCode>
                <c:ptCount val="5"/>
                <c:pt idx="0">
                  <c:v>7.8</c:v>
                </c:pt>
                <c:pt idx="1">
                  <c:v>14</c:v>
                </c:pt>
                <c:pt idx="2">
                  <c:v>12.8</c:v>
                </c:pt>
                <c:pt idx="3">
                  <c:v>21.4</c:v>
                </c:pt>
                <c:pt idx="4">
                  <c:v>17.899999999999999</c:v>
                </c:pt>
              </c:numCache>
            </c:numRef>
          </c:val>
          <c:extLst>
            <c:ext xmlns:c16="http://schemas.microsoft.com/office/drawing/2014/chart" uri="{C3380CC4-5D6E-409C-BE32-E72D297353CC}">
              <c16:uniqueId val="{00000003-AF05-4728-B3C0-A5766B957FC8}"/>
            </c:ext>
          </c:extLst>
        </c:ser>
        <c:dLbls>
          <c:showLegendKey val="0"/>
          <c:showVal val="0"/>
          <c:showCatName val="0"/>
          <c:showSerName val="0"/>
          <c:showPercent val="0"/>
          <c:showBubbleSize val="0"/>
        </c:dLbls>
        <c:gapWidth val="150"/>
        <c:overlap val="100"/>
        <c:axId val="299375176"/>
        <c:axId val="299375568"/>
      </c:barChart>
      <c:catAx>
        <c:axId val="299375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99375568"/>
        <c:crosses val="autoZero"/>
        <c:auto val="1"/>
        <c:lblAlgn val="ctr"/>
        <c:lblOffset val="100"/>
        <c:noMultiLvlLbl val="0"/>
      </c:catAx>
      <c:valAx>
        <c:axId val="299375568"/>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99375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'[Energijas paterins majsaimniecibas.xlsx]Majsaimn_nrg_dati_apk_plat'!$Q$59</c:f>
              <c:strCache>
                <c:ptCount val="1"/>
                <c:pt idx="0">
                  <c:v>2014</c:v>
                </c:pt>
              </c:strCache>
            </c:strRef>
          </c:tx>
          <c:spPr>
            <a:solidFill>
              <a:schemeClr val="accent6">
                <a:shade val="65000"/>
              </a:schemeClr>
            </a:solidFill>
            <a:ln>
              <a:noFill/>
            </a:ln>
            <a:effectLst/>
          </c:spPr>
          <c:invertIfNegative val="0"/>
          <c:cat>
            <c:strRef>
              <c:f>'[Energijas paterins majsaimniecibas.xlsx]Majsaimn_nrg_dati_apk_plat'!$R$58:$T$58</c:f>
              <c:strCache>
                <c:ptCount val="3"/>
                <c:pt idx="0">
                  <c:v>Biroju ēkas</c:v>
                </c:pt>
                <c:pt idx="1">
                  <c:v>Izglītības iestāžu ēkas</c:v>
                </c:pt>
                <c:pt idx="2">
                  <c:v>Daudzdzīvokļu ēkas</c:v>
                </c:pt>
              </c:strCache>
            </c:strRef>
          </c:cat>
          <c:val>
            <c:numRef>
              <c:f>'[Energijas paterins majsaimniecibas.xlsx]Majsaimn_nrg_dati_apk_plat'!$R$59:$T$59</c:f>
              <c:numCache>
                <c:formatCode>General</c:formatCode>
                <c:ptCount val="3"/>
                <c:pt idx="0">
                  <c:v>133.02000000000001</c:v>
                </c:pt>
                <c:pt idx="1">
                  <c:v>123.42</c:v>
                </c:pt>
                <c:pt idx="2">
                  <c:v>157.66999999999999</c:v>
                </c:pt>
              </c:numCache>
            </c:numRef>
          </c:val>
          <c:extLst>
            <c:ext xmlns:c16="http://schemas.microsoft.com/office/drawing/2014/chart" uri="{C3380CC4-5D6E-409C-BE32-E72D297353CC}">
              <c16:uniqueId val="{00000000-A61C-4369-91B4-5153878D187B}"/>
            </c:ext>
          </c:extLst>
        </c:ser>
        <c:ser>
          <c:idx val="1"/>
          <c:order val="1"/>
          <c:tx>
            <c:strRef>
              <c:f>'[Energijas paterins majsaimniecibas.xlsx]Majsaimn_nrg_dati_apk_plat'!$Q$60</c:f>
              <c:strCache>
                <c:ptCount val="1"/>
                <c:pt idx="0">
                  <c:v>2015</c:v>
                </c:pt>
              </c:strCache>
            </c:strRef>
          </c:tx>
          <c:spPr>
            <a:solidFill>
              <a:schemeClr val="accent6"/>
            </a:solidFill>
            <a:ln>
              <a:noFill/>
            </a:ln>
            <a:effectLst/>
          </c:spPr>
          <c:invertIfNegative val="0"/>
          <c:cat>
            <c:strRef>
              <c:f>'[Energijas paterins majsaimniecibas.xlsx]Majsaimn_nrg_dati_apk_plat'!$R$58:$T$58</c:f>
              <c:strCache>
                <c:ptCount val="3"/>
                <c:pt idx="0">
                  <c:v>Biroju ēkas</c:v>
                </c:pt>
                <c:pt idx="1">
                  <c:v>Izglītības iestāžu ēkas</c:v>
                </c:pt>
                <c:pt idx="2">
                  <c:v>Daudzdzīvokļu ēkas</c:v>
                </c:pt>
              </c:strCache>
            </c:strRef>
          </c:cat>
          <c:val>
            <c:numRef>
              <c:f>'[Energijas paterins majsaimniecibas.xlsx]Majsaimn_nrg_dati_apk_plat'!$R$60:$T$60</c:f>
              <c:numCache>
                <c:formatCode>General</c:formatCode>
                <c:ptCount val="3"/>
                <c:pt idx="0">
                  <c:v>131.38999999999999</c:v>
                </c:pt>
                <c:pt idx="1">
                  <c:v>121.73</c:v>
                </c:pt>
                <c:pt idx="2">
                  <c:v>151.36000000000001</c:v>
                </c:pt>
              </c:numCache>
            </c:numRef>
          </c:val>
          <c:extLst>
            <c:ext xmlns:c16="http://schemas.microsoft.com/office/drawing/2014/chart" uri="{C3380CC4-5D6E-409C-BE32-E72D297353CC}">
              <c16:uniqueId val="{00000001-A61C-4369-91B4-5153878D187B}"/>
            </c:ext>
          </c:extLst>
        </c:ser>
        <c:ser>
          <c:idx val="2"/>
          <c:order val="2"/>
          <c:tx>
            <c:strRef>
              <c:f>'[Energijas paterins majsaimniecibas.xlsx]Majsaimn_nrg_dati_apk_plat'!$Q$61</c:f>
              <c:strCache>
                <c:ptCount val="1"/>
                <c:pt idx="0">
                  <c:v>2016</c:v>
                </c:pt>
              </c:strCache>
            </c:strRef>
          </c:tx>
          <c:spPr>
            <a:solidFill>
              <a:schemeClr val="accent6">
                <a:tint val="65000"/>
              </a:schemeClr>
            </a:solidFill>
            <a:ln>
              <a:noFill/>
            </a:ln>
            <a:effectLst/>
          </c:spPr>
          <c:invertIfNegative val="0"/>
          <c:cat>
            <c:strRef>
              <c:f>'[Energijas paterins majsaimniecibas.xlsx]Majsaimn_nrg_dati_apk_plat'!$R$58:$T$58</c:f>
              <c:strCache>
                <c:ptCount val="3"/>
                <c:pt idx="0">
                  <c:v>Biroju ēkas</c:v>
                </c:pt>
                <c:pt idx="1">
                  <c:v>Izglītības iestāžu ēkas</c:v>
                </c:pt>
                <c:pt idx="2">
                  <c:v>Daudzdzīvokļu ēkas</c:v>
                </c:pt>
              </c:strCache>
            </c:strRef>
          </c:cat>
          <c:val>
            <c:numRef>
              <c:f>'[Energijas paterins majsaimniecibas.xlsx]Majsaimn_nrg_dati_apk_plat'!$R$61:$T$61</c:f>
              <c:numCache>
                <c:formatCode>General</c:formatCode>
                <c:ptCount val="3"/>
                <c:pt idx="0">
                  <c:v>125.83</c:v>
                </c:pt>
                <c:pt idx="1">
                  <c:v>122.49</c:v>
                </c:pt>
                <c:pt idx="2">
                  <c:v>152.04</c:v>
                </c:pt>
              </c:numCache>
            </c:numRef>
          </c:val>
          <c:extLst>
            <c:ext xmlns:c16="http://schemas.microsoft.com/office/drawing/2014/chart" uri="{C3380CC4-5D6E-409C-BE32-E72D297353CC}">
              <c16:uniqueId val="{00000002-A61C-4369-91B4-5153878D187B}"/>
            </c:ext>
          </c:extLst>
        </c:ser>
        <c:dLbls>
          <c:showLegendKey val="0"/>
          <c:showVal val="0"/>
          <c:showCatName val="0"/>
          <c:showSerName val="0"/>
          <c:showPercent val="0"/>
          <c:showBubbleSize val="0"/>
        </c:dLbls>
        <c:gapWidth val="150"/>
        <c:axId val="299374784"/>
        <c:axId val="299375960"/>
      </c:barChart>
      <c:catAx>
        <c:axId val="299374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99375960"/>
        <c:crosses val="autoZero"/>
        <c:auto val="1"/>
        <c:lblAlgn val="ctr"/>
        <c:lblOffset val="100"/>
        <c:noMultiLvlLbl val="0"/>
      </c:catAx>
      <c:valAx>
        <c:axId val="299375960"/>
        <c:scaling>
          <c:orientation val="minMax"/>
          <c:max val="16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9937478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v-LV"/>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withinLinear" id="16">
  <a:schemeClr val="accent3"/>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Reversed" id="26">
  <a:schemeClr val="accent6"/>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withinLinear" id="19">
  <a:schemeClr val="accent6"/>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5682E-F30B-43E5-B520-40D078BAF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90688</Words>
  <Characters>51693</Characters>
  <Application>Microsoft Office Word</Application>
  <DocSecurity>0</DocSecurity>
  <Lines>430</Lines>
  <Paragraphs>284</Paragraphs>
  <ScaleCrop>false</ScaleCrop>
  <HeadingPairs>
    <vt:vector size="2" baseType="variant">
      <vt:variant>
        <vt:lpstr>Title</vt:lpstr>
      </vt:variant>
      <vt:variant>
        <vt:i4>1</vt:i4>
      </vt:variant>
    </vt:vector>
  </HeadingPairs>
  <TitlesOfParts>
    <vt:vector size="1" baseType="lpstr">
      <vt:lpstr>Ēku atjaunošanas ilgtermiņa stratēģija</vt:lpstr>
    </vt:vector>
  </TitlesOfParts>
  <Company>Ekonomikas ministrija</Company>
  <LinksUpToDate>false</LinksUpToDate>
  <CharactersWithSpaces>142097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Ēku atjaunošanas ilgtermiņa stratēģija</dc:title>
  <dc:subject>Informatīvais ziņijums</dc:subject>
  <dc:creator>Edgars Garkājis</dc:creator>
  <cp:keywords/>
  <dc:description>Edgars.Garkajis@em.gov.lv, 67013045</dc:description>
  <cp:lastModifiedBy>Patricija Ozoliņa</cp:lastModifiedBy>
  <cp:revision>3</cp:revision>
  <cp:lastPrinted>2017-04-12T11:49:00Z</cp:lastPrinted>
  <dcterms:created xsi:type="dcterms:W3CDTF">2017-12-21T08:26:00Z</dcterms:created>
  <dcterms:modified xsi:type="dcterms:W3CDTF">2017-12-21T08:26:00Z</dcterms:modified>
</cp:coreProperties>
</file>