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C47B18" w14:textId="77777777" w:rsidR="006955FA" w:rsidRPr="006955FA" w:rsidRDefault="006955FA" w:rsidP="006955F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955F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2.pielikums </w:t>
      </w:r>
      <w:r w:rsidRPr="006955FA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 xml:space="preserve">Ministru kabineta </w:t>
      </w:r>
      <w:r w:rsidRPr="006955FA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2009.gada 25.augusta noteikumiem Nr.970</w:t>
      </w:r>
      <w:bookmarkStart w:id="0" w:name="piel-300865"/>
      <w:bookmarkEnd w:id="0"/>
    </w:p>
    <w:p w14:paraId="49ADD6C2" w14:textId="77777777" w:rsidR="006955FA" w:rsidRDefault="006955FA" w:rsidP="006955F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bookmarkStart w:id="1" w:name="300866"/>
      <w:bookmarkStart w:id="2" w:name="n-300866"/>
      <w:bookmarkEnd w:id="1"/>
      <w:bookmarkEnd w:id="2"/>
    </w:p>
    <w:p w14:paraId="0AB31439" w14:textId="2EEBF443" w:rsidR="006955FA" w:rsidRPr="006955FA" w:rsidRDefault="006955FA" w:rsidP="006955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6955FA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Sabiedrības iebildumi un priekšlikumi par noteikumu projektu Grozījumi Ministru kabineta 2018. gada 20. marta noteikumos Nr. 169 “Būvspeciālistu kompetences novērtēšanas un patstāvīgās prakses uzraudzības noteikumi”</w:t>
      </w:r>
    </w:p>
    <w:p w14:paraId="0BCEE11E" w14:textId="77777777" w:rsidR="006955FA" w:rsidRPr="006955FA" w:rsidRDefault="006955FA" w:rsidP="006955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955FA">
        <w:rPr>
          <w:rFonts w:ascii="Times New Roman" w:eastAsia="Times New Roman" w:hAnsi="Times New Roman" w:cs="Times New Roman"/>
          <w:sz w:val="27"/>
          <w:szCs w:val="27"/>
          <w:lang w:eastAsia="lv-LV"/>
        </w:rPr>
        <w:t> </w:t>
      </w:r>
    </w:p>
    <w:tbl>
      <w:tblPr>
        <w:tblStyle w:val="TableGrid"/>
        <w:tblW w:w="14472" w:type="dxa"/>
        <w:tblLook w:val="04A0" w:firstRow="1" w:lastRow="0" w:firstColumn="1" w:lastColumn="0" w:noHBand="0" w:noVBand="1"/>
      </w:tblPr>
      <w:tblGrid>
        <w:gridCol w:w="1545"/>
        <w:gridCol w:w="2697"/>
        <w:gridCol w:w="5806"/>
        <w:gridCol w:w="1470"/>
        <w:gridCol w:w="2954"/>
      </w:tblGrid>
      <w:tr w:rsidR="006955FA" w:rsidRPr="00AC7677" w14:paraId="513FB73A" w14:textId="77777777" w:rsidTr="00EB3E70">
        <w:tc>
          <w:tcPr>
            <w:tcW w:w="1659" w:type="dxa"/>
            <w:vAlign w:val="center"/>
          </w:tcPr>
          <w:p w14:paraId="4AFDAD3E" w14:textId="189847A9" w:rsidR="006955FA" w:rsidRPr="00AC7677" w:rsidRDefault="006955FA" w:rsidP="006955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AC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Nr.</w:t>
            </w:r>
            <w:r w:rsidRPr="00AC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br/>
              <w:t>p.k.</w:t>
            </w:r>
          </w:p>
        </w:tc>
        <w:tc>
          <w:tcPr>
            <w:tcW w:w="2509" w:type="dxa"/>
            <w:vAlign w:val="center"/>
          </w:tcPr>
          <w:p w14:paraId="00EC12F3" w14:textId="751EED60" w:rsidR="006955FA" w:rsidRPr="00AC7677" w:rsidRDefault="006955FA" w:rsidP="006955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AC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Iebilduma/priekšlikuma iesniedzējs</w:t>
            </w:r>
          </w:p>
        </w:tc>
        <w:tc>
          <w:tcPr>
            <w:tcW w:w="6175" w:type="dxa"/>
            <w:vAlign w:val="center"/>
          </w:tcPr>
          <w:p w14:paraId="7B9F9C36" w14:textId="594FEC78" w:rsidR="006955FA" w:rsidRPr="00AC7677" w:rsidRDefault="006955FA" w:rsidP="006955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AC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Iesniegtā iebilduma/</w:t>
            </w:r>
            <w:r w:rsidRPr="00AC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br/>
              <w:t>priekšlikuma būtība</w:t>
            </w:r>
          </w:p>
        </w:tc>
        <w:tc>
          <w:tcPr>
            <w:tcW w:w="1134" w:type="dxa"/>
            <w:vAlign w:val="center"/>
          </w:tcPr>
          <w:p w14:paraId="3538BCB4" w14:textId="0AA9107C" w:rsidR="006955FA" w:rsidRPr="00AC7677" w:rsidRDefault="006955FA" w:rsidP="006955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AC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Ņemts vērā/</w:t>
            </w:r>
            <w:r w:rsidRPr="00AC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br/>
              <w:t>nav ņemts vērā</w:t>
            </w:r>
          </w:p>
        </w:tc>
        <w:tc>
          <w:tcPr>
            <w:tcW w:w="2995" w:type="dxa"/>
            <w:vAlign w:val="center"/>
          </w:tcPr>
          <w:p w14:paraId="5CAC18C9" w14:textId="459C0035" w:rsidR="006955FA" w:rsidRPr="00AC7677" w:rsidRDefault="006955FA" w:rsidP="006955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AC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Pamatojums, ja iebildums/priekšlikums</w:t>
            </w:r>
            <w:r w:rsidRPr="00AC7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br/>
              <w:t>nav ņemts vērā</w:t>
            </w:r>
          </w:p>
        </w:tc>
      </w:tr>
      <w:tr w:rsidR="006955FA" w14:paraId="6AEDDAEE" w14:textId="77777777" w:rsidTr="00EB3E70">
        <w:tc>
          <w:tcPr>
            <w:tcW w:w="1659" w:type="dxa"/>
            <w:vAlign w:val="center"/>
          </w:tcPr>
          <w:p w14:paraId="14650E9B" w14:textId="5A72DE66" w:rsidR="006955FA" w:rsidRDefault="006955FA" w:rsidP="006955F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2509" w:type="dxa"/>
            <w:vAlign w:val="center"/>
          </w:tcPr>
          <w:p w14:paraId="03EDFE52" w14:textId="72B9DBA8" w:rsidR="006955FA" w:rsidRDefault="006955FA" w:rsidP="006955F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Biedrība “L</w:t>
            </w:r>
            <w:r w:rsidRPr="006955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atvijas Ugunsdrošības asociācija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”</w:t>
            </w:r>
          </w:p>
        </w:tc>
        <w:tc>
          <w:tcPr>
            <w:tcW w:w="6175" w:type="dxa"/>
            <w:vAlign w:val="center"/>
          </w:tcPr>
          <w:p w14:paraId="5C423121" w14:textId="6E4EB963" w:rsidR="006955FA" w:rsidRDefault="00F42C9B" w:rsidP="006955F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</w:t>
            </w:r>
            <w:r w:rsidRPr="006955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gunsaizsardzības sistēma ir sistēmu kopums kurus nevar izskatīt atsevišķi un izdalīt kuras jomas sertifikāts būtu atbilstošāks konkrētai sistēmai vai konkrētam risinājumam.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Līdz ar to būtu nepieciešams, lai attiecībā uz ugunsdrošības sistēmām būvniecības ieceres dokumentācijas izstrādi, būvdarbu vadīšanu</w:t>
            </w:r>
            <w:r w:rsidR="00AC767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būvuzraudzību</w:t>
            </w:r>
            <w:r w:rsidR="00AC767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vai būvekspertīzi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savas kompetences ietvaros varētu veikt viens būvspeciālists. Līdz ar to nepieciešams papildināt noteikumu projektu paredzot </w:t>
            </w:r>
            <w:r w:rsidR="00AC767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arī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elektroenerģijas jomas būvspeciālistiem veikt </w:t>
            </w:r>
            <w:r w:rsidRPr="006955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Dūmu aizsardzība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  <w:r w:rsidRPr="006955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(ESS-DA)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un</w:t>
            </w:r>
            <w:r w:rsidRPr="006955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Centralizētā izziņošanas sistēma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  <w:r w:rsidRPr="006955F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(ESS-CI)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projektēšanu, izbūves darbu vadīšanu, būvuzraudzību, būvju un būvprojektu ekspertīzi.</w:t>
            </w:r>
          </w:p>
        </w:tc>
        <w:tc>
          <w:tcPr>
            <w:tcW w:w="1134" w:type="dxa"/>
            <w:vAlign w:val="center"/>
          </w:tcPr>
          <w:p w14:paraId="7263B8AB" w14:textId="693FA845" w:rsidR="006955FA" w:rsidRDefault="006955FA" w:rsidP="006955F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Ņemts vērā</w:t>
            </w:r>
          </w:p>
        </w:tc>
        <w:tc>
          <w:tcPr>
            <w:tcW w:w="2995" w:type="dxa"/>
            <w:vAlign w:val="center"/>
          </w:tcPr>
          <w:p w14:paraId="76B077B9" w14:textId="77777777" w:rsidR="006955FA" w:rsidRDefault="006955FA" w:rsidP="006955F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6955FA" w14:paraId="71AA1C42" w14:textId="77777777" w:rsidTr="00EB3E70">
        <w:tc>
          <w:tcPr>
            <w:tcW w:w="1659" w:type="dxa"/>
            <w:vAlign w:val="center"/>
          </w:tcPr>
          <w:p w14:paraId="41F4DDDD" w14:textId="5631FB37" w:rsidR="006955FA" w:rsidRDefault="00F42C9B" w:rsidP="006955F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2. </w:t>
            </w:r>
          </w:p>
        </w:tc>
        <w:tc>
          <w:tcPr>
            <w:tcW w:w="2509" w:type="dxa"/>
            <w:vAlign w:val="center"/>
          </w:tcPr>
          <w:p w14:paraId="69F0356F" w14:textId="43D0F578" w:rsidR="006955FA" w:rsidRDefault="00F42C9B" w:rsidP="006955F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Biedrība “Latvijas elektroenerģētiķu un energobūvnieku asociācija”</w:t>
            </w:r>
          </w:p>
        </w:tc>
        <w:tc>
          <w:tcPr>
            <w:tcW w:w="6175" w:type="dxa"/>
            <w:vAlign w:val="center"/>
          </w:tcPr>
          <w:p w14:paraId="45995B2A" w14:textId="77777777" w:rsidR="00F42C9B" w:rsidRPr="00F42C9B" w:rsidRDefault="00F42C9B" w:rsidP="00F42C9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42C9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LEEA ierosina un aicina rast iespēju iekļaut reglamentētās darbības sfērās kompetences novērtēšanas jomās un specialitātēs elektroietaišu tehnisko parametru mērīšanu līdz 1 (kilovoltiem) kV un elektroietaišu termogrāfiskus mērījumus līdz 1 kV, papildinot Ministru kabineta noteikumu Nr. 169. “Būvspeciālistu kompetences novērtēšanas un patstāvīgās prakses uzraudzības </w:t>
            </w:r>
            <w:r w:rsidRPr="00F42C9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noteikumi” noteikumi” 1. pielikumu ar sadaļu sekojošā redakcijā:</w:t>
            </w:r>
          </w:p>
          <w:tbl>
            <w:tblPr>
              <w:tblW w:w="0" w:type="auto"/>
              <w:tblInd w:w="128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blBorders>
              <w:shd w:val="clear" w:color="auto" w:fill="FFFFFF"/>
              <w:tblLook w:val="04A0" w:firstRow="1" w:lastRow="0" w:firstColumn="1" w:lastColumn="0" w:noHBand="0" w:noVBand="1"/>
            </w:tblPr>
            <w:tblGrid>
              <w:gridCol w:w="329"/>
              <w:gridCol w:w="1767"/>
              <w:gridCol w:w="3346"/>
            </w:tblGrid>
            <w:tr w:rsidR="00EB3E70" w:rsidRPr="006A5021" w14:paraId="11F7DBA7" w14:textId="77777777" w:rsidTr="00EB3E70">
              <w:trPr>
                <w:trHeight w:val="336"/>
              </w:trPr>
              <w:tc>
                <w:tcPr>
                  <w:tcW w:w="36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24F35BB" w14:textId="77777777" w:rsidR="00EB3E70" w:rsidRPr="003804C3" w:rsidRDefault="00EB3E70" w:rsidP="00EB3E70">
                  <w:pPr>
                    <w:jc w:val="both"/>
                    <w:rPr>
                      <w:color w:val="333333"/>
                      <w:sz w:val="28"/>
                      <w:szCs w:val="28"/>
                    </w:rPr>
                  </w:pPr>
                </w:p>
              </w:tc>
              <w:tc>
                <w:tcPr>
                  <w:tcW w:w="185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3CD0893" w14:textId="032EC7F4" w:rsidR="00EB3E70" w:rsidRPr="003804C3" w:rsidRDefault="00EB3E70" w:rsidP="00EB3E70">
                  <w:pPr>
                    <w:jc w:val="both"/>
                    <w:rPr>
                      <w:b/>
                      <w:bCs/>
                      <w:color w:val="333333"/>
                      <w:sz w:val="28"/>
                      <w:szCs w:val="28"/>
                    </w:rPr>
                  </w:pPr>
                  <w:r w:rsidRPr="007162C4">
                    <w:t>Joma, specialitāte</w:t>
                  </w:r>
                </w:p>
              </w:tc>
              <w:tc>
                <w:tcPr>
                  <w:tcW w:w="359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BCEA761" w14:textId="4FB3EC8D" w:rsidR="00EB3E70" w:rsidRPr="003804C3" w:rsidRDefault="00EB3E70" w:rsidP="00EB3E70">
                  <w:pPr>
                    <w:jc w:val="both"/>
                    <w:rPr>
                      <w:b/>
                      <w:bCs/>
                      <w:color w:val="333333"/>
                      <w:sz w:val="28"/>
                      <w:szCs w:val="28"/>
                    </w:rPr>
                  </w:pPr>
                  <w:r w:rsidRPr="007162C4">
                    <w:t>Darbības sfēra</w:t>
                  </w:r>
                </w:p>
              </w:tc>
            </w:tr>
            <w:tr w:rsidR="00EB3E70" w:rsidRPr="006A5021" w14:paraId="592BA9B1" w14:textId="77777777" w:rsidTr="00EB3E70">
              <w:trPr>
                <w:trHeight w:val="336"/>
              </w:trPr>
              <w:tc>
                <w:tcPr>
                  <w:tcW w:w="36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CB25DF9" w14:textId="4BACF430" w:rsidR="00EB3E70" w:rsidRPr="003804C3" w:rsidRDefault="00EB3E70" w:rsidP="00EB3E7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5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1CBFE2A" w14:textId="22422F61" w:rsidR="00EB3E70" w:rsidRPr="003804C3" w:rsidRDefault="00EB3E70" w:rsidP="00EB3E70">
                  <w:pPr>
                    <w:jc w:val="both"/>
                    <w:rPr>
                      <w:sz w:val="28"/>
                      <w:szCs w:val="28"/>
                    </w:rPr>
                  </w:pPr>
                  <w:r w:rsidRPr="007162C4">
                    <w:t>Tehnisko parametru mērīšana</w:t>
                  </w:r>
                </w:p>
              </w:tc>
              <w:tc>
                <w:tcPr>
                  <w:tcW w:w="359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9E24987" w14:textId="544E1DC1" w:rsidR="00EB3E70" w:rsidRPr="003804C3" w:rsidRDefault="00EB3E70" w:rsidP="00EB3E70">
                  <w:pPr>
                    <w:jc w:val="both"/>
                    <w:rPr>
                      <w:sz w:val="28"/>
                      <w:szCs w:val="28"/>
                    </w:rPr>
                  </w:pPr>
                  <w:r w:rsidRPr="007162C4">
                    <w:t xml:space="preserve">Elektroietaišu tehnisko parametru mērīšana līdz 1 kV </w:t>
                  </w:r>
                </w:p>
              </w:tc>
            </w:tr>
            <w:tr w:rsidR="00EB3E70" w:rsidRPr="006A5021" w14:paraId="4BA86110" w14:textId="77777777" w:rsidTr="00EB3E70">
              <w:trPr>
                <w:trHeight w:val="336"/>
              </w:trPr>
              <w:tc>
                <w:tcPr>
                  <w:tcW w:w="3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B19C97B" w14:textId="2BA1C097" w:rsidR="00EB3E70" w:rsidRPr="003804C3" w:rsidRDefault="00EB3E70" w:rsidP="00EB3E70">
                  <w:pPr>
                    <w:jc w:val="both"/>
                    <w:rPr>
                      <w:sz w:val="28"/>
                      <w:szCs w:val="28"/>
                    </w:rPr>
                  </w:pPr>
                  <w:r w:rsidRPr="007162C4">
                    <w:t xml:space="preserve"> </w:t>
                  </w:r>
                </w:p>
              </w:tc>
              <w:tc>
                <w:tcPr>
                  <w:tcW w:w="18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7538040" w14:textId="271D5964" w:rsidR="00EB3E70" w:rsidRPr="003804C3" w:rsidRDefault="00EB3E70" w:rsidP="00EB3E70">
                  <w:pPr>
                    <w:jc w:val="both"/>
                    <w:rPr>
                      <w:sz w:val="28"/>
                      <w:szCs w:val="28"/>
                    </w:rPr>
                  </w:pPr>
                  <w:r w:rsidRPr="007162C4">
                    <w:t xml:space="preserve"> </w:t>
                  </w:r>
                </w:p>
              </w:tc>
              <w:tc>
                <w:tcPr>
                  <w:tcW w:w="359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96BE7CC" w14:textId="5ADF82E2" w:rsidR="00EB3E70" w:rsidRPr="003804C3" w:rsidRDefault="00EB3E70" w:rsidP="00EB3E70">
                  <w:pPr>
                    <w:jc w:val="both"/>
                    <w:rPr>
                      <w:sz w:val="28"/>
                      <w:szCs w:val="28"/>
                    </w:rPr>
                  </w:pPr>
                  <w:r w:rsidRPr="007162C4">
                    <w:t xml:space="preserve">Elektroietaišu termogrāfiskie mērījumi līdz 1 kV </w:t>
                  </w:r>
                </w:p>
              </w:tc>
            </w:tr>
          </w:tbl>
          <w:p w14:paraId="3F3ECE79" w14:textId="56916706" w:rsidR="006955FA" w:rsidRDefault="006955FA" w:rsidP="00F42C9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  <w:vAlign w:val="center"/>
          </w:tcPr>
          <w:p w14:paraId="6783C80E" w14:textId="1D18C5A1" w:rsidR="006955FA" w:rsidRDefault="00EB3E70" w:rsidP="006955F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Priekšlikums nav ņemts vērā</w:t>
            </w:r>
          </w:p>
        </w:tc>
        <w:tc>
          <w:tcPr>
            <w:tcW w:w="2995" w:type="dxa"/>
            <w:vAlign w:val="center"/>
          </w:tcPr>
          <w:p w14:paraId="739BCCB3" w14:textId="77777777" w:rsidR="006955FA" w:rsidRDefault="00EB3E70" w:rsidP="006955F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Biedrības “Latvijas elektroenerģētiķu un energobūvnieku asociācija” iesniegtais priekšlikums neattiecās uz noteikumu projektu. </w:t>
            </w:r>
          </w:p>
          <w:p w14:paraId="459EA198" w14:textId="043DEBF2" w:rsidR="00EB3E70" w:rsidRDefault="00EB3E70" w:rsidP="006955F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Priekšlikums tiks izvērtēts, pārskatot Ministru kabineta 2018.gada 20.marta noteikumu Nr.169 “Būvspeciālistu kompetences novērtēšanas un patstāvīgās prakses uzraudzības noteikumi” 1. pielikumā iekļautās darbības sfēras.</w:t>
            </w:r>
          </w:p>
        </w:tc>
      </w:tr>
    </w:tbl>
    <w:p w14:paraId="14FE7FDC" w14:textId="027BE1E2" w:rsidR="00EB3E70" w:rsidRDefault="00EB3E70">
      <w:bookmarkStart w:id="3" w:name="_GoBack"/>
      <w:bookmarkEnd w:id="3"/>
    </w:p>
    <w:p w14:paraId="65954F1A" w14:textId="77777777" w:rsidR="00EB3E70" w:rsidRDefault="00EB3E70"/>
    <w:p w14:paraId="015BFAAB" w14:textId="77777777" w:rsidR="00EB3E70" w:rsidRPr="00EB3E70" w:rsidRDefault="00EB3E70" w:rsidP="00EB3E70">
      <w:pPr>
        <w:keepNext/>
        <w:keepLines/>
        <w:ind w:firstLine="375"/>
        <w:jc w:val="both"/>
        <w:rPr>
          <w:rFonts w:ascii="Times New Roman" w:hAnsi="Times New Roman" w:cs="Times New Roman"/>
          <w:sz w:val="24"/>
          <w:szCs w:val="24"/>
        </w:rPr>
      </w:pPr>
      <w:r w:rsidRPr="00EB3E70">
        <w:rPr>
          <w:rFonts w:ascii="Times New Roman" w:hAnsi="Times New Roman" w:cs="Times New Roman"/>
          <w:sz w:val="24"/>
          <w:szCs w:val="24"/>
        </w:rPr>
        <w:t xml:space="preserve">                                              Olga Feldmane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65"/>
      </w:tblGrid>
      <w:tr w:rsidR="00EB3E70" w:rsidRPr="00EB3E70" w14:paraId="29A393CE" w14:textId="77777777" w:rsidTr="007D250F">
        <w:trPr>
          <w:tblCellSpacing w:w="0" w:type="dxa"/>
        </w:trPr>
        <w:tc>
          <w:tcPr>
            <w:tcW w:w="8265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14:paraId="40AC3615" w14:textId="77777777" w:rsidR="00EB3E70" w:rsidRPr="00EB3E70" w:rsidRDefault="00EB3E70" w:rsidP="007D250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E70">
              <w:rPr>
                <w:rFonts w:ascii="Times New Roman" w:hAnsi="Times New Roman" w:cs="Times New Roman"/>
                <w:sz w:val="24"/>
                <w:szCs w:val="24"/>
              </w:rPr>
              <w:t>(par projektu atbildīgās amatpersonas vārds un uzvārds)</w:t>
            </w:r>
          </w:p>
        </w:tc>
      </w:tr>
      <w:tr w:rsidR="00EB3E70" w:rsidRPr="00EB3E70" w14:paraId="21EDEE10" w14:textId="77777777" w:rsidTr="007D250F">
        <w:trPr>
          <w:tblCellSpacing w:w="0" w:type="dxa"/>
        </w:trPr>
        <w:tc>
          <w:tcPr>
            <w:tcW w:w="8265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14:paraId="1751386A" w14:textId="77777777" w:rsidR="00EB3E70" w:rsidRPr="00EB3E70" w:rsidRDefault="00EB3E70" w:rsidP="007D250F">
            <w:pPr>
              <w:keepNext/>
              <w:keepLines/>
              <w:ind w:firstLine="3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E7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Būvniecības politikas departamenta direktore</w:t>
            </w:r>
          </w:p>
        </w:tc>
      </w:tr>
      <w:tr w:rsidR="00EB3E70" w:rsidRPr="00EB3E70" w14:paraId="0BA1DDA1" w14:textId="77777777" w:rsidTr="007D250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D28E17" w14:textId="77777777" w:rsidR="00EB3E70" w:rsidRPr="00EB3E70" w:rsidRDefault="00EB3E70" w:rsidP="007D250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E70">
              <w:rPr>
                <w:rFonts w:ascii="Times New Roman" w:hAnsi="Times New Roman" w:cs="Times New Roman"/>
                <w:sz w:val="24"/>
                <w:szCs w:val="24"/>
              </w:rPr>
              <w:t>(amats)</w:t>
            </w:r>
          </w:p>
        </w:tc>
      </w:tr>
      <w:tr w:rsidR="00EB3E70" w:rsidRPr="00EB3E70" w14:paraId="07149A36" w14:textId="77777777" w:rsidTr="00EB3E70">
        <w:trPr>
          <w:trHeight w:val="504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274D4CC" w14:textId="77777777" w:rsidR="00EB3E70" w:rsidRPr="00EB3E70" w:rsidRDefault="00EB3E70" w:rsidP="007D250F">
            <w:pPr>
              <w:keepNext/>
              <w:keepLines/>
              <w:ind w:firstLine="3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E7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67013257</w:t>
            </w:r>
          </w:p>
        </w:tc>
      </w:tr>
      <w:tr w:rsidR="00EB3E70" w:rsidRPr="00EB3E70" w14:paraId="33F803DF" w14:textId="77777777" w:rsidTr="007D250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6CC616" w14:textId="77777777" w:rsidR="00EB3E70" w:rsidRPr="00EB3E70" w:rsidRDefault="00EB3E70" w:rsidP="007D250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E70">
              <w:rPr>
                <w:rFonts w:ascii="Times New Roman" w:hAnsi="Times New Roman" w:cs="Times New Roman"/>
                <w:sz w:val="24"/>
                <w:szCs w:val="24"/>
              </w:rPr>
              <w:t>(tālruņa un faksa numurs)</w:t>
            </w:r>
          </w:p>
        </w:tc>
      </w:tr>
      <w:tr w:rsidR="00EB3E70" w:rsidRPr="00EB3E70" w14:paraId="3F944B92" w14:textId="77777777" w:rsidTr="007D250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E954566" w14:textId="77777777" w:rsidR="00EB3E70" w:rsidRPr="00EB3E70" w:rsidRDefault="00EB3E70" w:rsidP="007D250F">
            <w:pPr>
              <w:keepNext/>
              <w:keepLines/>
              <w:ind w:firstLine="3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E7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Olga.Feldmane@em.gov.lv</w:t>
            </w:r>
          </w:p>
        </w:tc>
      </w:tr>
      <w:tr w:rsidR="00EB3E70" w:rsidRPr="00EB3E70" w14:paraId="7B49F1FE" w14:textId="77777777" w:rsidTr="007D250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240112" w14:textId="77777777" w:rsidR="00EB3E70" w:rsidRPr="00EB3E70" w:rsidRDefault="00EB3E70" w:rsidP="007D250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E70">
              <w:rPr>
                <w:rFonts w:ascii="Times New Roman" w:hAnsi="Times New Roman" w:cs="Times New Roman"/>
                <w:sz w:val="24"/>
                <w:szCs w:val="24"/>
              </w:rPr>
              <w:t>(e-pasta adrese)</w:t>
            </w:r>
          </w:p>
        </w:tc>
      </w:tr>
    </w:tbl>
    <w:p w14:paraId="61B90736" w14:textId="12569E41" w:rsidR="00EB3E70" w:rsidRPr="00EB3E70" w:rsidRDefault="00EB3E70">
      <w:pPr>
        <w:rPr>
          <w:rFonts w:ascii="Times New Roman" w:hAnsi="Times New Roman" w:cs="Times New Roman"/>
          <w:sz w:val="24"/>
          <w:szCs w:val="24"/>
        </w:rPr>
      </w:pPr>
    </w:p>
    <w:p w14:paraId="7FF6326C" w14:textId="77777777" w:rsidR="00EB3E70" w:rsidRPr="00EB3E70" w:rsidRDefault="00EB3E70" w:rsidP="00EB3E70">
      <w:pPr>
        <w:pStyle w:val="Subtitle"/>
        <w:widowControl/>
        <w:spacing w:before="0" w:after="0" w:line="276" w:lineRule="auto"/>
        <w:rPr>
          <w:b w:val="0"/>
          <w:bCs/>
          <w:szCs w:val="24"/>
          <w:lang w:val="lv-LV"/>
        </w:rPr>
      </w:pPr>
      <w:r w:rsidRPr="00EB3E70">
        <w:rPr>
          <w:b w:val="0"/>
          <w:bCs/>
          <w:szCs w:val="24"/>
          <w:lang w:val="lv-LV"/>
        </w:rPr>
        <w:t>Gusts Sproģis 67013113</w:t>
      </w:r>
    </w:p>
    <w:p w14:paraId="22F95D56" w14:textId="77777777" w:rsidR="00EB3E70" w:rsidRPr="00C73D7F" w:rsidRDefault="00EB3E70" w:rsidP="00EB3E70">
      <w:pPr>
        <w:pStyle w:val="Subtitle"/>
        <w:widowControl/>
        <w:spacing w:before="0" w:after="0" w:line="276" w:lineRule="auto"/>
        <w:rPr>
          <w:b w:val="0"/>
          <w:bCs/>
          <w:szCs w:val="24"/>
          <w:lang w:val="lv-LV"/>
        </w:rPr>
      </w:pPr>
      <w:r w:rsidRPr="00C73D7F">
        <w:rPr>
          <w:b w:val="0"/>
          <w:bCs/>
          <w:szCs w:val="24"/>
          <w:lang w:val="lv-LV"/>
        </w:rPr>
        <w:t>gusts.sprogis@em.gov.lv</w:t>
      </w:r>
    </w:p>
    <w:p w14:paraId="2001CBDA" w14:textId="77777777" w:rsidR="00EB3E70" w:rsidRDefault="00EB3E70"/>
    <w:sectPr w:rsidR="00EB3E70" w:rsidSect="00EB3E70">
      <w:pgSz w:w="16838" w:h="11906" w:orient="landscape"/>
      <w:pgMar w:top="1418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47C"/>
    <w:rsid w:val="001F372B"/>
    <w:rsid w:val="00225C05"/>
    <w:rsid w:val="006955FA"/>
    <w:rsid w:val="00AC7677"/>
    <w:rsid w:val="00C73D7F"/>
    <w:rsid w:val="00EB3E70"/>
    <w:rsid w:val="00F4147C"/>
    <w:rsid w:val="00F4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51AC5E"/>
  <w15:chartTrackingRefBased/>
  <w15:docId w15:val="{87363650-2052-47FF-8F71-C6723B21B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225C05"/>
    <w:pPr>
      <w:spacing w:after="0" w:line="240" w:lineRule="auto"/>
    </w:pPr>
    <w:rPr>
      <w:rFonts w:ascii="Times New Roman" w:eastAsia="Times New Roman" w:hAnsi="Times New Roman" w:cs="Times New Roman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25C05"/>
    <w:rPr>
      <w:rFonts w:ascii="Times New Roman" w:eastAsia="Times New Roman" w:hAnsi="Times New Roman" w:cs="Times New Roman"/>
      <w:szCs w:val="18"/>
    </w:rPr>
  </w:style>
  <w:style w:type="paragraph" w:customStyle="1" w:styleId="tvhtml">
    <w:name w:val="tv_html"/>
    <w:basedOn w:val="Normal"/>
    <w:rsid w:val="00695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TableGrid">
    <w:name w:val="Table Grid"/>
    <w:basedOn w:val="TableNormal"/>
    <w:uiPriority w:val="39"/>
    <w:rsid w:val="00695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qFormat/>
    <w:rsid w:val="00EB3E70"/>
    <w:pPr>
      <w:keepNext/>
      <w:keepLines/>
      <w:widowControl w:val="0"/>
      <w:suppressAutoHyphens/>
      <w:spacing w:before="600" w:after="600" w:line="240" w:lineRule="auto"/>
      <w:ind w:right="4820"/>
    </w:pPr>
    <w:rPr>
      <w:rFonts w:ascii="Times New Roman" w:eastAsia="Times New Roman" w:hAnsi="Times New Roman" w:cs="Times New Roman"/>
      <w:b/>
      <w:sz w:val="24"/>
      <w:szCs w:val="20"/>
      <w:lang w:val="x-none"/>
    </w:rPr>
  </w:style>
  <w:style w:type="character" w:customStyle="1" w:styleId="SubtitleChar">
    <w:name w:val="Subtitle Char"/>
    <w:basedOn w:val="DefaultParagraphFont"/>
    <w:link w:val="Subtitle"/>
    <w:rsid w:val="00EB3E70"/>
    <w:rPr>
      <w:rFonts w:ascii="Times New Roman" w:eastAsia="Times New Roman" w:hAnsi="Times New Roman" w:cs="Times New Roman"/>
      <w:b/>
      <w:sz w:val="24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9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2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4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90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1702</Words>
  <Characters>971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Gusts Sproģis</dc:creator>
  <cp:keywords/>
  <dc:description/>
  <cp:lastModifiedBy>Gusts Sproģis</cp:lastModifiedBy>
  <cp:revision>3</cp:revision>
  <dcterms:created xsi:type="dcterms:W3CDTF">2021-02-15T11:08:00Z</dcterms:created>
  <dcterms:modified xsi:type="dcterms:W3CDTF">2021-02-15T13:08:00Z</dcterms:modified>
</cp:coreProperties>
</file>