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F4D8" w14:textId="77777777" w:rsidR="00021D98" w:rsidRDefault="00F6514E" w:rsidP="007610E0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Vadlīnijas </w:t>
      </w:r>
      <w:r w:rsidRPr="007610E0">
        <w:rPr>
          <w:rFonts w:ascii="Times New Roman" w:hAnsi="Times New Roman" w:cs="Times New Roman"/>
          <w:b/>
          <w:bCs/>
        </w:rPr>
        <w:t>būvspeciālistu kompetences pārbaudes iestādēm</w:t>
      </w:r>
      <w:r>
        <w:rPr>
          <w:rFonts w:ascii="Times New Roman" w:hAnsi="Times New Roman" w:cs="Times New Roman"/>
          <w:b/>
          <w:bCs/>
        </w:rPr>
        <w:t xml:space="preserve"> par būvspeciālistu kompetences novērtēšanu un patstāvīgās prakses uzraudzību</w:t>
      </w:r>
    </w:p>
    <w:p w14:paraId="41E7DB69" w14:textId="77777777" w:rsidR="007610E0" w:rsidRDefault="007610E0" w:rsidP="00021D98">
      <w:pPr>
        <w:pStyle w:val="Default"/>
        <w:rPr>
          <w:rFonts w:ascii="Times New Roman" w:hAnsi="Times New Roman" w:cs="Times New Roman"/>
          <w:b/>
          <w:bCs/>
        </w:rPr>
      </w:pPr>
    </w:p>
    <w:p w14:paraId="76D915EC" w14:textId="77777777" w:rsidR="007610E0" w:rsidRDefault="007610E0" w:rsidP="00D2106C">
      <w:pPr>
        <w:pStyle w:val="Default"/>
        <w:rPr>
          <w:rFonts w:ascii="Times New Roman" w:hAnsi="Times New Roman" w:cs="Times New Roman"/>
          <w:b/>
          <w:bCs/>
        </w:rPr>
      </w:pPr>
    </w:p>
    <w:p w14:paraId="012AE338" w14:textId="77777777" w:rsidR="00D2106C" w:rsidRDefault="00F6514E" w:rsidP="00D2106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0021F9">
        <w:rPr>
          <w:rFonts w:ascii="Times New Roman" w:hAnsi="Times New Roman" w:cs="Times New Roman"/>
          <w:b/>
          <w:bCs/>
        </w:rPr>
        <w:t xml:space="preserve">Ievads </w:t>
      </w:r>
    </w:p>
    <w:p w14:paraId="655B7EC8" w14:textId="77777777" w:rsidR="00F255E6" w:rsidRPr="000021F9" w:rsidRDefault="00F255E6" w:rsidP="00D2106C">
      <w:pPr>
        <w:pStyle w:val="Default"/>
        <w:rPr>
          <w:rFonts w:ascii="Times New Roman" w:hAnsi="Times New Roman" w:cs="Times New Roman"/>
        </w:rPr>
      </w:pPr>
    </w:p>
    <w:p w14:paraId="021BBBA4" w14:textId="77777777" w:rsidR="00D4342E" w:rsidRDefault="00F6514E" w:rsidP="00021504">
      <w:pPr>
        <w:pStyle w:val="tv213"/>
        <w:spacing w:before="0" w:beforeAutospacing="0" w:after="0" w:afterAutospacing="0" w:line="293" w:lineRule="atLeast"/>
        <w:jc w:val="both"/>
      </w:pPr>
      <w:r w:rsidRPr="000021F9">
        <w:t>Šo metodisko vadlīniju mērķis ir</w:t>
      </w:r>
      <w:r w:rsidR="00E14D68">
        <w:t>:</w:t>
      </w:r>
      <w:r w:rsidRPr="000021F9">
        <w:t xml:space="preserve"> </w:t>
      </w:r>
    </w:p>
    <w:p w14:paraId="7CFA409E" w14:textId="77777777" w:rsidR="00D4342E" w:rsidRDefault="00F6514E" w:rsidP="003F2AB9">
      <w:pPr>
        <w:pStyle w:val="tv213"/>
        <w:numPr>
          <w:ilvl w:val="0"/>
          <w:numId w:val="1"/>
        </w:numPr>
        <w:spacing w:before="0" w:beforeAutospacing="0" w:after="0" w:afterAutospacing="0" w:line="293" w:lineRule="atLeast"/>
        <w:jc w:val="both"/>
      </w:pPr>
      <w:r>
        <w:t xml:space="preserve">nodrošināt vienotu pieeju potenciālajām </w:t>
      </w:r>
      <w:r w:rsidRPr="000021F9">
        <w:t xml:space="preserve">būvspeciālistu kompetences </w:t>
      </w:r>
      <w:r w:rsidRPr="000021F9">
        <w:t>pārbaudes iestādēm (turpmāk tekstā – KPI)</w:t>
      </w:r>
      <w:r w:rsidR="00BB6A71">
        <w:t xml:space="preserve"> </w:t>
      </w:r>
      <w:r w:rsidR="005F0B17">
        <w:t xml:space="preserve">jautājumos par </w:t>
      </w:r>
      <w:r w:rsidR="005F0B17" w:rsidRPr="005F0B17">
        <w:t>būvspeciālistu kompetences novērtēšanas un patstāvīgās prakses uzraudzības organizēšanu</w:t>
      </w:r>
      <w:r w:rsidR="00077150">
        <w:t>;</w:t>
      </w:r>
    </w:p>
    <w:p w14:paraId="278DD687" w14:textId="77777777" w:rsidR="00077150" w:rsidRDefault="00F6514E" w:rsidP="003F2AB9">
      <w:pPr>
        <w:pStyle w:val="tv213"/>
        <w:numPr>
          <w:ilvl w:val="0"/>
          <w:numId w:val="1"/>
        </w:numPr>
        <w:spacing w:before="0" w:beforeAutospacing="0" w:after="0" w:afterAutospacing="0" w:line="293" w:lineRule="atLeast"/>
        <w:jc w:val="both"/>
      </w:pPr>
      <w:r>
        <w:t>nodrošināt, ka kompetences novērtēšanas procesā KPI pārliecinās par pretendenta teorētiskām un praktiskām zinā</w:t>
      </w:r>
      <w:r>
        <w:t>šanām par būtiskām būvniecības prasībām</w:t>
      </w:r>
      <w:r w:rsidR="005F0B17">
        <w:t>;</w:t>
      </w:r>
    </w:p>
    <w:p w14:paraId="076BBD75" w14:textId="77777777" w:rsidR="00077150" w:rsidRDefault="00F6514E" w:rsidP="003F2AB9">
      <w:pPr>
        <w:pStyle w:val="tv213"/>
        <w:numPr>
          <w:ilvl w:val="0"/>
          <w:numId w:val="1"/>
        </w:numPr>
        <w:spacing w:before="0" w:beforeAutospacing="0" w:after="0" w:afterAutospacing="0" w:line="293" w:lineRule="atLeast"/>
        <w:jc w:val="both"/>
      </w:pPr>
      <w:r>
        <w:t>nodrošināt, ka būvspeciālisti sniedz kvalitatīvus būvniecības pakalpojumus</w:t>
      </w:r>
      <w:r w:rsidR="005F0B17">
        <w:t>;</w:t>
      </w:r>
    </w:p>
    <w:p w14:paraId="4B4FDEC3" w14:textId="77777777" w:rsidR="00021D98" w:rsidRDefault="00F6514E" w:rsidP="003F2AB9">
      <w:pPr>
        <w:pStyle w:val="tv213"/>
        <w:numPr>
          <w:ilvl w:val="0"/>
          <w:numId w:val="1"/>
        </w:numPr>
        <w:spacing w:before="0" w:beforeAutospacing="0" w:after="0" w:afterAutospacing="0" w:line="293" w:lineRule="atLeast"/>
        <w:jc w:val="both"/>
      </w:pPr>
      <w:r>
        <w:t>nodrošināt efektīvu būvspeciālistu patstāvīgās prakses uzraudzību</w:t>
      </w:r>
      <w:r w:rsidR="00F41C90">
        <w:t xml:space="preserve"> atbilstoši izstrādātiem vienotiem kritērijiem</w:t>
      </w:r>
      <w:r w:rsidR="005F0B17">
        <w:t>.</w:t>
      </w:r>
    </w:p>
    <w:p w14:paraId="5221AD97" w14:textId="77777777" w:rsidR="00875701" w:rsidRDefault="00875701" w:rsidP="009A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D5005" w14:textId="77777777" w:rsidR="000C55D0" w:rsidRDefault="00F6514E" w:rsidP="009A47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276F0">
        <w:rPr>
          <w:rFonts w:ascii="Times New Roman" w:hAnsi="Times New Roman" w:cs="Times New Roman"/>
          <w:b/>
          <w:sz w:val="24"/>
          <w:szCs w:val="24"/>
        </w:rPr>
        <w:t>Vadlīnijās  vērtējamie procesi</w:t>
      </w:r>
    </w:p>
    <w:p w14:paraId="26C3CBAD" w14:textId="77777777" w:rsidR="00021D98" w:rsidRPr="00B276F0" w:rsidRDefault="00F6514E" w:rsidP="003F2AB9">
      <w:pPr>
        <w:pStyle w:val="ListParagraph"/>
        <w:numPr>
          <w:ilvl w:val="1"/>
          <w:numId w:val="2"/>
        </w:numPr>
        <w:spacing w:before="120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276F0">
        <w:rPr>
          <w:rFonts w:ascii="Times New Roman" w:hAnsi="Times New Roman"/>
          <w:bCs/>
          <w:color w:val="000000"/>
          <w:sz w:val="24"/>
        </w:rPr>
        <w:t xml:space="preserve">Būvspeciālistu (pretendentu) kompetences </w:t>
      </w:r>
      <w:r>
        <w:rPr>
          <w:rFonts w:ascii="Times New Roman" w:hAnsi="Times New Roman"/>
          <w:bCs/>
          <w:color w:val="000000"/>
          <w:sz w:val="24"/>
        </w:rPr>
        <w:t>novērtēšana;</w:t>
      </w:r>
    </w:p>
    <w:p w14:paraId="40696910" w14:textId="77777777" w:rsidR="00021D98" w:rsidRPr="00B276F0" w:rsidRDefault="00F6514E" w:rsidP="003F2AB9">
      <w:pPr>
        <w:pStyle w:val="ListParagraph"/>
        <w:numPr>
          <w:ilvl w:val="1"/>
          <w:numId w:val="2"/>
        </w:numPr>
        <w:spacing w:before="120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462E" w:rsidRPr="00B276F0">
        <w:rPr>
          <w:rFonts w:ascii="Times New Roman" w:hAnsi="Times New Roman"/>
          <w:sz w:val="24"/>
        </w:rPr>
        <w:t>Būvspeciālistu patstāvīgās prakses uzraudzība</w:t>
      </w:r>
      <w:r>
        <w:rPr>
          <w:rFonts w:ascii="Times New Roman" w:hAnsi="Times New Roman"/>
          <w:sz w:val="24"/>
        </w:rPr>
        <w:t>.</w:t>
      </w:r>
    </w:p>
    <w:p w14:paraId="26F07404" w14:textId="77777777" w:rsidR="00021D98" w:rsidRDefault="00021D98" w:rsidP="009A479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9F71D3" w14:textId="77777777" w:rsidR="00744D1F" w:rsidRPr="008B3BFF" w:rsidRDefault="00F6514E" w:rsidP="009A479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F25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B3BFF" w:rsidRPr="008B3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Būvspeciālistu (pretendentu) kompetences </w:t>
      </w:r>
      <w:r w:rsidR="00B27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novērtēšana</w:t>
      </w:r>
    </w:p>
    <w:p w14:paraId="0CDEAA96" w14:textId="2FF792B4" w:rsidR="000479E7" w:rsidRPr="005F0B17" w:rsidRDefault="00F6514E" w:rsidP="00AC68DC">
      <w:pPr>
        <w:spacing w:before="120"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 w:rsidR="00F255E6" w:rsidRPr="005F0B17">
        <w:rPr>
          <w:rFonts w:ascii="Times New Roman" w:hAnsi="Times New Roman"/>
          <w:sz w:val="24"/>
        </w:rPr>
        <w:t xml:space="preserve">Kompetences pārbaudes </w:t>
      </w:r>
      <w:r w:rsidR="00B276F0">
        <w:rPr>
          <w:rFonts w:ascii="Times New Roman" w:hAnsi="Times New Roman"/>
          <w:sz w:val="24"/>
        </w:rPr>
        <w:t xml:space="preserve">novērtēšanas </w:t>
      </w:r>
      <w:r w:rsidR="005B764A" w:rsidRPr="005F0B17">
        <w:rPr>
          <w:rFonts w:ascii="Times New Roman" w:hAnsi="Times New Roman"/>
          <w:sz w:val="24"/>
        </w:rPr>
        <w:t xml:space="preserve">tēmās </w:t>
      </w:r>
      <w:r w:rsidR="000642B9" w:rsidRPr="005F0B17">
        <w:rPr>
          <w:rFonts w:ascii="Times New Roman" w:hAnsi="Times New Roman"/>
          <w:sz w:val="24"/>
        </w:rPr>
        <w:t xml:space="preserve">darbības sfērās, kurās </w:t>
      </w:r>
      <w:r w:rsidR="00B276F0">
        <w:rPr>
          <w:rFonts w:ascii="Times New Roman" w:hAnsi="Times New Roman"/>
          <w:sz w:val="24"/>
        </w:rPr>
        <w:t>t</w:t>
      </w:r>
      <w:r w:rsidR="00F92699">
        <w:rPr>
          <w:rFonts w:ascii="Times New Roman" w:hAnsi="Times New Roman"/>
          <w:sz w:val="24"/>
        </w:rPr>
        <w:t>ā</w:t>
      </w:r>
      <w:r w:rsidR="00B276F0">
        <w:rPr>
          <w:rFonts w:ascii="Times New Roman" w:hAnsi="Times New Roman"/>
          <w:sz w:val="24"/>
        </w:rPr>
        <w:t xml:space="preserve">s </w:t>
      </w:r>
      <w:r w:rsidR="000B7D3C">
        <w:rPr>
          <w:rFonts w:ascii="Times New Roman" w:hAnsi="Times New Roman"/>
          <w:sz w:val="24"/>
        </w:rPr>
        <w:t>piemērojam</w:t>
      </w:r>
      <w:r w:rsidR="00F92699">
        <w:rPr>
          <w:rFonts w:ascii="Times New Roman" w:hAnsi="Times New Roman"/>
          <w:sz w:val="24"/>
        </w:rPr>
        <w:t>as</w:t>
      </w:r>
      <w:r w:rsidR="000642B9" w:rsidRPr="005F0B17">
        <w:rPr>
          <w:rFonts w:ascii="Times New Roman" w:hAnsi="Times New Roman"/>
          <w:sz w:val="24"/>
        </w:rPr>
        <w:t xml:space="preserve">, </w:t>
      </w:r>
      <w:r w:rsidR="005B764A" w:rsidRPr="005F0B17">
        <w:rPr>
          <w:rFonts w:ascii="Times New Roman" w:hAnsi="Times New Roman"/>
          <w:sz w:val="24"/>
        </w:rPr>
        <w:t>jāietver  jautājumi par būtisko būvei izvirzāmo prasību nodrošināšanu (Būvniecības likuma 9. pants)</w:t>
      </w:r>
      <w:r w:rsidR="00F255E6" w:rsidRPr="005F0B17">
        <w:rPr>
          <w:rFonts w:ascii="Times New Roman" w:hAnsi="Times New Roman"/>
          <w:sz w:val="24"/>
        </w:rPr>
        <w:t xml:space="preserve"> </w:t>
      </w:r>
      <w:r w:rsidR="005B764A" w:rsidRPr="005F0B17">
        <w:rPr>
          <w:rFonts w:ascii="Times New Roman" w:hAnsi="Times New Roman"/>
          <w:sz w:val="24"/>
        </w:rPr>
        <w:t xml:space="preserve">un </w:t>
      </w:r>
      <w:r w:rsidR="00F255E6" w:rsidRPr="005F0B17">
        <w:rPr>
          <w:rFonts w:ascii="Times New Roman" w:hAnsi="Times New Roman"/>
          <w:sz w:val="24"/>
        </w:rPr>
        <w:t>visus nozīmīgos profesionālās darbības aspektu</w:t>
      </w:r>
      <w:r w:rsidR="000642B9" w:rsidRPr="005F0B17">
        <w:rPr>
          <w:rFonts w:ascii="Times New Roman" w:hAnsi="Times New Roman"/>
          <w:sz w:val="24"/>
        </w:rPr>
        <w:t>s</w:t>
      </w:r>
      <w:r w:rsidR="00F255E6" w:rsidRPr="005F0B17">
        <w:rPr>
          <w:rFonts w:ascii="Times New Roman" w:hAnsi="Times New Roman"/>
          <w:sz w:val="24"/>
        </w:rPr>
        <w:t>.</w:t>
      </w:r>
      <w:r w:rsidR="003166B6" w:rsidRPr="005F0B17">
        <w:rPr>
          <w:rFonts w:ascii="Times New Roman" w:hAnsi="Times New Roman"/>
          <w:sz w:val="24"/>
        </w:rPr>
        <w:t xml:space="preserve"> </w:t>
      </w:r>
    </w:p>
    <w:p w14:paraId="5542E494" w14:textId="47C3D968" w:rsidR="0041025E" w:rsidRPr="005F0B17" w:rsidRDefault="00F6514E" w:rsidP="00AC68DC">
      <w:pPr>
        <w:spacing w:before="120"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="003166B6" w:rsidRPr="005F0B17">
        <w:rPr>
          <w:rFonts w:ascii="Times New Roman" w:hAnsi="Times New Roman"/>
          <w:sz w:val="24"/>
        </w:rPr>
        <w:t xml:space="preserve">Ņemot vērā, ka </w:t>
      </w:r>
      <w:r w:rsidR="003E2A26">
        <w:rPr>
          <w:rFonts w:ascii="Times New Roman" w:hAnsi="Times New Roman"/>
          <w:sz w:val="24"/>
        </w:rPr>
        <w:t>s</w:t>
      </w:r>
      <w:r w:rsidR="005B764A" w:rsidRPr="005F0B17">
        <w:rPr>
          <w:rFonts w:ascii="Times New Roman" w:hAnsi="Times New Roman"/>
          <w:sz w:val="24"/>
        </w:rPr>
        <w:t>tandarts LVS EN ISO/IEC 17024:2012 "Atbilstības novērtēšana. Vispārīgās prasības personu sertificēšanas institūcijām"</w:t>
      </w:r>
      <w:r w:rsidR="003166B6" w:rsidRPr="005F0B17">
        <w:rPr>
          <w:rFonts w:ascii="Times New Roman" w:hAnsi="Times New Roman"/>
          <w:sz w:val="24"/>
        </w:rPr>
        <w:t xml:space="preserve"> definē “kompetenci” kā “personas spēju lietot zināšanas un prasmes konkrēta rezultāta sasniegšanai”, KPI </w:t>
      </w:r>
      <w:r w:rsidR="000479E7">
        <w:rPr>
          <w:rFonts w:ascii="Times New Roman" w:hAnsi="Times New Roman"/>
          <w:sz w:val="24"/>
        </w:rPr>
        <w:t>jānodrošina</w:t>
      </w:r>
      <w:r w:rsidR="003166B6" w:rsidRPr="005F0B17">
        <w:rPr>
          <w:rFonts w:ascii="Times New Roman" w:hAnsi="Times New Roman"/>
          <w:sz w:val="24"/>
        </w:rPr>
        <w:t>, lai kompetences pārbaude</w:t>
      </w:r>
      <w:r w:rsidR="00F92699">
        <w:rPr>
          <w:rFonts w:ascii="Times New Roman" w:hAnsi="Times New Roman"/>
          <w:sz w:val="24"/>
        </w:rPr>
        <w:t>s</w:t>
      </w:r>
      <w:r w:rsidR="003166B6" w:rsidRPr="005F0B17">
        <w:rPr>
          <w:rFonts w:ascii="Times New Roman" w:hAnsi="Times New Roman"/>
          <w:sz w:val="24"/>
        </w:rPr>
        <w:t xml:space="preserve"> </w:t>
      </w:r>
      <w:r w:rsidR="00205C2C">
        <w:rPr>
          <w:rFonts w:ascii="Times New Roman" w:hAnsi="Times New Roman"/>
          <w:sz w:val="24"/>
        </w:rPr>
        <w:t>rezultātā</w:t>
      </w:r>
      <w:r w:rsidR="006D2981">
        <w:rPr>
          <w:rFonts w:ascii="Times New Roman" w:hAnsi="Times New Roman"/>
          <w:sz w:val="24"/>
        </w:rPr>
        <w:t xml:space="preserve"> tiktu novērtēta atbilstība konkrētajā jomā un darbības sfērā nepieciešamajām kompetencēm</w:t>
      </w:r>
      <w:r w:rsidR="003166B6" w:rsidRPr="005F0B17">
        <w:rPr>
          <w:rFonts w:ascii="Times New Roman" w:hAnsi="Times New Roman"/>
          <w:sz w:val="24"/>
        </w:rPr>
        <w:t>.</w:t>
      </w:r>
    </w:p>
    <w:p w14:paraId="1AC62F37" w14:textId="6EFC033C" w:rsidR="0024415A" w:rsidRPr="00BB6A71" w:rsidRDefault="00F6514E" w:rsidP="00AC68DC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="005F0B17" w:rsidRPr="00AC68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</w:t>
      </w:r>
      <w:r w:rsidRPr="00AC68DC">
        <w:rPr>
          <w:rFonts w:ascii="Times New Roman" w:hAnsi="Times New Roman"/>
          <w:b/>
          <w:sz w:val="24"/>
        </w:rPr>
        <w:t>Kompetences novērtēšana a</w:t>
      </w:r>
      <w:r w:rsidRPr="00AC68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rhitektūras</w:t>
      </w:r>
      <w:r w:rsidR="00C0153E" w:rsidRPr="00AC68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jomā</w:t>
      </w:r>
      <w:r w:rsidR="00AD4F4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sastāv no:</w:t>
      </w:r>
    </w:p>
    <w:p w14:paraId="400E0CA0" w14:textId="291CD997" w:rsidR="004C4331" w:rsidRDefault="00F6514E" w:rsidP="004C4331">
      <w:pPr>
        <w:spacing w:before="12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230D20">
        <w:rPr>
          <w:rFonts w:ascii="Times New Roman" w:hAnsi="Times New Roman"/>
          <w:sz w:val="24"/>
        </w:rPr>
        <w:t xml:space="preserve">sertificēta arhitekta vadībā izstrādāta viena </w:t>
      </w:r>
      <w:r w:rsidR="00965B2B">
        <w:rPr>
          <w:rFonts w:ascii="Times New Roman" w:hAnsi="Times New Roman"/>
          <w:sz w:val="24"/>
        </w:rPr>
        <w:t>būvprojekta</w:t>
      </w:r>
      <w:r w:rsidR="00206377">
        <w:rPr>
          <w:rFonts w:ascii="Times New Roman" w:hAnsi="Times New Roman"/>
          <w:sz w:val="24"/>
        </w:rPr>
        <w:t>,</w:t>
      </w:r>
      <w:r w:rsidRPr="00BB6A71">
        <w:rPr>
          <w:rFonts w:ascii="Times New Roman" w:hAnsi="Times New Roman"/>
          <w:sz w:val="24"/>
        </w:rPr>
        <w:t xml:space="preserve"> </w:t>
      </w:r>
      <w:r w:rsidRPr="005F0B17">
        <w:rPr>
          <w:rFonts w:ascii="Times New Roman" w:hAnsi="Times New Roman"/>
          <w:sz w:val="24"/>
        </w:rPr>
        <w:t>par kur</w:t>
      </w:r>
      <w:r w:rsidRPr="00BB6A71">
        <w:rPr>
          <w:rFonts w:ascii="Times New Roman" w:hAnsi="Times New Roman"/>
          <w:sz w:val="24"/>
        </w:rPr>
        <w:t>u</w:t>
      </w:r>
      <w:r w:rsidRPr="005F0B17">
        <w:rPr>
          <w:rFonts w:ascii="Times New Roman" w:hAnsi="Times New Roman"/>
          <w:sz w:val="24"/>
        </w:rPr>
        <w:t xml:space="preserve"> ir veikta atzīme par būvatļaujas projektēšanas nosacījumu izpildi</w:t>
      </w:r>
      <w:r w:rsidR="00C0153E">
        <w:rPr>
          <w:rFonts w:ascii="Times New Roman" w:hAnsi="Times New Roman"/>
          <w:sz w:val="24"/>
        </w:rPr>
        <w:t>,</w:t>
      </w:r>
      <w:r w:rsidR="00965B2B">
        <w:rPr>
          <w:rFonts w:ascii="Times New Roman" w:hAnsi="Times New Roman"/>
          <w:sz w:val="24"/>
        </w:rPr>
        <w:t xml:space="preserve"> izvērtēšanas, tajā skaitā projekta risinājumu, </w:t>
      </w:r>
      <w:r w:rsidR="00095741">
        <w:rPr>
          <w:rFonts w:ascii="Times New Roman" w:hAnsi="Times New Roman"/>
          <w:sz w:val="24"/>
        </w:rPr>
        <w:t>būvei izvirzāmo būtisko prasību</w:t>
      </w:r>
      <w:r w:rsidR="00487910">
        <w:rPr>
          <w:rFonts w:ascii="Times New Roman" w:hAnsi="Times New Roman"/>
          <w:sz w:val="24"/>
        </w:rPr>
        <w:t xml:space="preserve"> </w:t>
      </w:r>
      <w:r w:rsidR="00206377">
        <w:rPr>
          <w:rFonts w:ascii="Times New Roman" w:hAnsi="Times New Roman"/>
          <w:sz w:val="24"/>
        </w:rPr>
        <w:t>piemērošanas</w:t>
      </w:r>
      <w:r w:rsidR="00095741">
        <w:rPr>
          <w:rFonts w:ascii="Times New Roman" w:hAnsi="Times New Roman"/>
          <w:sz w:val="24"/>
        </w:rPr>
        <w:t xml:space="preserve">, </w:t>
      </w:r>
      <w:r w:rsidR="00965B2B">
        <w:rPr>
          <w:rFonts w:ascii="Times New Roman" w:hAnsi="Times New Roman"/>
          <w:sz w:val="24"/>
        </w:rPr>
        <w:t>projektēšanas procesa  aprakst</w:t>
      </w:r>
      <w:r w:rsidR="00230D20">
        <w:rPr>
          <w:rFonts w:ascii="Times New Roman" w:hAnsi="Times New Roman"/>
          <w:sz w:val="24"/>
        </w:rPr>
        <w:t>a</w:t>
      </w:r>
      <w:r w:rsidR="00F65D6C">
        <w:rPr>
          <w:rFonts w:ascii="Times New Roman" w:hAnsi="Times New Roman"/>
          <w:sz w:val="24"/>
        </w:rPr>
        <w:t>,</w:t>
      </w:r>
      <w:r w:rsidR="00230D20">
        <w:rPr>
          <w:rFonts w:ascii="Times New Roman" w:hAnsi="Times New Roman"/>
          <w:sz w:val="24"/>
        </w:rPr>
        <w:t xml:space="preserve"> </w:t>
      </w:r>
      <w:r w:rsidR="00965B2B">
        <w:rPr>
          <w:rFonts w:ascii="Times New Roman" w:hAnsi="Times New Roman"/>
          <w:sz w:val="24"/>
        </w:rPr>
        <w:t xml:space="preserve">projekta atbilstības normatīvajiem aktiem </w:t>
      </w:r>
      <w:r w:rsidR="00487910">
        <w:rPr>
          <w:rFonts w:ascii="Times New Roman" w:hAnsi="Times New Roman"/>
          <w:sz w:val="24"/>
        </w:rPr>
        <w:t>izvērtēšana</w:t>
      </w:r>
      <w:r w:rsidR="00121FC3">
        <w:rPr>
          <w:rFonts w:ascii="Times New Roman" w:hAnsi="Times New Roman"/>
          <w:sz w:val="24"/>
        </w:rPr>
        <w:t>s</w:t>
      </w:r>
      <w:r w:rsidR="00487910">
        <w:rPr>
          <w:rFonts w:ascii="Times New Roman" w:hAnsi="Times New Roman"/>
          <w:sz w:val="24"/>
        </w:rPr>
        <w:t xml:space="preserve"> </w:t>
      </w:r>
      <w:r w:rsidR="00965B2B">
        <w:rPr>
          <w:rFonts w:ascii="Times New Roman" w:hAnsi="Times New Roman"/>
          <w:sz w:val="24"/>
        </w:rPr>
        <w:t>un projekta sadaļu savstarpējās saskaņotības novērtēšana</w:t>
      </w:r>
      <w:r w:rsidR="006D2981">
        <w:rPr>
          <w:rFonts w:ascii="Times New Roman" w:hAnsi="Times New Roman"/>
          <w:sz w:val="24"/>
        </w:rPr>
        <w:t>s</w:t>
      </w:r>
      <w:r w:rsidR="00236006">
        <w:rPr>
          <w:rFonts w:ascii="Times New Roman" w:hAnsi="Times New Roman"/>
          <w:sz w:val="24"/>
        </w:rPr>
        <w:t xml:space="preserve"> un intervijas </w:t>
      </w:r>
      <w:r w:rsidR="00643ACA">
        <w:rPr>
          <w:rFonts w:ascii="Times New Roman" w:hAnsi="Times New Roman"/>
          <w:sz w:val="24"/>
        </w:rPr>
        <w:t>ar pretendentu;</w:t>
      </w:r>
    </w:p>
    <w:p w14:paraId="14147419" w14:textId="3A145220" w:rsidR="007F4F4B" w:rsidRDefault="00F6514E" w:rsidP="005F0B17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</w:t>
      </w:r>
      <w:r w:rsidR="005F0B17">
        <w:rPr>
          <w:rFonts w:ascii="Times New Roman" w:hAnsi="Times New Roman"/>
          <w:sz w:val="24"/>
        </w:rPr>
        <w:t>.</w:t>
      </w:r>
      <w:r w:rsidR="00C5264B" w:rsidRPr="005F0B17">
        <w:rPr>
          <w:rFonts w:ascii="Times New Roman" w:hAnsi="Times New Roman"/>
          <w:sz w:val="24"/>
        </w:rPr>
        <w:t xml:space="preserve"> </w:t>
      </w:r>
      <w:r w:rsidR="006A3CF7" w:rsidRPr="005F0B17">
        <w:rPr>
          <w:rFonts w:ascii="Times New Roman" w:hAnsi="Times New Roman"/>
          <w:sz w:val="24"/>
        </w:rPr>
        <w:t>rakstisk</w:t>
      </w:r>
      <w:r w:rsidR="00A27F2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eksāmen</w:t>
      </w:r>
      <w:r w:rsidR="00A27F28">
        <w:rPr>
          <w:rFonts w:ascii="Times New Roman" w:hAnsi="Times New Roman"/>
          <w:sz w:val="24"/>
        </w:rPr>
        <w:t>a</w:t>
      </w:r>
      <w:r w:rsidR="00AD4F4A">
        <w:rPr>
          <w:rFonts w:ascii="Times New Roman" w:hAnsi="Times New Roman"/>
          <w:sz w:val="24"/>
        </w:rPr>
        <w:t>, kas sastāv no</w:t>
      </w:r>
      <w:r w:rsidR="00861DBA">
        <w:rPr>
          <w:rFonts w:ascii="Times New Roman" w:hAnsi="Times New Roman"/>
          <w:sz w:val="24"/>
        </w:rPr>
        <w:t>:</w:t>
      </w:r>
    </w:p>
    <w:p w14:paraId="7B5B853D" w14:textId="01BE4C85" w:rsidR="00861DBA" w:rsidRDefault="00F6514E" w:rsidP="005F0B17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4.2.1.</w:t>
      </w:r>
      <w:r w:rsidR="006A3CF7">
        <w:rPr>
          <w:rFonts w:ascii="Times New Roman" w:hAnsi="Times New Roman"/>
          <w:sz w:val="24"/>
        </w:rPr>
        <w:t xml:space="preserve"> </w:t>
      </w:r>
      <w:r w:rsidR="00FE7658">
        <w:rPr>
          <w:rFonts w:ascii="Times New Roman" w:hAnsi="Times New Roman"/>
          <w:sz w:val="24"/>
        </w:rPr>
        <w:t xml:space="preserve">vismaz </w:t>
      </w:r>
      <w:r w:rsidR="006A3CF7">
        <w:rPr>
          <w:rFonts w:ascii="Times New Roman" w:hAnsi="Times New Roman"/>
          <w:sz w:val="24"/>
        </w:rPr>
        <w:t>trīs teorētiskie</w:t>
      </w:r>
      <w:r w:rsidR="00AD4F4A">
        <w:rPr>
          <w:rFonts w:ascii="Times New Roman" w:hAnsi="Times New Roman"/>
          <w:sz w:val="24"/>
        </w:rPr>
        <w:t>m</w:t>
      </w:r>
      <w:r w:rsidR="006A3CF7">
        <w:rPr>
          <w:rFonts w:ascii="Times New Roman" w:hAnsi="Times New Roman"/>
          <w:sz w:val="24"/>
        </w:rPr>
        <w:t xml:space="preserve"> jautājumi</w:t>
      </w:r>
      <w:r w:rsidR="00AD4F4A">
        <w:rPr>
          <w:rFonts w:ascii="Times New Roman" w:hAnsi="Times New Roman"/>
          <w:sz w:val="24"/>
        </w:rPr>
        <w:t>em</w:t>
      </w:r>
      <w:r w:rsidR="00487910">
        <w:rPr>
          <w:rFonts w:ascii="Times New Roman" w:hAnsi="Times New Roman"/>
          <w:sz w:val="24"/>
        </w:rPr>
        <w:t xml:space="preserve"> </w:t>
      </w:r>
      <w:r w:rsidR="006A3CF7">
        <w:rPr>
          <w:rFonts w:ascii="Times New Roman" w:hAnsi="Times New Roman"/>
          <w:sz w:val="24"/>
        </w:rPr>
        <w:t xml:space="preserve">par </w:t>
      </w:r>
      <w:r w:rsidR="00487910">
        <w:rPr>
          <w:rFonts w:ascii="Times New Roman" w:hAnsi="Times New Roman"/>
          <w:sz w:val="24"/>
        </w:rPr>
        <w:t>arhitekta prakses vispārīgiem jautājumiem, normatīvajiem aktiem, tajā skaitā būvprojektēšanas un būvprojekta dokumentāciju, projekta vadību, būvniecības procesa posmiem un autoruzraudzību</w:t>
      </w:r>
      <w:r>
        <w:rPr>
          <w:rFonts w:ascii="Times New Roman" w:hAnsi="Times New Roman"/>
          <w:sz w:val="24"/>
        </w:rPr>
        <w:t>;</w:t>
      </w:r>
    </w:p>
    <w:p w14:paraId="76073714" w14:textId="42CFA697" w:rsidR="00CB79BD" w:rsidRDefault="00F6514E" w:rsidP="005F0B17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4.2.2. </w:t>
      </w:r>
      <w:r w:rsidR="006A3CF7">
        <w:rPr>
          <w:rFonts w:ascii="Times New Roman" w:hAnsi="Times New Roman"/>
          <w:sz w:val="24"/>
        </w:rPr>
        <w:t xml:space="preserve"> </w:t>
      </w:r>
      <w:r w:rsidR="00C0153E">
        <w:rPr>
          <w:rFonts w:ascii="Times New Roman" w:hAnsi="Times New Roman"/>
          <w:sz w:val="24"/>
        </w:rPr>
        <w:t xml:space="preserve">vismaz </w:t>
      </w:r>
      <w:r w:rsidR="00236006">
        <w:rPr>
          <w:rFonts w:ascii="Times New Roman" w:hAnsi="Times New Roman"/>
          <w:sz w:val="24"/>
        </w:rPr>
        <w:t>trīs</w:t>
      </w:r>
      <w:r w:rsidR="006A3CF7">
        <w:rPr>
          <w:rFonts w:ascii="Times New Roman" w:hAnsi="Times New Roman"/>
          <w:sz w:val="24"/>
        </w:rPr>
        <w:t xml:space="preserve"> praktiskie</w:t>
      </w:r>
      <w:r w:rsidR="00C0153E">
        <w:rPr>
          <w:rFonts w:ascii="Times New Roman" w:hAnsi="Times New Roman"/>
          <w:sz w:val="24"/>
        </w:rPr>
        <w:t>m</w:t>
      </w:r>
      <w:r w:rsidR="006A3CF7">
        <w:rPr>
          <w:rFonts w:ascii="Times New Roman" w:hAnsi="Times New Roman"/>
          <w:sz w:val="24"/>
        </w:rPr>
        <w:t xml:space="preserve"> uzdevumi</w:t>
      </w:r>
      <w:r w:rsidR="00C0153E">
        <w:rPr>
          <w:rFonts w:ascii="Times New Roman" w:hAnsi="Times New Roman"/>
          <w:sz w:val="24"/>
        </w:rPr>
        <w:t>em</w:t>
      </w:r>
      <w:r w:rsidR="006A3CF7">
        <w:rPr>
          <w:rFonts w:ascii="Times New Roman" w:hAnsi="Times New Roman"/>
          <w:sz w:val="24"/>
        </w:rPr>
        <w:t>, no kuriem viens ietver uzdevumu par ugunsdrošības tēmu</w:t>
      </w:r>
      <w:r w:rsidR="00236006">
        <w:rPr>
          <w:rFonts w:ascii="Times New Roman" w:hAnsi="Times New Roman"/>
          <w:sz w:val="24"/>
        </w:rPr>
        <w:t xml:space="preserve"> un </w:t>
      </w:r>
      <w:r w:rsidR="00D64149">
        <w:rPr>
          <w:rFonts w:ascii="Times New Roman" w:hAnsi="Times New Roman"/>
          <w:sz w:val="24"/>
        </w:rPr>
        <w:t>viens</w:t>
      </w:r>
      <w:r w:rsidR="00236006">
        <w:rPr>
          <w:rFonts w:ascii="Times New Roman" w:hAnsi="Times New Roman"/>
          <w:sz w:val="24"/>
        </w:rPr>
        <w:t xml:space="preserve">  </w:t>
      </w:r>
      <w:r w:rsidR="00643ACA">
        <w:rPr>
          <w:rFonts w:ascii="Times New Roman" w:hAnsi="Times New Roman"/>
          <w:sz w:val="24"/>
        </w:rPr>
        <w:t xml:space="preserve">uzdevumu </w:t>
      </w:r>
      <w:r w:rsidR="00236006">
        <w:rPr>
          <w:rFonts w:ascii="Times New Roman" w:hAnsi="Times New Roman"/>
          <w:sz w:val="24"/>
        </w:rPr>
        <w:t>par energoefektivitātes tēmu</w:t>
      </w:r>
      <w:r w:rsidR="00121FC3">
        <w:rPr>
          <w:rFonts w:ascii="Times New Roman" w:hAnsi="Times New Roman"/>
          <w:sz w:val="24"/>
        </w:rPr>
        <w:t>.</w:t>
      </w:r>
      <w:r w:rsidR="00C0153E">
        <w:rPr>
          <w:rFonts w:ascii="Times New Roman" w:hAnsi="Times New Roman"/>
          <w:sz w:val="24"/>
        </w:rPr>
        <w:t xml:space="preserve"> </w:t>
      </w:r>
    </w:p>
    <w:p w14:paraId="0DD8FC1F" w14:textId="333F1F84" w:rsidR="00FC212E" w:rsidRDefault="00F6514E" w:rsidP="005F0B17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Jautājumiem</w:t>
      </w:r>
      <w:r>
        <w:rPr>
          <w:rFonts w:ascii="Times New Roman" w:hAnsi="Times New Roman"/>
          <w:sz w:val="24"/>
        </w:rPr>
        <w:t xml:space="preserve"> un uzdevumiem jāparāda pretendenta </w:t>
      </w:r>
      <w:r w:rsidR="00C0153E">
        <w:rPr>
          <w:rFonts w:ascii="Times New Roman" w:hAnsi="Times New Roman"/>
          <w:sz w:val="24"/>
        </w:rPr>
        <w:t xml:space="preserve">kompetenci un </w:t>
      </w:r>
      <w:r>
        <w:rPr>
          <w:rFonts w:ascii="Times New Roman" w:hAnsi="Times New Roman"/>
          <w:sz w:val="24"/>
        </w:rPr>
        <w:t>spēju analizēt kompleksas situācijas</w:t>
      </w:r>
      <w:r w:rsidR="00C0153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C0153E">
        <w:rPr>
          <w:rFonts w:ascii="Times New Roman" w:hAnsi="Times New Roman"/>
          <w:sz w:val="24"/>
        </w:rPr>
        <w:t>sniedzot</w:t>
      </w:r>
      <w:r>
        <w:rPr>
          <w:rFonts w:ascii="Times New Roman" w:hAnsi="Times New Roman"/>
          <w:sz w:val="24"/>
        </w:rPr>
        <w:t xml:space="preserve"> izvērstas atbildes.</w:t>
      </w:r>
      <w:r w:rsidR="00FE7658">
        <w:rPr>
          <w:rFonts w:ascii="Times New Roman" w:hAnsi="Times New Roman"/>
          <w:sz w:val="24"/>
        </w:rPr>
        <w:t xml:space="preserve"> </w:t>
      </w:r>
    </w:p>
    <w:p w14:paraId="584CDC7F" w14:textId="728D943A" w:rsidR="00C032EA" w:rsidRPr="00BB6A71" w:rsidRDefault="00F6514E" w:rsidP="00C032EA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5. </w:t>
      </w:r>
      <w:r w:rsidRPr="00AC68DC">
        <w:rPr>
          <w:rFonts w:ascii="Times New Roman" w:hAnsi="Times New Roman"/>
          <w:b/>
          <w:sz w:val="24"/>
        </w:rPr>
        <w:t xml:space="preserve">Kompetences novērtēšana </w:t>
      </w:r>
      <w:r>
        <w:rPr>
          <w:rFonts w:ascii="Times New Roman" w:hAnsi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rojektēšanas specialitātē</w:t>
      </w:r>
      <w:r w:rsidR="00AD4F4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sastāv no:</w:t>
      </w:r>
    </w:p>
    <w:p w14:paraId="17B3C690" w14:textId="386B485D" w:rsidR="00643ACA" w:rsidRDefault="00F6514E" w:rsidP="00643ACA">
      <w:pPr>
        <w:spacing w:before="12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atbilstoša būvspeciālista vadībā izstrādāta viena būvprojekta,</w:t>
      </w:r>
      <w:r w:rsidRPr="00BB6A71">
        <w:rPr>
          <w:rFonts w:ascii="Times New Roman" w:hAnsi="Times New Roman"/>
          <w:sz w:val="24"/>
        </w:rPr>
        <w:t xml:space="preserve"> </w:t>
      </w:r>
      <w:r w:rsidRPr="005F0B17">
        <w:rPr>
          <w:rFonts w:ascii="Times New Roman" w:hAnsi="Times New Roman"/>
          <w:sz w:val="24"/>
        </w:rPr>
        <w:t xml:space="preserve">par </w:t>
      </w:r>
      <w:r w:rsidRPr="005F0B17">
        <w:rPr>
          <w:rFonts w:ascii="Times New Roman" w:hAnsi="Times New Roman"/>
          <w:sz w:val="24"/>
        </w:rPr>
        <w:t>kur</w:t>
      </w:r>
      <w:r w:rsidRPr="00BB6A71">
        <w:rPr>
          <w:rFonts w:ascii="Times New Roman" w:hAnsi="Times New Roman"/>
          <w:sz w:val="24"/>
        </w:rPr>
        <w:t>u</w:t>
      </w:r>
      <w:r w:rsidRPr="005F0B17">
        <w:rPr>
          <w:rFonts w:ascii="Times New Roman" w:hAnsi="Times New Roman"/>
          <w:sz w:val="24"/>
        </w:rPr>
        <w:t xml:space="preserve"> ir veikta atzīme par būvatļaujas projektēšanas nosacījumu izpildi</w:t>
      </w:r>
      <w:r>
        <w:rPr>
          <w:rFonts w:ascii="Times New Roman" w:hAnsi="Times New Roman"/>
          <w:sz w:val="24"/>
        </w:rPr>
        <w:t xml:space="preserve"> izvērtēšanas, tajā skaitā projekta risinājumu, būvei izvirzāmo būtisko prasību piemērošanas, projektēšanas procesa  apraksta, projekta atbilstības normatīvajiem aktiem izvērtēšanas</w:t>
      </w:r>
      <w:r w:rsidR="00C0153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pro</w:t>
      </w:r>
      <w:r>
        <w:rPr>
          <w:rFonts w:ascii="Times New Roman" w:hAnsi="Times New Roman"/>
          <w:sz w:val="24"/>
        </w:rPr>
        <w:t>jekta sadaļu novērtēšanas</w:t>
      </w:r>
      <w:r w:rsidR="00982FAB">
        <w:rPr>
          <w:rFonts w:ascii="Times New Roman" w:hAnsi="Times New Roman"/>
          <w:sz w:val="24"/>
        </w:rPr>
        <w:t xml:space="preserve"> atbilstoši </w:t>
      </w:r>
      <w:r w:rsidR="00C0153E">
        <w:rPr>
          <w:rFonts w:ascii="Times New Roman" w:hAnsi="Times New Roman"/>
          <w:sz w:val="24"/>
        </w:rPr>
        <w:t xml:space="preserve">darbības </w:t>
      </w:r>
      <w:r w:rsidR="00982FAB">
        <w:rPr>
          <w:rFonts w:ascii="Times New Roman" w:hAnsi="Times New Roman"/>
          <w:sz w:val="24"/>
        </w:rPr>
        <w:t>sfērai</w:t>
      </w:r>
      <w:r w:rsidR="00FE7658">
        <w:rPr>
          <w:rFonts w:ascii="Times New Roman" w:hAnsi="Times New Roman"/>
          <w:sz w:val="24"/>
        </w:rPr>
        <w:t>, projekta sadaļu savstarpējās saskaņotības novērtēšanas</w:t>
      </w:r>
      <w:r>
        <w:rPr>
          <w:rFonts w:ascii="Times New Roman" w:hAnsi="Times New Roman"/>
          <w:sz w:val="24"/>
        </w:rPr>
        <w:t xml:space="preserve"> un intervijas ar pretendentu;</w:t>
      </w:r>
    </w:p>
    <w:p w14:paraId="6D8547E6" w14:textId="032A09E7" w:rsidR="00AC68DC" w:rsidRDefault="00F6514E" w:rsidP="00643ACA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</w:t>
      </w:r>
      <w:r w:rsidR="00643ACA">
        <w:rPr>
          <w:rFonts w:ascii="Times New Roman" w:hAnsi="Times New Roman"/>
          <w:sz w:val="24"/>
        </w:rPr>
        <w:t>.</w:t>
      </w:r>
      <w:r w:rsidR="00643ACA" w:rsidRPr="005F0B17">
        <w:rPr>
          <w:rFonts w:ascii="Times New Roman" w:hAnsi="Times New Roman"/>
          <w:sz w:val="24"/>
        </w:rPr>
        <w:t xml:space="preserve"> rakstisk</w:t>
      </w:r>
      <w:r>
        <w:rPr>
          <w:rFonts w:ascii="Times New Roman" w:hAnsi="Times New Roman"/>
          <w:sz w:val="24"/>
        </w:rPr>
        <w:t>a eksāmena</w:t>
      </w:r>
      <w:r w:rsidR="00AD4F4A">
        <w:rPr>
          <w:rFonts w:ascii="Times New Roman" w:hAnsi="Times New Roman"/>
          <w:sz w:val="24"/>
        </w:rPr>
        <w:t>, kas sastāv no</w:t>
      </w:r>
      <w:r>
        <w:rPr>
          <w:rFonts w:ascii="Times New Roman" w:hAnsi="Times New Roman"/>
          <w:sz w:val="24"/>
        </w:rPr>
        <w:t>:</w:t>
      </w:r>
    </w:p>
    <w:p w14:paraId="6E7EC503" w14:textId="532ACFF3" w:rsidR="00AC68DC" w:rsidRDefault="00F6514E" w:rsidP="00643ACA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61DBA">
        <w:rPr>
          <w:rFonts w:ascii="Times New Roman" w:hAnsi="Times New Roman"/>
          <w:sz w:val="24"/>
        </w:rPr>
        <w:t xml:space="preserve">5.2.1.  </w:t>
      </w:r>
      <w:r w:rsidR="00FE7658">
        <w:rPr>
          <w:rFonts w:ascii="Times New Roman" w:hAnsi="Times New Roman"/>
          <w:sz w:val="24"/>
        </w:rPr>
        <w:t xml:space="preserve">vismaz </w:t>
      </w:r>
      <w:r>
        <w:rPr>
          <w:rFonts w:ascii="Times New Roman" w:hAnsi="Times New Roman"/>
          <w:sz w:val="24"/>
        </w:rPr>
        <w:t>trīs teorētiskie</w:t>
      </w:r>
      <w:r w:rsidR="00AD4F4A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jautājumi</w:t>
      </w:r>
      <w:r w:rsidR="00AD4F4A"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z w:val="24"/>
        </w:rPr>
        <w:t xml:space="preserve"> par būvprakses vispārīgiem jaut</w:t>
      </w:r>
      <w:r>
        <w:rPr>
          <w:rFonts w:ascii="Times New Roman" w:hAnsi="Times New Roman"/>
          <w:sz w:val="24"/>
        </w:rPr>
        <w:t>ājumiem, normatīvajiem aktiem, tajā skaitā būvprojektēšanas un būvprojekta dokumentāciju, projekta vadību, būvniecības procesa posmiem</w:t>
      </w:r>
      <w:r w:rsidR="00FE765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autoruzraudzību </w:t>
      </w:r>
    </w:p>
    <w:p w14:paraId="66D52E4B" w14:textId="296BE473" w:rsidR="00CB79BD" w:rsidRDefault="00F6514E" w:rsidP="00643ACA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 </w:t>
      </w:r>
      <w:r w:rsidR="00FE7658">
        <w:rPr>
          <w:rFonts w:ascii="Times New Roman" w:hAnsi="Times New Roman"/>
          <w:sz w:val="24"/>
        </w:rPr>
        <w:t xml:space="preserve">vismaz </w:t>
      </w:r>
      <w:r w:rsidR="00643ACA">
        <w:rPr>
          <w:rFonts w:ascii="Times New Roman" w:hAnsi="Times New Roman"/>
          <w:sz w:val="24"/>
        </w:rPr>
        <w:t>trīs praktiskie</w:t>
      </w:r>
      <w:r w:rsidR="00AD4F4A">
        <w:rPr>
          <w:rFonts w:ascii="Times New Roman" w:hAnsi="Times New Roman"/>
          <w:sz w:val="24"/>
        </w:rPr>
        <w:t>m</w:t>
      </w:r>
      <w:r w:rsidR="00643ACA">
        <w:rPr>
          <w:rFonts w:ascii="Times New Roman" w:hAnsi="Times New Roman"/>
          <w:sz w:val="24"/>
        </w:rPr>
        <w:t xml:space="preserve"> uzdevumi</w:t>
      </w:r>
      <w:r w:rsidR="00AD4F4A">
        <w:rPr>
          <w:rFonts w:ascii="Times New Roman" w:hAnsi="Times New Roman"/>
          <w:sz w:val="24"/>
        </w:rPr>
        <w:t>em</w:t>
      </w:r>
      <w:r w:rsidR="00643ACA">
        <w:rPr>
          <w:rFonts w:ascii="Times New Roman" w:hAnsi="Times New Roman"/>
          <w:sz w:val="24"/>
        </w:rPr>
        <w:t>, no kuriem viens ietver uzdevumu par ugunsdrošības</w:t>
      </w:r>
      <w:r w:rsidR="0070313E">
        <w:rPr>
          <w:rFonts w:ascii="Times New Roman" w:hAnsi="Times New Roman"/>
          <w:sz w:val="24"/>
        </w:rPr>
        <w:t xml:space="preserve"> </w:t>
      </w:r>
      <w:r w:rsidR="00643ACA">
        <w:rPr>
          <w:rFonts w:ascii="Times New Roman" w:hAnsi="Times New Roman"/>
          <w:sz w:val="24"/>
        </w:rPr>
        <w:t>tēmu</w:t>
      </w:r>
      <w:r>
        <w:rPr>
          <w:rStyle w:val="FootnoteReference"/>
          <w:rFonts w:ascii="Times New Roman" w:hAnsi="Times New Roman"/>
          <w:sz w:val="24"/>
        </w:rPr>
        <w:footnoteReference w:id="1"/>
      </w:r>
      <w:r w:rsidR="00643ACA">
        <w:rPr>
          <w:rFonts w:ascii="Times New Roman" w:hAnsi="Times New Roman"/>
          <w:sz w:val="24"/>
        </w:rPr>
        <w:t xml:space="preserve"> un </w:t>
      </w:r>
      <w:r w:rsidR="00D64149">
        <w:rPr>
          <w:rFonts w:ascii="Times New Roman" w:hAnsi="Times New Roman"/>
          <w:sz w:val="24"/>
        </w:rPr>
        <w:t>viens</w:t>
      </w:r>
      <w:r w:rsidR="00643ACA">
        <w:rPr>
          <w:rFonts w:ascii="Times New Roman" w:hAnsi="Times New Roman"/>
          <w:sz w:val="24"/>
        </w:rPr>
        <w:t xml:space="preserve">  </w:t>
      </w:r>
      <w:r w:rsidR="00D64149">
        <w:rPr>
          <w:rFonts w:ascii="Times New Roman" w:hAnsi="Times New Roman"/>
          <w:sz w:val="24"/>
        </w:rPr>
        <w:t xml:space="preserve">uzdevumu </w:t>
      </w:r>
      <w:r w:rsidR="00643ACA">
        <w:rPr>
          <w:rFonts w:ascii="Times New Roman" w:hAnsi="Times New Roman"/>
          <w:sz w:val="24"/>
        </w:rPr>
        <w:t>par energoefektivitātes</w:t>
      </w:r>
      <w:r w:rsidR="0070313E">
        <w:rPr>
          <w:rFonts w:ascii="Times New Roman" w:hAnsi="Times New Roman"/>
          <w:sz w:val="24"/>
        </w:rPr>
        <w:t xml:space="preserve"> </w:t>
      </w:r>
      <w:r w:rsidR="00643ACA">
        <w:rPr>
          <w:rFonts w:ascii="Times New Roman" w:hAnsi="Times New Roman"/>
          <w:sz w:val="24"/>
        </w:rPr>
        <w:t>tēmu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="00FE7658">
        <w:rPr>
          <w:rFonts w:ascii="Times New Roman" w:hAnsi="Times New Roman"/>
          <w:sz w:val="24"/>
        </w:rPr>
        <w:t>, atbilstoši darbības sfērai.</w:t>
      </w:r>
      <w:r w:rsidR="005777D6">
        <w:rPr>
          <w:rFonts w:ascii="Times New Roman" w:hAnsi="Times New Roman"/>
          <w:sz w:val="24"/>
        </w:rPr>
        <w:t xml:space="preserve"> </w:t>
      </w:r>
    </w:p>
    <w:p w14:paraId="4F97AB69" w14:textId="77777777" w:rsidR="003E0DD7" w:rsidRDefault="00F6514E" w:rsidP="00643ACA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Jautājumiem un uzdevumiem jāparāda pretendenta kompetenci un spēju analizēt kompleksas situācijas, sniedzot izvērstas atbildes.</w:t>
      </w:r>
      <w:r w:rsidR="00CB79BD">
        <w:rPr>
          <w:rFonts w:ascii="Times New Roman" w:hAnsi="Times New Roman"/>
          <w:sz w:val="24"/>
        </w:rPr>
        <w:t xml:space="preserve"> </w:t>
      </w:r>
    </w:p>
    <w:p w14:paraId="7C268D68" w14:textId="63D4EE9E" w:rsidR="0024415A" w:rsidRDefault="00F6514E" w:rsidP="005F0B17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="005F0B1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</w:t>
      </w:r>
      <w:r w:rsidR="00AD4F4A" w:rsidRPr="00AC68DC">
        <w:rPr>
          <w:rFonts w:ascii="Times New Roman" w:hAnsi="Times New Roman"/>
          <w:b/>
          <w:sz w:val="24"/>
        </w:rPr>
        <w:t xml:space="preserve">Kompetences novērtēšana </w:t>
      </w:r>
      <w:r w:rsidR="00AD4F4A">
        <w:rPr>
          <w:rFonts w:ascii="Times New Roman" w:hAnsi="Times New Roman"/>
          <w:b/>
          <w:sz w:val="24"/>
        </w:rPr>
        <w:t>b</w:t>
      </w:r>
      <w:r w:rsidRPr="00BB6A7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ūvdarbu vadīšanas speci</w:t>
      </w:r>
      <w:r w:rsidRPr="00BB6A7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alitā</w:t>
      </w:r>
      <w:r w:rsidR="00CB79B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tē, būvuzraudzības specialitātē</w:t>
      </w:r>
      <w:r w:rsidR="00AD4F4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38123C" w:rsidRPr="0038123C">
        <w:rPr>
          <w:rFonts w:ascii="Times New Roman" w:hAnsi="Times New Roman"/>
          <w:b/>
          <w:sz w:val="24"/>
        </w:rPr>
        <w:t>sastāv no:</w:t>
      </w:r>
    </w:p>
    <w:p w14:paraId="6E0BC444" w14:textId="74CD75A4" w:rsidR="00FC212E" w:rsidRDefault="00F6514E" w:rsidP="00FC212E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="00AD4F4A">
        <w:rPr>
          <w:rFonts w:ascii="Times New Roman" w:hAnsi="Times New Roman"/>
          <w:sz w:val="24"/>
        </w:rPr>
        <w:t>1.</w:t>
      </w:r>
      <w:r w:rsidR="006D2981" w:rsidRPr="005F0B17">
        <w:rPr>
          <w:rFonts w:ascii="Times New Roman" w:hAnsi="Times New Roman"/>
          <w:sz w:val="24"/>
        </w:rPr>
        <w:t xml:space="preserve"> </w:t>
      </w:r>
      <w:r w:rsidRPr="005F0B17">
        <w:rPr>
          <w:rFonts w:ascii="Times New Roman" w:hAnsi="Times New Roman"/>
          <w:sz w:val="24"/>
        </w:rPr>
        <w:t xml:space="preserve">ne mazāk kā </w:t>
      </w:r>
      <w:r w:rsidR="00832626">
        <w:rPr>
          <w:rFonts w:ascii="Times New Roman" w:hAnsi="Times New Roman"/>
          <w:sz w:val="24"/>
        </w:rPr>
        <w:t>divi</w:t>
      </w:r>
      <w:r w:rsidR="00AD4F4A">
        <w:rPr>
          <w:rFonts w:ascii="Times New Roman" w:hAnsi="Times New Roman"/>
          <w:sz w:val="24"/>
        </w:rPr>
        <w:t>em</w:t>
      </w:r>
      <w:r w:rsidR="00832626" w:rsidRPr="005F0B17">
        <w:rPr>
          <w:rFonts w:ascii="Times New Roman" w:hAnsi="Times New Roman"/>
          <w:sz w:val="24"/>
        </w:rPr>
        <w:t xml:space="preserve"> </w:t>
      </w:r>
      <w:r w:rsidRPr="005F0B17">
        <w:rPr>
          <w:rFonts w:ascii="Times New Roman" w:hAnsi="Times New Roman"/>
          <w:sz w:val="24"/>
        </w:rPr>
        <w:t>jautājumi</w:t>
      </w:r>
      <w:r>
        <w:rPr>
          <w:rFonts w:ascii="Times New Roman" w:hAnsi="Times New Roman"/>
          <w:sz w:val="24"/>
        </w:rPr>
        <w:t>em</w:t>
      </w:r>
      <w:r w:rsidRPr="005F0B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par katru no būvei izvirzāmām būtiskām prasībām</w:t>
      </w:r>
      <w:r>
        <w:rPr>
          <w:rStyle w:val="FootnoteReference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>, ja tās noteiktas normatīvajos aktos</w:t>
      </w:r>
      <w:r w:rsidR="004724AF" w:rsidRPr="004724AF">
        <w:rPr>
          <w:rFonts w:ascii="Times New Roman" w:hAnsi="Times New Roman"/>
          <w:sz w:val="24"/>
        </w:rPr>
        <w:t xml:space="preserve"> </w:t>
      </w:r>
      <w:r w:rsidR="004724AF">
        <w:rPr>
          <w:rFonts w:ascii="Times New Roman" w:hAnsi="Times New Roman"/>
          <w:sz w:val="24"/>
        </w:rPr>
        <w:t>un attiecināmas uz konkrēto darbības sfēru, kurā pretendents vēlas iegūt patstāvīgās prakses tiesības;</w:t>
      </w:r>
    </w:p>
    <w:p w14:paraId="54755DB6" w14:textId="26B43394" w:rsidR="00FC212E" w:rsidRDefault="00F6514E" w:rsidP="00FC212E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</w:t>
      </w:r>
      <w:r w:rsidR="006D2981">
        <w:rPr>
          <w:rFonts w:ascii="Times New Roman" w:hAnsi="Times New Roman"/>
          <w:sz w:val="24"/>
        </w:rPr>
        <w:t>vien</w:t>
      </w:r>
      <w:r w:rsidR="000A6421">
        <w:rPr>
          <w:rFonts w:ascii="Times New Roman" w:hAnsi="Times New Roman"/>
          <w:sz w:val="24"/>
        </w:rPr>
        <w:t>a</w:t>
      </w:r>
      <w:r w:rsidR="006D29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rakstisk</w:t>
      </w:r>
      <w:r w:rsidR="000A642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uzdevum</w:t>
      </w:r>
      <w:r w:rsidR="000A642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ar attiecīgo standartu piemērošanu;</w:t>
      </w:r>
    </w:p>
    <w:p w14:paraId="3598F672" w14:textId="0E19863A" w:rsidR="00FC212E" w:rsidRDefault="00F6514E" w:rsidP="00FC212E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 ne mazāk kā </w:t>
      </w:r>
      <w:r w:rsidR="0081150F">
        <w:rPr>
          <w:rFonts w:ascii="Times New Roman" w:hAnsi="Times New Roman"/>
          <w:sz w:val="24"/>
        </w:rPr>
        <w:t>diviem</w:t>
      </w:r>
      <w:r>
        <w:rPr>
          <w:rFonts w:ascii="Times New Roman" w:hAnsi="Times New Roman"/>
          <w:sz w:val="24"/>
        </w:rPr>
        <w:t xml:space="preserve"> patstāvīgai praksei būtiski</w:t>
      </w:r>
      <w:r w:rsidR="006D2981">
        <w:rPr>
          <w:rFonts w:ascii="Times New Roman" w:hAnsi="Times New Roman"/>
          <w:sz w:val="24"/>
        </w:rPr>
        <w:t>em</w:t>
      </w:r>
      <w:r w:rsidRPr="0051482D">
        <w:rPr>
          <w:rFonts w:ascii="Times New Roman" w:hAnsi="Times New Roman"/>
          <w:sz w:val="24"/>
        </w:rPr>
        <w:t xml:space="preserve">  uzdevumi</w:t>
      </w:r>
      <w:r w:rsidR="006D2981"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z w:val="24"/>
        </w:rPr>
        <w:t>;</w:t>
      </w:r>
    </w:p>
    <w:p w14:paraId="48333966" w14:textId="1B9C50B0" w:rsidR="006F43F7" w:rsidRDefault="00F6514E" w:rsidP="00FC212E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</w:t>
      </w:r>
      <w:r w:rsidR="00CB79BD">
        <w:rPr>
          <w:rFonts w:ascii="Times New Roman" w:hAnsi="Times New Roman"/>
          <w:sz w:val="24"/>
        </w:rPr>
        <w:t>vismaz</w:t>
      </w:r>
      <w:r>
        <w:rPr>
          <w:rFonts w:ascii="Times New Roman" w:hAnsi="Times New Roman"/>
          <w:sz w:val="24"/>
        </w:rPr>
        <w:t xml:space="preserve"> vien</w:t>
      </w:r>
      <w:r w:rsidR="00CB79B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uzdevum</w:t>
      </w:r>
      <w:r w:rsidR="00CB79B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par energoefektivitātes tēmu</w:t>
      </w:r>
      <w:r w:rsidR="000A6421" w:rsidRPr="000A6421">
        <w:rPr>
          <w:rFonts w:ascii="Times New Roman" w:hAnsi="Times New Roman"/>
          <w:sz w:val="24"/>
        </w:rPr>
        <w:t xml:space="preserve"> </w:t>
      </w:r>
      <w:r w:rsidR="000A6421">
        <w:rPr>
          <w:rFonts w:ascii="Times New Roman" w:hAnsi="Times New Roman"/>
          <w:sz w:val="24"/>
        </w:rPr>
        <w:t>s</w:t>
      </w:r>
      <w:r w:rsidR="000A6421" w:rsidRPr="00CB79BD">
        <w:rPr>
          <w:rFonts w:ascii="Times New Roman" w:hAnsi="Times New Roman"/>
          <w:sz w:val="24"/>
        </w:rPr>
        <w:t>iltumapgādes, ventilācijas un gaisa kondicionēšanas sistēmu būvdarbu vadīšanas un būvuzraudzības darbības sfēr</w:t>
      </w:r>
      <w:r w:rsidR="000A6421">
        <w:rPr>
          <w:rFonts w:ascii="Times New Roman" w:hAnsi="Times New Roman"/>
          <w:sz w:val="24"/>
        </w:rPr>
        <w:t>as pretendentiem</w:t>
      </w:r>
      <w:r w:rsidR="00CB79BD">
        <w:rPr>
          <w:rFonts w:ascii="Times New Roman" w:hAnsi="Times New Roman"/>
          <w:sz w:val="24"/>
        </w:rPr>
        <w:t>;</w:t>
      </w:r>
    </w:p>
    <w:p w14:paraId="702DCA8E" w14:textId="5C296122" w:rsidR="005F0B17" w:rsidRDefault="00F6514E" w:rsidP="00FC212E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3812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</w:t>
      </w:r>
      <w:r w:rsidR="00FC212E">
        <w:rPr>
          <w:rFonts w:ascii="Times New Roman" w:hAnsi="Times New Roman"/>
          <w:sz w:val="24"/>
        </w:rPr>
        <w:t xml:space="preserve">. KPI </w:t>
      </w:r>
      <w:r w:rsidR="00334D0A">
        <w:rPr>
          <w:rFonts w:ascii="Times New Roman" w:hAnsi="Times New Roman"/>
          <w:sz w:val="24"/>
        </w:rPr>
        <w:t>var paredzēt intervijas ar pretendentu par</w:t>
      </w:r>
      <w:r w:rsidR="006D2981">
        <w:rPr>
          <w:rFonts w:ascii="Times New Roman" w:hAnsi="Times New Roman"/>
          <w:sz w:val="24"/>
        </w:rPr>
        <w:t xml:space="preserve"> tēmām</w:t>
      </w:r>
      <w:r w:rsidR="00FC212E">
        <w:rPr>
          <w:rFonts w:ascii="Times New Roman" w:hAnsi="Times New Roman"/>
          <w:sz w:val="24"/>
        </w:rPr>
        <w:t xml:space="preserve">, kas ir </w:t>
      </w:r>
      <w:r w:rsidR="00FC212E" w:rsidRPr="005F0B17">
        <w:rPr>
          <w:rFonts w:ascii="Times New Roman" w:hAnsi="Times New Roman"/>
          <w:sz w:val="24"/>
        </w:rPr>
        <w:t>būtisk</w:t>
      </w:r>
      <w:r w:rsidR="00FC212E">
        <w:rPr>
          <w:rFonts w:ascii="Times New Roman" w:hAnsi="Times New Roman"/>
          <w:sz w:val="24"/>
        </w:rPr>
        <w:t>as</w:t>
      </w:r>
      <w:r w:rsidR="00FC212E" w:rsidRPr="005F0B17">
        <w:rPr>
          <w:rFonts w:ascii="Times New Roman" w:hAnsi="Times New Roman"/>
          <w:sz w:val="24"/>
        </w:rPr>
        <w:t xml:space="preserve"> jomai, specialitātei un darbības sfērai</w:t>
      </w:r>
      <w:r w:rsidR="00A30621">
        <w:rPr>
          <w:rFonts w:ascii="Times New Roman" w:hAnsi="Times New Roman"/>
          <w:sz w:val="24"/>
        </w:rPr>
        <w:t>.</w:t>
      </w:r>
    </w:p>
    <w:p w14:paraId="27C094E3" w14:textId="77777777" w:rsidR="004724AF" w:rsidRDefault="00F6514E" w:rsidP="00FC212E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Jautājumiem un uzdevumiem jāparāda pretendenta </w:t>
      </w:r>
      <w:r>
        <w:rPr>
          <w:rFonts w:ascii="Times New Roman" w:hAnsi="Times New Roman"/>
          <w:sz w:val="24"/>
        </w:rPr>
        <w:t>kompetenci un spēju analizēt kompleksas situācijas, sniedzot izvērstas atbildes.</w:t>
      </w:r>
    </w:p>
    <w:p w14:paraId="221C8024" w14:textId="77777777" w:rsidR="006F43F7" w:rsidRDefault="006F43F7" w:rsidP="00FC212E">
      <w:pPr>
        <w:spacing w:before="120"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14:paraId="6DE47AA9" w14:textId="5C87DA23" w:rsidR="00012609" w:rsidRDefault="00F6514E" w:rsidP="000A642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5F0B17">
        <w:rPr>
          <w:rFonts w:ascii="Times New Roman" w:hAnsi="Times New Roman"/>
          <w:b/>
          <w:sz w:val="24"/>
        </w:rPr>
        <w:t xml:space="preserve">. </w:t>
      </w:r>
      <w:r w:rsidRPr="00AC68DC">
        <w:rPr>
          <w:rFonts w:ascii="Times New Roman" w:hAnsi="Times New Roman"/>
          <w:b/>
          <w:sz w:val="24"/>
        </w:rPr>
        <w:t xml:space="preserve">Kompetences novērtēšana </w:t>
      </w:r>
      <w:r>
        <w:rPr>
          <w:rFonts w:ascii="Times New Roman" w:hAnsi="Times New Roman"/>
          <w:b/>
          <w:sz w:val="24"/>
        </w:rPr>
        <w:t>b</w:t>
      </w:r>
      <w:r w:rsidRPr="00BB6A71">
        <w:rPr>
          <w:rFonts w:ascii="Times New Roman" w:hAnsi="Times New Roman"/>
          <w:b/>
          <w:sz w:val="24"/>
        </w:rPr>
        <w:t>ūvekspertīzes specialitāt</w:t>
      </w:r>
      <w:r w:rsidR="0044370A">
        <w:rPr>
          <w:rFonts w:ascii="Times New Roman" w:hAnsi="Times New Roman"/>
          <w:b/>
          <w:sz w:val="24"/>
        </w:rPr>
        <w:t>ē</w:t>
      </w:r>
      <w:r w:rsidRPr="00BB6A71">
        <w:rPr>
          <w:rFonts w:ascii="Times New Roman" w:hAnsi="Times New Roman"/>
          <w:sz w:val="24"/>
        </w:rPr>
        <w:t xml:space="preserve"> </w:t>
      </w:r>
      <w:r w:rsidR="0044370A">
        <w:rPr>
          <w:rFonts w:ascii="Times New Roman" w:hAnsi="Times New Roman"/>
          <w:sz w:val="24"/>
        </w:rPr>
        <w:t>(</w:t>
      </w:r>
      <w:r w:rsidR="0044370A" w:rsidRPr="0051482D">
        <w:rPr>
          <w:rFonts w:ascii="Times New Roman" w:hAnsi="Times New Roman"/>
          <w:sz w:val="24"/>
        </w:rPr>
        <w:t>būvspeciālistam kompetence būvekspertīzes specialitātē tiek vērtēta pirmo reizi</w:t>
      </w:r>
      <w:r w:rsidR="0044370A" w:rsidRPr="00BB6A71">
        <w:rPr>
          <w:rFonts w:ascii="Times New Roman" w:hAnsi="Times New Roman"/>
          <w:sz w:val="24"/>
        </w:rPr>
        <w:t xml:space="preserve"> </w:t>
      </w:r>
      <w:r w:rsidR="0044370A">
        <w:rPr>
          <w:rFonts w:ascii="Times New Roman" w:hAnsi="Times New Roman"/>
          <w:sz w:val="24"/>
        </w:rPr>
        <w:t xml:space="preserve">vai pēc sertifikāta </w:t>
      </w:r>
      <w:r w:rsidR="0044370A">
        <w:rPr>
          <w:rFonts w:ascii="Times New Roman" w:hAnsi="Times New Roman"/>
          <w:sz w:val="24"/>
        </w:rPr>
        <w:lastRenderedPageBreak/>
        <w:t>anulēšanas</w:t>
      </w:r>
      <w:r w:rsidR="000046E5">
        <w:rPr>
          <w:rFonts w:ascii="Times New Roman" w:hAnsi="Times New Roman"/>
          <w:sz w:val="24"/>
        </w:rPr>
        <w:t>, apturēšanas uz laiku vai pēc KPI pieņemtā lēmuma par atkārtotu pārbaudi kompetenču, prasmju un zināšanu līmeņa novērtēšanai</w:t>
      </w:r>
      <w:r w:rsidR="0044370A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024570">
        <w:rPr>
          <w:rFonts w:ascii="Times New Roman" w:hAnsi="Times New Roman"/>
          <w:b/>
          <w:sz w:val="24"/>
        </w:rPr>
        <w:t>sastāv no</w:t>
      </w:r>
      <w:r>
        <w:rPr>
          <w:rFonts w:ascii="Times New Roman" w:hAnsi="Times New Roman"/>
          <w:sz w:val="24"/>
        </w:rPr>
        <w:t xml:space="preserve"> </w:t>
      </w:r>
      <w:r w:rsidRPr="00BB6A71">
        <w:rPr>
          <w:rFonts w:ascii="Times New Roman" w:hAnsi="Times New Roman"/>
          <w:sz w:val="24"/>
        </w:rPr>
        <w:t> </w:t>
      </w:r>
      <w:r w:rsidR="006D2981" w:rsidRPr="00BB6A71">
        <w:rPr>
          <w:rFonts w:ascii="Times New Roman" w:hAnsi="Times New Roman"/>
          <w:sz w:val="24"/>
        </w:rPr>
        <w:t>test</w:t>
      </w:r>
      <w:r w:rsidR="006D2981">
        <w:rPr>
          <w:rFonts w:ascii="Times New Roman" w:hAnsi="Times New Roman"/>
          <w:sz w:val="24"/>
        </w:rPr>
        <w:t>a</w:t>
      </w:r>
      <w:r w:rsidR="006D2981" w:rsidRPr="00BB6A71">
        <w:rPr>
          <w:rFonts w:ascii="Times New Roman" w:hAnsi="Times New Roman"/>
          <w:sz w:val="24"/>
        </w:rPr>
        <w:t xml:space="preserve"> </w:t>
      </w:r>
      <w:r w:rsidRPr="00BB6A71">
        <w:rPr>
          <w:rFonts w:ascii="Times New Roman" w:hAnsi="Times New Roman"/>
          <w:sz w:val="24"/>
        </w:rPr>
        <w:t xml:space="preserve">būvekspertīzes specialitātē, </w:t>
      </w:r>
      <w:r w:rsidR="0044370A">
        <w:rPr>
          <w:rFonts w:ascii="Times New Roman" w:hAnsi="Times New Roman"/>
          <w:sz w:val="24"/>
        </w:rPr>
        <w:t xml:space="preserve">kas </w:t>
      </w:r>
      <w:r w:rsidR="00296C00" w:rsidRPr="00BB6A71">
        <w:rPr>
          <w:rFonts w:ascii="Times New Roman" w:hAnsi="Times New Roman"/>
          <w:sz w:val="24"/>
        </w:rPr>
        <w:t>sastāv no</w:t>
      </w:r>
      <w:r w:rsidRPr="00BB6A71">
        <w:rPr>
          <w:rFonts w:ascii="Times New Roman" w:hAnsi="Times New Roman"/>
          <w:sz w:val="24"/>
        </w:rPr>
        <w:t xml:space="preserve"> ne mazāk kā </w:t>
      </w:r>
      <w:r w:rsidR="00FC212E">
        <w:rPr>
          <w:rFonts w:ascii="Times New Roman" w:hAnsi="Times New Roman"/>
          <w:sz w:val="24"/>
        </w:rPr>
        <w:t>10</w:t>
      </w:r>
      <w:r w:rsidR="00386462">
        <w:rPr>
          <w:rFonts w:ascii="Times New Roman" w:hAnsi="Times New Roman"/>
          <w:sz w:val="24"/>
        </w:rPr>
        <w:t> </w:t>
      </w:r>
      <w:r w:rsidR="000479E7">
        <w:rPr>
          <w:rFonts w:ascii="Times New Roman" w:hAnsi="Times New Roman"/>
          <w:sz w:val="24"/>
        </w:rPr>
        <w:t>jautājumiem</w:t>
      </w:r>
      <w:r w:rsidR="000046E5">
        <w:rPr>
          <w:rFonts w:ascii="Times New Roman" w:hAnsi="Times New Roman"/>
          <w:sz w:val="24"/>
        </w:rPr>
        <w:t>, lai pārliecinātos ne tikai par pretendenta teorētiskajām zināšanām attiecībā</w:t>
      </w:r>
      <w:r w:rsidR="000479E7">
        <w:rPr>
          <w:rFonts w:ascii="Times New Roman" w:hAnsi="Times New Roman"/>
          <w:sz w:val="24"/>
        </w:rPr>
        <w:t xml:space="preserve"> </w:t>
      </w:r>
      <w:r w:rsidR="000046E5">
        <w:rPr>
          <w:rFonts w:ascii="Times New Roman" w:hAnsi="Times New Roman"/>
          <w:sz w:val="24"/>
        </w:rPr>
        <w:t xml:space="preserve">uz </w:t>
      </w:r>
      <w:r w:rsidR="00FC212E">
        <w:rPr>
          <w:rFonts w:ascii="Times New Roman" w:hAnsi="Times New Roman"/>
          <w:sz w:val="24"/>
        </w:rPr>
        <w:t xml:space="preserve">būvekspertīzes </w:t>
      </w:r>
      <w:r w:rsidR="000046E5">
        <w:rPr>
          <w:rFonts w:ascii="Times New Roman" w:hAnsi="Times New Roman"/>
          <w:sz w:val="24"/>
        </w:rPr>
        <w:t>normatīvo regulējumu</w:t>
      </w:r>
      <w:r w:rsidR="00FC212E" w:rsidRPr="00F40753">
        <w:rPr>
          <w:rFonts w:ascii="Times New Roman" w:hAnsi="Times New Roman"/>
          <w:sz w:val="24"/>
        </w:rPr>
        <w:t xml:space="preserve">, </w:t>
      </w:r>
      <w:r w:rsidR="000046E5">
        <w:rPr>
          <w:rFonts w:ascii="Times New Roman" w:hAnsi="Times New Roman"/>
          <w:sz w:val="24"/>
        </w:rPr>
        <w:t xml:space="preserve">bet arī praktiskajām spējām par būvprojekta vai būves ekspertīzes atzinuma sagatavošanu, būvekspertīzes sastāvu, </w:t>
      </w:r>
      <w:r w:rsidR="00FC212E" w:rsidRPr="00F40753">
        <w:rPr>
          <w:rFonts w:ascii="Times New Roman" w:hAnsi="Times New Roman"/>
          <w:sz w:val="24"/>
        </w:rPr>
        <w:t>veikšanas kārtību</w:t>
      </w:r>
      <w:r w:rsidR="00F40753" w:rsidRPr="00F40753">
        <w:rPr>
          <w:rFonts w:ascii="Times New Roman" w:hAnsi="Times New Roman"/>
          <w:sz w:val="24"/>
        </w:rPr>
        <w:t xml:space="preserve">, </w:t>
      </w:r>
      <w:r w:rsidR="000046E5">
        <w:rPr>
          <w:rFonts w:ascii="Times New Roman" w:hAnsi="Times New Roman"/>
          <w:sz w:val="24"/>
        </w:rPr>
        <w:t>ierobežojumiem un</w:t>
      </w:r>
      <w:r w:rsidR="00F40753" w:rsidRPr="00F40753">
        <w:rPr>
          <w:rFonts w:ascii="Times New Roman" w:hAnsi="Times New Roman"/>
          <w:sz w:val="24"/>
        </w:rPr>
        <w:t xml:space="preserve"> atbildību</w:t>
      </w:r>
      <w:r w:rsidR="00D64149">
        <w:rPr>
          <w:rFonts w:ascii="Times New Roman" w:hAnsi="Times New Roman"/>
          <w:sz w:val="24"/>
        </w:rPr>
        <w:t>;</w:t>
      </w:r>
    </w:p>
    <w:p w14:paraId="7142921D" w14:textId="19BF034A" w:rsidR="00325EE8" w:rsidRPr="00D64149" w:rsidRDefault="00F6514E" w:rsidP="003812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</w:rPr>
        <w:t>7</w:t>
      </w:r>
      <w:r w:rsidR="00D6414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 w:rsidR="00D64149" w:rsidRPr="00D641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64149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D64149">
        <w:rPr>
          <w:rFonts w:ascii="Times New Roman" w:eastAsia="Times New Roman" w:hAnsi="Times New Roman" w:cs="Times New Roman"/>
          <w:sz w:val="24"/>
          <w:szCs w:val="24"/>
          <w:lang w:eastAsia="lv-LV"/>
        </w:rPr>
        <w:t>ompetences pārb</w:t>
      </w:r>
      <w:r w:rsidRPr="00D64149">
        <w:rPr>
          <w:rFonts w:ascii="Times New Roman" w:eastAsia="Times New Roman" w:hAnsi="Times New Roman" w:cs="Times New Roman"/>
          <w:sz w:val="24"/>
          <w:szCs w:val="24"/>
          <w:lang w:eastAsia="lv-LV"/>
        </w:rPr>
        <w:t>audes rezultātā būvekspertīzes specialitātē tiek novērtēts:</w:t>
      </w:r>
    </w:p>
    <w:p w14:paraId="21EC51F5" w14:textId="0A9505C2" w:rsidR="00325EE8" w:rsidRPr="00C24836" w:rsidRDefault="00F6514E" w:rsidP="0038123C">
      <w:pPr>
        <w:pStyle w:val="ListParagraph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D64149"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>1.</w:t>
      </w:r>
      <w:r w:rsidRPr="00C24836">
        <w:rPr>
          <w:rFonts w:ascii="Times New Roman" w:hAnsi="Times New Roman"/>
          <w:sz w:val="24"/>
        </w:rPr>
        <w:t xml:space="preserve">  pretendenta spēja sagatavot objektīvu un pamatotu ekspertīzes atzinumu;</w:t>
      </w:r>
    </w:p>
    <w:p w14:paraId="0210DB61" w14:textId="46476DF1" w:rsidR="00325EE8" w:rsidRPr="00C24836" w:rsidRDefault="00F6514E" w:rsidP="0038123C">
      <w:pPr>
        <w:pStyle w:val="ListParagraph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</w:t>
      </w:r>
      <w:r w:rsidR="00D64149">
        <w:rPr>
          <w:rFonts w:ascii="Times New Roman" w:hAnsi="Times New Roman"/>
          <w:sz w:val="24"/>
        </w:rPr>
        <w:t>.2.</w:t>
      </w:r>
      <w:r w:rsidRPr="00C24836">
        <w:rPr>
          <w:rFonts w:ascii="Times New Roman" w:hAnsi="Times New Roman"/>
          <w:sz w:val="24"/>
        </w:rPr>
        <w:t xml:space="preserve"> pretendenta zināšanas par LR esošajiem reglamentējošajiem tiesību aktiem un citām prasībām attiecībā uz būvekspertīzes darbības sfērām;</w:t>
      </w:r>
    </w:p>
    <w:p w14:paraId="5BBCD4A1" w14:textId="6DB2D6F0" w:rsidR="00325EE8" w:rsidRPr="00C24836" w:rsidRDefault="00F6514E" w:rsidP="0038123C">
      <w:pPr>
        <w:pStyle w:val="ListParagraph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7.1.3</w:t>
      </w:r>
      <w:r w:rsidR="00D64149">
        <w:rPr>
          <w:rFonts w:ascii="Times New Roman" w:hAnsi="Times New Roman"/>
          <w:sz w:val="24"/>
        </w:rPr>
        <w:t>.</w:t>
      </w:r>
      <w:r w:rsidRPr="00C24836">
        <w:rPr>
          <w:rFonts w:ascii="Times New Roman" w:hAnsi="Times New Roman"/>
          <w:sz w:val="24"/>
        </w:rPr>
        <w:t xml:space="preserve"> pretendenta izpratne par būvekspertīzes praksi un būvniecības procesa  konkrētiem riskiem un tehniskiem aspektie</w:t>
      </w:r>
      <w:r w:rsidRPr="00C24836">
        <w:rPr>
          <w:rFonts w:ascii="Times New Roman" w:hAnsi="Times New Roman"/>
          <w:sz w:val="24"/>
        </w:rPr>
        <w:t>m;</w:t>
      </w:r>
    </w:p>
    <w:p w14:paraId="76360DC3" w14:textId="0CCD9875" w:rsidR="00325EE8" w:rsidRPr="00C24836" w:rsidRDefault="00F6514E" w:rsidP="0038123C">
      <w:pPr>
        <w:pStyle w:val="ListParagraph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7.1.4</w:t>
      </w:r>
      <w:r w:rsidR="00D64149">
        <w:rPr>
          <w:rFonts w:ascii="Times New Roman" w:hAnsi="Times New Roman"/>
          <w:sz w:val="24"/>
        </w:rPr>
        <w:t>.</w:t>
      </w:r>
      <w:r w:rsidRPr="00C24836">
        <w:rPr>
          <w:rFonts w:ascii="Times New Roman" w:hAnsi="Times New Roman"/>
          <w:sz w:val="24"/>
        </w:rPr>
        <w:t xml:space="preserve"> pretendenta zināšanas par testa, aprēķinu un mērījumu metodēm un to pielietojumu būvekspertīzes atzinuma sagatavošanā. </w:t>
      </w:r>
    </w:p>
    <w:p w14:paraId="12BAEA8D" w14:textId="77777777" w:rsidR="00325EE8" w:rsidRPr="00206377" w:rsidRDefault="00F6514E" w:rsidP="00206377">
      <w:pPr>
        <w:jc w:val="both"/>
        <w:rPr>
          <w:rFonts w:ascii="Times New Roman" w:hAnsi="Times New Roman"/>
          <w:sz w:val="24"/>
        </w:rPr>
      </w:pPr>
      <w:r w:rsidRPr="00206377">
        <w:rPr>
          <w:rFonts w:ascii="Times New Roman" w:hAnsi="Times New Roman"/>
          <w:sz w:val="24"/>
        </w:rPr>
        <w:t>Lai pārliecinātos par pretendenta atbilstību nozarē izvirzītajām kompetences prasībām, tests ietver gan slēgta, gan atvērta ti</w:t>
      </w:r>
      <w:r w:rsidRPr="00206377">
        <w:rPr>
          <w:rFonts w:ascii="Times New Roman" w:hAnsi="Times New Roman"/>
          <w:sz w:val="24"/>
        </w:rPr>
        <w:t>pa jautājumus ar situāciju analīzes piemēriem, tādējādi izvērtējot pretendenta atbilstību noteiktiem vērtēšanas kritērijiem atbilstoši testa struktūrai un vērtēšanas sadaļai</w:t>
      </w:r>
      <w:r w:rsidR="009E60D6">
        <w:rPr>
          <w:rFonts w:ascii="Times New Roman" w:hAnsi="Times New Roman"/>
          <w:sz w:val="24"/>
        </w:rPr>
        <w:t>.</w:t>
      </w:r>
    </w:p>
    <w:p w14:paraId="27C4EEAD" w14:textId="316EAC07" w:rsidR="007478C3" w:rsidRDefault="00F6514E" w:rsidP="00206377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5F0B17">
        <w:rPr>
          <w:rFonts w:ascii="Times New Roman" w:hAnsi="Times New Roman"/>
          <w:b/>
          <w:sz w:val="24"/>
        </w:rPr>
        <w:t xml:space="preserve">. </w:t>
      </w:r>
      <w:r w:rsidR="001A5BD2" w:rsidRPr="00BA5D94">
        <w:rPr>
          <w:rFonts w:ascii="Times New Roman" w:hAnsi="Times New Roman"/>
          <w:b/>
          <w:sz w:val="24"/>
        </w:rPr>
        <w:t>Eksāmenu jautājumi jāaktualizē ne retāk kā reizi gadā</w:t>
      </w:r>
      <w:r w:rsidR="0044370A">
        <w:rPr>
          <w:rFonts w:ascii="Times New Roman" w:hAnsi="Times New Roman"/>
          <w:b/>
          <w:sz w:val="24"/>
        </w:rPr>
        <w:t>, vai biežāk, ja mainījušās normatīvo aktu un standartu prasības.</w:t>
      </w:r>
    </w:p>
    <w:p w14:paraId="49053951" w14:textId="77777777" w:rsidR="007478C3" w:rsidRDefault="007478C3" w:rsidP="007478C3">
      <w:pPr>
        <w:pStyle w:val="ListParagraph"/>
        <w:spacing w:before="720" w:after="720"/>
        <w:ind w:left="0"/>
        <w:jc w:val="both"/>
        <w:rPr>
          <w:rFonts w:ascii="Times New Roman" w:hAnsi="Times New Roman"/>
          <w:b/>
          <w:sz w:val="24"/>
        </w:rPr>
      </w:pPr>
    </w:p>
    <w:p w14:paraId="6874A36D" w14:textId="572A66E9" w:rsidR="00E91527" w:rsidRPr="00BB6A71" w:rsidRDefault="00F6514E" w:rsidP="007478C3">
      <w:pPr>
        <w:pStyle w:val="ListParagraph"/>
        <w:spacing w:before="720" w:after="72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092F6F">
        <w:rPr>
          <w:rFonts w:ascii="Times New Roman" w:hAnsi="Times New Roman"/>
          <w:b/>
          <w:sz w:val="24"/>
        </w:rPr>
        <w:t xml:space="preserve">. </w:t>
      </w:r>
      <w:r w:rsidRPr="00BB6A71">
        <w:rPr>
          <w:rFonts w:ascii="Times New Roman" w:hAnsi="Times New Roman"/>
          <w:b/>
          <w:sz w:val="24"/>
        </w:rPr>
        <w:t>Būvspeciālistu patstāvīgās prakses uzraudzība</w:t>
      </w:r>
    </w:p>
    <w:p w14:paraId="5DAE85FB" w14:textId="77777777" w:rsidR="00E91527" w:rsidRPr="00E91527" w:rsidRDefault="00E91527" w:rsidP="00C30774">
      <w:pPr>
        <w:pStyle w:val="ListParagraph"/>
        <w:ind w:left="360"/>
        <w:jc w:val="both"/>
        <w:rPr>
          <w:rFonts w:ascii="Times New Roman" w:hAnsi="Times New Roman"/>
          <w:b/>
          <w:sz w:val="24"/>
        </w:rPr>
      </w:pPr>
    </w:p>
    <w:p w14:paraId="0B56D1EB" w14:textId="3E4F2EB6" w:rsidR="00E91527" w:rsidRPr="0038123C" w:rsidRDefault="00F6514E" w:rsidP="0038123C">
      <w:pPr>
        <w:jc w:val="both"/>
        <w:rPr>
          <w:rFonts w:ascii="Times New Roman" w:hAnsi="Times New Roman"/>
          <w:sz w:val="24"/>
        </w:rPr>
      </w:pPr>
      <w:r w:rsidRPr="0038123C">
        <w:rPr>
          <w:rFonts w:ascii="Times New Roman" w:hAnsi="Times New Roman"/>
          <w:sz w:val="24"/>
        </w:rPr>
        <w:t xml:space="preserve">Uzraudzības ietvaros KPI plānveidīgi, ne retāk kā reizi piecos gados pārbauda informāciju Būvniecības informācijas sistēmā (bis.gov.lv) par katru būvspeciālistu </w:t>
      </w:r>
      <w:r w:rsidRPr="0038123C">
        <w:rPr>
          <w:rFonts w:ascii="Times New Roman" w:hAnsi="Times New Roman"/>
          <w:sz w:val="24"/>
        </w:rPr>
        <w:t>pēdējo piecu gadu periodā, nepieciešamības gadījumā pieprasot iesniegt trūkstošo informāciju.</w:t>
      </w:r>
    </w:p>
    <w:p w14:paraId="1CBFCEC8" w14:textId="77777777" w:rsidR="00E91527" w:rsidRPr="00E91527" w:rsidRDefault="00E91527" w:rsidP="00676C2D">
      <w:pPr>
        <w:pStyle w:val="ListParagraph"/>
        <w:ind w:left="284"/>
        <w:jc w:val="both"/>
        <w:rPr>
          <w:rFonts w:ascii="Times New Roman" w:hAnsi="Times New Roman"/>
          <w:sz w:val="24"/>
        </w:rPr>
      </w:pPr>
    </w:p>
    <w:p w14:paraId="056CA128" w14:textId="49284FD6" w:rsidR="00E91527" w:rsidRPr="00024570" w:rsidRDefault="00F6514E" w:rsidP="00024570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024570">
        <w:rPr>
          <w:rFonts w:ascii="Times New Roman" w:hAnsi="Times New Roman"/>
          <w:sz w:val="24"/>
        </w:rPr>
        <w:t xml:space="preserve"> </w:t>
      </w:r>
      <w:r w:rsidR="00024570">
        <w:rPr>
          <w:rFonts w:ascii="Times New Roman" w:hAnsi="Times New Roman"/>
          <w:sz w:val="24"/>
        </w:rPr>
        <w:t xml:space="preserve">9.1. </w:t>
      </w:r>
      <w:r w:rsidRPr="00024570">
        <w:rPr>
          <w:rFonts w:ascii="Times New Roman" w:hAnsi="Times New Roman"/>
          <w:sz w:val="24"/>
        </w:rPr>
        <w:t xml:space="preserve">KPI </w:t>
      </w:r>
      <w:r w:rsidR="00024570" w:rsidRPr="00024570">
        <w:rPr>
          <w:rFonts w:ascii="Times New Roman" w:hAnsi="Times New Roman"/>
          <w:sz w:val="24"/>
        </w:rPr>
        <w:t xml:space="preserve">patstāvīgās prakses </w:t>
      </w:r>
      <w:r w:rsidRPr="00024570">
        <w:rPr>
          <w:rFonts w:ascii="Times New Roman" w:hAnsi="Times New Roman"/>
          <w:sz w:val="24"/>
        </w:rPr>
        <w:t xml:space="preserve">uzraudzības ietvaros </w:t>
      </w:r>
      <w:r w:rsidR="00F40753" w:rsidRPr="00024570">
        <w:rPr>
          <w:rFonts w:ascii="Times New Roman" w:hAnsi="Times New Roman"/>
          <w:sz w:val="24"/>
        </w:rPr>
        <w:t>veic</w:t>
      </w:r>
      <w:r w:rsidRPr="00024570">
        <w:rPr>
          <w:rFonts w:ascii="Times New Roman" w:hAnsi="Times New Roman"/>
          <w:sz w:val="24"/>
        </w:rPr>
        <w:t xml:space="preserve"> šāda</w:t>
      </w:r>
      <w:r w:rsidR="00F40753" w:rsidRPr="00024570">
        <w:rPr>
          <w:rFonts w:ascii="Times New Roman" w:hAnsi="Times New Roman"/>
          <w:sz w:val="24"/>
        </w:rPr>
        <w:t>s</w:t>
      </w:r>
      <w:r w:rsidRPr="00024570">
        <w:rPr>
          <w:rFonts w:ascii="Times New Roman" w:hAnsi="Times New Roman"/>
          <w:sz w:val="24"/>
        </w:rPr>
        <w:t xml:space="preserve"> pārbaudes:</w:t>
      </w:r>
    </w:p>
    <w:p w14:paraId="4B57124E" w14:textId="03FA843C" w:rsidR="00E91527" w:rsidRDefault="00F6514E" w:rsidP="003F2AB9">
      <w:pPr>
        <w:pStyle w:val="ListParagraph"/>
        <w:numPr>
          <w:ilvl w:val="2"/>
          <w:numId w:val="3"/>
        </w:numPr>
        <w:ind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 retāk kā vienu reizi piecos gados:</w:t>
      </w:r>
    </w:p>
    <w:p w14:paraId="66660A35" w14:textId="0FCA89E1" w:rsidR="00F40753" w:rsidRDefault="00F6514E" w:rsidP="003F2AB9">
      <w:pPr>
        <w:pStyle w:val="ListParagraph"/>
        <w:numPr>
          <w:ilvl w:val="2"/>
          <w:numId w:val="3"/>
        </w:numPr>
        <w:spacing w:before="720" w:after="720"/>
        <w:ind w:left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patstāvīgās prakses informāciju;</w:t>
      </w:r>
    </w:p>
    <w:p w14:paraId="73A28538" w14:textId="77777777" w:rsidR="00F40753" w:rsidRDefault="00F6514E" w:rsidP="003F2AB9">
      <w:pPr>
        <w:pStyle w:val="ListParagraph"/>
        <w:numPr>
          <w:ilvl w:val="2"/>
          <w:numId w:val="3"/>
        </w:numPr>
        <w:spacing w:before="720" w:after="720"/>
        <w:ind w:left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profesionālās </w:t>
      </w:r>
      <w:r>
        <w:rPr>
          <w:rFonts w:ascii="Times New Roman" w:hAnsi="Times New Roman"/>
          <w:sz w:val="24"/>
        </w:rPr>
        <w:t>pilnveides informāciju;</w:t>
      </w:r>
    </w:p>
    <w:p w14:paraId="3CDD99C0" w14:textId="77777777" w:rsidR="00F40753" w:rsidRPr="00E91527" w:rsidRDefault="00F6514E" w:rsidP="003F2AB9">
      <w:pPr>
        <w:pStyle w:val="ListParagraph"/>
        <w:numPr>
          <w:ilvl w:val="2"/>
          <w:numId w:val="3"/>
        </w:numPr>
        <w:spacing w:before="720" w:after="720"/>
        <w:ind w:left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informāciju par konstatētajiem nebūtiskiem pārkāpumiem;</w:t>
      </w:r>
    </w:p>
    <w:p w14:paraId="1C601D83" w14:textId="565FC891" w:rsidR="00E91527" w:rsidRPr="00E91527" w:rsidRDefault="00F6514E" w:rsidP="0038123C">
      <w:pPr>
        <w:pStyle w:val="ListParagraph"/>
        <w:spacing w:before="720" w:after="72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 w:rsidR="0038123C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2. </w:t>
      </w:r>
      <w:r w:rsidR="00C130FB">
        <w:rPr>
          <w:rFonts w:ascii="Times New Roman" w:hAnsi="Times New Roman"/>
          <w:sz w:val="24"/>
        </w:rPr>
        <w:t xml:space="preserve">regulāri </w:t>
      </w:r>
      <w:r w:rsidR="00F40753">
        <w:rPr>
          <w:rFonts w:ascii="Times New Roman" w:hAnsi="Times New Roman"/>
          <w:sz w:val="24"/>
        </w:rPr>
        <w:t>pēc būtības izvērtē sūdzības un saņemto informāciju par būvspeciālista iespējamajiem pārkāpumiem</w:t>
      </w:r>
      <w:r w:rsidRPr="00E91527">
        <w:rPr>
          <w:rFonts w:ascii="Times New Roman" w:hAnsi="Times New Roman"/>
          <w:sz w:val="24"/>
        </w:rPr>
        <w:t>;</w:t>
      </w:r>
    </w:p>
    <w:p w14:paraId="2E58FE5C" w14:textId="581FCA26" w:rsidR="00E91527" w:rsidRDefault="00F6514E" w:rsidP="0038123C">
      <w:pPr>
        <w:pStyle w:val="ListParagraph"/>
        <w:spacing w:before="720" w:after="72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 w:rsidR="0038123C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 w:rsidRPr="00E91527">
        <w:rPr>
          <w:rFonts w:ascii="Times New Roman" w:hAnsi="Times New Roman"/>
          <w:sz w:val="24"/>
        </w:rPr>
        <w:t>.</w:t>
      </w:r>
      <w:r w:rsidRPr="00E91527">
        <w:rPr>
          <w:rFonts w:ascii="Times New Roman" w:hAnsi="Times New Roman"/>
          <w:sz w:val="24"/>
        </w:rPr>
        <w:tab/>
      </w:r>
      <w:r w:rsidR="00F40753">
        <w:rPr>
          <w:rFonts w:ascii="Times New Roman" w:hAnsi="Times New Roman"/>
          <w:sz w:val="24"/>
        </w:rPr>
        <w:t>plānveidīgi</w:t>
      </w:r>
      <w:r w:rsidR="00754C21">
        <w:rPr>
          <w:rFonts w:ascii="Times New Roman" w:hAnsi="Times New Roman"/>
          <w:sz w:val="24"/>
        </w:rPr>
        <w:t>,</w:t>
      </w:r>
      <w:r w:rsidR="00F40753">
        <w:rPr>
          <w:rFonts w:ascii="Times New Roman" w:hAnsi="Times New Roman"/>
          <w:sz w:val="24"/>
        </w:rPr>
        <w:t xml:space="preserve"> uz risku analīzi balstoties</w:t>
      </w:r>
      <w:r w:rsidR="00754C21">
        <w:rPr>
          <w:rFonts w:ascii="Times New Roman" w:hAnsi="Times New Roman"/>
          <w:sz w:val="24"/>
        </w:rPr>
        <w:t>,</w:t>
      </w:r>
      <w:r w:rsidR="00F40753">
        <w:rPr>
          <w:rFonts w:ascii="Times New Roman" w:hAnsi="Times New Roman"/>
          <w:sz w:val="24"/>
        </w:rPr>
        <w:t xml:space="preserve"> katru gadu veic padziļinātu pārbaudi </w:t>
      </w:r>
      <w:r w:rsidR="00FB782E">
        <w:rPr>
          <w:rFonts w:ascii="Times New Roman" w:hAnsi="Times New Roman"/>
          <w:sz w:val="24"/>
        </w:rPr>
        <w:t>1</w:t>
      </w:r>
      <w:r w:rsidR="00F40753">
        <w:rPr>
          <w:rFonts w:ascii="Times New Roman" w:hAnsi="Times New Roman"/>
          <w:sz w:val="24"/>
        </w:rPr>
        <w:t>% no kopējā būvspeciālistu skaita</w:t>
      </w:r>
      <w:r w:rsidR="0067521B">
        <w:rPr>
          <w:rFonts w:ascii="Times New Roman" w:hAnsi="Times New Roman"/>
          <w:sz w:val="24"/>
        </w:rPr>
        <w:t xml:space="preserve"> katrā darbības sfērā</w:t>
      </w:r>
      <w:r w:rsidR="00F40753">
        <w:rPr>
          <w:rFonts w:ascii="Times New Roman" w:hAnsi="Times New Roman"/>
          <w:sz w:val="24"/>
        </w:rPr>
        <w:t xml:space="preserve"> (saskaņojot ar Ekonomikas m</w:t>
      </w:r>
      <w:r w:rsidR="00360D99">
        <w:rPr>
          <w:rFonts w:ascii="Times New Roman" w:hAnsi="Times New Roman"/>
          <w:sz w:val="24"/>
        </w:rPr>
        <w:t>inistriju risku</w:t>
      </w:r>
      <w:r w:rsidR="003B57A5">
        <w:rPr>
          <w:rFonts w:ascii="Times New Roman" w:hAnsi="Times New Roman"/>
          <w:sz w:val="24"/>
        </w:rPr>
        <w:t xml:space="preserve"> </w:t>
      </w:r>
      <w:r w:rsidR="00D3560F">
        <w:rPr>
          <w:rFonts w:ascii="Times New Roman" w:hAnsi="Times New Roman"/>
          <w:sz w:val="24"/>
        </w:rPr>
        <w:t>sarakstu</w:t>
      </w:r>
      <w:r w:rsidR="000965BA">
        <w:rPr>
          <w:rFonts w:ascii="Times New Roman" w:hAnsi="Times New Roman"/>
          <w:sz w:val="24"/>
        </w:rPr>
        <w:t>,</w:t>
      </w:r>
      <w:r w:rsidR="00360D99">
        <w:rPr>
          <w:rFonts w:ascii="Times New Roman" w:hAnsi="Times New Roman"/>
          <w:sz w:val="24"/>
        </w:rPr>
        <w:t xml:space="preserve"> pēc kuriem atlasa pārbaudāmos būvspeciālistus):</w:t>
      </w:r>
    </w:p>
    <w:p w14:paraId="67323043" w14:textId="77777777" w:rsidR="0038123C" w:rsidRDefault="0038123C" w:rsidP="00360D99">
      <w:pPr>
        <w:pStyle w:val="ListParagraph"/>
        <w:spacing w:before="720" w:after="720"/>
        <w:ind w:left="1440"/>
        <w:jc w:val="both"/>
        <w:rPr>
          <w:rFonts w:ascii="Times New Roman" w:hAnsi="Times New Roman"/>
          <w:sz w:val="24"/>
        </w:rPr>
      </w:pPr>
    </w:p>
    <w:p w14:paraId="2722EC1C" w14:textId="0E055D95" w:rsidR="00360D99" w:rsidRPr="0038123C" w:rsidRDefault="00F6514E" w:rsidP="0038123C">
      <w:pPr>
        <w:pStyle w:val="ListParagraph"/>
        <w:spacing w:before="720" w:after="720"/>
        <w:ind w:left="567"/>
        <w:jc w:val="both"/>
        <w:rPr>
          <w:rFonts w:ascii="Times New Roman" w:hAnsi="Times New Roman"/>
          <w:b/>
          <w:sz w:val="24"/>
        </w:rPr>
      </w:pPr>
      <w:r w:rsidRPr="0038123C">
        <w:rPr>
          <w:rFonts w:ascii="Times New Roman" w:hAnsi="Times New Roman"/>
          <w:b/>
          <w:sz w:val="24"/>
        </w:rPr>
        <w:t>9.1.</w:t>
      </w:r>
      <w:r w:rsidR="00024570">
        <w:rPr>
          <w:rFonts w:ascii="Times New Roman" w:hAnsi="Times New Roman"/>
          <w:b/>
          <w:sz w:val="24"/>
        </w:rPr>
        <w:t>3</w:t>
      </w:r>
      <w:r w:rsidRPr="0038123C">
        <w:rPr>
          <w:rFonts w:ascii="Times New Roman" w:hAnsi="Times New Roman"/>
          <w:b/>
          <w:sz w:val="24"/>
        </w:rPr>
        <w:t>.1. būvdarbu vadītājiem un būvuzraugiem:</w:t>
      </w:r>
    </w:p>
    <w:p w14:paraId="01C8BC1A" w14:textId="07A67AE0" w:rsidR="00360D99" w:rsidRDefault="00F6514E" w:rsidP="003F2AB9">
      <w:pPr>
        <w:pStyle w:val="ListParagraph"/>
        <w:spacing w:before="720" w:after="72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 w:rsidR="0002457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.1.1. </w:t>
      </w:r>
      <w:r w:rsidR="00C130FB">
        <w:rPr>
          <w:rFonts w:ascii="Times New Roman" w:hAnsi="Times New Roman"/>
          <w:sz w:val="24"/>
        </w:rPr>
        <w:t xml:space="preserve">par </w:t>
      </w:r>
      <w:r>
        <w:rPr>
          <w:rFonts w:ascii="Times New Roman" w:hAnsi="Times New Roman"/>
          <w:sz w:val="24"/>
        </w:rPr>
        <w:t>vien</w:t>
      </w:r>
      <w:r w:rsidR="00C130FB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, pēc nejaušības principa atlasīt</w:t>
      </w:r>
      <w:r w:rsidR="00520E09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</w:t>
      </w:r>
      <w:r w:rsidR="00520E09">
        <w:rPr>
          <w:rFonts w:ascii="Times New Roman" w:hAnsi="Times New Roman"/>
          <w:sz w:val="24"/>
        </w:rPr>
        <w:t xml:space="preserve">objektu, kurā būvspeciālists </w:t>
      </w:r>
      <w:r w:rsidR="009F645B">
        <w:rPr>
          <w:rFonts w:ascii="Times New Roman" w:hAnsi="Times New Roman"/>
          <w:sz w:val="24"/>
        </w:rPr>
        <w:t xml:space="preserve">pārskata periodā </w:t>
      </w:r>
      <w:r w:rsidR="00520E09">
        <w:rPr>
          <w:rFonts w:ascii="Times New Roman" w:hAnsi="Times New Roman"/>
          <w:sz w:val="24"/>
        </w:rPr>
        <w:t xml:space="preserve">sniedz vai ir sniedzis pakalpojumus, </w:t>
      </w:r>
      <w:r>
        <w:rPr>
          <w:rFonts w:ascii="Times New Roman" w:hAnsi="Times New Roman"/>
          <w:sz w:val="24"/>
        </w:rPr>
        <w:t>pārbaud</w:t>
      </w:r>
      <w:r w:rsidR="00121034">
        <w:rPr>
          <w:rFonts w:ascii="Times New Roman" w:hAnsi="Times New Roman"/>
          <w:sz w:val="24"/>
        </w:rPr>
        <w:t>a</w:t>
      </w:r>
      <w:r w:rsidR="00C130F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vai pienākumi veikti atbilstoši normatīvo aktu prasībām;</w:t>
      </w:r>
    </w:p>
    <w:p w14:paraId="0CE4E154" w14:textId="717B00BD" w:rsidR="00E91527" w:rsidRDefault="00F6514E" w:rsidP="003F2AB9">
      <w:pPr>
        <w:pStyle w:val="ListParagraph"/>
        <w:spacing w:before="720" w:after="72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9.1.1.1.2</w:t>
      </w:r>
      <w:r w:rsidR="00360D99">
        <w:rPr>
          <w:rFonts w:ascii="Times New Roman" w:hAnsi="Times New Roman"/>
          <w:sz w:val="24"/>
        </w:rPr>
        <w:t>. b</w:t>
      </w:r>
      <w:r w:rsidRPr="00360D99">
        <w:rPr>
          <w:rFonts w:ascii="Times New Roman" w:hAnsi="Times New Roman"/>
          <w:sz w:val="24"/>
        </w:rPr>
        <w:t>ūvdarb</w:t>
      </w:r>
      <w:r w:rsidR="00360D99">
        <w:rPr>
          <w:rFonts w:ascii="Times New Roman" w:hAnsi="Times New Roman"/>
          <w:sz w:val="24"/>
        </w:rPr>
        <w:t>u vadītāja pārbaude būvlaukumā;</w:t>
      </w:r>
    </w:p>
    <w:p w14:paraId="43A5099E" w14:textId="77777777" w:rsidR="00253050" w:rsidRDefault="00253050" w:rsidP="00360D99">
      <w:pPr>
        <w:pStyle w:val="ListParagraph"/>
        <w:spacing w:before="720" w:after="720"/>
        <w:ind w:left="2160"/>
        <w:jc w:val="both"/>
        <w:rPr>
          <w:rFonts w:ascii="Times New Roman" w:hAnsi="Times New Roman"/>
          <w:sz w:val="24"/>
        </w:rPr>
      </w:pPr>
    </w:p>
    <w:p w14:paraId="2D6EC26A" w14:textId="012EE6B6" w:rsidR="00E91527" w:rsidRPr="00E91527" w:rsidRDefault="00F6514E" w:rsidP="006B478E">
      <w:pPr>
        <w:pStyle w:val="ListParagraph"/>
        <w:spacing w:before="720" w:after="720"/>
        <w:ind w:left="567"/>
        <w:jc w:val="both"/>
        <w:rPr>
          <w:rFonts w:ascii="Times New Roman" w:hAnsi="Times New Roman"/>
          <w:sz w:val="24"/>
        </w:rPr>
      </w:pPr>
      <w:r w:rsidRPr="006B478E">
        <w:rPr>
          <w:rFonts w:ascii="Times New Roman" w:hAnsi="Times New Roman"/>
          <w:b/>
          <w:sz w:val="24"/>
        </w:rPr>
        <w:t>9.1.</w:t>
      </w:r>
      <w:r w:rsidR="00024570">
        <w:rPr>
          <w:rFonts w:ascii="Times New Roman" w:hAnsi="Times New Roman"/>
          <w:b/>
          <w:sz w:val="24"/>
        </w:rPr>
        <w:t>3</w:t>
      </w:r>
      <w:r w:rsidRPr="006B478E">
        <w:rPr>
          <w:rFonts w:ascii="Times New Roman" w:hAnsi="Times New Roman"/>
          <w:b/>
          <w:sz w:val="24"/>
        </w:rPr>
        <w:t>.1</w:t>
      </w:r>
      <w:r w:rsidR="00360D99" w:rsidRPr="006B478E">
        <w:rPr>
          <w:rFonts w:ascii="Times New Roman" w:hAnsi="Times New Roman"/>
          <w:b/>
          <w:sz w:val="24"/>
        </w:rPr>
        <w:t>.</w:t>
      </w:r>
      <w:r w:rsidRPr="006B478E">
        <w:rPr>
          <w:rFonts w:ascii="Times New Roman" w:hAnsi="Times New Roman"/>
          <w:b/>
          <w:sz w:val="24"/>
        </w:rPr>
        <w:t xml:space="preserve">2. </w:t>
      </w:r>
      <w:r w:rsidR="00360D99" w:rsidRPr="006B478E">
        <w:rPr>
          <w:rFonts w:ascii="Times New Roman" w:hAnsi="Times New Roman"/>
          <w:b/>
          <w:sz w:val="24"/>
        </w:rPr>
        <w:t xml:space="preserve"> arhitektiem, projektētājiem, inženierizpētes būvspeciālistiem un būvekspertiem</w:t>
      </w:r>
      <w:r w:rsidR="00360D99">
        <w:rPr>
          <w:rFonts w:ascii="Times New Roman" w:hAnsi="Times New Roman"/>
          <w:sz w:val="24"/>
        </w:rPr>
        <w:t xml:space="preserve"> </w:t>
      </w:r>
      <w:r w:rsidR="00F362EB">
        <w:rPr>
          <w:rFonts w:ascii="Times New Roman" w:hAnsi="Times New Roman"/>
          <w:sz w:val="24"/>
        </w:rPr>
        <w:t xml:space="preserve">veic </w:t>
      </w:r>
      <w:r w:rsidRPr="00E91527">
        <w:rPr>
          <w:rFonts w:ascii="Times New Roman" w:hAnsi="Times New Roman"/>
          <w:sz w:val="24"/>
        </w:rPr>
        <w:t>pēc nejaušības principa izvēlēt</w:t>
      </w:r>
      <w:r w:rsidR="00F362EB">
        <w:rPr>
          <w:rFonts w:ascii="Times New Roman" w:hAnsi="Times New Roman"/>
          <w:sz w:val="24"/>
        </w:rPr>
        <w:t>a</w:t>
      </w:r>
      <w:r w:rsidRPr="00E91527">
        <w:rPr>
          <w:rFonts w:ascii="Times New Roman" w:hAnsi="Times New Roman"/>
          <w:sz w:val="24"/>
        </w:rPr>
        <w:t xml:space="preserve"> </w:t>
      </w:r>
      <w:r w:rsidR="00F362EB">
        <w:rPr>
          <w:rFonts w:ascii="Times New Roman" w:hAnsi="Times New Roman"/>
          <w:sz w:val="24"/>
        </w:rPr>
        <w:t xml:space="preserve">vismaz viena </w:t>
      </w:r>
      <w:r w:rsidR="00C130FB">
        <w:rPr>
          <w:rFonts w:ascii="Times New Roman" w:hAnsi="Times New Roman"/>
          <w:sz w:val="24"/>
        </w:rPr>
        <w:t xml:space="preserve">pārskata </w:t>
      </w:r>
      <w:r w:rsidR="00C130FB">
        <w:rPr>
          <w:rFonts w:ascii="Times New Roman" w:hAnsi="Times New Roman"/>
          <w:sz w:val="24"/>
        </w:rPr>
        <w:lastRenderedPageBreak/>
        <w:t>periodā veikt</w:t>
      </w:r>
      <w:r w:rsidR="00F362EB">
        <w:rPr>
          <w:rFonts w:ascii="Times New Roman" w:hAnsi="Times New Roman"/>
          <w:sz w:val="24"/>
        </w:rPr>
        <w:t>ā</w:t>
      </w:r>
      <w:r w:rsidR="00C130FB">
        <w:rPr>
          <w:rFonts w:ascii="Times New Roman" w:hAnsi="Times New Roman"/>
          <w:sz w:val="24"/>
        </w:rPr>
        <w:t xml:space="preserve"> </w:t>
      </w:r>
      <w:r w:rsidRPr="00E91527">
        <w:rPr>
          <w:rFonts w:ascii="Times New Roman" w:hAnsi="Times New Roman"/>
          <w:sz w:val="24"/>
        </w:rPr>
        <w:t>darb</w:t>
      </w:r>
      <w:r w:rsidR="00F362EB">
        <w:rPr>
          <w:rFonts w:ascii="Times New Roman" w:hAnsi="Times New Roman"/>
          <w:sz w:val="24"/>
        </w:rPr>
        <w:t>a</w:t>
      </w:r>
      <w:r w:rsidRPr="00E91527">
        <w:rPr>
          <w:rFonts w:ascii="Times New Roman" w:hAnsi="Times New Roman"/>
          <w:sz w:val="24"/>
        </w:rPr>
        <w:t xml:space="preserve"> padz</w:t>
      </w:r>
      <w:r w:rsidR="00C130FB">
        <w:rPr>
          <w:rFonts w:ascii="Times New Roman" w:hAnsi="Times New Roman"/>
          <w:sz w:val="24"/>
        </w:rPr>
        <w:t>iļināt</w:t>
      </w:r>
      <w:r w:rsidR="00F362EB">
        <w:rPr>
          <w:rFonts w:ascii="Times New Roman" w:hAnsi="Times New Roman"/>
          <w:sz w:val="24"/>
        </w:rPr>
        <w:t>u</w:t>
      </w:r>
      <w:r w:rsidR="00C130FB">
        <w:rPr>
          <w:rFonts w:ascii="Times New Roman" w:hAnsi="Times New Roman"/>
          <w:sz w:val="24"/>
        </w:rPr>
        <w:t xml:space="preserve"> pārbaud</w:t>
      </w:r>
      <w:r w:rsidR="00F362EB">
        <w:rPr>
          <w:rFonts w:ascii="Times New Roman" w:hAnsi="Times New Roman"/>
          <w:sz w:val="24"/>
        </w:rPr>
        <w:t>i</w:t>
      </w:r>
      <w:r w:rsidR="00D22568">
        <w:rPr>
          <w:rFonts w:ascii="Times New Roman" w:hAnsi="Times New Roman"/>
          <w:sz w:val="24"/>
        </w:rPr>
        <w:t xml:space="preserve"> par atbilstību normatīvo aktu prasībām</w:t>
      </w:r>
      <w:r w:rsidR="00C130FB">
        <w:rPr>
          <w:rFonts w:ascii="Times New Roman" w:hAnsi="Times New Roman"/>
          <w:sz w:val="24"/>
        </w:rPr>
        <w:t xml:space="preserve">, </w:t>
      </w:r>
      <w:r w:rsidR="00F362EB">
        <w:rPr>
          <w:rFonts w:ascii="Times New Roman" w:hAnsi="Times New Roman"/>
          <w:sz w:val="24"/>
        </w:rPr>
        <w:t>ietverot</w:t>
      </w:r>
      <w:r w:rsidR="00C130FB" w:rsidRPr="00E91527">
        <w:rPr>
          <w:rFonts w:ascii="Times New Roman" w:hAnsi="Times New Roman"/>
          <w:sz w:val="24"/>
        </w:rPr>
        <w:t xml:space="preserve"> būtisko raksturlielumu aprēķinu pārbaudi</w:t>
      </w:r>
      <w:r w:rsidR="00C130FB">
        <w:rPr>
          <w:rFonts w:ascii="Times New Roman" w:hAnsi="Times New Roman"/>
          <w:sz w:val="24"/>
        </w:rPr>
        <w:t>.</w:t>
      </w:r>
    </w:p>
    <w:p w14:paraId="03B63C9F" w14:textId="77777777" w:rsidR="006B478E" w:rsidRDefault="006B478E" w:rsidP="00206377">
      <w:pPr>
        <w:pStyle w:val="ListParagraph"/>
        <w:ind w:left="142"/>
        <w:jc w:val="both"/>
        <w:rPr>
          <w:rFonts w:ascii="Times New Roman" w:hAnsi="Times New Roman"/>
          <w:sz w:val="24"/>
        </w:rPr>
      </w:pPr>
    </w:p>
    <w:p w14:paraId="0D2526C4" w14:textId="34AB70F5" w:rsidR="00FF7397" w:rsidRDefault="00F6514E" w:rsidP="00206377">
      <w:pPr>
        <w:pStyle w:val="ListParagraph"/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 w:rsidR="00024570">
        <w:rPr>
          <w:rFonts w:ascii="Times New Roman" w:hAnsi="Times New Roman"/>
          <w:sz w:val="24"/>
        </w:rPr>
        <w:t>4</w:t>
      </w:r>
      <w:r w:rsidR="008719F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9E60D6" w:rsidRPr="00206377">
        <w:rPr>
          <w:rFonts w:ascii="Times New Roman" w:hAnsi="Times New Roman"/>
          <w:sz w:val="24"/>
        </w:rPr>
        <w:t>Ja KPI, veicot padziļinātu pārbaudi, konstatē neatbilstības, pēc to izvērtēšanas atbilstoši sākotnēji definētajiem kritērijiem, var pieņemt lēmumu</w:t>
      </w:r>
      <w:r w:rsidR="009E60D6">
        <w:rPr>
          <w:rFonts w:ascii="Times New Roman" w:hAnsi="Times New Roman"/>
          <w:sz w:val="24"/>
        </w:rPr>
        <w:t>:</w:t>
      </w:r>
    </w:p>
    <w:p w14:paraId="654CE0E7" w14:textId="50F9913F" w:rsidR="009E60D6" w:rsidRPr="00206377" w:rsidRDefault="00F6514E" w:rsidP="006D1EA1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 w:rsidR="00024570">
        <w:rPr>
          <w:rFonts w:ascii="Times New Roman" w:hAnsi="Times New Roman"/>
          <w:sz w:val="24"/>
        </w:rPr>
        <w:t>4</w:t>
      </w:r>
      <w:r w:rsidR="00632B3E">
        <w:rPr>
          <w:rFonts w:ascii="Times New Roman" w:hAnsi="Times New Roman"/>
          <w:sz w:val="24"/>
        </w:rPr>
        <w:t xml:space="preserve">.1. </w:t>
      </w:r>
      <w:r w:rsidRPr="00206377">
        <w:rPr>
          <w:rFonts w:ascii="Times New Roman" w:hAnsi="Times New Roman"/>
          <w:sz w:val="24"/>
        </w:rPr>
        <w:t>par brīdinājuma izteikšanu;</w:t>
      </w:r>
    </w:p>
    <w:p w14:paraId="515CE47E" w14:textId="470C0BE9" w:rsidR="009E60D6" w:rsidRDefault="00F6514E" w:rsidP="006D1EA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9.1.</w:t>
      </w:r>
      <w:r w:rsidR="00024570">
        <w:rPr>
          <w:rFonts w:ascii="Times New Roman" w:hAnsi="Times New Roman" w:cs="Times New Roman"/>
          <w:sz w:val="24"/>
          <w:szCs w:val="24"/>
          <w:lang w:eastAsia="lv-LV"/>
        </w:rPr>
        <w:t>4</w:t>
      </w:r>
      <w:r w:rsidR="00632B3E">
        <w:rPr>
          <w:rFonts w:ascii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hAnsi="Times New Roman" w:cs="Times New Roman"/>
          <w:sz w:val="24"/>
          <w:szCs w:val="24"/>
          <w:lang w:eastAsia="lv-LV"/>
        </w:rPr>
        <w:t>2.</w:t>
      </w:r>
      <w:r w:rsidR="00632B3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par </w:t>
      </w:r>
      <w:r>
        <w:rPr>
          <w:rFonts w:ascii="Times New Roman" w:hAnsi="Times New Roman" w:cs="Times New Roman"/>
          <w:sz w:val="24"/>
          <w:szCs w:val="24"/>
          <w:lang w:eastAsia="lv-LV"/>
        </w:rPr>
        <w:t>pienākumu KPI noteiktajā termiņā kārtot pārbaudi kompetenču, prasmju un zināšanu līmeņa novērtēšanai;</w:t>
      </w:r>
    </w:p>
    <w:p w14:paraId="73B6A929" w14:textId="74E8B4EC" w:rsidR="009E60D6" w:rsidRPr="00206377" w:rsidRDefault="00F6514E" w:rsidP="006D1EA1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 w:rsidR="00024570">
        <w:rPr>
          <w:rFonts w:ascii="Times New Roman" w:hAnsi="Times New Roman"/>
          <w:sz w:val="24"/>
        </w:rPr>
        <w:t>4</w:t>
      </w:r>
      <w:r w:rsidR="00632B3E">
        <w:rPr>
          <w:rFonts w:ascii="Times New Roman" w:hAnsi="Times New Roman"/>
          <w:sz w:val="24"/>
        </w:rPr>
        <w:t xml:space="preserve">.3. </w:t>
      </w:r>
      <w:r w:rsidRPr="00206377">
        <w:rPr>
          <w:rFonts w:ascii="Times New Roman" w:hAnsi="Times New Roman"/>
          <w:sz w:val="24"/>
        </w:rPr>
        <w:t>par būvprakses sertifikāta darbības sfēras apturēšanu uz laiku;</w:t>
      </w:r>
    </w:p>
    <w:p w14:paraId="41847F9B" w14:textId="0B583AE3" w:rsidR="009E60D6" w:rsidRDefault="00F6514E" w:rsidP="006D1EA1">
      <w:pPr>
        <w:spacing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 w:rsidR="0002457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.4</w:t>
      </w:r>
      <w:r w:rsidR="00632B3E">
        <w:rPr>
          <w:rFonts w:ascii="Times New Roman" w:hAnsi="Times New Roman"/>
          <w:sz w:val="24"/>
        </w:rPr>
        <w:t xml:space="preserve">. </w:t>
      </w:r>
      <w:r w:rsidRPr="00206377">
        <w:rPr>
          <w:rFonts w:ascii="Times New Roman" w:hAnsi="Times New Roman"/>
          <w:sz w:val="24"/>
        </w:rPr>
        <w:t>par būvprakses sertifikātā norā</w:t>
      </w:r>
      <w:r w:rsidR="00FB5465" w:rsidRPr="00206377">
        <w:rPr>
          <w:rFonts w:ascii="Times New Roman" w:hAnsi="Times New Roman"/>
          <w:sz w:val="24"/>
        </w:rPr>
        <w:t>dītās darbības sfēras anulēšanu.</w:t>
      </w:r>
    </w:p>
    <w:sectPr w:rsidR="009E60D6" w:rsidSect="00121034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8E5E" w14:textId="77777777" w:rsidR="00000000" w:rsidRDefault="00F6514E">
      <w:pPr>
        <w:spacing w:after="0" w:line="240" w:lineRule="auto"/>
      </w:pPr>
      <w:r>
        <w:separator/>
      </w:r>
    </w:p>
  </w:endnote>
  <w:endnote w:type="continuationSeparator" w:id="0">
    <w:p w14:paraId="2237DDF8" w14:textId="77777777" w:rsidR="00000000" w:rsidRDefault="00F6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A4A6" w14:textId="77777777" w:rsidR="00BA1014" w:rsidRDefault="00F6514E" w:rsidP="00E90B9C">
      <w:pPr>
        <w:spacing w:after="0" w:line="240" w:lineRule="auto"/>
      </w:pPr>
      <w:r>
        <w:separator/>
      </w:r>
    </w:p>
  </w:footnote>
  <w:footnote w:type="continuationSeparator" w:id="0">
    <w:p w14:paraId="6603020B" w14:textId="77777777" w:rsidR="00BA1014" w:rsidRDefault="00F6514E" w:rsidP="00E90B9C">
      <w:pPr>
        <w:spacing w:after="0" w:line="240" w:lineRule="auto"/>
      </w:pPr>
      <w:r>
        <w:continuationSeparator/>
      </w:r>
    </w:p>
  </w:footnote>
  <w:footnote w:id="1">
    <w:p w14:paraId="1D7967BF" w14:textId="77777777" w:rsidR="009F44A3" w:rsidRPr="0065128E" w:rsidRDefault="00F6514E" w:rsidP="0065128E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5128E">
        <w:rPr>
          <w:rFonts w:ascii="Times New Roman" w:hAnsi="Times New Roman" w:cs="Times New Roman"/>
        </w:rPr>
        <w:t>Ministru kabineta 2018. gada 20. marta noteikum</w:t>
      </w:r>
      <w:r>
        <w:rPr>
          <w:rFonts w:ascii="Times New Roman" w:hAnsi="Times New Roman" w:cs="Times New Roman"/>
        </w:rPr>
        <w:t>u</w:t>
      </w:r>
      <w:r w:rsidRPr="0065128E">
        <w:rPr>
          <w:rFonts w:ascii="Times New Roman" w:hAnsi="Times New Roman" w:cs="Times New Roman"/>
        </w:rPr>
        <w:t xml:space="preserve"> Nr.</w:t>
      </w:r>
      <w:r w:rsidR="00B41F53">
        <w:rPr>
          <w:rFonts w:ascii="Times New Roman" w:hAnsi="Times New Roman" w:cs="Times New Roman"/>
        </w:rPr>
        <w:t xml:space="preserve"> </w:t>
      </w:r>
      <w:r w:rsidRPr="0065128E">
        <w:rPr>
          <w:rFonts w:ascii="Times New Roman" w:hAnsi="Times New Roman" w:cs="Times New Roman"/>
        </w:rPr>
        <w:t xml:space="preserve">169 “Būvspeciālistu kompetences novērtēšanas un patstāvīgās prakses uzraudzības noteikumi” </w:t>
      </w:r>
      <w:r>
        <w:rPr>
          <w:rFonts w:ascii="Times New Roman" w:hAnsi="Times New Roman" w:cs="Times New Roman"/>
        </w:rPr>
        <w:t xml:space="preserve">8. punktā </w:t>
      </w:r>
      <w:r>
        <w:rPr>
          <w:rFonts w:ascii="Times New Roman" w:hAnsi="Times New Roman" w:cs="Times New Roman"/>
        </w:rPr>
        <w:t>minētajās</w:t>
      </w:r>
      <w:r w:rsidRPr="0065128E">
        <w:rPr>
          <w:rFonts w:ascii="Times New Roman" w:hAnsi="Times New Roman" w:cs="Times New Roman"/>
        </w:rPr>
        <w:t xml:space="preserve"> darbības sfērās</w:t>
      </w:r>
      <w:r w:rsidR="002323AA">
        <w:rPr>
          <w:rFonts w:ascii="Times New Roman" w:hAnsi="Times New Roman" w:cs="Times New Roman"/>
        </w:rPr>
        <w:t>.</w:t>
      </w:r>
    </w:p>
  </w:footnote>
  <w:footnote w:id="2">
    <w:p w14:paraId="558DBAB7" w14:textId="77777777" w:rsidR="00B41F53" w:rsidRPr="0065128E" w:rsidRDefault="00F6514E" w:rsidP="0065128E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C55F63">
        <w:rPr>
          <w:rFonts w:ascii="Times New Roman" w:hAnsi="Times New Roman" w:cs="Times New Roman"/>
        </w:rPr>
        <w:t>Ē</w:t>
      </w:r>
      <w:r w:rsidRPr="0065128E">
        <w:rPr>
          <w:rFonts w:ascii="Times New Roman" w:hAnsi="Times New Roman" w:cs="Times New Roman"/>
        </w:rPr>
        <w:t>ku konstrukciju projektēšanas</w:t>
      </w:r>
      <w:r>
        <w:rPr>
          <w:rFonts w:ascii="Times New Roman" w:hAnsi="Times New Roman" w:cs="Times New Roman"/>
        </w:rPr>
        <w:t>,</w:t>
      </w:r>
      <w:r w:rsidRPr="0065128E">
        <w:rPr>
          <w:rFonts w:ascii="Times New Roman" w:hAnsi="Times New Roman" w:cs="Times New Roman"/>
        </w:rPr>
        <w:t xml:space="preserve"> siltumapgādes, ventilācijas un gaisa kondicionēšanas sistēmu projektēšanas</w:t>
      </w:r>
      <w:r>
        <w:rPr>
          <w:rFonts w:ascii="Times New Roman" w:hAnsi="Times New Roman" w:cs="Times New Roman"/>
        </w:rPr>
        <w:t xml:space="preserve"> </w:t>
      </w:r>
      <w:r w:rsidRPr="0065128E">
        <w:rPr>
          <w:rFonts w:ascii="Times New Roman" w:hAnsi="Times New Roman" w:cs="Times New Roman"/>
        </w:rPr>
        <w:t>darbības sfērā</w:t>
      </w:r>
      <w:r w:rsidR="002323AA">
        <w:rPr>
          <w:rFonts w:ascii="Times New Roman" w:hAnsi="Times New Roman" w:cs="Times New Roman"/>
        </w:rPr>
        <w:t>.</w:t>
      </w:r>
    </w:p>
  </w:footnote>
  <w:footnote w:id="3">
    <w:p w14:paraId="3940DE64" w14:textId="77777777" w:rsidR="00386462" w:rsidRPr="0090094F" w:rsidRDefault="00F6514E" w:rsidP="0065128E">
      <w:pPr>
        <w:pStyle w:val="FootnoteText"/>
        <w:jc w:val="both"/>
        <w:rPr>
          <w:rFonts w:ascii="Times New Roman" w:hAnsi="Times New Roman" w:cs="Times New Roman"/>
        </w:rPr>
      </w:pPr>
      <w:r w:rsidRPr="0090094F">
        <w:rPr>
          <w:rStyle w:val="FootnoteReference"/>
          <w:rFonts w:ascii="Times New Roman" w:hAnsi="Times New Roman" w:cs="Times New Roman"/>
        </w:rPr>
        <w:footnoteRef/>
      </w:r>
      <w:r w:rsidRPr="0090094F">
        <w:rPr>
          <w:rFonts w:ascii="Times New Roman" w:hAnsi="Times New Roman" w:cs="Times New Roman"/>
        </w:rPr>
        <w:t xml:space="preserve"> Izņemot jautājum</w:t>
      </w:r>
      <w:r w:rsidR="00F40DAF">
        <w:rPr>
          <w:rFonts w:ascii="Times New Roman" w:hAnsi="Times New Roman" w:cs="Times New Roman"/>
        </w:rPr>
        <w:t>us</w:t>
      </w:r>
      <w:r w:rsidRPr="0090094F">
        <w:rPr>
          <w:rFonts w:ascii="Times New Roman" w:hAnsi="Times New Roman" w:cs="Times New Roman"/>
        </w:rPr>
        <w:t xml:space="preserve"> par ugunsdrošību, ja </w:t>
      </w:r>
      <w:r>
        <w:rPr>
          <w:rFonts w:ascii="Times New Roman" w:hAnsi="Times New Roman" w:cs="Times New Roman"/>
        </w:rPr>
        <w:t>Valsts ugunsdzēsības un glābšanas dienests ir apliecinājis pre</w:t>
      </w:r>
      <w:r>
        <w:rPr>
          <w:rFonts w:ascii="Times New Roman" w:hAnsi="Times New Roman" w:cs="Times New Roman"/>
        </w:rPr>
        <w:t>tendenta kompetences atbilstību patstāvīgās prakses veikšanai ugunsdrošības jomā</w:t>
      </w:r>
      <w:r w:rsidR="00F40D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471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2EFB349" w14:textId="77777777" w:rsidR="00121034" w:rsidRPr="00121034" w:rsidRDefault="00F6514E">
        <w:pPr>
          <w:pStyle w:val="Header"/>
          <w:jc w:val="center"/>
          <w:rPr>
            <w:rFonts w:ascii="Times New Roman" w:hAnsi="Times New Roman" w:cs="Times New Roman"/>
          </w:rPr>
        </w:pPr>
        <w:r w:rsidRPr="00121034">
          <w:rPr>
            <w:rFonts w:ascii="Times New Roman" w:hAnsi="Times New Roman" w:cs="Times New Roman"/>
          </w:rPr>
          <w:fldChar w:fldCharType="begin"/>
        </w:r>
        <w:r w:rsidRPr="00121034">
          <w:rPr>
            <w:rFonts w:ascii="Times New Roman" w:hAnsi="Times New Roman" w:cs="Times New Roman"/>
          </w:rPr>
          <w:instrText xml:space="preserve"> PAGE   \* MERGEFORMAT </w:instrText>
        </w:r>
        <w:r w:rsidRPr="00121034">
          <w:rPr>
            <w:rFonts w:ascii="Times New Roman" w:hAnsi="Times New Roman" w:cs="Times New Roman"/>
          </w:rPr>
          <w:fldChar w:fldCharType="separate"/>
        </w:r>
        <w:r w:rsidR="00E14D68">
          <w:rPr>
            <w:rFonts w:ascii="Times New Roman" w:hAnsi="Times New Roman" w:cs="Times New Roman"/>
            <w:noProof/>
          </w:rPr>
          <w:t>4</w:t>
        </w:r>
        <w:r w:rsidRPr="0012103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0BDA9F2" w14:textId="77777777" w:rsidR="00121034" w:rsidRDefault="00121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FE38B0"/>
    <w:multiLevelType w:val="multilevel"/>
    <w:tmpl w:val="D346D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1">
    <w:nsid w:val="48E25B19"/>
    <w:multiLevelType w:val="multilevel"/>
    <w:tmpl w:val="E3A6EB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1">
    <w:nsid w:val="5DB07362"/>
    <w:multiLevelType w:val="multilevel"/>
    <w:tmpl w:val="7AC2F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3" w15:restartNumberingAfterBreak="1">
    <w:nsid w:val="6B225855"/>
    <w:multiLevelType w:val="multilevel"/>
    <w:tmpl w:val="05A871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DC"/>
    <w:rsid w:val="000021F9"/>
    <w:rsid w:val="000046E5"/>
    <w:rsid w:val="00012609"/>
    <w:rsid w:val="0001782A"/>
    <w:rsid w:val="00021504"/>
    <w:rsid w:val="00021D98"/>
    <w:rsid w:val="00023D9E"/>
    <w:rsid w:val="00024570"/>
    <w:rsid w:val="0004156D"/>
    <w:rsid w:val="000479E7"/>
    <w:rsid w:val="00063EA2"/>
    <w:rsid w:val="000642B9"/>
    <w:rsid w:val="00070A69"/>
    <w:rsid w:val="00077150"/>
    <w:rsid w:val="000779DB"/>
    <w:rsid w:val="000826AF"/>
    <w:rsid w:val="00092F6F"/>
    <w:rsid w:val="00093028"/>
    <w:rsid w:val="00095741"/>
    <w:rsid w:val="000965BA"/>
    <w:rsid w:val="000A6421"/>
    <w:rsid w:val="000B47DC"/>
    <w:rsid w:val="000B7D3C"/>
    <w:rsid w:val="000C55D0"/>
    <w:rsid w:val="000D5411"/>
    <w:rsid w:val="000F43FB"/>
    <w:rsid w:val="00116B6E"/>
    <w:rsid w:val="00121034"/>
    <w:rsid w:val="00121FC3"/>
    <w:rsid w:val="00146013"/>
    <w:rsid w:val="00160680"/>
    <w:rsid w:val="00181DF9"/>
    <w:rsid w:val="001943F2"/>
    <w:rsid w:val="001A3841"/>
    <w:rsid w:val="001A5BD2"/>
    <w:rsid w:val="001B1C29"/>
    <w:rsid w:val="001C4C5C"/>
    <w:rsid w:val="001E7B94"/>
    <w:rsid w:val="00205C2C"/>
    <w:rsid w:val="00206377"/>
    <w:rsid w:val="0021051B"/>
    <w:rsid w:val="00230D20"/>
    <w:rsid w:val="002323AA"/>
    <w:rsid w:val="00236006"/>
    <w:rsid w:val="002378C0"/>
    <w:rsid w:val="0024415A"/>
    <w:rsid w:val="00253050"/>
    <w:rsid w:val="00263481"/>
    <w:rsid w:val="00265BFD"/>
    <w:rsid w:val="00285D71"/>
    <w:rsid w:val="00296C00"/>
    <w:rsid w:val="002B1E8E"/>
    <w:rsid w:val="002E738C"/>
    <w:rsid w:val="002F0F9D"/>
    <w:rsid w:val="002F2A7C"/>
    <w:rsid w:val="00315537"/>
    <w:rsid w:val="003166B6"/>
    <w:rsid w:val="00325EE8"/>
    <w:rsid w:val="00331443"/>
    <w:rsid w:val="00334D0A"/>
    <w:rsid w:val="00360B18"/>
    <w:rsid w:val="00360D99"/>
    <w:rsid w:val="0038123C"/>
    <w:rsid w:val="00386462"/>
    <w:rsid w:val="00394A96"/>
    <w:rsid w:val="003A67DC"/>
    <w:rsid w:val="003B3DA9"/>
    <w:rsid w:val="003B57A5"/>
    <w:rsid w:val="003B5DFF"/>
    <w:rsid w:val="003C3810"/>
    <w:rsid w:val="003D3706"/>
    <w:rsid w:val="003D378F"/>
    <w:rsid w:val="003E0DD7"/>
    <w:rsid w:val="003E2A26"/>
    <w:rsid w:val="003F2AB9"/>
    <w:rsid w:val="00404DE6"/>
    <w:rsid w:val="0041025E"/>
    <w:rsid w:val="00413E8C"/>
    <w:rsid w:val="0041424B"/>
    <w:rsid w:val="0043788C"/>
    <w:rsid w:val="0044370A"/>
    <w:rsid w:val="004662C4"/>
    <w:rsid w:val="004724AF"/>
    <w:rsid w:val="00485D91"/>
    <w:rsid w:val="00487910"/>
    <w:rsid w:val="004B3333"/>
    <w:rsid w:val="004C0FE8"/>
    <w:rsid w:val="004C4331"/>
    <w:rsid w:val="005074D7"/>
    <w:rsid w:val="0051482D"/>
    <w:rsid w:val="00520E09"/>
    <w:rsid w:val="005219C5"/>
    <w:rsid w:val="0053569F"/>
    <w:rsid w:val="0053717D"/>
    <w:rsid w:val="00537A20"/>
    <w:rsid w:val="00556915"/>
    <w:rsid w:val="005777D6"/>
    <w:rsid w:val="005A582D"/>
    <w:rsid w:val="005B764A"/>
    <w:rsid w:val="005B7A3D"/>
    <w:rsid w:val="005C2DA4"/>
    <w:rsid w:val="005E0EFB"/>
    <w:rsid w:val="005F0B17"/>
    <w:rsid w:val="00632B3E"/>
    <w:rsid w:val="006332EF"/>
    <w:rsid w:val="00643ACA"/>
    <w:rsid w:val="0065128E"/>
    <w:rsid w:val="00654C97"/>
    <w:rsid w:val="0065718E"/>
    <w:rsid w:val="0067521B"/>
    <w:rsid w:val="00676C2D"/>
    <w:rsid w:val="006A3CF7"/>
    <w:rsid w:val="006B3A83"/>
    <w:rsid w:val="006B478E"/>
    <w:rsid w:val="006D1EA1"/>
    <w:rsid w:val="006D2981"/>
    <w:rsid w:val="006F1A15"/>
    <w:rsid w:val="006F2C43"/>
    <w:rsid w:val="006F3D2B"/>
    <w:rsid w:val="006F43F7"/>
    <w:rsid w:val="007023D0"/>
    <w:rsid w:val="0070313E"/>
    <w:rsid w:val="007065CF"/>
    <w:rsid w:val="00717CC3"/>
    <w:rsid w:val="007340D7"/>
    <w:rsid w:val="00740D85"/>
    <w:rsid w:val="00743004"/>
    <w:rsid w:val="00744D1F"/>
    <w:rsid w:val="007478C3"/>
    <w:rsid w:val="00754C21"/>
    <w:rsid w:val="007610E0"/>
    <w:rsid w:val="0076536D"/>
    <w:rsid w:val="0079669C"/>
    <w:rsid w:val="007C68AD"/>
    <w:rsid w:val="007F4F4B"/>
    <w:rsid w:val="00800DF3"/>
    <w:rsid w:val="0081150F"/>
    <w:rsid w:val="00813923"/>
    <w:rsid w:val="00832626"/>
    <w:rsid w:val="0085400D"/>
    <w:rsid w:val="00861DBA"/>
    <w:rsid w:val="008719F8"/>
    <w:rsid w:val="00875701"/>
    <w:rsid w:val="008841CD"/>
    <w:rsid w:val="008B3BFF"/>
    <w:rsid w:val="008B4835"/>
    <w:rsid w:val="008D231E"/>
    <w:rsid w:val="008D787C"/>
    <w:rsid w:val="008F18E7"/>
    <w:rsid w:val="008F3D5C"/>
    <w:rsid w:val="008F5616"/>
    <w:rsid w:val="0090094F"/>
    <w:rsid w:val="009030DA"/>
    <w:rsid w:val="00941299"/>
    <w:rsid w:val="00945028"/>
    <w:rsid w:val="00950DC6"/>
    <w:rsid w:val="0096462E"/>
    <w:rsid w:val="00965040"/>
    <w:rsid w:val="00965B2B"/>
    <w:rsid w:val="00965F2A"/>
    <w:rsid w:val="00982FAB"/>
    <w:rsid w:val="009909D5"/>
    <w:rsid w:val="0099493B"/>
    <w:rsid w:val="009A0DA5"/>
    <w:rsid w:val="009A4799"/>
    <w:rsid w:val="009C3008"/>
    <w:rsid w:val="009E1494"/>
    <w:rsid w:val="009E60D6"/>
    <w:rsid w:val="009F44A3"/>
    <w:rsid w:val="009F645B"/>
    <w:rsid w:val="00A14D7E"/>
    <w:rsid w:val="00A23169"/>
    <w:rsid w:val="00A27F28"/>
    <w:rsid w:val="00A30621"/>
    <w:rsid w:val="00A37CAE"/>
    <w:rsid w:val="00A41CA2"/>
    <w:rsid w:val="00A4787A"/>
    <w:rsid w:val="00A5056A"/>
    <w:rsid w:val="00A535C3"/>
    <w:rsid w:val="00A55A2F"/>
    <w:rsid w:val="00A7604D"/>
    <w:rsid w:val="00A97F04"/>
    <w:rsid w:val="00AA1D10"/>
    <w:rsid w:val="00AB53E6"/>
    <w:rsid w:val="00AC68DC"/>
    <w:rsid w:val="00AD4F4A"/>
    <w:rsid w:val="00AE0AD4"/>
    <w:rsid w:val="00AE6611"/>
    <w:rsid w:val="00B028D8"/>
    <w:rsid w:val="00B2009E"/>
    <w:rsid w:val="00B276F0"/>
    <w:rsid w:val="00B41F53"/>
    <w:rsid w:val="00BA1014"/>
    <w:rsid w:val="00BA5D94"/>
    <w:rsid w:val="00BB6A71"/>
    <w:rsid w:val="00BC0918"/>
    <w:rsid w:val="00C0153E"/>
    <w:rsid w:val="00C02D9A"/>
    <w:rsid w:val="00C032EA"/>
    <w:rsid w:val="00C07F68"/>
    <w:rsid w:val="00C130FB"/>
    <w:rsid w:val="00C17019"/>
    <w:rsid w:val="00C20E69"/>
    <w:rsid w:val="00C21D8F"/>
    <w:rsid w:val="00C24836"/>
    <w:rsid w:val="00C30774"/>
    <w:rsid w:val="00C42BDC"/>
    <w:rsid w:val="00C5264B"/>
    <w:rsid w:val="00C55F63"/>
    <w:rsid w:val="00C642D1"/>
    <w:rsid w:val="00CA1AF5"/>
    <w:rsid w:val="00CA35E3"/>
    <w:rsid w:val="00CB2158"/>
    <w:rsid w:val="00CB79BD"/>
    <w:rsid w:val="00CD79DC"/>
    <w:rsid w:val="00D10262"/>
    <w:rsid w:val="00D2106C"/>
    <w:rsid w:val="00D22568"/>
    <w:rsid w:val="00D3560F"/>
    <w:rsid w:val="00D4342E"/>
    <w:rsid w:val="00D43A02"/>
    <w:rsid w:val="00D63CB8"/>
    <w:rsid w:val="00D64149"/>
    <w:rsid w:val="00D9048F"/>
    <w:rsid w:val="00D9746E"/>
    <w:rsid w:val="00DC3153"/>
    <w:rsid w:val="00DD1359"/>
    <w:rsid w:val="00DD5BC8"/>
    <w:rsid w:val="00DF3BF9"/>
    <w:rsid w:val="00E14D68"/>
    <w:rsid w:val="00E300D5"/>
    <w:rsid w:val="00E36D8C"/>
    <w:rsid w:val="00E5588B"/>
    <w:rsid w:val="00E608D8"/>
    <w:rsid w:val="00E8697D"/>
    <w:rsid w:val="00E90B9C"/>
    <w:rsid w:val="00E91527"/>
    <w:rsid w:val="00EB4F54"/>
    <w:rsid w:val="00EC28A0"/>
    <w:rsid w:val="00EC7A2E"/>
    <w:rsid w:val="00ED4CD7"/>
    <w:rsid w:val="00EE0194"/>
    <w:rsid w:val="00EE58B5"/>
    <w:rsid w:val="00F013F8"/>
    <w:rsid w:val="00F03176"/>
    <w:rsid w:val="00F04655"/>
    <w:rsid w:val="00F255E6"/>
    <w:rsid w:val="00F362EB"/>
    <w:rsid w:val="00F40753"/>
    <w:rsid w:val="00F40DAF"/>
    <w:rsid w:val="00F41C90"/>
    <w:rsid w:val="00F474E8"/>
    <w:rsid w:val="00F6514E"/>
    <w:rsid w:val="00F65D6C"/>
    <w:rsid w:val="00F732DD"/>
    <w:rsid w:val="00F86C8E"/>
    <w:rsid w:val="00F91048"/>
    <w:rsid w:val="00F92699"/>
    <w:rsid w:val="00FB5465"/>
    <w:rsid w:val="00FB782E"/>
    <w:rsid w:val="00FC1DB6"/>
    <w:rsid w:val="00FC212E"/>
    <w:rsid w:val="00FE66D4"/>
    <w:rsid w:val="00FE7658"/>
    <w:rsid w:val="00FF10A3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F24FC-593B-4604-AFD6-1DDA59B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826AF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D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9A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9450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02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45028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40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D2106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B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1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34"/>
  </w:style>
  <w:style w:type="paragraph" w:styleId="Footer">
    <w:name w:val="footer"/>
    <w:basedOn w:val="Normal"/>
    <w:link w:val="FooterChar"/>
    <w:uiPriority w:val="99"/>
    <w:unhideWhenUsed/>
    <w:rsid w:val="00121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34"/>
  </w:style>
  <w:style w:type="character" w:customStyle="1" w:styleId="ListParagraphChar">
    <w:name w:val="List Paragraph Char"/>
    <w:link w:val="ListParagraph"/>
    <w:uiPriority w:val="34"/>
    <w:rsid w:val="00325EE8"/>
    <w:rPr>
      <w:rFonts w:ascii="Calibri" w:eastAsia="Times New Roman" w:hAnsi="Calibri" w:cs="Times New Roman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1F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1F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1F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16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B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1146-4B52-4AF4-8E27-78D2D09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5191</Words>
  <Characters>2959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Soida</dc:creator>
  <cp:lastModifiedBy>Elita Rubesa-Voravko</cp:lastModifiedBy>
  <cp:revision>3</cp:revision>
  <cp:lastPrinted>2018-08-20T13:25:00Z</cp:lastPrinted>
  <dcterms:created xsi:type="dcterms:W3CDTF">2018-08-24T11:30:00Z</dcterms:created>
  <dcterms:modified xsi:type="dcterms:W3CDTF">2018-08-24T11:31:00Z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